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AEA59" w14:textId="4B948FE1" w:rsidR="003E00B9" w:rsidRPr="0094004C" w:rsidRDefault="00DB26F6" w:rsidP="007D527B">
      <w:pPr>
        <w:jc w:val="center"/>
        <w:rPr>
          <w:rFonts w:ascii="Bookman Old Style" w:hAnsi="Bookman Old Style"/>
        </w:rPr>
      </w:pPr>
      <w:r w:rsidRPr="00DA7E47">
        <w:rPr>
          <w:rFonts w:ascii="Bookman Old Style" w:hAnsi="Bookman Old Style"/>
          <w:noProof/>
        </w:rPr>
        <w:drawing>
          <wp:anchor distT="0" distB="0" distL="114300" distR="114300" simplePos="0" relativeHeight="251658240" behindDoc="0" locked="0" layoutInCell="1" allowOverlap="1" wp14:anchorId="5DFC8A46" wp14:editId="0D733DAC">
            <wp:simplePos x="0" y="0"/>
            <wp:positionH relativeFrom="margin">
              <wp:align>center</wp:align>
            </wp:positionH>
            <wp:positionV relativeFrom="paragraph">
              <wp:posOffset>-817245</wp:posOffset>
            </wp:positionV>
            <wp:extent cx="621978" cy="644005"/>
            <wp:effectExtent l="0" t="0" r="6985" b="381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809"/>
                    <a:stretch/>
                  </pic:blipFill>
                  <pic:spPr bwMode="auto">
                    <a:xfrm>
                      <a:off x="0" y="0"/>
                      <a:ext cx="621978" cy="644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00B9" w:rsidRPr="0094004C">
        <w:rPr>
          <w:rFonts w:ascii="Bookman Old Style" w:hAnsi="Bookman Old Style"/>
        </w:rPr>
        <w:t>Ministerio de Minas y Energía</w:t>
      </w:r>
    </w:p>
    <w:p w14:paraId="77ED317E" w14:textId="77777777" w:rsidR="003E00B9" w:rsidRPr="0065261E" w:rsidRDefault="003E00B9" w:rsidP="00C65ED9">
      <w:pPr>
        <w:jc w:val="center"/>
        <w:rPr>
          <w:rFonts w:ascii="Bookman Old Style" w:hAnsi="Bookman Old Style" w:cs="Arial"/>
          <w:bCs/>
          <w:color w:val="000000"/>
        </w:rPr>
      </w:pPr>
    </w:p>
    <w:p w14:paraId="6190B4D2" w14:textId="525E5B43" w:rsidR="003E00B9" w:rsidRPr="0065261E" w:rsidRDefault="003E00B9" w:rsidP="003E00B9">
      <w:pPr>
        <w:jc w:val="center"/>
        <w:rPr>
          <w:rFonts w:ascii="Bookman Old Style" w:hAnsi="Bookman Old Style" w:cs="Arial"/>
          <w:b/>
          <w:color w:val="000000"/>
        </w:rPr>
      </w:pPr>
      <w:r w:rsidRPr="0065261E">
        <w:rPr>
          <w:rFonts w:ascii="Bookman Old Style" w:hAnsi="Bookman Old Style" w:cs="Arial"/>
          <w:b/>
          <w:color w:val="000000"/>
        </w:rPr>
        <w:t>COMISIÓN DE REGULACIÓN DE ENERGÍA Y GAS</w:t>
      </w:r>
    </w:p>
    <w:p w14:paraId="0775B47C" w14:textId="77777777" w:rsidR="003E00B9" w:rsidRPr="0065261E" w:rsidRDefault="003E00B9" w:rsidP="003E00B9">
      <w:pPr>
        <w:jc w:val="center"/>
        <w:rPr>
          <w:rFonts w:ascii="Bookman Old Style" w:hAnsi="Bookman Old Style" w:cs="Arial"/>
          <w:bCs/>
          <w:color w:val="000000"/>
        </w:rPr>
      </w:pPr>
    </w:p>
    <w:p w14:paraId="1B6953FA" w14:textId="78E4B0C0" w:rsidR="00CB79DF" w:rsidRPr="0065261E" w:rsidRDefault="003A21A4" w:rsidP="00D707F9">
      <w:pPr>
        <w:ind w:left="142" w:right="-142"/>
        <w:jc w:val="center"/>
        <w:rPr>
          <w:rFonts w:ascii="Bookman Old Style" w:hAnsi="Bookman Old Style" w:cs="Arial"/>
          <w:bCs/>
          <w:color w:val="000000"/>
        </w:rPr>
      </w:pPr>
      <w:r w:rsidRPr="0065261E">
        <w:rPr>
          <w:rFonts w:ascii="Bookman Old Style" w:hAnsi="Bookman Old Style" w:cs="Arial"/>
          <w:b/>
          <w:color w:val="000000"/>
        </w:rPr>
        <w:t xml:space="preserve">  RESOLUCIÓN</w:t>
      </w:r>
      <w:r w:rsidR="00CB79DF" w:rsidRPr="0065261E">
        <w:rPr>
          <w:rFonts w:ascii="Bookman Old Style" w:hAnsi="Bookman Old Style" w:cs="Arial"/>
          <w:b/>
          <w:color w:val="000000"/>
        </w:rPr>
        <w:t xml:space="preserve"> No</w:t>
      </w:r>
      <w:r w:rsidR="00CB79DF" w:rsidRPr="0065261E">
        <w:rPr>
          <w:rFonts w:ascii="Bookman Old Style" w:hAnsi="Bookman Old Style" w:cs="Arial"/>
          <w:bCs/>
          <w:color w:val="000000"/>
        </w:rPr>
        <w:t xml:space="preserve">. </w:t>
      </w:r>
      <w:r w:rsidR="00B74D8A" w:rsidRPr="005F32F4">
        <w:rPr>
          <w:rFonts w:ascii="Bookman Old Style" w:hAnsi="Bookman Old Style" w:cs="Arial"/>
          <w:b/>
          <w:color w:val="000000"/>
          <w:sz w:val="32"/>
          <w:szCs w:val="32"/>
        </w:rPr>
        <w:t>1</w:t>
      </w:r>
      <w:r w:rsidR="0065261E" w:rsidRPr="005F32F4">
        <w:rPr>
          <w:rFonts w:ascii="Bookman Old Style" w:hAnsi="Bookman Old Style" w:cs="Arial"/>
          <w:b/>
          <w:color w:val="000000"/>
          <w:sz w:val="32"/>
          <w:szCs w:val="32"/>
        </w:rPr>
        <w:t>02</w:t>
      </w:r>
      <w:r w:rsidR="00B3278D" w:rsidRPr="005F32F4">
        <w:rPr>
          <w:rFonts w:ascii="Bookman Old Style" w:hAnsi="Bookman Old Style" w:cs="Arial"/>
          <w:b/>
          <w:color w:val="000000"/>
          <w:sz w:val="32"/>
          <w:szCs w:val="32"/>
        </w:rPr>
        <w:t xml:space="preserve"> </w:t>
      </w:r>
      <w:r w:rsidR="00B94489" w:rsidRPr="005F32F4">
        <w:rPr>
          <w:rFonts w:ascii="Bookman Old Style" w:hAnsi="Bookman Old Style" w:cs="Arial"/>
          <w:b/>
          <w:color w:val="000000"/>
          <w:sz w:val="32"/>
          <w:szCs w:val="32"/>
        </w:rPr>
        <w:t>0</w:t>
      </w:r>
      <w:r w:rsidR="00020F43" w:rsidRPr="005F32F4">
        <w:rPr>
          <w:rFonts w:ascii="Bookman Old Style" w:hAnsi="Bookman Old Style" w:cs="Arial"/>
          <w:b/>
          <w:color w:val="000000"/>
          <w:sz w:val="32"/>
          <w:szCs w:val="32"/>
        </w:rPr>
        <w:t>0</w:t>
      </w:r>
      <w:r w:rsidR="005F32F4" w:rsidRPr="005F32F4">
        <w:rPr>
          <w:rFonts w:ascii="Bookman Old Style" w:hAnsi="Bookman Old Style" w:cs="Arial"/>
          <w:b/>
          <w:color w:val="000000"/>
          <w:sz w:val="32"/>
          <w:szCs w:val="32"/>
        </w:rPr>
        <w:t>8</w:t>
      </w:r>
      <w:r w:rsidR="00371D5F">
        <w:rPr>
          <w:rFonts w:ascii="Bookman Old Style" w:hAnsi="Bookman Old Style" w:cs="Arial"/>
          <w:b/>
          <w:color w:val="000000"/>
          <w:sz w:val="32"/>
          <w:szCs w:val="32"/>
        </w:rPr>
        <w:t xml:space="preserve"> de 2024</w:t>
      </w:r>
    </w:p>
    <w:p w14:paraId="7037D78C" w14:textId="77777777" w:rsidR="00CB79DF" w:rsidRPr="0065261E" w:rsidRDefault="00CB79DF" w:rsidP="00D707F9">
      <w:pPr>
        <w:ind w:left="142" w:right="-142"/>
        <w:jc w:val="center"/>
        <w:rPr>
          <w:rFonts w:ascii="Bookman Old Style" w:hAnsi="Bookman Old Style" w:cs="Arial"/>
          <w:bCs/>
          <w:color w:val="000000"/>
        </w:rPr>
      </w:pPr>
    </w:p>
    <w:p w14:paraId="2DFC2E6B" w14:textId="3CC1A55F" w:rsidR="003A21A4" w:rsidRPr="00677004" w:rsidRDefault="00CB79DF" w:rsidP="00D707F9">
      <w:pPr>
        <w:ind w:left="142" w:right="-142"/>
        <w:jc w:val="center"/>
        <w:rPr>
          <w:rFonts w:ascii="Bookman Old Style" w:hAnsi="Bookman Old Style" w:cs="Arial"/>
          <w:bCs/>
          <w:color w:val="000000"/>
        </w:rPr>
      </w:pPr>
      <w:r w:rsidRPr="00677004">
        <w:rPr>
          <w:rFonts w:ascii="Bookman Old Style" w:hAnsi="Bookman Old Style" w:cs="Arial"/>
          <w:bCs/>
          <w:color w:val="000000"/>
        </w:rPr>
        <w:t>(</w:t>
      </w:r>
      <w:r w:rsidR="007C7D5B" w:rsidRPr="00371D5F">
        <w:rPr>
          <w:rFonts w:ascii="Bookman Old Style" w:hAnsi="Bookman Old Style" w:cs="Arial"/>
          <w:b/>
          <w:color w:val="000000"/>
        </w:rPr>
        <w:t>2</w:t>
      </w:r>
      <w:r w:rsidR="00BE5729" w:rsidRPr="00371D5F">
        <w:rPr>
          <w:rFonts w:ascii="Bookman Old Style" w:hAnsi="Bookman Old Style" w:cs="Arial"/>
          <w:b/>
          <w:color w:val="000000"/>
        </w:rPr>
        <w:t>4</w:t>
      </w:r>
      <w:r w:rsidR="007C7D5B" w:rsidRPr="00371D5F">
        <w:rPr>
          <w:rFonts w:ascii="Bookman Old Style" w:hAnsi="Bookman Old Style" w:cs="Arial"/>
          <w:b/>
          <w:color w:val="000000"/>
        </w:rPr>
        <w:t xml:space="preserve"> </w:t>
      </w:r>
      <w:r w:rsidR="00B74D8A" w:rsidRPr="00371D5F">
        <w:rPr>
          <w:rFonts w:ascii="Bookman Old Style" w:hAnsi="Bookman Old Style" w:cs="Arial"/>
          <w:b/>
          <w:color w:val="000000"/>
        </w:rPr>
        <w:t>JU</w:t>
      </w:r>
      <w:r w:rsidR="009D5280" w:rsidRPr="00371D5F">
        <w:rPr>
          <w:rFonts w:ascii="Bookman Old Style" w:hAnsi="Bookman Old Style" w:cs="Arial"/>
          <w:b/>
          <w:color w:val="000000"/>
        </w:rPr>
        <w:t>N</w:t>
      </w:r>
      <w:r w:rsidR="0065261E" w:rsidRPr="00371D5F">
        <w:rPr>
          <w:rFonts w:ascii="Bookman Old Style" w:hAnsi="Bookman Old Style" w:cs="Arial"/>
          <w:b/>
          <w:color w:val="000000"/>
        </w:rPr>
        <w:t xml:space="preserve">. </w:t>
      </w:r>
      <w:r w:rsidR="000E3A25" w:rsidRPr="00371D5F">
        <w:rPr>
          <w:rFonts w:ascii="Bookman Old Style" w:hAnsi="Bookman Old Style" w:cs="Arial"/>
          <w:b/>
          <w:color w:val="000000"/>
        </w:rPr>
        <w:t>202</w:t>
      </w:r>
      <w:r w:rsidR="00B028C6" w:rsidRPr="00371D5F">
        <w:rPr>
          <w:rFonts w:ascii="Bookman Old Style" w:hAnsi="Bookman Old Style" w:cs="Arial"/>
          <w:b/>
          <w:color w:val="000000"/>
        </w:rPr>
        <w:t>4</w:t>
      </w:r>
      <w:r w:rsidR="000E3A25" w:rsidRPr="00677004">
        <w:rPr>
          <w:rFonts w:ascii="Bookman Old Style" w:hAnsi="Bookman Old Style" w:cs="Arial"/>
          <w:bCs/>
          <w:color w:val="000000"/>
        </w:rPr>
        <w:t>)</w:t>
      </w:r>
    </w:p>
    <w:p w14:paraId="31D55F73" w14:textId="7E70E27C" w:rsidR="003B0CDA" w:rsidRPr="00677004" w:rsidRDefault="003B0CDA" w:rsidP="00D707F9">
      <w:pPr>
        <w:ind w:left="142" w:right="-142"/>
        <w:jc w:val="center"/>
        <w:rPr>
          <w:rFonts w:ascii="Bookman Old Style" w:hAnsi="Bookman Old Style" w:cs="Arial"/>
          <w:b/>
          <w:color w:val="000000"/>
        </w:rPr>
      </w:pPr>
    </w:p>
    <w:p w14:paraId="048A9F78" w14:textId="77777777" w:rsidR="0065261E" w:rsidRPr="00677004" w:rsidRDefault="0065261E" w:rsidP="003B0CDA">
      <w:pPr>
        <w:ind w:left="142" w:right="-142"/>
        <w:jc w:val="both"/>
        <w:rPr>
          <w:rFonts w:ascii="Bookman Old Style" w:hAnsi="Bookman Old Style" w:cs="Arial"/>
          <w:bCs/>
          <w:color w:val="000000"/>
        </w:rPr>
      </w:pPr>
    </w:p>
    <w:p w14:paraId="58A9D57A" w14:textId="27659384" w:rsidR="005D0A3F" w:rsidRPr="00902AFC" w:rsidRDefault="005D0A3F" w:rsidP="00D707F9">
      <w:pPr>
        <w:ind w:left="142" w:right="-142"/>
        <w:jc w:val="center"/>
        <w:rPr>
          <w:rFonts w:ascii="Bookman Old Style" w:hAnsi="Bookman Old Style" w:cs="Arial"/>
          <w:color w:val="000000"/>
        </w:rPr>
      </w:pPr>
      <w:r w:rsidRPr="00902AFC">
        <w:rPr>
          <w:rFonts w:ascii="Bookman Old Style" w:hAnsi="Bookman Old Style" w:cs="Arial"/>
          <w:color w:val="000000"/>
        </w:rPr>
        <w:t>Por la cual se</w:t>
      </w:r>
      <w:r w:rsidR="0045563E">
        <w:rPr>
          <w:rFonts w:ascii="Bookman Old Style" w:hAnsi="Bookman Old Style" w:cs="Arial"/>
          <w:color w:val="000000"/>
        </w:rPr>
        <w:t xml:space="preserve"> </w:t>
      </w:r>
      <w:r w:rsidR="009929C9">
        <w:rPr>
          <w:rFonts w:ascii="Bookman Old Style" w:hAnsi="Bookman Old Style" w:cs="Arial"/>
          <w:color w:val="000000"/>
        </w:rPr>
        <w:t xml:space="preserve">modifica la Resolución CREG 175 de 2021 </w:t>
      </w:r>
      <w:r w:rsidR="00153966">
        <w:rPr>
          <w:rFonts w:ascii="Bookman Old Style" w:hAnsi="Bookman Old Style" w:cs="Arial"/>
          <w:color w:val="000000"/>
        </w:rPr>
        <w:t>en virtud de</w:t>
      </w:r>
      <w:r w:rsidR="00D74726">
        <w:rPr>
          <w:rFonts w:ascii="Bookman Old Style" w:hAnsi="Bookman Old Style" w:cs="Arial"/>
          <w:color w:val="000000"/>
        </w:rPr>
        <w:t xml:space="preserve"> las</w:t>
      </w:r>
      <w:r w:rsidR="00153966">
        <w:rPr>
          <w:rFonts w:ascii="Bookman Old Style" w:hAnsi="Bookman Old Style" w:cs="Arial"/>
          <w:color w:val="000000"/>
        </w:rPr>
        <w:t xml:space="preserve"> solicitudes particular</w:t>
      </w:r>
      <w:r w:rsidR="00AD4FB4">
        <w:rPr>
          <w:rFonts w:ascii="Bookman Old Style" w:hAnsi="Bookman Old Style" w:cs="Arial"/>
          <w:color w:val="000000"/>
        </w:rPr>
        <w:t>es en interés general</w:t>
      </w:r>
      <w:r w:rsidR="00D74726">
        <w:rPr>
          <w:rFonts w:ascii="Bookman Old Style" w:hAnsi="Bookman Old Style" w:cs="Arial"/>
          <w:color w:val="000000"/>
        </w:rPr>
        <w:t xml:space="preserve"> recibidas por la Comisión</w:t>
      </w:r>
      <w:r w:rsidR="00AD4FB4">
        <w:rPr>
          <w:rFonts w:ascii="Bookman Old Style" w:hAnsi="Bookman Old Style" w:cs="Arial"/>
          <w:color w:val="000000"/>
        </w:rPr>
        <w:t xml:space="preserve"> con base en lo establecido en el artículo 126 de la Ley 142 de 1994</w:t>
      </w:r>
    </w:p>
    <w:p w14:paraId="066F9E96" w14:textId="77777777" w:rsidR="005D0A3F" w:rsidRPr="0020003F" w:rsidRDefault="005D0A3F" w:rsidP="00D707F9">
      <w:pPr>
        <w:ind w:left="142" w:right="-142"/>
        <w:jc w:val="center"/>
        <w:rPr>
          <w:rFonts w:ascii="Bookman Old Style" w:hAnsi="Bookman Old Style" w:cs="Arial"/>
          <w:b/>
          <w:color w:val="000000"/>
          <w:sz w:val="20"/>
          <w:szCs w:val="20"/>
        </w:rPr>
      </w:pPr>
    </w:p>
    <w:p w14:paraId="03239E3D" w14:textId="77777777" w:rsidR="00E71BE1" w:rsidRPr="00717AFB" w:rsidRDefault="00E71BE1" w:rsidP="00D707F9">
      <w:pPr>
        <w:ind w:left="142" w:right="-142"/>
        <w:jc w:val="center"/>
        <w:rPr>
          <w:rFonts w:ascii="Bookman Old Style" w:hAnsi="Bookman Old Style" w:cs="Arial"/>
          <w:color w:val="000000"/>
        </w:rPr>
      </w:pPr>
    </w:p>
    <w:p w14:paraId="087A310D" w14:textId="77777777" w:rsidR="00E71BE1" w:rsidRPr="00717AFB" w:rsidRDefault="00E71BE1" w:rsidP="00D707F9">
      <w:pPr>
        <w:ind w:left="142" w:right="-142"/>
        <w:jc w:val="center"/>
        <w:rPr>
          <w:rFonts w:ascii="Bookman Old Style" w:hAnsi="Bookman Old Style" w:cs="Arial"/>
          <w:color w:val="000000" w:themeColor="text1"/>
          <w:lang w:eastAsia="es-CO"/>
        </w:rPr>
      </w:pPr>
      <w:r w:rsidRPr="00717AFB">
        <w:rPr>
          <w:rFonts w:ascii="Bookman Old Style" w:hAnsi="Bookman Old Style" w:cs="Arial"/>
          <w:b/>
          <w:color w:val="000000" w:themeColor="text1"/>
          <w:lang w:eastAsia="es-CO"/>
        </w:rPr>
        <w:t>LA COMISIÓN DE REGULACIÓN DE ENERGÍA Y GAS</w:t>
      </w:r>
    </w:p>
    <w:p w14:paraId="52B87D9D" w14:textId="77777777" w:rsidR="00E71BE1" w:rsidRPr="00717AFB" w:rsidRDefault="00E71BE1" w:rsidP="00D707F9">
      <w:pPr>
        <w:ind w:left="142" w:right="-142"/>
        <w:jc w:val="center"/>
        <w:rPr>
          <w:rFonts w:ascii="Bookman Old Style" w:hAnsi="Bookman Old Style" w:cs="Arial"/>
          <w:color w:val="000000"/>
        </w:rPr>
      </w:pPr>
    </w:p>
    <w:p w14:paraId="0AB7E238" w14:textId="77777777" w:rsidR="00E71BE1" w:rsidRPr="00717AFB" w:rsidRDefault="00E71BE1" w:rsidP="00D707F9">
      <w:pPr>
        <w:ind w:left="142" w:right="-142"/>
        <w:jc w:val="center"/>
        <w:rPr>
          <w:rFonts w:ascii="Bookman Old Style" w:hAnsi="Bookman Old Style" w:cs="Arial"/>
          <w:color w:val="000000"/>
        </w:rPr>
      </w:pPr>
    </w:p>
    <w:p w14:paraId="4B6E4201" w14:textId="6B05266D" w:rsidR="00E71BE1" w:rsidRPr="00717AFB" w:rsidRDefault="00E71BE1" w:rsidP="00D707F9">
      <w:pPr>
        <w:ind w:left="142" w:right="-142"/>
        <w:jc w:val="center"/>
        <w:rPr>
          <w:rFonts w:ascii="Bookman Old Style" w:hAnsi="Bookman Old Style" w:cs="Arial"/>
          <w:color w:val="000000"/>
        </w:rPr>
      </w:pPr>
      <w:r w:rsidRPr="00717AFB">
        <w:rPr>
          <w:rFonts w:ascii="Bookman Old Style" w:hAnsi="Bookman Old Style" w:cs="Arial"/>
          <w:color w:val="000000"/>
        </w:rPr>
        <w:t>En ejercicio de las atribuciones constitucionales y legales, en especial las conferidas por la Ley 142 de 1994 y los Decretos 2253 de 1994</w:t>
      </w:r>
      <w:r w:rsidR="00A66D9C">
        <w:rPr>
          <w:rFonts w:ascii="Bookman Old Style" w:hAnsi="Bookman Old Style" w:cs="Arial"/>
          <w:color w:val="000000"/>
        </w:rPr>
        <w:t xml:space="preserve"> y</w:t>
      </w:r>
      <w:r w:rsidR="00AE4924" w:rsidRPr="00717AFB">
        <w:rPr>
          <w:rFonts w:ascii="Bookman Old Style" w:hAnsi="Bookman Old Style" w:cs="Arial"/>
          <w:color w:val="000000"/>
        </w:rPr>
        <w:t>1260 de 2013</w:t>
      </w:r>
      <w:r w:rsidR="005D0E5C" w:rsidRPr="00717AFB">
        <w:rPr>
          <w:rFonts w:ascii="Bookman Old Style" w:hAnsi="Bookman Old Style" w:cs="Arial"/>
          <w:color w:val="000000"/>
        </w:rPr>
        <w:t xml:space="preserve"> y,</w:t>
      </w:r>
    </w:p>
    <w:p w14:paraId="5FE6FB06" w14:textId="77777777" w:rsidR="00E71BE1" w:rsidRPr="00717AFB" w:rsidRDefault="00E71BE1" w:rsidP="00D707F9">
      <w:pPr>
        <w:ind w:left="142" w:right="-142"/>
        <w:jc w:val="center"/>
        <w:rPr>
          <w:rFonts w:ascii="Bookman Old Style" w:hAnsi="Bookman Old Style" w:cs="Arial"/>
          <w:color w:val="000000"/>
        </w:rPr>
      </w:pPr>
    </w:p>
    <w:p w14:paraId="3B390D24" w14:textId="77777777" w:rsidR="00E71BE1" w:rsidRPr="00717AFB" w:rsidRDefault="00E71BE1" w:rsidP="002F197F">
      <w:pPr>
        <w:ind w:left="142" w:right="-142"/>
        <w:jc w:val="center"/>
        <w:rPr>
          <w:rFonts w:ascii="Bookman Old Style" w:hAnsi="Bookman Old Style" w:cs="Arial"/>
          <w:color w:val="000000"/>
        </w:rPr>
      </w:pPr>
    </w:p>
    <w:p w14:paraId="6F51FAFC" w14:textId="209A5167" w:rsidR="00AF6AB3" w:rsidRPr="00947662" w:rsidRDefault="00A215FB" w:rsidP="00D707F9">
      <w:pPr>
        <w:ind w:left="142" w:right="-142"/>
        <w:jc w:val="center"/>
        <w:rPr>
          <w:rFonts w:ascii="Bookman Old Style" w:hAnsi="Bookman Old Style" w:cs="Arial"/>
          <w:b/>
          <w:color w:val="000000"/>
          <w:lang w:val="it-IT"/>
        </w:rPr>
      </w:pPr>
      <w:r w:rsidRPr="00947662">
        <w:rPr>
          <w:rFonts w:ascii="Bookman Old Style" w:hAnsi="Bookman Old Style" w:cs="Arial"/>
          <w:b/>
          <w:color w:val="000000"/>
          <w:lang w:val="it-IT"/>
        </w:rPr>
        <w:t>C O N S I D E R A N D O</w:t>
      </w:r>
      <w:r w:rsidR="007663B4" w:rsidRPr="00947662">
        <w:rPr>
          <w:rFonts w:ascii="Bookman Old Style" w:hAnsi="Bookman Old Style" w:cs="Arial"/>
          <w:b/>
          <w:color w:val="000000"/>
          <w:lang w:val="it-IT"/>
        </w:rPr>
        <w:t xml:space="preserve"> </w:t>
      </w:r>
      <w:r w:rsidR="00A57875" w:rsidRPr="00947662">
        <w:rPr>
          <w:rFonts w:ascii="Bookman Old Style" w:hAnsi="Bookman Old Style" w:cs="Arial"/>
          <w:b/>
          <w:color w:val="000000"/>
          <w:lang w:val="it-IT"/>
        </w:rPr>
        <w:t xml:space="preserve"> </w:t>
      </w:r>
      <w:r w:rsidR="00487AE1" w:rsidRPr="00947662">
        <w:rPr>
          <w:rFonts w:ascii="Bookman Old Style" w:hAnsi="Bookman Old Style" w:cs="Arial"/>
          <w:b/>
          <w:color w:val="000000"/>
          <w:lang w:val="it-IT"/>
        </w:rPr>
        <w:t xml:space="preserve"> </w:t>
      </w:r>
      <w:r w:rsidRPr="00947662">
        <w:rPr>
          <w:rFonts w:ascii="Bookman Old Style" w:hAnsi="Bookman Old Style" w:cs="Arial"/>
          <w:b/>
          <w:color w:val="000000"/>
          <w:lang w:val="it-IT"/>
        </w:rPr>
        <w:t>Q U E:</w:t>
      </w:r>
    </w:p>
    <w:p w14:paraId="6B92701A" w14:textId="071E4B41" w:rsidR="00CC1729" w:rsidRPr="00947662" w:rsidRDefault="00CC1729" w:rsidP="00947662">
      <w:pPr>
        <w:ind w:left="142" w:right="-142"/>
        <w:jc w:val="center"/>
        <w:rPr>
          <w:lang w:val="it-IT"/>
        </w:rPr>
      </w:pPr>
    </w:p>
    <w:p w14:paraId="6B3C6896" w14:textId="7FDEB276" w:rsidR="00C80153" w:rsidRPr="00947662" w:rsidRDefault="0062185B" w:rsidP="00192499">
      <w:pPr>
        <w:pStyle w:val="Ttulo1"/>
        <w:numPr>
          <w:ilvl w:val="0"/>
          <w:numId w:val="54"/>
        </w:numPr>
      </w:pPr>
      <w:r w:rsidRPr="00947662">
        <w:t>ANTECEDENTES</w:t>
      </w:r>
    </w:p>
    <w:p w14:paraId="6D3D4DCE" w14:textId="74AB5081" w:rsidR="00702159" w:rsidRPr="004416CB" w:rsidRDefault="00702159" w:rsidP="001635F3">
      <w:pPr>
        <w:spacing w:before="120" w:after="100" w:afterAutospacing="1"/>
        <w:jc w:val="both"/>
        <w:rPr>
          <w:rFonts w:ascii="Bookman Old Style" w:hAnsi="Bookman Old Style" w:cs="Arial"/>
          <w:color w:val="000000"/>
        </w:rPr>
      </w:pPr>
      <w:r w:rsidRPr="004416CB">
        <w:rPr>
          <w:rFonts w:ascii="Bookman Old Style" w:hAnsi="Bookman Old Style" w:cs="Arial"/>
          <w:color w:val="000000"/>
        </w:rPr>
        <w:t>El artículo 365 de la Constitución Política establece que “los servicios públicos son inherentes a la finalidad social del Estado. Es deber del Estado asegurar su prestación eficiente a todos los habitantes del territorio nacional”. Así mismo, estipula que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w:t>
      </w:r>
    </w:p>
    <w:p w14:paraId="25ACA745" w14:textId="5EE7D2E8" w:rsidR="00A215FB" w:rsidRPr="00717AFB" w:rsidRDefault="00A215FB" w:rsidP="001635F3">
      <w:pPr>
        <w:spacing w:before="100" w:beforeAutospacing="1" w:after="100" w:afterAutospacing="1"/>
        <w:jc w:val="both"/>
        <w:rPr>
          <w:rFonts w:ascii="Bookman Old Style" w:hAnsi="Bookman Old Style" w:cs="Arial"/>
          <w:color w:val="000000"/>
        </w:rPr>
      </w:pPr>
      <w:r w:rsidRPr="00717AFB">
        <w:rPr>
          <w:rFonts w:ascii="Bookman Old Style" w:hAnsi="Bookman Old Style" w:cs="Arial"/>
          <w:color w:val="000000"/>
        </w:rPr>
        <w:t>De acuerdo con lo establecido en el artículo 14</w:t>
      </w:r>
      <w:r w:rsidR="006C0AE8" w:rsidRPr="00717AFB">
        <w:rPr>
          <w:rFonts w:ascii="Bookman Old Style" w:hAnsi="Bookman Old Style" w:cs="Arial"/>
          <w:color w:val="000000"/>
        </w:rPr>
        <w:t>, numeral 14.28,</w:t>
      </w:r>
      <w:r w:rsidRPr="00717AFB">
        <w:rPr>
          <w:rFonts w:ascii="Bookman Old Style" w:hAnsi="Bookman Old Style" w:cs="Arial"/>
          <w:color w:val="000000"/>
        </w:rPr>
        <w:t xml:space="preserve"> de la Ley 142 de 1994, la actividad de transporte de gas natural es una actividad complementaria del servicio público domiciliario de gas combustible.</w:t>
      </w:r>
    </w:p>
    <w:p w14:paraId="4968AFF4" w14:textId="7699B86E" w:rsidR="00BD2B31" w:rsidRDefault="007426E5" w:rsidP="001635F3">
      <w:pPr>
        <w:spacing w:before="100" w:beforeAutospacing="1" w:after="100" w:afterAutospacing="1"/>
        <w:contextualSpacing/>
        <w:jc w:val="both"/>
        <w:rPr>
          <w:rFonts w:ascii="Bookman Old Style" w:hAnsi="Bookman Old Style"/>
          <w:color w:val="000000"/>
          <w:lang w:val="es-ES_tradnl"/>
        </w:rPr>
      </w:pPr>
      <w:r w:rsidRPr="00717AFB">
        <w:rPr>
          <w:rFonts w:ascii="Bookman Old Style" w:hAnsi="Bookman Old Style"/>
          <w:color w:val="000000"/>
          <w:lang w:val="es-ES_tradnl"/>
        </w:rPr>
        <w:t>De acuerdo con lo previsto en la Ley 142 de 1994</w:t>
      </w:r>
      <w:r w:rsidR="00DE232E" w:rsidRPr="00717AFB">
        <w:rPr>
          <w:rFonts w:ascii="Bookman Old Style" w:hAnsi="Bookman Old Style"/>
          <w:color w:val="000000"/>
          <w:lang w:val="es-ES_tradnl"/>
        </w:rPr>
        <w:t>,</w:t>
      </w:r>
      <w:r w:rsidRPr="00717AFB">
        <w:rPr>
          <w:rFonts w:ascii="Bookman Old Style" w:hAnsi="Bookman Old Style"/>
          <w:color w:val="000000"/>
          <w:lang w:val="es-ES_tradnl"/>
        </w:rPr>
        <w:t xml:space="preserve"> l</w:t>
      </w:r>
      <w:r w:rsidR="00A215FB" w:rsidRPr="00717AFB">
        <w:rPr>
          <w:rFonts w:ascii="Bookman Old Style" w:hAnsi="Bookman Old Style"/>
          <w:color w:val="000000"/>
          <w:lang w:val="es-ES_tradnl"/>
        </w:rPr>
        <w:t xml:space="preserve">e corresponde a la Comisión ejercer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lo cual puede, entre otras, proponer la adopción de las medidas necesarias para impedir abusos de posición dominante y adoptar reglas de comportamiento diferencial, según la posición de las empresas en el mercado, conforme a los artículos 73 y 74 de la Ley 142 de 1994. </w:t>
      </w:r>
    </w:p>
    <w:p w14:paraId="4F2AA9D6" w14:textId="77777777" w:rsidR="00DD6D2F" w:rsidRDefault="00DD6D2F" w:rsidP="001635F3">
      <w:pPr>
        <w:spacing w:before="100" w:beforeAutospacing="1" w:after="100" w:afterAutospacing="1"/>
        <w:contextualSpacing/>
        <w:jc w:val="both"/>
        <w:rPr>
          <w:rFonts w:ascii="Bookman Old Style" w:hAnsi="Bookman Old Style"/>
          <w:color w:val="000000"/>
          <w:lang w:val="es-ES_tradnl"/>
        </w:rPr>
      </w:pPr>
    </w:p>
    <w:p w14:paraId="507DC5F2" w14:textId="11758C23" w:rsidR="007426E5" w:rsidRPr="00717AFB" w:rsidRDefault="007426E5" w:rsidP="001635F3">
      <w:pPr>
        <w:spacing w:before="100" w:beforeAutospacing="1" w:after="100" w:afterAutospacing="1"/>
        <w:contextualSpacing/>
        <w:jc w:val="both"/>
        <w:rPr>
          <w:rFonts w:ascii="Bookman Old Style" w:hAnsi="Bookman Old Style" w:cs="Arial"/>
          <w:color w:val="000000"/>
        </w:rPr>
      </w:pPr>
      <w:r w:rsidRPr="00717AFB">
        <w:rPr>
          <w:rFonts w:ascii="Bookman Old Style" w:hAnsi="Bookman Old Style" w:cs="Arial"/>
          <w:color w:val="000000"/>
        </w:rPr>
        <w:t xml:space="preserve">La Ley 401 de 1997 establece que el gas combustible que se transporte por red física a todos los usuarios del territorio </w:t>
      </w:r>
      <w:r w:rsidR="006C1F94" w:rsidRPr="00717AFB">
        <w:rPr>
          <w:rFonts w:ascii="Bookman Old Style" w:hAnsi="Bookman Old Style" w:cs="Arial"/>
          <w:color w:val="000000"/>
        </w:rPr>
        <w:t>nacional</w:t>
      </w:r>
      <w:r w:rsidRPr="00717AFB">
        <w:rPr>
          <w:rFonts w:ascii="Bookman Old Style" w:hAnsi="Bookman Old Style" w:cs="Arial"/>
          <w:color w:val="000000"/>
        </w:rPr>
        <w:t xml:space="preserve"> se regirá por las </w:t>
      </w:r>
      <w:r w:rsidRPr="00717AFB">
        <w:rPr>
          <w:rFonts w:ascii="Bookman Old Style" w:hAnsi="Bookman Old Style" w:cs="Arial"/>
          <w:color w:val="000000"/>
        </w:rPr>
        <w:lastRenderedPageBreak/>
        <w:t>disposiciones contenidas en la Ley 142 de 1994, con el propósito de asegurar una prestación eficiente del servicio público domiciliario.</w:t>
      </w:r>
    </w:p>
    <w:p w14:paraId="62155FCE" w14:textId="77777777" w:rsidR="00A13658" w:rsidRPr="00717AFB" w:rsidRDefault="00A13658" w:rsidP="001635F3">
      <w:pPr>
        <w:spacing w:before="100" w:beforeAutospacing="1" w:after="100" w:afterAutospacing="1"/>
        <w:contextualSpacing/>
        <w:jc w:val="both"/>
        <w:rPr>
          <w:rFonts w:ascii="Bookman Old Style" w:hAnsi="Bookman Old Style" w:cs="Arial"/>
          <w:color w:val="000000"/>
        </w:rPr>
      </w:pPr>
    </w:p>
    <w:p w14:paraId="50F29797" w14:textId="5FFE5942" w:rsidR="00BD2B31" w:rsidRPr="00717AFB" w:rsidRDefault="00A215FB" w:rsidP="00047A2E">
      <w:pPr>
        <w:spacing w:before="100" w:beforeAutospacing="1" w:after="100" w:afterAutospacing="1"/>
        <w:contextualSpacing/>
        <w:jc w:val="both"/>
        <w:rPr>
          <w:rFonts w:ascii="Bookman Old Style" w:hAnsi="Bookman Old Style"/>
          <w:color w:val="000000"/>
          <w:lang w:val="es-ES"/>
        </w:rPr>
      </w:pPr>
      <w:r w:rsidRPr="4F2A0C3B">
        <w:rPr>
          <w:rFonts w:ascii="Bookman Old Style" w:hAnsi="Bookman Old Style"/>
          <w:color w:val="000000" w:themeColor="text1"/>
          <w:lang w:val="es-ES"/>
        </w:rPr>
        <w:t>La Comisión debe establecer las fórmulas tarifarias para cobrar por el transporte e interconexión a las redes, con sujeción a los criterios que</w:t>
      </w:r>
      <w:r w:rsidR="00DE232E" w:rsidRPr="4F2A0C3B">
        <w:rPr>
          <w:rFonts w:ascii="Bookman Old Style" w:hAnsi="Bookman Old Style"/>
          <w:color w:val="000000" w:themeColor="text1"/>
          <w:lang w:val="es-ES"/>
        </w:rPr>
        <w:t>,</w:t>
      </w:r>
      <w:r w:rsidRPr="4F2A0C3B">
        <w:rPr>
          <w:rFonts w:ascii="Bookman Old Style" w:hAnsi="Bookman Old Style"/>
          <w:color w:val="000000" w:themeColor="text1"/>
          <w:lang w:val="es-ES"/>
        </w:rPr>
        <w:t xml:space="preserve"> según </w:t>
      </w:r>
      <w:r w:rsidR="002F197F" w:rsidRPr="4F2A0C3B">
        <w:rPr>
          <w:rFonts w:ascii="Bookman Old Style" w:hAnsi="Bookman Old Style"/>
          <w:color w:val="000000" w:themeColor="text1"/>
          <w:lang w:val="es-ES"/>
        </w:rPr>
        <w:t>la citada</w:t>
      </w:r>
      <w:r w:rsidRPr="4F2A0C3B">
        <w:rPr>
          <w:rFonts w:ascii="Bookman Old Style" w:hAnsi="Bookman Old Style"/>
          <w:color w:val="000000" w:themeColor="text1"/>
          <w:lang w:val="es-ES"/>
        </w:rPr>
        <w:t xml:space="preserve"> ley</w:t>
      </w:r>
      <w:r w:rsidR="00DE232E" w:rsidRPr="4F2A0C3B">
        <w:rPr>
          <w:rFonts w:ascii="Bookman Old Style" w:hAnsi="Bookman Old Style"/>
          <w:color w:val="000000" w:themeColor="text1"/>
          <w:lang w:val="es-ES"/>
        </w:rPr>
        <w:t>,</w:t>
      </w:r>
      <w:r w:rsidRPr="4F2A0C3B">
        <w:rPr>
          <w:rFonts w:ascii="Bookman Old Style" w:hAnsi="Bookman Old Style"/>
          <w:color w:val="000000" w:themeColor="text1"/>
          <w:lang w:val="es-ES"/>
        </w:rPr>
        <w:t xml:space="preserve"> deben orientar el régimen tarifario, para lo cual puede establecer topes máximos y mínimos de tarifas, conforme a los artículos 73.11, 73.22 y 88 de la Ley 142 de 1994.</w:t>
      </w:r>
      <w:r w:rsidR="00BD2B31" w:rsidRPr="4F2A0C3B">
        <w:rPr>
          <w:rFonts w:ascii="Bookman Old Style" w:hAnsi="Bookman Old Style"/>
          <w:color w:val="000000" w:themeColor="text1"/>
          <w:lang w:val="es-ES"/>
        </w:rPr>
        <w:t xml:space="preserve"> Así mismo, </w:t>
      </w:r>
      <w:r w:rsidR="005D0E5C" w:rsidRPr="4F2A0C3B">
        <w:rPr>
          <w:rFonts w:ascii="Bookman Old Style" w:hAnsi="Bookman Old Style"/>
          <w:color w:val="000000" w:themeColor="text1"/>
          <w:lang w:val="es-ES"/>
        </w:rPr>
        <w:t>la definición de estas tarifas debe considerar los criterios tarifarios previstos en el artículo 87 de la Ley 142 de 1994 y la aplicación de estos de acuerdo con cada actividad sujeta a regulación</w:t>
      </w:r>
      <w:r w:rsidR="00E30BF1">
        <w:rPr>
          <w:rFonts w:ascii="Bookman Old Style" w:hAnsi="Bookman Old Style"/>
          <w:color w:val="000000" w:themeColor="text1"/>
          <w:lang w:val="es-ES"/>
        </w:rPr>
        <w:t>.</w:t>
      </w:r>
    </w:p>
    <w:p w14:paraId="2442D680" w14:textId="77777777" w:rsidR="00A13658" w:rsidRPr="00717AFB" w:rsidRDefault="00A13658" w:rsidP="001635F3">
      <w:pPr>
        <w:spacing w:before="100" w:beforeAutospacing="1" w:after="100" w:afterAutospacing="1"/>
        <w:contextualSpacing/>
        <w:jc w:val="both"/>
        <w:rPr>
          <w:rFonts w:ascii="Bookman Old Style" w:hAnsi="Bookman Old Style"/>
          <w:color w:val="000000"/>
          <w:lang w:val="es-ES_tradnl"/>
        </w:rPr>
      </w:pPr>
    </w:p>
    <w:p w14:paraId="46D0F59D" w14:textId="77777777" w:rsidR="008B2EB6" w:rsidRPr="000425BC" w:rsidRDefault="008B2EB6" w:rsidP="00A13658">
      <w:pPr>
        <w:spacing w:before="100" w:beforeAutospacing="1" w:after="100" w:afterAutospacing="1"/>
        <w:contextualSpacing/>
        <w:jc w:val="both"/>
        <w:rPr>
          <w:rFonts w:ascii="Bookman Old Style" w:hAnsi="Bookman Old Style"/>
          <w:lang w:val="es-ES_tradnl"/>
        </w:rPr>
      </w:pPr>
      <w:r w:rsidRPr="000425BC">
        <w:rPr>
          <w:rFonts w:ascii="Bookman Old Style" w:hAnsi="Bookman Old Style"/>
          <w:lang w:val="es-ES_tradnl"/>
        </w:rPr>
        <w:t>En virtud del principio de eficiencia económica definido en el numeral 87.1 del artículo 87 de la Ley 142 de 1994, el régimen de tarifas procurará que éstas se aproximen a lo que serían los precios de un mercado competitivo, esto es, que las fórmulas tarifarias no pueden trasladar a los usuarios los costos de una gestión ineficiente, ni permitir que las empresas se apropien de las utilidades provenientes de prácticas restrictivas de la competencia.</w:t>
      </w:r>
    </w:p>
    <w:p w14:paraId="30A15213" w14:textId="77777777" w:rsidR="00A13658" w:rsidRPr="000425BC" w:rsidRDefault="00A13658" w:rsidP="00A13658">
      <w:pPr>
        <w:spacing w:before="100" w:beforeAutospacing="1" w:after="100" w:afterAutospacing="1"/>
        <w:contextualSpacing/>
        <w:jc w:val="both"/>
        <w:rPr>
          <w:rFonts w:ascii="Bookman Old Style" w:hAnsi="Bookman Old Style"/>
          <w:lang w:val="es-ES_tradnl"/>
        </w:rPr>
      </w:pPr>
    </w:p>
    <w:p w14:paraId="08AD7382" w14:textId="031365A4" w:rsidR="008B2EB6" w:rsidRPr="000425BC" w:rsidRDefault="008B2EB6" w:rsidP="00A13658">
      <w:pPr>
        <w:tabs>
          <w:tab w:val="left" w:pos="-720"/>
        </w:tabs>
        <w:suppressAutoHyphens/>
        <w:spacing w:before="100" w:beforeAutospacing="1" w:after="100" w:afterAutospacing="1"/>
        <w:contextualSpacing/>
        <w:jc w:val="both"/>
        <w:rPr>
          <w:rFonts w:ascii="Bookman Old Style" w:hAnsi="Bookman Old Style"/>
          <w:spacing w:val="-3"/>
          <w:lang w:val="es-ES_tradnl"/>
        </w:rPr>
      </w:pPr>
      <w:r w:rsidRPr="000425BC">
        <w:rPr>
          <w:rFonts w:ascii="Bookman Old Style" w:hAnsi="Bookman Old Style"/>
          <w:spacing w:val="-3"/>
          <w:lang w:val="es-ES_tradnl"/>
        </w:rPr>
        <w:t>En virtud del principio de suficiencia financiera definido en el numeral 87.4 del artículo 87 de la Ley 142 de 1994, se debe garantizar a las empresas eficientes la recuperación de sus costos de inversión y sus gastos de administración, operación y mantenimiento</w:t>
      </w:r>
      <w:r w:rsidR="00B6001D">
        <w:rPr>
          <w:rFonts w:ascii="Bookman Old Style" w:hAnsi="Bookman Old Style"/>
          <w:spacing w:val="-3"/>
          <w:lang w:val="es-ES_tradnl"/>
        </w:rPr>
        <w:t xml:space="preserve">, </w:t>
      </w:r>
      <w:proofErr w:type="spellStart"/>
      <w:r w:rsidRPr="000425BC">
        <w:rPr>
          <w:rFonts w:ascii="Bookman Old Style" w:hAnsi="Bookman Old Style"/>
          <w:spacing w:val="-3"/>
          <w:lang w:val="es-ES_tradnl"/>
        </w:rPr>
        <w:t>AOM</w:t>
      </w:r>
      <w:proofErr w:type="spellEnd"/>
      <w:r w:rsidRPr="000425BC">
        <w:rPr>
          <w:rFonts w:ascii="Bookman Old Style" w:hAnsi="Bookman Old Style"/>
          <w:spacing w:val="-3"/>
          <w:lang w:val="es-ES_tradnl"/>
        </w:rPr>
        <w:t>, y permitir la remuneración del patrimonio de los accionistas en la misma forma en la que lo habría remunerado una empresa eficiente en un sector de riesgo comparable.</w:t>
      </w:r>
    </w:p>
    <w:p w14:paraId="2C50537A" w14:textId="3CC83D4E" w:rsidR="00FA1F09" w:rsidRDefault="00FA1F09" w:rsidP="24AC7611">
      <w:pPr>
        <w:pStyle w:val="Textoindependiente2"/>
        <w:spacing w:before="100" w:beforeAutospacing="1" w:after="100" w:afterAutospacing="1" w:line="240" w:lineRule="auto"/>
        <w:contextualSpacing/>
        <w:rPr>
          <w:color w:val="000000"/>
        </w:rPr>
      </w:pPr>
      <w:r w:rsidRPr="24AC7611">
        <w:rPr>
          <w:color w:val="000000" w:themeColor="text1"/>
        </w:rPr>
        <w:t>El período de vigencia de las fórmulas tarifarias previsto por la Ley 142 de 1994 y los criterios a través de los cuales se fijan las tarifas busca</w:t>
      </w:r>
      <w:r w:rsidR="00EC1B00" w:rsidRPr="24AC7611">
        <w:rPr>
          <w:color w:val="000000" w:themeColor="text1"/>
        </w:rPr>
        <w:t>n</w:t>
      </w:r>
      <w:r w:rsidRPr="24AC7611">
        <w:rPr>
          <w:color w:val="000000" w:themeColor="text1"/>
        </w:rPr>
        <w:t xml:space="preserve"> garantizar la estabilidad en los cargos aprobados, tanto a las empresas como a los usuarios</w:t>
      </w:r>
      <w:r w:rsidR="002B0440" w:rsidRPr="24AC7611">
        <w:rPr>
          <w:color w:val="000000" w:themeColor="text1"/>
        </w:rPr>
        <w:t>.</w:t>
      </w:r>
    </w:p>
    <w:p w14:paraId="08746D53" w14:textId="77777777" w:rsidR="00FC11E8" w:rsidRPr="00717AFB" w:rsidRDefault="00FC11E8" w:rsidP="001635F3">
      <w:pPr>
        <w:pStyle w:val="Textoindependiente2"/>
        <w:spacing w:before="100" w:beforeAutospacing="1" w:after="100" w:afterAutospacing="1" w:line="240" w:lineRule="auto"/>
        <w:contextualSpacing/>
        <w:rPr>
          <w:color w:val="000000"/>
          <w:lang w:val="es-ES_tradnl"/>
        </w:rPr>
      </w:pPr>
    </w:p>
    <w:p w14:paraId="51AA7F27" w14:textId="460775D3" w:rsidR="002917AA" w:rsidRDefault="00463A2C" w:rsidP="001635F3">
      <w:pPr>
        <w:pStyle w:val="Textoindependiente2"/>
        <w:spacing w:before="100" w:beforeAutospacing="1" w:after="100" w:afterAutospacing="1" w:line="240" w:lineRule="auto"/>
        <w:contextualSpacing/>
        <w:rPr>
          <w:color w:val="000000"/>
          <w:lang w:val="es-ES_tradnl"/>
        </w:rPr>
      </w:pPr>
      <w:r w:rsidRPr="00717AFB">
        <w:rPr>
          <w:color w:val="000000"/>
          <w:lang w:val="es-ES_tradnl"/>
        </w:rPr>
        <w:t xml:space="preserve">Mediante la Resolución </w:t>
      </w:r>
      <w:proofErr w:type="spellStart"/>
      <w:r w:rsidRPr="00717AFB">
        <w:rPr>
          <w:color w:val="000000"/>
          <w:lang w:val="es-ES_tradnl"/>
        </w:rPr>
        <w:t>CREG</w:t>
      </w:r>
      <w:proofErr w:type="spellEnd"/>
      <w:r w:rsidRPr="00717AFB">
        <w:rPr>
          <w:color w:val="000000"/>
          <w:lang w:val="es-ES_tradnl"/>
        </w:rPr>
        <w:t xml:space="preserve"> 175 de 2021</w:t>
      </w:r>
      <w:r w:rsidR="002B0440">
        <w:rPr>
          <w:color w:val="000000"/>
          <w:lang w:val="es-ES_tradnl"/>
        </w:rPr>
        <w:t>,</w:t>
      </w:r>
      <w:r w:rsidR="00ED05FA" w:rsidRPr="00717AFB">
        <w:rPr>
          <w:color w:val="000000"/>
          <w:lang w:val="es-ES_tradnl"/>
        </w:rPr>
        <w:t xml:space="preserve"> la </w:t>
      </w:r>
      <w:proofErr w:type="spellStart"/>
      <w:r w:rsidR="00ED05FA" w:rsidRPr="00717AFB">
        <w:rPr>
          <w:color w:val="000000"/>
          <w:lang w:val="es-ES_tradnl"/>
        </w:rPr>
        <w:t>CREG</w:t>
      </w:r>
      <w:proofErr w:type="spellEnd"/>
      <w:r w:rsidR="00ED05FA" w:rsidRPr="00717AFB">
        <w:rPr>
          <w:color w:val="000000"/>
          <w:lang w:val="es-ES_tradnl"/>
        </w:rPr>
        <w:t xml:space="preserve"> estableció </w:t>
      </w:r>
      <w:r w:rsidR="00AE5423" w:rsidRPr="00717AFB">
        <w:rPr>
          <w:color w:val="000000"/>
          <w:lang w:val="es-ES_tradnl"/>
        </w:rPr>
        <w:t>los criterios generales para la remuneración del servicio de transporte de gas natural y el esquema general de cargos del Sistema Nacional de Transporte</w:t>
      </w:r>
      <w:r w:rsidR="00AA73C8" w:rsidRPr="00717AFB">
        <w:rPr>
          <w:color w:val="000000"/>
          <w:lang w:val="es-ES_tradnl"/>
        </w:rPr>
        <w:t>.</w:t>
      </w:r>
    </w:p>
    <w:p w14:paraId="366BC583" w14:textId="77777777" w:rsidR="00A13658" w:rsidRDefault="00A13658" w:rsidP="001635F3">
      <w:pPr>
        <w:pStyle w:val="Textoindependiente2"/>
        <w:spacing w:before="100" w:beforeAutospacing="1" w:after="100" w:afterAutospacing="1" w:line="240" w:lineRule="auto"/>
        <w:contextualSpacing/>
        <w:rPr>
          <w:color w:val="000000"/>
          <w:lang w:val="es-ES_tradnl"/>
        </w:rPr>
      </w:pPr>
    </w:p>
    <w:p w14:paraId="1B7FF75E" w14:textId="192171F7" w:rsidR="00B06930" w:rsidRDefault="00B06930" w:rsidP="001635F3">
      <w:pPr>
        <w:pStyle w:val="Textoindependiente2"/>
        <w:spacing w:before="100" w:beforeAutospacing="1" w:after="100" w:afterAutospacing="1" w:line="240" w:lineRule="auto"/>
        <w:contextualSpacing/>
        <w:rPr>
          <w:color w:val="000000" w:themeColor="text1"/>
        </w:rPr>
      </w:pPr>
      <w:r w:rsidRPr="745E8C7D">
        <w:rPr>
          <w:color w:val="000000" w:themeColor="text1"/>
        </w:rPr>
        <w:t xml:space="preserve">Mediante las Resoluciones </w:t>
      </w:r>
      <w:proofErr w:type="spellStart"/>
      <w:r w:rsidRPr="745E8C7D">
        <w:rPr>
          <w:color w:val="000000" w:themeColor="text1"/>
        </w:rPr>
        <w:t>CREG</w:t>
      </w:r>
      <w:proofErr w:type="spellEnd"/>
      <w:r w:rsidRPr="745E8C7D">
        <w:rPr>
          <w:color w:val="000000" w:themeColor="text1"/>
        </w:rPr>
        <w:t xml:space="preserve"> 102 001, 102 005</w:t>
      </w:r>
      <w:r w:rsidR="00540BB3">
        <w:rPr>
          <w:color w:val="000000" w:themeColor="text1"/>
        </w:rPr>
        <w:t>,</w:t>
      </w:r>
      <w:r w:rsidRPr="745E8C7D">
        <w:rPr>
          <w:color w:val="000000" w:themeColor="text1"/>
        </w:rPr>
        <w:t xml:space="preserve"> 102 006</w:t>
      </w:r>
      <w:r w:rsidR="00540BB3">
        <w:rPr>
          <w:color w:val="000000" w:themeColor="text1"/>
        </w:rPr>
        <w:t xml:space="preserve"> y 102 010 de 2022</w:t>
      </w:r>
      <w:r w:rsidRPr="745E8C7D">
        <w:rPr>
          <w:color w:val="000000" w:themeColor="text1"/>
        </w:rPr>
        <w:t xml:space="preserve"> se han modificado aspectos de la </w:t>
      </w:r>
      <w:r w:rsidRPr="007375CA">
        <w:rPr>
          <w:color w:val="000000" w:themeColor="text1"/>
        </w:rPr>
        <w:t xml:space="preserve">Resolución </w:t>
      </w:r>
      <w:proofErr w:type="spellStart"/>
      <w:r w:rsidRPr="007375CA">
        <w:rPr>
          <w:color w:val="000000" w:themeColor="text1"/>
        </w:rPr>
        <w:t>CREG</w:t>
      </w:r>
      <w:proofErr w:type="spellEnd"/>
      <w:r w:rsidRPr="007375CA">
        <w:rPr>
          <w:color w:val="000000" w:themeColor="text1"/>
        </w:rPr>
        <w:t xml:space="preserve"> 175 de 2021</w:t>
      </w:r>
      <w:r>
        <w:rPr>
          <w:color w:val="000000" w:themeColor="text1"/>
        </w:rPr>
        <w:t>,</w:t>
      </w:r>
      <w:r w:rsidRPr="745E8C7D">
        <w:rPr>
          <w:color w:val="000000" w:themeColor="text1"/>
        </w:rPr>
        <w:t xml:space="preserve"> sin incorporar cambios en su formulación.</w:t>
      </w:r>
    </w:p>
    <w:p w14:paraId="0D82B1EA" w14:textId="77777777" w:rsidR="00A13658" w:rsidRDefault="00A13658" w:rsidP="001635F3">
      <w:pPr>
        <w:pStyle w:val="Textoindependiente2"/>
        <w:spacing w:before="100" w:beforeAutospacing="1" w:after="100" w:afterAutospacing="1" w:line="240" w:lineRule="auto"/>
        <w:contextualSpacing/>
        <w:rPr>
          <w:color w:val="000000" w:themeColor="text1"/>
        </w:rPr>
      </w:pPr>
    </w:p>
    <w:p w14:paraId="331DC542" w14:textId="1A2EF0B7" w:rsidR="00CB7691" w:rsidRPr="00947662" w:rsidRDefault="00CB7691" w:rsidP="001635F3">
      <w:pPr>
        <w:pStyle w:val="Textoindependiente2"/>
        <w:spacing w:before="100" w:beforeAutospacing="1" w:after="100" w:afterAutospacing="1" w:line="240" w:lineRule="auto"/>
        <w:contextualSpacing/>
        <w:rPr>
          <w:color w:val="000000"/>
          <w:lang w:val="es-CO"/>
        </w:rPr>
      </w:pPr>
      <w:r w:rsidRPr="00CB7691">
        <w:rPr>
          <w:color w:val="000000" w:themeColor="text1"/>
        </w:rPr>
        <w:t xml:space="preserve">El período tarifario regulado por la Resolución 175 de 2021 inició a partir de </w:t>
      </w:r>
      <w:r w:rsidRPr="00947662">
        <w:rPr>
          <w:color w:val="000000"/>
          <w:lang w:val="es-CO"/>
        </w:rPr>
        <w:t>la entrada en vigor de esta resolución, es decir</w:t>
      </w:r>
      <w:r w:rsidR="00B6001D" w:rsidRPr="00947662">
        <w:rPr>
          <w:color w:val="000000"/>
          <w:lang w:val="es-CO"/>
        </w:rPr>
        <w:t>,</w:t>
      </w:r>
      <w:r w:rsidRPr="00947662">
        <w:rPr>
          <w:color w:val="000000"/>
          <w:lang w:val="es-CO"/>
        </w:rPr>
        <w:t xml:space="preserve"> a partir del 24 de noviembre de 2021, con una duración de cinco años.</w:t>
      </w:r>
    </w:p>
    <w:p w14:paraId="618682B2" w14:textId="77777777" w:rsidR="009F7361" w:rsidRPr="00947662" w:rsidRDefault="009F7361" w:rsidP="001635F3">
      <w:pPr>
        <w:pStyle w:val="Textoindependiente2"/>
        <w:spacing w:before="100" w:beforeAutospacing="1" w:after="100" w:afterAutospacing="1" w:line="240" w:lineRule="auto"/>
        <w:contextualSpacing/>
        <w:rPr>
          <w:color w:val="000000"/>
          <w:lang w:val="es-CO"/>
        </w:rPr>
      </w:pPr>
    </w:p>
    <w:p w14:paraId="4502581A" w14:textId="665F2BDE" w:rsidR="00881BDE" w:rsidRDefault="00881BDE" w:rsidP="00B13187">
      <w:pPr>
        <w:pStyle w:val="Textoindependiente2"/>
        <w:spacing w:before="100" w:beforeAutospacing="1" w:after="100" w:afterAutospacing="1" w:line="240" w:lineRule="auto"/>
        <w:contextualSpacing/>
        <w:rPr>
          <w:color w:val="000000"/>
          <w:lang w:val="es-CO"/>
        </w:rPr>
      </w:pPr>
      <w:r w:rsidRPr="00947662">
        <w:rPr>
          <w:color w:val="000000"/>
          <w:lang w:val="es-CO"/>
        </w:rPr>
        <w:t xml:space="preserve">Dentro del periodo de vigencia las empresas </w:t>
      </w:r>
      <w:proofErr w:type="spellStart"/>
      <w:r w:rsidRPr="00947662">
        <w:rPr>
          <w:color w:val="000000"/>
          <w:lang w:val="es-CO"/>
        </w:rPr>
        <w:t>TGI</w:t>
      </w:r>
      <w:proofErr w:type="spellEnd"/>
      <w:r w:rsidRPr="00947662">
        <w:rPr>
          <w:color w:val="000000"/>
          <w:lang w:val="es-CO"/>
        </w:rPr>
        <w:t xml:space="preserve"> S.A. E.S.P. y Grupo de Energía de Bogotá; </w:t>
      </w:r>
      <w:proofErr w:type="spellStart"/>
      <w:r w:rsidRPr="00947662">
        <w:rPr>
          <w:color w:val="000000"/>
          <w:lang w:val="es-CO"/>
        </w:rPr>
        <w:t>Vanti</w:t>
      </w:r>
      <w:proofErr w:type="spellEnd"/>
      <w:r w:rsidRPr="00947662">
        <w:rPr>
          <w:color w:val="000000"/>
          <w:lang w:val="es-CO"/>
        </w:rPr>
        <w:t xml:space="preserve"> S.A. E.S.P., la Asociación Colombiana de Grandes Consumidores de Energía Industriales y Comerciales, </w:t>
      </w:r>
      <w:proofErr w:type="spellStart"/>
      <w:r w:rsidRPr="00947662">
        <w:rPr>
          <w:color w:val="000000"/>
          <w:lang w:val="es-CO"/>
        </w:rPr>
        <w:t>ASOENERGÍA</w:t>
      </w:r>
      <w:proofErr w:type="spellEnd"/>
      <w:r w:rsidRPr="00947662">
        <w:rPr>
          <w:color w:val="000000"/>
          <w:lang w:val="es-CO"/>
        </w:rPr>
        <w:t xml:space="preserve">, y la Asociación Colombiana del Petróleo y Gas, </w:t>
      </w:r>
      <w:proofErr w:type="spellStart"/>
      <w:r w:rsidRPr="00947662">
        <w:rPr>
          <w:color w:val="000000"/>
          <w:lang w:val="es-CO"/>
        </w:rPr>
        <w:t>ACP</w:t>
      </w:r>
      <w:proofErr w:type="spellEnd"/>
      <w:r w:rsidRPr="00947662">
        <w:rPr>
          <w:color w:val="000000"/>
          <w:lang w:val="es-CO"/>
        </w:rPr>
        <w:t>, solicitaron la modificación de la Resolución </w:t>
      </w:r>
      <w:hyperlink r:id="rId12" w:anchor="0" w:tgtFrame="_blank" w:history="1">
        <w:r w:rsidRPr="00947662">
          <w:rPr>
            <w:color w:val="000000"/>
            <w:lang w:val="es-CO"/>
          </w:rPr>
          <w:t>175</w:t>
        </w:r>
      </w:hyperlink>
      <w:r w:rsidRPr="00947662">
        <w:rPr>
          <w:color w:val="000000"/>
          <w:lang w:val="es-CO"/>
        </w:rPr>
        <w:t> de 2021, fundamentadas en la facultad de la CREG para modificar excepcionalmente las fórmulas tarifarias, por las causales establecidas en el artículo </w:t>
      </w:r>
      <w:hyperlink r:id="rId13" w:anchor="126" w:tgtFrame="_blank" w:history="1">
        <w:r w:rsidRPr="00947662">
          <w:rPr>
            <w:color w:val="000000"/>
            <w:lang w:val="es-CO"/>
          </w:rPr>
          <w:t>126</w:t>
        </w:r>
      </w:hyperlink>
      <w:r w:rsidRPr="00947662">
        <w:rPr>
          <w:color w:val="000000"/>
          <w:lang w:val="es-CO"/>
        </w:rPr>
        <w:t> de la Ley 142 de 1994, modificado por el artículo </w:t>
      </w:r>
      <w:hyperlink r:id="rId14" w:anchor="52" w:tgtFrame="_blank" w:history="1">
        <w:r w:rsidRPr="00947662">
          <w:rPr>
            <w:color w:val="000000"/>
            <w:lang w:val="es-CO"/>
          </w:rPr>
          <w:t>52</w:t>
        </w:r>
      </w:hyperlink>
      <w:r w:rsidRPr="00947662">
        <w:rPr>
          <w:color w:val="000000"/>
          <w:lang w:val="es-CO"/>
        </w:rPr>
        <w:t> de la Ley 2099 de 2021.</w:t>
      </w:r>
    </w:p>
    <w:p w14:paraId="51949CF1" w14:textId="77777777" w:rsidR="00881BDE" w:rsidRPr="00947662" w:rsidRDefault="00881BDE" w:rsidP="00947662">
      <w:pPr>
        <w:pStyle w:val="Textoindependiente2"/>
        <w:spacing w:before="100" w:beforeAutospacing="1" w:after="100" w:afterAutospacing="1" w:line="240" w:lineRule="auto"/>
        <w:contextualSpacing/>
        <w:rPr>
          <w:color w:val="000000"/>
        </w:rPr>
      </w:pPr>
    </w:p>
    <w:p w14:paraId="05FAC826" w14:textId="2C7B9550" w:rsidR="00881BDE" w:rsidRPr="00947662" w:rsidRDefault="00881BDE" w:rsidP="00947662">
      <w:pPr>
        <w:pStyle w:val="Textoindependiente2"/>
        <w:spacing w:before="100" w:beforeAutospacing="1" w:after="100" w:afterAutospacing="1" w:line="240" w:lineRule="auto"/>
        <w:contextualSpacing/>
        <w:rPr>
          <w:color w:val="000000"/>
        </w:rPr>
      </w:pPr>
      <w:r w:rsidRPr="00947662">
        <w:rPr>
          <w:color w:val="000000"/>
          <w:lang w:val="es-CO"/>
        </w:rPr>
        <w:lastRenderedPageBreak/>
        <w:t xml:space="preserve">Las mencionadas peticiones son unas solicitudes particulares, </w:t>
      </w:r>
      <w:r w:rsidR="006334D5">
        <w:rPr>
          <w:color w:val="000000"/>
          <w:lang w:val="es-CO"/>
        </w:rPr>
        <w:t>de</w:t>
      </w:r>
      <w:r w:rsidR="006334D5" w:rsidRPr="00947662">
        <w:rPr>
          <w:color w:val="000000"/>
          <w:lang w:val="es-CO"/>
        </w:rPr>
        <w:t xml:space="preserve"> </w:t>
      </w:r>
      <w:r w:rsidRPr="00947662">
        <w:rPr>
          <w:color w:val="000000"/>
          <w:lang w:val="es-CO"/>
        </w:rPr>
        <w:t>interés general, toda vez que persiguen la modificación de una metodología de carácter general en virtud de la cual se establecieron los criterios para remunerar la actividad de transporte de gas natural, la cual le es aplicable a todos los agentes que desarrollen dicha actividad.</w:t>
      </w:r>
    </w:p>
    <w:p w14:paraId="39125CC6" w14:textId="77777777" w:rsidR="00A13658" w:rsidRDefault="00A13658" w:rsidP="001635F3">
      <w:pPr>
        <w:pStyle w:val="Textoindependiente2"/>
        <w:spacing w:before="100" w:beforeAutospacing="1" w:after="100" w:afterAutospacing="1" w:line="240" w:lineRule="auto"/>
        <w:contextualSpacing/>
        <w:rPr>
          <w:color w:val="000000" w:themeColor="text1"/>
        </w:rPr>
      </w:pPr>
    </w:p>
    <w:p w14:paraId="7E809204" w14:textId="15D54F70" w:rsidR="006239E8" w:rsidRDefault="001179E3" w:rsidP="00A13658">
      <w:pPr>
        <w:pStyle w:val="Textoindependiente2"/>
        <w:spacing w:before="100" w:beforeAutospacing="1" w:after="100" w:afterAutospacing="1" w:line="240" w:lineRule="auto"/>
        <w:contextualSpacing/>
        <w:rPr>
          <w:color w:val="000000"/>
          <w:lang w:val="es-CO"/>
        </w:rPr>
      </w:pPr>
      <w:r>
        <w:rPr>
          <w:color w:val="000000"/>
          <w:lang w:val="es-CO"/>
        </w:rPr>
        <w:t>L</w:t>
      </w:r>
      <w:r w:rsidR="006239E8">
        <w:rPr>
          <w:color w:val="000000"/>
          <w:lang w:val="es-CO"/>
        </w:rPr>
        <w:t>a Comisión consignó las solicitudes en el expediente 2022-0016</w:t>
      </w:r>
      <w:r w:rsidR="00B6001D">
        <w:rPr>
          <w:color w:val="000000"/>
          <w:lang w:val="es-CO"/>
        </w:rPr>
        <w:t>,</w:t>
      </w:r>
      <w:r w:rsidR="006239E8">
        <w:rPr>
          <w:color w:val="000000"/>
          <w:lang w:val="es-CO"/>
        </w:rPr>
        <w:t xml:space="preserve"> con el objeto de decidir sobre la procedencia de la aplicación del artículo 126 de la Ley 142 de 1994, respecto de las solicitudes de modificación presentadas. </w:t>
      </w:r>
    </w:p>
    <w:p w14:paraId="47DC84D4" w14:textId="77777777" w:rsidR="00A13658" w:rsidRDefault="00A13658" w:rsidP="00A13658">
      <w:pPr>
        <w:pStyle w:val="Textoindependiente2"/>
        <w:spacing w:before="100" w:beforeAutospacing="1" w:after="100" w:afterAutospacing="1" w:line="240" w:lineRule="auto"/>
        <w:contextualSpacing/>
        <w:rPr>
          <w:color w:val="000000"/>
          <w:lang w:val="es-CO"/>
        </w:rPr>
      </w:pPr>
    </w:p>
    <w:p w14:paraId="3E8E1FB2" w14:textId="7D00D3C6" w:rsidR="00C02898" w:rsidRDefault="00B45AF8" w:rsidP="00A13658">
      <w:pPr>
        <w:pStyle w:val="Textoindependiente2"/>
        <w:spacing w:before="100" w:beforeAutospacing="1" w:after="100" w:afterAutospacing="1" w:line="240" w:lineRule="auto"/>
        <w:contextualSpacing/>
        <w:rPr>
          <w:color w:val="000000" w:themeColor="text1"/>
          <w:lang w:val="es-CO"/>
        </w:rPr>
      </w:pPr>
      <w:r>
        <w:rPr>
          <w:color w:val="000000" w:themeColor="text1"/>
          <w:lang w:val="es-CO"/>
        </w:rPr>
        <w:t xml:space="preserve">En aras de comprender las peticiones que </w:t>
      </w:r>
      <w:r w:rsidR="00611A1E">
        <w:rPr>
          <w:color w:val="000000" w:themeColor="text1"/>
          <w:lang w:val="es-CO"/>
        </w:rPr>
        <w:t>la CREG recibió para modificar la Resolución CREG 175 de 2021, e</w:t>
      </w:r>
      <w:r w:rsidR="00C02898">
        <w:rPr>
          <w:color w:val="000000" w:themeColor="text1"/>
          <w:lang w:val="es-CO"/>
        </w:rPr>
        <w:t xml:space="preserve">l 22 de septiembre de 2022, el Comité de expertos citó de manera virtual a las empresas </w:t>
      </w:r>
      <w:proofErr w:type="spellStart"/>
      <w:r w:rsidR="00C02898">
        <w:rPr>
          <w:color w:val="000000" w:themeColor="text1"/>
          <w:lang w:val="es-CO"/>
        </w:rPr>
        <w:t>TGI</w:t>
      </w:r>
      <w:proofErr w:type="spellEnd"/>
      <w:r w:rsidR="00611A1E">
        <w:rPr>
          <w:color w:val="000000" w:themeColor="text1"/>
          <w:lang w:val="es-CO"/>
        </w:rPr>
        <w:t xml:space="preserve"> S.A.</w:t>
      </w:r>
      <w:r w:rsidR="00B6001D">
        <w:rPr>
          <w:color w:val="000000" w:themeColor="text1"/>
          <w:lang w:val="es-CO"/>
        </w:rPr>
        <w:t xml:space="preserve"> </w:t>
      </w:r>
      <w:r w:rsidR="00611A1E">
        <w:rPr>
          <w:color w:val="000000" w:themeColor="text1"/>
          <w:lang w:val="es-CO"/>
        </w:rPr>
        <w:t>E.S.P.</w:t>
      </w:r>
      <w:r w:rsidR="00C02898">
        <w:rPr>
          <w:color w:val="000000" w:themeColor="text1"/>
          <w:lang w:val="es-CO"/>
        </w:rPr>
        <w:t xml:space="preserve">, </w:t>
      </w:r>
      <w:proofErr w:type="spellStart"/>
      <w:r w:rsidR="00C02898">
        <w:rPr>
          <w:color w:val="000000" w:themeColor="text1"/>
          <w:lang w:val="es-CO"/>
        </w:rPr>
        <w:t>Vanti</w:t>
      </w:r>
      <w:proofErr w:type="spellEnd"/>
      <w:r w:rsidR="00611A1E">
        <w:rPr>
          <w:color w:val="000000" w:themeColor="text1"/>
          <w:lang w:val="es-CO"/>
        </w:rPr>
        <w:t xml:space="preserve"> S.A.</w:t>
      </w:r>
      <w:r w:rsidR="0021287B">
        <w:rPr>
          <w:color w:val="000000" w:themeColor="text1"/>
          <w:lang w:val="es-CO"/>
        </w:rPr>
        <w:t xml:space="preserve"> E.S.P.</w:t>
      </w:r>
      <w:r w:rsidR="00C02898">
        <w:rPr>
          <w:color w:val="000000" w:themeColor="text1"/>
          <w:lang w:val="es-CO"/>
        </w:rPr>
        <w:t xml:space="preserve"> y, en conjunto a las </w:t>
      </w:r>
      <w:r w:rsidR="0040397D">
        <w:rPr>
          <w:color w:val="000000" w:themeColor="text1"/>
          <w:lang w:val="es-CO"/>
        </w:rPr>
        <w:t>as</w:t>
      </w:r>
      <w:r w:rsidR="002374A3">
        <w:rPr>
          <w:color w:val="000000" w:themeColor="text1"/>
          <w:lang w:val="es-CO"/>
        </w:rPr>
        <w:t xml:space="preserve">ociaciones </w:t>
      </w:r>
      <w:proofErr w:type="spellStart"/>
      <w:r w:rsidR="00C02898">
        <w:rPr>
          <w:color w:val="000000" w:themeColor="text1"/>
          <w:lang w:val="es-CO"/>
        </w:rPr>
        <w:t>ACP</w:t>
      </w:r>
      <w:proofErr w:type="spellEnd"/>
      <w:r w:rsidR="00C02898">
        <w:rPr>
          <w:color w:val="000000" w:themeColor="text1"/>
          <w:lang w:val="es-CO"/>
        </w:rPr>
        <w:t xml:space="preserve"> y </w:t>
      </w:r>
      <w:proofErr w:type="spellStart"/>
      <w:r w:rsidR="00C02898">
        <w:rPr>
          <w:color w:val="000000" w:themeColor="text1"/>
          <w:lang w:val="es-CO"/>
        </w:rPr>
        <w:t>Asoenergía</w:t>
      </w:r>
      <w:proofErr w:type="spellEnd"/>
      <w:r w:rsidR="00C02898">
        <w:rPr>
          <w:color w:val="000000" w:themeColor="text1"/>
          <w:lang w:val="es-CO"/>
        </w:rPr>
        <w:t>, para que expusieran sus argumentos de solicitud de revisión de la Resolución CREG 175 de 2021.</w:t>
      </w:r>
    </w:p>
    <w:p w14:paraId="67120F0E" w14:textId="77777777" w:rsidR="003B5969" w:rsidRDefault="003B5969" w:rsidP="00A13658">
      <w:pPr>
        <w:pStyle w:val="Textoindependiente2"/>
        <w:spacing w:before="100" w:beforeAutospacing="1" w:after="100" w:afterAutospacing="1" w:line="240" w:lineRule="auto"/>
        <w:contextualSpacing/>
        <w:rPr>
          <w:color w:val="000000" w:themeColor="text1"/>
          <w:lang w:val="es-CO"/>
        </w:rPr>
      </w:pPr>
    </w:p>
    <w:p w14:paraId="0CF217F7" w14:textId="0362EB6C" w:rsidR="00C02898" w:rsidRDefault="0047227F" w:rsidP="00BE159F">
      <w:pPr>
        <w:pStyle w:val="Textoindependiente2"/>
        <w:spacing w:after="0" w:line="240" w:lineRule="auto"/>
        <w:contextualSpacing/>
        <w:rPr>
          <w:color w:val="000000" w:themeColor="text1"/>
          <w:lang w:val="es-CO"/>
        </w:rPr>
      </w:pPr>
      <w:r>
        <w:rPr>
          <w:color w:val="000000" w:themeColor="text1"/>
          <w:lang w:val="es-CO"/>
        </w:rPr>
        <w:t>Por otra parte, m</w:t>
      </w:r>
      <w:r w:rsidRPr="76269B3D">
        <w:rPr>
          <w:color w:val="000000" w:themeColor="text1"/>
          <w:lang w:val="es-CO"/>
        </w:rPr>
        <w:t xml:space="preserve">ediante la comunicación </w:t>
      </w:r>
      <w:r w:rsidR="00CB7691">
        <w:rPr>
          <w:color w:val="000000" w:themeColor="text1"/>
          <w:lang w:val="es-CO"/>
        </w:rPr>
        <w:t xml:space="preserve">con radicado </w:t>
      </w:r>
      <w:r w:rsidRPr="76269B3D">
        <w:rPr>
          <w:color w:val="000000" w:themeColor="text1"/>
          <w:lang w:val="es-CO"/>
        </w:rPr>
        <w:t>E</w:t>
      </w:r>
      <w:r w:rsidR="00B6001D">
        <w:rPr>
          <w:color w:val="000000" w:themeColor="text1"/>
          <w:lang w:val="es-CO"/>
        </w:rPr>
        <w:t>-</w:t>
      </w:r>
      <w:r w:rsidRPr="76269B3D">
        <w:rPr>
          <w:color w:val="000000" w:themeColor="text1"/>
          <w:lang w:val="es-CO"/>
        </w:rPr>
        <w:t>2022</w:t>
      </w:r>
      <w:r w:rsidR="00B6001D">
        <w:rPr>
          <w:color w:val="000000" w:themeColor="text1"/>
          <w:lang w:val="es-CO"/>
        </w:rPr>
        <w:t>-</w:t>
      </w:r>
      <w:r w:rsidRPr="76269B3D">
        <w:rPr>
          <w:color w:val="000000" w:themeColor="text1"/>
          <w:lang w:val="es-CO"/>
        </w:rPr>
        <w:t>014303</w:t>
      </w:r>
      <w:r>
        <w:rPr>
          <w:color w:val="000000" w:themeColor="text1"/>
          <w:lang w:val="es-CO"/>
        </w:rPr>
        <w:t>,</w:t>
      </w:r>
      <w:r w:rsidRPr="76269B3D">
        <w:rPr>
          <w:color w:val="000000" w:themeColor="text1"/>
          <w:lang w:val="es-CO"/>
        </w:rPr>
        <w:t xml:space="preserve"> Promigas S.A. E.S.P. solicitó ser parte interesada en la actuación administrativa del expediente CREG 2022 0016 iniciada por </w:t>
      </w:r>
      <w:proofErr w:type="spellStart"/>
      <w:r w:rsidRPr="76269B3D">
        <w:rPr>
          <w:color w:val="000000" w:themeColor="text1"/>
          <w:lang w:val="es-CO"/>
        </w:rPr>
        <w:t>TGI</w:t>
      </w:r>
      <w:proofErr w:type="spellEnd"/>
      <w:r w:rsidRPr="76269B3D">
        <w:rPr>
          <w:color w:val="000000" w:themeColor="text1"/>
          <w:lang w:val="es-CO"/>
        </w:rPr>
        <w:t xml:space="preserve"> S.A. E.S.P., solicitud que </w:t>
      </w:r>
      <w:r w:rsidR="00B6001D">
        <w:rPr>
          <w:color w:val="000000" w:themeColor="text1"/>
          <w:lang w:val="es-CO"/>
        </w:rPr>
        <w:t xml:space="preserve">tuvo respuesta </w:t>
      </w:r>
      <w:r w:rsidRPr="76269B3D">
        <w:rPr>
          <w:color w:val="000000" w:themeColor="text1"/>
          <w:lang w:val="es-CO"/>
        </w:rPr>
        <w:t xml:space="preserve">mediante el </w:t>
      </w:r>
      <w:r w:rsidRPr="000B6CB8">
        <w:rPr>
          <w:color w:val="000000" w:themeColor="text1"/>
          <w:lang w:val="es-CO"/>
        </w:rPr>
        <w:t>comunicado CREG S2022005948</w:t>
      </w:r>
      <w:r>
        <w:rPr>
          <w:color w:val="000000" w:themeColor="text1"/>
          <w:lang w:val="es-CO"/>
        </w:rPr>
        <w:t>,</w:t>
      </w:r>
      <w:r w:rsidRPr="000B6CB8">
        <w:rPr>
          <w:color w:val="000000" w:themeColor="text1"/>
          <w:lang w:val="es-CO"/>
        </w:rPr>
        <w:t xml:space="preserve"> de</w:t>
      </w:r>
      <w:r>
        <w:rPr>
          <w:color w:val="000000" w:themeColor="text1"/>
          <w:lang w:val="es-CO"/>
        </w:rPr>
        <w:t xml:space="preserve"> fecha </w:t>
      </w:r>
      <w:r w:rsidRPr="000B6CB8">
        <w:rPr>
          <w:color w:val="000000" w:themeColor="text1"/>
          <w:lang w:val="es-CO"/>
        </w:rPr>
        <w:t>2 de diciembre</w:t>
      </w:r>
      <w:r>
        <w:rPr>
          <w:color w:val="000000" w:themeColor="text1"/>
          <w:lang w:val="es-CO"/>
        </w:rPr>
        <w:t xml:space="preserve"> de 2022</w:t>
      </w:r>
      <w:r w:rsidRPr="76269B3D">
        <w:rPr>
          <w:color w:val="000000" w:themeColor="text1"/>
          <w:lang w:val="es-CO"/>
        </w:rPr>
        <w:t>, en el sentido de señalar que el análisis de</w:t>
      </w:r>
      <w:r w:rsidR="00B6001D">
        <w:rPr>
          <w:color w:val="000000" w:themeColor="text1"/>
          <w:lang w:val="es-CO"/>
        </w:rPr>
        <w:t xml:space="preserve"> las </w:t>
      </w:r>
      <w:r w:rsidRPr="76269B3D">
        <w:rPr>
          <w:color w:val="000000" w:themeColor="text1"/>
          <w:lang w:val="es-CO"/>
        </w:rPr>
        <w:t>solicitudes de modificación de la metodología descrita en la Resolución CREG 175 de 2021 conforme al artículo 126 de la Ley 142 de 1994, se realiza en el marco de una actuación de carácter general</w:t>
      </w:r>
      <w:r>
        <w:rPr>
          <w:color w:val="000000" w:themeColor="text1"/>
          <w:lang w:val="es-CO"/>
        </w:rPr>
        <w:t>, el cual seguirá el procedimiento para la expedición de este tipo de actos, cumpliendo con los procesos de consulta, análisis de comentarios, procesos de aprobación y resolución definitiva</w:t>
      </w:r>
      <w:r w:rsidR="00FB4974">
        <w:rPr>
          <w:color w:val="000000" w:themeColor="text1"/>
          <w:lang w:val="es-CO"/>
        </w:rPr>
        <w:t>.</w:t>
      </w:r>
    </w:p>
    <w:p w14:paraId="411FAE86" w14:textId="77777777" w:rsidR="00FB4974" w:rsidRDefault="00FB4974" w:rsidP="00F03C94">
      <w:pPr>
        <w:pStyle w:val="Textoindependiente2"/>
        <w:spacing w:after="0" w:line="240" w:lineRule="auto"/>
        <w:ind w:left="142"/>
        <w:contextualSpacing/>
        <w:rPr>
          <w:color w:val="000000" w:themeColor="text1"/>
          <w:lang w:val="es-CO"/>
        </w:rPr>
      </w:pPr>
    </w:p>
    <w:p w14:paraId="18DC9A75" w14:textId="1173D770" w:rsidR="00C678F3" w:rsidRDefault="00D20ADA" w:rsidP="00BE159F">
      <w:pPr>
        <w:jc w:val="both"/>
        <w:rPr>
          <w:rFonts w:ascii="Bookman Old Style" w:hAnsi="Bookman Old Style" w:cs="Arial"/>
          <w:color w:val="000000"/>
        </w:rPr>
      </w:pPr>
      <w:r w:rsidRPr="00677004">
        <w:rPr>
          <w:rFonts w:ascii="Bookman Old Style" w:hAnsi="Bookman Old Style" w:cs="Arial"/>
          <w:bCs/>
          <w:color w:val="000000"/>
        </w:rPr>
        <w:t>La Comisión de Regulación de Energía y Gas, en su sesión 1221 de</w:t>
      </w:r>
      <w:r w:rsidRPr="002821CE">
        <w:rPr>
          <w:rFonts w:ascii="Bookman Old Style" w:hAnsi="Bookman Old Style" w:cs="Arial"/>
          <w:bCs/>
          <w:color w:val="000000"/>
        </w:rPr>
        <w:t xml:space="preserve"> 2022, </w:t>
      </w:r>
      <w:r w:rsidRPr="00F22DD5">
        <w:rPr>
          <w:rFonts w:ascii="Bookman Old Style" w:hAnsi="Bookman Old Style" w:cs="Arial"/>
        </w:rPr>
        <w:t>aprobó someter a consulta pública el proyecto de resolución</w:t>
      </w:r>
      <w:r>
        <w:rPr>
          <w:rFonts w:ascii="Bookman Old Style" w:hAnsi="Bookman Old Style" w:cs="Arial"/>
        </w:rPr>
        <w:t xml:space="preserve"> </w:t>
      </w:r>
      <w:r w:rsidR="00DD4FC1">
        <w:rPr>
          <w:rFonts w:ascii="Bookman Old Style" w:hAnsi="Bookman Old Style" w:cs="Arial"/>
        </w:rPr>
        <w:t>702 009</w:t>
      </w:r>
      <w:r>
        <w:rPr>
          <w:rFonts w:ascii="Bookman Old Style" w:hAnsi="Bookman Old Style" w:cs="Arial"/>
        </w:rPr>
        <w:t xml:space="preserve"> de </w:t>
      </w:r>
      <w:r w:rsidR="00DD4FC1">
        <w:rPr>
          <w:rFonts w:ascii="Bookman Old Style" w:hAnsi="Bookman Old Style" w:cs="Arial"/>
        </w:rPr>
        <w:t>202</w:t>
      </w:r>
      <w:r w:rsidR="00E103CC">
        <w:rPr>
          <w:rFonts w:ascii="Bookman Old Style" w:hAnsi="Bookman Old Style" w:cs="Arial"/>
        </w:rPr>
        <w:t>2</w:t>
      </w:r>
      <w:r w:rsidR="00DD4FC1">
        <w:rPr>
          <w:rFonts w:ascii="Bookman Old Style" w:hAnsi="Bookman Old Style" w:cs="Arial"/>
        </w:rPr>
        <w:t xml:space="preserve">, </w:t>
      </w:r>
      <w:r w:rsidR="00C678F3" w:rsidRPr="004A20C5">
        <w:rPr>
          <w:rFonts w:ascii="Bookman Old Style" w:hAnsi="Bookman Old Style" w:cs="Arial"/>
          <w:i/>
        </w:rPr>
        <w:t>“</w:t>
      </w:r>
      <w:r w:rsidR="00C678F3" w:rsidRPr="004A20C5">
        <w:rPr>
          <w:rFonts w:ascii="Bookman Old Style" w:hAnsi="Bookman Old Style" w:cs="Arial"/>
          <w:i/>
          <w:color w:val="000000"/>
        </w:rPr>
        <w:t>Por la cual se modifica la Resolución CREG 175 de 2021 en virtud de las solicitudes particulares en interés general recibidas por la Comisión con base en lo establecido en el artículo 126 de la Ley 142 de 1994”</w:t>
      </w:r>
      <w:r w:rsidR="0078774A">
        <w:rPr>
          <w:rFonts w:ascii="Bookman Old Style" w:hAnsi="Bookman Old Style" w:cs="Arial"/>
          <w:color w:val="000000"/>
        </w:rPr>
        <w:t xml:space="preserve">, </w:t>
      </w:r>
      <w:r w:rsidR="0078774A" w:rsidRPr="00235C33">
        <w:rPr>
          <w:rFonts w:ascii="Bookman Old Style" w:hAnsi="Bookman Old Style" w:cs="Arial"/>
          <w:color w:val="000000"/>
        </w:rPr>
        <w:t xml:space="preserve">por el término de </w:t>
      </w:r>
      <w:r w:rsidR="00BE159F" w:rsidRPr="00BE159F">
        <w:rPr>
          <w:rFonts w:ascii="Bookman Old Style" w:hAnsi="Bookman Old Style" w:cs="Arial"/>
          <w:color w:val="000000"/>
        </w:rPr>
        <w:t>un mes calendario</w:t>
      </w:r>
      <w:r w:rsidR="0078774A" w:rsidRPr="00BE159F">
        <w:rPr>
          <w:rFonts w:ascii="Bookman Old Style" w:hAnsi="Bookman Old Style" w:cs="Arial"/>
          <w:color w:val="000000"/>
        </w:rPr>
        <w:t xml:space="preserve"> a partir del día siguiente a su publicación en el portal web de la CREG</w:t>
      </w:r>
      <w:r w:rsidR="0078774A" w:rsidRPr="00235C33">
        <w:rPr>
          <w:rFonts w:ascii="Bookman Old Style" w:hAnsi="Bookman Old Style" w:cs="Arial"/>
          <w:color w:val="000000"/>
        </w:rPr>
        <w:t xml:space="preserve">. El plazo para remitir los comentarios venció el </w:t>
      </w:r>
      <w:r w:rsidR="00BE159F" w:rsidRPr="00235C33">
        <w:rPr>
          <w:rFonts w:ascii="Bookman Old Style" w:hAnsi="Bookman Old Style" w:cs="Arial"/>
          <w:color w:val="000000"/>
        </w:rPr>
        <w:t>20</w:t>
      </w:r>
      <w:r w:rsidR="0078774A" w:rsidRPr="00235C33">
        <w:rPr>
          <w:rFonts w:ascii="Bookman Old Style" w:hAnsi="Bookman Old Style" w:cs="Arial"/>
          <w:color w:val="000000"/>
        </w:rPr>
        <w:t xml:space="preserve"> de </w:t>
      </w:r>
      <w:r w:rsidR="00BE159F" w:rsidRPr="00235C33">
        <w:rPr>
          <w:rFonts w:ascii="Bookman Old Style" w:hAnsi="Bookman Old Style" w:cs="Arial"/>
          <w:color w:val="000000"/>
        </w:rPr>
        <w:t>febrero</w:t>
      </w:r>
      <w:r w:rsidR="0078774A" w:rsidRPr="00235C33">
        <w:rPr>
          <w:rFonts w:ascii="Bookman Old Style" w:hAnsi="Bookman Old Style" w:cs="Arial"/>
          <w:color w:val="000000"/>
        </w:rPr>
        <w:t xml:space="preserve"> de 2023.</w:t>
      </w:r>
    </w:p>
    <w:p w14:paraId="75353E34" w14:textId="77777777" w:rsidR="00AF6AB3" w:rsidRDefault="00AF6AB3" w:rsidP="00BE159F">
      <w:pPr>
        <w:jc w:val="both"/>
        <w:rPr>
          <w:rFonts w:ascii="Bookman Old Style" w:hAnsi="Bookman Old Style" w:cs="Arial"/>
          <w:color w:val="000000"/>
        </w:rPr>
      </w:pPr>
    </w:p>
    <w:p w14:paraId="579365EF" w14:textId="3AF4AEEE" w:rsidR="00777E69" w:rsidRDefault="00AF6AB3" w:rsidP="00777E69">
      <w:pPr>
        <w:jc w:val="both"/>
        <w:rPr>
          <w:rFonts w:ascii="Bookman Old Style" w:hAnsi="Bookman Old Style" w:cs="Arial"/>
          <w:color w:val="000000"/>
        </w:rPr>
      </w:pPr>
      <w:r>
        <w:rPr>
          <w:rFonts w:ascii="Bookman Old Style" w:hAnsi="Bookman Old Style" w:cs="Arial"/>
          <w:color w:val="000000"/>
        </w:rPr>
        <w:t>La propuesta regu</w:t>
      </w:r>
      <w:r w:rsidR="00E86504">
        <w:rPr>
          <w:rFonts w:ascii="Bookman Old Style" w:hAnsi="Bookman Old Style" w:cs="Arial"/>
          <w:color w:val="000000"/>
        </w:rPr>
        <w:t xml:space="preserve">latoria incluía </w:t>
      </w:r>
      <w:r w:rsidR="000F4280">
        <w:rPr>
          <w:rFonts w:ascii="Bookman Old Style" w:hAnsi="Bookman Old Style" w:cs="Arial"/>
          <w:color w:val="000000"/>
        </w:rPr>
        <w:t>un análisis de las peticiones realizadas</w:t>
      </w:r>
      <w:r w:rsidR="004479BA">
        <w:rPr>
          <w:rFonts w:ascii="Bookman Old Style" w:hAnsi="Bookman Old Style" w:cs="Arial"/>
          <w:color w:val="000000"/>
        </w:rPr>
        <w:t xml:space="preserve"> con relación a: i) L</w:t>
      </w:r>
      <w:r w:rsidR="004479BA" w:rsidRPr="004479BA">
        <w:rPr>
          <w:rFonts w:ascii="Bookman Old Style" w:hAnsi="Bookman Old Style" w:cs="Arial"/>
          <w:color w:val="000000"/>
        </w:rPr>
        <w:t>a vida útil normativa</w:t>
      </w:r>
      <w:r w:rsidR="004479BA">
        <w:rPr>
          <w:rFonts w:ascii="Bookman Old Style" w:hAnsi="Bookman Old Style" w:cs="Arial"/>
          <w:color w:val="000000"/>
        </w:rPr>
        <w:t xml:space="preserve">; </w:t>
      </w:r>
      <w:proofErr w:type="spellStart"/>
      <w:r w:rsidR="0044497F">
        <w:rPr>
          <w:rFonts w:ascii="Bookman Old Style" w:hAnsi="Bookman Old Style" w:cs="Arial"/>
          <w:color w:val="000000"/>
        </w:rPr>
        <w:t>ii</w:t>
      </w:r>
      <w:proofErr w:type="spellEnd"/>
      <w:r w:rsidR="0044497F">
        <w:rPr>
          <w:rFonts w:ascii="Bookman Old Style" w:hAnsi="Bookman Old Style" w:cs="Arial"/>
          <w:color w:val="000000"/>
        </w:rPr>
        <w:t xml:space="preserve">) </w:t>
      </w:r>
      <w:r w:rsidR="007E6678">
        <w:rPr>
          <w:rFonts w:ascii="Bookman Old Style" w:hAnsi="Bookman Old Style" w:cs="Arial"/>
          <w:color w:val="000000"/>
        </w:rPr>
        <w:t xml:space="preserve">el </w:t>
      </w:r>
      <w:r w:rsidR="0044497F">
        <w:rPr>
          <w:rFonts w:ascii="Bookman Old Style" w:hAnsi="Bookman Old Style" w:cs="Arial"/>
          <w:color w:val="000000"/>
        </w:rPr>
        <w:t>c</w:t>
      </w:r>
      <w:r w:rsidR="0044497F" w:rsidRPr="0044497F">
        <w:rPr>
          <w:rFonts w:ascii="Bookman Old Style" w:hAnsi="Bookman Old Style" w:cs="Arial"/>
          <w:color w:val="000000"/>
        </w:rPr>
        <w:t>ambio de la moneda de remuneración de las inversiones</w:t>
      </w:r>
      <w:r w:rsidR="0044497F">
        <w:rPr>
          <w:rFonts w:ascii="Bookman Old Style" w:hAnsi="Bookman Old Style" w:cs="Arial"/>
          <w:color w:val="000000"/>
        </w:rPr>
        <w:t xml:space="preserve">; </w:t>
      </w:r>
      <w:proofErr w:type="spellStart"/>
      <w:r w:rsidR="0044497F">
        <w:rPr>
          <w:rFonts w:ascii="Bookman Old Style" w:hAnsi="Bookman Old Style" w:cs="Arial"/>
          <w:color w:val="000000"/>
        </w:rPr>
        <w:t>ii</w:t>
      </w:r>
      <w:r w:rsidR="0096398B">
        <w:rPr>
          <w:rFonts w:ascii="Bookman Old Style" w:hAnsi="Bookman Old Style" w:cs="Arial"/>
          <w:color w:val="000000"/>
        </w:rPr>
        <w:t>i</w:t>
      </w:r>
      <w:proofErr w:type="spellEnd"/>
      <w:r w:rsidR="0096398B">
        <w:rPr>
          <w:rFonts w:ascii="Bookman Old Style" w:hAnsi="Bookman Old Style" w:cs="Arial"/>
          <w:color w:val="000000"/>
        </w:rPr>
        <w:t>) la ap</w:t>
      </w:r>
      <w:r w:rsidR="00A372D4" w:rsidRPr="00A372D4">
        <w:rPr>
          <w:rFonts w:ascii="Bookman Old Style" w:hAnsi="Bookman Old Style" w:cs="Arial"/>
          <w:color w:val="000000"/>
        </w:rPr>
        <w:t>licación del artículo 7 de la</w:t>
      </w:r>
      <w:r w:rsidR="00A372D4">
        <w:rPr>
          <w:rFonts w:ascii="Bookman Old Style" w:hAnsi="Bookman Old Style" w:cs="Arial"/>
          <w:color w:val="000000"/>
        </w:rPr>
        <w:t xml:space="preserve"> Resolución CREG 175 de 2021; </w:t>
      </w:r>
      <w:proofErr w:type="spellStart"/>
      <w:r w:rsidR="00A372D4">
        <w:rPr>
          <w:rFonts w:ascii="Bookman Old Style" w:hAnsi="Bookman Old Style" w:cs="Arial"/>
          <w:color w:val="000000"/>
        </w:rPr>
        <w:t>iv</w:t>
      </w:r>
      <w:proofErr w:type="spellEnd"/>
      <w:r w:rsidR="00A372D4">
        <w:rPr>
          <w:rFonts w:ascii="Bookman Old Style" w:hAnsi="Bookman Old Style" w:cs="Arial"/>
          <w:color w:val="000000"/>
        </w:rPr>
        <w:t>)</w:t>
      </w:r>
      <w:r w:rsidR="0096398B">
        <w:rPr>
          <w:rFonts w:ascii="Bookman Old Style" w:hAnsi="Bookman Old Style" w:cs="Arial"/>
          <w:color w:val="000000"/>
        </w:rPr>
        <w:t xml:space="preserve"> el v</w:t>
      </w:r>
      <w:r w:rsidR="009D3067" w:rsidRPr="009D3067">
        <w:rPr>
          <w:rFonts w:ascii="Bookman Old Style" w:hAnsi="Bookman Old Style" w:cs="Arial"/>
          <w:color w:val="000000"/>
        </w:rPr>
        <w:t xml:space="preserve">alor de referencia de la </w:t>
      </w:r>
      <w:proofErr w:type="spellStart"/>
      <w:r w:rsidR="009D3067" w:rsidRPr="009D3067">
        <w:rPr>
          <w:rFonts w:ascii="Bookman Old Style" w:hAnsi="Bookman Old Style" w:cs="Arial"/>
          <w:color w:val="000000"/>
        </w:rPr>
        <w:t>TRM</w:t>
      </w:r>
      <w:proofErr w:type="spellEnd"/>
      <w:r w:rsidR="009D3067" w:rsidRPr="009D3067">
        <w:rPr>
          <w:rFonts w:ascii="Bookman Old Style" w:hAnsi="Bookman Old Style" w:cs="Arial"/>
          <w:color w:val="000000"/>
        </w:rPr>
        <w:t xml:space="preserve"> para poner los valores de las inversiones en pesos colombianos</w:t>
      </w:r>
      <w:r w:rsidR="004C008A">
        <w:rPr>
          <w:rFonts w:ascii="Bookman Old Style" w:hAnsi="Bookman Old Style" w:cs="Arial"/>
          <w:color w:val="000000"/>
        </w:rPr>
        <w:t>;</w:t>
      </w:r>
      <w:r w:rsidR="009E16EE">
        <w:rPr>
          <w:rFonts w:ascii="Bookman Old Style" w:hAnsi="Bookman Old Style" w:cs="Arial"/>
          <w:color w:val="000000"/>
        </w:rPr>
        <w:t xml:space="preserve"> y,</w:t>
      </w:r>
      <w:r w:rsidR="004C008A">
        <w:rPr>
          <w:rFonts w:ascii="Bookman Old Style" w:hAnsi="Bookman Old Style" w:cs="Arial"/>
          <w:color w:val="000000"/>
        </w:rPr>
        <w:t xml:space="preserve"> v)</w:t>
      </w:r>
      <w:r w:rsidR="006A28D1" w:rsidRPr="006A28D1">
        <w:t xml:space="preserve"> </w:t>
      </w:r>
      <w:r w:rsidR="006A28D1">
        <w:rPr>
          <w:rFonts w:ascii="Bookman Old Style" w:hAnsi="Bookman Old Style" w:cs="Arial"/>
          <w:color w:val="000000"/>
        </w:rPr>
        <w:t>la ampliación d</w:t>
      </w:r>
      <w:r w:rsidR="006A28D1" w:rsidRPr="006A28D1">
        <w:rPr>
          <w:rFonts w:ascii="Bookman Old Style" w:hAnsi="Bookman Old Style" w:cs="Arial"/>
          <w:color w:val="000000"/>
        </w:rPr>
        <w:t>el plazo de aplicación del artículo 6</w:t>
      </w:r>
      <w:r w:rsidR="006A28D1">
        <w:rPr>
          <w:rFonts w:ascii="Bookman Old Style" w:hAnsi="Bookman Old Style" w:cs="Arial"/>
          <w:color w:val="000000"/>
        </w:rPr>
        <w:t xml:space="preserve"> de la Resolución CREG 175 de 2021.</w:t>
      </w:r>
      <w:r w:rsidR="006455D9">
        <w:rPr>
          <w:rFonts w:ascii="Bookman Old Style" w:hAnsi="Bookman Old Style" w:cs="Arial"/>
          <w:color w:val="000000"/>
        </w:rPr>
        <w:t xml:space="preserve"> En relación con esto:</w:t>
      </w:r>
    </w:p>
    <w:p w14:paraId="22C21B3F" w14:textId="77777777" w:rsidR="00777E69" w:rsidRDefault="00777E69" w:rsidP="00777E69">
      <w:pPr>
        <w:jc w:val="both"/>
        <w:rPr>
          <w:rFonts w:ascii="Bookman Old Style" w:hAnsi="Bookman Old Style" w:cs="Arial"/>
          <w:color w:val="000000"/>
        </w:rPr>
      </w:pPr>
    </w:p>
    <w:p w14:paraId="0301B392" w14:textId="51F50AFD" w:rsidR="008C431C" w:rsidRDefault="00195563" w:rsidP="00000876">
      <w:pPr>
        <w:ind w:left="284"/>
        <w:jc w:val="both"/>
        <w:rPr>
          <w:rFonts w:ascii="Bookman Old Style" w:hAnsi="Bookman Old Style" w:cs="Arial"/>
          <w:color w:val="000000"/>
        </w:rPr>
      </w:pPr>
      <w:r>
        <w:rPr>
          <w:rFonts w:ascii="Bookman Old Style" w:hAnsi="Bookman Old Style" w:cs="Arial"/>
          <w:color w:val="000000"/>
        </w:rPr>
        <w:t xml:space="preserve">a. </w:t>
      </w:r>
      <w:r w:rsidR="008C431C" w:rsidRPr="008C431C">
        <w:rPr>
          <w:rFonts w:ascii="Bookman Old Style" w:hAnsi="Bookman Old Style" w:cs="Arial"/>
          <w:color w:val="000000"/>
        </w:rPr>
        <w:t xml:space="preserve">Con respecto a la remuneración de activos que terminan vida útil normativa se </w:t>
      </w:r>
      <w:r w:rsidR="008C431C">
        <w:rPr>
          <w:rFonts w:ascii="Bookman Old Style" w:hAnsi="Bookman Old Style" w:cs="Arial"/>
          <w:color w:val="000000"/>
        </w:rPr>
        <w:t>propu</w:t>
      </w:r>
      <w:r w:rsidR="000F2C61">
        <w:rPr>
          <w:rFonts w:ascii="Bookman Old Style" w:hAnsi="Bookman Old Style" w:cs="Arial"/>
          <w:color w:val="000000"/>
        </w:rPr>
        <w:t xml:space="preserve">so que </w:t>
      </w:r>
      <w:r w:rsidR="00F93E14">
        <w:rPr>
          <w:rFonts w:ascii="Bookman Old Style" w:hAnsi="Bookman Old Style" w:cs="Arial"/>
          <w:color w:val="000000"/>
        </w:rPr>
        <w:t>po</w:t>
      </w:r>
      <w:r w:rsidR="008C431C" w:rsidRPr="008C431C">
        <w:rPr>
          <w:rFonts w:ascii="Bookman Old Style" w:hAnsi="Bookman Old Style" w:cs="Arial"/>
          <w:color w:val="000000"/>
        </w:rPr>
        <w:t>r el periodo tarifario que rige la Resolución CREG 175 de 2021, si un activo (i) termina su periodo vida útil normativa, (</w:t>
      </w:r>
      <w:proofErr w:type="spellStart"/>
      <w:r w:rsidR="008C431C" w:rsidRPr="008C431C">
        <w:rPr>
          <w:rFonts w:ascii="Bookman Old Style" w:hAnsi="Bookman Old Style" w:cs="Arial"/>
          <w:color w:val="000000"/>
        </w:rPr>
        <w:t>ii</w:t>
      </w:r>
      <w:proofErr w:type="spellEnd"/>
      <w:r w:rsidR="008C431C" w:rsidRPr="008C431C">
        <w:rPr>
          <w:rFonts w:ascii="Bookman Old Style" w:hAnsi="Bookman Old Style" w:cs="Arial"/>
          <w:color w:val="000000"/>
        </w:rPr>
        <w:t>) puede seguir en operación, y, (</w:t>
      </w:r>
      <w:proofErr w:type="spellStart"/>
      <w:r w:rsidR="008C431C" w:rsidRPr="008C431C">
        <w:rPr>
          <w:rFonts w:ascii="Bookman Old Style" w:hAnsi="Bookman Old Style" w:cs="Arial"/>
          <w:color w:val="000000"/>
        </w:rPr>
        <w:t>iii</w:t>
      </w:r>
      <w:proofErr w:type="spellEnd"/>
      <w:r w:rsidR="008C431C" w:rsidRPr="008C431C">
        <w:rPr>
          <w:rFonts w:ascii="Bookman Old Style" w:hAnsi="Bookman Old Style" w:cs="Arial"/>
          <w:color w:val="000000"/>
        </w:rPr>
        <w:t xml:space="preserve">) el servicio se necesita, en los cargos </w:t>
      </w:r>
      <w:r w:rsidR="00BC65EA">
        <w:rPr>
          <w:rFonts w:ascii="Bookman Old Style" w:hAnsi="Bookman Old Style" w:cs="Arial"/>
          <w:color w:val="000000"/>
        </w:rPr>
        <w:t>se le reconoce</w:t>
      </w:r>
      <w:r w:rsidR="008C431C" w:rsidRPr="008C431C">
        <w:rPr>
          <w:rFonts w:ascii="Bookman Old Style" w:hAnsi="Bookman Old Style" w:cs="Arial"/>
          <w:color w:val="000000"/>
        </w:rPr>
        <w:t xml:space="preserve"> a ese activo una remuneración equivalente a la rentabilidad del capital valorada con la tasa de descuento de la actividad, a partir de la fecha </w:t>
      </w:r>
      <w:r w:rsidR="008C431C" w:rsidRPr="008C431C">
        <w:rPr>
          <w:rFonts w:ascii="Bookman Old Style" w:hAnsi="Bookman Old Style" w:cs="Arial"/>
          <w:color w:val="000000"/>
        </w:rPr>
        <w:lastRenderedPageBreak/>
        <w:t xml:space="preserve">en la que finaliza la vida útil normativa, y teniendo en cuenta el valor de la inversión en los cargos. </w:t>
      </w:r>
    </w:p>
    <w:p w14:paraId="1B7DEBA2" w14:textId="77777777" w:rsidR="004A531D" w:rsidRDefault="004A531D" w:rsidP="00000876">
      <w:pPr>
        <w:ind w:left="284"/>
        <w:jc w:val="both"/>
        <w:rPr>
          <w:rFonts w:ascii="Bookman Old Style" w:hAnsi="Bookman Old Style" w:cs="Arial"/>
          <w:color w:val="000000"/>
        </w:rPr>
      </w:pPr>
    </w:p>
    <w:p w14:paraId="430A07E1" w14:textId="6F336244" w:rsidR="00595C3A" w:rsidRDefault="004A531D" w:rsidP="00000876">
      <w:pPr>
        <w:ind w:left="284"/>
        <w:jc w:val="both"/>
        <w:rPr>
          <w:rFonts w:ascii="Bookman Old Style" w:hAnsi="Bookman Old Style" w:cs="Arial"/>
          <w:color w:val="000000"/>
        </w:rPr>
      </w:pPr>
      <w:r>
        <w:rPr>
          <w:rFonts w:ascii="Bookman Old Style" w:hAnsi="Bookman Old Style" w:cs="Arial"/>
          <w:color w:val="000000"/>
        </w:rPr>
        <w:t xml:space="preserve">b. </w:t>
      </w:r>
      <w:r w:rsidR="00595C3A">
        <w:rPr>
          <w:rFonts w:ascii="Bookman Old Style" w:hAnsi="Bookman Old Style" w:cs="Arial"/>
          <w:color w:val="000000"/>
        </w:rPr>
        <w:t xml:space="preserve">Con </w:t>
      </w:r>
      <w:r w:rsidR="00595C3A" w:rsidRPr="00595C3A">
        <w:rPr>
          <w:rFonts w:ascii="Bookman Old Style" w:hAnsi="Bookman Old Style" w:cs="Arial"/>
          <w:color w:val="000000"/>
        </w:rPr>
        <w:t xml:space="preserve">respecto al reconocimiento de un </w:t>
      </w:r>
      <w:r w:rsidR="002D78F9">
        <w:rPr>
          <w:rFonts w:ascii="Bookman Old Style" w:hAnsi="Bookman Old Style" w:cs="Arial"/>
          <w:color w:val="000000"/>
        </w:rPr>
        <w:t>cubrimiento eficiente</w:t>
      </w:r>
      <w:r w:rsidR="002D78F9" w:rsidRPr="00595C3A">
        <w:rPr>
          <w:rFonts w:ascii="Bookman Old Style" w:hAnsi="Bookman Old Style" w:cs="Arial"/>
          <w:color w:val="000000"/>
        </w:rPr>
        <w:t xml:space="preserve"> </w:t>
      </w:r>
      <w:r w:rsidR="00595C3A" w:rsidRPr="00595C3A">
        <w:rPr>
          <w:rFonts w:ascii="Bookman Old Style" w:hAnsi="Bookman Old Style" w:cs="Arial"/>
          <w:color w:val="000000"/>
        </w:rPr>
        <w:t xml:space="preserve">por el endeudamiento en dólares se </w:t>
      </w:r>
      <w:r w:rsidR="00595C3A">
        <w:rPr>
          <w:rFonts w:ascii="Bookman Old Style" w:hAnsi="Bookman Old Style" w:cs="Arial"/>
          <w:color w:val="000000"/>
        </w:rPr>
        <w:t xml:space="preserve">propuso que </w:t>
      </w:r>
      <w:r w:rsidR="00595C3A" w:rsidRPr="00595C3A">
        <w:rPr>
          <w:rFonts w:ascii="Bookman Old Style" w:hAnsi="Bookman Old Style" w:cs="Arial"/>
          <w:color w:val="000000"/>
        </w:rPr>
        <w:t xml:space="preserve">por el periodo tarifario que rige la Resolución CREG 175 de 2021, si y solo sí una empresa tiene endeudamiento en dólares, teniendo en cuenta (i) </w:t>
      </w:r>
      <w:r w:rsidR="003D2649">
        <w:rPr>
          <w:rFonts w:ascii="Bookman Old Style" w:hAnsi="Bookman Old Style" w:cs="Arial"/>
          <w:color w:val="000000"/>
        </w:rPr>
        <w:t>e</w:t>
      </w:r>
      <w:r w:rsidR="00595C3A" w:rsidRPr="00595C3A">
        <w:rPr>
          <w:rFonts w:ascii="Bookman Old Style" w:hAnsi="Bookman Old Style" w:cs="Arial"/>
          <w:color w:val="000000"/>
        </w:rPr>
        <w:t>l valor de los activos en la base tarifaria que no ha terminado la vida útil normativa, (</w:t>
      </w:r>
      <w:proofErr w:type="spellStart"/>
      <w:r w:rsidR="00595C3A" w:rsidRPr="00595C3A">
        <w:rPr>
          <w:rFonts w:ascii="Bookman Old Style" w:hAnsi="Bookman Old Style" w:cs="Arial"/>
          <w:color w:val="000000"/>
        </w:rPr>
        <w:t>ii</w:t>
      </w:r>
      <w:proofErr w:type="spellEnd"/>
      <w:r w:rsidR="00595C3A" w:rsidRPr="00595C3A">
        <w:rPr>
          <w:rFonts w:ascii="Bookman Old Style" w:hAnsi="Bookman Old Style" w:cs="Arial"/>
          <w:color w:val="000000"/>
        </w:rPr>
        <w:t>) la estructura de capital que se determinó en la Resolución CREG 103 de 2021, y, (</w:t>
      </w:r>
      <w:proofErr w:type="spellStart"/>
      <w:r w:rsidR="00595C3A" w:rsidRPr="00595C3A">
        <w:rPr>
          <w:rFonts w:ascii="Bookman Old Style" w:hAnsi="Bookman Old Style" w:cs="Arial"/>
          <w:color w:val="000000"/>
        </w:rPr>
        <w:t>iii</w:t>
      </w:r>
      <w:proofErr w:type="spellEnd"/>
      <w:r w:rsidR="00595C3A" w:rsidRPr="00595C3A">
        <w:rPr>
          <w:rFonts w:ascii="Bookman Old Style" w:hAnsi="Bookman Old Style" w:cs="Arial"/>
          <w:color w:val="000000"/>
        </w:rPr>
        <w:t xml:space="preserve">) la expectativa de devaluación con la metodología contenida en la Resolución CREG 004 de 2021, </w:t>
      </w:r>
      <w:r w:rsidR="00B510F5">
        <w:rPr>
          <w:rFonts w:ascii="Bookman Old Style" w:hAnsi="Bookman Old Style" w:cs="Arial"/>
          <w:color w:val="000000"/>
        </w:rPr>
        <w:t>se reconocería</w:t>
      </w:r>
      <w:r w:rsidR="00595C3A" w:rsidRPr="00595C3A">
        <w:rPr>
          <w:rFonts w:ascii="Bookman Old Style" w:hAnsi="Bookman Old Style" w:cs="Arial"/>
          <w:color w:val="000000"/>
        </w:rPr>
        <w:t xml:space="preserve"> en los cargos de </w:t>
      </w:r>
      <w:proofErr w:type="spellStart"/>
      <w:r w:rsidR="00595C3A" w:rsidRPr="00595C3A">
        <w:rPr>
          <w:rFonts w:ascii="Bookman Old Style" w:hAnsi="Bookman Old Style" w:cs="Arial"/>
          <w:color w:val="000000"/>
        </w:rPr>
        <w:t>AOM</w:t>
      </w:r>
      <w:proofErr w:type="spellEnd"/>
      <w:r w:rsidR="00595C3A" w:rsidRPr="00595C3A">
        <w:rPr>
          <w:rFonts w:ascii="Bookman Old Style" w:hAnsi="Bookman Old Style" w:cs="Arial"/>
          <w:color w:val="000000"/>
        </w:rPr>
        <w:t xml:space="preserve"> un </w:t>
      </w:r>
      <w:r w:rsidR="002D78F9">
        <w:rPr>
          <w:rFonts w:ascii="Bookman Old Style" w:hAnsi="Bookman Old Style" w:cs="Arial"/>
          <w:color w:val="000000"/>
        </w:rPr>
        <w:t>cubrimiento</w:t>
      </w:r>
      <w:r w:rsidR="002D78F9" w:rsidRPr="00595C3A">
        <w:rPr>
          <w:rFonts w:ascii="Bookman Old Style" w:hAnsi="Bookman Old Style" w:cs="Arial"/>
          <w:color w:val="000000"/>
        </w:rPr>
        <w:t xml:space="preserve"> </w:t>
      </w:r>
      <w:r w:rsidR="00E4746A">
        <w:rPr>
          <w:rFonts w:ascii="Bookman Old Style" w:hAnsi="Bookman Old Style" w:cs="Arial"/>
          <w:color w:val="000000"/>
        </w:rPr>
        <w:t>con una senda</w:t>
      </w:r>
      <w:r w:rsidR="00595C3A" w:rsidRPr="00595C3A">
        <w:rPr>
          <w:rFonts w:ascii="Bookman Old Style" w:hAnsi="Bookman Old Style" w:cs="Arial"/>
          <w:color w:val="000000"/>
        </w:rPr>
        <w:t xml:space="preserve"> decreciente</w:t>
      </w:r>
      <w:r w:rsidR="00D85CCC">
        <w:rPr>
          <w:rFonts w:ascii="Bookman Old Style" w:hAnsi="Bookman Old Style" w:cs="Arial"/>
          <w:color w:val="000000"/>
        </w:rPr>
        <w:t xml:space="preserve"> </w:t>
      </w:r>
      <w:r w:rsidR="00E4746A">
        <w:rPr>
          <w:rFonts w:ascii="Bookman Old Style" w:hAnsi="Bookman Old Style" w:cs="Arial"/>
          <w:color w:val="000000"/>
        </w:rPr>
        <w:t xml:space="preserve">en </w:t>
      </w:r>
      <w:r w:rsidR="00D85CCC">
        <w:rPr>
          <w:rFonts w:ascii="Bookman Old Style" w:hAnsi="Bookman Old Style" w:cs="Arial"/>
          <w:color w:val="000000"/>
        </w:rPr>
        <w:t>un período de 5 años.</w:t>
      </w:r>
    </w:p>
    <w:p w14:paraId="275DCCD3" w14:textId="77777777" w:rsidR="006D38C7" w:rsidRDefault="006D38C7" w:rsidP="00000876">
      <w:pPr>
        <w:ind w:left="284"/>
        <w:jc w:val="both"/>
        <w:rPr>
          <w:rFonts w:ascii="Bookman Old Style" w:hAnsi="Bookman Old Style" w:cs="Arial"/>
          <w:color w:val="000000"/>
        </w:rPr>
      </w:pPr>
    </w:p>
    <w:p w14:paraId="52992973" w14:textId="6648CC2C" w:rsidR="006D38C7" w:rsidRPr="00595C3A" w:rsidRDefault="006F2FBD" w:rsidP="00000876">
      <w:pPr>
        <w:ind w:left="284"/>
        <w:jc w:val="both"/>
        <w:rPr>
          <w:rFonts w:ascii="Bookman Old Style" w:hAnsi="Bookman Old Style" w:cs="Arial"/>
          <w:color w:val="000000"/>
        </w:rPr>
      </w:pPr>
      <w:r>
        <w:rPr>
          <w:rFonts w:ascii="Bookman Old Style" w:hAnsi="Bookman Old Style" w:cs="Arial"/>
          <w:color w:val="000000"/>
        </w:rPr>
        <w:t xml:space="preserve">c. </w:t>
      </w:r>
      <w:r w:rsidR="0067504E" w:rsidRPr="0067504E">
        <w:rPr>
          <w:rFonts w:ascii="Bookman Old Style" w:hAnsi="Bookman Old Style" w:cs="Arial"/>
          <w:color w:val="000000"/>
        </w:rPr>
        <w:t xml:space="preserve">Frente a la petición de utilizar un valor diferente al de la </w:t>
      </w:r>
      <w:proofErr w:type="spellStart"/>
      <w:r w:rsidR="0067504E" w:rsidRPr="0067504E">
        <w:rPr>
          <w:rFonts w:ascii="Bookman Old Style" w:hAnsi="Bookman Old Style" w:cs="Arial"/>
          <w:color w:val="000000"/>
        </w:rPr>
        <w:t>TRM</w:t>
      </w:r>
      <w:proofErr w:type="spellEnd"/>
      <w:r w:rsidR="0067504E" w:rsidRPr="0067504E">
        <w:rPr>
          <w:rFonts w:ascii="Bookman Old Style" w:hAnsi="Bookman Old Style" w:cs="Arial"/>
          <w:color w:val="000000"/>
        </w:rPr>
        <w:t xml:space="preserve"> de 31 de diciembre de 2021 se </w:t>
      </w:r>
      <w:r w:rsidR="0067504E">
        <w:rPr>
          <w:rFonts w:ascii="Bookman Old Style" w:hAnsi="Bookman Old Style" w:cs="Arial"/>
          <w:color w:val="000000"/>
        </w:rPr>
        <w:t>propuso</w:t>
      </w:r>
      <w:r w:rsidR="0067504E" w:rsidRPr="0067504E">
        <w:rPr>
          <w:rFonts w:ascii="Bookman Old Style" w:hAnsi="Bookman Old Style" w:cs="Arial"/>
          <w:color w:val="000000"/>
        </w:rPr>
        <w:t xml:space="preserve"> rechazar esa petición. </w:t>
      </w:r>
      <w:r w:rsidR="00711A5B">
        <w:rPr>
          <w:rFonts w:ascii="Bookman Old Style" w:hAnsi="Bookman Old Style" w:cs="Arial"/>
          <w:color w:val="000000"/>
        </w:rPr>
        <w:t>En relación con esto, se expuso que c</w:t>
      </w:r>
      <w:r w:rsidR="0067504E" w:rsidRPr="0067504E">
        <w:rPr>
          <w:rFonts w:ascii="Bookman Old Style" w:hAnsi="Bookman Old Style" w:cs="Arial"/>
          <w:color w:val="000000"/>
        </w:rPr>
        <w:t xml:space="preserve">uando se tomó la decisión, la Comisión, respetando que había una señal de remuneración de inversiones en dólares, concluyó que para poner los valores de las inversiones en pesos debía usarse la </w:t>
      </w:r>
      <w:proofErr w:type="spellStart"/>
      <w:r w:rsidR="0067504E" w:rsidRPr="0067504E">
        <w:rPr>
          <w:rFonts w:ascii="Bookman Old Style" w:hAnsi="Bookman Old Style" w:cs="Arial"/>
          <w:color w:val="000000"/>
        </w:rPr>
        <w:t>TRM</w:t>
      </w:r>
      <w:proofErr w:type="spellEnd"/>
      <w:r w:rsidR="0067504E" w:rsidRPr="0067504E">
        <w:rPr>
          <w:rFonts w:ascii="Bookman Old Style" w:hAnsi="Bookman Old Style" w:cs="Arial"/>
          <w:color w:val="000000"/>
        </w:rPr>
        <w:t xml:space="preserve"> de mercado vigente.</w:t>
      </w:r>
    </w:p>
    <w:p w14:paraId="316D23E8" w14:textId="06C21FF9" w:rsidR="00C65946" w:rsidRPr="00902AFC" w:rsidRDefault="00C65946" w:rsidP="00C65946">
      <w:pPr>
        <w:ind w:left="142" w:right="-142"/>
        <w:jc w:val="both"/>
        <w:rPr>
          <w:rFonts w:ascii="Bookman Old Style" w:hAnsi="Bookman Old Style" w:cs="Arial"/>
          <w:color w:val="000000"/>
        </w:rPr>
      </w:pPr>
    </w:p>
    <w:p w14:paraId="383FD5A6" w14:textId="36BF28B7" w:rsidR="00346DDE" w:rsidRDefault="006A28D1" w:rsidP="00AA28B8">
      <w:pPr>
        <w:pStyle w:val="paragraph"/>
        <w:spacing w:before="0" w:beforeAutospacing="0" w:after="0" w:afterAutospacing="0"/>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A partir del análisis de las anteriores peticiones</w:t>
      </w:r>
      <w:r w:rsidR="00ED035F">
        <w:rPr>
          <w:rStyle w:val="normaltextrun"/>
          <w:rFonts w:ascii="Bookman Old Style" w:hAnsi="Bookman Old Style" w:cs="Segoe UI"/>
          <w:lang w:val="es-ES"/>
        </w:rPr>
        <w:t xml:space="preserve"> la Comisión </w:t>
      </w:r>
      <w:r w:rsidR="00346DDE">
        <w:rPr>
          <w:rStyle w:val="normaltextrun"/>
          <w:rFonts w:ascii="Bookman Old Style" w:hAnsi="Bookman Old Style" w:cs="Segoe UI"/>
          <w:lang w:val="es-ES"/>
        </w:rPr>
        <w:t>expuso que “</w:t>
      </w:r>
      <w:r w:rsidR="00DB72A0" w:rsidRPr="00947662">
        <w:rPr>
          <w:rStyle w:val="normaltextrun"/>
          <w:rFonts w:ascii="Bookman Old Style" w:hAnsi="Bookman Old Style" w:cs="Segoe UI"/>
          <w:i/>
          <w:iCs/>
          <w:lang w:val="es-ES"/>
        </w:rPr>
        <w:t xml:space="preserve">Producto de los análisis expuestos en la anterior sección, la </w:t>
      </w:r>
      <w:proofErr w:type="spellStart"/>
      <w:r w:rsidR="00DB72A0" w:rsidRPr="00947662">
        <w:rPr>
          <w:rStyle w:val="normaltextrun"/>
          <w:rFonts w:ascii="Bookman Old Style" w:hAnsi="Bookman Old Style" w:cs="Segoe UI"/>
          <w:i/>
          <w:iCs/>
          <w:lang w:val="es-ES"/>
        </w:rPr>
        <w:t>CREG</w:t>
      </w:r>
      <w:proofErr w:type="spellEnd"/>
      <w:r w:rsidR="00DB72A0" w:rsidRPr="00947662">
        <w:rPr>
          <w:rStyle w:val="normaltextrun"/>
          <w:rFonts w:ascii="Bookman Old Style" w:hAnsi="Bookman Old Style" w:cs="Segoe UI"/>
          <w:i/>
          <w:iCs/>
          <w:lang w:val="es-ES"/>
        </w:rPr>
        <w:t xml:space="preserve"> encuentra apropiado y justificado ajustar la metodología tarifaria, de manera que (i) a los activos que terminaron vida útil normativa, siguen en operación y el servicio público los requiere, se le reconozca un costo de oportunidad equivalente a la rentabilidad del capital, y (</w:t>
      </w:r>
      <w:proofErr w:type="spellStart"/>
      <w:r w:rsidR="00DB72A0" w:rsidRPr="00947662">
        <w:rPr>
          <w:rStyle w:val="normaltextrun"/>
          <w:rFonts w:ascii="Bookman Old Style" w:hAnsi="Bookman Old Style" w:cs="Segoe UI"/>
          <w:i/>
          <w:iCs/>
          <w:lang w:val="es-ES"/>
        </w:rPr>
        <w:t>ii</w:t>
      </w:r>
      <w:proofErr w:type="spellEnd"/>
      <w:r w:rsidR="00DB72A0" w:rsidRPr="00947662">
        <w:rPr>
          <w:rStyle w:val="normaltextrun"/>
          <w:rFonts w:ascii="Bookman Old Style" w:hAnsi="Bookman Old Style" w:cs="Segoe UI"/>
          <w:i/>
          <w:iCs/>
          <w:lang w:val="es-ES"/>
        </w:rPr>
        <w:t>) a las empresas con endeudamiento en dólares, teniendo en cuenta la estructura de capital eficiente y solamente para aquella infraestructura que no ha terminado el periodo de remuneración de 20 años, se les reconozca de manera temporal un valor para cubrimiento del riesgo cambiario con base las expectativas de devaluación de mediano plazo</w:t>
      </w:r>
      <w:r w:rsidR="00DB72A0">
        <w:rPr>
          <w:rStyle w:val="normaltextrun"/>
          <w:rFonts w:ascii="Bookman Old Style" w:hAnsi="Bookman Old Style" w:cs="Segoe UI"/>
          <w:lang w:val="es-ES"/>
        </w:rPr>
        <w:t>”</w:t>
      </w:r>
      <w:r w:rsidR="00410289">
        <w:rPr>
          <w:rStyle w:val="normaltextrun"/>
          <w:rFonts w:ascii="Bookman Old Style" w:hAnsi="Bookman Old Style" w:cs="Segoe UI"/>
          <w:lang w:val="es-ES"/>
        </w:rPr>
        <w:t>.</w:t>
      </w:r>
    </w:p>
    <w:p w14:paraId="2C5ACD60" w14:textId="77777777" w:rsidR="008747D5" w:rsidRDefault="008747D5" w:rsidP="00AA28B8">
      <w:pPr>
        <w:pStyle w:val="paragraph"/>
        <w:spacing w:before="0" w:beforeAutospacing="0" w:after="0" w:afterAutospacing="0"/>
        <w:jc w:val="both"/>
        <w:textAlignment w:val="baseline"/>
        <w:rPr>
          <w:rStyle w:val="normaltextrun"/>
          <w:rFonts w:ascii="Bookman Old Style" w:hAnsi="Bookman Old Style" w:cs="Segoe UI"/>
          <w:lang w:val="es-ES"/>
        </w:rPr>
      </w:pPr>
    </w:p>
    <w:p w14:paraId="32AC2A7D" w14:textId="05EA4A95" w:rsidR="008747D5" w:rsidRDefault="008747D5" w:rsidP="00AA28B8">
      <w:pPr>
        <w:pStyle w:val="paragraph"/>
        <w:spacing w:before="0" w:beforeAutospacing="0" w:after="0" w:afterAutospacing="0"/>
        <w:jc w:val="both"/>
        <w:textAlignment w:val="baseline"/>
        <w:rPr>
          <w:rStyle w:val="normaltextrun"/>
          <w:rFonts w:ascii="Bookman Old Style" w:hAnsi="Bookman Old Style" w:cs="Segoe UI"/>
          <w:lang w:val="es-ES"/>
        </w:rPr>
      </w:pPr>
      <w:r>
        <w:rPr>
          <w:rStyle w:val="normaltextrun"/>
          <w:rFonts w:ascii="Bookman Old Style" w:hAnsi="Bookman Old Style" w:cs="Segoe UI"/>
          <w:lang w:val="es-ES"/>
        </w:rPr>
        <w:t>Esto conlle</w:t>
      </w:r>
      <w:r w:rsidR="004B12C0">
        <w:rPr>
          <w:rStyle w:val="normaltextrun"/>
          <w:rFonts w:ascii="Bookman Old Style" w:hAnsi="Bookman Old Style" w:cs="Segoe UI"/>
          <w:lang w:val="es-ES"/>
        </w:rPr>
        <w:t>varía</w:t>
      </w:r>
      <w:r>
        <w:rPr>
          <w:rStyle w:val="normaltextrun"/>
          <w:rFonts w:ascii="Bookman Old Style" w:hAnsi="Bookman Old Style" w:cs="Segoe UI"/>
          <w:lang w:val="es-ES"/>
        </w:rPr>
        <w:t xml:space="preserve"> a una modificación de</w:t>
      </w:r>
      <w:r w:rsidR="00095A49">
        <w:rPr>
          <w:rStyle w:val="normaltextrun"/>
          <w:rFonts w:ascii="Bookman Old Style" w:hAnsi="Bookman Old Style" w:cs="Segoe UI"/>
          <w:lang w:val="es-ES"/>
        </w:rPr>
        <w:t>l artículo 18 de</w:t>
      </w:r>
      <w:r>
        <w:rPr>
          <w:rStyle w:val="normaltextrun"/>
          <w:rFonts w:ascii="Bookman Old Style" w:hAnsi="Bookman Old Style" w:cs="Segoe UI"/>
          <w:lang w:val="es-ES"/>
        </w:rPr>
        <w:t xml:space="preserve"> la Resolución </w:t>
      </w:r>
      <w:proofErr w:type="spellStart"/>
      <w:r>
        <w:rPr>
          <w:rStyle w:val="normaltextrun"/>
          <w:rFonts w:ascii="Bookman Old Style" w:hAnsi="Bookman Old Style" w:cs="Segoe UI"/>
          <w:lang w:val="es-ES"/>
        </w:rPr>
        <w:t>CREG</w:t>
      </w:r>
      <w:proofErr w:type="spellEnd"/>
      <w:r>
        <w:rPr>
          <w:rStyle w:val="normaltextrun"/>
          <w:rFonts w:ascii="Bookman Old Style" w:hAnsi="Bookman Old Style" w:cs="Segoe UI"/>
          <w:lang w:val="es-ES"/>
        </w:rPr>
        <w:t xml:space="preserve"> 175 de 2021</w:t>
      </w:r>
      <w:r w:rsidR="00CE6355">
        <w:rPr>
          <w:rStyle w:val="normaltextrun"/>
          <w:rFonts w:ascii="Bookman Old Style" w:hAnsi="Bookman Old Style" w:cs="Segoe UI"/>
          <w:lang w:val="es-ES"/>
        </w:rPr>
        <w:t xml:space="preserve">, </w:t>
      </w:r>
      <w:r w:rsidR="00095A49">
        <w:rPr>
          <w:rStyle w:val="normaltextrun"/>
          <w:rFonts w:ascii="Bookman Old Style" w:hAnsi="Bookman Old Style" w:cs="Segoe UI"/>
          <w:lang w:val="es-ES"/>
        </w:rPr>
        <w:t>en relación con</w:t>
      </w:r>
      <w:r w:rsidR="00CE6355">
        <w:rPr>
          <w:rStyle w:val="normaltextrun"/>
          <w:rFonts w:ascii="Bookman Old Style" w:hAnsi="Bookman Old Style" w:cs="Segoe UI"/>
          <w:lang w:val="es-ES"/>
        </w:rPr>
        <w:t xml:space="preserve"> </w:t>
      </w:r>
      <w:r w:rsidR="00FB62DD">
        <w:rPr>
          <w:rStyle w:val="normaltextrun"/>
          <w:rFonts w:ascii="Bookman Old Style" w:hAnsi="Bookman Old Style" w:cs="Segoe UI"/>
          <w:lang w:val="es-ES"/>
        </w:rPr>
        <w:t>los numerales</w:t>
      </w:r>
      <w:r w:rsidR="00CE6355" w:rsidRPr="00CE6355">
        <w:rPr>
          <w:rStyle w:val="normaltextrun"/>
          <w:rFonts w:ascii="Bookman Old Style" w:hAnsi="Bookman Old Style" w:cs="Segoe UI"/>
          <w:lang w:val="es-ES"/>
        </w:rPr>
        <w:t xml:space="preserve"> 18.4.6</w:t>
      </w:r>
      <w:r w:rsidR="00FB62DD">
        <w:rPr>
          <w:rStyle w:val="normaltextrun"/>
          <w:rFonts w:ascii="Bookman Old Style" w:hAnsi="Bookman Old Style" w:cs="Segoe UI"/>
          <w:lang w:val="es-ES"/>
        </w:rPr>
        <w:t>, 18.7 y 18.8</w:t>
      </w:r>
      <w:r w:rsidR="00CE6355">
        <w:rPr>
          <w:rStyle w:val="normaltextrun"/>
          <w:rFonts w:ascii="Bookman Old Style" w:hAnsi="Bookman Old Style" w:cs="Segoe UI"/>
          <w:lang w:val="es-ES"/>
        </w:rPr>
        <w:t xml:space="preserve"> de la metodología</w:t>
      </w:r>
      <w:r w:rsidR="00FB62DD">
        <w:rPr>
          <w:rStyle w:val="normaltextrun"/>
          <w:rFonts w:ascii="Bookman Old Style" w:hAnsi="Bookman Old Style" w:cs="Segoe UI"/>
          <w:lang w:val="es-ES"/>
        </w:rPr>
        <w:t>.</w:t>
      </w:r>
    </w:p>
    <w:p w14:paraId="017BACAC" w14:textId="4E28903C" w:rsidR="006A28D1" w:rsidRDefault="006A28D1" w:rsidP="00AA28B8">
      <w:pPr>
        <w:pStyle w:val="paragraph"/>
        <w:spacing w:before="0" w:beforeAutospacing="0" w:after="0" w:afterAutospacing="0"/>
        <w:jc w:val="both"/>
        <w:textAlignment w:val="baseline"/>
        <w:rPr>
          <w:rStyle w:val="normaltextrun"/>
          <w:rFonts w:ascii="Bookman Old Style" w:hAnsi="Bookman Old Style" w:cs="Segoe UI"/>
          <w:lang w:val="es-ES"/>
        </w:rPr>
      </w:pPr>
    </w:p>
    <w:p w14:paraId="5363E38D" w14:textId="08925119" w:rsidR="00F03C94" w:rsidRDefault="00F03C94" w:rsidP="00AA28B8">
      <w:pPr>
        <w:pStyle w:val="paragraph"/>
        <w:spacing w:before="0" w:beforeAutospacing="0" w:after="0" w:afterAutospacing="0"/>
        <w:jc w:val="both"/>
        <w:textAlignment w:val="baseline"/>
        <w:rPr>
          <w:rStyle w:val="normaltextrun"/>
          <w:rFonts w:ascii="Bookman Old Style" w:hAnsi="Bookman Old Style" w:cs="Segoe UI"/>
          <w:lang w:val="es-ES"/>
        </w:rPr>
      </w:pPr>
      <w:r w:rsidRPr="00E63676">
        <w:rPr>
          <w:rStyle w:val="normaltextrun"/>
          <w:rFonts w:ascii="Bookman Old Style" w:hAnsi="Bookman Old Style" w:cs="Segoe UI"/>
          <w:lang w:val="es-ES"/>
        </w:rPr>
        <w:t xml:space="preserve">Atendiendo </w:t>
      </w:r>
      <w:r>
        <w:rPr>
          <w:rStyle w:val="normaltextrun"/>
          <w:rFonts w:ascii="Bookman Old Style" w:hAnsi="Bookman Old Style" w:cs="Segoe UI"/>
          <w:lang w:val="es-ES"/>
        </w:rPr>
        <w:t xml:space="preserve">el mencionado proceso de consulta pública </w:t>
      </w:r>
      <w:r w:rsidRPr="00E63676">
        <w:rPr>
          <w:rStyle w:val="normaltextrun"/>
          <w:rFonts w:ascii="Bookman Old Style" w:hAnsi="Bookman Old Style" w:cs="Segoe UI"/>
          <w:lang w:val="es-ES"/>
        </w:rPr>
        <w:t>las siguientes empresas hicieron comentarios:</w:t>
      </w:r>
    </w:p>
    <w:p w14:paraId="76346717" w14:textId="77777777" w:rsidR="00F03C94" w:rsidRPr="00F03C94" w:rsidRDefault="00F03C94" w:rsidP="00DD4FC1">
      <w:pPr>
        <w:ind w:left="142" w:right="-142"/>
        <w:jc w:val="both"/>
        <w:rPr>
          <w:rFonts w:ascii="Bookman Old Style" w:hAnsi="Bookman Old Style" w:cs="Arial"/>
          <w:color w:val="000000"/>
          <w:lang w:val="es-ES"/>
        </w:rPr>
      </w:pPr>
    </w:p>
    <w:p w14:paraId="2D2BDEDB" w14:textId="77777777" w:rsidR="008D5F23" w:rsidRDefault="008D5F23" w:rsidP="00C65946">
      <w:pPr>
        <w:ind w:left="142" w:right="-142"/>
        <w:jc w:val="center"/>
        <w:rPr>
          <w:rFonts w:ascii="Bookman Old Style" w:hAnsi="Bookman Old Style" w:cs="Arial"/>
          <w:b/>
          <w:color w:val="000000"/>
          <w:sz w:val="20"/>
          <w:szCs w:val="20"/>
        </w:rPr>
      </w:pPr>
    </w:p>
    <w:tbl>
      <w:tblPr>
        <w:tblStyle w:val="Tablaconcuadrcula1clara"/>
        <w:tblW w:w="0" w:type="auto"/>
        <w:jc w:val="center"/>
        <w:tblLook w:val="04A0" w:firstRow="1" w:lastRow="0" w:firstColumn="1" w:lastColumn="0" w:noHBand="0" w:noVBand="1"/>
      </w:tblPr>
      <w:tblGrid>
        <w:gridCol w:w="604"/>
        <w:gridCol w:w="2397"/>
        <w:gridCol w:w="3686"/>
      </w:tblGrid>
      <w:tr w:rsidR="008D5F23" w:rsidRPr="008D5F23" w14:paraId="79896EA1" w14:textId="77777777">
        <w:trPr>
          <w:cnfStyle w:val="100000000000" w:firstRow="1" w:lastRow="0" w:firstColumn="0" w:lastColumn="0" w:oddVBand="0" w:evenVBand="0" w:oddHBand="0" w:evenHBand="0" w:firstRowFirstColumn="0" w:firstRowLastColumn="0" w:lastRowFirstColumn="0" w:lastRowLastColumn="0"/>
          <w:trHeight w:val="163"/>
          <w:tblHeader/>
          <w:jc w:val="center"/>
        </w:trPr>
        <w:tc>
          <w:tcPr>
            <w:cnfStyle w:val="001000000000" w:firstRow="0" w:lastRow="0" w:firstColumn="1" w:lastColumn="0" w:oddVBand="0" w:evenVBand="0" w:oddHBand="0" w:evenHBand="0" w:firstRowFirstColumn="0" w:firstRowLastColumn="0" w:lastRowFirstColumn="0" w:lastRowLastColumn="0"/>
            <w:tcW w:w="0" w:type="auto"/>
          </w:tcPr>
          <w:p w14:paraId="6CAF713B"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No.</w:t>
            </w:r>
          </w:p>
        </w:tc>
        <w:tc>
          <w:tcPr>
            <w:tcW w:w="2397" w:type="dxa"/>
          </w:tcPr>
          <w:p w14:paraId="2197D37B" w14:textId="77777777" w:rsidR="008D5F23" w:rsidRPr="008D5F23" w:rsidRDefault="008D5F23">
            <w:pPr>
              <w:contextualSpacing/>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Nombre</w:t>
            </w:r>
          </w:p>
        </w:tc>
        <w:tc>
          <w:tcPr>
            <w:tcW w:w="3686" w:type="dxa"/>
          </w:tcPr>
          <w:p w14:paraId="5898D0A7" w14:textId="77777777" w:rsidR="008D5F23" w:rsidRPr="008D5F23" w:rsidRDefault="008D5F23">
            <w:pPr>
              <w:contextualSpacing/>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Radicado</w:t>
            </w:r>
          </w:p>
        </w:tc>
      </w:tr>
      <w:tr w:rsidR="008D5F23" w:rsidRPr="008D5F23" w14:paraId="6F9ED87E" w14:textId="77777777">
        <w:trPr>
          <w:trHeight w:val="36"/>
          <w:jc w:val="center"/>
        </w:trPr>
        <w:tc>
          <w:tcPr>
            <w:cnfStyle w:val="001000000000" w:firstRow="0" w:lastRow="0" w:firstColumn="1" w:lastColumn="0" w:oddVBand="0" w:evenVBand="0" w:oddHBand="0" w:evenHBand="0" w:firstRowFirstColumn="0" w:firstRowLastColumn="0" w:lastRowFirstColumn="0" w:lastRowLastColumn="0"/>
            <w:tcW w:w="0" w:type="auto"/>
          </w:tcPr>
          <w:p w14:paraId="28662022"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1</w:t>
            </w:r>
          </w:p>
        </w:tc>
        <w:tc>
          <w:tcPr>
            <w:tcW w:w="2397" w:type="dxa"/>
          </w:tcPr>
          <w:p w14:paraId="70EB85C0"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proofErr w:type="spellStart"/>
            <w:r w:rsidRPr="008D5F23">
              <w:rPr>
                <w:rFonts w:ascii="Bookman Old Style" w:hAnsi="Bookman Old Style" w:cs="Arial"/>
                <w:sz w:val="22"/>
                <w:szCs w:val="22"/>
              </w:rPr>
              <w:t>ACOLGEN</w:t>
            </w:r>
            <w:proofErr w:type="spellEnd"/>
          </w:p>
        </w:tc>
        <w:tc>
          <w:tcPr>
            <w:tcW w:w="3686" w:type="dxa"/>
          </w:tcPr>
          <w:p w14:paraId="167708F2"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E2023002675</w:t>
            </w:r>
          </w:p>
        </w:tc>
      </w:tr>
      <w:tr w:rsidR="008D5F23" w:rsidRPr="008D5F23" w14:paraId="2629592D"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3BE45CE6"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2</w:t>
            </w:r>
          </w:p>
        </w:tc>
        <w:tc>
          <w:tcPr>
            <w:tcW w:w="2397" w:type="dxa"/>
          </w:tcPr>
          <w:p w14:paraId="42CCB899"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proofErr w:type="spellStart"/>
            <w:r w:rsidRPr="008D5F23">
              <w:rPr>
                <w:rFonts w:ascii="Bookman Old Style" w:hAnsi="Bookman Old Style" w:cs="Arial"/>
                <w:sz w:val="22"/>
                <w:szCs w:val="22"/>
              </w:rPr>
              <w:t>ACP</w:t>
            </w:r>
            <w:proofErr w:type="spellEnd"/>
          </w:p>
        </w:tc>
        <w:tc>
          <w:tcPr>
            <w:tcW w:w="3686" w:type="dxa"/>
          </w:tcPr>
          <w:p w14:paraId="42D2A5A4"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E2023002729</w:t>
            </w:r>
          </w:p>
        </w:tc>
      </w:tr>
      <w:tr w:rsidR="008D5F23" w:rsidRPr="008D5F23" w14:paraId="27FC8D3A"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1B4EC999"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3</w:t>
            </w:r>
          </w:p>
        </w:tc>
        <w:tc>
          <w:tcPr>
            <w:tcW w:w="2397" w:type="dxa"/>
          </w:tcPr>
          <w:p w14:paraId="3898B98A"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proofErr w:type="spellStart"/>
            <w:r w:rsidRPr="008D5F23">
              <w:rPr>
                <w:rFonts w:ascii="Bookman Old Style" w:hAnsi="Bookman Old Style" w:cs="Arial"/>
                <w:sz w:val="22"/>
                <w:szCs w:val="22"/>
              </w:rPr>
              <w:t>ANDEG</w:t>
            </w:r>
            <w:proofErr w:type="spellEnd"/>
          </w:p>
        </w:tc>
        <w:tc>
          <w:tcPr>
            <w:tcW w:w="3686" w:type="dxa"/>
          </w:tcPr>
          <w:p w14:paraId="5612BD7F"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E2023002741</w:t>
            </w:r>
          </w:p>
        </w:tc>
      </w:tr>
      <w:tr w:rsidR="008D5F23" w:rsidRPr="008D5F23" w14:paraId="748597DE"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1EC2A69D"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4</w:t>
            </w:r>
          </w:p>
        </w:tc>
        <w:tc>
          <w:tcPr>
            <w:tcW w:w="2397" w:type="dxa"/>
          </w:tcPr>
          <w:p w14:paraId="2C7EA5E2"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proofErr w:type="spellStart"/>
            <w:r w:rsidRPr="008D5F23">
              <w:rPr>
                <w:rFonts w:ascii="Bookman Old Style" w:hAnsi="Bookman Old Style" w:cs="Arial"/>
                <w:sz w:val="22"/>
                <w:szCs w:val="22"/>
              </w:rPr>
              <w:t>ANDESCO</w:t>
            </w:r>
            <w:proofErr w:type="spellEnd"/>
          </w:p>
        </w:tc>
        <w:tc>
          <w:tcPr>
            <w:tcW w:w="3686" w:type="dxa"/>
          </w:tcPr>
          <w:p w14:paraId="11AEA892"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E2023002576</w:t>
            </w:r>
          </w:p>
        </w:tc>
      </w:tr>
      <w:tr w:rsidR="008D5F23" w:rsidRPr="008D5F23" w14:paraId="1AEE0997"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44200DA5"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5</w:t>
            </w:r>
          </w:p>
        </w:tc>
        <w:tc>
          <w:tcPr>
            <w:tcW w:w="2397" w:type="dxa"/>
          </w:tcPr>
          <w:p w14:paraId="1CB83F4C"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proofErr w:type="spellStart"/>
            <w:r w:rsidRPr="008D5F23">
              <w:rPr>
                <w:rFonts w:ascii="Bookman Old Style" w:hAnsi="Bookman Old Style" w:cs="Arial"/>
                <w:sz w:val="22"/>
                <w:szCs w:val="22"/>
              </w:rPr>
              <w:t>ANDI</w:t>
            </w:r>
            <w:proofErr w:type="spellEnd"/>
          </w:p>
        </w:tc>
        <w:tc>
          <w:tcPr>
            <w:tcW w:w="3686" w:type="dxa"/>
          </w:tcPr>
          <w:p w14:paraId="6360FD9B"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E2023002673</w:t>
            </w:r>
          </w:p>
        </w:tc>
      </w:tr>
      <w:tr w:rsidR="008D5F23" w:rsidRPr="008D5F23" w14:paraId="7185EBF9"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38F29702"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6</w:t>
            </w:r>
          </w:p>
        </w:tc>
        <w:tc>
          <w:tcPr>
            <w:tcW w:w="2397" w:type="dxa"/>
          </w:tcPr>
          <w:p w14:paraId="4D98078F"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proofErr w:type="spellStart"/>
            <w:r w:rsidRPr="008D5F23">
              <w:rPr>
                <w:rFonts w:ascii="Bookman Old Style" w:hAnsi="Bookman Old Style" w:cs="Arial"/>
                <w:sz w:val="22"/>
                <w:szCs w:val="22"/>
              </w:rPr>
              <w:t>ASOENERGIA</w:t>
            </w:r>
            <w:proofErr w:type="spellEnd"/>
          </w:p>
        </w:tc>
        <w:tc>
          <w:tcPr>
            <w:tcW w:w="3686" w:type="dxa"/>
          </w:tcPr>
          <w:p w14:paraId="5C66DF00" w14:textId="4096F6BF"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E2023002669, E2023003694</w:t>
            </w:r>
          </w:p>
        </w:tc>
      </w:tr>
      <w:tr w:rsidR="008D5F23" w:rsidRPr="008D5F23" w14:paraId="13C20BC4"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39BA9BA7"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7</w:t>
            </w:r>
          </w:p>
        </w:tc>
        <w:tc>
          <w:tcPr>
            <w:tcW w:w="2397" w:type="dxa"/>
          </w:tcPr>
          <w:p w14:paraId="46F23A99"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 xml:space="preserve">CANACOL </w:t>
            </w:r>
          </w:p>
        </w:tc>
        <w:tc>
          <w:tcPr>
            <w:tcW w:w="3686" w:type="dxa"/>
          </w:tcPr>
          <w:p w14:paraId="55BECCC2"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E2023002679</w:t>
            </w:r>
          </w:p>
        </w:tc>
      </w:tr>
      <w:tr w:rsidR="008D5F23" w:rsidRPr="008D5F23" w14:paraId="4E9C62CD"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164A1727"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8</w:t>
            </w:r>
          </w:p>
        </w:tc>
        <w:tc>
          <w:tcPr>
            <w:tcW w:w="2397" w:type="dxa"/>
          </w:tcPr>
          <w:p w14:paraId="3366E871"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CENIT</w:t>
            </w:r>
          </w:p>
        </w:tc>
        <w:tc>
          <w:tcPr>
            <w:tcW w:w="3686" w:type="dxa"/>
          </w:tcPr>
          <w:p w14:paraId="0DF01683"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E2023002670</w:t>
            </w:r>
          </w:p>
        </w:tc>
      </w:tr>
      <w:tr w:rsidR="008D5F23" w:rsidRPr="008D5F23" w14:paraId="25F0A211" w14:textId="77777777">
        <w:trPr>
          <w:trHeight w:val="70"/>
          <w:jc w:val="center"/>
        </w:trPr>
        <w:tc>
          <w:tcPr>
            <w:cnfStyle w:val="001000000000" w:firstRow="0" w:lastRow="0" w:firstColumn="1" w:lastColumn="0" w:oddVBand="0" w:evenVBand="0" w:oddHBand="0" w:evenHBand="0" w:firstRowFirstColumn="0" w:firstRowLastColumn="0" w:lastRowFirstColumn="0" w:lastRowLastColumn="0"/>
            <w:tcW w:w="0" w:type="auto"/>
          </w:tcPr>
          <w:p w14:paraId="608729B0"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9</w:t>
            </w:r>
          </w:p>
        </w:tc>
        <w:tc>
          <w:tcPr>
            <w:tcW w:w="2397" w:type="dxa"/>
          </w:tcPr>
          <w:p w14:paraId="3C572F43"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lang w:val="en-US"/>
              </w:rPr>
            </w:pPr>
            <w:r w:rsidRPr="008D5F23">
              <w:rPr>
                <w:rFonts w:ascii="Bookman Old Style" w:hAnsi="Bookman Old Style" w:cs="Arial"/>
                <w:sz w:val="22"/>
                <w:szCs w:val="22"/>
              </w:rPr>
              <w:t>ENEL</w:t>
            </w:r>
          </w:p>
        </w:tc>
        <w:tc>
          <w:tcPr>
            <w:tcW w:w="3686" w:type="dxa"/>
          </w:tcPr>
          <w:p w14:paraId="77BCED83"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E2023002671</w:t>
            </w:r>
          </w:p>
        </w:tc>
      </w:tr>
      <w:tr w:rsidR="008D5F23" w:rsidRPr="008D5F23" w14:paraId="33DB2BDD"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1B863A2C"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10</w:t>
            </w:r>
          </w:p>
        </w:tc>
        <w:tc>
          <w:tcPr>
            <w:tcW w:w="2397" w:type="dxa"/>
          </w:tcPr>
          <w:p w14:paraId="07727537"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EPM</w:t>
            </w:r>
          </w:p>
        </w:tc>
        <w:tc>
          <w:tcPr>
            <w:tcW w:w="3686" w:type="dxa"/>
          </w:tcPr>
          <w:p w14:paraId="4D07808B"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E2023002730</w:t>
            </w:r>
          </w:p>
        </w:tc>
      </w:tr>
      <w:tr w:rsidR="008D5F23" w:rsidRPr="008D5F23" w14:paraId="50EDF9BB"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7A2E8F2E"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12</w:t>
            </w:r>
          </w:p>
        </w:tc>
        <w:tc>
          <w:tcPr>
            <w:tcW w:w="2397" w:type="dxa"/>
          </w:tcPr>
          <w:p w14:paraId="6737C601"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proofErr w:type="spellStart"/>
            <w:r w:rsidRPr="008D5F23">
              <w:rPr>
                <w:rFonts w:ascii="Bookman Old Style" w:hAnsi="Bookman Old Style" w:cs="Arial"/>
                <w:sz w:val="22"/>
                <w:szCs w:val="22"/>
              </w:rPr>
              <w:t>NATURGAS</w:t>
            </w:r>
            <w:proofErr w:type="spellEnd"/>
          </w:p>
        </w:tc>
        <w:tc>
          <w:tcPr>
            <w:tcW w:w="3686" w:type="dxa"/>
          </w:tcPr>
          <w:p w14:paraId="61B3FC96"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E2023002672</w:t>
            </w:r>
          </w:p>
        </w:tc>
      </w:tr>
      <w:tr w:rsidR="008D5F23" w:rsidRPr="008D5F23" w14:paraId="5BE7D92E"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549262B5"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13</w:t>
            </w:r>
          </w:p>
        </w:tc>
        <w:tc>
          <w:tcPr>
            <w:tcW w:w="2397" w:type="dxa"/>
          </w:tcPr>
          <w:p w14:paraId="0EE1A98D"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HENRY NAVARRO</w:t>
            </w:r>
          </w:p>
        </w:tc>
        <w:tc>
          <w:tcPr>
            <w:tcW w:w="3686" w:type="dxa"/>
          </w:tcPr>
          <w:p w14:paraId="02323A01"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E2023002665</w:t>
            </w:r>
          </w:p>
        </w:tc>
      </w:tr>
      <w:tr w:rsidR="008D5F23" w:rsidRPr="008D5F23" w14:paraId="52EEDBC7"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6883A8FB"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lastRenderedPageBreak/>
              <w:t>14</w:t>
            </w:r>
          </w:p>
        </w:tc>
        <w:tc>
          <w:tcPr>
            <w:tcW w:w="2397" w:type="dxa"/>
          </w:tcPr>
          <w:p w14:paraId="1DF68BEA"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proofErr w:type="spellStart"/>
            <w:r w:rsidRPr="008D5F23">
              <w:rPr>
                <w:rFonts w:ascii="Bookman Old Style" w:hAnsi="Bookman Old Style" w:cs="Arial"/>
                <w:sz w:val="22"/>
                <w:szCs w:val="22"/>
              </w:rPr>
              <w:t>PROGASUR</w:t>
            </w:r>
            <w:proofErr w:type="spellEnd"/>
          </w:p>
        </w:tc>
        <w:tc>
          <w:tcPr>
            <w:tcW w:w="3686" w:type="dxa"/>
          </w:tcPr>
          <w:p w14:paraId="1662449C"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E2023002678</w:t>
            </w:r>
          </w:p>
        </w:tc>
      </w:tr>
      <w:tr w:rsidR="008D5F23" w:rsidRPr="008D5F23" w14:paraId="58296A66"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30724998"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15</w:t>
            </w:r>
          </w:p>
        </w:tc>
        <w:tc>
          <w:tcPr>
            <w:tcW w:w="2397" w:type="dxa"/>
          </w:tcPr>
          <w:p w14:paraId="2B7E2011"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PROMIGAS</w:t>
            </w:r>
          </w:p>
        </w:tc>
        <w:tc>
          <w:tcPr>
            <w:tcW w:w="3686" w:type="dxa"/>
          </w:tcPr>
          <w:p w14:paraId="20A0E978"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E2023002591</w:t>
            </w:r>
          </w:p>
        </w:tc>
      </w:tr>
      <w:tr w:rsidR="008D5F23" w:rsidRPr="008D5F23" w14:paraId="2D5FE35C"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47E3A1AC"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16</w:t>
            </w:r>
          </w:p>
        </w:tc>
        <w:tc>
          <w:tcPr>
            <w:tcW w:w="2397" w:type="dxa"/>
          </w:tcPr>
          <w:p w14:paraId="02BE1C6E"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proofErr w:type="spellStart"/>
            <w:r w:rsidRPr="008D5F23">
              <w:rPr>
                <w:rFonts w:ascii="Bookman Old Style" w:hAnsi="Bookman Old Style" w:cs="Arial"/>
                <w:sz w:val="22"/>
                <w:szCs w:val="22"/>
              </w:rPr>
              <w:t>SSPD</w:t>
            </w:r>
            <w:proofErr w:type="spellEnd"/>
          </w:p>
        </w:tc>
        <w:tc>
          <w:tcPr>
            <w:tcW w:w="3686" w:type="dxa"/>
          </w:tcPr>
          <w:p w14:paraId="52554C60"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E2023002667</w:t>
            </w:r>
          </w:p>
        </w:tc>
      </w:tr>
      <w:tr w:rsidR="008D5F23" w:rsidRPr="008D5F23" w14:paraId="77E181BE"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52A1FACA"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17</w:t>
            </w:r>
          </w:p>
        </w:tc>
        <w:tc>
          <w:tcPr>
            <w:tcW w:w="2397" w:type="dxa"/>
          </w:tcPr>
          <w:p w14:paraId="2B1F0455"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proofErr w:type="spellStart"/>
            <w:r w:rsidRPr="008D5F23">
              <w:rPr>
                <w:rFonts w:ascii="Bookman Old Style" w:hAnsi="Bookman Old Style" w:cs="Arial"/>
                <w:sz w:val="22"/>
                <w:szCs w:val="22"/>
              </w:rPr>
              <w:t>TGI</w:t>
            </w:r>
            <w:proofErr w:type="spellEnd"/>
          </w:p>
        </w:tc>
        <w:tc>
          <w:tcPr>
            <w:tcW w:w="3686" w:type="dxa"/>
          </w:tcPr>
          <w:p w14:paraId="5FF5E866"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E2023002567, E2023005434</w:t>
            </w:r>
          </w:p>
        </w:tc>
      </w:tr>
      <w:tr w:rsidR="008D5F23" w:rsidRPr="008D5F23" w14:paraId="4C65B83D"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213B5D6C" w14:textId="77777777" w:rsidR="008D5F23" w:rsidRPr="008D5F23" w:rsidRDefault="008D5F23">
            <w:pPr>
              <w:ind w:left="-118"/>
              <w:contextualSpacing/>
              <w:jc w:val="center"/>
              <w:rPr>
                <w:rFonts w:ascii="Bookman Old Style" w:hAnsi="Bookman Old Style" w:cs="Arial"/>
                <w:sz w:val="22"/>
                <w:szCs w:val="22"/>
              </w:rPr>
            </w:pPr>
            <w:r w:rsidRPr="008D5F23">
              <w:rPr>
                <w:rFonts w:ascii="Bookman Old Style" w:hAnsi="Bookman Old Style" w:cs="Arial"/>
                <w:sz w:val="22"/>
                <w:szCs w:val="22"/>
              </w:rPr>
              <w:t>18</w:t>
            </w:r>
          </w:p>
        </w:tc>
        <w:tc>
          <w:tcPr>
            <w:tcW w:w="2397" w:type="dxa"/>
          </w:tcPr>
          <w:p w14:paraId="7D7BB466"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proofErr w:type="spellStart"/>
            <w:r w:rsidRPr="008D5F23">
              <w:rPr>
                <w:rFonts w:ascii="Bookman Old Style" w:hAnsi="Bookman Old Style" w:cs="Arial"/>
                <w:sz w:val="22"/>
                <w:szCs w:val="22"/>
              </w:rPr>
              <w:t>VANTI</w:t>
            </w:r>
            <w:proofErr w:type="spellEnd"/>
          </w:p>
        </w:tc>
        <w:tc>
          <w:tcPr>
            <w:tcW w:w="3686" w:type="dxa"/>
          </w:tcPr>
          <w:p w14:paraId="0DC4A7CA" w14:textId="77777777" w:rsidR="008D5F23" w:rsidRPr="008D5F23"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8D5F23">
              <w:rPr>
                <w:rFonts w:ascii="Bookman Old Style" w:hAnsi="Bookman Old Style" w:cs="Arial"/>
                <w:sz w:val="22"/>
                <w:szCs w:val="22"/>
              </w:rPr>
              <w:t>E2023002676</w:t>
            </w:r>
          </w:p>
        </w:tc>
      </w:tr>
      <w:tr w:rsidR="008D5F23" w:rsidRPr="008D5F23" w14:paraId="78A44D8B"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7559DD6A" w14:textId="77777777" w:rsidR="008D5F23" w:rsidRPr="0003689D" w:rsidRDefault="008D5F23">
            <w:pPr>
              <w:ind w:left="-118"/>
              <w:contextualSpacing/>
              <w:jc w:val="center"/>
              <w:rPr>
                <w:rFonts w:ascii="Bookman Old Style" w:hAnsi="Bookman Old Style" w:cs="Arial"/>
                <w:sz w:val="22"/>
                <w:szCs w:val="22"/>
              </w:rPr>
            </w:pPr>
            <w:r w:rsidRPr="0003689D">
              <w:rPr>
                <w:rFonts w:ascii="Bookman Old Style" w:hAnsi="Bookman Old Style" w:cs="Arial"/>
                <w:sz w:val="22"/>
                <w:szCs w:val="22"/>
              </w:rPr>
              <w:t>19</w:t>
            </w:r>
          </w:p>
        </w:tc>
        <w:tc>
          <w:tcPr>
            <w:tcW w:w="2397" w:type="dxa"/>
          </w:tcPr>
          <w:p w14:paraId="139022DF" w14:textId="164B0EC9" w:rsidR="008D5F23" w:rsidRPr="0003689D" w:rsidRDefault="008D5F23">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03689D">
              <w:rPr>
                <w:rFonts w:ascii="Bookman Old Style" w:hAnsi="Bookman Old Style" w:cs="Arial"/>
                <w:sz w:val="22"/>
                <w:szCs w:val="22"/>
              </w:rPr>
              <w:t>SOUTH32 GAS</w:t>
            </w:r>
          </w:p>
        </w:tc>
        <w:tc>
          <w:tcPr>
            <w:tcW w:w="3686" w:type="dxa"/>
          </w:tcPr>
          <w:p w14:paraId="1B968621" w14:textId="2511F415" w:rsidR="008D5F23" w:rsidRPr="0003689D" w:rsidRDefault="003E4797">
            <w:pPr>
              <w:contextualSpacing/>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szCs w:val="22"/>
              </w:rPr>
            </w:pPr>
            <w:r w:rsidRPr="0003689D">
              <w:rPr>
                <w:rFonts w:ascii="Bookman Old Style" w:hAnsi="Bookman Old Style" w:cs="Arial"/>
                <w:sz w:val="22"/>
                <w:szCs w:val="22"/>
              </w:rPr>
              <w:t>E2023</w:t>
            </w:r>
            <w:r w:rsidR="0003689D" w:rsidRPr="0003689D">
              <w:rPr>
                <w:rFonts w:ascii="Bookman Old Style" w:hAnsi="Bookman Old Style" w:cs="Arial"/>
                <w:sz w:val="22"/>
                <w:szCs w:val="22"/>
              </w:rPr>
              <w:t>006617</w:t>
            </w:r>
          </w:p>
        </w:tc>
      </w:tr>
    </w:tbl>
    <w:p w14:paraId="6D468F5F" w14:textId="77777777" w:rsidR="008D5F23" w:rsidRDefault="008D5F23" w:rsidP="00C65946">
      <w:pPr>
        <w:ind w:left="142" w:right="-142"/>
        <w:jc w:val="center"/>
        <w:rPr>
          <w:rFonts w:ascii="Bookman Old Style" w:hAnsi="Bookman Old Style" w:cs="Arial"/>
          <w:b/>
          <w:color w:val="000000"/>
          <w:sz w:val="20"/>
          <w:szCs w:val="20"/>
        </w:rPr>
      </w:pPr>
    </w:p>
    <w:p w14:paraId="3F8D1BB8" w14:textId="33FB6271" w:rsidR="00C80153" w:rsidRPr="00947662" w:rsidRDefault="0062185B" w:rsidP="00101D56">
      <w:pPr>
        <w:pStyle w:val="Ttulo1"/>
        <w:numPr>
          <w:ilvl w:val="0"/>
          <w:numId w:val="54"/>
        </w:numPr>
        <w:rPr>
          <w:lang w:val="es-ES"/>
        </w:rPr>
      </w:pPr>
      <w:r w:rsidRPr="00947662">
        <w:rPr>
          <w:lang w:val="es-ES"/>
        </w:rPr>
        <w:t>ANÁLISIS DE LA PROPUESTA REGULATORIA</w:t>
      </w:r>
    </w:p>
    <w:p w14:paraId="37E95742" w14:textId="77777777" w:rsidR="00C80153" w:rsidRDefault="00C80153" w:rsidP="00F74C2A">
      <w:pPr>
        <w:jc w:val="both"/>
        <w:rPr>
          <w:rFonts w:ascii="Bookman Old Style" w:hAnsi="Bookman Old Style" w:cs="Arial"/>
          <w:bCs/>
          <w:color w:val="000000"/>
          <w:lang w:val="es-ES"/>
        </w:rPr>
      </w:pPr>
    </w:p>
    <w:p w14:paraId="3B034B60" w14:textId="11627706" w:rsidR="00FB62DD" w:rsidRDefault="00DB72A0" w:rsidP="00F74C2A">
      <w:pPr>
        <w:jc w:val="both"/>
        <w:rPr>
          <w:rFonts w:ascii="Bookman Old Style" w:hAnsi="Bookman Old Style" w:cs="Arial"/>
          <w:bCs/>
          <w:color w:val="000000"/>
          <w:lang w:val="es-ES"/>
        </w:rPr>
      </w:pPr>
      <w:r>
        <w:rPr>
          <w:rFonts w:ascii="Bookman Old Style" w:hAnsi="Bookman Old Style" w:cs="Arial"/>
          <w:bCs/>
          <w:color w:val="000000"/>
          <w:lang w:val="es-ES"/>
        </w:rPr>
        <w:t>Ahora</w:t>
      </w:r>
      <w:r w:rsidR="00A0604A">
        <w:rPr>
          <w:rFonts w:ascii="Bookman Old Style" w:hAnsi="Bookman Old Style" w:cs="Arial"/>
          <w:bCs/>
          <w:color w:val="000000"/>
          <w:lang w:val="es-ES"/>
        </w:rPr>
        <w:t xml:space="preserve"> bien</w:t>
      </w:r>
      <w:r>
        <w:rPr>
          <w:rFonts w:ascii="Bookman Old Style" w:hAnsi="Bookman Old Style" w:cs="Arial"/>
          <w:bCs/>
          <w:color w:val="000000"/>
          <w:lang w:val="es-ES"/>
        </w:rPr>
        <w:t xml:space="preserve">, </w:t>
      </w:r>
      <w:r w:rsidR="00885FE2">
        <w:rPr>
          <w:rFonts w:ascii="Bookman Old Style" w:hAnsi="Bookman Old Style" w:cs="Arial"/>
          <w:bCs/>
          <w:color w:val="000000"/>
          <w:lang w:val="es-ES"/>
        </w:rPr>
        <w:t xml:space="preserve">la </w:t>
      </w:r>
      <w:r w:rsidR="00FB62DD">
        <w:rPr>
          <w:rFonts w:ascii="Bookman Old Style" w:hAnsi="Bookman Old Style" w:cs="Arial"/>
          <w:bCs/>
          <w:color w:val="000000"/>
          <w:lang w:val="es-ES"/>
        </w:rPr>
        <w:t xml:space="preserve">Comisión en la </w:t>
      </w:r>
      <w:r w:rsidR="00885FE2">
        <w:rPr>
          <w:rFonts w:ascii="Bookman Old Style" w:hAnsi="Bookman Old Style" w:cs="Arial"/>
          <w:bCs/>
          <w:color w:val="000000"/>
          <w:lang w:val="es-ES"/>
        </w:rPr>
        <w:t xml:space="preserve">Resolución </w:t>
      </w:r>
      <w:proofErr w:type="spellStart"/>
      <w:r w:rsidR="00885FE2">
        <w:rPr>
          <w:rFonts w:ascii="Bookman Old Style" w:hAnsi="Bookman Old Style" w:cs="Arial"/>
          <w:bCs/>
          <w:color w:val="000000"/>
          <w:lang w:val="es-ES"/>
        </w:rPr>
        <w:t>CREG</w:t>
      </w:r>
      <w:proofErr w:type="spellEnd"/>
      <w:r w:rsidR="00885FE2">
        <w:rPr>
          <w:rFonts w:ascii="Bookman Old Style" w:hAnsi="Bookman Old Style" w:cs="Arial"/>
          <w:bCs/>
          <w:color w:val="000000"/>
          <w:lang w:val="es-ES"/>
        </w:rPr>
        <w:t xml:space="preserve"> 702 009 de 2002 plante</w:t>
      </w:r>
      <w:r w:rsidR="00095A49">
        <w:rPr>
          <w:rFonts w:ascii="Bookman Old Style" w:hAnsi="Bookman Old Style" w:cs="Arial"/>
          <w:bCs/>
          <w:color w:val="000000"/>
          <w:lang w:val="es-ES"/>
        </w:rPr>
        <w:t>ó</w:t>
      </w:r>
      <w:r w:rsidR="00885FE2">
        <w:rPr>
          <w:rFonts w:ascii="Bookman Old Style" w:hAnsi="Bookman Old Style" w:cs="Arial"/>
          <w:bCs/>
          <w:color w:val="000000"/>
          <w:lang w:val="es-ES"/>
        </w:rPr>
        <w:t xml:space="preserve"> los siguiente</w:t>
      </w:r>
      <w:r w:rsidR="00C62324">
        <w:rPr>
          <w:rFonts w:ascii="Bookman Old Style" w:hAnsi="Bookman Old Style" w:cs="Arial"/>
          <w:bCs/>
          <w:color w:val="000000"/>
          <w:lang w:val="es-ES"/>
        </w:rPr>
        <w:t xml:space="preserve">s </w:t>
      </w:r>
      <w:r w:rsidR="00B84857">
        <w:rPr>
          <w:rFonts w:ascii="Bookman Old Style" w:hAnsi="Bookman Old Style" w:cs="Arial"/>
          <w:bCs/>
          <w:color w:val="000000"/>
          <w:lang w:val="es-ES"/>
        </w:rPr>
        <w:t>análisis que sustentan las propuestas realizadas</w:t>
      </w:r>
      <w:r w:rsidR="00D61060">
        <w:rPr>
          <w:rFonts w:ascii="Bookman Old Style" w:hAnsi="Bookman Old Style" w:cs="Arial"/>
          <w:bCs/>
          <w:color w:val="000000"/>
          <w:lang w:val="es-ES"/>
        </w:rPr>
        <w:t>:</w:t>
      </w:r>
    </w:p>
    <w:p w14:paraId="30713313" w14:textId="77777777" w:rsidR="00FB62DD" w:rsidRDefault="00FB62DD" w:rsidP="00F74C2A">
      <w:pPr>
        <w:jc w:val="both"/>
        <w:rPr>
          <w:rFonts w:ascii="Bookman Old Style" w:hAnsi="Bookman Old Style" w:cs="Arial"/>
          <w:bCs/>
          <w:color w:val="000000"/>
          <w:lang w:val="es-ES"/>
        </w:rPr>
      </w:pPr>
    </w:p>
    <w:p w14:paraId="2C07DBD9" w14:textId="16CE8973" w:rsidR="00CC1729" w:rsidRDefault="00E33E62" w:rsidP="00920AF4">
      <w:pPr>
        <w:pStyle w:val="Ttulo1"/>
        <w:numPr>
          <w:ilvl w:val="1"/>
          <w:numId w:val="54"/>
        </w:numPr>
        <w:rPr>
          <w:bCs/>
          <w:lang w:val="es-ES"/>
        </w:rPr>
      </w:pPr>
      <w:r w:rsidRPr="00947662">
        <w:rPr>
          <w:lang w:val="es-ES"/>
        </w:rPr>
        <w:t xml:space="preserve">Para el caso de </w:t>
      </w:r>
      <w:r w:rsidR="00E56F5C" w:rsidRPr="00947662">
        <w:rPr>
          <w:lang w:val="es-ES"/>
        </w:rPr>
        <w:t>la vida útil normativ</w:t>
      </w:r>
      <w:r w:rsidR="00A0604A">
        <w:rPr>
          <w:lang w:val="es-ES"/>
        </w:rPr>
        <w:t>a</w:t>
      </w:r>
      <w:r w:rsidR="00A0604A">
        <w:rPr>
          <w:bCs/>
          <w:lang w:val="es-ES"/>
        </w:rPr>
        <w:t>.</w:t>
      </w:r>
    </w:p>
    <w:p w14:paraId="374958A2" w14:textId="77777777" w:rsidR="00A0604A" w:rsidRDefault="00A0604A" w:rsidP="00A0604A">
      <w:pPr>
        <w:jc w:val="both"/>
        <w:rPr>
          <w:rFonts w:ascii="Bookman Old Style" w:hAnsi="Bookman Old Style" w:cs="Arial"/>
          <w:bCs/>
          <w:color w:val="000000"/>
          <w:lang w:val="es-ES"/>
        </w:rPr>
      </w:pPr>
    </w:p>
    <w:p w14:paraId="06C0A22C" w14:textId="5FE80F1D" w:rsidR="00292CE5" w:rsidRPr="00947662" w:rsidRDefault="00DA06A4" w:rsidP="00A0604A">
      <w:pPr>
        <w:jc w:val="both"/>
        <w:rPr>
          <w:rFonts w:ascii="Bookman Old Style" w:hAnsi="Bookman Old Style" w:cs="Arial"/>
          <w:bCs/>
          <w:color w:val="000000"/>
          <w:lang w:val="es-ES"/>
        </w:rPr>
      </w:pPr>
      <w:r>
        <w:rPr>
          <w:rFonts w:ascii="Bookman Old Style" w:hAnsi="Bookman Old Style" w:cs="Arial"/>
          <w:bCs/>
          <w:color w:val="000000"/>
          <w:lang w:val="es-ES"/>
        </w:rPr>
        <w:t xml:space="preserve">En el caso de </w:t>
      </w:r>
      <w:r w:rsidR="00A0604A" w:rsidRPr="00947662">
        <w:rPr>
          <w:rFonts w:ascii="Bookman Old Style" w:hAnsi="Bookman Old Style" w:cs="Arial"/>
          <w:bCs/>
          <w:color w:val="000000"/>
          <w:lang w:val="es-ES"/>
        </w:rPr>
        <w:t>los activos que terminaron vida útil normativa,</w:t>
      </w:r>
      <w:r>
        <w:rPr>
          <w:rFonts w:ascii="Bookman Old Style" w:hAnsi="Bookman Old Style" w:cs="Arial"/>
          <w:bCs/>
          <w:color w:val="000000"/>
          <w:lang w:val="es-ES"/>
        </w:rPr>
        <w:t xml:space="preserve"> que</w:t>
      </w:r>
      <w:r w:rsidR="00A0604A" w:rsidRPr="00947662">
        <w:rPr>
          <w:rFonts w:ascii="Bookman Old Style" w:hAnsi="Bookman Old Style" w:cs="Arial"/>
          <w:bCs/>
          <w:color w:val="000000"/>
          <w:lang w:val="es-ES"/>
        </w:rPr>
        <w:t xml:space="preserve"> siguen en operación y el servicio público los requiere, </w:t>
      </w:r>
      <w:r>
        <w:rPr>
          <w:rFonts w:ascii="Bookman Old Style" w:hAnsi="Bookman Old Style" w:cs="Arial"/>
          <w:bCs/>
          <w:color w:val="000000"/>
          <w:lang w:val="es-ES"/>
        </w:rPr>
        <w:t>la Comisión propuso</w:t>
      </w:r>
      <w:r w:rsidR="00A0604A" w:rsidRPr="00947662">
        <w:rPr>
          <w:rFonts w:ascii="Bookman Old Style" w:hAnsi="Bookman Old Style" w:cs="Arial"/>
          <w:bCs/>
          <w:color w:val="000000"/>
          <w:lang w:val="es-ES"/>
        </w:rPr>
        <w:t xml:space="preserve"> </w:t>
      </w:r>
      <w:r>
        <w:rPr>
          <w:rFonts w:ascii="Bookman Old Style" w:hAnsi="Bookman Old Style" w:cs="Arial"/>
          <w:bCs/>
          <w:color w:val="000000"/>
          <w:lang w:val="es-ES"/>
        </w:rPr>
        <w:t xml:space="preserve">reconocer </w:t>
      </w:r>
      <w:r w:rsidR="00A0604A" w:rsidRPr="00947662">
        <w:rPr>
          <w:rFonts w:ascii="Bookman Old Style" w:hAnsi="Bookman Old Style" w:cs="Arial"/>
          <w:bCs/>
          <w:color w:val="000000"/>
          <w:lang w:val="es-ES"/>
        </w:rPr>
        <w:t>un costo de oportunidad equivalente a la rentabilidad del capital</w:t>
      </w:r>
      <w:r w:rsidR="00292CE5">
        <w:rPr>
          <w:rFonts w:ascii="Bookman Old Style" w:hAnsi="Bookman Old Style" w:cs="Arial"/>
          <w:bCs/>
          <w:color w:val="000000"/>
          <w:lang w:val="es-ES"/>
        </w:rPr>
        <w:t xml:space="preserve">. Para esto expuso </w:t>
      </w:r>
      <w:r w:rsidR="003B7D66">
        <w:rPr>
          <w:rFonts w:ascii="Bookman Old Style" w:hAnsi="Bookman Old Style" w:cs="Arial"/>
          <w:bCs/>
          <w:color w:val="000000"/>
          <w:lang w:val="es-ES"/>
        </w:rPr>
        <w:t xml:space="preserve">en el numeral </w:t>
      </w:r>
      <w:r w:rsidR="00F529CD">
        <w:rPr>
          <w:rFonts w:ascii="Bookman Old Style" w:hAnsi="Bookman Old Style" w:cs="Arial"/>
          <w:bCs/>
          <w:color w:val="000000"/>
          <w:lang w:val="es-ES"/>
        </w:rPr>
        <w:t xml:space="preserve">2.1 de la propuesta a consulta </w:t>
      </w:r>
      <w:r w:rsidR="00292CE5">
        <w:rPr>
          <w:rFonts w:ascii="Bookman Old Style" w:hAnsi="Bookman Old Style" w:cs="Arial"/>
          <w:bCs/>
          <w:color w:val="000000"/>
          <w:lang w:val="es-ES"/>
        </w:rPr>
        <w:t>el siguiente análisis:</w:t>
      </w:r>
    </w:p>
    <w:p w14:paraId="7EC5AD3F" w14:textId="293E195F" w:rsidR="00B344AC" w:rsidRDefault="00E56F5C" w:rsidP="24AC7611">
      <w:pPr>
        <w:pStyle w:val="NormalWeb"/>
        <w:spacing w:line="240" w:lineRule="auto"/>
        <w:ind w:left="227"/>
        <w:rPr>
          <w:i/>
          <w:iCs/>
          <w:sz w:val="22"/>
          <w:szCs w:val="22"/>
          <w:lang w:val="es-CO"/>
        </w:rPr>
      </w:pPr>
      <w:r w:rsidRPr="24AC7611">
        <w:rPr>
          <w:i/>
          <w:iCs/>
          <w:sz w:val="22"/>
          <w:szCs w:val="22"/>
          <w:lang w:val="es-CO"/>
        </w:rPr>
        <w:t>“</w:t>
      </w:r>
      <w:r w:rsidR="00B344AC" w:rsidRPr="24AC7611">
        <w:rPr>
          <w:i/>
          <w:iCs/>
          <w:sz w:val="22"/>
          <w:szCs w:val="22"/>
          <w:lang w:val="es-CO"/>
        </w:rPr>
        <w:t>2.1. Sobre la vida útil normativa.</w:t>
      </w:r>
    </w:p>
    <w:p w14:paraId="1E185B4F" w14:textId="3E5A56F0"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Lo primero a señalar es que en el documento CREG 143 A de 2021, la CREG presentó en forma amplia los análisis que derivaron en ajustar la disposición de remuneración de los activos que ya se remuneraron pero que continúan en operación. En transporte de gas esto ocurre porque, conforme a la señal regulatoria, hay una remuneración acelerada de la inversión. Es decir, contrario a lo que ocurriría en un mercado en competencia, las firmas recuperan los valores de las inversiones con la respectiva rentabilidad mucho antes de la depreciación total del activo.</w:t>
      </w:r>
    </w:p>
    <w:p w14:paraId="277394C2" w14:textId="45635BA8"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 xml:space="preserve">Señalan </w:t>
      </w:r>
      <w:proofErr w:type="spellStart"/>
      <w:r w:rsidRPr="00947662">
        <w:rPr>
          <w:i/>
          <w:iCs/>
          <w:sz w:val="22"/>
          <w:szCs w:val="22"/>
          <w:lang w:val="es-CO"/>
        </w:rPr>
        <w:t>TGI</w:t>
      </w:r>
      <w:proofErr w:type="spellEnd"/>
      <w:r w:rsidRPr="00947662">
        <w:rPr>
          <w:i/>
          <w:iCs/>
          <w:sz w:val="22"/>
          <w:szCs w:val="22"/>
          <w:lang w:val="es-CO"/>
        </w:rPr>
        <w:t xml:space="preserve"> S.A. E.S.P. y Grupo de Energía de Bogotá que la CREG no podía modificar la señal de remuneración de un activo después de la vida útil normativa. Argumentan estas empresas que la decisión resultó en contravía de la eficiencia económica, porque el servicio debe remunerarse a precios de mercado, y de la suficiencia financiera, porque la tarifa debe garantizar la recuperación de los costos y gastos de toda operación, siempre y cuando estos sean eficientes.</w:t>
      </w:r>
    </w:p>
    <w:p w14:paraId="2D28FB0A" w14:textId="4AFAA58F" w:rsidR="00E56F5C" w:rsidRPr="00947662" w:rsidRDefault="00E56F5C" w:rsidP="00947662">
      <w:pPr>
        <w:pStyle w:val="NormalWeb"/>
        <w:spacing w:line="240" w:lineRule="auto"/>
        <w:ind w:left="227"/>
        <w:rPr>
          <w:i/>
          <w:iCs/>
          <w:sz w:val="22"/>
          <w:szCs w:val="22"/>
          <w:lang w:val="es-CO"/>
        </w:rPr>
      </w:pPr>
      <w:proofErr w:type="spellStart"/>
      <w:r w:rsidRPr="00947662">
        <w:rPr>
          <w:i/>
          <w:iCs/>
          <w:sz w:val="22"/>
          <w:szCs w:val="22"/>
          <w:lang w:val="es-CO"/>
        </w:rPr>
        <w:t>TGI</w:t>
      </w:r>
      <w:proofErr w:type="spellEnd"/>
      <w:r w:rsidRPr="00947662">
        <w:rPr>
          <w:i/>
          <w:iCs/>
          <w:sz w:val="22"/>
          <w:szCs w:val="22"/>
          <w:lang w:val="es-CO"/>
        </w:rPr>
        <w:t xml:space="preserve"> S.A. E.S.P. y Grupo de Energía de Bogotá también señalan que desde 1996, la CREG en sus diferentes metodologías para la remuneración de la actividad de transporte de gas natural, había mantenido explícitamente la señal de reconocimiento del costo de oportunidad de los activos durante la vida útil remanente de los mismos. El Grupo de Energía de Bogotá señala que, cuando decidió invertir en la actividad de transporte, pensó que la señal de remuneración se mantendría en el tiempo.</w:t>
      </w:r>
    </w:p>
    <w:p w14:paraId="181E8CA7" w14:textId="681EC6F9"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 xml:space="preserve">Lo primero a señalar es que toda la exposición que presenta </w:t>
      </w:r>
      <w:proofErr w:type="spellStart"/>
      <w:r w:rsidRPr="00947662">
        <w:rPr>
          <w:i/>
          <w:iCs/>
          <w:sz w:val="22"/>
          <w:szCs w:val="22"/>
          <w:lang w:val="es-CO"/>
        </w:rPr>
        <w:t>TGI</w:t>
      </w:r>
      <w:proofErr w:type="spellEnd"/>
      <w:r w:rsidRPr="00947662">
        <w:rPr>
          <w:i/>
          <w:iCs/>
          <w:sz w:val="22"/>
          <w:szCs w:val="22"/>
          <w:lang w:val="es-CO"/>
        </w:rPr>
        <w:t xml:space="preserve"> S.A. E.S.P. y Grupo de Energía de Bogotá ya había sido objeto de análisis en el mencionado Documento CREG 143 A de 2021. Así, es pertinente advertir que la decisión que se adoptó cumple con todos los criterios señalados en la Ley sobre el régimen tarifario.</w:t>
      </w:r>
    </w:p>
    <w:p w14:paraId="6706A2A8" w14:textId="00E4EE30"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 xml:space="preserve">También es oportuno señalar que la regulación que expide la CREG debe ser siempre independiente de quién o quiénes prestan el servicio. Económicamente, la remuneración de una actividad debe siempre tener como presupuesto una empresa eficiente y, por ende, los valores de inversión y gastos de </w:t>
      </w:r>
      <w:proofErr w:type="spellStart"/>
      <w:r w:rsidRPr="00947662">
        <w:rPr>
          <w:i/>
          <w:iCs/>
          <w:sz w:val="22"/>
          <w:szCs w:val="22"/>
          <w:lang w:val="es-CO"/>
        </w:rPr>
        <w:t>AOM</w:t>
      </w:r>
      <w:proofErr w:type="spellEnd"/>
      <w:r w:rsidRPr="00947662">
        <w:rPr>
          <w:i/>
          <w:iCs/>
          <w:sz w:val="22"/>
          <w:szCs w:val="22"/>
          <w:lang w:val="es-CO"/>
        </w:rPr>
        <w:t xml:space="preserve"> eficientes. Los usuarios del servicio no deben pagar por las ineficiencias de las empresas, y ahí la </w:t>
      </w:r>
      <w:r w:rsidRPr="00947662">
        <w:rPr>
          <w:i/>
          <w:iCs/>
          <w:sz w:val="22"/>
          <w:szCs w:val="22"/>
          <w:lang w:val="es-CO"/>
        </w:rPr>
        <w:lastRenderedPageBreak/>
        <w:t xml:space="preserve">regulación siempre debe brindar las señales para que el servicio que se remunere cubra costos y gastos eficientes. </w:t>
      </w:r>
    </w:p>
    <w:p w14:paraId="049AE585" w14:textId="73F2102F"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 xml:space="preserve">Como se indicó arriba, en un mercado en competencia, la remuneración de un activo está en línea con su depreciación. Es decir, en competencia perfecta no ocurre que una empresa recupere el valor de la inversión con la respectiva rentabilidad antes de la depreciación del activo. Si se tiene en cuenta que la vida real de un activo es del orden de los 50 años, con la señal regulatoria de transporte ocurre que mucho antes de que el activo se deprecie la empresa ya recuperó el capital invertido incluyendo la rentabilidad. </w:t>
      </w:r>
    </w:p>
    <w:p w14:paraId="78D299B9" w14:textId="77777777"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En esta línea de argumentación no debe perderse de vista que los usuarios, al haber remunerado una inversión en un plazo inferior al de la vida útil real, pagaron en las tarifas un mayor valor para que el inversionista recuperara la inversión en los 20 años. En el siguiente ejemplo, suponiendo una inversión de 1 millón y una tasa de descuento de 10,94%, nótese la diferencia en los pagos.</w:t>
      </w:r>
    </w:p>
    <w:tbl>
      <w:tblPr>
        <w:tblStyle w:val="Tablaconcuadrcula1clara"/>
        <w:tblW w:w="4721" w:type="dxa"/>
        <w:jc w:val="center"/>
        <w:tblLook w:val="0420" w:firstRow="1" w:lastRow="0" w:firstColumn="0" w:lastColumn="0" w:noHBand="0" w:noVBand="1"/>
      </w:tblPr>
      <w:tblGrid>
        <w:gridCol w:w="2647"/>
        <w:gridCol w:w="2074"/>
      </w:tblGrid>
      <w:tr w:rsidR="00E56F5C" w:rsidRPr="00E56F5C" w14:paraId="1D5114E5" w14:textId="77777777" w:rsidTr="008F38CC">
        <w:trPr>
          <w:cnfStyle w:val="100000000000" w:firstRow="1" w:lastRow="0" w:firstColumn="0" w:lastColumn="0" w:oddVBand="0" w:evenVBand="0" w:oddHBand="0" w:evenHBand="0" w:firstRowFirstColumn="0" w:firstRowLastColumn="0" w:lastRowFirstColumn="0" w:lastRowLastColumn="0"/>
          <w:trHeight w:val="161"/>
          <w:jc w:val="center"/>
        </w:trPr>
        <w:tc>
          <w:tcPr>
            <w:tcW w:w="2647" w:type="dxa"/>
            <w:noWrap/>
            <w:vAlign w:val="center"/>
            <w:hideMark/>
          </w:tcPr>
          <w:p w14:paraId="426033E3" w14:textId="77777777" w:rsidR="00E56F5C" w:rsidRPr="00947662" w:rsidRDefault="00E56F5C" w:rsidP="00947662">
            <w:pPr>
              <w:spacing w:before="100" w:beforeAutospacing="1" w:after="100" w:afterAutospacing="1"/>
              <w:ind w:left="227"/>
              <w:jc w:val="center"/>
              <w:rPr>
                <w:rFonts w:ascii="Bookman Old Style" w:hAnsi="Bookman Old Style" w:cs="Arial"/>
                <w:i/>
                <w:iCs/>
                <w:color w:val="000000"/>
                <w:sz w:val="22"/>
                <w:szCs w:val="22"/>
              </w:rPr>
            </w:pPr>
            <w:r w:rsidRPr="00947662">
              <w:rPr>
                <w:rFonts w:ascii="Bookman Old Style" w:hAnsi="Bookman Old Style" w:cs="Arial"/>
                <w:i/>
                <w:iCs/>
                <w:color w:val="000000"/>
                <w:sz w:val="22"/>
                <w:szCs w:val="22"/>
              </w:rPr>
              <w:t>Inversión</w:t>
            </w:r>
          </w:p>
        </w:tc>
        <w:tc>
          <w:tcPr>
            <w:tcW w:w="2074" w:type="dxa"/>
            <w:noWrap/>
            <w:vAlign w:val="center"/>
            <w:hideMark/>
          </w:tcPr>
          <w:p w14:paraId="7FB351AB" w14:textId="7464E0EC" w:rsidR="00E56F5C" w:rsidRPr="00947662" w:rsidRDefault="00E56F5C" w:rsidP="00950292">
            <w:pPr>
              <w:spacing w:before="100" w:beforeAutospacing="1" w:after="100" w:afterAutospacing="1"/>
              <w:ind w:left="227"/>
              <w:jc w:val="center"/>
              <w:rPr>
                <w:rFonts w:ascii="Bookman Old Style" w:hAnsi="Bookman Old Style" w:cs="Arial"/>
                <w:i/>
                <w:iCs/>
                <w:color w:val="000000"/>
                <w:sz w:val="22"/>
                <w:szCs w:val="22"/>
              </w:rPr>
            </w:pPr>
            <w:r w:rsidRPr="00947662">
              <w:rPr>
                <w:rFonts w:ascii="Bookman Old Style" w:hAnsi="Bookman Old Style" w:cs="Arial"/>
                <w:i/>
                <w:iCs/>
                <w:color w:val="000000"/>
                <w:sz w:val="22"/>
                <w:szCs w:val="22"/>
              </w:rPr>
              <w:t>1.000.000</w:t>
            </w:r>
          </w:p>
        </w:tc>
      </w:tr>
      <w:tr w:rsidR="00E56F5C" w:rsidRPr="00E56F5C" w14:paraId="67AFFAB3" w14:textId="77777777" w:rsidTr="002C530B">
        <w:trPr>
          <w:trHeight w:val="161"/>
          <w:jc w:val="center"/>
        </w:trPr>
        <w:tc>
          <w:tcPr>
            <w:tcW w:w="2647" w:type="dxa"/>
            <w:noWrap/>
            <w:hideMark/>
          </w:tcPr>
          <w:p w14:paraId="4A9B4DC3" w14:textId="77777777" w:rsidR="00E56F5C" w:rsidRPr="00947662" w:rsidRDefault="00E56F5C" w:rsidP="00947662">
            <w:pPr>
              <w:spacing w:before="100" w:beforeAutospacing="1" w:after="100" w:afterAutospacing="1"/>
              <w:ind w:left="227"/>
              <w:rPr>
                <w:rFonts w:ascii="Bookman Old Style" w:hAnsi="Bookman Old Style" w:cs="Arial"/>
                <w:i/>
                <w:iCs/>
                <w:color w:val="000000"/>
                <w:sz w:val="22"/>
                <w:szCs w:val="22"/>
              </w:rPr>
            </w:pPr>
            <w:r w:rsidRPr="00947662">
              <w:rPr>
                <w:rFonts w:ascii="Bookman Old Style" w:hAnsi="Bookman Old Style" w:cs="Arial"/>
                <w:i/>
                <w:iCs/>
                <w:color w:val="000000"/>
                <w:sz w:val="22"/>
                <w:szCs w:val="22"/>
              </w:rPr>
              <w:t>Tasa descuento</w:t>
            </w:r>
          </w:p>
        </w:tc>
        <w:tc>
          <w:tcPr>
            <w:tcW w:w="2074" w:type="dxa"/>
            <w:noWrap/>
            <w:hideMark/>
          </w:tcPr>
          <w:p w14:paraId="43031100" w14:textId="77777777" w:rsidR="00E56F5C" w:rsidRPr="00947662" w:rsidRDefault="00E56F5C" w:rsidP="00947662">
            <w:pPr>
              <w:spacing w:before="100" w:beforeAutospacing="1" w:after="100" w:afterAutospacing="1"/>
              <w:ind w:left="227"/>
              <w:jc w:val="right"/>
              <w:rPr>
                <w:rFonts w:ascii="Bookman Old Style" w:hAnsi="Bookman Old Style" w:cs="Arial"/>
                <w:i/>
                <w:iCs/>
                <w:color w:val="000000"/>
                <w:sz w:val="22"/>
                <w:szCs w:val="22"/>
              </w:rPr>
            </w:pPr>
            <w:r w:rsidRPr="00947662">
              <w:rPr>
                <w:rFonts w:ascii="Bookman Old Style" w:hAnsi="Bookman Old Style" w:cs="Arial"/>
                <w:i/>
                <w:iCs/>
                <w:color w:val="000000"/>
                <w:sz w:val="22"/>
                <w:szCs w:val="22"/>
              </w:rPr>
              <w:t>10,94%</w:t>
            </w:r>
          </w:p>
        </w:tc>
      </w:tr>
      <w:tr w:rsidR="00E56F5C" w:rsidRPr="00E56F5C" w14:paraId="02DF94F5" w14:textId="77777777" w:rsidTr="002C530B">
        <w:trPr>
          <w:trHeight w:val="161"/>
          <w:jc w:val="center"/>
        </w:trPr>
        <w:tc>
          <w:tcPr>
            <w:tcW w:w="2647" w:type="dxa"/>
            <w:noWrap/>
            <w:hideMark/>
          </w:tcPr>
          <w:p w14:paraId="65318CBA" w14:textId="77777777" w:rsidR="00E56F5C" w:rsidRPr="00947662" w:rsidRDefault="00E56F5C" w:rsidP="00947662">
            <w:pPr>
              <w:spacing w:before="100" w:beforeAutospacing="1" w:after="100" w:afterAutospacing="1"/>
              <w:ind w:left="227"/>
              <w:rPr>
                <w:rFonts w:ascii="Bookman Old Style" w:hAnsi="Bookman Old Style" w:cs="Arial"/>
                <w:i/>
                <w:iCs/>
                <w:color w:val="000000"/>
                <w:sz w:val="22"/>
                <w:szCs w:val="22"/>
              </w:rPr>
            </w:pPr>
            <w:r w:rsidRPr="00947662">
              <w:rPr>
                <w:rFonts w:ascii="Bookman Old Style" w:hAnsi="Bookman Old Style" w:cs="Arial"/>
                <w:i/>
                <w:iCs/>
                <w:color w:val="000000"/>
                <w:sz w:val="22"/>
                <w:szCs w:val="22"/>
              </w:rPr>
              <w:t>Pago 20 años</w:t>
            </w:r>
          </w:p>
        </w:tc>
        <w:tc>
          <w:tcPr>
            <w:tcW w:w="2074" w:type="dxa"/>
            <w:noWrap/>
            <w:hideMark/>
          </w:tcPr>
          <w:p w14:paraId="38F0A465" w14:textId="77777777" w:rsidR="00E56F5C" w:rsidRPr="00947662" w:rsidRDefault="00E56F5C" w:rsidP="00947662">
            <w:pPr>
              <w:spacing w:before="100" w:beforeAutospacing="1" w:after="100" w:afterAutospacing="1"/>
              <w:ind w:left="227"/>
              <w:jc w:val="right"/>
              <w:rPr>
                <w:rFonts w:ascii="Bookman Old Style" w:hAnsi="Bookman Old Style" w:cs="Arial"/>
                <w:i/>
                <w:iCs/>
                <w:color w:val="000000"/>
                <w:sz w:val="22"/>
                <w:szCs w:val="22"/>
              </w:rPr>
            </w:pPr>
            <w:r w:rsidRPr="00947662">
              <w:rPr>
                <w:rFonts w:ascii="Bookman Old Style" w:hAnsi="Bookman Old Style" w:cs="Arial"/>
                <w:i/>
                <w:iCs/>
                <w:color w:val="000000"/>
                <w:sz w:val="22"/>
                <w:szCs w:val="22"/>
              </w:rPr>
              <w:t xml:space="preserve">          125.083 </w:t>
            </w:r>
          </w:p>
        </w:tc>
      </w:tr>
      <w:tr w:rsidR="00E56F5C" w:rsidRPr="00E56F5C" w14:paraId="5023E139" w14:textId="77777777" w:rsidTr="002C530B">
        <w:trPr>
          <w:trHeight w:val="161"/>
          <w:jc w:val="center"/>
        </w:trPr>
        <w:tc>
          <w:tcPr>
            <w:tcW w:w="2647" w:type="dxa"/>
            <w:noWrap/>
            <w:hideMark/>
          </w:tcPr>
          <w:p w14:paraId="56621B72" w14:textId="77777777" w:rsidR="00E56F5C" w:rsidRPr="00947662" w:rsidRDefault="00E56F5C" w:rsidP="00947662">
            <w:pPr>
              <w:spacing w:before="100" w:beforeAutospacing="1" w:after="100" w:afterAutospacing="1"/>
              <w:ind w:left="227"/>
              <w:rPr>
                <w:rFonts w:ascii="Bookman Old Style" w:hAnsi="Bookman Old Style" w:cs="Arial"/>
                <w:i/>
                <w:iCs/>
                <w:color w:val="000000"/>
                <w:sz w:val="22"/>
                <w:szCs w:val="22"/>
              </w:rPr>
            </w:pPr>
            <w:r w:rsidRPr="00947662">
              <w:rPr>
                <w:rFonts w:ascii="Bookman Old Style" w:hAnsi="Bookman Old Style" w:cs="Arial"/>
                <w:i/>
                <w:iCs/>
                <w:color w:val="000000"/>
                <w:sz w:val="22"/>
                <w:szCs w:val="22"/>
              </w:rPr>
              <w:t>Pago 50 años</w:t>
            </w:r>
          </w:p>
        </w:tc>
        <w:tc>
          <w:tcPr>
            <w:tcW w:w="2074" w:type="dxa"/>
            <w:noWrap/>
            <w:hideMark/>
          </w:tcPr>
          <w:p w14:paraId="0CC3D736" w14:textId="77777777" w:rsidR="00E56F5C" w:rsidRPr="00947662" w:rsidRDefault="00E56F5C" w:rsidP="00947662">
            <w:pPr>
              <w:spacing w:before="100" w:beforeAutospacing="1" w:after="100" w:afterAutospacing="1"/>
              <w:ind w:left="227"/>
              <w:jc w:val="right"/>
              <w:rPr>
                <w:rFonts w:ascii="Bookman Old Style" w:hAnsi="Bookman Old Style" w:cs="Arial"/>
                <w:i/>
                <w:iCs/>
                <w:color w:val="000000"/>
                <w:sz w:val="22"/>
                <w:szCs w:val="22"/>
              </w:rPr>
            </w:pPr>
            <w:r w:rsidRPr="00947662">
              <w:rPr>
                <w:rFonts w:ascii="Bookman Old Style" w:hAnsi="Bookman Old Style" w:cs="Arial"/>
                <w:i/>
                <w:iCs/>
                <w:color w:val="000000"/>
                <w:sz w:val="22"/>
                <w:szCs w:val="22"/>
              </w:rPr>
              <w:t xml:space="preserve">          110.012 </w:t>
            </w:r>
          </w:p>
        </w:tc>
      </w:tr>
    </w:tbl>
    <w:p w14:paraId="0B8420CD" w14:textId="77777777"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La diferencia entre el pago a 20 años y el de 50 es del 14%</w:t>
      </w:r>
      <w:r w:rsidRPr="00947662">
        <w:rPr>
          <w:i/>
          <w:iCs/>
          <w:sz w:val="22"/>
          <w:szCs w:val="22"/>
          <w:vertAlign w:val="superscript"/>
          <w:lang w:val="es-CO"/>
        </w:rPr>
        <w:footnoteReference w:id="2"/>
      </w:r>
      <w:r w:rsidRPr="00947662">
        <w:rPr>
          <w:i/>
          <w:iCs/>
          <w:sz w:val="22"/>
          <w:szCs w:val="22"/>
          <w:lang w:val="es-CO"/>
        </w:rPr>
        <w:t>. Por supuesto, se debe mencionar que, cuando la Comisión decidió remunerar en forma anticipada las inversiones, lo hizo principalmente para generar una señal que le permitiera a las empresas en transporte de gas hacer las inversiones.</w:t>
      </w:r>
    </w:p>
    <w:p w14:paraId="66EB0AD3" w14:textId="77777777"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Ante esta circunstancia, y sabiendo que el activo sigue en operación, y lo más importante, que el servicio que presta el activo se necesita, aparece la cuestión regulatoria sobre qué señal brindarle al transportador para que ésta mantenga en operación el activo.</w:t>
      </w:r>
    </w:p>
    <w:p w14:paraId="620B1CE3" w14:textId="77777777"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Frente a esta cuestión, en la Resolución CREG 001 de 2000 la señal fue que, cuando el activo cumpliera la vida útil normativa, la CREG, para el siguiente periodo de vida útil normativa, le reconocería a la empresa un costo de oportunidad teniendo cuenta la vida remanente del activo. Esta circunstancia quedó documentada en el documento soporte de la Resolución CREG 018 de 2014</w:t>
      </w:r>
      <w:r w:rsidRPr="00947662">
        <w:rPr>
          <w:rStyle w:val="Refdenotaalpie"/>
          <w:i/>
          <w:iCs/>
          <w:sz w:val="22"/>
          <w:szCs w:val="22"/>
          <w:lang w:val="es-CO"/>
        </w:rPr>
        <w:footnoteReference w:id="3"/>
      </w:r>
      <w:r w:rsidRPr="00947662">
        <w:rPr>
          <w:i/>
          <w:iCs/>
          <w:sz w:val="22"/>
          <w:szCs w:val="22"/>
          <w:lang w:val="es-CO"/>
        </w:rPr>
        <w:t xml:space="preserve">, en donde se describe cómo la disposición del costo de oportunidad prevista en la Resolución CREG 001 de 2000 se aplicó para la infraestructura de transporte de Promigas S.A. E.S.P. entre Cartagena – Jobo, </w:t>
      </w:r>
      <w:proofErr w:type="spellStart"/>
      <w:r w:rsidRPr="00947662">
        <w:rPr>
          <w:i/>
          <w:iCs/>
          <w:sz w:val="22"/>
          <w:szCs w:val="22"/>
          <w:lang w:val="es-CO"/>
        </w:rPr>
        <w:t>SRT</w:t>
      </w:r>
      <w:proofErr w:type="spellEnd"/>
      <w:r w:rsidRPr="00947662">
        <w:rPr>
          <w:i/>
          <w:iCs/>
          <w:sz w:val="22"/>
          <w:szCs w:val="22"/>
          <w:lang w:val="es-CO"/>
        </w:rPr>
        <w:t xml:space="preserve"> Mamonal y La Creciente – Sincelejo.</w:t>
      </w:r>
    </w:p>
    <w:p w14:paraId="4563D4AA" w14:textId="2D1C54FC"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En esencia, en el mencionado documento se indicó que, una vez cumplida la vida útil normativa, la CREG reconoció el valor eficiente de las adecuaciones que se requerían para mantener en operación los gasoductos, y para esa infraestructura se empezó a contar nuevamente un periodo de vida útil normativo desde 2002. Desde el punto de vista regulatorio, las adecuaciones para mantener en operación los gasoductos por otro periodo de vida útil normativa se entendieron como el valor del costo de oportunidad que requería la empresa para seguir prestando el servicio con esos activos.</w:t>
      </w:r>
    </w:p>
    <w:p w14:paraId="05EA9C4F" w14:textId="7810AE32"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lastRenderedPageBreak/>
        <w:t>Posteriormente en la Resolución CREG 126 de 2010, en aras de poner una disposición más explícita, la Comisión decidió que, cuando un activo terminaba el periodo de vida útil normativo, para el siguiente periodo, si el activo continuaba en operación, se le reconocería un 60% de un valor de reposición a nuevo. En el caso de los gasoductos, determinado por un perito, y en el caso de los compresores, con la información que tenía la CREG.</w:t>
      </w:r>
    </w:p>
    <w:p w14:paraId="21E26430" w14:textId="2A7A79D5"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 xml:space="preserve">Contrario a lo expuesto por </w:t>
      </w:r>
      <w:proofErr w:type="spellStart"/>
      <w:r w:rsidRPr="00947662">
        <w:rPr>
          <w:i/>
          <w:iCs/>
          <w:sz w:val="22"/>
          <w:szCs w:val="22"/>
          <w:lang w:val="es-CO"/>
        </w:rPr>
        <w:t>TGI</w:t>
      </w:r>
      <w:proofErr w:type="spellEnd"/>
      <w:r w:rsidRPr="00947662">
        <w:rPr>
          <w:i/>
          <w:iCs/>
          <w:sz w:val="22"/>
          <w:szCs w:val="22"/>
          <w:lang w:val="es-CO"/>
        </w:rPr>
        <w:t xml:space="preserve"> S.A. E.S.P. y Grupo de Energía de Bogotá, nótese que las disposiciones sobre cómo remunerar el activo que cumplió el periodo de vida útil normativa sí se ha ido modificando. En la Resolución CREG 001 de 2000 había una señal y en la Resolución CREG 126 de 2010 otra. </w:t>
      </w:r>
    </w:p>
    <w:p w14:paraId="052A4488" w14:textId="2E61E170"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Como se indicó antes, con la señal que estaba en la Resolución CREG 001 de 2000, la CREG le reconoció el valor de unas adecuaciones que Promigas S.A. E.S.P. requirió para mantener en operación una infraestructura. Luego, cuando se expide la Resolución CREG 126 de 2010, durante la vigencia de esa resolución, a los activos que terminaron vida útil normativa se les reconoció el 60% del valor de reposición a nuevo.</w:t>
      </w:r>
    </w:p>
    <w:p w14:paraId="558460A8" w14:textId="7F2F7349"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 xml:space="preserve">Desde el punto de vista regulatorio, transcurrido el periodo acordado de remuneración, es decir, el periodo de vida útil normativo, no se entiende por qué </w:t>
      </w:r>
      <w:proofErr w:type="spellStart"/>
      <w:r w:rsidRPr="00947662">
        <w:rPr>
          <w:i/>
          <w:iCs/>
          <w:sz w:val="22"/>
          <w:szCs w:val="22"/>
          <w:lang w:val="es-CO"/>
        </w:rPr>
        <w:t>TGI</w:t>
      </w:r>
      <w:proofErr w:type="spellEnd"/>
      <w:r w:rsidRPr="00947662">
        <w:rPr>
          <w:i/>
          <w:iCs/>
          <w:sz w:val="22"/>
          <w:szCs w:val="22"/>
          <w:lang w:val="es-CO"/>
        </w:rPr>
        <w:t xml:space="preserve"> S.A. E.S.P. y Grupo de Energía de Bogotá afirman que a la empresa se le debe continuar pagando el activo como si este no se hubiere ya pagado.</w:t>
      </w:r>
    </w:p>
    <w:p w14:paraId="4193C6A2" w14:textId="062DEC04"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 xml:space="preserve">Ahora bien, es cierto que, </w:t>
      </w:r>
      <w:bookmarkStart w:id="0" w:name="_Hlk169185201"/>
      <w:r w:rsidRPr="00947662">
        <w:rPr>
          <w:i/>
          <w:iCs/>
          <w:sz w:val="22"/>
          <w:szCs w:val="22"/>
          <w:lang w:val="es-CO"/>
        </w:rPr>
        <w:t>una vez remunerado un activo, si este puede seguir prestando el servicio, y lo más importante, el servicio se sigue necesitando, la cuestión regulatoria es qué señales se deben brindar a las empresas para que el activo continúe en operación.</w:t>
      </w:r>
      <w:bookmarkEnd w:id="0"/>
    </w:p>
    <w:p w14:paraId="20FBD949" w14:textId="77777777"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En la Resolución CREG 126 de 2010, que rigió desde agosto de 2010 hasta noviembre de 2021, la señal era que, si el activo continuaba en operación, se le reconocía un 60% del valor de reposición a nuevo, el cual abarca todas las reparaciones que se requieran sobre dicho activo</w:t>
      </w:r>
      <w:r w:rsidRPr="00947662">
        <w:rPr>
          <w:rStyle w:val="Refdenotaalpie"/>
          <w:i/>
          <w:iCs/>
          <w:sz w:val="22"/>
          <w:szCs w:val="22"/>
          <w:lang w:val="es-CO"/>
        </w:rPr>
        <w:footnoteReference w:id="4"/>
      </w:r>
      <w:r w:rsidRPr="00947662">
        <w:rPr>
          <w:i/>
          <w:iCs/>
          <w:sz w:val="22"/>
          <w:szCs w:val="22"/>
          <w:lang w:val="es-CO"/>
        </w:rPr>
        <w:t>.</w:t>
      </w:r>
    </w:p>
    <w:p w14:paraId="78CB7732" w14:textId="75884323"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Por las razones expuestas en el Documento CREG 143 A de 2021, esa disposición se cambió y ahora sólo se reconocen las inversiones que requiere el gasoducto o el compresor para mantenerlo en operación. Esta disposición, entre otras, se tomó porque se consideró más equitativa, tanto para el usuario como para la empresa.</w:t>
      </w:r>
    </w:p>
    <w:p w14:paraId="5D381BA7" w14:textId="08E7D5CC"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 xml:space="preserve">En el proceso de consulta pública cumplido para la expedición de la nueva metodología de remuneración de la actividad de transporte, para los casos en los que una empresa declaraba que podía mantener en operación un activo, en la Resolución CREG 090 de 2016, la CREG sometió a consulta la alternativa de bajar del 60% al 30% del valor de reposición a nuevo el reconocimiento de la inversión en activos de transporte que cumplieran la vida útil normativa de 20 años, en los casos en los que una empresa declaraba que podía mantener en operación dicho activo. </w:t>
      </w:r>
    </w:p>
    <w:p w14:paraId="5091E2DD" w14:textId="211C7045"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Con la información aportada por las empresas y los análisis de la CREG se encontró que la medida que se consultó con la Resolución CREG 090 de 2016 no era adecuada. Así, podían presentarse casos en los que el valor de las inversiones que se requerían eran mayores al 30% del valor de reposición a nuevo, y otros, en donde el valor de las inversiones eran menores.</w:t>
      </w:r>
    </w:p>
    <w:p w14:paraId="4C89B799" w14:textId="77422C07"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lastRenderedPageBreak/>
        <w:t>Por otra parte, con respecto a los impactos que tiene la disposición en los ingresos de las empresas, frente a la señal que había con la metodología anterior, es decir, en la Resolución CREG 126 de 2010, efectivamente hay un cambio en el nivel de los ingresos de una empresa con activos que cumplen vida útil normativa, especialmente si las inversiones que requiere la empresa para mantener en operación el activo, resultan inferiores a las inversiones que venían remunerándose.</w:t>
      </w:r>
    </w:p>
    <w:p w14:paraId="5A5551EE" w14:textId="739FD659"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 xml:space="preserve">En esta parte de la discusión, y volviendo al tema de los incentivos, producto de las peticiones de </w:t>
      </w:r>
      <w:proofErr w:type="spellStart"/>
      <w:r w:rsidRPr="00947662">
        <w:rPr>
          <w:i/>
          <w:iCs/>
          <w:sz w:val="22"/>
          <w:szCs w:val="22"/>
          <w:lang w:val="es-CO"/>
        </w:rPr>
        <w:t>TGI</w:t>
      </w:r>
      <w:proofErr w:type="spellEnd"/>
      <w:r w:rsidRPr="00947662">
        <w:rPr>
          <w:i/>
          <w:iCs/>
          <w:sz w:val="22"/>
          <w:szCs w:val="22"/>
          <w:lang w:val="es-CO"/>
        </w:rPr>
        <w:t xml:space="preserve"> S.A. E.S.P., Grupo de Energía de Bogotá y </w:t>
      </w:r>
      <w:proofErr w:type="spellStart"/>
      <w:r w:rsidRPr="00947662">
        <w:rPr>
          <w:i/>
          <w:iCs/>
          <w:sz w:val="22"/>
          <w:szCs w:val="22"/>
          <w:lang w:val="es-CO"/>
        </w:rPr>
        <w:t>Vanti</w:t>
      </w:r>
      <w:proofErr w:type="spellEnd"/>
      <w:r w:rsidRPr="00947662">
        <w:rPr>
          <w:i/>
          <w:iCs/>
          <w:sz w:val="22"/>
          <w:szCs w:val="22"/>
          <w:lang w:val="es-CO"/>
        </w:rPr>
        <w:t xml:space="preserve"> S.A. E.S.P., es pertinente discutir qué señales debería recibir la firma transportadora, a manera de costo de oportunidad, para mantener en buen estado operativo la infraestructura, después de que esta se le remunere.</w:t>
      </w:r>
    </w:p>
    <w:p w14:paraId="16350023" w14:textId="261C4AE6"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En la Resolución CREG 175 de 2021 es explícito que a la empresa se le reconocerían todas las nuevas inversiones que resultaren necesarias para mantener en operación el gasoducto o el compresor. Sin embargo, y del análisis que ha hecho la CREG, la pregunta es si esa medida incentiva a las firmas a mantener en buen estado la infraestructura.</w:t>
      </w:r>
    </w:p>
    <w:p w14:paraId="5DCBB42D" w14:textId="6BC3B1F8"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Si bien en principio los usuarios no deberían remunerar vía tarifas activos que ya se pagaron, sí se identifica la necesidad de generar alguna señal para que las empresas con activos de este tipo que siguen en operación y que prestan un servicio que sigue demandándose, reciban algún tipo de ingreso por mantener en operación los activos.</w:t>
      </w:r>
    </w:p>
    <w:p w14:paraId="0A530F0B" w14:textId="1DC1E89B" w:rsidR="00E56F5C" w:rsidRPr="00947662" w:rsidRDefault="00E56F5C" w:rsidP="00947662">
      <w:pPr>
        <w:pStyle w:val="NormalWeb"/>
        <w:spacing w:line="240" w:lineRule="auto"/>
        <w:ind w:left="227"/>
        <w:rPr>
          <w:i/>
          <w:iCs/>
          <w:sz w:val="22"/>
          <w:szCs w:val="22"/>
          <w:lang w:val="es-CO"/>
        </w:rPr>
      </w:pPr>
      <w:r w:rsidRPr="00947662">
        <w:rPr>
          <w:i/>
          <w:iCs/>
          <w:sz w:val="22"/>
          <w:szCs w:val="22"/>
          <w:lang w:val="es-CO"/>
        </w:rPr>
        <w:t>Un ajuste en el sentido descrito generaría el incentivo a los transportadores para mantener la infraestructura en buen estado de servicio, y su valor en los estados financieros de las empresas. Así, después que un activo cumpla su periodo de remuneración, el transportador continuaría percibiendo un ingreso por el uso del activo que sigue prestando un servicio. Igualmente, el valor de las nuevas inversiones que se requirieran, con el debido soporte y análisis, se remunerarían en los cargos tarifarios.</w:t>
      </w:r>
    </w:p>
    <w:p w14:paraId="3333F9F5" w14:textId="03CACF26" w:rsidR="00E56F5C" w:rsidRPr="00947662" w:rsidRDefault="00E56F5C" w:rsidP="00947662">
      <w:pPr>
        <w:pStyle w:val="NormalWeb"/>
        <w:spacing w:after="0" w:afterAutospacing="0" w:line="240" w:lineRule="auto"/>
        <w:ind w:left="227"/>
        <w:rPr>
          <w:i/>
          <w:iCs/>
          <w:sz w:val="22"/>
          <w:szCs w:val="22"/>
          <w:lang w:val="es-CO"/>
        </w:rPr>
      </w:pPr>
      <w:r w:rsidRPr="00947662">
        <w:rPr>
          <w:i/>
          <w:iCs/>
          <w:sz w:val="22"/>
          <w:szCs w:val="22"/>
          <w:lang w:val="es-CO"/>
        </w:rPr>
        <w:t>Finalmente, en cuanto al señalamiento de la empresa de que cuando un activo termina su periodo de remuneración y no sigue generando ingresos se reduce su valor en libros, afectando en consecuencia el valor patrimonial de la empresa, esta Comisión precisa que los aspectos contables y como son manejados por las empresas son del resorte de ellas</w:t>
      </w:r>
      <w:r w:rsidR="00D61060">
        <w:rPr>
          <w:i/>
          <w:iCs/>
          <w:sz w:val="22"/>
          <w:szCs w:val="22"/>
          <w:lang w:val="es-CO"/>
        </w:rPr>
        <w:t>”</w:t>
      </w:r>
      <w:r w:rsidR="00D112DD">
        <w:rPr>
          <w:i/>
          <w:iCs/>
          <w:sz w:val="22"/>
          <w:szCs w:val="22"/>
          <w:lang w:val="es-CO"/>
        </w:rPr>
        <w:t>.</w:t>
      </w:r>
    </w:p>
    <w:p w14:paraId="1E8CDE09" w14:textId="77777777" w:rsidR="00CC1729" w:rsidRPr="00947662" w:rsidRDefault="00CC1729" w:rsidP="00F74C2A">
      <w:pPr>
        <w:jc w:val="both"/>
        <w:rPr>
          <w:rFonts w:ascii="Bookman Old Style" w:hAnsi="Bookman Old Style" w:cs="Arial"/>
          <w:bCs/>
          <w:color w:val="000000"/>
        </w:rPr>
      </w:pPr>
    </w:p>
    <w:p w14:paraId="193E8748" w14:textId="74E1F0A4" w:rsidR="00D71B5C" w:rsidRDefault="00D71B5C" w:rsidP="00F74C2A">
      <w:pPr>
        <w:jc w:val="both"/>
        <w:rPr>
          <w:rFonts w:ascii="Bookman Old Style" w:hAnsi="Bookman Old Style" w:cs="Arial"/>
          <w:bCs/>
          <w:color w:val="000000"/>
          <w:lang w:val="es-ES"/>
        </w:rPr>
      </w:pPr>
      <w:bookmarkStart w:id="1" w:name="_Hlk169188429"/>
      <w:r>
        <w:rPr>
          <w:rFonts w:ascii="Bookman Old Style" w:hAnsi="Bookman Old Style" w:cs="Arial"/>
          <w:bCs/>
          <w:color w:val="000000"/>
          <w:lang w:val="es-ES"/>
        </w:rPr>
        <w:t xml:space="preserve">A partir del anterior análisis y una vez </w:t>
      </w:r>
      <w:r w:rsidR="00A84626">
        <w:rPr>
          <w:rFonts w:ascii="Bookman Old Style" w:hAnsi="Bookman Old Style" w:cs="Arial"/>
          <w:bCs/>
          <w:color w:val="000000"/>
          <w:lang w:val="es-ES"/>
        </w:rPr>
        <w:t xml:space="preserve">adelantando el proceso de consulta, incluyendo </w:t>
      </w:r>
      <w:r w:rsidR="00B3001D">
        <w:rPr>
          <w:rFonts w:ascii="Bookman Old Style" w:hAnsi="Bookman Old Style" w:cs="Arial"/>
          <w:bCs/>
          <w:color w:val="000000"/>
          <w:lang w:val="es-ES"/>
        </w:rPr>
        <w:t xml:space="preserve">la revisión de </w:t>
      </w:r>
      <w:r w:rsidR="00A84626">
        <w:rPr>
          <w:rFonts w:ascii="Bookman Old Style" w:hAnsi="Bookman Old Style" w:cs="Arial"/>
          <w:bCs/>
          <w:color w:val="000000"/>
          <w:lang w:val="es-ES"/>
        </w:rPr>
        <w:t xml:space="preserve">los </w:t>
      </w:r>
      <w:r w:rsidR="00F52051">
        <w:rPr>
          <w:rFonts w:ascii="Bookman Old Style" w:hAnsi="Bookman Old Style" w:cs="Arial"/>
          <w:bCs/>
          <w:color w:val="000000"/>
          <w:lang w:val="es-ES"/>
        </w:rPr>
        <w:t xml:space="preserve">comentarios recibidos, la Comisión </w:t>
      </w:r>
      <w:bookmarkEnd w:id="1"/>
      <w:r w:rsidR="00F52051">
        <w:rPr>
          <w:rFonts w:ascii="Bookman Old Style" w:hAnsi="Bookman Old Style" w:cs="Arial"/>
          <w:bCs/>
          <w:color w:val="000000"/>
          <w:lang w:val="es-ES"/>
        </w:rPr>
        <w:t xml:space="preserve">encuentra </w:t>
      </w:r>
      <w:r w:rsidR="00416762">
        <w:rPr>
          <w:rFonts w:ascii="Bookman Old Style" w:hAnsi="Bookman Old Style" w:cs="Arial"/>
          <w:bCs/>
          <w:color w:val="000000"/>
          <w:lang w:val="es-ES"/>
        </w:rPr>
        <w:t xml:space="preserve">que </w:t>
      </w:r>
      <w:r w:rsidR="00927345">
        <w:rPr>
          <w:rFonts w:ascii="Bookman Old Style" w:hAnsi="Bookman Old Style" w:cs="Arial"/>
          <w:bCs/>
          <w:color w:val="000000"/>
          <w:lang w:val="es-ES"/>
        </w:rPr>
        <w:t>lo planteado</w:t>
      </w:r>
      <w:r w:rsidR="00416762">
        <w:rPr>
          <w:rFonts w:ascii="Bookman Old Style" w:hAnsi="Bookman Old Style" w:cs="Arial"/>
          <w:bCs/>
          <w:color w:val="000000"/>
          <w:lang w:val="es-ES"/>
        </w:rPr>
        <w:t xml:space="preserve"> en la Resolución </w:t>
      </w:r>
      <w:proofErr w:type="spellStart"/>
      <w:r w:rsidR="00416762">
        <w:rPr>
          <w:rFonts w:ascii="Bookman Old Style" w:hAnsi="Bookman Old Style" w:cs="Arial"/>
          <w:bCs/>
          <w:color w:val="000000"/>
          <w:lang w:val="es-ES"/>
        </w:rPr>
        <w:t>CREG</w:t>
      </w:r>
      <w:proofErr w:type="spellEnd"/>
      <w:r w:rsidR="00416762">
        <w:rPr>
          <w:rFonts w:ascii="Bookman Old Style" w:hAnsi="Bookman Old Style" w:cs="Arial"/>
          <w:bCs/>
          <w:color w:val="000000"/>
          <w:lang w:val="es-ES"/>
        </w:rPr>
        <w:t xml:space="preserve"> 175 de 2021</w:t>
      </w:r>
      <w:r w:rsidR="00D050AC">
        <w:rPr>
          <w:rFonts w:ascii="Bookman Old Style" w:hAnsi="Bookman Old Style" w:cs="Arial"/>
          <w:bCs/>
          <w:color w:val="000000"/>
          <w:lang w:val="es-ES"/>
        </w:rPr>
        <w:t xml:space="preserve"> </w:t>
      </w:r>
      <w:r w:rsidR="00927345">
        <w:rPr>
          <w:rFonts w:ascii="Bookman Old Style" w:hAnsi="Bookman Old Style" w:cs="Arial"/>
          <w:bCs/>
          <w:color w:val="000000"/>
          <w:lang w:val="es-ES"/>
        </w:rPr>
        <w:t>en relación con</w:t>
      </w:r>
      <w:r w:rsidR="00D050AC">
        <w:rPr>
          <w:rFonts w:ascii="Bookman Old Style" w:hAnsi="Bookman Old Style" w:cs="Arial"/>
          <w:bCs/>
          <w:color w:val="000000"/>
          <w:lang w:val="es-ES"/>
        </w:rPr>
        <w:t xml:space="preserve"> </w:t>
      </w:r>
      <w:r w:rsidR="00DF4D7A">
        <w:rPr>
          <w:rFonts w:ascii="Bookman Old Style" w:hAnsi="Bookman Old Style" w:cs="Arial"/>
          <w:bCs/>
          <w:color w:val="000000"/>
          <w:lang w:val="es-ES"/>
        </w:rPr>
        <w:t>las disposiciones establecidas para los activos que cumpl</w:t>
      </w:r>
      <w:r w:rsidR="00525371">
        <w:rPr>
          <w:rFonts w:ascii="Bookman Old Style" w:hAnsi="Bookman Old Style" w:cs="Arial"/>
          <w:bCs/>
          <w:color w:val="000000"/>
          <w:lang w:val="es-ES"/>
        </w:rPr>
        <w:t>e</w:t>
      </w:r>
      <w:r w:rsidR="00DF4D7A">
        <w:rPr>
          <w:rFonts w:ascii="Bookman Old Style" w:hAnsi="Bookman Old Style" w:cs="Arial"/>
          <w:bCs/>
          <w:color w:val="000000"/>
          <w:lang w:val="es-ES"/>
        </w:rPr>
        <w:t xml:space="preserve">n </w:t>
      </w:r>
      <w:r w:rsidR="00525371">
        <w:rPr>
          <w:rFonts w:ascii="Bookman Old Style" w:hAnsi="Bookman Old Style" w:cs="Arial"/>
          <w:bCs/>
          <w:color w:val="000000"/>
          <w:lang w:val="es-ES"/>
        </w:rPr>
        <w:t xml:space="preserve">la </w:t>
      </w:r>
      <w:r w:rsidR="00DF4D7A">
        <w:rPr>
          <w:rFonts w:ascii="Bookman Old Style" w:hAnsi="Bookman Old Style" w:cs="Arial"/>
          <w:bCs/>
          <w:color w:val="000000"/>
          <w:lang w:val="es-ES"/>
        </w:rPr>
        <w:t xml:space="preserve">vida útil normativa </w:t>
      </w:r>
      <w:r w:rsidR="005B2BB7">
        <w:rPr>
          <w:rFonts w:ascii="Bookman Old Style" w:hAnsi="Bookman Old Style" w:cs="Arial"/>
          <w:bCs/>
          <w:color w:val="000000"/>
          <w:lang w:val="es-ES"/>
        </w:rPr>
        <w:t xml:space="preserve">y los valores a </w:t>
      </w:r>
      <w:r w:rsidR="004231FD">
        <w:rPr>
          <w:rFonts w:ascii="Bookman Old Style" w:hAnsi="Bookman Old Style" w:cs="Arial"/>
          <w:bCs/>
          <w:color w:val="000000"/>
          <w:lang w:val="es-ES"/>
        </w:rPr>
        <w:t>reconocer</w:t>
      </w:r>
      <w:r w:rsidR="005B2BB7">
        <w:rPr>
          <w:rFonts w:ascii="Bookman Old Style" w:hAnsi="Bookman Old Style" w:cs="Arial"/>
          <w:bCs/>
          <w:color w:val="000000"/>
          <w:lang w:val="es-ES"/>
        </w:rPr>
        <w:t xml:space="preserve"> </w:t>
      </w:r>
      <w:r w:rsidR="00CA24D7">
        <w:rPr>
          <w:rFonts w:ascii="Bookman Old Style" w:hAnsi="Bookman Old Style" w:cs="Arial"/>
          <w:bCs/>
          <w:color w:val="000000"/>
          <w:lang w:val="es-ES"/>
        </w:rPr>
        <w:t xml:space="preserve">relativos </w:t>
      </w:r>
      <w:r w:rsidR="005B2BB7">
        <w:rPr>
          <w:rFonts w:ascii="Bookman Old Style" w:hAnsi="Bookman Old Style" w:cs="Arial"/>
          <w:bCs/>
          <w:color w:val="000000"/>
          <w:lang w:val="es-ES"/>
        </w:rPr>
        <w:t xml:space="preserve">a </w:t>
      </w:r>
      <w:r w:rsidR="00927345">
        <w:rPr>
          <w:rFonts w:ascii="Bookman Old Style" w:hAnsi="Bookman Old Style" w:cs="Arial"/>
          <w:bCs/>
          <w:color w:val="000000"/>
          <w:lang w:val="es-ES"/>
        </w:rPr>
        <w:t xml:space="preserve">las </w:t>
      </w:r>
      <w:r w:rsidR="00927345" w:rsidRPr="00927345">
        <w:rPr>
          <w:rFonts w:ascii="Bookman Old Style" w:hAnsi="Bookman Old Style" w:cs="Arial"/>
          <w:bCs/>
          <w:color w:val="000000"/>
          <w:lang w:val="es-ES"/>
        </w:rPr>
        <w:t>inversiones que requiere el gasoducto o el compresor para mantenerlo en operación</w:t>
      </w:r>
      <w:r w:rsidR="00B212E8">
        <w:rPr>
          <w:rFonts w:ascii="Bookman Old Style" w:hAnsi="Bookman Old Style" w:cs="Arial"/>
          <w:bCs/>
          <w:color w:val="000000"/>
          <w:lang w:val="es-ES"/>
        </w:rPr>
        <w:t>, corresponde a una medida</w:t>
      </w:r>
      <w:r w:rsidR="00FB79D2">
        <w:rPr>
          <w:rFonts w:ascii="Bookman Old Style" w:hAnsi="Bookman Old Style" w:cs="Arial"/>
          <w:bCs/>
          <w:color w:val="000000"/>
          <w:lang w:val="es-ES"/>
        </w:rPr>
        <w:t xml:space="preserve"> que en principio es</w:t>
      </w:r>
      <w:r w:rsidR="00B212E8">
        <w:rPr>
          <w:rFonts w:ascii="Bookman Old Style" w:hAnsi="Bookman Old Style" w:cs="Arial"/>
          <w:bCs/>
          <w:color w:val="000000"/>
          <w:lang w:val="es-ES"/>
        </w:rPr>
        <w:t xml:space="preserve"> adecuada en el marco de</w:t>
      </w:r>
      <w:r w:rsidR="00FB79D2">
        <w:rPr>
          <w:rFonts w:ascii="Bookman Old Style" w:hAnsi="Bookman Old Style" w:cs="Arial"/>
          <w:bCs/>
          <w:color w:val="000000"/>
          <w:lang w:val="es-ES"/>
        </w:rPr>
        <w:t xml:space="preserve"> la correcta aplicación de</w:t>
      </w:r>
      <w:r w:rsidR="00B212E8">
        <w:rPr>
          <w:rFonts w:ascii="Bookman Old Style" w:hAnsi="Bookman Old Style" w:cs="Arial"/>
          <w:bCs/>
          <w:color w:val="000000"/>
          <w:lang w:val="es-ES"/>
        </w:rPr>
        <w:t xml:space="preserve"> los criterios tarifarios</w:t>
      </w:r>
      <w:r w:rsidR="00FB79D2">
        <w:rPr>
          <w:rFonts w:ascii="Bookman Old Style" w:hAnsi="Bookman Old Style" w:cs="Arial"/>
          <w:bCs/>
          <w:color w:val="000000"/>
          <w:lang w:val="es-ES"/>
        </w:rPr>
        <w:t xml:space="preserve"> del artículo 87 de la Ley 142 de 199</w:t>
      </w:r>
      <w:r w:rsidR="00AA57C1">
        <w:rPr>
          <w:rFonts w:ascii="Bookman Old Style" w:hAnsi="Bookman Old Style" w:cs="Arial"/>
          <w:bCs/>
          <w:color w:val="000000"/>
          <w:lang w:val="es-ES"/>
        </w:rPr>
        <w:t>4</w:t>
      </w:r>
      <w:r w:rsidR="005B2BB7">
        <w:rPr>
          <w:rFonts w:ascii="Bookman Old Style" w:hAnsi="Bookman Old Style" w:cs="Arial"/>
          <w:bCs/>
          <w:color w:val="000000"/>
          <w:lang w:val="es-ES"/>
        </w:rPr>
        <w:t>. S</w:t>
      </w:r>
      <w:r w:rsidR="00B212E8">
        <w:rPr>
          <w:rFonts w:ascii="Bookman Old Style" w:hAnsi="Bookman Old Style" w:cs="Arial"/>
          <w:bCs/>
          <w:color w:val="000000"/>
          <w:lang w:val="es-ES"/>
        </w:rPr>
        <w:t xml:space="preserve">in embargo, </w:t>
      </w:r>
      <w:r w:rsidR="005B2BB7">
        <w:rPr>
          <w:rFonts w:ascii="Bookman Old Style" w:hAnsi="Bookman Old Style" w:cs="Arial"/>
          <w:bCs/>
          <w:color w:val="000000"/>
          <w:lang w:val="es-ES"/>
        </w:rPr>
        <w:t xml:space="preserve">se ha identificado que </w:t>
      </w:r>
      <w:r w:rsidR="00FB79D2">
        <w:rPr>
          <w:rFonts w:ascii="Bookman Old Style" w:hAnsi="Bookman Old Style" w:cs="Arial"/>
          <w:bCs/>
          <w:color w:val="000000"/>
          <w:lang w:val="es-ES"/>
        </w:rPr>
        <w:t>la aplicación de</w:t>
      </w:r>
      <w:r w:rsidR="00183BB0">
        <w:rPr>
          <w:rFonts w:ascii="Bookman Old Style" w:hAnsi="Bookman Old Style" w:cs="Arial"/>
          <w:bCs/>
          <w:color w:val="000000"/>
          <w:lang w:val="es-ES"/>
        </w:rPr>
        <w:t xml:space="preserve"> </w:t>
      </w:r>
      <w:r w:rsidR="005B2BB7">
        <w:rPr>
          <w:rFonts w:ascii="Bookman Old Style" w:hAnsi="Bookman Old Style" w:cs="Arial"/>
          <w:bCs/>
          <w:color w:val="000000"/>
          <w:lang w:val="es-ES"/>
        </w:rPr>
        <w:t>estas</w:t>
      </w:r>
      <w:r w:rsidR="00183BB0">
        <w:rPr>
          <w:rFonts w:ascii="Bookman Old Style" w:hAnsi="Bookman Old Style" w:cs="Arial"/>
          <w:bCs/>
          <w:color w:val="000000"/>
          <w:lang w:val="es-ES"/>
        </w:rPr>
        <w:t xml:space="preserve"> disposiciones frente a reponer un activo o mantenerlo en operación, deben </w:t>
      </w:r>
      <w:r w:rsidR="00394D6B">
        <w:rPr>
          <w:rFonts w:ascii="Bookman Old Style" w:hAnsi="Bookman Old Style" w:cs="Arial"/>
          <w:bCs/>
          <w:color w:val="000000"/>
          <w:lang w:val="es-ES"/>
        </w:rPr>
        <w:t xml:space="preserve">generar un </w:t>
      </w:r>
      <w:r w:rsidR="00B63F62">
        <w:rPr>
          <w:rFonts w:ascii="Bookman Old Style" w:hAnsi="Bookman Old Style" w:cs="Arial"/>
          <w:bCs/>
          <w:color w:val="000000"/>
          <w:lang w:val="es-ES"/>
        </w:rPr>
        <w:t xml:space="preserve">equilibrio </w:t>
      </w:r>
      <w:r w:rsidR="00073FDA">
        <w:rPr>
          <w:rFonts w:ascii="Bookman Old Style" w:hAnsi="Bookman Old Style" w:cs="Arial"/>
          <w:bCs/>
          <w:color w:val="000000"/>
          <w:lang w:val="es-ES"/>
        </w:rPr>
        <w:t xml:space="preserve">en la decisión </w:t>
      </w:r>
      <w:r w:rsidR="00394D6B">
        <w:rPr>
          <w:rFonts w:ascii="Bookman Old Style" w:hAnsi="Bookman Old Style" w:cs="Arial"/>
          <w:bCs/>
          <w:color w:val="000000"/>
          <w:lang w:val="es-ES"/>
        </w:rPr>
        <w:t>que sobre esto adelanten los agentes transportadores</w:t>
      </w:r>
      <w:r w:rsidR="004957D3">
        <w:rPr>
          <w:rFonts w:ascii="Bookman Old Style" w:hAnsi="Bookman Old Style" w:cs="Arial"/>
          <w:bCs/>
          <w:color w:val="000000"/>
          <w:lang w:val="es-ES"/>
        </w:rPr>
        <w:t xml:space="preserve"> en aplicación de lo dispuesto en el artículo 27 de la Resolución </w:t>
      </w:r>
      <w:proofErr w:type="spellStart"/>
      <w:r w:rsidR="004957D3">
        <w:rPr>
          <w:rFonts w:ascii="Bookman Old Style" w:hAnsi="Bookman Old Style" w:cs="Arial"/>
          <w:bCs/>
          <w:color w:val="000000"/>
          <w:lang w:val="es-ES"/>
        </w:rPr>
        <w:t>CREG</w:t>
      </w:r>
      <w:proofErr w:type="spellEnd"/>
      <w:r w:rsidR="004957D3">
        <w:rPr>
          <w:rFonts w:ascii="Bookman Old Style" w:hAnsi="Bookman Old Style" w:cs="Arial"/>
          <w:bCs/>
          <w:color w:val="000000"/>
          <w:lang w:val="es-ES"/>
        </w:rPr>
        <w:t xml:space="preserve"> 175 de 2021</w:t>
      </w:r>
      <w:r w:rsidR="00F04660">
        <w:rPr>
          <w:rFonts w:ascii="Bookman Old Style" w:hAnsi="Bookman Old Style" w:cs="Arial"/>
          <w:bCs/>
          <w:color w:val="000000"/>
          <w:lang w:val="es-ES"/>
        </w:rPr>
        <w:t>.</w:t>
      </w:r>
    </w:p>
    <w:p w14:paraId="4897763E" w14:textId="77777777" w:rsidR="00290AF8" w:rsidRDefault="00290AF8" w:rsidP="00F74C2A">
      <w:pPr>
        <w:jc w:val="both"/>
        <w:rPr>
          <w:rFonts w:ascii="Bookman Old Style" w:hAnsi="Bookman Old Style" w:cs="Arial"/>
          <w:bCs/>
          <w:color w:val="000000"/>
          <w:lang w:val="es-ES"/>
        </w:rPr>
      </w:pPr>
    </w:p>
    <w:p w14:paraId="0DD57A39" w14:textId="6BA58976" w:rsidR="007755C8" w:rsidRDefault="00FB79D2" w:rsidP="00F74C2A">
      <w:pPr>
        <w:jc w:val="both"/>
        <w:rPr>
          <w:rFonts w:ascii="Bookman Old Style" w:hAnsi="Bookman Old Style" w:cs="Arial"/>
          <w:bCs/>
          <w:color w:val="000000"/>
          <w:lang w:val="es-ES"/>
        </w:rPr>
      </w:pPr>
      <w:r>
        <w:rPr>
          <w:rFonts w:ascii="Bookman Old Style" w:hAnsi="Bookman Old Style" w:cs="Arial"/>
          <w:bCs/>
          <w:color w:val="000000"/>
          <w:lang w:val="es-ES"/>
        </w:rPr>
        <w:t xml:space="preserve">El balance en la aplicación de la medida debe conllevar a que efectivamente se reemplacen los </w:t>
      </w:r>
      <w:r w:rsidR="00FD4402">
        <w:rPr>
          <w:rFonts w:ascii="Bookman Old Style" w:hAnsi="Bookman Old Style" w:cs="Arial"/>
          <w:bCs/>
          <w:color w:val="000000"/>
          <w:lang w:val="es-ES"/>
        </w:rPr>
        <w:t xml:space="preserve">activos que no pueden continuar en operación, </w:t>
      </w:r>
      <w:r w:rsidR="00115EF8">
        <w:rPr>
          <w:rFonts w:ascii="Bookman Old Style" w:hAnsi="Bookman Old Style" w:cs="Arial"/>
          <w:bCs/>
          <w:color w:val="000000"/>
          <w:lang w:val="es-ES"/>
        </w:rPr>
        <w:t>por lo que el co</w:t>
      </w:r>
      <w:r w:rsidR="00340BF8">
        <w:rPr>
          <w:rFonts w:ascii="Bookman Old Style" w:hAnsi="Bookman Old Style" w:cs="Arial"/>
          <w:bCs/>
          <w:color w:val="000000"/>
          <w:lang w:val="es-ES"/>
        </w:rPr>
        <w:t xml:space="preserve">sto de oportunidad de los activos que </w:t>
      </w:r>
      <w:r w:rsidR="00596AD6">
        <w:rPr>
          <w:rFonts w:ascii="Bookman Old Style" w:hAnsi="Bookman Old Style" w:cs="Arial"/>
          <w:bCs/>
          <w:color w:val="000000"/>
          <w:lang w:val="es-ES"/>
        </w:rPr>
        <w:t>pueden estar operativos</w:t>
      </w:r>
      <w:r w:rsidR="00BE6EF7">
        <w:rPr>
          <w:rFonts w:ascii="Bookman Old Style" w:hAnsi="Bookman Old Style" w:cs="Arial"/>
          <w:bCs/>
          <w:color w:val="000000"/>
          <w:lang w:val="es-ES"/>
        </w:rPr>
        <w:t xml:space="preserve"> ha de </w:t>
      </w:r>
      <w:r w:rsidR="00BE6EF7">
        <w:rPr>
          <w:rFonts w:ascii="Bookman Old Style" w:hAnsi="Bookman Old Style" w:cs="Arial"/>
          <w:bCs/>
          <w:color w:val="000000"/>
          <w:lang w:val="es-ES"/>
        </w:rPr>
        <w:lastRenderedPageBreak/>
        <w:t xml:space="preserve">reflejar que este </w:t>
      </w:r>
      <w:r w:rsidR="005A69F3">
        <w:rPr>
          <w:rFonts w:ascii="Bookman Old Style" w:hAnsi="Bookman Old Style" w:cs="Arial"/>
          <w:bCs/>
          <w:color w:val="000000"/>
          <w:lang w:val="es-ES"/>
        </w:rPr>
        <w:t xml:space="preserve">se mantenga en buen estado y operativo después de ser remunerado. De lo contrario, esto puede conllevar al reemplazo de activos de manera </w:t>
      </w:r>
      <w:r w:rsidR="00EC2DB1">
        <w:rPr>
          <w:rFonts w:ascii="Bookman Old Style" w:hAnsi="Bookman Old Style" w:cs="Arial"/>
          <w:bCs/>
          <w:color w:val="000000"/>
          <w:lang w:val="es-ES"/>
        </w:rPr>
        <w:t xml:space="preserve">innecesaria, </w:t>
      </w:r>
      <w:r w:rsidR="00697FDC">
        <w:rPr>
          <w:rFonts w:ascii="Bookman Old Style" w:hAnsi="Bookman Old Style" w:cs="Arial"/>
          <w:bCs/>
          <w:color w:val="000000"/>
          <w:lang w:val="es-ES"/>
        </w:rPr>
        <w:t xml:space="preserve">lo cual puede generar impactos importantes dentro del período tarifario, toda vez que </w:t>
      </w:r>
      <w:r w:rsidR="005B6863">
        <w:rPr>
          <w:rFonts w:ascii="Bookman Old Style" w:hAnsi="Bookman Old Style" w:cs="Arial"/>
          <w:bCs/>
          <w:color w:val="000000"/>
          <w:lang w:val="es-ES"/>
        </w:rPr>
        <w:t xml:space="preserve">el costo de un activo </w:t>
      </w:r>
      <w:r w:rsidR="007C7605">
        <w:rPr>
          <w:rFonts w:ascii="Bookman Old Style" w:hAnsi="Bookman Old Style" w:cs="Arial"/>
          <w:bCs/>
          <w:color w:val="000000"/>
          <w:lang w:val="es-ES"/>
        </w:rPr>
        <w:t>n</w:t>
      </w:r>
      <w:r w:rsidR="005B6863">
        <w:rPr>
          <w:rFonts w:ascii="Bookman Old Style" w:hAnsi="Bookman Old Style" w:cs="Arial"/>
          <w:bCs/>
          <w:color w:val="000000"/>
          <w:lang w:val="es-ES"/>
        </w:rPr>
        <w:t xml:space="preserve">uevo </w:t>
      </w:r>
      <w:r w:rsidR="00674E16">
        <w:rPr>
          <w:rFonts w:ascii="Bookman Old Style" w:hAnsi="Bookman Old Style" w:cs="Arial"/>
          <w:bCs/>
          <w:color w:val="000000"/>
          <w:lang w:val="es-ES"/>
        </w:rPr>
        <w:t>tiende a</w:t>
      </w:r>
      <w:r w:rsidR="005B6863">
        <w:rPr>
          <w:rFonts w:ascii="Bookman Old Style" w:hAnsi="Bookman Old Style" w:cs="Arial"/>
          <w:bCs/>
          <w:color w:val="000000"/>
          <w:lang w:val="es-ES"/>
        </w:rPr>
        <w:t xml:space="preserve"> ser </w:t>
      </w:r>
      <w:r w:rsidR="00821507">
        <w:rPr>
          <w:rFonts w:ascii="Bookman Old Style" w:hAnsi="Bookman Old Style" w:cs="Arial"/>
          <w:bCs/>
          <w:color w:val="000000"/>
          <w:lang w:val="es-ES"/>
        </w:rPr>
        <w:t xml:space="preserve">muy superior al del costo </w:t>
      </w:r>
      <w:r w:rsidR="007755C8">
        <w:rPr>
          <w:rFonts w:ascii="Bookman Old Style" w:hAnsi="Bookman Old Style" w:cs="Arial"/>
          <w:bCs/>
          <w:color w:val="000000"/>
          <w:lang w:val="es-ES"/>
        </w:rPr>
        <w:t xml:space="preserve">de </w:t>
      </w:r>
      <w:r w:rsidR="00D94D7F">
        <w:rPr>
          <w:rFonts w:ascii="Bookman Old Style" w:hAnsi="Bookman Old Style" w:cs="Arial"/>
          <w:bCs/>
          <w:color w:val="000000"/>
          <w:lang w:val="es-ES"/>
        </w:rPr>
        <w:t>las inversiones que son necesarias para</w:t>
      </w:r>
      <w:r w:rsidR="007755C8">
        <w:rPr>
          <w:rFonts w:ascii="Bookman Old Style" w:hAnsi="Bookman Old Style" w:cs="Arial"/>
          <w:bCs/>
          <w:color w:val="000000"/>
          <w:lang w:val="es-ES"/>
        </w:rPr>
        <w:t xml:space="preserve"> mantenerlo</w:t>
      </w:r>
      <w:r w:rsidR="00D94D7F">
        <w:rPr>
          <w:rFonts w:ascii="Bookman Old Style" w:hAnsi="Bookman Old Style" w:cs="Arial"/>
          <w:bCs/>
          <w:color w:val="000000"/>
          <w:lang w:val="es-ES"/>
        </w:rPr>
        <w:t xml:space="preserve"> en operación</w:t>
      </w:r>
      <w:r w:rsidR="007755C8">
        <w:rPr>
          <w:rFonts w:ascii="Bookman Old Style" w:hAnsi="Bookman Old Style" w:cs="Arial"/>
          <w:bCs/>
          <w:color w:val="000000"/>
          <w:lang w:val="es-ES"/>
        </w:rPr>
        <w:t>.</w:t>
      </w:r>
    </w:p>
    <w:p w14:paraId="66CE867A" w14:textId="77777777" w:rsidR="007755C8" w:rsidRDefault="007755C8" w:rsidP="00F74C2A">
      <w:pPr>
        <w:jc w:val="both"/>
        <w:rPr>
          <w:rFonts w:ascii="Bookman Old Style" w:hAnsi="Bookman Old Style" w:cs="Arial"/>
          <w:bCs/>
          <w:color w:val="000000"/>
          <w:lang w:val="es-ES"/>
        </w:rPr>
      </w:pPr>
    </w:p>
    <w:p w14:paraId="1951CF83" w14:textId="0668ED43" w:rsidR="00FB79D2" w:rsidRDefault="007755C8" w:rsidP="00F74C2A">
      <w:pPr>
        <w:jc w:val="both"/>
        <w:rPr>
          <w:rFonts w:ascii="Bookman Old Style" w:hAnsi="Bookman Old Style" w:cs="Arial"/>
          <w:bCs/>
          <w:color w:val="000000"/>
          <w:lang w:val="es-ES"/>
        </w:rPr>
      </w:pPr>
      <w:r>
        <w:rPr>
          <w:rFonts w:ascii="Bookman Old Style" w:hAnsi="Bookman Old Style" w:cs="Arial"/>
          <w:bCs/>
          <w:color w:val="000000"/>
          <w:lang w:val="es-ES"/>
        </w:rPr>
        <w:t xml:space="preserve">De acuerdo con esto, </w:t>
      </w:r>
      <w:r w:rsidR="00A95A48">
        <w:rPr>
          <w:rFonts w:ascii="Bookman Old Style" w:hAnsi="Bookman Old Style" w:cs="Arial"/>
          <w:bCs/>
          <w:color w:val="000000"/>
          <w:lang w:val="es-ES"/>
        </w:rPr>
        <w:t xml:space="preserve">la correcta aplicación del criterio de eficiencia dentro de la metodología de la Resolución </w:t>
      </w:r>
      <w:proofErr w:type="spellStart"/>
      <w:r w:rsidR="00A95A48">
        <w:rPr>
          <w:rFonts w:ascii="Bookman Old Style" w:hAnsi="Bookman Old Style" w:cs="Arial"/>
          <w:bCs/>
          <w:color w:val="000000"/>
          <w:lang w:val="es-ES"/>
        </w:rPr>
        <w:t>CREG</w:t>
      </w:r>
      <w:proofErr w:type="spellEnd"/>
      <w:r w:rsidR="00A95A48">
        <w:rPr>
          <w:rFonts w:ascii="Bookman Old Style" w:hAnsi="Bookman Old Style" w:cs="Arial"/>
          <w:bCs/>
          <w:color w:val="000000"/>
          <w:lang w:val="es-ES"/>
        </w:rPr>
        <w:t xml:space="preserve"> 175 de 2021</w:t>
      </w:r>
      <w:r w:rsidR="00874050">
        <w:rPr>
          <w:rFonts w:ascii="Bookman Old Style" w:hAnsi="Bookman Old Style" w:cs="Arial"/>
          <w:bCs/>
          <w:color w:val="000000"/>
          <w:lang w:val="es-ES"/>
        </w:rPr>
        <w:t xml:space="preserve"> en relación con la vida útil normativa</w:t>
      </w:r>
      <w:r w:rsidR="00D94D7F">
        <w:rPr>
          <w:rFonts w:ascii="Bookman Old Style" w:hAnsi="Bookman Old Style" w:cs="Arial"/>
          <w:bCs/>
          <w:color w:val="000000"/>
          <w:lang w:val="es-ES"/>
        </w:rPr>
        <w:t>,</w:t>
      </w:r>
      <w:r w:rsidR="00874050">
        <w:rPr>
          <w:rFonts w:ascii="Bookman Old Style" w:hAnsi="Bookman Old Style" w:cs="Arial"/>
          <w:bCs/>
          <w:color w:val="000000"/>
          <w:lang w:val="es-ES"/>
        </w:rPr>
        <w:t xml:space="preserve"> implica que </w:t>
      </w:r>
      <w:r>
        <w:rPr>
          <w:rFonts w:ascii="Bookman Old Style" w:hAnsi="Bookman Old Style" w:cs="Arial"/>
          <w:bCs/>
          <w:color w:val="000000"/>
          <w:lang w:val="es-ES"/>
        </w:rPr>
        <w:t>los incentivos han de estar alineados para que las decisiones que toman los agentes</w:t>
      </w:r>
      <w:r w:rsidR="00C14F73">
        <w:rPr>
          <w:rFonts w:ascii="Bookman Old Style" w:hAnsi="Bookman Old Style" w:cs="Arial"/>
          <w:bCs/>
          <w:color w:val="000000"/>
          <w:lang w:val="es-ES"/>
        </w:rPr>
        <w:t xml:space="preserve"> en relación con la vida útil normativa</w:t>
      </w:r>
      <w:r>
        <w:rPr>
          <w:rFonts w:ascii="Bookman Old Style" w:hAnsi="Bookman Old Style" w:cs="Arial"/>
          <w:bCs/>
          <w:color w:val="000000"/>
          <w:lang w:val="es-ES"/>
        </w:rPr>
        <w:t xml:space="preserve"> </w:t>
      </w:r>
      <w:r w:rsidR="00C14F73">
        <w:rPr>
          <w:rFonts w:ascii="Bookman Old Style" w:hAnsi="Bookman Old Style" w:cs="Arial"/>
          <w:bCs/>
          <w:color w:val="000000"/>
          <w:lang w:val="es-ES"/>
        </w:rPr>
        <w:t>de los activos ya valorados</w:t>
      </w:r>
      <w:r w:rsidR="007F2CC5">
        <w:rPr>
          <w:rFonts w:ascii="Bookman Old Style" w:hAnsi="Bookman Old Style" w:cs="Arial"/>
          <w:bCs/>
          <w:color w:val="000000"/>
          <w:lang w:val="es-ES"/>
        </w:rPr>
        <w:t xml:space="preserve"> sean eficientes, por lo que el costo de oportunidad de mantener el activo debe reflejar </w:t>
      </w:r>
      <w:r w:rsidR="0098208E">
        <w:rPr>
          <w:rFonts w:ascii="Bookman Old Style" w:hAnsi="Bookman Old Style" w:cs="Arial"/>
          <w:bCs/>
          <w:color w:val="000000"/>
          <w:lang w:val="es-ES"/>
        </w:rPr>
        <w:t>este criterio.</w:t>
      </w:r>
    </w:p>
    <w:p w14:paraId="0CA53CAA" w14:textId="5B108622" w:rsidR="0035520C" w:rsidRDefault="0035520C" w:rsidP="00F74C2A">
      <w:pPr>
        <w:jc w:val="both"/>
        <w:rPr>
          <w:rFonts w:ascii="Bookman Old Style" w:hAnsi="Bookman Old Style" w:cs="Arial"/>
          <w:bCs/>
          <w:color w:val="000000"/>
          <w:lang w:val="es-ES"/>
        </w:rPr>
      </w:pPr>
    </w:p>
    <w:p w14:paraId="106CD25D" w14:textId="0F6A146F" w:rsidR="002834C9" w:rsidRDefault="00D830E2" w:rsidP="00831DD2">
      <w:pPr>
        <w:jc w:val="both"/>
        <w:rPr>
          <w:rFonts w:ascii="Bookman Old Style" w:hAnsi="Bookman Old Style" w:cs="Arial"/>
          <w:bCs/>
          <w:color w:val="000000"/>
          <w:lang w:val="es-ES"/>
        </w:rPr>
      </w:pPr>
      <w:r>
        <w:rPr>
          <w:rFonts w:ascii="Bookman Old Style" w:hAnsi="Bookman Old Style" w:cs="Arial"/>
          <w:bCs/>
          <w:color w:val="000000"/>
          <w:lang w:val="es-ES"/>
        </w:rPr>
        <w:t>Adicionalmente</w:t>
      </w:r>
      <w:r w:rsidR="00CB423F">
        <w:rPr>
          <w:rFonts w:ascii="Bookman Old Style" w:hAnsi="Bookman Old Style" w:cs="Arial"/>
          <w:bCs/>
          <w:color w:val="000000"/>
          <w:lang w:val="es-ES"/>
        </w:rPr>
        <w:t>, en</w:t>
      </w:r>
      <w:r w:rsidR="002834C9">
        <w:rPr>
          <w:rFonts w:ascii="Bookman Old Style" w:hAnsi="Bookman Old Style" w:cs="Arial"/>
          <w:bCs/>
          <w:color w:val="000000"/>
          <w:lang w:val="es-ES"/>
        </w:rPr>
        <w:t xml:space="preserve"> desarrollo del proceso de consulta pública de la Resolución </w:t>
      </w:r>
      <w:proofErr w:type="spellStart"/>
      <w:r w:rsidR="002834C9">
        <w:rPr>
          <w:rFonts w:ascii="Bookman Old Style" w:hAnsi="Bookman Old Style" w:cs="Arial"/>
          <w:bCs/>
          <w:color w:val="000000"/>
          <w:lang w:val="es-ES"/>
        </w:rPr>
        <w:t>CREG</w:t>
      </w:r>
      <w:proofErr w:type="spellEnd"/>
      <w:r w:rsidR="002834C9">
        <w:rPr>
          <w:rFonts w:ascii="Bookman Old Style" w:hAnsi="Bookman Old Style" w:cs="Arial"/>
          <w:bCs/>
          <w:color w:val="000000"/>
          <w:lang w:val="es-ES"/>
        </w:rPr>
        <w:t xml:space="preserve"> 702 009 de 2022</w:t>
      </w:r>
      <w:r w:rsidR="00CB423F">
        <w:rPr>
          <w:rFonts w:ascii="Bookman Old Style" w:hAnsi="Bookman Old Style" w:cs="Arial"/>
          <w:bCs/>
          <w:color w:val="000000"/>
          <w:lang w:val="es-ES"/>
        </w:rPr>
        <w:t>, dentro del</w:t>
      </w:r>
      <w:r w:rsidR="00A77A47">
        <w:rPr>
          <w:rFonts w:ascii="Bookman Old Style" w:hAnsi="Bookman Old Style" w:cs="Arial"/>
          <w:bCs/>
          <w:color w:val="000000"/>
          <w:lang w:val="es-ES"/>
        </w:rPr>
        <w:t xml:space="preserve"> </w:t>
      </w:r>
      <w:r>
        <w:rPr>
          <w:rFonts w:ascii="Bookman Old Style" w:hAnsi="Bookman Old Style" w:cs="Arial"/>
          <w:bCs/>
          <w:color w:val="000000"/>
          <w:lang w:val="es-ES"/>
        </w:rPr>
        <w:t xml:space="preserve">tema relacionado con </w:t>
      </w:r>
      <w:r w:rsidR="009B7288">
        <w:rPr>
          <w:rFonts w:ascii="Bookman Old Style" w:hAnsi="Bookman Old Style" w:cs="Arial"/>
          <w:bCs/>
          <w:color w:val="000000"/>
          <w:lang w:val="es-ES"/>
        </w:rPr>
        <w:t xml:space="preserve">el costo de oportunidad de los activos que </w:t>
      </w:r>
      <w:r w:rsidR="00831DD2">
        <w:rPr>
          <w:rFonts w:ascii="Bookman Old Style" w:hAnsi="Bookman Old Style" w:cs="Arial"/>
          <w:bCs/>
          <w:color w:val="000000"/>
          <w:lang w:val="es-ES"/>
        </w:rPr>
        <w:t>cumplen su vida útil normativa y el reconocimiento de las</w:t>
      </w:r>
      <w:r w:rsidR="002B7325" w:rsidRPr="002B7325">
        <w:rPr>
          <w:rFonts w:ascii="Bookman Old Style" w:hAnsi="Bookman Old Style" w:cs="Arial"/>
          <w:bCs/>
          <w:color w:val="000000"/>
          <w:lang w:val="es-ES"/>
        </w:rPr>
        <w:t xml:space="preserve"> adecuaciones para mantener</w:t>
      </w:r>
      <w:r w:rsidR="00831DD2">
        <w:rPr>
          <w:rFonts w:ascii="Bookman Old Style" w:hAnsi="Bookman Old Style" w:cs="Arial"/>
          <w:bCs/>
          <w:color w:val="000000"/>
          <w:lang w:val="es-ES"/>
        </w:rPr>
        <w:t>lo</w:t>
      </w:r>
      <w:r w:rsidR="002B7325" w:rsidRPr="002B7325">
        <w:rPr>
          <w:rFonts w:ascii="Bookman Old Style" w:hAnsi="Bookman Old Style" w:cs="Arial"/>
          <w:bCs/>
          <w:color w:val="000000"/>
          <w:lang w:val="es-ES"/>
        </w:rPr>
        <w:t xml:space="preserve"> en operación</w:t>
      </w:r>
      <w:r w:rsidR="00831DD2">
        <w:rPr>
          <w:rFonts w:ascii="Bookman Old Style" w:hAnsi="Bookman Old Style" w:cs="Arial"/>
          <w:bCs/>
          <w:color w:val="000000"/>
          <w:lang w:val="es-ES"/>
        </w:rPr>
        <w:t xml:space="preserve">, se hicieron comentarios relacionados con </w:t>
      </w:r>
      <w:r w:rsidR="00F2468C">
        <w:rPr>
          <w:rFonts w:ascii="Bookman Old Style" w:hAnsi="Bookman Old Style" w:cs="Arial"/>
          <w:bCs/>
          <w:color w:val="000000"/>
          <w:lang w:val="es-ES"/>
        </w:rPr>
        <w:t>estas</w:t>
      </w:r>
      <w:r w:rsidR="00831DD2">
        <w:rPr>
          <w:rFonts w:ascii="Bookman Old Style" w:hAnsi="Bookman Old Style" w:cs="Arial"/>
          <w:bCs/>
          <w:color w:val="000000"/>
          <w:lang w:val="es-ES"/>
        </w:rPr>
        <w:t xml:space="preserve"> </w:t>
      </w:r>
      <w:r w:rsidR="00290AF8">
        <w:rPr>
          <w:rFonts w:ascii="Bookman Old Style" w:hAnsi="Bookman Old Style" w:cs="Arial"/>
          <w:bCs/>
          <w:color w:val="000000"/>
          <w:lang w:val="es-ES"/>
        </w:rPr>
        <w:t>disposiciones,</w:t>
      </w:r>
      <w:r w:rsidR="002834C9">
        <w:rPr>
          <w:rFonts w:ascii="Bookman Old Style" w:hAnsi="Bookman Old Style" w:cs="Arial"/>
          <w:bCs/>
          <w:color w:val="000000"/>
          <w:lang w:val="es-ES"/>
        </w:rPr>
        <w:t xml:space="preserve"> </w:t>
      </w:r>
      <w:r w:rsidR="00F2468C">
        <w:rPr>
          <w:rFonts w:ascii="Bookman Old Style" w:hAnsi="Bookman Old Style" w:cs="Arial"/>
          <w:bCs/>
          <w:color w:val="000000"/>
          <w:lang w:val="es-ES"/>
        </w:rPr>
        <w:t xml:space="preserve">pero </w:t>
      </w:r>
      <w:r w:rsidR="00831DD2">
        <w:rPr>
          <w:rFonts w:ascii="Bookman Old Style" w:hAnsi="Bookman Old Style" w:cs="Arial"/>
          <w:bCs/>
          <w:color w:val="000000"/>
          <w:lang w:val="es-ES"/>
        </w:rPr>
        <w:t>en mate</w:t>
      </w:r>
      <w:r w:rsidR="00F2468C">
        <w:rPr>
          <w:rFonts w:ascii="Bookman Old Style" w:hAnsi="Bookman Old Style" w:cs="Arial"/>
          <w:bCs/>
          <w:color w:val="000000"/>
          <w:lang w:val="es-ES"/>
        </w:rPr>
        <w:t>ria de</w:t>
      </w:r>
      <w:r w:rsidR="002834C9">
        <w:rPr>
          <w:rFonts w:ascii="Bookman Old Style" w:hAnsi="Bookman Old Style" w:cs="Arial"/>
          <w:bCs/>
          <w:color w:val="000000"/>
          <w:lang w:val="es-ES"/>
        </w:rPr>
        <w:t xml:space="preserve"> gasoductos dedicados</w:t>
      </w:r>
      <w:r w:rsidR="004D6F72">
        <w:rPr>
          <w:rStyle w:val="Refdenotaalpie"/>
          <w:rFonts w:ascii="Bookman Old Style" w:hAnsi="Bookman Old Style" w:cs="Arial"/>
          <w:bCs/>
          <w:color w:val="000000"/>
          <w:lang w:val="es-ES"/>
        </w:rPr>
        <w:footnoteReference w:id="5"/>
      </w:r>
      <w:r w:rsidR="002834C9">
        <w:rPr>
          <w:rFonts w:ascii="Bookman Old Style" w:hAnsi="Bookman Old Style" w:cs="Arial"/>
          <w:bCs/>
          <w:color w:val="000000"/>
          <w:lang w:val="es-ES"/>
        </w:rPr>
        <w:t xml:space="preserve">. </w:t>
      </w:r>
    </w:p>
    <w:p w14:paraId="608CBB92" w14:textId="77777777" w:rsidR="002834C9" w:rsidRDefault="002834C9" w:rsidP="002834C9">
      <w:pPr>
        <w:jc w:val="both"/>
        <w:rPr>
          <w:rFonts w:ascii="Bookman Old Style" w:hAnsi="Bookman Old Style" w:cs="Arial"/>
          <w:bCs/>
          <w:color w:val="000000"/>
          <w:lang w:val="es-ES"/>
        </w:rPr>
      </w:pPr>
    </w:p>
    <w:p w14:paraId="1204B02D" w14:textId="388C087F" w:rsidR="002834C9" w:rsidRDefault="008D3EE0" w:rsidP="002834C9">
      <w:pPr>
        <w:jc w:val="both"/>
        <w:rPr>
          <w:rFonts w:ascii="Bookman Old Style" w:hAnsi="Bookman Old Style" w:cs="Arial"/>
          <w:bCs/>
          <w:color w:val="000000"/>
          <w:lang w:val="es-ES"/>
        </w:rPr>
      </w:pPr>
      <w:r>
        <w:rPr>
          <w:rFonts w:ascii="Bookman Old Style" w:hAnsi="Bookman Old Style" w:cs="Arial"/>
          <w:bCs/>
          <w:color w:val="000000"/>
          <w:lang w:val="es-ES"/>
        </w:rPr>
        <w:t>En relación con esto</w:t>
      </w:r>
      <w:r w:rsidR="002834C9">
        <w:rPr>
          <w:rFonts w:ascii="Bookman Old Style" w:hAnsi="Bookman Old Style" w:cs="Arial"/>
          <w:bCs/>
          <w:color w:val="000000"/>
          <w:lang w:val="es-ES"/>
        </w:rPr>
        <w:t xml:space="preserve">, la Comisión al momento de determinar </w:t>
      </w:r>
      <w:r w:rsidR="002A0E89">
        <w:rPr>
          <w:rFonts w:ascii="Bookman Old Style" w:hAnsi="Bookman Old Style" w:cs="Arial"/>
          <w:bCs/>
          <w:color w:val="000000"/>
          <w:lang w:val="es-ES"/>
        </w:rPr>
        <w:t>el c</w:t>
      </w:r>
      <w:r w:rsidR="002834C9">
        <w:rPr>
          <w:rFonts w:ascii="Bookman Old Style" w:hAnsi="Bookman Old Style" w:cs="Arial"/>
          <w:bCs/>
          <w:color w:val="000000"/>
          <w:lang w:val="es-ES"/>
        </w:rPr>
        <w:t xml:space="preserve">argo de transporte en los casos en que un activo de este tipo empieza a prestar el servicio de transporte de gas natural ha considerado remunerar la inversión teniendo en cuenta la depreciación del activo. Lo anterior debido a que el valor del activo incluyendo la depreciación permite tener </w:t>
      </w:r>
      <w:r w:rsidR="002834C9" w:rsidRPr="00C565FF">
        <w:rPr>
          <w:rFonts w:ascii="Bookman Old Style" w:hAnsi="Bookman Old Style" w:cs="Arial"/>
          <w:bCs/>
          <w:color w:val="000000"/>
          <w:lang w:val="es-ES"/>
        </w:rPr>
        <w:t xml:space="preserve">un valor de inversión del activo de acuerdo con </w:t>
      </w:r>
      <w:r w:rsidR="002834C9">
        <w:rPr>
          <w:rFonts w:ascii="Bookman Old Style" w:hAnsi="Bookman Old Style" w:cs="Arial"/>
          <w:bCs/>
          <w:color w:val="000000"/>
          <w:lang w:val="es-ES"/>
        </w:rPr>
        <w:t>el tiempo que el activo ha estado en operación.</w:t>
      </w:r>
    </w:p>
    <w:p w14:paraId="58E7638C" w14:textId="77777777" w:rsidR="002834C9" w:rsidRDefault="002834C9" w:rsidP="002834C9">
      <w:pPr>
        <w:jc w:val="both"/>
        <w:rPr>
          <w:rFonts w:ascii="Bookman Old Style" w:hAnsi="Bookman Old Style" w:cs="Arial"/>
          <w:bCs/>
          <w:color w:val="000000"/>
          <w:lang w:val="es-ES"/>
        </w:rPr>
      </w:pPr>
    </w:p>
    <w:p w14:paraId="39D0937D" w14:textId="481E54E1" w:rsidR="0029379A" w:rsidRDefault="00BE05E2" w:rsidP="002834C9">
      <w:pPr>
        <w:jc w:val="both"/>
        <w:rPr>
          <w:rFonts w:ascii="Bookman Old Style" w:hAnsi="Bookman Old Style" w:cs="Arial"/>
          <w:bCs/>
          <w:color w:val="000000"/>
          <w:lang w:val="es-ES"/>
        </w:rPr>
      </w:pPr>
      <w:r>
        <w:rPr>
          <w:rFonts w:ascii="Bookman Old Style" w:hAnsi="Bookman Old Style" w:cs="Arial"/>
          <w:bCs/>
          <w:color w:val="000000"/>
          <w:lang w:val="es-ES"/>
        </w:rPr>
        <w:t xml:space="preserve">Es por esto que, a partir de los comentarios recibidos y del análisis de </w:t>
      </w:r>
      <w:r w:rsidR="00C77B1D">
        <w:rPr>
          <w:rFonts w:ascii="Bookman Old Style" w:hAnsi="Bookman Old Style" w:cs="Arial"/>
          <w:bCs/>
          <w:color w:val="000000"/>
          <w:lang w:val="es-ES"/>
        </w:rPr>
        <w:t>estos</w:t>
      </w:r>
      <w:r>
        <w:rPr>
          <w:rFonts w:ascii="Bookman Old Style" w:hAnsi="Bookman Old Style" w:cs="Arial"/>
          <w:bCs/>
          <w:color w:val="000000"/>
          <w:lang w:val="es-ES"/>
        </w:rPr>
        <w:t xml:space="preserve">, </w:t>
      </w:r>
      <w:r w:rsidR="002834C9">
        <w:rPr>
          <w:rFonts w:ascii="Bookman Old Style" w:hAnsi="Bookman Old Style" w:cs="Arial"/>
          <w:bCs/>
          <w:color w:val="000000"/>
          <w:lang w:val="es-ES"/>
        </w:rPr>
        <w:t>considera pertinente aplicar la regla ya descrita para los activos que cumplen vida útil normativa a los gasoductos dedicados que hayan estado en operación por un periodo igual o superior a 20 años, para los cuales sea necesario realizar el cálculo de</w:t>
      </w:r>
      <w:r w:rsidR="004F3BF5">
        <w:rPr>
          <w:rFonts w:ascii="Bookman Old Style" w:hAnsi="Bookman Old Style" w:cs="Arial"/>
          <w:bCs/>
          <w:color w:val="000000"/>
          <w:lang w:val="es-ES"/>
        </w:rPr>
        <w:t>l</w:t>
      </w:r>
      <w:r w:rsidR="002834C9">
        <w:rPr>
          <w:rFonts w:ascii="Bookman Old Style" w:hAnsi="Bookman Old Style" w:cs="Arial"/>
          <w:bCs/>
          <w:color w:val="000000"/>
          <w:lang w:val="es-ES"/>
        </w:rPr>
        <w:t xml:space="preserve"> cargo</w:t>
      </w:r>
      <w:r w:rsidR="00700EF3">
        <w:rPr>
          <w:rFonts w:ascii="Bookman Old Style" w:hAnsi="Bookman Old Style" w:cs="Arial"/>
          <w:bCs/>
          <w:color w:val="000000"/>
          <w:lang w:val="es-ES"/>
        </w:rPr>
        <w:t>.</w:t>
      </w:r>
      <w:r w:rsidR="00294398">
        <w:rPr>
          <w:rFonts w:ascii="Bookman Old Style" w:hAnsi="Bookman Old Style" w:cs="Arial"/>
          <w:bCs/>
          <w:color w:val="000000"/>
          <w:lang w:val="es-ES"/>
        </w:rPr>
        <w:t xml:space="preserve"> Lo anterior, considerando que dichos activos </w:t>
      </w:r>
      <w:r w:rsidR="00E60B63">
        <w:rPr>
          <w:rFonts w:ascii="Bookman Old Style" w:hAnsi="Bookman Old Style" w:cs="Arial"/>
          <w:bCs/>
          <w:color w:val="000000"/>
          <w:lang w:val="es-ES"/>
        </w:rPr>
        <w:t xml:space="preserve">que eran gasoductos dedicados </w:t>
      </w:r>
      <w:r w:rsidR="00294398">
        <w:rPr>
          <w:rFonts w:ascii="Bookman Old Style" w:hAnsi="Bookman Old Style" w:cs="Arial"/>
          <w:bCs/>
          <w:color w:val="000000"/>
          <w:lang w:val="es-ES"/>
        </w:rPr>
        <w:t xml:space="preserve">pasan a ser </w:t>
      </w:r>
      <w:r w:rsidR="00E60B63">
        <w:rPr>
          <w:rFonts w:ascii="Bookman Old Style" w:hAnsi="Bookman Old Style" w:cs="Arial"/>
          <w:bCs/>
          <w:color w:val="000000"/>
          <w:lang w:val="es-ES"/>
        </w:rPr>
        <w:t xml:space="preserve">activos de transporte de gas natural, por lo que </w:t>
      </w:r>
      <w:r w:rsidR="00302844">
        <w:rPr>
          <w:rFonts w:ascii="Bookman Old Style" w:hAnsi="Bookman Old Style" w:cs="Arial"/>
          <w:bCs/>
          <w:color w:val="000000"/>
          <w:lang w:val="es-ES"/>
        </w:rPr>
        <w:t>la forma de remuneración</w:t>
      </w:r>
      <w:r w:rsidR="00BC2BDC">
        <w:rPr>
          <w:rFonts w:ascii="Bookman Old Style" w:hAnsi="Bookman Old Style" w:cs="Arial"/>
          <w:bCs/>
          <w:color w:val="000000"/>
          <w:lang w:val="es-ES"/>
        </w:rPr>
        <w:t>, los incentivos para la reposición de los mismos</w:t>
      </w:r>
      <w:r w:rsidR="00302844">
        <w:rPr>
          <w:rFonts w:ascii="Bookman Old Style" w:hAnsi="Bookman Old Style" w:cs="Arial"/>
          <w:bCs/>
          <w:color w:val="000000"/>
          <w:lang w:val="es-ES"/>
        </w:rPr>
        <w:t xml:space="preserve"> y </w:t>
      </w:r>
      <w:r w:rsidR="00E60B63">
        <w:rPr>
          <w:rFonts w:ascii="Bookman Old Style" w:hAnsi="Bookman Old Style" w:cs="Arial"/>
          <w:bCs/>
          <w:color w:val="000000"/>
          <w:lang w:val="es-ES"/>
        </w:rPr>
        <w:t xml:space="preserve">el costo de oportunidad debe tener en cuenta </w:t>
      </w:r>
      <w:r w:rsidR="004F5897">
        <w:rPr>
          <w:rFonts w:ascii="Bookman Old Style" w:hAnsi="Bookman Old Style" w:cs="Arial"/>
          <w:bCs/>
          <w:color w:val="000000"/>
          <w:lang w:val="es-ES"/>
        </w:rPr>
        <w:t>el mismo tratamiento que se da para los gasoductos que hacen parte de la base tarifaria de un transportador.</w:t>
      </w:r>
    </w:p>
    <w:p w14:paraId="2586AC16" w14:textId="77777777" w:rsidR="00581235" w:rsidRDefault="00581235" w:rsidP="002834C9">
      <w:pPr>
        <w:jc w:val="both"/>
        <w:rPr>
          <w:rFonts w:ascii="Bookman Old Style" w:hAnsi="Bookman Old Style" w:cs="Arial"/>
          <w:bCs/>
          <w:color w:val="000000"/>
          <w:lang w:val="es-ES"/>
        </w:rPr>
      </w:pPr>
    </w:p>
    <w:p w14:paraId="7A79A606" w14:textId="39598812" w:rsidR="002834C9" w:rsidRDefault="007D5F3A" w:rsidP="002834C9">
      <w:pPr>
        <w:jc w:val="both"/>
        <w:rPr>
          <w:rFonts w:ascii="Bookman Old Style" w:hAnsi="Bookman Old Style" w:cs="Arial"/>
          <w:bCs/>
          <w:color w:val="000000"/>
          <w:lang w:val="es-ES"/>
        </w:rPr>
      </w:pPr>
      <w:r>
        <w:rPr>
          <w:rFonts w:ascii="Bookman Old Style" w:hAnsi="Bookman Old Style" w:cs="Arial"/>
          <w:bCs/>
          <w:color w:val="000000"/>
          <w:lang w:val="es-ES"/>
        </w:rPr>
        <w:t xml:space="preserve">De ahí que, </w:t>
      </w:r>
      <w:r w:rsidRPr="007D5F3A">
        <w:rPr>
          <w:rFonts w:ascii="Bookman Old Style" w:hAnsi="Bookman Old Style" w:cs="Arial"/>
          <w:bCs/>
          <w:color w:val="000000"/>
          <w:lang w:val="es-ES"/>
        </w:rPr>
        <w:t>para calcular el valor de inversión para gasoductos dedicados al momento de hacerse necesario establecer cargos de transporte para este tipo de activos, de acuerdo con el tiempo que el activo ha estado en operación</w:t>
      </w:r>
      <w:r w:rsidR="008E6BE9">
        <w:rPr>
          <w:rFonts w:ascii="Bookman Old Style" w:hAnsi="Bookman Old Style" w:cs="Arial"/>
          <w:bCs/>
          <w:color w:val="000000"/>
          <w:lang w:val="es-ES"/>
        </w:rPr>
        <w:t xml:space="preserve">, </w:t>
      </w:r>
      <w:r w:rsidR="00C709EF">
        <w:rPr>
          <w:rFonts w:ascii="Bookman Old Style" w:hAnsi="Bookman Old Style" w:cs="Arial"/>
          <w:bCs/>
          <w:color w:val="000000"/>
          <w:lang w:val="es-ES"/>
        </w:rPr>
        <w:t xml:space="preserve">debe </w:t>
      </w:r>
      <w:r w:rsidR="00C709EF">
        <w:rPr>
          <w:rFonts w:ascii="Bookman Old Style" w:hAnsi="Bookman Old Style" w:cs="Arial"/>
          <w:bCs/>
          <w:color w:val="000000"/>
          <w:lang w:val="es-ES"/>
        </w:rPr>
        <w:lastRenderedPageBreak/>
        <w:t xml:space="preserve">aplicarse lo definido </w:t>
      </w:r>
      <w:r w:rsidR="00004E9F">
        <w:rPr>
          <w:rFonts w:ascii="Bookman Old Style" w:hAnsi="Bookman Old Style" w:cs="Arial"/>
          <w:bCs/>
          <w:color w:val="000000"/>
          <w:lang w:val="es-ES"/>
        </w:rPr>
        <w:t xml:space="preserve">para </w:t>
      </w:r>
      <w:r w:rsidR="00261695">
        <w:rPr>
          <w:rFonts w:ascii="Bookman Old Style" w:hAnsi="Bookman Old Style" w:cs="Arial"/>
          <w:bCs/>
          <w:color w:val="000000"/>
          <w:lang w:val="es-ES"/>
        </w:rPr>
        <w:t xml:space="preserve">los activos de transporte </w:t>
      </w:r>
      <w:r w:rsidR="009F3191">
        <w:rPr>
          <w:rFonts w:ascii="Bookman Old Style" w:hAnsi="Bookman Old Style" w:cs="Arial"/>
          <w:bCs/>
          <w:color w:val="000000"/>
          <w:lang w:val="es-ES"/>
        </w:rPr>
        <w:t>en relación con</w:t>
      </w:r>
      <w:r w:rsidR="00261695">
        <w:rPr>
          <w:rFonts w:ascii="Bookman Old Style" w:hAnsi="Bookman Old Style" w:cs="Arial"/>
          <w:bCs/>
          <w:color w:val="000000"/>
          <w:lang w:val="es-ES"/>
        </w:rPr>
        <w:t xml:space="preserve"> la variable </w:t>
      </w:r>
      <w:proofErr w:type="spellStart"/>
      <w:r w:rsidR="00261695">
        <w:rPr>
          <w:rFonts w:ascii="Bookman Old Style" w:hAnsi="Bookman Old Style" w:cs="Arial"/>
          <w:bCs/>
          <w:color w:val="000000"/>
          <w:lang w:val="es-ES"/>
        </w:rPr>
        <w:t>RVUN</w:t>
      </w:r>
      <w:proofErr w:type="spellEnd"/>
      <w:r w:rsidR="00317DE8">
        <w:rPr>
          <w:rFonts w:ascii="Bookman Old Style" w:hAnsi="Bookman Old Style" w:cs="Arial"/>
          <w:bCs/>
          <w:color w:val="000000"/>
          <w:lang w:val="es-ES"/>
        </w:rPr>
        <w:t>.</w:t>
      </w:r>
    </w:p>
    <w:p w14:paraId="657942F1" w14:textId="77777777" w:rsidR="002834C9" w:rsidRDefault="002834C9" w:rsidP="00F74C2A">
      <w:pPr>
        <w:jc w:val="both"/>
        <w:rPr>
          <w:rFonts w:ascii="Bookman Old Style" w:hAnsi="Bookman Old Style" w:cs="Arial"/>
          <w:bCs/>
          <w:color w:val="000000"/>
          <w:lang w:val="es-ES"/>
        </w:rPr>
      </w:pPr>
    </w:p>
    <w:p w14:paraId="739D131E" w14:textId="23B60CC6" w:rsidR="001B0FA8" w:rsidRPr="00A51AF4" w:rsidRDefault="0098208E" w:rsidP="00EC0C6F">
      <w:pPr>
        <w:contextualSpacing/>
        <w:jc w:val="both"/>
        <w:rPr>
          <w:rFonts w:ascii="Bookman Old Style" w:hAnsi="Bookman Old Style" w:cs="Arial"/>
          <w:color w:val="000000"/>
          <w:lang w:val="es-ES"/>
        </w:rPr>
      </w:pPr>
      <w:r w:rsidRPr="00A51AF4" w:rsidDel="00602C9D">
        <w:rPr>
          <w:rFonts w:ascii="Bookman Old Style" w:hAnsi="Bookman Old Style" w:cs="Arial"/>
          <w:color w:val="000000"/>
          <w:lang w:val="es-ES"/>
        </w:rPr>
        <w:t xml:space="preserve">En este sentido, </w:t>
      </w:r>
      <w:r w:rsidR="00305A59" w:rsidRPr="00A51AF4" w:rsidDel="00602C9D">
        <w:rPr>
          <w:rFonts w:ascii="Bookman Old Style" w:hAnsi="Bookman Old Style" w:cs="Arial"/>
          <w:color w:val="000000"/>
          <w:lang w:val="es-ES"/>
        </w:rPr>
        <w:t>se considera v</w:t>
      </w:r>
      <w:r w:rsidR="00B34FEF" w:rsidRPr="00A51AF4" w:rsidDel="00602C9D">
        <w:rPr>
          <w:rFonts w:ascii="Bookman Old Style" w:hAnsi="Bookman Old Style" w:cs="Arial"/>
          <w:color w:val="000000"/>
          <w:lang w:val="es-ES"/>
        </w:rPr>
        <w:t>á</w:t>
      </w:r>
      <w:r w:rsidR="00305A59" w:rsidRPr="00A51AF4" w:rsidDel="00602C9D">
        <w:rPr>
          <w:rFonts w:ascii="Bookman Old Style" w:hAnsi="Bookman Old Style" w:cs="Arial"/>
          <w:color w:val="000000"/>
          <w:lang w:val="es-ES"/>
        </w:rPr>
        <w:t xml:space="preserve">lido y procedente </w:t>
      </w:r>
      <w:r w:rsidR="009D74E7" w:rsidRPr="00A51AF4">
        <w:rPr>
          <w:rFonts w:ascii="Bookman Old Style" w:hAnsi="Bookman Old Style" w:cs="Arial"/>
          <w:color w:val="000000"/>
          <w:lang w:val="es-ES"/>
        </w:rPr>
        <w:t xml:space="preserve">ajustar </w:t>
      </w:r>
      <w:r w:rsidR="00C94671" w:rsidRPr="00A51AF4" w:rsidDel="00602C9D">
        <w:rPr>
          <w:rFonts w:ascii="Bookman Old Style" w:hAnsi="Bookman Old Style" w:cs="Arial"/>
          <w:color w:val="000000"/>
          <w:lang w:val="es-ES"/>
        </w:rPr>
        <w:t xml:space="preserve">la propuesta inicial </w:t>
      </w:r>
      <w:r w:rsidR="000A6EC8" w:rsidRPr="00A51AF4" w:rsidDel="00602C9D">
        <w:rPr>
          <w:rFonts w:ascii="Bookman Old Style" w:hAnsi="Bookman Old Style" w:cs="Arial"/>
          <w:color w:val="000000"/>
          <w:lang w:val="es-ES"/>
        </w:rPr>
        <w:t>d</w:t>
      </w:r>
      <w:r w:rsidR="00DA1CAD" w:rsidRPr="00A51AF4" w:rsidDel="00602C9D">
        <w:rPr>
          <w:rFonts w:ascii="Bookman Old Style" w:hAnsi="Bookman Old Style" w:cs="Arial"/>
          <w:color w:val="000000"/>
          <w:lang w:val="es-ES"/>
        </w:rPr>
        <w:t xml:space="preserve">e la Resolución </w:t>
      </w:r>
      <w:proofErr w:type="spellStart"/>
      <w:r w:rsidR="00DA1CAD" w:rsidRPr="00A51AF4" w:rsidDel="00602C9D">
        <w:rPr>
          <w:rFonts w:ascii="Bookman Old Style" w:hAnsi="Bookman Old Style" w:cs="Arial"/>
          <w:color w:val="000000"/>
          <w:lang w:val="es-ES"/>
        </w:rPr>
        <w:t>CREG</w:t>
      </w:r>
      <w:proofErr w:type="spellEnd"/>
      <w:r w:rsidR="00DA1CAD" w:rsidRPr="00A51AF4" w:rsidDel="00602C9D">
        <w:rPr>
          <w:rFonts w:ascii="Bookman Old Style" w:hAnsi="Bookman Old Style" w:cs="Arial"/>
          <w:color w:val="000000"/>
          <w:lang w:val="es-ES"/>
        </w:rPr>
        <w:t xml:space="preserve"> 702 009 de 2022</w:t>
      </w:r>
      <w:r w:rsidR="00716BE1" w:rsidRPr="00A51AF4" w:rsidDel="00D74896">
        <w:rPr>
          <w:rFonts w:ascii="Bookman Old Style" w:hAnsi="Bookman Old Style" w:cs="Arial"/>
          <w:color w:val="000000"/>
          <w:lang w:val="es-ES"/>
        </w:rPr>
        <w:t xml:space="preserve"> </w:t>
      </w:r>
      <w:r w:rsidR="009D74E7" w:rsidRPr="00A51AF4">
        <w:rPr>
          <w:rFonts w:ascii="Bookman Old Style" w:hAnsi="Bookman Old Style" w:cs="Arial"/>
          <w:color w:val="000000"/>
          <w:lang w:val="es-ES"/>
        </w:rPr>
        <w:t>y</w:t>
      </w:r>
      <w:r w:rsidR="003F6648" w:rsidRPr="00A51AF4" w:rsidDel="00D74896">
        <w:rPr>
          <w:rFonts w:ascii="Bookman Old Style" w:hAnsi="Bookman Old Style" w:cs="Arial"/>
          <w:color w:val="000000"/>
          <w:lang w:val="es-ES"/>
        </w:rPr>
        <w:t xml:space="preserve"> como parte del proceso de consulta </w:t>
      </w:r>
      <w:r w:rsidR="009D74E7" w:rsidRPr="00A51AF4">
        <w:rPr>
          <w:rFonts w:ascii="Bookman Old Style" w:hAnsi="Bookman Old Style" w:cs="Arial"/>
          <w:color w:val="000000"/>
          <w:lang w:val="es-ES"/>
        </w:rPr>
        <w:t>in</w:t>
      </w:r>
      <w:r w:rsidR="009578B7" w:rsidRPr="00A51AF4">
        <w:rPr>
          <w:rFonts w:ascii="Bookman Old Style" w:hAnsi="Bookman Old Style" w:cs="Arial"/>
          <w:color w:val="000000"/>
          <w:lang w:val="es-ES"/>
        </w:rPr>
        <w:t>cluir</w:t>
      </w:r>
      <w:r w:rsidR="009D74E7" w:rsidRPr="00A51AF4">
        <w:rPr>
          <w:rFonts w:ascii="Bookman Old Style" w:hAnsi="Bookman Old Style" w:cs="Arial"/>
          <w:color w:val="000000"/>
          <w:lang w:val="es-ES"/>
        </w:rPr>
        <w:t xml:space="preserve"> los siguientes elementos:</w:t>
      </w:r>
    </w:p>
    <w:p w14:paraId="3A6F1F41" w14:textId="77777777" w:rsidR="001B0FA8" w:rsidRPr="00A51AF4" w:rsidRDefault="001B0FA8" w:rsidP="00EC0C6F">
      <w:pPr>
        <w:contextualSpacing/>
        <w:jc w:val="both"/>
        <w:rPr>
          <w:rFonts w:ascii="Bookman Old Style" w:hAnsi="Bookman Old Style" w:cs="Arial"/>
          <w:color w:val="000000"/>
          <w:lang w:val="es-ES"/>
        </w:rPr>
      </w:pPr>
    </w:p>
    <w:p w14:paraId="50F1F815" w14:textId="354CF77A" w:rsidR="001B0FA8" w:rsidRPr="00A51AF4" w:rsidRDefault="0058678B" w:rsidP="00EC0C6F">
      <w:pPr>
        <w:pStyle w:val="Prrafodelista"/>
        <w:numPr>
          <w:ilvl w:val="0"/>
          <w:numId w:val="49"/>
        </w:numPr>
        <w:contextualSpacing/>
        <w:rPr>
          <w:rFonts w:cs="Arial"/>
          <w:color w:val="000000"/>
          <w:lang w:val="es-ES"/>
        </w:rPr>
      </w:pPr>
      <w:r w:rsidRPr="00A51AF4">
        <w:rPr>
          <w:rFonts w:cs="Arial"/>
          <w:color w:val="000000"/>
          <w:lang w:val="es-ES"/>
        </w:rPr>
        <w:t>E</w:t>
      </w:r>
      <w:r w:rsidR="0089452B" w:rsidRPr="00A51AF4">
        <w:rPr>
          <w:rFonts w:cs="Arial"/>
          <w:color w:val="000000"/>
          <w:lang w:val="es-ES"/>
        </w:rPr>
        <w:t xml:space="preserve">n relación con </w:t>
      </w:r>
      <w:r w:rsidR="002C49DC" w:rsidRPr="00A51AF4">
        <w:rPr>
          <w:rFonts w:cs="Arial"/>
          <w:color w:val="000000"/>
          <w:lang w:val="es-ES"/>
        </w:rPr>
        <w:t>e</w:t>
      </w:r>
      <w:r w:rsidR="002C49DC" w:rsidRPr="00A51AF4" w:rsidDel="00D74896">
        <w:rPr>
          <w:rFonts w:cs="Arial"/>
          <w:color w:val="000000"/>
          <w:lang w:val="es-ES"/>
        </w:rPr>
        <w:t xml:space="preserve">l </w:t>
      </w:r>
      <w:r w:rsidR="008266EB" w:rsidRPr="00A51AF4" w:rsidDel="00D74896">
        <w:rPr>
          <w:rFonts w:cs="Arial"/>
          <w:color w:val="000000"/>
          <w:lang w:val="es-ES"/>
        </w:rPr>
        <w:t xml:space="preserve">período de aplicación, </w:t>
      </w:r>
      <w:r w:rsidR="008A15B6" w:rsidRPr="00A51AF4">
        <w:rPr>
          <w:rFonts w:cs="Arial"/>
          <w:color w:val="000000"/>
          <w:lang w:val="es-ES"/>
        </w:rPr>
        <w:t xml:space="preserve">se realiza ajuste para que </w:t>
      </w:r>
      <w:r w:rsidR="004D4ED1" w:rsidRPr="00A51AF4">
        <w:rPr>
          <w:rFonts w:cs="Arial"/>
          <w:color w:val="000000"/>
          <w:lang w:val="es-ES"/>
        </w:rPr>
        <w:t>concuerde</w:t>
      </w:r>
      <w:r w:rsidR="00E77978" w:rsidRPr="00A51AF4">
        <w:rPr>
          <w:rFonts w:cs="Arial"/>
          <w:color w:val="000000"/>
          <w:lang w:val="es-ES"/>
        </w:rPr>
        <w:t xml:space="preserve"> </w:t>
      </w:r>
      <w:r w:rsidR="008266EB" w:rsidRPr="00A51AF4" w:rsidDel="00D74896">
        <w:rPr>
          <w:rFonts w:cs="Arial"/>
          <w:color w:val="000000"/>
          <w:lang w:val="es-ES"/>
        </w:rPr>
        <w:t>con el período de aplicación de la metodología</w:t>
      </w:r>
      <w:r w:rsidR="00810248" w:rsidRPr="00A51AF4">
        <w:rPr>
          <w:rFonts w:cs="Arial"/>
          <w:color w:val="000000"/>
          <w:lang w:val="es-ES"/>
        </w:rPr>
        <w:t>.</w:t>
      </w:r>
    </w:p>
    <w:p w14:paraId="61B2482F" w14:textId="77777777" w:rsidR="00EC0C6F" w:rsidRPr="00A51AF4" w:rsidRDefault="00EC0C6F" w:rsidP="006351DF">
      <w:pPr>
        <w:pStyle w:val="NormalWeb"/>
        <w:spacing w:before="0" w:beforeAutospacing="0" w:after="0" w:afterAutospacing="0" w:line="240" w:lineRule="auto"/>
        <w:contextualSpacing/>
      </w:pPr>
    </w:p>
    <w:p w14:paraId="608728C5" w14:textId="7474C19A" w:rsidR="00045039" w:rsidRPr="00A51AF4" w:rsidRDefault="00045039" w:rsidP="006351DF">
      <w:pPr>
        <w:pStyle w:val="NormalWeb"/>
        <w:numPr>
          <w:ilvl w:val="0"/>
          <w:numId w:val="49"/>
        </w:numPr>
        <w:spacing w:before="0" w:beforeAutospacing="0" w:after="0" w:afterAutospacing="0" w:line="240" w:lineRule="auto"/>
        <w:ind w:left="799"/>
        <w:contextualSpacing/>
      </w:pPr>
      <w:r w:rsidRPr="00A51AF4">
        <w:t>Con respecto a</w:t>
      </w:r>
      <w:r w:rsidR="0098221C" w:rsidRPr="00A51AF4">
        <w:t xml:space="preserve"> la variable de los cargos que se debe </w:t>
      </w:r>
      <w:r w:rsidR="00EC0C6F" w:rsidRPr="00A51AF4">
        <w:t>intervenir</w:t>
      </w:r>
      <w:r w:rsidR="0098221C" w:rsidRPr="00A51AF4">
        <w:t xml:space="preserve"> para realizar el reconocimiento del costo de oportunidad</w:t>
      </w:r>
      <w:r w:rsidR="00EC0C6F" w:rsidRPr="00A51AF4">
        <w:t xml:space="preserve"> de los activos que cumplen </w:t>
      </w:r>
      <w:proofErr w:type="spellStart"/>
      <w:r w:rsidR="00EC0C6F" w:rsidRPr="00A51AF4">
        <w:t>VUN</w:t>
      </w:r>
      <w:proofErr w:type="spellEnd"/>
      <w:r w:rsidR="00EC0C6F" w:rsidRPr="00A51AF4">
        <w:t xml:space="preserve"> y continúan en operación</w:t>
      </w:r>
      <w:r w:rsidR="0098221C" w:rsidRPr="00A51AF4">
        <w:t>, se in</w:t>
      </w:r>
      <w:r w:rsidR="00E63512" w:rsidRPr="00A51AF4">
        <w:t>c</w:t>
      </w:r>
      <w:r w:rsidR="0098221C" w:rsidRPr="00A51AF4">
        <w:t>luye ajuste para que</w:t>
      </w:r>
      <w:r w:rsidR="00E63512" w:rsidRPr="00A51AF4">
        <w:t xml:space="preserve"> dicho reconocimiento se haga dentro del componente de inversión. </w:t>
      </w:r>
    </w:p>
    <w:p w14:paraId="4B9020F0" w14:textId="77777777" w:rsidR="00290AF8" w:rsidRPr="00A51AF4" w:rsidRDefault="00290AF8" w:rsidP="00EC0C6F">
      <w:pPr>
        <w:pStyle w:val="NormalWeb"/>
        <w:spacing w:before="0" w:beforeAutospacing="0" w:after="0" w:afterAutospacing="0" w:line="240" w:lineRule="auto"/>
        <w:contextualSpacing/>
      </w:pPr>
    </w:p>
    <w:p w14:paraId="39AA415B" w14:textId="15363AAD" w:rsidR="00643252" w:rsidRPr="00A51AF4" w:rsidRDefault="009C61B5" w:rsidP="00EC0C6F">
      <w:pPr>
        <w:pStyle w:val="Prrafodelista"/>
        <w:numPr>
          <w:ilvl w:val="0"/>
          <w:numId w:val="49"/>
        </w:numPr>
        <w:contextualSpacing/>
        <w:rPr>
          <w:rFonts w:cs="Arial"/>
          <w:color w:val="000000"/>
          <w:lang w:val="es-ES"/>
        </w:rPr>
      </w:pPr>
      <w:r w:rsidRPr="00A51AF4">
        <w:rPr>
          <w:rFonts w:cs="Arial"/>
          <w:color w:val="000000"/>
          <w:lang w:val="es-ES"/>
        </w:rPr>
        <w:t>C</w:t>
      </w:r>
      <w:r w:rsidR="0056359B" w:rsidRPr="00A51AF4" w:rsidDel="00D74896">
        <w:rPr>
          <w:rFonts w:cs="Arial"/>
          <w:color w:val="000000"/>
          <w:lang w:val="es-ES"/>
        </w:rPr>
        <w:t xml:space="preserve">onsiderando los comentarios </w:t>
      </w:r>
      <w:r w:rsidR="00077FC2" w:rsidRPr="00A51AF4" w:rsidDel="00D74896">
        <w:rPr>
          <w:rFonts w:cs="Arial"/>
          <w:color w:val="000000"/>
          <w:lang w:val="es-ES"/>
        </w:rPr>
        <w:t xml:space="preserve">sobre la señal para buscar que no se reemplacen los activos que cumplen vida útil normativa de manera prematura, </w:t>
      </w:r>
      <w:r w:rsidR="0056359B" w:rsidRPr="00A51AF4" w:rsidDel="00D74896">
        <w:rPr>
          <w:rFonts w:cs="Arial"/>
          <w:color w:val="000000"/>
          <w:lang w:val="es-ES"/>
        </w:rPr>
        <w:t xml:space="preserve">se </w:t>
      </w:r>
      <w:r w:rsidR="007061EE" w:rsidRPr="00A51AF4">
        <w:rPr>
          <w:rFonts w:cs="Arial"/>
          <w:color w:val="000000"/>
          <w:lang w:val="es-ES"/>
        </w:rPr>
        <w:t>redefinió</w:t>
      </w:r>
      <w:r w:rsidR="007061EE" w:rsidRPr="00A51AF4" w:rsidDel="00D74896">
        <w:rPr>
          <w:rFonts w:cs="Arial"/>
          <w:color w:val="000000"/>
          <w:lang w:val="es-ES"/>
        </w:rPr>
        <w:t xml:space="preserve"> </w:t>
      </w:r>
      <w:r w:rsidR="00AA58A0" w:rsidRPr="00A51AF4" w:rsidDel="00D74896">
        <w:rPr>
          <w:rFonts w:cs="Arial"/>
          <w:color w:val="000000"/>
          <w:lang w:val="es-ES"/>
        </w:rPr>
        <w:t xml:space="preserve">el </w:t>
      </w:r>
      <w:r w:rsidR="005B4152" w:rsidRPr="00A51AF4" w:rsidDel="00D74896">
        <w:rPr>
          <w:rFonts w:cs="Arial"/>
          <w:color w:val="000000"/>
          <w:lang w:val="es-ES"/>
        </w:rPr>
        <w:t xml:space="preserve">cálculo sobre </w:t>
      </w:r>
      <w:r w:rsidR="00077FC2" w:rsidRPr="00A51AF4" w:rsidDel="00D74896">
        <w:rPr>
          <w:rFonts w:cs="Arial"/>
          <w:color w:val="000000"/>
          <w:lang w:val="es-ES"/>
        </w:rPr>
        <w:t>el</w:t>
      </w:r>
      <w:r w:rsidR="00181444" w:rsidRPr="00A51AF4" w:rsidDel="00D74896">
        <w:rPr>
          <w:rFonts w:cs="Arial"/>
          <w:color w:val="000000"/>
          <w:lang w:val="es-ES"/>
        </w:rPr>
        <w:t xml:space="preserve"> </w:t>
      </w:r>
      <w:r w:rsidR="00AA58A0" w:rsidRPr="00A51AF4" w:rsidDel="00D74896">
        <w:rPr>
          <w:rFonts w:cs="Arial"/>
          <w:color w:val="000000"/>
          <w:lang w:val="es-ES"/>
        </w:rPr>
        <w:t>costo de oportunidad considerando específicamente el riesgo asociado a la operación de los activo</w:t>
      </w:r>
      <w:r w:rsidR="00810248" w:rsidRPr="00A51AF4">
        <w:rPr>
          <w:rFonts w:cs="Arial"/>
          <w:color w:val="000000"/>
          <w:lang w:val="es-ES"/>
        </w:rPr>
        <w:t>s</w:t>
      </w:r>
      <w:r w:rsidR="000D6FC9" w:rsidRPr="00A51AF4" w:rsidDel="00D74896">
        <w:rPr>
          <w:rFonts w:cs="Arial"/>
          <w:color w:val="000000"/>
          <w:lang w:val="es-ES"/>
        </w:rPr>
        <w:t>.</w:t>
      </w:r>
    </w:p>
    <w:p w14:paraId="3922C033" w14:textId="77777777" w:rsidR="00810248" w:rsidRPr="00A51AF4" w:rsidRDefault="00810248" w:rsidP="00B06E7B">
      <w:pPr>
        <w:pStyle w:val="NormalWeb"/>
        <w:spacing w:before="0" w:beforeAutospacing="0" w:after="0" w:afterAutospacing="0" w:line="240" w:lineRule="auto"/>
        <w:contextualSpacing/>
      </w:pPr>
    </w:p>
    <w:p w14:paraId="4848C8FF" w14:textId="4D53D6AC" w:rsidR="002326EE" w:rsidRDefault="00132388" w:rsidP="008004D2">
      <w:pPr>
        <w:pStyle w:val="Prrafodelista"/>
        <w:numPr>
          <w:ilvl w:val="0"/>
          <w:numId w:val="49"/>
        </w:numPr>
        <w:ind w:left="799"/>
        <w:contextualSpacing/>
        <w:rPr>
          <w:rFonts w:cs="Arial"/>
          <w:color w:val="000000"/>
          <w:lang w:val="es-ES"/>
        </w:rPr>
      </w:pPr>
      <w:r w:rsidRPr="00A51AF4">
        <w:rPr>
          <w:rFonts w:cs="Arial"/>
          <w:color w:val="000000"/>
          <w:lang w:val="es-ES"/>
        </w:rPr>
        <w:t xml:space="preserve">En relación con los </w:t>
      </w:r>
      <w:r w:rsidR="0034734D" w:rsidRPr="00A51AF4">
        <w:rPr>
          <w:rFonts w:cs="Arial"/>
          <w:color w:val="000000"/>
          <w:lang w:val="es-ES"/>
        </w:rPr>
        <w:t>g</w:t>
      </w:r>
      <w:r w:rsidR="001B0FA8" w:rsidRPr="00A51AF4">
        <w:rPr>
          <w:rFonts w:cs="Arial"/>
          <w:color w:val="000000"/>
          <w:lang w:val="es-ES"/>
        </w:rPr>
        <w:t>asoductos dedicados</w:t>
      </w:r>
      <w:r w:rsidR="00303AB9" w:rsidRPr="00A51AF4">
        <w:rPr>
          <w:rFonts w:cs="Arial"/>
          <w:color w:val="000000"/>
          <w:lang w:val="es-ES"/>
        </w:rPr>
        <w:t xml:space="preserve">, la Comisión considera </w:t>
      </w:r>
      <w:r w:rsidR="00372F0E" w:rsidRPr="00A51AF4">
        <w:rPr>
          <w:rFonts w:cs="Arial"/>
          <w:color w:val="000000"/>
          <w:lang w:val="es-ES"/>
        </w:rPr>
        <w:t xml:space="preserve">coherente </w:t>
      </w:r>
      <w:r w:rsidR="00D50513" w:rsidRPr="00A51AF4">
        <w:rPr>
          <w:rFonts w:cs="Arial"/>
          <w:color w:val="000000"/>
          <w:lang w:val="es-ES"/>
        </w:rPr>
        <w:t xml:space="preserve">aplicar </w:t>
      </w:r>
      <w:r w:rsidR="00470E55" w:rsidRPr="00A51AF4">
        <w:rPr>
          <w:rFonts w:cs="Arial"/>
          <w:color w:val="000000"/>
          <w:lang w:val="es-ES"/>
        </w:rPr>
        <w:t xml:space="preserve">la variable </w:t>
      </w:r>
      <w:proofErr w:type="spellStart"/>
      <w:r w:rsidR="00470E55" w:rsidRPr="00A51AF4">
        <w:rPr>
          <w:rFonts w:cs="Arial"/>
          <w:color w:val="000000"/>
          <w:lang w:val="es-ES"/>
        </w:rPr>
        <w:t>RVUN</w:t>
      </w:r>
      <w:proofErr w:type="spellEnd"/>
      <w:r w:rsidR="00470E55" w:rsidRPr="00A51AF4">
        <w:rPr>
          <w:rFonts w:cs="Arial"/>
          <w:color w:val="000000"/>
          <w:lang w:val="es-ES"/>
        </w:rPr>
        <w:t xml:space="preserve"> </w:t>
      </w:r>
      <w:r w:rsidR="00303AB9" w:rsidRPr="00A51AF4">
        <w:rPr>
          <w:rFonts w:cs="Arial"/>
          <w:color w:val="000000"/>
          <w:lang w:val="es-ES"/>
        </w:rPr>
        <w:t>para calcular el valor de inversión para gasoductos dedicados al momento de hacerse necesario establecer cargos de transporte para este tipo de activos, de acuerdo con el tiempo que el activo ha estado en operación</w:t>
      </w:r>
      <w:r w:rsidR="00796054" w:rsidRPr="00A51AF4">
        <w:rPr>
          <w:rFonts w:cs="Arial"/>
          <w:color w:val="000000"/>
          <w:lang w:val="es-ES"/>
        </w:rPr>
        <w:t>, toda vez que los mismos pasan a ser infraestructura de transporte para la prestación del servicio público domiciliario</w:t>
      </w:r>
      <w:r w:rsidR="00EC1EC9" w:rsidRPr="00A51AF4">
        <w:rPr>
          <w:rFonts w:cs="Arial"/>
          <w:color w:val="000000"/>
          <w:lang w:val="es-ES"/>
        </w:rPr>
        <w:t>.</w:t>
      </w:r>
      <w:r w:rsidR="005835CC" w:rsidRPr="00A51AF4">
        <w:rPr>
          <w:rFonts w:cs="Arial"/>
          <w:color w:val="000000"/>
          <w:lang w:val="es-ES"/>
        </w:rPr>
        <w:t xml:space="preserve"> </w:t>
      </w:r>
    </w:p>
    <w:p w14:paraId="000A7304" w14:textId="77777777" w:rsidR="008004D2" w:rsidRPr="008004D2" w:rsidRDefault="008004D2" w:rsidP="008004D2">
      <w:pPr>
        <w:pStyle w:val="NormalWeb"/>
        <w:spacing w:before="0" w:beforeAutospacing="0" w:after="0" w:afterAutospacing="0" w:line="240" w:lineRule="auto"/>
        <w:contextualSpacing/>
      </w:pPr>
    </w:p>
    <w:p w14:paraId="2097E191" w14:textId="29449B69" w:rsidR="003512E7" w:rsidRDefault="00037B22" w:rsidP="00920AF4">
      <w:pPr>
        <w:pStyle w:val="Ttulo1"/>
        <w:numPr>
          <w:ilvl w:val="1"/>
          <w:numId w:val="54"/>
        </w:numPr>
        <w:contextualSpacing/>
      </w:pPr>
      <w:r w:rsidRPr="008004D2">
        <w:rPr>
          <w:rStyle w:val="Ttulo1Car"/>
          <w:b/>
        </w:rPr>
        <w:t>Para el caso del c</w:t>
      </w:r>
      <w:r w:rsidR="004554A8" w:rsidRPr="008004D2">
        <w:rPr>
          <w:rStyle w:val="Ttulo1Car"/>
          <w:b/>
        </w:rPr>
        <w:t>ambio de la moneda de remuneración de las inversione</w:t>
      </w:r>
      <w:r w:rsidR="003512E7" w:rsidRPr="008004D2">
        <w:rPr>
          <w:rStyle w:val="Ttulo1Car"/>
          <w:b/>
        </w:rPr>
        <w:t>s</w:t>
      </w:r>
      <w:r w:rsidR="003512E7" w:rsidRPr="008004D2">
        <w:t>.</w:t>
      </w:r>
    </w:p>
    <w:p w14:paraId="44B2755C" w14:textId="77777777" w:rsidR="008004D2" w:rsidRPr="008004D2" w:rsidRDefault="008004D2" w:rsidP="008004D2">
      <w:pPr>
        <w:rPr>
          <w:lang w:eastAsia="es-ES"/>
        </w:rPr>
      </w:pPr>
    </w:p>
    <w:p w14:paraId="34DC0902" w14:textId="6F0F593F" w:rsidR="00643252" w:rsidRPr="00947662" w:rsidRDefault="0097461F" w:rsidP="00947662">
      <w:pPr>
        <w:jc w:val="both"/>
        <w:rPr>
          <w:rFonts w:cs="Arial"/>
          <w:bCs/>
          <w:color w:val="000000"/>
          <w:lang w:val="es-ES"/>
        </w:rPr>
      </w:pPr>
      <w:r w:rsidRPr="003512E7">
        <w:rPr>
          <w:rFonts w:ascii="Bookman Old Style" w:hAnsi="Bookman Old Style" w:cs="Arial"/>
          <w:bCs/>
          <w:color w:val="000000"/>
        </w:rPr>
        <w:t>En el caso de</w:t>
      </w:r>
      <w:r w:rsidR="00643252" w:rsidRPr="00947662">
        <w:rPr>
          <w:rFonts w:ascii="Bookman Old Style" w:hAnsi="Bookman Old Style" w:cs="Arial"/>
          <w:bCs/>
          <w:color w:val="000000"/>
          <w:lang w:val="es-ES"/>
        </w:rPr>
        <w:t xml:space="preserve"> las empresas con endeudamiento en dólares, teniendo en cuenta la estructura de capital eficiente y solamente para aquella infraestructura que no ha terminado el periodo de remuneración de 20 años,</w:t>
      </w:r>
      <w:r w:rsidR="0050392B">
        <w:rPr>
          <w:rFonts w:ascii="Bookman Old Style" w:hAnsi="Bookman Old Style" w:cs="Arial"/>
          <w:bCs/>
          <w:color w:val="000000"/>
          <w:lang w:val="es-ES"/>
        </w:rPr>
        <w:t xml:space="preserve"> la Comisión propuso reconocer</w:t>
      </w:r>
      <w:r w:rsidR="00643252" w:rsidRPr="00947662">
        <w:rPr>
          <w:rFonts w:ascii="Bookman Old Style" w:hAnsi="Bookman Old Style" w:cs="Arial"/>
          <w:bCs/>
          <w:color w:val="000000"/>
          <w:lang w:val="es-ES"/>
        </w:rPr>
        <w:t xml:space="preserve"> de manera temporal un valor para cubrimiento del riesgo cambiario con base</w:t>
      </w:r>
      <w:r w:rsidR="00146D4A">
        <w:rPr>
          <w:rFonts w:ascii="Bookman Old Style" w:hAnsi="Bookman Old Style" w:cs="Arial"/>
          <w:bCs/>
          <w:color w:val="000000"/>
          <w:lang w:val="es-ES"/>
        </w:rPr>
        <w:t xml:space="preserve"> en</w:t>
      </w:r>
      <w:r w:rsidR="00643252" w:rsidRPr="00947662">
        <w:rPr>
          <w:rFonts w:ascii="Bookman Old Style" w:hAnsi="Bookman Old Style" w:cs="Arial"/>
          <w:bCs/>
          <w:color w:val="000000"/>
          <w:lang w:val="es-ES"/>
        </w:rPr>
        <w:t xml:space="preserve"> las expectativas de devaluación de mediano plazo.</w:t>
      </w:r>
      <w:r w:rsidR="0050392B">
        <w:rPr>
          <w:rFonts w:ascii="Bookman Old Style" w:hAnsi="Bookman Old Style" w:cs="Arial"/>
          <w:bCs/>
          <w:color w:val="000000"/>
          <w:lang w:val="es-ES"/>
        </w:rPr>
        <w:t xml:space="preserve"> </w:t>
      </w:r>
      <w:r w:rsidR="003512E7" w:rsidRPr="00947662">
        <w:rPr>
          <w:rFonts w:ascii="Bookman Old Style" w:hAnsi="Bookman Old Style" w:cs="Arial"/>
          <w:bCs/>
          <w:color w:val="000000"/>
          <w:lang w:val="es-ES"/>
        </w:rPr>
        <w:t xml:space="preserve">Para esto expuso </w:t>
      </w:r>
      <w:r w:rsidR="00F529CD">
        <w:rPr>
          <w:rFonts w:ascii="Bookman Old Style" w:hAnsi="Bookman Old Style" w:cs="Arial"/>
          <w:bCs/>
          <w:color w:val="000000"/>
          <w:lang w:val="es-ES"/>
        </w:rPr>
        <w:t xml:space="preserve">en los numerales 2.2. </w:t>
      </w:r>
      <w:r w:rsidR="008A43D2">
        <w:rPr>
          <w:rFonts w:ascii="Bookman Old Style" w:hAnsi="Bookman Old Style" w:cs="Arial"/>
          <w:bCs/>
          <w:color w:val="000000"/>
          <w:lang w:val="es-ES"/>
        </w:rPr>
        <w:t xml:space="preserve">y 2.4 de la propuesta a consulta </w:t>
      </w:r>
      <w:r w:rsidR="003512E7" w:rsidRPr="00947662">
        <w:rPr>
          <w:rFonts w:ascii="Bookman Old Style" w:hAnsi="Bookman Old Style" w:cs="Arial"/>
          <w:bCs/>
          <w:color w:val="000000"/>
          <w:lang w:val="es-ES"/>
        </w:rPr>
        <w:t>el siguiente análisis:</w:t>
      </w:r>
    </w:p>
    <w:p w14:paraId="5FEFB7CD" w14:textId="4FAEB1F3" w:rsidR="0009635E" w:rsidRDefault="00037B22" w:rsidP="00037B22">
      <w:pPr>
        <w:pStyle w:val="NormalWeb"/>
        <w:spacing w:after="0" w:afterAutospacing="0" w:line="240" w:lineRule="auto"/>
        <w:ind w:left="227"/>
        <w:rPr>
          <w:i/>
          <w:iCs/>
          <w:sz w:val="22"/>
          <w:szCs w:val="22"/>
          <w:lang w:val="es-CO"/>
        </w:rPr>
      </w:pPr>
      <w:r>
        <w:rPr>
          <w:i/>
          <w:iCs/>
          <w:sz w:val="22"/>
          <w:szCs w:val="22"/>
          <w:lang w:val="es-CO"/>
        </w:rPr>
        <w:t>“</w:t>
      </w:r>
      <w:r w:rsidR="0009635E" w:rsidRPr="0009635E">
        <w:rPr>
          <w:i/>
          <w:iCs/>
          <w:sz w:val="22"/>
          <w:szCs w:val="22"/>
          <w:lang w:val="es-CO"/>
        </w:rPr>
        <w:t>2.2. Cambio de la moneda de remuneración de las inversiones</w:t>
      </w:r>
      <w:r w:rsidR="0009635E">
        <w:rPr>
          <w:i/>
          <w:iCs/>
          <w:sz w:val="22"/>
          <w:szCs w:val="22"/>
          <w:lang w:val="es-CO"/>
        </w:rPr>
        <w:t>.</w:t>
      </w:r>
    </w:p>
    <w:p w14:paraId="572FB23D" w14:textId="54732217"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Con la medida del cambio de la moneda de remuneración de las inversiones a pesos colombianos, una empresa con financiamiento en dólares tendrá una exposición al riesgo cambiario después de iniciar a cobrar por el servicio en pesos, el cual no tenía antes dado que este riesgo era asumido en su totalidad por el usuario del servicio.</w:t>
      </w:r>
    </w:p>
    <w:p w14:paraId="5BD5B389" w14:textId="77777777"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 xml:space="preserve">Así, en general, cuando el peso colombiano se devalúa, para la empresa con endeudamiento en dólares el servicio de la deuda se encarece en pesos y viceversa. Precisamente, esta es la situación que </w:t>
      </w:r>
      <w:proofErr w:type="spellStart"/>
      <w:r w:rsidRPr="00947662">
        <w:rPr>
          <w:i/>
          <w:iCs/>
          <w:sz w:val="22"/>
          <w:szCs w:val="22"/>
          <w:lang w:val="es-CO"/>
        </w:rPr>
        <w:t>TGI</w:t>
      </w:r>
      <w:proofErr w:type="spellEnd"/>
      <w:r w:rsidRPr="00947662">
        <w:rPr>
          <w:i/>
          <w:iCs/>
          <w:sz w:val="22"/>
          <w:szCs w:val="22"/>
          <w:lang w:val="es-CO"/>
        </w:rPr>
        <w:t xml:space="preserve"> S.A. E.S.P. aduce estaría enfrentando al cambiarse la remuneración del servicio de transporte de gas a pesos.</w:t>
      </w:r>
    </w:p>
    <w:p w14:paraId="305585C2" w14:textId="77777777"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 xml:space="preserve">Ahora bien, frente al tema de </w:t>
      </w:r>
      <w:r w:rsidRPr="00E53EE5">
        <w:rPr>
          <w:i/>
          <w:iCs/>
          <w:sz w:val="22"/>
          <w:szCs w:val="22"/>
          <w:lang w:val="es-CO"/>
        </w:rPr>
        <w:t xml:space="preserve">cómo las empresas financian sus activos, se debe </w:t>
      </w:r>
      <w:r w:rsidRPr="00E53EE5">
        <w:rPr>
          <w:i/>
          <w:iCs/>
          <w:sz w:val="22"/>
          <w:szCs w:val="22"/>
          <w:lang w:val="es-CO"/>
        </w:rPr>
        <w:lastRenderedPageBreak/>
        <w:t>señalar que ellas son autónomas en decidir la estrategia de apalancamiento que adoptan para prestar el servicio público. Esto es, la composición de la estructura de capital entre deuda con terceros y el capital</w:t>
      </w:r>
      <w:r w:rsidRPr="00947662">
        <w:rPr>
          <w:i/>
          <w:iCs/>
          <w:sz w:val="22"/>
          <w:szCs w:val="22"/>
          <w:lang w:val="es-CO"/>
        </w:rPr>
        <w:t xml:space="preserve"> propio. También es preciso señalar que las empresas deciden libremente la medida en que se endeudan en dólares, pesos u otra moneda</w:t>
      </w:r>
      <w:r w:rsidRPr="00947662">
        <w:rPr>
          <w:i/>
          <w:iCs/>
          <w:sz w:val="22"/>
          <w:szCs w:val="22"/>
          <w:vertAlign w:val="superscript"/>
          <w:lang w:val="es-CO"/>
        </w:rPr>
        <w:footnoteReference w:id="6"/>
      </w:r>
      <w:r w:rsidRPr="00947662">
        <w:rPr>
          <w:i/>
          <w:iCs/>
          <w:sz w:val="22"/>
          <w:szCs w:val="22"/>
          <w:lang w:val="es-CO"/>
        </w:rPr>
        <w:t>.</w:t>
      </w:r>
    </w:p>
    <w:p w14:paraId="5BF92809" w14:textId="5985C5F6"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 xml:space="preserve">En el análisis del problema que expone </w:t>
      </w:r>
      <w:proofErr w:type="spellStart"/>
      <w:r w:rsidRPr="00947662">
        <w:rPr>
          <w:i/>
          <w:iCs/>
          <w:sz w:val="22"/>
          <w:szCs w:val="22"/>
          <w:lang w:val="es-CO"/>
        </w:rPr>
        <w:t>TGI</w:t>
      </w:r>
      <w:proofErr w:type="spellEnd"/>
      <w:r w:rsidRPr="00947662">
        <w:rPr>
          <w:i/>
          <w:iCs/>
          <w:sz w:val="22"/>
          <w:szCs w:val="22"/>
          <w:lang w:val="es-CO"/>
        </w:rPr>
        <w:t xml:space="preserve"> S.A. E.S.P. sobre el impacto que tiene para esa empresa la decisión en la nueva metodología tarifaria de pasar a remunerar las inversiones en pesos colombianos en vez de dólares, se propone primero entender qué apalancamiento tiene la empresa, y cuál es la señal de estructura de capital eficiente que el regulador ha indicado para la actividad de transporte de gas natural.</w:t>
      </w:r>
    </w:p>
    <w:p w14:paraId="2F74C1AF" w14:textId="5F4927D7"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 xml:space="preserve">Para </w:t>
      </w:r>
      <w:proofErr w:type="spellStart"/>
      <w:r w:rsidRPr="00947662">
        <w:rPr>
          <w:i/>
          <w:iCs/>
          <w:sz w:val="22"/>
          <w:szCs w:val="22"/>
          <w:lang w:val="es-CO"/>
        </w:rPr>
        <w:t>TGI</w:t>
      </w:r>
      <w:proofErr w:type="spellEnd"/>
      <w:r w:rsidRPr="00947662">
        <w:rPr>
          <w:i/>
          <w:iCs/>
          <w:sz w:val="22"/>
          <w:szCs w:val="22"/>
          <w:lang w:val="es-CO"/>
        </w:rPr>
        <w:t xml:space="preserve"> S.A. E.S.P., cuando se analiza la relación entre sus pasivos no financieros y los activos no financieros, se advierte un apalancamiento promedio superior al 60% durante los últimos años. Adicionalmente se observa que el 100% del endeudamiento a largo plazo lo tiene en dólares.</w:t>
      </w:r>
    </w:p>
    <w:p w14:paraId="0D1C0587" w14:textId="77777777"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Ahora bien, frente a la señal de cuál es la estructura de capital que la CREG ha indicado como eficiente y objetivo para las empresas para la actividad de transporte de gas, se tiene lo siguiente:</w:t>
      </w:r>
    </w:p>
    <w:p w14:paraId="070CBC9A" w14:textId="77777777"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En la Resolución CREG 103 de 2021, en la estructura de capital de las empresas que se tomaron como referencia para el cálculo de la tasa de descuento, la componente de deuda pesa el 29,5%. Más aún, en la metodología anterior para la tasa de descuento</w:t>
      </w:r>
      <w:r w:rsidRPr="00947662">
        <w:rPr>
          <w:i/>
          <w:iCs/>
          <w:sz w:val="22"/>
          <w:szCs w:val="22"/>
          <w:vertAlign w:val="superscript"/>
          <w:lang w:val="es-CO"/>
        </w:rPr>
        <w:footnoteReference w:id="7"/>
      </w:r>
      <w:r w:rsidRPr="00947662">
        <w:rPr>
          <w:i/>
          <w:iCs/>
          <w:sz w:val="22"/>
          <w:szCs w:val="22"/>
          <w:lang w:val="es-CO"/>
        </w:rPr>
        <w:t xml:space="preserve"> la CREG utilizó una estructura de capital en donde la deuda representaba el 40%.</w:t>
      </w:r>
    </w:p>
    <w:p w14:paraId="0EAC1389" w14:textId="77777777"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En este análisis también es necesario indicar que el costo del capital propio es superior al costo de obtener recursos con terceros (i.e. bancos, mercado de capitales). Así, si una empresa decide tener un apalancamiento superior al de la señal en la tasa de descuento, esa decisión le representa obtener una mayor rentabilidad del capital propio</w:t>
      </w:r>
      <w:r w:rsidRPr="00947662">
        <w:rPr>
          <w:i/>
          <w:iCs/>
          <w:sz w:val="22"/>
          <w:szCs w:val="22"/>
          <w:vertAlign w:val="superscript"/>
          <w:lang w:val="es-CO"/>
        </w:rPr>
        <w:footnoteReference w:id="8"/>
      </w:r>
      <w:r w:rsidRPr="00947662">
        <w:rPr>
          <w:i/>
          <w:iCs/>
          <w:sz w:val="22"/>
          <w:szCs w:val="22"/>
          <w:lang w:val="es-CO"/>
        </w:rPr>
        <w:t xml:space="preserve">. </w:t>
      </w:r>
    </w:p>
    <w:p w14:paraId="7A7637B5" w14:textId="71887EB7"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Desde el punto de vista regulatorio, no hay impedimento a un mayor nivel de endeudamiento con terceros que decida la empresa, siempre y cuando tenga la capacidad financiera para honrar sus deudas y garantizar la continuidad en la prestación del servicio público dado que, como se indica arriba, se trata de una decisión en donde las empresas tienen autonomía en la estrategia de apalancamiento que utilizan para prestar el servicio público.</w:t>
      </w:r>
    </w:p>
    <w:p w14:paraId="2D372241" w14:textId="714DCF7D"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 xml:space="preserve">De acuerdo con lo anterior, cuando se cambia la moneda de remuneración de las inversiones y la empresa manifiesta que ello afecta el principio de suficiencia financiera y solicita el reconocimiento del valor de coberturas cambiarias para cubrir tal riesgo, es importante señalar que parte de la situación de la empresa se deriva de una decisión de apalancamiento libremente adoptada por </w:t>
      </w:r>
      <w:proofErr w:type="spellStart"/>
      <w:r w:rsidRPr="00947662">
        <w:rPr>
          <w:i/>
          <w:iCs/>
          <w:sz w:val="22"/>
          <w:szCs w:val="22"/>
          <w:lang w:val="es-CO"/>
        </w:rPr>
        <w:t>TGI</w:t>
      </w:r>
      <w:proofErr w:type="spellEnd"/>
      <w:r w:rsidRPr="00947662">
        <w:rPr>
          <w:i/>
          <w:iCs/>
          <w:sz w:val="22"/>
          <w:szCs w:val="22"/>
          <w:lang w:val="es-CO"/>
        </w:rPr>
        <w:t xml:space="preserve"> S.A. E.S.P., de la cual obtuvo beneficios durante el período anterior como se explicó. </w:t>
      </w:r>
    </w:p>
    <w:p w14:paraId="3729DCA0" w14:textId="466CF5CF"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 xml:space="preserve">Por su parte, en la regulación de los servicios públicos es imperativo que los cargos </w:t>
      </w:r>
      <w:r w:rsidRPr="00947662">
        <w:rPr>
          <w:i/>
          <w:iCs/>
          <w:sz w:val="22"/>
          <w:szCs w:val="22"/>
          <w:lang w:val="es-CO"/>
        </w:rPr>
        <w:lastRenderedPageBreak/>
        <w:t>reflejen la remuneración de empresas eficientes, por lo que es de resaltar que, si hubiere el reconocimiento de algún cubrimiento por el tema de riesgo cambiario, el mismo debe corresponder a la señal de estructura de capital que la CREG ha indicado como eficiente para la actividad.</w:t>
      </w:r>
    </w:p>
    <w:p w14:paraId="5C01A4C3" w14:textId="29F62BCD" w:rsidR="004554A8" w:rsidRPr="00947662" w:rsidRDefault="004554A8" w:rsidP="00947662">
      <w:pPr>
        <w:pStyle w:val="NormalWeb"/>
        <w:spacing w:after="0" w:afterAutospacing="0" w:line="240" w:lineRule="auto"/>
        <w:ind w:left="227"/>
        <w:rPr>
          <w:i/>
          <w:iCs/>
          <w:sz w:val="22"/>
          <w:szCs w:val="22"/>
          <w:lang w:val="es-CO"/>
        </w:rPr>
      </w:pPr>
      <w:proofErr w:type="spellStart"/>
      <w:r w:rsidRPr="00947662">
        <w:rPr>
          <w:i/>
          <w:iCs/>
          <w:sz w:val="22"/>
          <w:szCs w:val="22"/>
          <w:lang w:val="es-CO"/>
        </w:rPr>
        <w:t>TGI</w:t>
      </w:r>
      <w:proofErr w:type="spellEnd"/>
      <w:r w:rsidRPr="00947662">
        <w:rPr>
          <w:i/>
          <w:iCs/>
          <w:sz w:val="22"/>
          <w:szCs w:val="22"/>
          <w:lang w:val="es-CO"/>
        </w:rPr>
        <w:t xml:space="preserve"> S.A. E.S.P. en sus comunicaciones ha declarado dos deudas en dólares: una por USD 370 millones de dólares y otra por 750 millones de dólares. La primera, declaró esa empresa, finaliza en diciembre de 2022, siendo posible pagarla o renegociarla a partir de esa fecha, y una segunda con vencimiento de 2028 tiene cláusulas de recompra.</w:t>
      </w:r>
    </w:p>
    <w:p w14:paraId="461AC759" w14:textId="5EB4CA4B" w:rsidR="004554A8" w:rsidRPr="00947662" w:rsidRDefault="004554A8" w:rsidP="00947662">
      <w:pPr>
        <w:pStyle w:val="NormalWeb"/>
        <w:spacing w:after="0" w:afterAutospacing="0" w:line="240" w:lineRule="auto"/>
        <w:ind w:left="227"/>
        <w:rPr>
          <w:i/>
          <w:iCs/>
          <w:sz w:val="22"/>
          <w:szCs w:val="22"/>
          <w:lang w:val="es-CO"/>
        </w:rPr>
      </w:pPr>
      <w:proofErr w:type="spellStart"/>
      <w:r w:rsidRPr="00947662">
        <w:rPr>
          <w:i/>
          <w:iCs/>
          <w:sz w:val="22"/>
          <w:szCs w:val="22"/>
          <w:lang w:val="es-CO"/>
        </w:rPr>
        <w:t>TGI</w:t>
      </w:r>
      <w:proofErr w:type="spellEnd"/>
      <w:r w:rsidRPr="00947662">
        <w:rPr>
          <w:i/>
          <w:iCs/>
          <w:sz w:val="22"/>
          <w:szCs w:val="22"/>
          <w:lang w:val="es-CO"/>
        </w:rPr>
        <w:t xml:space="preserve"> S.A. E.S.P. y Grupo de Energía de Bogotá han informado a la CREG que, frente a la señal de remuneración en pesos, </w:t>
      </w:r>
      <w:proofErr w:type="spellStart"/>
      <w:r w:rsidRPr="00947662">
        <w:rPr>
          <w:i/>
          <w:iCs/>
          <w:sz w:val="22"/>
          <w:szCs w:val="22"/>
          <w:lang w:val="es-CO"/>
        </w:rPr>
        <w:t>TGI</w:t>
      </w:r>
      <w:proofErr w:type="spellEnd"/>
      <w:r w:rsidRPr="00947662">
        <w:rPr>
          <w:i/>
          <w:iCs/>
          <w:sz w:val="22"/>
          <w:szCs w:val="22"/>
          <w:lang w:val="es-CO"/>
        </w:rPr>
        <w:t xml:space="preserve"> S.A. E.S.P. ha hecho gestiones para cambiar la anterior deuda de dólares a pesos y tener un cubrimiento natural, pero manifiestan que enfrentan inflexibilidades para hacerlo debido a que tienen onerosos acuerdos de salida anticipada que haría que ese refinanciamiento fuera muy costoso, y en general identifican que el sector financiero colombiano no parece tener la capacidad para asumir toda la deuda que requieren.</w:t>
      </w:r>
    </w:p>
    <w:p w14:paraId="0C5E7A80" w14:textId="18164E53"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 xml:space="preserve">Aceptando el argumento de que para una empresa con endeudamiento a varios años en dólares actuando diligentemente no le es fácil refinanciar la deuda en un corto plazo y reconociendo que las variaciones en la tasa de cambio y una pronunciada devaluación podrían afectar su suficiencia financiera, la Comisión propone reconocer de manera temporal un valor de cubrimiento de este riesgo teniendo en cuenta las expectativas de devaluación a mediano plazo, y sobre el porcentaje de deuda que se ha indicado tienen las empresas de referencia. Brindar una cobertura sobre el total de la deuda en dólares de </w:t>
      </w:r>
      <w:proofErr w:type="spellStart"/>
      <w:r w:rsidRPr="00947662">
        <w:rPr>
          <w:i/>
          <w:iCs/>
          <w:sz w:val="22"/>
          <w:szCs w:val="22"/>
          <w:lang w:val="es-CO"/>
        </w:rPr>
        <w:t>TGI</w:t>
      </w:r>
      <w:proofErr w:type="spellEnd"/>
      <w:r w:rsidRPr="00947662">
        <w:rPr>
          <w:i/>
          <w:iCs/>
          <w:sz w:val="22"/>
          <w:szCs w:val="22"/>
          <w:lang w:val="es-CO"/>
        </w:rPr>
        <w:t xml:space="preserve"> S.A. E.S.P. no resulta procedente porque va en contra del principio de eficiencia financiera, debido que la empresa tiene un apalancamiento superior al considerado en la estructura de capital eficiente definida. </w:t>
      </w:r>
    </w:p>
    <w:p w14:paraId="6494DFB4" w14:textId="0DEB32A5"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De acuerdo con lo anterior, el ajuste propuesto en la metodología tarifaria corresponde a reconocer de manera temporal un valor para contar con un instrumento de cobertura cambiaria para el riesgo de devaluación de la empresa, sobre la base de un endeudamiento de dólares acorde a la señal de la metodología tarifaria precedente y bajo el principio de la buena fe de que no ha sido posible para la empresa refinanciar su deuda a pesos.</w:t>
      </w:r>
    </w:p>
    <w:p w14:paraId="1F8E39D3" w14:textId="52976DC4"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 xml:space="preserve">Por otro lado, desde el punto de vista regulatorio, con la premisa de reconocer a la empresa con deuda en dólares un cubrimiento por el riesgo cambiario, en tanto es posible cambiar su perfil de endeudamiento, se debe señalar que este análisis debe hacerse sobre aquella infraestructura que aún no ha terminado de cumplir un periodo de vida útil normativo. </w:t>
      </w:r>
    </w:p>
    <w:p w14:paraId="3048A776" w14:textId="17E8514F"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Lo anterior resulta relevante y justificado, sobre la base de que la empresa se financió en dólares para invertir en la infraestructura, y la señal de cubrimiento debería solo producirse para aquella infraestructura que no ha terminado el periodo de vida útil normativa y por tanto de ser remunerada. Hacerlo sobre las inversiones que ya terminaron el periodo de vida útil normativa no tendría justificación regulatoria, porque esa infraestructura ya la pagaron los usuarios.</w:t>
      </w:r>
    </w:p>
    <w:p w14:paraId="2E4D0568" w14:textId="38458930"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t>En síntesis, teniendo en cuenta la estructura de capital eficiente y el valor de la infraestructura que no ha terminado su primer periodo de vida útil normativa, se propone reconocer un cubrimiento con las expectativas de devaluación de mediano plazo del peso frente al dólar. En particular la inversión en infraestructura que la empresa hubiere podido recuperar vía cargos tarifarios con inversiones en dólares, por un periodo de vida útil normativa de 20 años, no debiera considerarse.</w:t>
      </w:r>
    </w:p>
    <w:p w14:paraId="1007C6E3" w14:textId="5F99767D" w:rsidR="004554A8" w:rsidRPr="00947662" w:rsidRDefault="004554A8" w:rsidP="00947662">
      <w:pPr>
        <w:pStyle w:val="NormalWeb"/>
        <w:spacing w:after="0" w:afterAutospacing="0" w:line="240" w:lineRule="auto"/>
        <w:ind w:left="227"/>
        <w:rPr>
          <w:i/>
          <w:iCs/>
          <w:sz w:val="22"/>
          <w:szCs w:val="22"/>
          <w:lang w:val="es-CO"/>
        </w:rPr>
      </w:pPr>
      <w:r w:rsidRPr="00947662">
        <w:rPr>
          <w:i/>
          <w:iCs/>
          <w:sz w:val="22"/>
          <w:szCs w:val="22"/>
          <w:lang w:val="es-CO"/>
        </w:rPr>
        <w:lastRenderedPageBreak/>
        <w:t xml:space="preserve">Finalmente, como la señal en la metodología es que el riesgo cambiario lo debe asumir las empresas y no los usuarios, y con esta propuesta se le estaría pidiendo a los usuarios que reasumieran nuevamente el riesgo cambiario, se propone un esquema en donde solamente por un periodo tarifario de 5 años, en los cargos de </w:t>
      </w:r>
      <w:proofErr w:type="spellStart"/>
      <w:r w:rsidRPr="00947662">
        <w:rPr>
          <w:i/>
          <w:iCs/>
          <w:sz w:val="22"/>
          <w:szCs w:val="22"/>
          <w:lang w:val="es-CO"/>
        </w:rPr>
        <w:t>AOM</w:t>
      </w:r>
      <w:proofErr w:type="spellEnd"/>
      <w:r w:rsidRPr="00947662">
        <w:rPr>
          <w:i/>
          <w:iCs/>
          <w:sz w:val="22"/>
          <w:szCs w:val="22"/>
          <w:lang w:val="es-CO"/>
        </w:rPr>
        <w:t xml:space="preserve"> se incluya un valor de coberturas de riesgo cambiario, medido con las expectativas de devaluación, y en una forma decreciente, de manera que la empresa y el usuario tengan una transición mientras se recompone la deuda.</w:t>
      </w:r>
      <w:r w:rsidR="00497BF6">
        <w:rPr>
          <w:i/>
          <w:iCs/>
          <w:sz w:val="22"/>
          <w:szCs w:val="22"/>
          <w:lang w:val="es-CO"/>
        </w:rPr>
        <w:t>”</w:t>
      </w:r>
    </w:p>
    <w:p w14:paraId="19193B47" w14:textId="428133D2" w:rsidR="00CC1729" w:rsidRPr="00947662" w:rsidRDefault="00CC1729" w:rsidP="00F74C2A">
      <w:pPr>
        <w:jc w:val="both"/>
        <w:rPr>
          <w:rFonts w:ascii="Bookman Old Style" w:hAnsi="Bookman Old Style" w:cs="Arial"/>
          <w:bCs/>
          <w:color w:val="000000"/>
        </w:rPr>
      </w:pPr>
    </w:p>
    <w:p w14:paraId="34C38A14" w14:textId="2A662FD1" w:rsidR="0009635E" w:rsidRDefault="0009635E" w:rsidP="00F74C2A">
      <w:pPr>
        <w:jc w:val="both"/>
        <w:rPr>
          <w:rFonts w:ascii="Bookman Old Style" w:hAnsi="Bookman Old Style" w:cs="Arial"/>
          <w:bCs/>
          <w:color w:val="000000"/>
          <w:lang w:val="es-ES"/>
        </w:rPr>
      </w:pPr>
      <w:r>
        <w:rPr>
          <w:rFonts w:ascii="Bookman Old Style" w:hAnsi="Bookman Old Style" w:cs="Arial"/>
          <w:bCs/>
          <w:color w:val="000000"/>
          <w:lang w:val="es-ES"/>
        </w:rPr>
        <w:t>Así mismo, en el numeral 2.4 expuso:</w:t>
      </w:r>
    </w:p>
    <w:p w14:paraId="412765C8" w14:textId="5DE2FB8B" w:rsidR="0009635E" w:rsidRPr="00947662" w:rsidRDefault="0009635E" w:rsidP="00947662">
      <w:pPr>
        <w:pStyle w:val="NormalWeb"/>
        <w:spacing w:after="0" w:afterAutospacing="0" w:line="240" w:lineRule="auto"/>
        <w:ind w:left="227"/>
        <w:rPr>
          <w:i/>
          <w:iCs/>
          <w:sz w:val="22"/>
          <w:szCs w:val="22"/>
          <w:lang w:val="es-CO"/>
        </w:rPr>
      </w:pPr>
      <w:r>
        <w:rPr>
          <w:i/>
          <w:iCs/>
          <w:sz w:val="22"/>
          <w:szCs w:val="22"/>
          <w:lang w:val="es-CO"/>
        </w:rPr>
        <w:t>“</w:t>
      </w:r>
      <w:r w:rsidRPr="00947662">
        <w:rPr>
          <w:i/>
          <w:iCs/>
          <w:sz w:val="22"/>
          <w:szCs w:val="22"/>
          <w:lang w:val="es-CO"/>
        </w:rPr>
        <w:t xml:space="preserve">2.4. Valor de referencia de la </w:t>
      </w:r>
      <w:proofErr w:type="spellStart"/>
      <w:r w:rsidRPr="00947662">
        <w:rPr>
          <w:i/>
          <w:iCs/>
          <w:sz w:val="22"/>
          <w:szCs w:val="22"/>
          <w:lang w:val="es-CO"/>
        </w:rPr>
        <w:t>TRM</w:t>
      </w:r>
      <w:proofErr w:type="spellEnd"/>
      <w:r w:rsidRPr="00947662">
        <w:rPr>
          <w:i/>
          <w:iCs/>
          <w:sz w:val="22"/>
          <w:szCs w:val="22"/>
          <w:lang w:val="es-CO"/>
        </w:rPr>
        <w:t xml:space="preserve"> para poner los valores de las inversiones en pesos colombianos</w:t>
      </w:r>
    </w:p>
    <w:p w14:paraId="6A6E126E" w14:textId="4C04E717" w:rsidR="0009635E" w:rsidRPr="00947662" w:rsidRDefault="0009635E" w:rsidP="00947662">
      <w:pPr>
        <w:pStyle w:val="NormalWeb"/>
        <w:spacing w:after="0" w:afterAutospacing="0" w:line="240" w:lineRule="auto"/>
        <w:ind w:left="227"/>
        <w:rPr>
          <w:i/>
          <w:iCs/>
          <w:sz w:val="22"/>
          <w:szCs w:val="22"/>
          <w:lang w:val="es-CO"/>
        </w:rPr>
      </w:pPr>
      <w:r w:rsidRPr="00947662">
        <w:rPr>
          <w:i/>
          <w:iCs/>
          <w:sz w:val="22"/>
          <w:szCs w:val="22"/>
          <w:lang w:val="es-CO"/>
        </w:rPr>
        <w:t xml:space="preserve">La metodología tarifaria precedente tenía una señal de remuneración del valor de las inversiones en dólares americanos, por lo que el riesgo cambiario estaba enteramente en cabeza de los usuarios. Cuando la CREG decide cambiar esta señal para que el riesgo cambiario lo asuma el transportador, dado que las empresas están en mejor posición de gestionarlo, se decidió tomar como referencia un valor de </w:t>
      </w:r>
      <w:proofErr w:type="spellStart"/>
      <w:r w:rsidRPr="00947662">
        <w:rPr>
          <w:i/>
          <w:iCs/>
          <w:sz w:val="22"/>
          <w:szCs w:val="22"/>
          <w:lang w:val="es-CO"/>
        </w:rPr>
        <w:t>TRM</w:t>
      </w:r>
      <w:proofErr w:type="spellEnd"/>
      <w:r w:rsidRPr="00947662">
        <w:rPr>
          <w:i/>
          <w:iCs/>
          <w:sz w:val="22"/>
          <w:szCs w:val="22"/>
          <w:lang w:val="es-CO"/>
        </w:rPr>
        <w:t xml:space="preserve"> vigente y no histórico. En esencia, porque efectivamente con la señal anterior había un cubrimiento del movimiento de la </w:t>
      </w:r>
      <w:proofErr w:type="spellStart"/>
      <w:r w:rsidRPr="00947662">
        <w:rPr>
          <w:i/>
          <w:iCs/>
          <w:sz w:val="22"/>
          <w:szCs w:val="22"/>
          <w:lang w:val="es-CO"/>
        </w:rPr>
        <w:t>TRM</w:t>
      </w:r>
      <w:proofErr w:type="spellEnd"/>
      <w:r w:rsidRPr="00947662">
        <w:rPr>
          <w:i/>
          <w:iCs/>
          <w:sz w:val="22"/>
          <w:szCs w:val="22"/>
          <w:lang w:val="es-CO"/>
        </w:rPr>
        <w:t xml:space="preserve">, y técnicamente, respetando esa señal, se concluyó que, al momento de pasar los cargos de inversiones a pesos colombianos, la forma de hacerlo era con una referencia de la </w:t>
      </w:r>
      <w:proofErr w:type="spellStart"/>
      <w:r w:rsidRPr="00947662">
        <w:rPr>
          <w:i/>
          <w:iCs/>
          <w:sz w:val="22"/>
          <w:szCs w:val="22"/>
          <w:lang w:val="es-CO"/>
        </w:rPr>
        <w:t>TRM</w:t>
      </w:r>
      <w:proofErr w:type="spellEnd"/>
      <w:r w:rsidRPr="00947662">
        <w:rPr>
          <w:i/>
          <w:iCs/>
          <w:sz w:val="22"/>
          <w:szCs w:val="22"/>
          <w:lang w:val="es-CO"/>
        </w:rPr>
        <w:t xml:space="preserve"> vigente.</w:t>
      </w:r>
    </w:p>
    <w:p w14:paraId="166E905D" w14:textId="5E1FB82B" w:rsidR="0009635E" w:rsidRPr="00947662" w:rsidRDefault="0009635E" w:rsidP="00947662">
      <w:pPr>
        <w:pStyle w:val="NormalWeb"/>
        <w:spacing w:after="0" w:afterAutospacing="0" w:line="240" w:lineRule="auto"/>
        <w:ind w:left="227"/>
        <w:rPr>
          <w:i/>
          <w:iCs/>
          <w:sz w:val="22"/>
          <w:szCs w:val="22"/>
          <w:lang w:val="es-CO"/>
        </w:rPr>
      </w:pPr>
      <w:r w:rsidRPr="00947662">
        <w:rPr>
          <w:i/>
          <w:iCs/>
          <w:sz w:val="22"/>
          <w:szCs w:val="22"/>
          <w:lang w:val="es-CO"/>
        </w:rPr>
        <w:t xml:space="preserve">En otras palabras, cuando la señal de riesgo cambiario se pasó del usuario al transportador, no se tomó una referencia histórica de </w:t>
      </w:r>
      <w:proofErr w:type="spellStart"/>
      <w:r w:rsidRPr="00947662">
        <w:rPr>
          <w:i/>
          <w:iCs/>
          <w:sz w:val="22"/>
          <w:szCs w:val="22"/>
          <w:lang w:val="es-CO"/>
        </w:rPr>
        <w:t>TRM</w:t>
      </w:r>
      <w:proofErr w:type="spellEnd"/>
      <w:r w:rsidRPr="00947662">
        <w:rPr>
          <w:i/>
          <w:iCs/>
          <w:sz w:val="22"/>
          <w:szCs w:val="22"/>
          <w:lang w:val="es-CO"/>
        </w:rPr>
        <w:t>, porque ello habría actuado en sentido contrario a la señal de la anterior metodología.</w:t>
      </w:r>
    </w:p>
    <w:p w14:paraId="329BCFE7" w14:textId="1A59880D" w:rsidR="0009635E" w:rsidRPr="00947662" w:rsidRDefault="0009635E" w:rsidP="00947662">
      <w:pPr>
        <w:pStyle w:val="NormalWeb"/>
        <w:spacing w:after="0" w:afterAutospacing="0" w:line="240" w:lineRule="auto"/>
        <w:ind w:left="227"/>
        <w:rPr>
          <w:i/>
          <w:iCs/>
          <w:sz w:val="22"/>
          <w:szCs w:val="22"/>
          <w:lang w:val="es-CO"/>
        </w:rPr>
      </w:pPr>
      <w:r w:rsidRPr="00947662">
        <w:rPr>
          <w:i/>
          <w:iCs/>
          <w:sz w:val="22"/>
          <w:szCs w:val="22"/>
          <w:lang w:val="es-CO"/>
        </w:rPr>
        <w:t xml:space="preserve">Es pertinente señalar que, si una empresa se hubiese endeudado en dólares, y la CREG diera una señal de valorar las inversiones en pesos colombianos con una </w:t>
      </w:r>
      <w:proofErr w:type="spellStart"/>
      <w:r w:rsidRPr="00947662">
        <w:rPr>
          <w:i/>
          <w:iCs/>
          <w:sz w:val="22"/>
          <w:szCs w:val="22"/>
          <w:lang w:val="es-CO"/>
        </w:rPr>
        <w:t>TRM</w:t>
      </w:r>
      <w:proofErr w:type="spellEnd"/>
      <w:r w:rsidRPr="00947662">
        <w:rPr>
          <w:i/>
          <w:iCs/>
          <w:sz w:val="22"/>
          <w:szCs w:val="22"/>
          <w:lang w:val="es-CO"/>
        </w:rPr>
        <w:t xml:space="preserve"> diferente a la del mercado, ello podría derivar en una afectación al principio de suficiencia financiera, porque los dólares para honrar los pagos de la deuda en dólares los hace a los valores de mercado de la </w:t>
      </w:r>
      <w:proofErr w:type="spellStart"/>
      <w:r w:rsidRPr="00947662">
        <w:rPr>
          <w:i/>
          <w:iCs/>
          <w:sz w:val="22"/>
          <w:szCs w:val="22"/>
          <w:lang w:val="es-CO"/>
        </w:rPr>
        <w:t>TRM</w:t>
      </w:r>
      <w:proofErr w:type="spellEnd"/>
      <w:r w:rsidRPr="00947662">
        <w:rPr>
          <w:i/>
          <w:iCs/>
          <w:sz w:val="22"/>
          <w:szCs w:val="22"/>
          <w:lang w:val="es-CO"/>
        </w:rPr>
        <w:t>.</w:t>
      </w:r>
      <w:r>
        <w:rPr>
          <w:i/>
          <w:iCs/>
          <w:sz w:val="22"/>
          <w:szCs w:val="22"/>
          <w:lang w:val="es-CO"/>
        </w:rPr>
        <w:t>”</w:t>
      </w:r>
    </w:p>
    <w:p w14:paraId="2B500106" w14:textId="77777777" w:rsidR="0009635E" w:rsidRDefault="0009635E" w:rsidP="00F74C2A">
      <w:pPr>
        <w:jc w:val="both"/>
        <w:rPr>
          <w:rFonts w:ascii="Bookman Old Style" w:hAnsi="Bookman Old Style" w:cs="Arial"/>
          <w:bCs/>
          <w:color w:val="000000"/>
          <w:lang w:val="es-ES"/>
        </w:rPr>
      </w:pPr>
    </w:p>
    <w:p w14:paraId="54D27AF3" w14:textId="6C3CC5F0" w:rsidR="00F37525" w:rsidRDefault="00497BF6" w:rsidP="00F74C2A">
      <w:pPr>
        <w:jc w:val="both"/>
        <w:rPr>
          <w:rFonts w:ascii="Bookman Old Style" w:hAnsi="Bookman Old Style" w:cs="Arial"/>
          <w:bCs/>
          <w:color w:val="000000"/>
          <w:lang w:val="es-ES"/>
        </w:rPr>
      </w:pPr>
      <w:r w:rsidRPr="00497BF6">
        <w:rPr>
          <w:rFonts w:ascii="Bookman Old Style" w:hAnsi="Bookman Old Style" w:cs="Arial"/>
          <w:bCs/>
          <w:color w:val="000000"/>
          <w:lang w:val="es-ES"/>
        </w:rPr>
        <w:t xml:space="preserve">A partir del anterior análisis y una vez adelantando el proceso de consulta, incluyendo </w:t>
      </w:r>
      <w:r w:rsidR="002B6074">
        <w:rPr>
          <w:rFonts w:ascii="Bookman Old Style" w:hAnsi="Bookman Old Style" w:cs="Arial"/>
          <w:bCs/>
          <w:color w:val="000000"/>
          <w:lang w:val="es-ES"/>
        </w:rPr>
        <w:t xml:space="preserve">la revisión de </w:t>
      </w:r>
      <w:r w:rsidRPr="00497BF6">
        <w:rPr>
          <w:rFonts w:ascii="Bookman Old Style" w:hAnsi="Bookman Old Style" w:cs="Arial"/>
          <w:bCs/>
          <w:color w:val="000000"/>
          <w:lang w:val="es-ES"/>
        </w:rPr>
        <w:t>los comentarios recibidos,</w:t>
      </w:r>
      <w:r>
        <w:rPr>
          <w:rFonts w:ascii="Bookman Old Style" w:hAnsi="Bookman Old Style" w:cs="Arial"/>
          <w:bCs/>
          <w:color w:val="000000"/>
          <w:lang w:val="es-ES"/>
        </w:rPr>
        <w:t xml:space="preserve"> se debe hacer énfasis en primer lugar </w:t>
      </w:r>
      <w:r w:rsidR="00C5031E">
        <w:rPr>
          <w:rFonts w:ascii="Bookman Old Style" w:hAnsi="Bookman Old Style" w:cs="Arial"/>
          <w:bCs/>
          <w:color w:val="000000"/>
          <w:lang w:val="es-ES"/>
        </w:rPr>
        <w:t xml:space="preserve">en </w:t>
      </w:r>
      <w:r>
        <w:rPr>
          <w:rFonts w:ascii="Bookman Old Style" w:hAnsi="Bookman Old Style" w:cs="Arial"/>
          <w:bCs/>
          <w:color w:val="000000"/>
          <w:lang w:val="es-ES"/>
        </w:rPr>
        <w:t xml:space="preserve">que, </w:t>
      </w:r>
      <w:r w:rsidR="00CA24EC" w:rsidRPr="00CA24EC">
        <w:rPr>
          <w:rFonts w:ascii="Bookman Old Style" w:hAnsi="Bookman Old Style" w:cs="Arial"/>
          <w:bCs/>
          <w:color w:val="000000"/>
          <w:lang w:val="es-ES"/>
        </w:rPr>
        <w:t>de</w:t>
      </w:r>
      <w:r w:rsidR="00CA24EC">
        <w:rPr>
          <w:rFonts w:ascii="Bookman Old Style" w:hAnsi="Bookman Old Style" w:cs="Arial"/>
          <w:bCs/>
          <w:color w:val="000000"/>
          <w:lang w:val="es-ES"/>
        </w:rPr>
        <w:t xml:space="preserve"> manera general, la </w:t>
      </w:r>
      <w:r w:rsidR="00C5031E">
        <w:rPr>
          <w:rFonts w:ascii="Bookman Old Style" w:hAnsi="Bookman Old Style" w:cs="Arial"/>
          <w:bCs/>
          <w:color w:val="000000"/>
          <w:lang w:val="es-ES"/>
        </w:rPr>
        <w:t>forma</w:t>
      </w:r>
      <w:r w:rsidR="00C04C9D">
        <w:rPr>
          <w:rFonts w:ascii="Bookman Old Style" w:hAnsi="Bookman Old Style" w:cs="Arial"/>
          <w:bCs/>
          <w:color w:val="000000"/>
          <w:lang w:val="es-ES"/>
        </w:rPr>
        <w:t xml:space="preserve"> en que </w:t>
      </w:r>
      <w:r w:rsidR="00CA24EC" w:rsidRPr="00CA24EC">
        <w:rPr>
          <w:rFonts w:ascii="Bookman Old Style" w:hAnsi="Bookman Old Style" w:cs="Arial"/>
          <w:bCs/>
          <w:color w:val="000000"/>
          <w:lang w:val="es-ES"/>
        </w:rPr>
        <w:t xml:space="preserve">las empresas financian sus activos, </w:t>
      </w:r>
      <w:r w:rsidR="00AF443C">
        <w:rPr>
          <w:rFonts w:ascii="Bookman Old Style" w:hAnsi="Bookman Old Style" w:cs="Arial"/>
          <w:bCs/>
          <w:color w:val="000000"/>
          <w:lang w:val="es-ES"/>
        </w:rPr>
        <w:t xml:space="preserve">corresponde </w:t>
      </w:r>
      <w:r w:rsidR="002743E2">
        <w:rPr>
          <w:rFonts w:ascii="Bookman Old Style" w:hAnsi="Bookman Old Style" w:cs="Arial"/>
          <w:bCs/>
          <w:color w:val="000000"/>
          <w:lang w:val="es-ES"/>
        </w:rPr>
        <w:t>e</w:t>
      </w:r>
      <w:r w:rsidR="00AF443C">
        <w:rPr>
          <w:rFonts w:ascii="Bookman Old Style" w:hAnsi="Bookman Old Style" w:cs="Arial"/>
          <w:bCs/>
          <w:color w:val="000000"/>
          <w:lang w:val="es-ES"/>
        </w:rPr>
        <w:t>n principio a un</w:t>
      </w:r>
      <w:r w:rsidR="002743E2">
        <w:rPr>
          <w:rFonts w:ascii="Bookman Old Style" w:hAnsi="Bookman Old Style" w:cs="Arial"/>
          <w:bCs/>
          <w:color w:val="000000"/>
          <w:lang w:val="es-ES"/>
        </w:rPr>
        <w:t>a gestión de la empresa, por lo tanto, estas</w:t>
      </w:r>
      <w:r w:rsidR="00CA24EC" w:rsidRPr="00CA24EC">
        <w:rPr>
          <w:rFonts w:ascii="Bookman Old Style" w:hAnsi="Bookman Old Style" w:cs="Arial"/>
          <w:bCs/>
          <w:color w:val="000000"/>
          <w:lang w:val="es-ES"/>
        </w:rPr>
        <w:t xml:space="preserve"> son autónomas en decidir la estrategia de apalancamiento que adoptan para prestar el servicio público</w:t>
      </w:r>
      <w:r w:rsidR="00C60B79">
        <w:rPr>
          <w:rFonts w:ascii="Bookman Old Style" w:hAnsi="Bookman Old Style" w:cs="Arial"/>
          <w:bCs/>
          <w:color w:val="000000"/>
          <w:lang w:val="es-ES"/>
        </w:rPr>
        <w:t xml:space="preserve"> domiciliario</w:t>
      </w:r>
      <w:r w:rsidR="00CA24EC" w:rsidRPr="00CA24EC">
        <w:rPr>
          <w:rFonts w:ascii="Bookman Old Style" w:hAnsi="Bookman Old Style" w:cs="Arial"/>
          <w:bCs/>
          <w:color w:val="000000"/>
          <w:lang w:val="es-ES"/>
        </w:rPr>
        <w:t>.</w:t>
      </w:r>
      <w:r w:rsidR="006C1247">
        <w:rPr>
          <w:rFonts w:ascii="Bookman Old Style" w:hAnsi="Bookman Old Style" w:cs="Arial"/>
          <w:bCs/>
          <w:color w:val="000000"/>
          <w:lang w:val="es-ES"/>
        </w:rPr>
        <w:t xml:space="preserve"> </w:t>
      </w:r>
      <w:r w:rsidR="006C1247" w:rsidRPr="00C77015">
        <w:rPr>
          <w:rFonts w:ascii="Bookman Old Style" w:hAnsi="Bookman Old Style" w:cs="Arial"/>
          <w:bCs/>
          <w:color w:val="000000"/>
          <w:lang w:val="es-ES"/>
        </w:rPr>
        <w:t xml:space="preserve">Dicha decisión implica </w:t>
      </w:r>
      <w:r w:rsidR="00DC369D" w:rsidRPr="006351DF">
        <w:rPr>
          <w:rFonts w:ascii="Bookman Old Style" w:hAnsi="Bookman Old Style" w:cs="Arial"/>
          <w:bCs/>
          <w:color w:val="000000"/>
          <w:lang w:val="es-ES"/>
        </w:rPr>
        <w:t xml:space="preserve">que </w:t>
      </w:r>
      <w:r w:rsidR="006C1247" w:rsidRPr="00C77015">
        <w:rPr>
          <w:rFonts w:ascii="Bookman Old Style" w:hAnsi="Bookman Old Style" w:cs="Arial"/>
          <w:bCs/>
          <w:color w:val="000000"/>
          <w:lang w:val="es-ES"/>
        </w:rPr>
        <w:t>la</w:t>
      </w:r>
      <w:r w:rsidR="006B2118" w:rsidRPr="00C77015">
        <w:rPr>
          <w:rFonts w:ascii="Bookman Old Style" w:hAnsi="Bookman Old Style" w:cs="Arial"/>
          <w:bCs/>
          <w:color w:val="000000"/>
          <w:lang w:val="es-ES"/>
        </w:rPr>
        <w:t xml:space="preserve"> estrateg</w:t>
      </w:r>
      <w:r w:rsidR="002D1515" w:rsidRPr="00C77015">
        <w:rPr>
          <w:rFonts w:ascii="Bookman Old Style" w:hAnsi="Bookman Old Style" w:cs="Arial"/>
          <w:bCs/>
          <w:color w:val="000000"/>
          <w:lang w:val="es-ES"/>
        </w:rPr>
        <w:t>ia y gestión</w:t>
      </w:r>
      <w:r w:rsidR="006C1247" w:rsidRPr="00C77015">
        <w:rPr>
          <w:rFonts w:ascii="Bookman Old Style" w:hAnsi="Bookman Old Style" w:cs="Arial"/>
          <w:bCs/>
          <w:color w:val="000000"/>
          <w:lang w:val="es-ES"/>
        </w:rPr>
        <w:t xml:space="preserve"> de</w:t>
      </w:r>
      <w:r w:rsidR="00397783" w:rsidRPr="00C77015">
        <w:rPr>
          <w:rFonts w:ascii="Bookman Old Style" w:hAnsi="Bookman Old Style" w:cs="Arial"/>
          <w:bCs/>
          <w:color w:val="000000"/>
          <w:lang w:val="es-ES"/>
        </w:rPr>
        <w:t>l</w:t>
      </w:r>
      <w:r w:rsidR="006C1247" w:rsidRPr="00C77015">
        <w:rPr>
          <w:rFonts w:ascii="Bookman Old Style" w:hAnsi="Bookman Old Style" w:cs="Arial"/>
          <w:bCs/>
          <w:color w:val="000000"/>
          <w:lang w:val="es-ES"/>
        </w:rPr>
        <w:t xml:space="preserve"> riesgo</w:t>
      </w:r>
      <w:r w:rsidR="00397783" w:rsidRPr="00C77015">
        <w:rPr>
          <w:rFonts w:ascii="Bookman Old Style" w:hAnsi="Bookman Old Style" w:cs="Arial"/>
          <w:bCs/>
          <w:color w:val="000000"/>
          <w:lang w:val="es-ES"/>
        </w:rPr>
        <w:t xml:space="preserve"> crediticio y cambiario, en caso de adquisición de deuda en una moneda diferente al peso colombiano</w:t>
      </w:r>
      <w:r w:rsidR="00A47FEE" w:rsidRPr="00C77015">
        <w:rPr>
          <w:rFonts w:ascii="Bookman Old Style" w:hAnsi="Bookman Old Style" w:cs="Arial"/>
          <w:bCs/>
          <w:color w:val="000000"/>
          <w:lang w:val="es-ES"/>
        </w:rPr>
        <w:t xml:space="preserve">, </w:t>
      </w:r>
      <w:r w:rsidR="00450956" w:rsidRPr="006351DF">
        <w:rPr>
          <w:rFonts w:ascii="Bookman Old Style" w:hAnsi="Bookman Old Style" w:cs="Arial"/>
          <w:bCs/>
          <w:color w:val="000000"/>
          <w:lang w:val="es-ES"/>
        </w:rPr>
        <w:t xml:space="preserve">es </w:t>
      </w:r>
      <w:r w:rsidR="00DF311A" w:rsidRPr="006351DF">
        <w:rPr>
          <w:rFonts w:ascii="Bookman Old Style" w:hAnsi="Bookman Old Style" w:cs="Arial"/>
          <w:bCs/>
          <w:color w:val="000000"/>
          <w:lang w:val="es-ES"/>
        </w:rPr>
        <w:t>una responsabilidad</w:t>
      </w:r>
      <w:r w:rsidR="00A47FEE" w:rsidRPr="00C77015">
        <w:rPr>
          <w:rFonts w:ascii="Bookman Old Style" w:hAnsi="Bookman Old Style" w:cs="Arial"/>
          <w:bCs/>
          <w:color w:val="000000"/>
          <w:lang w:val="es-ES"/>
        </w:rPr>
        <w:t xml:space="preserve"> de l</w:t>
      </w:r>
      <w:r w:rsidR="00182448" w:rsidRPr="00C77015">
        <w:rPr>
          <w:rFonts w:ascii="Bookman Old Style" w:hAnsi="Bookman Old Style" w:cs="Arial"/>
          <w:bCs/>
          <w:color w:val="000000"/>
          <w:lang w:val="es-ES"/>
        </w:rPr>
        <w:t>a empresa</w:t>
      </w:r>
      <w:r w:rsidR="00C4075D" w:rsidRPr="00C77015">
        <w:rPr>
          <w:rFonts w:ascii="Bookman Old Style" w:hAnsi="Bookman Old Style" w:cs="Arial"/>
          <w:bCs/>
          <w:color w:val="000000"/>
          <w:lang w:val="es-ES"/>
        </w:rPr>
        <w:t xml:space="preserve"> y no de los usuarios</w:t>
      </w:r>
      <w:r w:rsidR="0059340C" w:rsidRPr="00C77015">
        <w:rPr>
          <w:rFonts w:ascii="Bookman Old Style" w:hAnsi="Bookman Old Style" w:cs="Arial"/>
          <w:bCs/>
          <w:color w:val="000000"/>
          <w:lang w:val="es-ES"/>
        </w:rPr>
        <w:t>.</w:t>
      </w:r>
      <w:r w:rsidR="0059340C">
        <w:rPr>
          <w:rFonts w:ascii="Bookman Old Style" w:hAnsi="Bookman Old Style" w:cs="Arial"/>
          <w:bCs/>
          <w:color w:val="000000"/>
          <w:lang w:val="es-ES"/>
        </w:rPr>
        <w:t xml:space="preserve"> </w:t>
      </w:r>
    </w:p>
    <w:p w14:paraId="459636C8" w14:textId="77777777" w:rsidR="00F37525" w:rsidRDefault="00F37525" w:rsidP="00F74C2A">
      <w:pPr>
        <w:jc w:val="both"/>
        <w:rPr>
          <w:rFonts w:ascii="Bookman Old Style" w:hAnsi="Bookman Old Style" w:cs="Arial"/>
          <w:bCs/>
          <w:color w:val="000000"/>
          <w:lang w:val="es-ES"/>
        </w:rPr>
      </w:pPr>
    </w:p>
    <w:p w14:paraId="617CBE77" w14:textId="2A6B47CE" w:rsidR="0059340C" w:rsidRDefault="0059340C" w:rsidP="00F74C2A">
      <w:pPr>
        <w:jc w:val="both"/>
        <w:rPr>
          <w:rFonts w:ascii="Bookman Old Style" w:hAnsi="Bookman Old Style" w:cs="Arial"/>
          <w:bCs/>
          <w:color w:val="000000"/>
          <w:lang w:val="es-ES"/>
        </w:rPr>
      </w:pPr>
      <w:r>
        <w:rPr>
          <w:rFonts w:ascii="Bookman Old Style" w:hAnsi="Bookman Old Style" w:cs="Arial"/>
          <w:bCs/>
          <w:color w:val="000000"/>
          <w:lang w:val="es-ES"/>
        </w:rPr>
        <w:t xml:space="preserve">En un mercado en competencia, </w:t>
      </w:r>
      <w:r w:rsidR="00513EB0">
        <w:rPr>
          <w:rFonts w:ascii="Bookman Old Style" w:hAnsi="Bookman Old Style" w:cs="Arial"/>
          <w:bCs/>
          <w:color w:val="000000"/>
          <w:lang w:val="es-ES"/>
        </w:rPr>
        <w:t>los usuarios</w:t>
      </w:r>
      <w:r>
        <w:rPr>
          <w:rFonts w:ascii="Bookman Old Style" w:hAnsi="Bookman Old Style" w:cs="Arial"/>
          <w:bCs/>
          <w:color w:val="000000"/>
          <w:lang w:val="es-ES"/>
        </w:rPr>
        <w:t xml:space="preserve"> no </w:t>
      </w:r>
      <w:r w:rsidR="00546DF0">
        <w:rPr>
          <w:rFonts w:ascii="Bookman Old Style" w:hAnsi="Bookman Old Style" w:cs="Arial"/>
          <w:bCs/>
          <w:color w:val="000000"/>
          <w:lang w:val="es-ES"/>
        </w:rPr>
        <w:t>asumen</w:t>
      </w:r>
      <w:r w:rsidR="007C64A4">
        <w:rPr>
          <w:rFonts w:ascii="Bookman Old Style" w:hAnsi="Bookman Old Style" w:cs="Arial"/>
          <w:bCs/>
          <w:color w:val="000000"/>
          <w:lang w:val="es-ES"/>
        </w:rPr>
        <w:t xml:space="preserve"> </w:t>
      </w:r>
      <w:r w:rsidR="00C85740">
        <w:rPr>
          <w:rFonts w:ascii="Bookman Old Style" w:hAnsi="Bookman Old Style" w:cs="Arial"/>
          <w:bCs/>
          <w:color w:val="000000"/>
          <w:lang w:val="es-ES"/>
        </w:rPr>
        <w:t>las consecuencias</w:t>
      </w:r>
      <w:r w:rsidR="00AC246B">
        <w:rPr>
          <w:rFonts w:ascii="Bookman Old Style" w:hAnsi="Bookman Old Style" w:cs="Arial"/>
          <w:bCs/>
          <w:color w:val="000000"/>
          <w:lang w:val="es-ES"/>
        </w:rPr>
        <w:t xml:space="preserve"> de alguna decisión </w:t>
      </w:r>
      <w:r w:rsidR="00341308">
        <w:rPr>
          <w:rFonts w:ascii="Bookman Old Style" w:hAnsi="Bookman Old Style" w:cs="Arial"/>
          <w:bCs/>
          <w:color w:val="000000"/>
          <w:lang w:val="es-ES"/>
        </w:rPr>
        <w:t xml:space="preserve">de endeudamiento que </w:t>
      </w:r>
      <w:r w:rsidR="00B53819">
        <w:rPr>
          <w:rFonts w:ascii="Bookman Old Style" w:hAnsi="Bookman Old Style" w:cs="Arial"/>
          <w:bCs/>
          <w:color w:val="000000"/>
          <w:lang w:val="es-ES"/>
        </w:rPr>
        <w:t xml:space="preserve">incremente </w:t>
      </w:r>
      <w:r w:rsidR="00141AFA">
        <w:rPr>
          <w:rFonts w:ascii="Bookman Old Style" w:hAnsi="Bookman Old Style" w:cs="Arial"/>
          <w:bCs/>
          <w:color w:val="000000"/>
          <w:lang w:val="es-ES"/>
        </w:rPr>
        <w:t>los precios del servicio</w:t>
      </w:r>
      <w:r w:rsidR="00341308">
        <w:rPr>
          <w:rFonts w:ascii="Bookman Old Style" w:hAnsi="Bookman Old Style" w:cs="Arial"/>
          <w:bCs/>
          <w:color w:val="000000"/>
          <w:lang w:val="es-ES"/>
        </w:rPr>
        <w:t xml:space="preserve">, básicamente porque </w:t>
      </w:r>
      <w:r w:rsidR="004E0560">
        <w:rPr>
          <w:rFonts w:ascii="Bookman Old Style" w:hAnsi="Bookman Old Style" w:cs="Arial"/>
          <w:bCs/>
          <w:color w:val="000000"/>
          <w:lang w:val="es-ES"/>
        </w:rPr>
        <w:t>otra</w:t>
      </w:r>
      <w:r w:rsidR="00141AFA">
        <w:rPr>
          <w:rFonts w:ascii="Bookman Old Style" w:hAnsi="Bookman Old Style" w:cs="Arial"/>
          <w:bCs/>
          <w:color w:val="000000"/>
          <w:lang w:val="es-ES"/>
        </w:rPr>
        <w:t>s</w:t>
      </w:r>
      <w:r w:rsidR="004E0560">
        <w:rPr>
          <w:rFonts w:ascii="Bookman Old Style" w:hAnsi="Bookman Old Style" w:cs="Arial"/>
          <w:bCs/>
          <w:color w:val="000000"/>
          <w:lang w:val="es-ES"/>
        </w:rPr>
        <w:t xml:space="preserve"> empresa</w:t>
      </w:r>
      <w:r w:rsidR="00141AFA">
        <w:rPr>
          <w:rFonts w:ascii="Bookman Old Style" w:hAnsi="Bookman Old Style" w:cs="Arial"/>
          <w:bCs/>
          <w:color w:val="000000"/>
          <w:lang w:val="es-ES"/>
        </w:rPr>
        <w:t>s</w:t>
      </w:r>
      <w:r w:rsidR="004E0560">
        <w:rPr>
          <w:rFonts w:ascii="Bookman Old Style" w:hAnsi="Bookman Old Style" w:cs="Arial"/>
          <w:bCs/>
          <w:color w:val="000000"/>
          <w:lang w:val="es-ES"/>
        </w:rPr>
        <w:t xml:space="preserve"> </w:t>
      </w:r>
      <w:r w:rsidR="00141AFA">
        <w:rPr>
          <w:rFonts w:ascii="Bookman Old Style" w:hAnsi="Bookman Old Style" w:cs="Arial"/>
          <w:bCs/>
          <w:color w:val="000000"/>
          <w:lang w:val="es-ES"/>
        </w:rPr>
        <w:t xml:space="preserve">con una </w:t>
      </w:r>
      <w:r w:rsidR="00D77A9D">
        <w:rPr>
          <w:rFonts w:ascii="Bookman Old Style" w:hAnsi="Bookman Old Style" w:cs="Arial"/>
          <w:bCs/>
          <w:color w:val="000000"/>
          <w:lang w:val="es-ES"/>
        </w:rPr>
        <w:t xml:space="preserve">estrategia de </w:t>
      </w:r>
      <w:r w:rsidR="00141AFA">
        <w:rPr>
          <w:rFonts w:ascii="Bookman Old Style" w:hAnsi="Bookman Old Style" w:cs="Arial"/>
          <w:bCs/>
          <w:color w:val="000000"/>
          <w:lang w:val="es-ES"/>
        </w:rPr>
        <w:t xml:space="preserve">gestión </w:t>
      </w:r>
      <w:r w:rsidR="00D77A9D">
        <w:rPr>
          <w:rFonts w:ascii="Bookman Old Style" w:hAnsi="Bookman Old Style" w:cs="Arial"/>
          <w:bCs/>
          <w:color w:val="000000"/>
          <w:lang w:val="es-ES"/>
        </w:rPr>
        <w:t xml:space="preserve">del riesgo </w:t>
      </w:r>
      <w:r w:rsidR="00990A36">
        <w:rPr>
          <w:rFonts w:ascii="Bookman Old Style" w:hAnsi="Bookman Old Style" w:cs="Arial"/>
          <w:bCs/>
          <w:color w:val="000000"/>
          <w:lang w:val="es-ES"/>
        </w:rPr>
        <w:t>diferente</w:t>
      </w:r>
      <w:r w:rsidR="00141AFA">
        <w:rPr>
          <w:rFonts w:ascii="Bookman Old Style" w:hAnsi="Bookman Old Style" w:cs="Arial"/>
          <w:bCs/>
          <w:color w:val="000000"/>
          <w:lang w:val="es-ES"/>
        </w:rPr>
        <w:t xml:space="preserve"> </w:t>
      </w:r>
      <w:r w:rsidR="000C6F17">
        <w:rPr>
          <w:rFonts w:ascii="Bookman Old Style" w:hAnsi="Bookman Old Style" w:cs="Arial"/>
          <w:bCs/>
          <w:color w:val="000000"/>
          <w:lang w:val="es-ES"/>
        </w:rPr>
        <w:t xml:space="preserve">podrían </w:t>
      </w:r>
      <w:r w:rsidR="00366E81">
        <w:rPr>
          <w:rFonts w:ascii="Bookman Old Style" w:hAnsi="Bookman Old Style" w:cs="Arial"/>
          <w:bCs/>
          <w:color w:val="000000"/>
          <w:lang w:val="es-ES"/>
        </w:rPr>
        <w:t>mantener el nivel de precios</w:t>
      </w:r>
      <w:r w:rsidR="00CA6E56">
        <w:rPr>
          <w:rFonts w:ascii="Bookman Old Style" w:hAnsi="Bookman Old Style" w:cs="Arial"/>
          <w:bCs/>
          <w:color w:val="000000"/>
          <w:lang w:val="es-ES"/>
        </w:rPr>
        <w:t xml:space="preserve">. Como el transporte de gas natural </w:t>
      </w:r>
      <w:r w:rsidR="00DB4B1F">
        <w:rPr>
          <w:rFonts w:ascii="Bookman Old Style" w:hAnsi="Bookman Old Style" w:cs="Arial"/>
          <w:bCs/>
          <w:color w:val="000000"/>
          <w:lang w:val="es-ES"/>
        </w:rPr>
        <w:t>correspo</w:t>
      </w:r>
      <w:r w:rsidR="00501A81">
        <w:rPr>
          <w:rFonts w:ascii="Bookman Old Style" w:hAnsi="Bookman Old Style" w:cs="Arial"/>
          <w:bCs/>
          <w:color w:val="000000"/>
          <w:lang w:val="es-ES"/>
        </w:rPr>
        <w:t>nde a una actividad</w:t>
      </w:r>
      <w:r w:rsidR="00221451">
        <w:rPr>
          <w:rFonts w:ascii="Bookman Old Style" w:hAnsi="Bookman Old Style" w:cs="Arial"/>
          <w:bCs/>
          <w:color w:val="000000"/>
          <w:lang w:val="es-ES"/>
        </w:rPr>
        <w:t xml:space="preserve"> monop</w:t>
      </w:r>
      <w:r w:rsidR="00501A81">
        <w:rPr>
          <w:rFonts w:ascii="Bookman Old Style" w:hAnsi="Bookman Old Style" w:cs="Arial"/>
          <w:bCs/>
          <w:color w:val="000000"/>
          <w:lang w:val="es-ES"/>
        </w:rPr>
        <w:t>ólica</w:t>
      </w:r>
      <w:r w:rsidR="005B6C23">
        <w:rPr>
          <w:rFonts w:ascii="Bookman Old Style" w:hAnsi="Bookman Old Style" w:cs="Arial"/>
          <w:bCs/>
          <w:color w:val="000000"/>
          <w:lang w:val="es-ES"/>
        </w:rPr>
        <w:t>,</w:t>
      </w:r>
      <w:r w:rsidR="00221451">
        <w:rPr>
          <w:rFonts w:ascii="Bookman Old Style" w:hAnsi="Bookman Old Style" w:cs="Arial"/>
          <w:bCs/>
          <w:color w:val="000000"/>
          <w:lang w:val="es-ES"/>
        </w:rPr>
        <w:t xml:space="preserve"> </w:t>
      </w:r>
      <w:r w:rsidR="00CE4049">
        <w:rPr>
          <w:rFonts w:ascii="Bookman Old Style" w:hAnsi="Bookman Old Style" w:cs="Arial"/>
          <w:bCs/>
          <w:color w:val="000000"/>
          <w:lang w:val="es-ES"/>
        </w:rPr>
        <w:t>en el diseño tarifario</w:t>
      </w:r>
      <w:r w:rsidR="00221451">
        <w:rPr>
          <w:rFonts w:ascii="Bookman Old Style" w:hAnsi="Bookman Old Style" w:cs="Arial"/>
          <w:bCs/>
          <w:color w:val="000000"/>
          <w:lang w:val="es-ES"/>
        </w:rPr>
        <w:t xml:space="preserve"> </w:t>
      </w:r>
      <w:r w:rsidR="00020F51">
        <w:rPr>
          <w:rFonts w:ascii="Bookman Old Style" w:hAnsi="Bookman Old Style" w:cs="Arial"/>
          <w:bCs/>
          <w:color w:val="000000"/>
          <w:lang w:val="es-ES"/>
        </w:rPr>
        <w:t>de</w:t>
      </w:r>
      <w:r w:rsidR="00306B63">
        <w:rPr>
          <w:rFonts w:ascii="Bookman Old Style" w:hAnsi="Bookman Old Style" w:cs="Arial"/>
          <w:bCs/>
          <w:color w:val="000000"/>
          <w:lang w:val="es-ES"/>
        </w:rPr>
        <w:t xml:space="preserve"> los cargos tarifarios no </w:t>
      </w:r>
      <w:r w:rsidR="00020F51">
        <w:rPr>
          <w:rFonts w:ascii="Bookman Old Style" w:hAnsi="Bookman Old Style" w:cs="Arial"/>
          <w:bCs/>
          <w:color w:val="000000"/>
          <w:lang w:val="es-ES"/>
        </w:rPr>
        <w:t>puede</w:t>
      </w:r>
      <w:r w:rsidR="00306B63">
        <w:rPr>
          <w:rFonts w:ascii="Bookman Old Style" w:hAnsi="Bookman Old Style" w:cs="Arial"/>
          <w:bCs/>
          <w:color w:val="000000"/>
          <w:lang w:val="es-ES"/>
        </w:rPr>
        <w:t xml:space="preserve"> haber transferencias de </w:t>
      </w:r>
      <w:r w:rsidR="00020F51">
        <w:rPr>
          <w:rFonts w:ascii="Bookman Old Style" w:hAnsi="Bookman Old Style" w:cs="Arial"/>
          <w:bCs/>
          <w:color w:val="000000"/>
          <w:lang w:val="es-ES"/>
        </w:rPr>
        <w:t xml:space="preserve">sobre </w:t>
      </w:r>
      <w:r w:rsidR="00306B63">
        <w:rPr>
          <w:rFonts w:ascii="Bookman Old Style" w:hAnsi="Bookman Old Style" w:cs="Arial"/>
          <w:bCs/>
          <w:color w:val="000000"/>
          <w:lang w:val="es-ES"/>
        </w:rPr>
        <w:t xml:space="preserve">costos </w:t>
      </w:r>
      <w:r w:rsidR="00020F51">
        <w:rPr>
          <w:rFonts w:ascii="Bookman Old Style" w:hAnsi="Bookman Old Style" w:cs="Arial"/>
          <w:bCs/>
          <w:color w:val="000000"/>
          <w:lang w:val="es-ES"/>
        </w:rPr>
        <w:t xml:space="preserve">financieros por alguna decisión </w:t>
      </w:r>
      <w:r w:rsidR="00C10D51">
        <w:rPr>
          <w:rFonts w:ascii="Bookman Old Style" w:hAnsi="Bookman Old Style" w:cs="Arial"/>
          <w:bCs/>
          <w:color w:val="000000"/>
          <w:lang w:val="es-ES"/>
        </w:rPr>
        <w:t xml:space="preserve">financiera </w:t>
      </w:r>
      <w:r w:rsidR="00CE5D32">
        <w:rPr>
          <w:rFonts w:ascii="Bookman Old Style" w:hAnsi="Bookman Old Style" w:cs="Arial"/>
          <w:bCs/>
          <w:color w:val="000000"/>
          <w:lang w:val="es-ES"/>
        </w:rPr>
        <w:t>del</w:t>
      </w:r>
      <w:r w:rsidR="00C10D51">
        <w:rPr>
          <w:rFonts w:ascii="Bookman Old Style" w:hAnsi="Bookman Old Style" w:cs="Arial"/>
          <w:bCs/>
          <w:color w:val="000000"/>
          <w:lang w:val="es-ES"/>
        </w:rPr>
        <w:t xml:space="preserve"> prestador</w:t>
      </w:r>
      <w:r w:rsidR="00CE5D32">
        <w:rPr>
          <w:rFonts w:ascii="Bookman Old Style" w:hAnsi="Bookman Old Style" w:cs="Arial"/>
          <w:bCs/>
          <w:color w:val="000000"/>
          <w:lang w:val="es-ES"/>
        </w:rPr>
        <w:t>.</w:t>
      </w:r>
    </w:p>
    <w:p w14:paraId="7070067F" w14:textId="77777777" w:rsidR="00AE3EE1" w:rsidRDefault="00AE3EE1" w:rsidP="00F74C2A">
      <w:pPr>
        <w:jc w:val="both"/>
        <w:rPr>
          <w:rFonts w:ascii="Bookman Old Style" w:hAnsi="Bookman Old Style" w:cs="Arial"/>
          <w:bCs/>
          <w:color w:val="000000"/>
          <w:lang w:val="es-ES"/>
        </w:rPr>
      </w:pPr>
    </w:p>
    <w:p w14:paraId="66B53266" w14:textId="4641FD82" w:rsidR="0061582C" w:rsidRDefault="00C10D51" w:rsidP="00F74C2A">
      <w:pPr>
        <w:jc w:val="both"/>
        <w:rPr>
          <w:rFonts w:ascii="Bookman Old Style" w:hAnsi="Bookman Old Style" w:cs="Arial"/>
          <w:bCs/>
          <w:color w:val="000000"/>
          <w:lang w:val="es-ES"/>
        </w:rPr>
      </w:pPr>
      <w:r>
        <w:rPr>
          <w:rFonts w:ascii="Bookman Old Style" w:hAnsi="Bookman Old Style" w:cs="Arial"/>
          <w:bCs/>
          <w:color w:val="000000"/>
          <w:lang w:val="es-ES"/>
        </w:rPr>
        <w:t xml:space="preserve">En línea con lo anterior, </w:t>
      </w:r>
      <w:r w:rsidR="005B7BED">
        <w:rPr>
          <w:rFonts w:ascii="Bookman Old Style" w:hAnsi="Bookman Old Style" w:cs="Arial"/>
          <w:bCs/>
          <w:color w:val="000000"/>
          <w:lang w:val="es-ES"/>
        </w:rPr>
        <w:t>l</w:t>
      </w:r>
      <w:r w:rsidR="00AE3EE1">
        <w:rPr>
          <w:rFonts w:ascii="Bookman Old Style" w:hAnsi="Bookman Old Style" w:cs="Arial"/>
          <w:bCs/>
          <w:color w:val="000000"/>
          <w:lang w:val="es-ES"/>
        </w:rPr>
        <w:t xml:space="preserve">o que resulta relevante </w:t>
      </w:r>
      <w:r w:rsidR="00DD0D0A">
        <w:rPr>
          <w:rFonts w:ascii="Bookman Old Style" w:hAnsi="Bookman Old Style" w:cs="Arial"/>
          <w:bCs/>
          <w:color w:val="000000"/>
          <w:lang w:val="es-ES"/>
        </w:rPr>
        <w:t>en atención a lo dispuesto en la metodología</w:t>
      </w:r>
      <w:r w:rsidR="004C61B9">
        <w:rPr>
          <w:rFonts w:ascii="Bookman Old Style" w:hAnsi="Bookman Old Style" w:cs="Arial"/>
          <w:bCs/>
          <w:color w:val="000000"/>
          <w:lang w:val="es-ES"/>
        </w:rPr>
        <w:t xml:space="preserve"> de remuneración de transporte de gas natural</w:t>
      </w:r>
      <w:r w:rsidR="00DD0D0A">
        <w:rPr>
          <w:rFonts w:ascii="Bookman Old Style" w:hAnsi="Bookman Old Style" w:cs="Arial"/>
          <w:bCs/>
          <w:color w:val="000000"/>
          <w:lang w:val="es-ES"/>
        </w:rPr>
        <w:t xml:space="preserve">, es que esta última debe impedir el </w:t>
      </w:r>
      <w:r w:rsidR="006C1247">
        <w:rPr>
          <w:rFonts w:ascii="Bookman Old Style" w:hAnsi="Bookman Old Style" w:cs="Arial"/>
          <w:bCs/>
          <w:color w:val="000000"/>
          <w:lang w:val="es-ES"/>
        </w:rPr>
        <w:t>traslado de gestiones ineficientes en las tarifas</w:t>
      </w:r>
      <w:r w:rsidR="003932DB">
        <w:rPr>
          <w:rFonts w:ascii="Bookman Old Style" w:hAnsi="Bookman Old Style" w:cs="Arial"/>
          <w:bCs/>
          <w:color w:val="000000"/>
          <w:lang w:val="es-ES"/>
        </w:rPr>
        <w:t xml:space="preserve"> a los </w:t>
      </w:r>
      <w:r w:rsidR="003932DB">
        <w:rPr>
          <w:rFonts w:ascii="Bookman Old Style" w:hAnsi="Bookman Old Style" w:cs="Arial"/>
          <w:bCs/>
          <w:color w:val="000000"/>
          <w:lang w:val="es-ES"/>
        </w:rPr>
        <w:lastRenderedPageBreak/>
        <w:t>usuarios</w:t>
      </w:r>
      <w:r w:rsidR="007F0A40">
        <w:rPr>
          <w:rFonts w:ascii="Bookman Old Style" w:hAnsi="Bookman Old Style" w:cs="Arial"/>
          <w:bCs/>
          <w:color w:val="000000"/>
          <w:lang w:val="es-ES"/>
        </w:rPr>
        <w:t xml:space="preserve"> </w:t>
      </w:r>
      <w:r w:rsidR="000B1249">
        <w:rPr>
          <w:rFonts w:ascii="Bookman Old Style" w:hAnsi="Bookman Old Style" w:cs="Arial"/>
          <w:bCs/>
          <w:color w:val="000000"/>
          <w:lang w:val="es-ES"/>
        </w:rPr>
        <w:t>por las decisiones de apalancamiento adoptadas por los agentes</w:t>
      </w:r>
      <w:r w:rsidR="006C1247">
        <w:rPr>
          <w:rFonts w:ascii="Bookman Old Style" w:hAnsi="Bookman Old Style" w:cs="Arial"/>
          <w:bCs/>
          <w:color w:val="000000"/>
          <w:lang w:val="es-ES"/>
        </w:rPr>
        <w:t>.</w:t>
      </w:r>
      <w:r w:rsidR="006266A8">
        <w:rPr>
          <w:rFonts w:ascii="Bookman Old Style" w:hAnsi="Bookman Old Style" w:cs="Arial"/>
          <w:bCs/>
          <w:color w:val="000000"/>
          <w:lang w:val="es-ES"/>
        </w:rPr>
        <w:t xml:space="preserve"> </w:t>
      </w:r>
      <w:r w:rsidR="00C5181D">
        <w:rPr>
          <w:rFonts w:ascii="Bookman Old Style" w:hAnsi="Bookman Old Style" w:cs="Arial"/>
          <w:bCs/>
          <w:color w:val="000000"/>
          <w:lang w:val="es-ES"/>
        </w:rPr>
        <w:t>Esto</w:t>
      </w:r>
      <w:r w:rsidR="006266A8">
        <w:rPr>
          <w:rFonts w:ascii="Bookman Old Style" w:hAnsi="Bookman Old Style" w:cs="Arial"/>
          <w:bCs/>
          <w:color w:val="000000"/>
          <w:lang w:val="es-ES"/>
        </w:rPr>
        <w:t>, teniendo en cuenta que el riesgo cambi</w:t>
      </w:r>
      <w:r w:rsidR="00216ADF">
        <w:rPr>
          <w:rFonts w:ascii="Bookman Old Style" w:hAnsi="Bookman Old Style" w:cs="Arial"/>
          <w:bCs/>
          <w:color w:val="000000"/>
          <w:lang w:val="es-ES"/>
        </w:rPr>
        <w:t>ario</w:t>
      </w:r>
      <w:r w:rsidR="006266A8">
        <w:rPr>
          <w:rFonts w:ascii="Bookman Old Style" w:hAnsi="Bookman Old Style" w:cs="Arial"/>
          <w:bCs/>
          <w:color w:val="000000"/>
          <w:lang w:val="es-ES"/>
        </w:rPr>
        <w:t xml:space="preserve"> ya no está en cabeza de los usuarios</w:t>
      </w:r>
      <w:r w:rsidR="00292BC2">
        <w:rPr>
          <w:rFonts w:ascii="Bookman Old Style" w:hAnsi="Bookman Old Style" w:cs="Arial"/>
          <w:bCs/>
          <w:color w:val="000000"/>
          <w:lang w:val="es-ES"/>
        </w:rPr>
        <w:t>,</w:t>
      </w:r>
      <w:r w:rsidR="006266A8">
        <w:rPr>
          <w:rFonts w:ascii="Bookman Old Style" w:hAnsi="Bookman Old Style" w:cs="Arial"/>
          <w:bCs/>
          <w:color w:val="000000"/>
          <w:lang w:val="es-ES"/>
        </w:rPr>
        <w:t xml:space="preserve"> sino </w:t>
      </w:r>
      <w:r w:rsidR="00216ADF">
        <w:rPr>
          <w:rFonts w:ascii="Bookman Old Style" w:hAnsi="Bookman Old Style" w:cs="Arial"/>
          <w:bCs/>
          <w:color w:val="000000"/>
          <w:lang w:val="es-ES"/>
        </w:rPr>
        <w:t xml:space="preserve">que </w:t>
      </w:r>
      <w:r w:rsidR="006266A8">
        <w:rPr>
          <w:rFonts w:ascii="Bookman Old Style" w:hAnsi="Bookman Old Style" w:cs="Arial"/>
          <w:bCs/>
          <w:color w:val="000000"/>
          <w:lang w:val="es-ES"/>
        </w:rPr>
        <w:t>el mismo está a cargo de la</w:t>
      </w:r>
      <w:r w:rsidR="00216ADF">
        <w:rPr>
          <w:rFonts w:ascii="Bookman Old Style" w:hAnsi="Bookman Old Style" w:cs="Arial"/>
          <w:bCs/>
          <w:color w:val="000000"/>
          <w:lang w:val="es-ES"/>
        </w:rPr>
        <w:t>s</w:t>
      </w:r>
      <w:r w:rsidR="006266A8">
        <w:rPr>
          <w:rFonts w:ascii="Bookman Old Style" w:hAnsi="Bookman Old Style" w:cs="Arial"/>
          <w:bCs/>
          <w:color w:val="000000"/>
          <w:lang w:val="es-ES"/>
        </w:rPr>
        <w:t xml:space="preserve"> empresa</w:t>
      </w:r>
      <w:r w:rsidR="00216ADF">
        <w:rPr>
          <w:rFonts w:ascii="Bookman Old Style" w:hAnsi="Bookman Old Style" w:cs="Arial"/>
          <w:bCs/>
          <w:color w:val="000000"/>
          <w:lang w:val="es-ES"/>
        </w:rPr>
        <w:t xml:space="preserve">s, en coherencia </w:t>
      </w:r>
      <w:r w:rsidR="00E8731C">
        <w:rPr>
          <w:rFonts w:ascii="Bookman Old Style" w:hAnsi="Bookman Old Style" w:cs="Arial"/>
          <w:bCs/>
          <w:color w:val="000000"/>
          <w:lang w:val="es-ES"/>
        </w:rPr>
        <w:t xml:space="preserve">con lo que ocurre en un mercado en competencia y con las señales de remuneración en las otras actividades de red </w:t>
      </w:r>
      <w:r w:rsidR="00FD0557">
        <w:rPr>
          <w:rFonts w:ascii="Bookman Old Style" w:hAnsi="Bookman Old Style" w:cs="Arial"/>
          <w:bCs/>
          <w:color w:val="000000"/>
          <w:lang w:val="es-ES"/>
        </w:rPr>
        <w:t>cuya regulación está a cargo</w:t>
      </w:r>
      <w:r w:rsidR="00CD74FC">
        <w:rPr>
          <w:rFonts w:ascii="Bookman Old Style" w:hAnsi="Bookman Old Style" w:cs="Arial"/>
          <w:bCs/>
          <w:color w:val="000000"/>
          <w:lang w:val="es-ES"/>
        </w:rPr>
        <w:t xml:space="preserve"> de esta Comisión.</w:t>
      </w:r>
    </w:p>
    <w:p w14:paraId="36E565CC" w14:textId="77777777" w:rsidR="006266A8" w:rsidRDefault="006266A8" w:rsidP="00F74C2A">
      <w:pPr>
        <w:jc w:val="both"/>
        <w:rPr>
          <w:rFonts w:ascii="Bookman Old Style" w:hAnsi="Bookman Old Style" w:cs="Arial"/>
          <w:bCs/>
          <w:color w:val="000000"/>
          <w:lang w:val="es-ES"/>
        </w:rPr>
      </w:pPr>
    </w:p>
    <w:p w14:paraId="0C6D14DF" w14:textId="6FB5E91E" w:rsidR="00402721" w:rsidRDefault="006266A8" w:rsidP="00402721">
      <w:pPr>
        <w:jc w:val="both"/>
        <w:rPr>
          <w:rFonts w:ascii="Bookman Old Style" w:hAnsi="Bookman Old Style" w:cs="Arial"/>
          <w:bCs/>
          <w:color w:val="000000"/>
          <w:lang w:val="es-ES"/>
        </w:rPr>
      </w:pPr>
      <w:r>
        <w:rPr>
          <w:rFonts w:ascii="Bookman Old Style" w:hAnsi="Bookman Old Style" w:cs="Arial"/>
          <w:bCs/>
          <w:color w:val="000000"/>
          <w:lang w:val="es-ES"/>
        </w:rPr>
        <w:t xml:space="preserve">En relación con esto, resulta relevante exponer lo manifestado en el documento </w:t>
      </w:r>
      <w:proofErr w:type="spellStart"/>
      <w:r>
        <w:rPr>
          <w:rFonts w:ascii="Bookman Old Style" w:hAnsi="Bookman Old Style" w:cs="Arial"/>
          <w:bCs/>
          <w:color w:val="000000"/>
          <w:lang w:val="es-ES"/>
        </w:rPr>
        <w:t>CREG</w:t>
      </w:r>
      <w:proofErr w:type="spellEnd"/>
      <w:r>
        <w:rPr>
          <w:rFonts w:ascii="Bookman Old Style" w:hAnsi="Bookman Old Style" w:cs="Arial"/>
          <w:bCs/>
          <w:color w:val="000000"/>
          <w:lang w:val="es-ES"/>
        </w:rPr>
        <w:t xml:space="preserve"> </w:t>
      </w:r>
      <w:r w:rsidR="009E7D15">
        <w:rPr>
          <w:rFonts w:ascii="Bookman Old Style" w:hAnsi="Bookman Old Style" w:cs="Arial"/>
          <w:bCs/>
          <w:color w:val="000000"/>
          <w:lang w:val="es-ES"/>
        </w:rPr>
        <w:t>143 A de 2021</w:t>
      </w:r>
      <w:r w:rsidR="00E71757">
        <w:rPr>
          <w:rFonts w:ascii="Bookman Old Style" w:hAnsi="Bookman Old Style" w:cs="Arial"/>
          <w:bCs/>
          <w:color w:val="000000"/>
          <w:lang w:val="es-ES"/>
        </w:rPr>
        <w:t xml:space="preserve"> </w:t>
      </w:r>
      <w:r>
        <w:rPr>
          <w:rFonts w:ascii="Bookman Old Style" w:hAnsi="Bookman Old Style" w:cs="Arial"/>
          <w:bCs/>
          <w:color w:val="000000"/>
          <w:lang w:val="es-ES"/>
        </w:rPr>
        <w:t xml:space="preserve">soporte de la Resolución </w:t>
      </w:r>
      <w:proofErr w:type="spellStart"/>
      <w:r>
        <w:rPr>
          <w:rFonts w:ascii="Bookman Old Style" w:hAnsi="Bookman Old Style" w:cs="Arial"/>
          <w:bCs/>
          <w:color w:val="000000"/>
          <w:lang w:val="es-ES"/>
        </w:rPr>
        <w:t>CREG</w:t>
      </w:r>
      <w:proofErr w:type="spellEnd"/>
      <w:r>
        <w:rPr>
          <w:rFonts w:ascii="Bookman Old Style" w:hAnsi="Bookman Old Style" w:cs="Arial"/>
          <w:bCs/>
          <w:color w:val="000000"/>
          <w:lang w:val="es-ES"/>
        </w:rPr>
        <w:t xml:space="preserve"> 175 de 2021</w:t>
      </w:r>
      <w:r w:rsidR="00402721">
        <w:rPr>
          <w:rFonts w:ascii="Bookman Old Style" w:hAnsi="Bookman Old Style" w:cs="Arial"/>
          <w:bCs/>
          <w:color w:val="000000"/>
          <w:lang w:val="es-ES"/>
        </w:rPr>
        <w:t xml:space="preserve"> sobre este punto:</w:t>
      </w:r>
      <w:bookmarkStart w:id="2" w:name="_Ref70594457"/>
      <w:bookmarkStart w:id="3" w:name="_Toc88500415"/>
    </w:p>
    <w:p w14:paraId="64A03E7D" w14:textId="06C22933" w:rsidR="00EB633A" w:rsidRPr="00947662" w:rsidRDefault="00EB633A" w:rsidP="00947662">
      <w:pPr>
        <w:pStyle w:val="NormalWeb"/>
        <w:spacing w:after="0" w:afterAutospacing="0" w:line="240" w:lineRule="auto"/>
        <w:ind w:left="227"/>
        <w:rPr>
          <w:i/>
          <w:iCs/>
          <w:sz w:val="22"/>
          <w:szCs w:val="22"/>
          <w:lang w:val="es-CO"/>
        </w:rPr>
      </w:pPr>
      <w:r w:rsidRPr="00947662">
        <w:rPr>
          <w:i/>
          <w:iCs/>
          <w:sz w:val="22"/>
          <w:szCs w:val="22"/>
          <w:lang w:val="es-CO"/>
        </w:rPr>
        <w:t xml:space="preserve">“7.1.2 </w:t>
      </w:r>
      <w:r w:rsidR="00402721" w:rsidRPr="00947662">
        <w:rPr>
          <w:i/>
          <w:iCs/>
          <w:sz w:val="22"/>
          <w:szCs w:val="22"/>
          <w:lang w:val="es-CO"/>
        </w:rPr>
        <w:t>Cambio de dólares a pesos</w:t>
      </w:r>
      <w:bookmarkEnd w:id="2"/>
      <w:bookmarkEnd w:id="3"/>
    </w:p>
    <w:p w14:paraId="0E672A0D" w14:textId="6C748BF9" w:rsidR="00402721" w:rsidRPr="00947662" w:rsidRDefault="00402721" w:rsidP="00947662">
      <w:pPr>
        <w:pStyle w:val="NormalWeb"/>
        <w:spacing w:after="0" w:afterAutospacing="0" w:line="240" w:lineRule="auto"/>
        <w:ind w:left="227"/>
        <w:rPr>
          <w:i/>
          <w:iCs/>
          <w:sz w:val="22"/>
          <w:szCs w:val="22"/>
          <w:lang w:val="es-CO"/>
        </w:rPr>
      </w:pPr>
      <w:r w:rsidRPr="00947662">
        <w:rPr>
          <w:i/>
          <w:iCs/>
          <w:sz w:val="22"/>
          <w:szCs w:val="22"/>
          <w:lang w:val="es-CO"/>
        </w:rPr>
        <w:t xml:space="preserve">Frente a la propuesta que se consultó de remunerar las inversiones en pesos colombianos los transportadores en general expresaron su rechazo argumentando que buena parte de las inversiones en transporte de gas son en dólares y algunos transportadores manifestaron que han acudido al financiamiento en esa moneda para comprar la infraestructura. </w:t>
      </w:r>
    </w:p>
    <w:p w14:paraId="6BCD5588" w14:textId="6447FDFC" w:rsidR="00402721" w:rsidRPr="00947662" w:rsidRDefault="00402721" w:rsidP="00947662">
      <w:pPr>
        <w:pStyle w:val="NormalWeb"/>
        <w:spacing w:after="0" w:afterAutospacing="0" w:line="240" w:lineRule="auto"/>
        <w:ind w:left="227"/>
        <w:rPr>
          <w:i/>
          <w:iCs/>
          <w:sz w:val="22"/>
          <w:szCs w:val="22"/>
          <w:lang w:val="es-CO"/>
        </w:rPr>
      </w:pPr>
      <w:r w:rsidRPr="00947662">
        <w:rPr>
          <w:i/>
          <w:iCs/>
          <w:sz w:val="22"/>
          <w:szCs w:val="22"/>
          <w:lang w:val="es-CO"/>
        </w:rPr>
        <w:t>Regulatoriamente en materia de la remuneración de las inversiones en pesos o en dólares la cuestión es quién debe asumir el riesgo cambiario. Desde el punto de vista regulatorio se considera que es el transportador quien está mejor preparado para manejar ese riesgo y puede gestionarlo.</w:t>
      </w:r>
    </w:p>
    <w:p w14:paraId="106F9A2F" w14:textId="48D11304" w:rsidR="00402721" w:rsidRPr="00947662" w:rsidRDefault="00402721" w:rsidP="00947662">
      <w:pPr>
        <w:pStyle w:val="NormalWeb"/>
        <w:spacing w:after="0" w:afterAutospacing="0" w:line="240" w:lineRule="auto"/>
        <w:ind w:left="227"/>
        <w:rPr>
          <w:i/>
          <w:iCs/>
          <w:sz w:val="22"/>
          <w:szCs w:val="22"/>
          <w:lang w:val="es-CO"/>
        </w:rPr>
      </w:pPr>
      <w:r w:rsidRPr="00947662">
        <w:rPr>
          <w:i/>
          <w:iCs/>
          <w:sz w:val="22"/>
          <w:szCs w:val="22"/>
          <w:lang w:val="es-CO"/>
        </w:rPr>
        <w:t>Hasta el momento sólo en transporte de gas natural ese riesgo se le ha trasladado al usuario. En las otras actividades de red (T y D de energía eléctrica, gas combustible y T de líquidos) reguladas por la CREG, el riesgo cambiario está en cabeza de las empresas.</w:t>
      </w:r>
    </w:p>
    <w:p w14:paraId="247AC30F" w14:textId="5AF01074" w:rsidR="00402721" w:rsidRDefault="00402721" w:rsidP="00EB633A">
      <w:pPr>
        <w:pStyle w:val="NormalWeb"/>
        <w:spacing w:after="0" w:afterAutospacing="0" w:line="240" w:lineRule="auto"/>
        <w:ind w:left="227"/>
        <w:rPr>
          <w:i/>
          <w:iCs/>
          <w:sz w:val="22"/>
          <w:szCs w:val="22"/>
          <w:lang w:val="es-CO"/>
        </w:rPr>
      </w:pPr>
      <w:r w:rsidRPr="00947662">
        <w:rPr>
          <w:i/>
          <w:iCs/>
          <w:sz w:val="22"/>
          <w:szCs w:val="22"/>
          <w:lang w:val="es-CO"/>
        </w:rPr>
        <w:t xml:space="preserve">Si bien es cierto que buena parte de la inversión en un gasoducto o en un compresor están en dólares, cuando en la metodología se reconoce ese valor en pesos, el agente debe definir su estrategia de financiación. </w:t>
      </w:r>
      <w:r w:rsidRPr="00947662">
        <w:rPr>
          <w:b/>
          <w:bCs/>
          <w:i/>
          <w:iCs/>
          <w:sz w:val="22"/>
          <w:szCs w:val="22"/>
          <w:u w:val="single"/>
          <w:lang w:val="es-CO"/>
        </w:rPr>
        <w:t>Los agentes pueden tomar financiación en pesos de banca comercial local o lo más común del mercado de capitales local o internacional. Si ya tienen deuda en dólares deben definir su restructuración o asumir el riesgo si la mantienen.</w:t>
      </w:r>
      <w:r w:rsidR="00EB633A">
        <w:rPr>
          <w:b/>
          <w:bCs/>
          <w:i/>
          <w:iCs/>
          <w:sz w:val="22"/>
          <w:szCs w:val="22"/>
          <w:u w:val="single"/>
          <w:lang w:val="es-CO"/>
        </w:rPr>
        <w:t xml:space="preserve">” </w:t>
      </w:r>
      <w:r w:rsidR="00EB633A">
        <w:rPr>
          <w:i/>
          <w:iCs/>
          <w:sz w:val="22"/>
          <w:szCs w:val="22"/>
          <w:lang w:val="es-CO"/>
        </w:rPr>
        <w:t>(Resaltado fuera de texto)</w:t>
      </w:r>
    </w:p>
    <w:p w14:paraId="7349B64D" w14:textId="77777777" w:rsidR="00EB633A" w:rsidRDefault="00EB633A" w:rsidP="00EB633A">
      <w:pPr>
        <w:jc w:val="both"/>
        <w:rPr>
          <w:rFonts w:ascii="Bookman Old Style" w:hAnsi="Bookman Old Style" w:cs="Arial"/>
          <w:bCs/>
          <w:color w:val="000000"/>
          <w:lang w:val="es-ES"/>
        </w:rPr>
      </w:pPr>
    </w:p>
    <w:p w14:paraId="0D7E36C6" w14:textId="09CB0C2D" w:rsidR="00EB633A" w:rsidRDefault="00EB633A" w:rsidP="00EB633A">
      <w:pPr>
        <w:jc w:val="both"/>
        <w:rPr>
          <w:rFonts w:ascii="Bookman Old Style" w:hAnsi="Bookman Old Style" w:cs="Arial"/>
          <w:bCs/>
          <w:color w:val="000000"/>
          <w:lang w:val="es-ES"/>
        </w:rPr>
      </w:pPr>
      <w:r>
        <w:rPr>
          <w:rFonts w:ascii="Bookman Old Style" w:hAnsi="Bookman Old Style" w:cs="Arial"/>
          <w:bCs/>
          <w:color w:val="000000"/>
          <w:lang w:val="es-ES"/>
        </w:rPr>
        <w:t xml:space="preserve">Adicionalmente, en respuesta a los comentarios recibidos sobre este </w:t>
      </w:r>
      <w:r w:rsidR="00A57138">
        <w:rPr>
          <w:rFonts w:ascii="Bookman Old Style" w:hAnsi="Bookman Old Style" w:cs="Arial"/>
          <w:bCs/>
          <w:color w:val="000000"/>
          <w:lang w:val="es-ES"/>
        </w:rPr>
        <w:t xml:space="preserve">tema </w:t>
      </w:r>
      <w:r>
        <w:rPr>
          <w:rFonts w:ascii="Bookman Old Style" w:hAnsi="Bookman Old Style" w:cs="Arial"/>
          <w:bCs/>
          <w:color w:val="000000"/>
          <w:lang w:val="es-ES"/>
        </w:rPr>
        <w:t>la Comisión precisó:</w:t>
      </w:r>
    </w:p>
    <w:p w14:paraId="1F5F4482" w14:textId="2ED473B7" w:rsidR="00402721" w:rsidRPr="00947662" w:rsidRDefault="0088043A" w:rsidP="00947662">
      <w:pPr>
        <w:pStyle w:val="NormalWeb"/>
        <w:spacing w:after="0" w:afterAutospacing="0" w:line="240" w:lineRule="auto"/>
        <w:ind w:left="227"/>
        <w:rPr>
          <w:i/>
          <w:iCs/>
          <w:sz w:val="22"/>
          <w:szCs w:val="22"/>
          <w:lang w:val="es-CO"/>
        </w:rPr>
      </w:pPr>
      <w:r w:rsidRPr="00947662">
        <w:rPr>
          <w:i/>
          <w:iCs/>
          <w:sz w:val="22"/>
          <w:szCs w:val="22"/>
          <w:lang w:val="es-CO"/>
        </w:rPr>
        <w:t>“(…) 3) Sobre la remuneración del riesgo cambiario se entiende que la estrategia de financiación de las empresas transportadoras es parte de su estrategia de negocio adicionalmente hay disponibilidad de recursos en el mercado local y esto evita tomar el riesgo cambiario por parte de los agentes, además de ello  entendemos que existen en el mercado financiero instrumentos de cobertura que pueden considerar las empresas para mitigar el riesgo cambiario y que las empresas transportadoras  están en mejor posición para gestionarlo. No sobra señalar que a diferencia de algunas economías que han abandonado su moneda local, en Colombia el peso es una moneda fuerte y en consecuencia una referencia de intercambio sólida para los agentes en la economía. En estos términos, las variaciones en los cargos del transporte originados en los movimientos en el dólar no son aceptables por los usuarios</w:t>
      </w:r>
      <w:r w:rsidRPr="00947662">
        <w:rPr>
          <w:b/>
          <w:bCs/>
          <w:i/>
          <w:iCs/>
          <w:sz w:val="22"/>
          <w:szCs w:val="22"/>
          <w:u w:val="single"/>
          <w:lang w:val="es-CO"/>
        </w:rPr>
        <w:t>. Las empresas que reestructuren deuda incurrirán en gastos por una sola vez que podrían ser considerados por la Comisión para los cargos</w:t>
      </w:r>
      <w:r w:rsidRPr="00947662">
        <w:rPr>
          <w:i/>
          <w:iCs/>
          <w:sz w:val="22"/>
          <w:szCs w:val="22"/>
          <w:lang w:val="es-CO"/>
        </w:rPr>
        <w:t>. (…)</w:t>
      </w:r>
      <w:r w:rsidR="00152139">
        <w:rPr>
          <w:i/>
          <w:iCs/>
          <w:sz w:val="22"/>
          <w:szCs w:val="22"/>
          <w:lang w:val="es-CO"/>
        </w:rPr>
        <w:t>” (Resaltado fuera de texto)</w:t>
      </w:r>
    </w:p>
    <w:p w14:paraId="5F666E3A" w14:textId="77777777" w:rsidR="00D71B5C" w:rsidRDefault="00D71B5C" w:rsidP="00F74C2A">
      <w:pPr>
        <w:jc w:val="both"/>
        <w:rPr>
          <w:rFonts w:ascii="Bookman Old Style" w:hAnsi="Bookman Old Style" w:cs="Arial"/>
          <w:bCs/>
          <w:color w:val="000000"/>
          <w:lang w:val="es-ES"/>
        </w:rPr>
      </w:pPr>
    </w:p>
    <w:p w14:paraId="1F15DB33" w14:textId="64E0CEC2" w:rsidR="0061582C" w:rsidRDefault="0061582C" w:rsidP="00F74C2A">
      <w:pPr>
        <w:jc w:val="both"/>
        <w:rPr>
          <w:rFonts w:ascii="Bookman Old Style" w:hAnsi="Bookman Old Style" w:cs="Arial"/>
          <w:bCs/>
          <w:color w:val="000000"/>
          <w:lang w:val="es-ES"/>
        </w:rPr>
      </w:pPr>
      <w:r>
        <w:rPr>
          <w:rFonts w:ascii="Bookman Old Style" w:hAnsi="Bookman Old Style" w:cs="Arial"/>
          <w:bCs/>
          <w:color w:val="000000"/>
          <w:lang w:val="es-ES"/>
        </w:rPr>
        <w:lastRenderedPageBreak/>
        <w:t xml:space="preserve">De acuerdo con lo </w:t>
      </w:r>
      <w:r w:rsidR="006A7669">
        <w:rPr>
          <w:rFonts w:ascii="Bookman Old Style" w:hAnsi="Bookman Old Style" w:cs="Arial"/>
          <w:bCs/>
          <w:color w:val="000000"/>
          <w:lang w:val="es-ES"/>
        </w:rPr>
        <w:t>expuesto</w:t>
      </w:r>
      <w:r>
        <w:rPr>
          <w:rFonts w:ascii="Bookman Old Style" w:hAnsi="Bookman Old Style" w:cs="Arial"/>
          <w:bCs/>
          <w:color w:val="000000"/>
          <w:lang w:val="es-ES"/>
        </w:rPr>
        <w:t xml:space="preserve">, el cambio de </w:t>
      </w:r>
      <w:r w:rsidR="00F35C26">
        <w:rPr>
          <w:rFonts w:ascii="Bookman Old Style" w:hAnsi="Bookman Old Style" w:cs="Arial"/>
          <w:bCs/>
          <w:color w:val="000000"/>
          <w:lang w:val="es-ES"/>
        </w:rPr>
        <w:t xml:space="preserve">la </w:t>
      </w:r>
      <w:r w:rsidRPr="0061582C">
        <w:rPr>
          <w:rFonts w:ascii="Bookman Old Style" w:hAnsi="Bookman Old Style" w:cs="Arial"/>
          <w:bCs/>
          <w:color w:val="000000"/>
          <w:lang w:val="es-ES"/>
        </w:rPr>
        <w:t>moneda</w:t>
      </w:r>
      <w:r w:rsidR="00F35C26">
        <w:rPr>
          <w:rFonts w:ascii="Bookman Old Style" w:hAnsi="Bookman Old Style" w:cs="Arial"/>
          <w:bCs/>
          <w:color w:val="000000"/>
          <w:lang w:val="es-ES"/>
        </w:rPr>
        <w:t xml:space="preserve"> de remuneración de las inversiones</w:t>
      </w:r>
      <w:r w:rsidR="00162515">
        <w:rPr>
          <w:rFonts w:ascii="Bookman Old Style" w:hAnsi="Bookman Old Style" w:cs="Arial"/>
          <w:bCs/>
          <w:color w:val="000000"/>
          <w:lang w:val="es-ES"/>
        </w:rPr>
        <w:t>,</w:t>
      </w:r>
      <w:r w:rsidR="00DB6AA5">
        <w:rPr>
          <w:rFonts w:ascii="Bookman Old Style" w:hAnsi="Bookman Old Style" w:cs="Arial"/>
          <w:bCs/>
          <w:color w:val="000000"/>
          <w:lang w:val="es-ES"/>
        </w:rPr>
        <w:t xml:space="preserve"> como medida adoptada en la Resolución </w:t>
      </w:r>
      <w:proofErr w:type="spellStart"/>
      <w:r w:rsidR="00DB6AA5">
        <w:rPr>
          <w:rFonts w:ascii="Bookman Old Style" w:hAnsi="Bookman Old Style" w:cs="Arial"/>
          <w:bCs/>
          <w:color w:val="000000"/>
          <w:lang w:val="es-ES"/>
        </w:rPr>
        <w:t>CREG</w:t>
      </w:r>
      <w:proofErr w:type="spellEnd"/>
      <w:r w:rsidR="00DB6AA5">
        <w:rPr>
          <w:rFonts w:ascii="Bookman Old Style" w:hAnsi="Bookman Old Style" w:cs="Arial"/>
          <w:bCs/>
          <w:color w:val="000000"/>
          <w:lang w:val="es-ES"/>
        </w:rPr>
        <w:t xml:space="preserve"> 175 de 2021</w:t>
      </w:r>
      <w:r w:rsidR="00162515">
        <w:rPr>
          <w:rFonts w:ascii="Bookman Old Style" w:hAnsi="Bookman Old Style" w:cs="Arial"/>
          <w:bCs/>
          <w:color w:val="000000"/>
          <w:lang w:val="es-ES"/>
        </w:rPr>
        <w:t>,</w:t>
      </w:r>
      <w:r w:rsidRPr="0061582C">
        <w:rPr>
          <w:rFonts w:ascii="Bookman Old Style" w:hAnsi="Bookman Old Style" w:cs="Arial"/>
          <w:bCs/>
          <w:color w:val="000000"/>
          <w:lang w:val="es-ES"/>
        </w:rPr>
        <w:t xml:space="preserve"> </w:t>
      </w:r>
      <w:r w:rsidR="00083B20">
        <w:rPr>
          <w:rFonts w:ascii="Bookman Old Style" w:hAnsi="Bookman Old Style" w:cs="Arial"/>
          <w:bCs/>
          <w:color w:val="000000"/>
          <w:lang w:val="es-ES"/>
        </w:rPr>
        <w:t>en una empresa eficiente</w:t>
      </w:r>
      <w:r w:rsidR="007C1D0D">
        <w:rPr>
          <w:rFonts w:ascii="Bookman Old Style" w:hAnsi="Bookman Old Style" w:cs="Arial"/>
          <w:bCs/>
          <w:color w:val="000000"/>
          <w:lang w:val="es-ES"/>
        </w:rPr>
        <w:t>,</w:t>
      </w:r>
      <w:r w:rsidRPr="0061582C">
        <w:rPr>
          <w:rFonts w:ascii="Bookman Old Style" w:hAnsi="Bookman Old Style" w:cs="Arial"/>
          <w:bCs/>
          <w:color w:val="000000"/>
          <w:lang w:val="es-ES"/>
        </w:rPr>
        <w:t xml:space="preserve"> </w:t>
      </w:r>
      <w:r>
        <w:rPr>
          <w:rFonts w:ascii="Bookman Old Style" w:hAnsi="Bookman Old Style" w:cs="Arial"/>
          <w:bCs/>
          <w:color w:val="000000"/>
          <w:lang w:val="es-ES"/>
        </w:rPr>
        <w:t xml:space="preserve">no </w:t>
      </w:r>
      <w:r w:rsidR="007F7C95">
        <w:rPr>
          <w:rFonts w:ascii="Bookman Old Style" w:hAnsi="Bookman Old Style" w:cs="Arial"/>
          <w:bCs/>
          <w:color w:val="000000"/>
          <w:lang w:val="es-ES"/>
        </w:rPr>
        <w:t>debe</w:t>
      </w:r>
      <w:r w:rsidR="00162515">
        <w:rPr>
          <w:rFonts w:ascii="Bookman Old Style" w:hAnsi="Bookman Old Style" w:cs="Arial"/>
          <w:bCs/>
          <w:color w:val="000000"/>
          <w:lang w:val="es-ES"/>
        </w:rPr>
        <w:t>ría</w:t>
      </w:r>
      <w:r w:rsidR="007F7C95">
        <w:rPr>
          <w:rFonts w:ascii="Bookman Old Style" w:hAnsi="Bookman Old Style" w:cs="Arial"/>
          <w:bCs/>
          <w:color w:val="000000"/>
          <w:lang w:val="es-ES"/>
        </w:rPr>
        <w:t xml:space="preserve"> </w:t>
      </w:r>
      <w:r>
        <w:rPr>
          <w:rFonts w:ascii="Bookman Old Style" w:hAnsi="Bookman Old Style" w:cs="Arial"/>
          <w:bCs/>
          <w:color w:val="000000"/>
          <w:lang w:val="es-ES"/>
        </w:rPr>
        <w:t>genera</w:t>
      </w:r>
      <w:r w:rsidR="007F7C95">
        <w:rPr>
          <w:rFonts w:ascii="Bookman Old Style" w:hAnsi="Bookman Old Style" w:cs="Arial"/>
          <w:bCs/>
          <w:color w:val="000000"/>
          <w:lang w:val="es-ES"/>
        </w:rPr>
        <w:t>r</w:t>
      </w:r>
      <w:r>
        <w:rPr>
          <w:rFonts w:ascii="Bookman Old Style" w:hAnsi="Bookman Old Style" w:cs="Arial"/>
          <w:bCs/>
          <w:color w:val="000000"/>
          <w:lang w:val="es-ES"/>
        </w:rPr>
        <w:t xml:space="preserve"> </w:t>
      </w:r>
      <w:r w:rsidR="006B6239">
        <w:rPr>
          <w:rFonts w:ascii="Bookman Old Style" w:hAnsi="Bookman Old Style" w:cs="Arial"/>
          <w:bCs/>
          <w:color w:val="000000"/>
          <w:lang w:val="es-ES"/>
        </w:rPr>
        <w:t xml:space="preserve">afectaciones en el criterio de </w:t>
      </w:r>
      <w:r w:rsidR="00DB6AA5">
        <w:rPr>
          <w:rFonts w:ascii="Bookman Old Style" w:hAnsi="Bookman Old Style" w:cs="Arial"/>
          <w:bCs/>
          <w:color w:val="000000"/>
          <w:lang w:val="es-ES"/>
        </w:rPr>
        <w:t>suficiencia financiera</w:t>
      </w:r>
      <w:r w:rsidR="008B42E7">
        <w:rPr>
          <w:rFonts w:ascii="Bookman Old Style" w:hAnsi="Bookman Old Style" w:cs="Arial"/>
          <w:bCs/>
          <w:color w:val="000000"/>
          <w:lang w:val="es-ES"/>
        </w:rPr>
        <w:t>.</w:t>
      </w:r>
      <w:r w:rsidR="006E5C0C">
        <w:rPr>
          <w:rFonts w:ascii="Bookman Old Style" w:hAnsi="Bookman Old Style" w:cs="Arial"/>
          <w:bCs/>
          <w:color w:val="000000"/>
          <w:lang w:val="es-ES"/>
        </w:rPr>
        <w:t xml:space="preserve"> De hecho, con la información </w:t>
      </w:r>
      <w:r w:rsidR="00855F4E">
        <w:rPr>
          <w:rFonts w:ascii="Bookman Old Style" w:hAnsi="Bookman Old Style" w:cs="Arial"/>
          <w:bCs/>
          <w:color w:val="000000"/>
          <w:lang w:val="es-ES"/>
        </w:rPr>
        <w:t xml:space="preserve">financiera que </w:t>
      </w:r>
      <w:r w:rsidR="00451663">
        <w:rPr>
          <w:rFonts w:ascii="Bookman Old Style" w:hAnsi="Bookman Old Style" w:cs="Arial"/>
          <w:bCs/>
          <w:color w:val="000000"/>
          <w:lang w:val="es-ES"/>
        </w:rPr>
        <w:t>tiene</w:t>
      </w:r>
      <w:r w:rsidR="00855F4E">
        <w:rPr>
          <w:rFonts w:ascii="Bookman Old Style" w:hAnsi="Bookman Old Style" w:cs="Arial"/>
          <w:bCs/>
          <w:color w:val="000000"/>
          <w:lang w:val="es-ES"/>
        </w:rPr>
        <w:t xml:space="preserve"> la </w:t>
      </w:r>
      <w:proofErr w:type="spellStart"/>
      <w:r w:rsidR="00855F4E">
        <w:rPr>
          <w:rFonts w:ascii="Bookman Old Style" w:hAnsi="Bookman Old Style" w:cs="Arial"/>
          <w:bCs/>
          <w:color w:val="000000"/>
          <w:lang w:val="es-ES"/>
        </w:rPr>
        <w:t>CREG</w:t>
      </w:r>
      <w:proofErr w:type="spellEnd"/>
      <w:r w:rsidR="0096345F">
        <w:rPr>
          <w:rStyle w:val="Refdenotaalpie"/>
          <w:rFonts w:ascii="Bookman Old Style" w:hAnsi="Bookman Old Style" w:cs="Arial"/>
          <w:bCs/>
          <w:color w:val="000000"/>
          <w:lang w:val="es-ES"/>
        </w:rPr>
        <w:footnoteReference w:id="9"/>
      </w:r>
      <w:r w:rsidR="00855F4E">
        <w:rPr>
          <w:rFonts w:ascii="Bookman Old Style" w:hAnsi="Bookman Old Style" w:cs="Arial"/>
          <w:bCs/>
          <w:color w:val="000000"/>
          <w:lang w:val="es-ES"/>
        </w:rPr>
        <w:t xml:space="preserve"> </w:t>
      </w:r>
      <w:r w:rsidR="002E0FF2">
        <w:rPr>
          <w:rFonts w:ascii="Bookman Old Style" w:hAnsi="Bookman Old Style" w:cs="Arial"/>
          <w:bCs/>
          <w:color w:val="000000"/>
          <w:lang w:val="es-ES"/>
        </w:rPr>
        <w:t>de las empresas que prestan el servicio de transporte de gas natural</w:t>
      </w:r>
      <w:r w:rsidR="00855F4E">
        <w:rPr>
          <w:rFonts w:ascii="Bookman Old Style" w:hAnsi="Bookman Old Style" w:cs="Arial"/>
          <w:bCs/>
          <w:color w:val="000000"/>
          <w:lang w:val="es-ES"/>
        </w:rPr>
        <w:t xml:space="preserve"> no hay un</w:t>
      </w:r>
      <w:r w:rsidR="001543CA">
        <w:rPr>
          <w:rFonts w:ascii="Bookman Old Style" w:hAnsi="Bookman Old Style" w:cs="Arial"/>
          <w:bCs/>
          <w:color w:val="000000"/>
          <w:lang w:val="es-ES"/>
        </w:rPr>
        <w:t xml:space="preserve">a prueba contundente </w:t>
      </w:r>
      <w:r w:rsidR="001D7583">
        <w:rPr>
          <w:rFonts w:ascii="Bookman Old Style" w:hAnsi="Bookman Old Style" w:cs="Arial"/>
          <w:bCs/>
          <w:color w:val="000000"/>
          <w:lang w:val="es-ES"/>
        </w:rPr>
        <w:t xml:space="preserve">de </w:t>
      </w:r>
      <w:r w:rsidR="00617C45">
        <w:rPr>
          <w:rFonts w:ascii="Bookman Old Style" w:hAnsi="Bookman Old Style" w:cs="Arial"/>
          <w:bCs/>
          <w:color w:val="000000"/>
          <w:lang w:val="es-ES"/>
        </w:rPr>
        <w:t xml:space="preserve">que por el hecho de haber cambiado la moneda de remuneración alguna empresa </w:t>
      </w:r>
      <w:r w:rsidR="0028184E">
        <w:rPr>
          <w:rFonts w:ascii="Bookman Old Style" w:hAnsi="Bookman Old Style" w:cs="Arial"/>
          <w:bCs/>
          <w:color w:val="000000"/>
          <w:lang w:val="es-ES"/>
        </w:rPr>
        <w:t>esté enfrentando</w:t>
      </w:r>
      <w:r w:rsidR="00712ED4">
        <w:rPr>
          <w:rFonts w:ascii="Bookman Old Style" w:hAnsi="Bookman Old Style" w:cs="Arial"/>
          <w:bCs/>
          <w:color w:val="000000"/>
          <w:lang w:val="es-ES"/>
        </w:rPr>
        <w:t xml:space="preserve"> un </w:t>
      </w:r>
      <w:r w:rsidR="00A149C8">
        <w:rPr>
          <w:rFonts w:ascii="Bookman Old Style" w:hAnsi="Bookman Old Style" w:cs="Arial"/>
          <w:bCs/>
          <w:color w:val="000000"/>
          <w:lang w:val="es-ES"/>
        </w:rPr>
        <w:t xml:space="preserve">riesgo de suficiencia financiera </w:t>
      </w:r>
      <w:r w:rsidR="0028184E">
        <w:rPr>
          <w:rFonts w:ascii="Bookman Old Style" w:hAnsi="Bookman Old Style" w:cs="Arial"/>
          <w:bCs/>
          <w:color w:val="000000"/>
          <w:lang w:val="es-ES"/>
        </w:rPr>
        <w:t>en</w:t>
      </w:r>
      <w:r w:rsidR="00A149C8">
        <w:rPr>
          <w:rFonts w:ascii="Bookman Old Style" w:hAnsi="Bookman Old Style" w:cs="Arial"/>
          <w:bCs/>
          <w:color w:val="000000"/>
          <w:lang w:val="es-ES"/>
        </w:rPr>
        <w:t xml:space="preserve"> la prestación del servicio</w:t>
      </w:r>
      <w:r w:rsidR="000642EF">
        <w:rPr>
          <w:rFonts w:ascii="Bookman Old Style" w:hAnsi="Bookman Old Style" w:cs="Arial"/>
          <w:bCs/>
          <w:color w:val="000000"/>
          <w:lang w:val="es-ES"/>
        </w:rPr>
        <w:t xml:space="preserve">. </w:t>
      </w:r>
      <w:r w:rsidR="0028184E">
        <w:rPr>
          <w:rFonts w:ascii="Bookman Old Style" w:hAnsi="Bookman Old Style" w:cs="Arial"/>
          <w:bCs/>
          <w:color w:val="000000"/>
          <w:lang w:val="es-ES"/>
        </w:rPr>
        <w:t xml:space="preserve">Esto por supuesto </w:t>
      </w:r>
      <w:r w:rsidR="00911DC2">
        <w:rPr>
          <w:rFonts w:ascii="Bookman Old Style" w:hAnsi="Bookman Old Style" w:cs="Arial"/>
          <w:bCs/>
          <w:color w:val="000000"/>
          <w:lang w:val="es-ES"/>
        </w:rPr>
        <w:t xml:space="preserve">es </w:t>
      </w:r>
      <w:r w:rsidR="0049165C">
        <w:rPr>
          <w:rFonts w:ascii="Bookman Old Style" w:hAnsi="Bookman Old Style" w:cs="Arial"/>
          <w:bCs/>
          <w:color w:val="000000"/>
          <w:lang w:val="es-ES"/>
        </w:rPr>
        <w:t xml:space="preserve">positivo </w:t>
      </w:r>
      <w:r w:rsidR="001C21F9">
        <w:rPr>
          <w:rFonts w:ascii="Bookman Old Style" w:hAnsi="Bookman Old Style" w:cs="Arial"/>
          <w:bCs/>
          <w:color w:val="000000"/>
          <w:lang w:val="es-ES"/>
        </w:rPr>
        <w:t xml:space="preserve">y refleja la buena gestión que los prestadores de este servicio </w:t>
      </w:r>
      <w:r w:rsidR="00240339">
        <w:rPr>
          <w:rFonts w:ascii="Bookman Old Style" w:hAnsi="Bookman Old Style" w:cs="Arial"/>
          <w:bCs/>
          <w:color w:val="000000"/>
          <w:lang w:val="es-ES"/>
        </w:rPr>
        <w:t xml:space="preserve">han realizado </w:t>
      </w:r>
      <w:r w:rsidR="00112815">
        <w:rPr>
          <w:rFonts w:ascii="Bookman Old Style" w:hAnsi="Bookman Old Style" w:cs="Arial"/>
          <w:bCs/>
          <w:color w:val="000000"/>
          <w:lang w:val="es-ES"/>
        </w:rPr>
        <w:t>en materia de cómo han contratado la deuda.</w:t>
      </w:r>
    </w:p>
    <w:p w14:paraId="3F668572" w14:textId="77777777" w:rsidR="0061582C" w:rsidRDefault="0061582C" w:rsidP="00F74C2A">
      <w:pPr>
        <w:jc w:val="both"/>
        <w:rPr>
          <w:rFonts w:ascii="Bookman Old Style" w:hAnsi="Bookman Old Style" w:cs="Arial"/>
          <w:bCs/>
          <w:color w:val="000000"/>
          <w:lang w:val="es-ES"/>
        </w:rPr>
      </w:pPr>
    </w:p>
    <w:p w14:paraId="0755D153" w14:textId="1BC8408A" w:rsidR="00C22C34" w:rsidRDefault="008B42E7" w:rsidP="00F74C2A">
      <w:pPr>
        <w:jc w:val="both"/>
        <w:rPr>
          <w:rFonts w:ascii="Bookman Old Style" w:hAnsi="Bookman Old Style" w:cs="Arial"/>
          <w:bCs/>
          <w:color w:val="000000"/>
          <w:lang w:val="es-ES"/>
        </w:rPr>
      </w:pPr>
      <w:r>
        <w:rPr>
          <w:rFonts w:ascii="Bookman Old Style" w:hAnsi="Bookman Old Style" w:cs="Arial"/>
          <w:bCs/>
          <w:color w:val="000000"/>
          <w:lang w:val="es-ES"/>
        </w:rPr>
        <w:t xml:space="preserve">Sin perjuicio de lo anterior, </w:t>
      </w:r>
      <w:r w:rsidR="006C669D">
        <w:rPr>
          <w:rFonts w:ascii="Bookman Old Style" w:hAnsi="Bookman Old Style" w:cs="Arial"/>
          <w:bCs/>
          <w:color w:val="000000"/>
          <w:lang w:val="es-ES"/>
        </w:rPr>
        <w:t xml:space="preserve">lo que </w:t>
      </w:r>
      <w:r w:rsidR="0024448F">
        <w:rPr>
          <w:rFonts w:ascii="Bookman Old Style" w:hAnsi="Bookman Old Style" w:cs="Arial"/>
          <w:bCs/>
          <w:color w:val="000000"/>
          <w:lang w:val="es-ES"/>
        </w:rPr>
        <w:t xml:space="preserve">se ha identificado </w:t>
      </w:r>
      <w:r w:rsidR="00AE51CC">
        <w:rPr>
          <w:rFonts w:ascii="Bookman Old Style" w:hAnsi="Bookman Old Style" w:cs="Arial"/>
          <w:bCs/>
          <w:color w:val="000000"/>
          <w:lang w:val="es-ES"/>
        </w:rPr>
        <w:t xml:space="preserve">por parte de la Comisión a partir de las solicitudes realizadas y que motivan el trámite de la presente actuación, es </w:t>
      </w:r>
      <w:r w:rsidR="002245A5">
        <w:rPr>
          <w:rFonts w:ascii="Bookman Old Style" w:hAnsi="Bookman Old Style" w:cs="Arial"/>
          <w:bCs/>
          <w:color w:val="000000"/>
          <w:lang w:val="es-ES"/>
        </w:rPr>
        <w:t>que la gestión</w:t>
      </w:r>
      <w:r w:rsidR="002245A5" w:rsidRPr="002245A5">
        <w:t xml:space="preserve"> </w:t>
      </w:r>
      <w:r w:rsidR="002245A5" w:rsidRPr="002245A5">
        <w:rPr>
          <w:rFonts w:ascii="Bookman Old Style" w:hAnsi="Bookman Old Style" w:cs="Arial"/>
          <w:bCs/>
          <w:color w:val="000000"/>
          <w:lang w:val="es-ES"/>
        </w:rPr>
        <w:t xml:space="preserve">para cambiar la deuda </w:t>
      </w:r>
      <w:r w:rsidR="00E93D6F">
        <w:rPr>
          <w:rFonts w:ascii="Bookman Old Style" w:hAnsi="Bookman Old Style" w:cs="Arial"/>
          <w:bCs/>
          <w:color w:val="000000"/>
          <w:lang w:val="es-ES"/>
        </w:rPr>
        <w:t xml:space="preserve">en </w:t>
      </w:r>
      <w:r w:rsidR="002245A5" w:rsidRPr="002245A5">
        <w:rPr>
          <w:rFonts w:ascii="Bookman Old Style" w:hAnsi="Bookman Old Style" w:cs="Arial"/>
          <w:bCs/>
          <w:color w:val="000000"/>
          <w:lang w:val="es-ES"/>
        </w:rPr>
        <w:t xml:space="preserve">dólares </w:t>
      </w:r>
      <w:r w:rsidR="00E93D6F">
        <w:rPr>
          <w:rFonts w:ascii="Bookman Old Style" w:hAnsi="Bookman Old Style" w:cs="Arial"/>
          <w:bCs/>
          <w:color w:val="000000"/>
          <w:lang w:val="es-ES"/>
        </w:rPr>
        <w:t xml:space="preserve">y llevarla </w:t>
      </w:r>
      <w:r w:rsidR="002245A5" w:rsidRPr="002245A5">
        <w:rPr>
          <w:rFonts w:ascii="Bookman Old Style" w:hAnsi="Bookman Old Style" w:cs="Arial"/>
          <w:bCs/>
          <w:color w:val="000000"/>
          <w:lang w:val="es-ES"/>
        </w:rPr>
        <w:t>a pesos</w:t>
      </w:r>
      <w:r w:rsidR="00E93D6F">
        <w:rPr>
          <w:rFonts w:ascii="Bookman Old Style" w:hAnsi="Bookman Old Style" w:cs="Arial"/>
          <w:bCs/>
          <w:color w:val="000000"/>
          <w:lang w:val="es-ES"/>
        </w:rPr>
        <w:t xml:space="preserve"> </w:t>
      </w:r>
      <w:r w:rsidR="00FC273A">
        <w:rPr>
          <w:rFonts w:ascii="Bookman Old Style" w:hAnsi="Bookman Old Style" w:cs="Arial"/>
          <w:bCs/>
          <w:color w:val="000000"/>
          <w:lang w:val="es-ES"/>
        </w:rPr>
        <w:t>pu</w:t>
      </w:r>
      <w:r w:rsidR="00F53781">
        <w:rPr>
          <w:rFonts w:ascii="Bookman Old Style" w:hAnsi="Bookman Old Style" w:cs="Arial"/>
          <w:bCs/>
          <w:color w:val="000000"/>
          <w:lang w:val="es-ES"/>
        </w:rPr>
        <w:t>e</w:t>
      </w:r>
      <w:r w:rsidR="00FC273A">
        <w:rPr>
          <w:rFonts w:ascii="Bookman Old Style" w:hAnsi="Bookman Old Style" w:cs="Arial"/>
          <w:bCs/>
          <w:color w:val="000000"/>
          <w:lang w:val="es-ES"/>
        </w:rPr>
        <w:t xml:space="preserve">de implicar unos costos </w:t>
      </w:r>
      <w:r w:rsidR="00112815">
        <w:rPr>
          <w:rFonts w:ascii="Bookman Old Style" w:hAnsi="Bookman Old Style" w:cs="Arial"/>
          <w:bCs/>
          <w:color w:val="000000"/>
          <w:lang w:val="es-ES"/>
        </w:rPr>
        <w:t>temporales</w:t>
      </w:r>
      <w:r w:rsidR="00FC273A">
        <w:rPr>
          <w:rFonts w:ascii="Bookman Old Style" w:hAnsi="Bookman Old Style" w:cs="Arial"/>
          <w:bCs/>
          <w:color w:val="000000"/>
          <w:lang w:val="es-ES"/>
        </w:rPr>
        <w:t xml:space="preserve"> que pueden ser considerados </w:t>
      </w:r>
      <w:r w:rsidR="008F27E9">
        <w:rPr>
          <w:rFonts w:ascii="Bookman Old Style" w:hAnsi="Bookman Old Style" w:cs="Arial"/>
          <w:bCs/>
          <w:color w:val="000000"/>
          <w:lang w:val="es-ES"/>
        </w:rPr>
        <w:t xml:space="preserve">como </w:t>
      </w:r>
      <w:r w:rsidR="00FC273A">
        <w:rPr>
          <w:rFonts w:ascii="Bookman Old Style" w:hAnsi="Bookman Old Style" w:cs="Arial"/>
          <w:bCs/>
          <w:color w:val="000000"/>
          <w:lang w:val="es-ES"/>
        </w:rPr>
        <w:t>eficientes</w:t>
      </w:r>
      <w:r w:rsidR="008F27E9">
        <w:rPr>
          <w:rFonts w:ascii="Bookman Old Style" w:hAnsi="Bookman Old Style" w:cs="Arial"/>
          <w:bCs/>
          <w:color w:val="000000"/>
          <w:lang w:val="es-ES"/>
        </w:rPr>
        <w:t xml:space="preserve"> y objeto de un reconocimiento</w:t>
      </w:r>
      <w:r w:rsidR="00E93D6F">
        <w:rPr>
          <w:rFonts w:ascii="Bookman Old Style" w:hAnsi="Bookman Old Style" w:cs="Arial"/>
          <w:bCs/>
          <w:color w:val="000000"/>
          <w:lang w:val="es-ES"/>
        </w:rPr>
        <w:t xml:space="preserve">, </w:t>
      </w:r>
      <w:r w:rsidR="00E461C4">
        <w:rPr>
          <w:rFonts w:ascii="Bookman Old Style" w:hAnsi="Bookman Old Style" w:cs="Arial"/>
          <w:bCs/>
          <w:color w:val="000000"/>
          <w:lang w:val="es-ES"/>
        </w:rPr>
        <w:t xml:space="preserve">teniendo en cuenta aspectos </w:t>
      </w:r>
      <w:r w:rsidR="00931198">
        <w:rPr>
          <w:rFonts w:ascii="Bookman Old Style" w:hAnsi="Bookman Old Style" w:cs="Arial"/>
          <w:bCs/>
          <w:color w:val="000000"/>
          <w:lang w:val="es-ES"/>
        </w:rPr>
        <w:t>específicos</w:t>
      </w:r>
      <w:r w:rsidR="00E461C4">
        <w:rPr>
          <w:rFonts w:ascii="Bookman Old Style" w:hAnsi="Bookman Old Style" w:cs="Arial"/>
          <w:bCs/>
          <w:color w:val="000000"/>
          <w:lang w:val="es-ES"/>
        </w:rPr>
        <w:t xml:space="preserve"> relacionados con </w:t>
      </w:r>
      <w:r w:rsidR="00B83E5E">
        <w:rPr>
          <w:rFonts w:ascii="Bookman Old Style" w:hAnsi="Bookman Old Style" w:cs="Arial"/>
          <w:bCs/>
          <w:color w:val="000000"/>
          <w:lang w:val="es-ES"/>
        </w:rPr>
        <w:t xml:space="preserve">el valor de la </w:t>
      </w:r>
      <w:proofErr w:type="spellStart"/>
      <w:r w:rsidR="00B83E5E">
        <w:rPr>
          <w:rFonts w:ascii="Bookman Old Style" w:hAnsi="Bookman Old Style" w:cs="Arial"/>
          <w:bCs/>
          <w:color w:val="000000"/>
          <w:lang w:val="es-ES"/>
        </w:rPr>
        <w:t>TRM</w:t>
      </w:r>
      <w:proofErr w:type="spellEnd"/>
      <w:r w:rsidR="00B83E5E">
        <w:rPr>
          <w:rFonts w:ascii="Bookman Old Style" w:hAnsi="Bookman Old Style" w:cs="Arial"/>
          <w:bCs/>
          <w:color w:val="000000"/>
          <w:lang w:val="es-ES"/>
        </w:rPr>
        <w:t xml:space="preserve"> que se utilizó </w:t>
      </w:r>
      <w:r w:rsidR="004C211E">
        <w:rPr>
          <w:rFonts w:ascii="Bookman Old Style" w:hAnsi="Bookman Old Style" w:cs="Arial"/>
          <w:bCs/>
          <w:color w:val="000000"/>
          <w:lang w:val="es-ES"/>
        </w:rPr>
        <w:t>para el cambio de dólares a pesos,</w:t>
      </w:r>
      <w:r w:rsidR="00E461C4">
        <w:rPr>
          <w:rFonts w:ascii="Bookman Old Style" w:hAnsi="Bookman Old Style" w:cs="Arial"/>
          <w:bCs/>
          <w:color w:val="000000"/>
          <w:lang w:val="es-ES"/>
        </w:rPr>
        <w:t xml:space="preserve"> </w:t>
      </w:r>
      <w:r w:rsidR="00E461C4" w:rsidRPr="00683E10">
        <w:rPr>
          <w:rFonts w:ascii="Bookman Old Style" w:hAnsi="Bookman Old Style" w:cs="Arial"/>
          <w:bCs/>
          <w:color w:val="000000"/>
          <w:lang w:val="es-ES"/>
        </w:rPr>
        <w:t>las variaciones en la tasa de cambio</w:t>
      </w:r>
      <w:r w:rsidR="00E461C4">
        <w:rPr>
          <w:rFonts w:ascii="Bookman Old Style" w:hAnsi="Bookman Old Style" w:cs="Arial"/>
          <w:bCs/>
          <w:color w:val="000000"/>
          <w:lang w:val="es-ES"/>
        </w:rPr>
        <w:t xml:space="preserve">, </w:t>
      </w:r>
      <w:r w:rsidR="00DE7F55">
        <w:rPr>
          <w:rFonts w:ascii="Bookman Old Style" w:hAnsi="Bookman Old Style" w:cs="Arial"/>
          <w:bCs/>
          <w:color w:val="000000"/>
          <w:lang w:val="es-ES"/>
        </w:rPr>
        <w:t>los activos que no han completado un primer periodo de vida útil normativa</w:t>
      </w:r>
      <w:r w:rsidR="00E461C4">
        <w:rPr>
          <w:rFonts w:ascii="Bookman Old Style" w:hAnsi="Bookman Old Style" w:cs="Arial"/>
          <w:bCs/>
          <w:color w:val="000000"/>
          <w:lang w:val="es-ES"/>
        </w:rPr>
        <w:t xml:space="preserve"> y las dificultades </w:t>
      </w:r>
      <w:r w:rsidR="00BD3533">
        <w:rPr>
          <w:rFonts w:ascii="Bookman Old Style" w:hAnsi="Bookman Old Style" w:cs="Arial"/>
          <w:bCs/>
          <w:color w:val="000000"/>
          <w:lang w:val="es-ES"/>
        </w:rPr>
        <w:t>normales</w:t>
      </w:r>
      <w:r w:rsidR="00E461C4">
        <w:rPr>
          <w:rFonts w:ascii="Bookman Old Style" w:hAnsi="Bookman Old Style" w:cs="Arial"/>
          <w:bCs/>
          <w:color w:val="000000"/>
          <w:lang w:val="es-ES"/>
        </w:rPr>
        <w:t xml:space="preserve"> </w:t>
      </w:r>
      <w:r w:rsidR="00E37681">
        <w:rPr>
          <w:rFonts w:ascii="Bookman Old Style" w:hAnsi="Bookman Old Style" w:cs="Arial"/>
          <w:bCs/>
          <w:color w:val="000000"/>
          <w:lang w:val="es-ES"/>
        </w:rPr>
        <w:t>en el tiempo</w:t>
      </w:r>
      <w:r w:rsidR="00E461C4">
        <w:rPr>
          <w:rFonts w:ascii="Bookman Old Style" w:hAnsi="Bookman Old Style" w:cs="Arial"/>
          <w:bCs/>
          <w:color w:val="000000"/>
          <w:lang w:val="es-ES"/>
        </w:rPr>
        <w:t xml:space="preserve"> que se pueden presentar </w:t>
      </w:r>
      <w:r w:rsidR="00BC5399">
        <w:rPr>
          <w:rFonts w:ascii="Bookman Old Style" w:hAnsi="Bookman Old Style" w:cs="Arial"/>
          <w:bCs/>
          <w:color w:val="000000"/>
          <w:lang w:val="es-ES"/>
        </w:rPr>
        <w:t xml:space="preserve">si una empresa quiere </w:t>
      </w:r>
      <w:r w:rsidR="00E461C4" w:rsidRPr="00390248">
        <w:rPr>
          <w:rFonts w:ascii="Bookman Old Style" w:hAnsi="Bookman Old Style" w:cs="Arial"/>
          <w:bCs/>
          <w:color w:val="000000"/>
          <w:lang w:val="es-ES"/>
        </w:rPr>
        <w:t xml:space="preserve">refinanciar la deuda </w:t>
      </w:r>
      <w:r w:rsidR="004E3677">
        <w:rPr>
          <w:rFonts w:ascii="Bookman Old Style" w:hAnsi="Bookman Old Style" w:cs="Arial"/>
          <w:bCs/>
          <w:color w:val="000000"/>
          <w:lang w:val="es-ES"/>
        </w:rPr>
        <w:t>en dólares</w:t>
      </w:r>
      <w:r w:rsidR="00BC5399">
        <w:rPr>
          <w:rFonts w:ascii="Bookman Old Style" w:hAnsi="Bookman Old Style" w:cs="Arial"/>
          <w:bCs/>
          <w:color w:val="000000"/>
          <w:lang w:val="es-ES"/>
        </w:rPr>
        <w:t xml:space="preserve"> a pesos</w:t>
      </w:r>
      <w:r w:rsidR="00E512FD">
        <w:rPr>
          <w:rFonts w:ascii="Bookman Old Style" w:hAnsi="Bookman Old Style" w:cs="Arial"/>
          <w:bCs/>
          <w:color w:val="000000"/>
          <w:lang w:val="es-ES"/>
        </w:rPr>
        <w:t xml:space="preserve"> o acudir a algún mecanismo de cobertura</w:t>
      </w:r>
      <w:r w:rsidR="000369C4">
        <w:rPr>
          <w:rFonts w:ascii="Bookman Old Style" w:hAnsi="Bookman Old Style" w:cs="Arial"/>
          <w:bCs/>
          <w:color w:val="000000"/>
          <w:lang w:val="es-ES"/>
        </w:rPr>
        <w:t xml:space="preserve">. </w:t>
      </w:r>
    </w:p>
    <w:p w14:paraId="12A192DF" w14:textId="77777777" w:rsidR="00C22C34" w:rsidRDefault="00C22C34" w:rsidP="00F74C2A">
      <w:pPr>
        <w:jc w:val="both"/>
        <w:rPr>
          <w:rFonts w:ascii="Bookman Old Style" w:hAnsi="Bookman Old Style" w:cs="Arial"/>
          <w:bCs/>
          <w:color w:val="000000"/>
          <w:lang w:val="es-ES"/>
        </w:rPr>
      </w:pPr>
    </w:p>
    <w:p w14:paraId="73BC175E" w14:textId="59F20BC6" w:rsidR="00E461C4" w:rsidRDefault="00C22C34" w:rsidP="00F74C2A">
      <w:pPr>
        <w:jc w:val="both"/>
        <w:rPr>
          <w:rFonts w:ascii="Bookman Old Style" w:hAnsi="Bookman Old Style" w:cs="Arial"/>
          <w:bCs/>
          <w:color w:val="000000"/>
          <w:lang w:val="es-ES"/>
        </w:rPr>
      </w:pPr>
      <w:r>
        <w:rPr>
          <w:rFonts w:ascii="Bookman Old Style" w:hAnsi="Bookman Old Style" w:cs="Arial"/>
          <w:bCs/>
          <w:color w:val="000000"/>
          <w:lang w:val="es-ES"/>
        </w:rPr>
        <w:t xml:space="preserve">Conforme a las anteriores </w:t>
      </w:r>
      <w:r w:rsidR="00AB434C">
        <w:rPr>
          <w:rFonts w:ascii="Bookman Old Style" w:hAnsi="Bookman Old Style" w:cs="Arial"/>
          <w:bCs/>
          <w:color w:val="000000"/>
          <w:lang w:val="es-ES"/>
        </w:rPr>
        <w:t>consideraciones</w:t>
      </w:r>
      <w:r w:rsidR="00882236">
        <w:rPr>
          <w:rFonts w:ascii="Bookman Old Style" w:hAnsi="Bookman Old Style" w:cs="Arial"/>
          <w:bCs/>
          <w:color w:val="000000"/>
          <w:lang w:val="es-ES"/>
        </w:rPr>
        <w:t>,</w:t>
      </w:r>
      <w:r w:rsidR="00AB434C">
        <w:rPr>
          <w:rFonts w:ascii="Bookman Old Style" w:hAnsi="Bookman Old Style" w:cs="Arial"/>
          <w:bCs/>
          <w:color w:val="000000"/>
          <w:lang w:val="es-ES"/>
        </w:rPr>
        <w:t xml:space="preserve"> regulatoriamente se encuentra válida una motivación</w:t>
      </w:r>
      <w:r w:rsidR="000515F5">
        <w:rPr>
          <w:rFonts w:ascii="Bookman Old Style" w:hAnsi="Bookman Old Style" w:cs="Arial"/>
          <w:bCs/>
          <w:color w:val="000000"/>
          <w:lang w:val="es-ES"/>
        </w:rPr>
        <w:t xml:space="preserve"> </w:t>
      </w:r>
      <w:r w:rsidR="00680092">
        <w:rPr>
          <w:rFonts w:ascii="Bookman Old Style" w:hAnsi="Bookman Old Style" w:cs="Arial"/>
          <w:bCs/>
          <w:color w:val="000000"/>
          <w:lang w:val="es-ES"/>
        </w:rPr>
        <w:t xml:space="preserve">para incluir un cubrimiento eficiente </w:t>
      </w:r>
      <w:r w:rsidR="00EA2218">
        <w:rPr>
          <w:rFonts w:ascii="Bookman Old Style" w:hAnsi="Bookman Old Style" w:cs="Arial"/>
          <w:bCs/>
          <w:color w:val="000000"/>
          <w:lang w:val="es-ES"/>
        </w:rPr>
        <w:t xml:space="preserve">dentro de los </w:t>
      </w:r>
      <w:r w:rsidR="00292BC2">
        <w:rPr>
          <w:rFonts w:ascii="Bookman Old Style" w:hAnsi="Bookman Old Style" w:cs="Arial"/>
          <w:bCs/>
          <w:color w:val="000000"/>
          <w:lang w:val="es-ES"/>
        </w:rPr>
        <w:t>cargos</w:t>
      </w:r>
      <w:r w:rsidR="002107B4">
        <w:rPr>
          <w:rFonts w:ascii="Bookman Old Style" w:hAnsi="Bookman Old Style" w:cs="Arial"/>
          <w:bCs/>
          <w:color w:val="000000"/>
          <w:lang w:val="es-ES"/>
        </w:rPr>
        <w:t xml:space="preserve"> fijos</w:t>
      </w:r>
      <w:r w:rsidR="00EA2218">
        <w:rPr>
          <w:rFonts w:ascii="Bookman Old Style" w:hAnsi="Bookman Old Style" w:cs="Arial"/>
          <w:bCs/>
          <w:color w:val="000000"/>
          <w:lang w:val="es-ES"/>
        </w:rPr>
        <w:t xml:space="preserve"> de </w:t>
      </w:r>
      <w:proofErr w:type="spellStart"/>
      <w:r w:rsidR="00EA2218">
        <w:rPr>
          <w:rFonts w:ascii="Bookman Old Style" w:hAnsi="Bookman Old Style" w:cs="Arial"/>
          <w:bCs/>
          <w:color w:val="000000"/>
          <w:lang w:val="es-ES"/>
        </w:rPr>
        <w:t>AOM</w:t>
      </w:r>
      <w:proofErr w:type="spellEnd"/>
      <w:r w:rsidR="00EA2218">
        <w:rPr>
          <w:rFonts w:ascii="Bookman Old Style" w:hAnsi="Bookman Old Style" w:cs="Arial"/>
          <w:bCs/>
          <w:color w:val="000000"/>
          <w:lang w:val="es-ES"/>
        </w:rPr>
        <w:t xml:space="preserve"> </w:t>
      </w:r>
      <w:r w:rsidR="00A063C2">
        <w:rPr>
          <w:rFonts w:ascii="Bookman Old Style" w:hAnsi="Bookman Old Style" w:cs="Arial"/>
          <w:bCs/>
          <w:color w:val="000000"/>
          <w:lang w:val="es-ES"/>
        </w:rPr>
        <w:t>solamente por cinco años</w:t>
      </w:r>
      <w:r w:rsidR="000515F5">
        <w:rPr>
          <w:rFonts w:ascii="Bookman Old Style" w:hAnsi="Bookman Old Style" w:cs="Arial"/>
          <w:bCs/>
          <w:color w:val="000000"/>
          <w:lang w:val="es-ES"/>
        </w:rPr>
        <w:t xml:space="preserve"> </w:t>
      </w:r>
      <w:r w:rsidR="00571C4B">
        <w:rPr>
          <w:rFonts w:ascii="Bookman Old Style" w:hAnsi="Bookman Old Style" w:cs="Arial"/>
          <w:bCs/>
          <w:color w:val="000000"/>
          <w:lang w:val="es-ES"/>
        </w:rPr>
        <w:t xml:space="preserve">y </w:t>
      </w:r>
      <w:r w:rsidR="000515F5">
        <w:rPr>
          <w:rFonts w:ascii="Bookman Old Style" w:hAnsi="Bookman Old Style" w:cs="Arial"/>
          <w:bCs/>
          <w:color w:val="000000"/>
          <w:lang w:val="es-ES"/>
        </w:rPr>
        <w:t xml:space="preserve">limitado </w:t>
      </w:r>
      <w:r w:rsidR="00C365EA">
        <w:rPr>
          <w:rFonts w:ascii="Bookman Old Style" w:hAnsi="Bookman Old Style" w:cs="Arial"/>
          <w:bCs/>
          <w:color w:val="000000"/>
          <w:lang w:val="es-ES"/>
        </w:rPr>
        <w:t>a</w:t>
      </w:r>
      <w:r w:rsidR="002634D9">
        <w:rPr>
          <w:rFonts w:ascii="Bookman Old Style" w:hAnsi="Bookman Old Style" w:cs="Arial"/>
          <w:bCs/>
          <w:color w:val="000000"/>
          <w:lang w:val="es-ES"/>
        </w:rPr>
        <w:t xml:space="preserve">: </w:t>
      </w:r>
      <w:r w:rsidR="00511AC4">
        <w:rPr>
          <w:rFonts w:ascii="Bookman Old Style" w:hAnsi="Bookman Old Style" w:cs="Arial"/>
          <w:bCs/>
          <w:color w:val="000000"/>
          <w:lang w:val="es-ES"/>
        </w:rPr>
        <w:t>(i)</w:t>
      </w:r>
      <w:r w:rsidR="000515F5">
        <w:rPr>
          <w:rFonts w:ascii="Bookman Old Style" w:hAnsi="Bookman Old Style" w:cs="Arial"/>
          <w:bCs/>
          <w:color w:val="000000"/>
          <w:lang w:val="es-ES"/>
        </w:rPr>
        <w:t xml:space="preserve"> </w:t>
      </w:r>
      <w:r w:rsidR="002634D9">
        <w:rPr>
          <w:rFonts w:ascii="Bookman Old Style" w:hAnsi="Bookman Old Style" w:cs="Arial"/>
          <w:bCs/>
          <w:color w:val="000000"/>
          <w:lang w:val="es-ES"/>
        </w:rPr>
        <w:t>e</w:t>
      </w:r>
      <w:r w:rsidR="00A90D66">
        <w:rPr>
          <w:rFonts w:ascii="Bookman Old Style" w:hAnsi="Bookman Old Style" w:cs="Arial"/>
          <w:bCs/>
          <w:color w:val="000000"/>
          <w:lang w:val="es-ES"/>
        </w:rPr>
        <w:t xml:space="preserve">l valor de </w:t>
      </w:r>
      <w:r w:rsidR="000515F5">
        <w:rPr>
          <w:rFonts w:ascii="Bookman Old Style" w:hAnsi="Bookman Old Style" w:cs="Arial"/>
          <w:bCs/>
          <w:color w:val="000000"/>
          <w:lang w:val="es-ES"/>
        </w:rPr>
        <w:t>la</w:t>
      </w:r>
      <w:r w:rsidR="000515F5" w:rsidRPr="000515F5">
        <w:rPr>
          <w:rFonts w:ascii="Bookman Old Style" w:hAnsi="Bookman Old Style" w:cs="Arial"/>
          <w:bCs/>
          <w:color w:val="000000"/>
          <w:lang w:val="es-ES"/>
        </w:rPr>
        <w:t xml:space="preserve"> infraestructura que aún no ha terminado de cumplir un </w:t>
      </w:r>
      <w:r w:rsidR="00571C4B">
        <w:rPr>
          <w:rFonts w:ascii="Bookman Old Style" w:hAnsi="Bookman Old Style" w:cs="Arial"/>
          <w:bCs/>
          <w:color w:val="000000"/>
          <w:lang w:val="es-ES"/>
        </w:rPr>
        <w:t xml:space="preserve">primer </w:t>
      </w:r>
      <w:r w:rsidR="000515F5" w:rsidRPr="000515F5">
        <w:rPr>
          <w:rFonts w:ascii="Bookman Old Style" w:hAnsi="Bookman Old Style" w:cs="Arial"/>
          <w:bCs/>
          <w:color w:val="000000"/>
          <w:lang w:val="es-ES"/>
        </w:rPr>
        <w:t>periodo de vida útil normativ</w:t>
      </w:r>
      <w:r w:rsidR="00725095">
        <w:rPr>
          <w:rFonts w:ascii="Bookman Old Style" w:hAnsi="Bookman Old Style" w:cs="Arial"/>
          <w:bCs/>
          <w:color w:val="000000"/>
          <w:lang w:val="es-ES"/>
        </w:rPr>
        <w:t>a,</w:t>
      </w:r>
      <w:r w:rsidR="00511AC4">
        <w:rPr>
          <w:rFonts w:ascii="Bookman Old Style" w:hAnsi="Bookman Old Style" w:cs="Arial"/>
          <w:bCs/>
          <w:color w:val="000000"/>
          <w:lang w:val="es-ES"/>
        </w:rPr>
        <w:t xml:space="preserve"> (</w:t>
      </w:r>
      <w:proofErr w:type="spellStart"/>
      <w:r w:rsidR="00511AC4">
        <w:rPr>
          <w:rFonts w:ascii="Bookman Old Style" w:hAnsi="Bookman Old Style" w:cs="Arial"/>
          <w:bCs/>
          <w:color w:val="000000"/>
          <w:lang w:val="es-ES"/>
        </w:rPr>
        <w:t>ii</w:t>
      </w:r>
      <w:proofErr w:type="spellEnd"/>
      <w:r w:rsidR="00511AC4">
        <w:rPr>
          <w:rFonts w:ascii="Bookman Old Style" w:hAnsi="Bookman Old Style" w:cs="Arial"/>
          <w:bCs/>
          <w:color w:val="000000"/>
          <w:lang w:val="es-ES"/>
        </w:rPr>
        <w:t>)</w:t>
      </w:r>
      <w:r w:rsidR="00725095">
        <w:rPr>
          <w:rFonts w:ascii="Bookman Old Style" w:hAnsi="Bookman Old Style" w:cs="Arial"/>
          <w:bCs/>
          <w:color w:val="000000"/>
          <w:lang w:val="es-ES"/>
        </w:rPr>
        <w:t xml:space="preserve"> </w:t>
      </w:r>
      <w:r w:rsidR="00466B4C">
        <w:rPr>
          <w:rFonts w:ascii="Bookman Old Style" w:hAnsi="Bookman Old Style" w:cs="Arial"/>
          <w:bCs/>
          <w:color w:val="000000"/>
          <w:lang w:val="es-ES"/>
        </w:rPr>
        <w:t xml:space="preserve">una </w:t>
      </w:r>
      <w:r w:rsidR="00CD1BDF" w:rsidRPr="00CD1BDF">
        <w:rPr>
          <w:rFonts w:ascii="Bookman Old Style" w:hAnsi="Bookman Old Style" w:cs="Arial"/>
          <w:bCs/>
          <w:color w:val="000000"/>
          <w:lang w:val="es-ES"/>
        </w:rPr>
        <w:t>estructura de capital eficiente</w:t>
      </w:r>
      <w:r w:rsidR="00511AC4">
        <w:rPr>
          <w:rFonts w:ascii="Bookman Old Style" w:hAnsi="Bookman Old Style" w:cs="Arial"/>
          <w:bCs/>
          <w:color w:val="000000"/>
          <w:lang w:val="es-ES"/>
        </w:rPr>
        <w:t>,</w:t>
      </w:r>
      <w:r w:rsidR="00CD1BDF" w:rsidRPr="00CD1BDF">
        <w:rPr>
          <w:rFonts w:ascii="Bookman Old Style" w:hAnsi="Bookman Old Style" w:cs="Arial"/>
          <w:bCs/>
          <w:color w:val="000000"/>
          <w:lang w:val="es-ES"/>
        </w:rPr>
        <w:t xml:space="preserve"> </w:t>
      </w:r>
      <w:r w:rsidR="00511AC4">
        <w:rPr>
          <w:rFonts w:ascii="Bookman Old Style" w:hAnsi="Bookman Old Style" w:cs="Arial"/>
          <w:bCs/>
          <w:color w:val="000000"/>
          <w:lang w:val="es-ES"/>
        </w:rPr>
        <w:t>(</w:t>
      </w:r>
      <w:proofErr w:type="spellStart"/>
      <w:r w:rsidR="00511AC4">
        <w:rPr>
          <w:rFonts w:ascii="Bookman Old Style" w:hAnsi="Bookman Old Style" w:cs="Arial"/>
          <w:bCs/>
          <w:color w:val="000000"/>
          <w:lang w:val="es-ES"/>
        </w:rPr>
        <w:t>iii</w:t>
      </w:r>
      <w:proofErr w:type="spellEnd"/>
      <w:r w:rsidR="00511AC4">
        <w:rPr>
          <w:rFonts w:ascii="Bookman Old Style" w:hAnsi="Bookman Old Style" w:cs="Arial"/>
          <w:bCs/>
          <w:color w:val="000000"/>
          <w:lang w:val="es-ES"/>
        </w:rPr>
        <w:t xml:space="preserve">) </w:t>
      </w:r>
      <w:r w:rsidR="00466B4C">
        <w:rPr>
          <w:rFonts w:ascii="Bookman Old Style" w:hAnsi="Bookman Old Style" w:cs="Arial"/>
          <w:bCs/>
          <w:color w:val="000000"/>
          <w:lang w:val="es-ES"/>
        </w:rPr>
        <w:t xml:space="preserve">una señal de expectativas de devaluación en el </w:t>
      </w:r>
      <w:r w:rsidR="00FF18C8">
        <w:rPr>
          <w:rFonts w:ascii="Bookman Old Style" w:hAnsi="Bookman Old Style" w:cs="Arial"/>
          <w:bCs/>
          <w:color w:val="000000"/>
          <w:lang w:val="es-ES"/>
        </w:rPr>
        <w:t xml:space="preserve">mediano y </w:t>
      </w:r>
      <w:r w:rsidR="00466B4C">
        <w:rPr>
          <w:rFonts w:ascii="Bookman Old Style" w:hAnsi="Bookman Old Style" w:cs="Arial"/>
          <w:bCs/>
          <w:color w:val="000000"/>
          <w:lang w:val="es-ES"/>
        </w:rPr>
        <w:t>largo plazo</w:t>
      </w:r>
      <w:r w:rsidR="00511AC4">
        <w:rPr>
          <w:rFonts w:ascii="Bookman Old Style" w:hAnsi="Bookman Old Style" w:cs="Arial"/>
          <w:bCs/>
          <w:color w:val="000000"/>
          <w:lang w:val="es-ES"/>
        </w:rPr>
        <w:t>, y, (</w:t>
      </w:r>
      <w:proofErr w:type="spellStart"/>
      <w:r w:rsidR="00A90D66">
        <w:rPr>
          <w:rFonts w:ascii="Bookman Old Style" w:hAnsi="Bookman Old Style" w:cs="Arial"/>
          <w:bCs/>
          <w:color w:val="000000"/>
          <w:lang w:val="es-ES"/>
        </w:rPr>
        <w:t>iv</w:t>
      </w:r>
      <w:proofErr w:type="spellEnd"/>
      <w:r w:rsidR="00A90D66">
        <w:rPr>
          <w:rFonts w:ascii="Bookman Old Style" w:hAnsi="Bookman Old Style" w:cs="Arial"/>
          <w:bCs/>
          <w:color w:val="000000"/>
          <w:lang w:val="es-ES"/>
        </w:rPr>
        <w:t xml:space="preserve">) una senda decreciente de cubrimiento, de manera que </w:t>
      </w:r>
      <w:r w:rsidR="00126942">
        <w:rPr>
          <w:rFonts w:ascii="Bookman Old Style" w:hAnsi="Bookman Old Style" w:cs="Arial"/>
          <w:bCs/>
          <w:color w:val="000000"/>
          <w:lang w:val="es-ES"/>
        </w:rPr>
        <w:t>el valor que se determine se comparta entre la empresa y el usuario.</w:t>
      </w:r>
    </w:p>
    <w:p w14:paraId="20087823" w14:textId="77777777" w:rsidR="00D4087A" w:rsidRDefault="00D4087A" w:rsidP="00F74C2A">
      <w:pPr>
        <w:jc w:val="both"/>
        <w:rPr>
          <w:rFonts w:ascii="Bookman Old Style" w:hAnsi="Bookman Old Style" w:cs="Arial"/>
          <w:bCs/>
          <w:color w:val="000000"/>
          <w:lang w:val="es-ES"/>
        </w:rPr>
      </w:pPr>
    </w:p>
    <w:p w14:paraId="48C5B6B2" w14:textId="2830492E" w:rsidR="00D4087A" w:rsidRDefault="00466B4C" w:rsidP="00F74C2A">
      <w:pPr>
        <w:jc w:val="both"/>
        <w:rPr>
          <w:rFonts w:ascii="Bookman Old Style" w:hAnsi="Bookman Old Style" w:cs="Arial"/>
          <w:bCs/>
          <w:color w:val="000000"/>
          <w:lang w:val="es-ES"/>
        </w:rPr>
      </w:pPr>
      <w:r>
        <w:rPr>
          <w:rFonts w:ascii="Bookman Old Style" w:hAnsi="Bookman Old Style" w:cs="Arial"/>
          <w:bCs/>
          <w:color w:val="000000"/>
          <w:lang w:val="es-ES"/>
        </w:rPr>
        <w:t xml:space="preserve">Resulta pertinente señalar que con lo anterior la Comisión no encuentra correcto </w:t>
      </w:r>
      <w:r w:rsidR="00847E4E">
        <w:rPr>
          <w:rFonts w:ascii="Bookman Old Style" w:hAnsi="Bookman Old Style" w:cs="Arial"/>
          <w:bCs/>
          <w:color w:val="000000"/>
          <w:lang w:val="es-ES"/>
        </w:rPr>
        <w:t xml:space="preserve">y en consecuencia procedente </w:t>
      </w:r>
      <w:r>
        <w:rPr>
          <w:rFonts w:ascii="Bookman Old Style" w:hAnsi="Bookman Old Style" w:cs="Arial"/>
          <w:bCs/>
          <w:color w:val="000000"/>
          <w:lang w:val="es-ES"/>
        </w:rPr>
        <w:t>replicar algún tipo de cubrimiento que alguna empresa haya realizado</w:t>
      </w:r>
      <w:r w:rsidR="00847E4E">
        <w:rPr>
          <w:rFonts w:ascii="Bookman Old Style" w:hAnsi="Bookman Old Style" w:cs="Arial"/>
          <w:bCs/>
          <w:color w:val="000000"/>
          <w:lang w:val="es-ES"/>
        </w:rPr>
        <w:t xml:space="preserve"> o esté enfrentando</w:t>
      </w:r>
      <w:r w:rsidR="00E93C5C">
        <w:rPr>
          <w:rFonts w:ascii="Bookman Old Style" w:hAnsi="Bookman Old Style" w:cs="Arial"/>
          <w:bCs/>
          <w:color w:val="000000"/>
          <w:lang w:val="es-ES"/>
        </w:rPr>
        <w:t>.</w:t>
      </w:r>
      <w:r w:rsidR="00B21B52">
        <w:rPr>
          <w:rFonts w:ascii="Bookman Old Style" w:hAnsi="Bookman Old Style" w:cs="Arial"/>
          <w:bCs/>
          <w:color w:val="000000"/>
          <w:lang w:val="es-ES"/>
        </w:rPr>
        <w:t xml:space="preserve"> Esto es del resorte </w:t>
      </w:r>
      <w:r w:rsidR="00BC621F">
        <w:rPr>
          <w:rFonts w:ascii="Bookman Old Style" w:hAnsi="Bookman Old Style" w:cs="Arial"/>
          <w:bCs/>
          <w:color w:val="000000"/>
          <w:lang w:val="es-ES"/>
        </w:rPr>
        <w:t>de el</w:t>
      </w:r>
      <w:r w:rsidR="00747962">
        <w:rPr>
          <w:rFonts w:ascii="Bookman Old Style" w:hAnsi="Bookman Old Style" w:cs="Arial"/>
          <w:bCs/>
          <w:color w:val="000000"/>
          <w:lang w:val="es-ES"/>
        </w:rPr>
        <w:t xml:space="preserve">las y los </w:t>
      </w:r>
      <w:r w:rsidR="00D547CA">
        <w:rPr>
          <w:rFonts w:ascii="Bookman Old Style" w:hAnsi="Bookman Old Style" w:cs="Arial"/>
          <w:bCs/>
          <w:color w:val="000000"/>
          <w:lang w:val="es-ES"/>
        </w:rPr>
        <w:t>usuarios no pueden</w:t>
      </w:r>
      <w:r w:rsidR="00377862">
        <w:rPr>
          <w:rFonts w:ascii="Bookman Old Style" w:hAnsi="Bookman Old Style" w:cs="Arial"/>
          <w:bCs/>
          <w:color w:val="000000"/>
          <w:lang w:val="es-ES"/>
        </w:rPr>
        <w:t xml:space="preserve"> en las tarifas asumir las decisiones que ellas toman</w:t>
      </w:r>
      <w:r>
        <w:rPr>
          <w:rFonts w:ascii="Bookman Old Style" w:hAnsi="Bookman Old Style" w:cs="Arial"/>
          <w:bCs/>
          <w:color w:val="000000"/>
          <w:lang w:val="es-ES"/>
        </w:rPr>
        <w:t xml:space="preserve"> </w:t>
      </w:r>
      <w:r w:rsidR="00CE348D">
        <w:rPr>
          <w:rFonts w:ascii="Bookman Old Style" w:hAnsi="Bookman Old Style" w:cs="Arial"/>
          <w:bCs/>
          <w:color w:val="000000"/>
          <w:lang w:val="es-ES"/>
        </w:rPr>
        <w:t xml:space="preserve">libremente </w:t>
      </w:r>
      <w:r w:rsidR="00B66BC8">
        <w:rPr>
          <w:rFonts w:ascii="Bookman Old Style" w:hAnsi="Bookman Old Style" w:cs="Arial"/>
          <w:bCs/>
          <w:color w:val="000000"/>
          <w:lang w:val="es-ES"/>
        </w:rPr>
        <w:t>en materia de financiamiento</w:t>
      </w:r>
      <w:r w:rsidR="00CE348D">
        <w:rPr>
          <w:rFonts w:ascii="Bookman Old Style" w:hAnsi="Bookman Old Style" w:cs="Arial"/>
          <w:bCs/>
          <w:color w:val="000000"/>
          <w:lang w:val="es-ES"/>
        </w:rPr>
        <w:t xml:space="preserve"> y de cubrimiento.</w:t>
      </w:r>
    </w:p>
    <w:p w14:paraId="0FFC9202" w14:textId="77777777" w:rsidR="00587D63" w:rsidRDefault="00587D63" w:rsidP="00F74C2A">
      <w:pPr>
        <w:jc w:val="both"/>
        <w:rPr>
          <w:rFonts w:ascii="Bookman Old Style" w:hAnsi="Bookman Old Style" w:cs="Arial"/>
          <w:bCs/>
          <w:color w:val="000000"/>
          <w:lang w:val="es-ES"/>
        </w:rPr>
      </w:pPr>
    </w:p>
    <w:p w14:paraId="1E291293" w14:textId="6D16541F" w:rsidR="002D7AE1" w:rsidRDefault="009D74E7" w:rsidP="00300E76">
      <w:pPr>
        <w:contextualSpacing/>
        <w:jc w:val="both"/>
        <w:rPr>
          <w:rFonts w:ascii="Bookman Old Style" w:hAnsi="Bookman Old Style" w:cs="Arial"/>
          <w:bCs/>
          <w:color w:val="000000"/>
          <w:lang w:val="es-ES" w:eastAsia="es-ES"/>
        </w:rPr>
      </w:pPr>
      <w:r w:rsidRPr="003811B4">
        <w:rPr>
          <w:rFonts w:ascii="Bookman Old Style" w:hAnsi="Bookman Old Style" w:cs="Arial"/>
          <w:color w:val="000000"/>
          <w:lang w:val="es-ES"/>
        </w:rPr>
        <w:t xml:space="preserve">En este sentido, se considera válido y procedente ajustar la propuesta inicial de la Resolución </w:t>
      </w:r>
      <w:proofErr w:type="spellStart"/>
      <w:r w:rsidRPr="003811B4">
        <w:rPr>
          <w:rFonts w:ascii="Bookman Old Style" w:hAnsi="Bookman Old Style" w:cs="Arial"/>
          <w:color w:val="000000"/>
          <w:lang w:val="es-ES"/>
        </w:rPr>
        <w:t>CREG</w:t>
      </w:r>
      <w:proofErr w:type="spellEnd"/>
      <w:r w:rsidRPr="003811B4">
        <w:rPr>
          <w:rFonts w:ascii="Bookman Old Style" w:hAnsi="Bookman Old Style" w:cs="Arial"/>
          <w:color w:val="000000"/>
          <w:lang w:val="es-ES"/>
        </w:rPr>
        <w:t xml:space="preserve"> 702 009 de 2022 y como parte del proceso de consulta incorporar los siguientes elementos:</w:t>
      </w:r>
    </w:p>
    <w:p w14:paraId="259DB1FB" w14:textId="77777777" w:rsidR="002D7AE1" w:rsidRDefault="002D7AE1" w:rsidP="00300E76">
      <w:pPr>
        <w:contextualSpacing/>
        <w:jc w:val="both"/>
        <w:rPr>
          <w:rFonts w:ascii="Bookman Old Style" w:hAnsi="Bookman Old Style" w:cs="Arial"/>
          <w:bCs/>
          <w:color w:val="000000"/>
          <w:lang w:val="es-ES" w:eastAsia="es-ES"/>
        </w:rPr>
      </w:pPr>
    </w:p>
    <w:p w14:paraId="6C89661C" w14:textId="53FD0C46" w:rsidR="00950D74" w:rsidRPr="003811B4" w:rsidRDefault="00950D74" w:rsidP="00ED51E6">
      <w:pPr>
        <w:pStyle w:val="Prrafodelista"/>
        <w:numPr>
          <w:ilvl w:val="0"/>
          <w:numId w:val="51"/>
        </w:numPr>
        <w:ind w:left="799"/>
        <w:contextualSpacing/>
        <w:rPr>
          <w:rFonts w:cs="Arial"/>
          <w:color w:val="000000"/>
          <w:szCs w:val="24"/>
          <w:lang w:val="es-ES" w:eastAsia="es-ES_tradnl"/>
        </w:rPr>
      </w:pPr>
      <w:r w:rsidRPr="003811B4">
        <w:rPr>
          <w:rFonts w:cs="Arial"/>
          <w:color w:val="000000"/>
          <w:szCs w:val="24"/>
          <w:lang w:val="es-ES" w:eastAsia="es-ES_tradnl"/>
        </w:rPr>
        <w:t xml:space="preserve">En relación con </w:t>
      </w:r>
      <w:r w:rsidR="00524E26" w:rsidRPr="003811B4">
        <w:rPr>
          <w:rFonts w:cs="Arial"/>
          <w:color w:val="000000"/>
          <w:szCs w:val="24"/>
          <w:lang w:val="es-ES" w:eastAsia="es-ES_tradnl"/>
        </w:rPr>
        <w:t xml:space="preserve">el horizonte de proyección </w:t>
      </w:r>
      <w:r w:rsidR="00C40021" w:rsidRPr="003811B4">
        <w:rPr>
          <w:rFonts w:cs="Arial"/>
          <w:color w:val="000000"/>
          <w:szCs w:val="24"/>
          <w:lang w:val="es-ES" w:eastAsia="es-ES_tradnl"/>
        </w:rPr>
        <w:t xml:space="preserve">de las demandas que debe ser tenido en cuenta a la hora </w:t>
      </w:r>
      <w:r w:rsidR="00035854" w:rsidRPr="003811B4">
        <w:rPr>
          <w:rFonts w:cs="Arial"/>
          <w:color w:val="000000"/>
          <w:szCs w:val="24"/>
          <w:lang w:val="es-ES" w:eastAsia="es-ES_tradnl"/>
        </w:rPr>
        <w:t>de</w:t>
      </w:r>
      <w:r w:rsidR="00C40021" w:rsidRPr="003811B4">
        <w:rPr>
          <w:rFonts w:cs="Arial"/>
          <w:color w:val="000000"/>
          <w:szCs w:val="24"/>
          <w:lang w:val="es-ES" w:eastAsia="es-ES_tradnl"/>
        </w:rPr>
        <w:t xml:space="preserve"> calcular el </w:t>
      </w:r>
      <w:r w:rsidR="00035854" w:rsidRPr="003811B4">
        <w:rPr>
          <w:rFonts w:cs="Arial"/>
          <w:color w:val="000000"/>
          <w:szCs w:val="24"/>
          <w:lang w:val="es-ES" w:eastAsia="es-ES_tradnl"/>
        </w:rPr>
        <w:t>cubrimiento</w:t>
      </w:r>
      <w:r w:rsidR="00EA7CC5" w:rsidRPr="003811B4">
        <w:rPr>
          <w:rFonts w:cs="Arial"/>
          <w:color w:val="000000"/>
          <w:szCs w:val="24"/>
          <w:lang w:val="es-ES" w:eastAsia="es-ES_tradnl"/>
        </w:rPr>
        <w:t xml:space="preserve"> eficiente</w:t>
      </w:r>
      <w:r w:rsidR="00C40021" w:rsidRPr="003811B4">
        <w:rPr>
          <w:rFonts w:cs="Arial"/>
          <w:color w:val="000000"/>
          <w:szCs w:val="24"/>
          <w:lang w:val="es-ES" w:eastAsia="es-ES_tradnl"/>
        </w:rPr>
        <w:t xml:space="preserve">, </w:t>
      </w:r>
      <w:r w:rsidRPr="003811B4">
        <w:rPr>
          <w:rFonts w:cs="Arial"/>
          <w:color w:val="000000"/>
          <w:szCs w:val="24"/>
          <w:lang w:val="es-ES" w:eastAsia="es-ES_tradnl"/>
        </w:rPr>
        <w:t xml:space="preserve">se realiza </w:t>
      </w:r>
      <w:r w:rsidR="00EA7CC5" w:rsidRPr="003811B4">
        <w:rPr>
          <w:rFonts w:cs="Arial"/>
          <w:color w:val="000000"/>
          <w:szCs w:val="24"/>
          <w:lang w:val="es-ES" w:eastAsia="es-ES_tradnl"/>
        </w:rPr>
        <w:t xml:space="preserve">un </w:t>
      </w:r>
      <w:r w:rsidRPr="003811B4">
        <w:rPr>
          <w:rFonts w:cs="Arial"/>
          <w:color w:val="000000"/>
          <w:szCs w:val="24"/>
          <w:lang w:val="es-ES" w:eastAsia="es-ES_tradnl"/>
        </w:rPr>
        <w:t xml:space="preserve">ajuste para que concuerde </w:t>
      </w:r>
      <w:r w:rsidRPr="003811B4" w:rsidDel="00D74896">
        <w:rPr>
          <w:rFonts w:cs="Arial"/>
          <w:color w:val="000000"/>
          <w:szCs w:val="24"/>
          <w:lang w:val="es-ES" w:eastAsia="es-ES_tradnl"/>
        </w:rPr>
        <w:t xml:space="preserve">con el período de aplicación de </w:t>
      </w:r>
      <w:r w:rsidR="00967CD3" w:rsidRPr="003811B4">
        <w:rPr>
          <w:rFonts w:cs="Arial"/>
          <w:color w:val="000000"/>
          <w:szCs w:val="24"/>
          <w:lang w:val="es-ES" w:eastAsia="es-ES_tradnl"/>
        </w:rPr>
        <w:t>este concepto en cinco años</w:t>
      </w:r>
      <w:r w:rsidRPr="003811B4">
        <w:rPr>
          <w:rFonts w:cs="Arial"/>
          <w:color w:val="000000"/>
          <w:szCs w:val="24"/>
          <w:lang w:val="es-ES" w:eastAsia="es-ES_tradnl"/>
        </w:rPr>
        <w:t>.</w:t>
      </w:r>
    </w:p>
    <w:p w14:paraId="0B732ED8" w14:textId="77777777" w:rsidR="00195805" w:rsidRPr="003811B4" w:rsidRDefault="00195805" w:rsidP="00592F75">
      <w:pPr>
        <w:pStyle w:val="NormalWeb"/>
        <w:spacing w:before="0" w:beforeAutospacing="0" w:after="0" w:afterAutospacing="0" w:line="240" w:lineRule="auto"/>
        <w:contextualSpacing/>
        <w:rPr>
          <w:rFonts w:cs="Arial"/>
          <w:color w:val="000000"/>
          <w:lang w:eastAsia="es-ES_tradnl"/>
        </w:rPr>
      </w:pPr>
    </w:p>
    <w:p w14:paraId="0002611A" w14:textId="73B8F487" w:rsidR="00A74831" w:rsidRPr="003811B4" w:rsidRDefault="00035854" w:rsidP="00592F75">
      <w:pPr>
        <w:pStyle w:val="Prrafodelista"/>
        <w:numPr>
          <w:ilvl w:val="0"/>
          <w:numId w:val="51"/>
        </w:numPr>
        <w:ind w:left="799"/>
        <w:contextualSpacing/>
        <w:rPr>
          <w:rFonts w:cs="Arial"/>
          <w:color w:val="000000"/>
          <w:szCs w:val="24"/>
          <w:lang w:val="es-ES" w:eastAsia="es-ES_tradnl"/>
        </w:rPr>
      </w:pPr>
      <w:r w:rsidRPr="003811B4">
        <w:rPr>
          <w:rFonts w:cs="Arial"/>
          <w:color w:val="000000"/>
        </w:rPr>
        <w:lastRenderedPageBreak/>
        <w:t>E</w:t>
      </w:r>
      <w:r w:rsidR="00854E3E" w:rsidRPr="003811B4">
        <w:rPr>
          <w:rFonts w:cs="Arial"/>
          <w:color w:val="000000"/>
        </w:rPr>
        <w:t>n</w:t>
      </w:r>
      <w:r w:rsidR="00854E3E" w:rsidRPr="003811B4">
        <w:rPr>
          <w:rFonts w:cs="Arial"/>
          <w:color w:val="000000"/>
          <w:szCs w:val="24"/>
          <w:lang w:val="es-ES" w:eastAsia="es-ES_tradnl"/>
        </w:rPr>
        <w:t xml:space="preserve"> relación con las inversiones </w:t>
      </w:r>
      <w:r w:rsidR="00854E3E" w:rsidRPr="003811B4">
        <w:rPr>
          <w:rFonts w:cs="Arial"/>
          <w:color w:val="000000"/>
        </w:rPr>
        <w:t>realizada</w:t>
      </w:r>
      <w:r w:rsidRPr="003811B4">
        <w:rPr>
          <w:rFonts w:cs="Arial"/>
          <w:color w:val="000000"/>
          <w:szCs w:val="24"/>
          <w:lang w:val="es-ES" w:eastAsia="es-ES_tradnl"/>
        </w:rPr>
        <w:t>s</w:t>
      </w:r>
      <w:r w:rsidR="00854E3E" w:rsidRPr="003811B4">
        <w:rPr>
          <w:rFonts w:cs="Arial"/>
          <w:color w:val="000000"/>
        </w:rPr>
        <w:t xml:space="preserve"> </w:t>
      </w:r>
      <w:r w:rsidR="009B41AC" w:rsidRPr="003811B4">
        <w:rPr>
          <w:rFonts w:cs="Arial"/>
          <w:color w:val="000000"/>
        </w:rPr>
        <w:t xml:space="preserve">y que no </w:t>
      </w:r>
      <w:r w:rsidR="00593D48" w:rsidRPr="003811B4">
        <w:rPr>
          <w:rFonts w:cs="Arial"/>
          <w:color w:val="000000"/>
        </w:rPr>
        <w:t>se</w:t>
      </w:r>
      <w:r w:rsidR="009B41AC" w:rsidRPr="003811B4">
        <w:rPr>
          <w:rFonts w:cs="Arial"/>
          <w:color w:val="000000"/>
        </w:rPr>
        <w:t xml:space="preserve"> </w:t>
      </w:r>
      <w:r w:rsidR="00593D48" w:rsidRPr="003811B4">
        <w:rPr>
          <w:rFonts w:cs="Arial"/>
          <w:color w:val="000000"/>
        </w:rPr>
        <w:t>incorporaron</w:t>
      </w:r>
      <w:r w:rsidR="006567F4" w:rsidRPr="003811B4">
        <w:rPr>
          <w:rFonts w:cs="Arial"/>
          <w:color w:val="000000"/>
        </w:rPr>
        <w:t xml:space="preserve"> en los cargos tarifarios </w:t>
      </w:r>
      <w:r w:rsidR="0026279B" w:rsidRPr="003811B4">
        <w:rPr>
          <w:rFonts w:cs="Arial"/>
          <w:color w:val="000000"/>
        </w:rPr>
        <w:t>aprobados con la metodolo</w:t>
      </w:r>
      <w:r w:rsidR="000E7252" w:rsidRPr="003811B4">
        <w:rPr>
          <w:rFonts w:cs="Arial"/>
          <w:color w:val="000000"/>
        </w:rPr>
        <w:t xml:space="preserve">gía </w:t>
      </w:r>
      <w:r w:rsidR="00ED023E" w:rsidRPr="003811B4">
        <w:rPr>
          <w:rFonts w:cs="Arial"/>
          <w:color w:val="000000"/>
        </w:rPr>
        <w:t>de la</w:t>
      </w:r>
      <w:r w:rsidR="00267FF5" w:rsidRPr="003811B4">
        <w:rPr>
          <w:rFonts w:cs="Arial"/>
          <w:color w:val="000000"/>
        </w:rPr>
        <w:t xml:space="preserve"> </w:t>
      </w:r>
      <w:r w:rsidR="00816D63" w:rsidRPr="003811B4">
        <w:rPr>
          <w:rFonts w:cs="Arial"/>
          <w:color w:val="000000"/>
        </w:rPr>
        <w:t>Resolución CREG 126 de 2010</w:t>
      </w:r>
      <w:r w:rsidR="00DC395D" w:rsidRPr="003811B4">
        <w:rPr>
          <w:rFonts w:cs="Arial"/>
          <w:color w:val="000000"/>
        </w:rPr>
        <w:t>, y que se ejecutaron y se pusieron en operación comercial durante la vigencia de esa resolución</w:t>
      </w:r>
      <w:r w:rsidR="00C72F1A" w:rsidRPr="003811B4">
        <w:rPr>
          <w:rFonts w:cs="Arial"/>
          <w:color w:val="000000"/>
          <w:lang w:eastAsia="es-ES_tradnl"/>
        </w:rPr>
        <w:t>,</w:t>
      </w:r>
      <w:r w:rsidR="00CE6CD2" w:rsidRPr="003811B4">
        <w:rPr>
          <w:rFonts w:cs="Arial"/>
          <w:color w:val="000000"/>
          <w:szCs w:val="24"/>
          <w:lang w:val="es-ES" w:eastAsia="es-ES_tradnl"/>
        </w:rPr>
        <w:t xml:space="preserve"> </w:t>
      </w:r>
      <w:r w:rsidR="00854E3E" w:rsidRPr="003811B4">
        <w:rPr>
          <w:rFonts w:cs="Arial"/>
          <w:color w:val="000000"/>
          <w:szCs w:val="24"/>
          <w:lang w:val="es-ES" w:eastAsia="es-ES_tradnl"/>
        </w:rPr>
        <w:t>se considera</w:t>
      </w:r>
      <w:r w:rsidR="00854E3E" w:rsidRPr="003811B4">
        <w:rPr>
          <w:rFonts w:cs="Arial"/>
          <w:color w:val="000000"/>
          <w:lang w:eastAsia="es-ES_tradnl"/>
        </w:rPr>
        <w:t xml:space="preserve"> </w:t>
      </w:r>
      <w:r w:rsidR="00AB3A8B" w:rsidRPr="003811B4">
        <w:rPr>
          <w:rFonts w:cs="Arial"/>
          <w:color w:val="000000"/>
          <w:lang w:eastAsia="es-ES_tradnl"/>
        </w:rPr>
        <w:t>coherente</w:t>
      </w:r>
      <w:r w:rsidR="00854E3E" w:rsidRPr="003811B4">
        <w:rPr>
          <w:rFonts w:cs="Arial"/>
          <w:color w:val="000000"/>
          <w:lang w:eastAsia="es-ES_tradnl"/>
        </w:rPr>
        <w:t xml:space="preserve"> </w:t>
      </w:r>
      <w:r w:rsidRPr="003811B4">
        <w:rPr>
          <w:rFonts w:cs="Arial"/>
          <w:color w:val="000000"/>
          <w:szCs w:val="24"/>
          <w:lang w:val="es-ES" w:eastAsia="es-ES_tradnl"/>
        </w:rPr>
        <w:t xml:space="preserve">incluir </w:t>
      </w:r>
      <w:r w:rsidR="00AB3A8B" w:rsidRPr="003811B4">
        <w:rPr>
          <w:rFonts w:cs="Arial"/>
          <w:color w:val="000000"/>
          <w:lang w:eastAsia="es-ES_tradnl"/>
        </w:rPr>
        <w:t>los valores eficientes de esas inversiones en el cálculo del cubrimiento eficiente.</w:t>
      </w:r>
      <w:r w:rsidR="00551B50" w:rsidRPr="003811B4">
        <w:rPr>
          <w:rFonts w:cs="Arial"/>
          <w:color w:val="000000"/>
          <w:lang w:eastAsia="es-ES_tradnl"/>
        </w:rPr>
        <w:t xml:space="preserve"> Estas inversiones corresponden a las </w:t>
      </w:r>
      <w:proofErr w:type="spellStart"/>
      <w:r w:rsidR="00551B50" w:rsidRPr="003811B4">
        <w:rPr>
          <w:rFonts w:cs="Arial"/>
          <w:color w:val="000000"/>
          <w:lang w:eastAsia="es-ES_tradnl"/>
        </w:rPr>
        <w:t>IFPNI</w:t>
      </w:r>
      <w:proofErr w:type="spellEnd"/>
      <w:r w:rsidR="00221896" w:rsidRPr="003811B4">
        <w:rPr>
          <w:rFonts w:cs="Arial"/>
          <w:color w:val="000000"/>
          <w:lang w:eastAsia="es-ES_tradnl"/>
        </w:rPr>
        <w:t>.</w:t>
      </w:r>
    </w:p>
    <w:p w14:paraId="3F1F3888" w14:textId="77777777" w:rsidR="00035854" w:rsidRPr="003811B4" w:rsidRDefault="00035854" w:rsidP="00592F75">
      <w:pPr>
        <w:pStyle w:val="NormalWeb"/>
        <w:spacing w:before="0" w:beforeAutospacing="0" w:after="0" w:afterAutospacing="0" w:line="240" w:lineRule="auto"/>
        <w:ind w:left="799"/>
        <w:contextualSpacing/>
        <w:rPr>
          <w:rFonts w:cs="Arial"/>
          <w:color w:val="000000"/>
          <w:lang w:eastAsia="es-ES_tradnl"/>
        </w:rPr>
      </w:pPr>
    </w:p>
    <w:p w14:paraId="7592BF96" w14:textId="089CA99B" w:rsidR="00ED51E6" w:rsidRPr="003811B4" w:rsidRDefault="007C469F" w:rsidP="00592F75">
      <w:pPr>
        <w:pStyle w:val="NormalWeb"/>
        <w:numPr>
          <w:ilvl w:val="0"/>
          <w:numId w:val="51"/>
        </w:numPr>
        <w:spacing w:before="0" w:beforeAutospacing="0" w:after="0" w:afterAutospacing="0" w:line="240" w:lineRule="auto"/>
        <w:contextualSpacing/>
        <w:rPr>
          <w:rFonts w:cs="Arial"/>
          <w:color w:val="000000"/>
          <w:lang w:eastAsia="es-ES_tradnl"/>
        </w:rPr>
      </w:pPr>
      <w:r w:rsidRPr="003811B4">
        <w:rPr>
          <w:rFonts w:cs="Arial"/>
          <w:color w:val="000000"/>
          <w:lang w:eastAsia="es-ES_tradnl"/>
        </w:rPr>
        <w:t>Con res</w:t>
      </w:r>
      <w:r w:rsidR="00195805" w:rsidRPr="003811B4">
        <w:rPr>
          <w:rFonts w:cs="Arial"/>
          <w:color w:val="000000"/>
          <w:lang w:eastAsia="es-ES_tradnl"/>
        </w:rPr>
        <w:t xml:space="preserve">pecto </w:t>
      </w:r>
      <w:r w:rsidR="00066E1C" w:rsidRPr="003811B4">
        <w:rPr>
          <w:rFonts w:cs="Arial"/>
          <w:color w:val="000000"/>
          <w:lang w:eastAsia="es-ES_tradnl"/>
        </w:rPr>
        <w:t>a</w:t>
      </w:r>
      <w:r w:rsidR="00D86E50" w:rsidRPr="003811B4">
        <w:rPr>
          <w:rFonts w:cs="Arial"/>
          <w:color w:val="000000"/>
          <w:lang w:eastAsia="es-ES_tradnl"/>
        </w:rPr>
        <w:t>l</w:t>
      </w:r>
      <w:r w:rsidR="00066E1C" w:rsidRPr="003811B4">
        <w:rPr>
          <w:rFonts w:cs="Arial"/>
          <w:color w:val="000000"/>
          <w:lang w:eastAsia="es-ES_tradnl"/>
        </w:rPr>
        <w:t xml:space="preserve"> </w:t>
      </w:r>
      <w:r w:rsidR="00D86E50" w:rsidRPr="003811B4">
        <w:rPr>
          <w:rFonts w:cs="Arial"/>
          <w:color w:val="000000"/>
          <w:lang w:eastAsia="es-ES_tradnl"/>
        </w:rPr>
        <w:t>endeudamiento</w:t>
      </w:r>
      <w:r w:rsidR="009D4BB6" w:rsidRPr="003811B4">
        <w:rPr>
          <w:rFonts w:cs="Arial"/>
          <w:color w:val="000000"/>
          <w:lang w:eastAsia="es-ES_tradnl"/>
        </w:rPr>
        <w:t xml:space="preserve"> </w:t>
      </w:r>
      <w:r w:rsidR="00D86E50" w:rsidRPr="003811B4">
        <w:rPr>
          <w:rFonts w:cs="Arial"/>
          <w:color w:val="000000"/>
          <w:lang w:eastAsia="es-ES_tradnl"/>
        </w:rPr>
        <w:t>de</w:t>
      </w:r>
      <w:r w:rsidR="009D4BB6" w:rsidRPr="003811B4">
        <w:rPr>
          <w:rFonts w:cs="Arial"/>
          <w:color w:val="000000"/>
          <w:lang w:eastAsia="es-ES_tradnl"/>
        </w:rPr>
        <w:t xml:space="preserve"> las empresas</w:t>
      </w:r>
      <w:r w:rsidR="00D86E50" w:rsidRPr="003811B4">
        <w:rPr>
          <w:rFonts w:cs="Arial"/>
          <w:color w:val="000000"/>
          <w:lang w:eastAsia="es-ES_tradnl"/>
        </w:rPr>
        <w:t xml:space="preserve"> en dólares</w:t>
      </w:r>
      <w:r w:rsidR="009D4BB6" w:rsidRPr="003811B4">
        <w:rPr>
          <w:rFonts w:cs="Arial"/>
          <w:color w:val="000000"/>
          <w:lang w:eastAsia="es-ES_tradnl"/>
        </w:rPr>
        <w:t xml:space="preserve">, se incluye una disposición </w:t>
      </w:r>
      <w:r w:rsidR="00D86E50" w:rsidRPr="003811B4">
        <w:rPr>
          <w:rFonts w:cs="Arial"/>
          <w:color w:val="000000"/>
          <w:lang w:eastAsia="es-ES_tradnl"/>
        </w:rPr>
        <w:t xml:space="preserve">para </w:t>
      </w:r>
      <w:r w:rsidR="00543C9A" w:rsidRPr="003811B4">
        <w:rPr>
          <w:rFonts w:cs="Arial"/>
          <w:color w:val="000000"/>
          <w:lang w:eastAsia="es-ES_tradnl"/>
        </w:rPr>
        <w:t xml:space="preserve">que </w:t>
      </w:r>
      <w:r w:rsidR="00D273D5" w:rsidRPr="003811B4">
        <w:rPr>
          <w:rFonts w:cs="Arial"/>
          <w:color w:val="000000"/>
          <w:lang w:eastAsia="es-ES_tradnl"/>
        </w:rPr>
        <w:t xml:space="preserve">el valor que se tome como referencia </w:t>
      </w:r>
      <w:r w:rsidR="00CB3A65" w:rsidRPr="003811B4">
        <w:rPr>
          <w:rFonts w:cs="Arial"/>
          <w:color w:val="000000"/>
          <w:lang w:eastAsia="es-ES_tradnl"/>
        </w:rPr>
        <w:t>para la estimación del cubrimiento eficiente tome</w:t>
      </w:r>
      <w:r w:rsidR="00D86E50" w:rsidRPr="003811B4">
        <w:rPr>
          <w:rFonts w:cs="Arial"/>
          <w:color w:val="000000"/>
          <w:lang w:eastAsia="es-ES_tradnl"/>
        </w:rPr>
        <w:t xml:space="preserve"> </w:t>
      </w:r>
      <w:r w:rsidR="0031750C" w:rsidRPr="003811B4">
        <w:rPr>
          <w:rFonts w:cs="Arial"/>
          <w:color w:val="000000"/>
          <w:lang w:eastAsia="es-ES_tradnl"/>
        </w:rPr>
        <w:t xml:space="preserve">el mínimo </w:t>
      </w:r>
      <w:r w:rsidR="00D86E50" w:rsidRPr="003811B4">
        <w:rPr>
          <w:rFonts w:cs="Arial"/>
          <w:color w:val="000000"/>
          <w:lang w:eastAsia="es-ES_tradnl"/>
        </w:rPr>
        <w:t>valor</w:t>
      </w:r>
      <w:r w:rsidR="0031750C" w:rsidRPr="003811B4">
        <w:rPr>
          <w:rFonts w:cs="Arial"/>
          <w:color w:val="000000"/>
          <w:lang w:eastAsia="es-ES_tradnl"/>
        </w:rPr>
        <w:t xml:space="preserve"> entre </w:t>
      </w:r>
      <w:r w:rsidR="001F1727" w:rsidRPr="003811B4">
        <w:rPr>
          <w:rFonts w:cs="Arial"/>
          <w:color w:val="000000"/>
          <w:lang w:eastAsia="es-ES_tradnl"/>
        </w:rPr>
        <w:t>el valor de</w:t>
      </w:r>
      <w:r w:rsidR="0031750C" w:rsidRPr="003811B4">
        <w:rPr>
          <w:rFonts w:cs="Arial"/>
          <w:color w:val="000000"/>
          <w:lang w:eastAsia="es-ES_tradnl"/>
        </w:rPr>
        <w:t xml:space="preserve"> </w:t>
      </w:r>
      <w:r w:rsidR="009A0694" w:rsidRPr="003811B4">
        <w:rPr>
          <w:rFonts w:cs="Arial"/>
          <w:color w:val="000000"/>
          <w:lang w:eastAsia="es-ES_tradnl"/>
        </w:rPr>
        <w:t>lo</w:t>
      </w:r>
      <w:r w:rsidR="00CB3A65" w:rsidRPr="003811B4">
        <w:rPr>
          <w:rFonts w:cs="Arial"/>
          <w:color w:val="000000"/>
          <w:lang w:eastAsia="es-ES_tradnl"/>
        </w:rPr>
        <w:t>s</w:t>
      </w:r>
      <w:r w:rsidR="009A0694" w:rsidRPr="003811B4">
        <w:rPr>
          <w:rFonts w:cs="Arial"/>
          <w:color w:val="000000"/>
          <w:lang w:eastAsia="es-ES_tradnl"/>
        </w:rPr>
        <w:t xml:space="preserve"> </w:t>
      </w:r>
      <w:r w:rsidR="00504EEC" w:rsidRPr="003811B4">
        <w:rPr>
          <w:rFonts w:cs="Arial"/>
          <w:color w:val="000000"/>
          <w:lang w:eastAsia="es-ES_tradnl"/>
        </w:rPr>
        <w:t xml:space="preserve">activos que </w:t>
      </w:r>
      <w:r w:rsidR="000E6367" w:rsidRPr="003811B4">
        <w:rPr>
          <w:rFonts w:cs="Arial"/>
          <w:color w:val="000000"/>
          <w:lang w:eastAsia="es-ES_tradnl"/>
        </w:rPr>
        <w:t>a partir de diciembre de 2021</w:t>
      </w:r>
      <w:r w:rsidR="00CB06D0" w:rsidRPr="003811B4">
        <w:rPr>
          <w:rFonts w:cs="Arial"/>
          <w:color w:val="000000"/>
          <w:lang w:eastAsia="es-ES_tradnl"/>
        </w:rPr>
        <w:t xml:space="preserve"> están en operación </w:t>
      </w:r>
      <w:r w:rsidR="00F441C9">
        <w:rPr>
          <w:rFonts w:cs="Arial"/>
          <w:color w:val="000000"/>
          <w:lang w:eastAsia="es-ES_tradnl"/>
        </w:rPr>
        <w:t xml:space="preserve">y </w:t>
      </w:r>
      <w:r w:rsidR="00504EEC" w:rsidRPr="003811B4">
        <w:rPr>
          <w:rFonts w:cs="Arial"/>
          <w:color w:val="000000"/>
          <w:lang w:eastAsia="es-ES_tradnl"/>
        </w:rPr>
        <w:t>aún no han terminado un periodo de vida útil normativo</w:t>
      </w:r>
      <w:r w:rsidR="00C21487" w:rsidRPr="003811B4">
        <w:rPr>
          <w:rFonts w:cs="Arial"/>
          <w:color w:val="000000"/>
          <w:lang w:eastAsia="es-ES_tradnl"/>
        </w:rPr>
        <w:t xml:space="preserve">, incluyendo los valores eficientes </w:t>
      </w:r>
      <w:proofErr w:type="spellStart"/>
      <w:r w:rsidR="00C21487" w:rsidRPr="003811B4">
        <w:rPr>
          <w:rFonts w:cs="Arial"/>
          <w:color w:val="000000"/>
          <w:lang w:eastAsia="es-ES_tradnl"/>
        </w:rPr>
        <w:t>IFPNI</w:t>
      </w:r>
      <w:proofErr w:type="spellEnd"/>
      <w:r w:rsidR="00C21487" w:rsidRPr="003811B4">
        <w:rPr>
          <w:rFonts w:cs="Arial"/>
          <w:color w:val="000000"/>
          <w:lang w:eastAsia="es-ES_tradnl"/>
        </w:rPr>
        <w:t>,</w:t>
      </w:r>
      <w:r w:rsidR="00504EEC" w:rsidRPr="003811B4">
        <w:rPr>
          <w:rFonts w:cs="Arial"/>
          <w:color w:val="000000"/>
          <w:lang w:eastAsia="es-ES_tradnl"/>
        </w:rPr>
        <w:t xml:space="preserve"> y</w:t>
      </w:r>
      <w:r w:rsidR="00B25896" w:rsidRPr="003811B4">
        <w:rPr>
          <w:rFonts w:cs="Arial"/>
          <w:color w:val="000000"/>
          <w:lang w:eastAsia="es-ES_tradnl"/>
        </w:rPr>
        <w:t xml:space="preserve"> la deuda </w:t>
      </w:r>
      <w:r w:rsidR="00D13EF6" w:rsidRPr="003811B4">
        <w:rPr>
          <w:rFonts w:cs="Arial"/>
          <w:color w:val="000000"/>
          <w:lang w:eastAsia="es-ES_tradnl"/>
        </w:rPr>
        <w:t>registrada</w:t>
      </w:r>
      <w:r w:rsidR="00B25896" w:rsidRPr="003811B4">
        <w:rPr>
          <w:rFonts w:cs="Arial"/>
          <w:color w:val="000000"/>
          <w:lang w:eastAsia="es-ES_tradnl"/>
        </w:rPr>
        <w:t xml:space="preserve"> en los estados financieros de la empresa</w:t>
      </w:r>
      <w:r w:rsidR="000E6367" w:rsidRPr="003811B4">
        <w:rPr>
          <w:rFonts w:cs="Arial"/>
          <w:color w:val="000000"/>
          <w:lang w:eastAsia="es-ES_tradnl"/>
        </w:rPr>
        <w:t>.</w:t>
      </w:r>
    </w:p>
    <w:p w14:paraId="2D4A6B98" w14:textId="77777777" w:rsidR="00C10457" w:rsidRPr="003811B4" w:rsidRDefault="00C10457" w:rsidP="00592F75">
      <w:pPr>
        <w:pStyle w:val="Prrafodelista"/>
        <w:ind w:left="800"/>
        <w:contextualSpacing/>
        <w:rPr>
          <w:rFonts w:cs="Arial"/>
          <w:color w:val="000000"/>
          <w:szCs w:val="24"/>
          <w:lang w:val="es-ES" w:eastAsia="es-ES_tradnl"/>
        </w:rPr>
      </w:pPr>
    </w:p>
    <w:p w14:paraId="32FC146A" w14:textId="5AA867AD" w:rsidR="00FC6B96" w:rsidRPr="003811B4" w:rsidRDefault="00782680" w:rsidP="00592F75">
      <w:pPr>
        <w:pStyle w:val="NormalWeb"/>
        <w:numPr>
          <w:ilvl w:val="0"/>
          <w:numId w:val="51"/>
        </w:numPr>
        <w:spacing w:before="0" w:beforeAutospacing="0" w:after="0" w:afterAutospacing="0" w:line="240" w:lineRule="auto"/>
        <w:contextualSpacing/>
        <w:rPr>
          <w:rFonts w:cs="Arial"/>
          <w:color w:val="000000"/>
          <w:lang w:eastAsia="es-ES_tradnl"/>
        </w:rPr>
      </w:pPr>
      <w:r w:rsidRPr="003811B4">
        <w:rPr>
          <w:rFonts w:cs="Arial"/>
          <w:color w:val="000000"/>
          <w:lang w:eastAsia="es-ES_tradnl"/>
        </w:rPr>
        <w:t xml:space="preserve">Con </w:t>
      </w:r>
      <w:r w:rsidR="00C10457" w:rsidRPr="003811B4">
        <w:rPr>
          <w:rFonts w:cs="Arial"/>
          <w:color w:val="000000"/>
          <w:lang w:eastAsia="es-ES_tradnl"/>
        </w:rPr>
        <w:t xml:space="preserve">relación </w:t>
      </w:r>
      <w:r w:rsidR="009774C5" w:rsidRPr="003811B4">
        <w:rPr>
          <w:rFonts w:cs="Arial"/>
          <w:color w:val="000000"/>
          <w:lang w:eastAsia="es-ES_tradnl"/>
        </w:rPr>
        <w:t>a</w:t>
      </w:r>
      <w:r w:rsidR="00C10457" w:rsidRPr="003811B4">
        <w:rPr>
          <w:rFonts w:cs="Arial"/>
          <w:color w:val="000000"/>
          <w:lang w:eastAsia="es-ES_tradnl"/>
        </w:rPr>
        <w:t xml:space="preserve"> la estructura de capita</w:t>
      </w:r>
      <w:r w:rsidR="004B3D55" w:rsidRPr="003811B4">
        <w:rPr>
          <w:rFonts w:cs="Arial"/>
          <w:color w:val="000000"/>
          <w:lang w:eastAsia="es-ES_tradnl"/>
        </w:rPr>
        <w:t xml:space="preserve">l </w:t>
      </w:r>
      <w:r w:rsidR="00DF787D" w:rsidRPr="003811B4">
        <w:rPr>
          <w:rFonts w:cs="Arial"/>
          <w:color w:val="000000"/>
          <w:lang w:eastAsia="es-ES_tradnl"/>
        </w:rPr>
        <w:t>y el peso de la deuda</w:t>
      </w:r>
      <w:r w:rsidR="003819C4" w:rsidRPr="003811B4">
        <w:rPr>
          <w:rFonts w:cs="Arial"/>
          <w:color w:val="000000"/>
          <w:lang w:eastAsia="es-ES_tradnl"/>
        </w:rPr>
        <w:t xml:space="preserve"> </w:t>
      </w:r>
      <w:r w:rsidR="008C01B5" w:rsidRPr="003811B4">
        <w:rPr>
          <w:rFonts w:cs="Arial"/>
          <w:color w:val="000000"/>
          <w:lang w:eastAsia="es-ES_tradnl"/>
        </w:rPr>
        <w:t xml:space="preserve">se </w:t>
      </w:r>
      <w:r w:rsidR="003819C4" w:rsidRPr="003811B4">
        <w:rPr>
          <w:rFonts w:cs="Arial"/>
          <w:color w:val="000000"/>
          <w:lang w:eastAsia="es-ES_tradnl"/>
        </w:rPr>
        <w:t>toma como referencia el 40%.</w:t>
      </w:r>
    </w:p>
    <w:p w14:paraId="1641A893" w14:textId="77777777" w:rsidR="0075760C" w:rsidRPr="003811B4" w:rsidRDefault="0075760C" w:rsidP="00592F75">
      <w:pPr>
        <w:contextualSpacing/>
        <w:rPr>
          <w:rFonts w:ascii="Bookman Old Style" w:hAnsi="Bookman Old Style" w:cs="Arial"/>
          <w:color w:val="000000"/>
          <w:lang w:val="es-ES"/>
        </w:rPr>
      </w:pPr>
    </w:p>
    <w:p w14:paraId="56AF785B" w14:textId="636DFF5B" w:rsidR="000A7E7F" w:rsidRPr="003811B4" w:rsidRDefault="00BB416D" w:rsidP="00592F75">
      <w:pPr>
        <w:pStyle w:val="Prrafodelista"/>
        <w:numPr>
          <w:ilvl w:val="0"/>
          <w:numId w:val="51"/>
        </w:numPr>
        <w:rPr>
          <w:lang w:val="es-ES" w:eastAsia="es-ES_tradnl"/>
        </w:rPr>
      </w:pPr>
      <w:r w:rsidRPr="003811B4">
        <w:rPr>
          <w:lang w:val="es-ES"/>
        </w:rPr>
        <w:t>En relación con la senda de aplicación de</w:t>
      </w:r>
      <w:r w:rsidR="00554AEF" w:rsidRPr="003811B4">
        <w:rPr>
          <w:lang w:val="es-ES"/>
        </w:rPr>
        <w:t>l cubrimiento eficiente se mantiene el horizonte de cinco años, con una perspectiva decreciente</w:t>
      </w:r>
      <w:r w:rsidR="001D585B" w:rsidRPr="003811B4">
        <w:rPr>
          <w:lang w:val="es-ES"/>
        </w:rPr>
        <w:t>, p</w:t>
      </w:r>
      <w:r w:rsidR="00715931" w:rsidRPr="003811B4">
        <w:rPr>
          <w:lang w:val="es-ES"/>
        </w:rPr>
        <w:t xml:space="preserve">ero ajustándolo para que el primer año sea el 100%, el segundo, el 100%, el tercero, el 80%, el cuarto, el 60% y el quinto el 40%. En el año 6 se mantiene la señal de que la empresa no podrá cobrar en la prestación del servicio ningún concepto de </w:t>
      </w:r>
      <w:r w:rsidR="0034141F" w:rsidRPr="003811B4">
        <w:rPr>
          <w:lang w:val="es-ES"/>
        </w:rPr>
        <w:t>cubrimiento eficiente.</w:t>
      </w:r>
    </w:p>
    <w:p w14:paraId="470741A8" w14:textId="77777777" w:rsidR="00017334" w:rsidRPr="00686048" w:rsidRDefault="00017334" w:rsidP="00D6344C">
      <w:pPr>
        <w:jc w:val="both"/>
        <w:rPr>
          <w:rFonts w:ascii="Bookman Old Style" w:hAnsi="Bookman Old Style" w:cs="Arial"/>
          <w:bCs/>
          <w:color w:val="000000"/>
          <w:lang w:val="es-ES"/>
        </w:rPr>
      </w:pPr>
    </w:p>
    <w:p w14:paraId="4FFC6C7E" w14:textId="71A572A6" w:rsidR="00017334" w:rsidRPr="008004D2" w:rsidRDefault="00017334" w:rsidP="00920AF4">
      <w:pPr>
        <w:pStyle w:val="Ttulo1"/>
        <w:numPr>
          <w:ilvl w:val="1"/>
          <w:numId w:val="54"/>
        </w:numPr>
      </w:pPr>
      <w:r w:rsidRPr="008004D2">
        <w:rPr>
          <w:rStyle w:val="Ttulo1Car"/>
          <w:b/>
        </w:rPr>
        <w:t>Para el caso de la aplicación del artículo 7 de la metodología.</w:t>
      </w:r>
    </w:p>
    <w:p w14:paraId="0389DFB0" w14:textId="77777777" w:rsidR="00017334" w:rsidRPr="00686048" w:rsidRDefault="00017334" w:rsidP="00017334">
      <w:pPr>
        <w:jc w:val="both"/>
        <w:rPr>
          <w:rFonts w:ascii="Bookman Old Style" w:hAnsi="Bookman Old Style" w:cs="Arial"/>
          <w:bCs/>
          <w:color w:val="000000"/>
          <w:lang w:val="es-ES"/>
        </w:rPr>
      </w:pPr>
    </w:p>
    <w:p w14:paraId="68A529DA" w14:textId="77EA377D" w:rsidR="00983E29" w:rsidRDefault="00017334" w:rsidP="00D6344C">
      <w:pPr>
        <w:jc w:val="both"/>
        <w:rPr>
          <w:rFonts w:ascii="Bookman Old Style" w:hAnsi="Bookman Old Style" w:cs="Arial"/>
          <w:bCs/>
          <w:color w:val="000000"/>
          <w:lang w:val="es-ES"/>
        </w:rPr>
      </w:pPr>
      <w:r w:rsidRPr="00686048">
        <w:rPr>
          <w:rFonts w:ascii="Bookman Old Style" w:hAnsi="Bookman Old Style" w:cs="Arial"/>
          <w:bCs/>
          <w:color w:val="000000"/>
          <w:lang w:val="es-ES"/>
        </w:rPr>
        <w:t xml:space="preserve">En </w:t>
      </w:r>
      <w:r w:rsidR="007C289F" w:rsidRPr="00686048">
        <w:rPr>
          <w:rFonts w:ascii="Bookman Old Style" w:hAnsi="Bookman Old Style" w:cs="Arial"/>
          <w:bCs/>
          <w:color w:val="000000"/>
          <w:lang w:val="es-ES"/>
        </w:rPr>
        <w:t xml:space="preserve">relación con la aplicación del artículo 7 de </w:t>
      </w:r>
      <w:r w:rsidR="00FB563A" w:rsidRPr="00686048">
        <w:rPr>
          <w:rFonts w:ascii="Bookman Old Style" w:hAnsi="Bookman Old Style" w:cs="Arial"/>
          <w:bCs/>
          <w:color w:val="000000"/>
          <w:lang w:val="es-ES"/>
        </w:rPr>
        <w:t xml:space="preserve">la </w:t>
      </w:r>
      <w:r w:rsidR="007C289F" w:rsidRPr="00686048">
        <w:rPr>
          <w:rFonts w:ascii="Bookman Old Style" w:hAnsi="Bookman Old Style" w:cs="Arial"/>
          <w:bCs/>
          <w:color w:val="000000"/>
          <w:lang w:val="es-ES"/>
        </w:rPr>
        <w:t xml:space="preserve">metodología, </w:t>
      </w:r>
      <w:r w:rsidRPr="00686048">
        <w:rPr>
          <w:rFonts w:ascii="Bookman Old Style" w:hAnsi="Bookman Old Style" w:cs="Arial"/>
          <w:bCs/>
          <w:color w:val="000000"/>
          <w:lang w:val="es-ES"/>
        </w:rPr>
        <w:t xml:space="preserve">la Comisión </w:t>
      </w:r>
      <w:r w:rsidR="007C289F" w:rsidRPr="00686048">
        <w:rPr>
          <w:rFonts w:ascii="Bookman Old Style" w:hAnsi="Bookman Old Style" w:cs="Arial"/>
          <w:bCs/>
          <w:color w:val="000000"/>
          <w:lang w:val="es-ES"/>
        </w:rPr>
        <w:t xml:space="preserve">no hizo ninguna propuesta </w:t>
      </w:r>
      <w:r w:rsidR="00F04F7A">
        <w:rPr>
          <w:rFonts w:ascii="Bookman Old Style" w:hAnsi="Bookman Old Style" w:cs="Arial"/>
          <w:bCs/>
          <w:color w:val="000000"/>
          <w:lang w:val="es-ES"/>
        </w:rPr>
        <w:t>modificatoria de</w:t>
      </w:r>
      <w:r w:rsidR="00285842">
        <w:rPr>
          <w:rFonts w:ascii="Bookman Old Style" w:hAnsi="Bookman Old Style" w:cs="Arial"/>
          <w:bCs/>
          <w:color w:val="000000"/>
          <w:lang w:val="es-ES"/>
        </w:rPr>
        <w:t xml:space="preserve"> la Resolución </w:t>
      </w:r>
      <w:proofErr w:type="spellStart"/>
      <w:r w:rsidR="00285842">
        <w:rPr>
          <w:rFonts w:ascii="Bookman Old Style" w:hAnsi="Bookman Old Style" w:cs="Arial"/>
          <w:bCs/>
          <w:color w:val="000000"/>
          <w:lang w:val="es-ES"/>
        </w:rPr>
        <w:t>CREG</w:t>
      </w:r>
      <w:proofErr w:type="spellEnd"/>
      <w:r w:rsidR="00285842">
        <w:rPr>
          <w:rFonts w:ascii="Bookman Old Style" w:hAnsi="Bookman Old Style" w:cs="Arial"/>
          <w:bCs/>
          <w:color w:val="000000"/>
          <w:lang w:val="es-ES"/>
        </w:rPr>
        <w:t xml:space="preserve"> 175 de 2021</w:t>
      </w:r>
      <w:r w:rsidR="00F04F7A">
        <w:rPr>
          <w:rFonts w:ascii="Bookman Old Style" w:hAnsi="Bookman Old Style" w:cs="Arial"/>
          <w:bCs/>
          <w:color w:val="000000"/>
          <w:lang w:val="es-ES"/>
        </w:rPr>
        <w:t xml:space="preserve"> </w:t>
      </w:r>
      <w:r w:rsidR="007C289F" w:rsidRPr="00686048">
        <w:rPr>
          <w:rFonts w:ascii="Bookman Old Style" w:hAnsi="Bookman Old Style" w:cs="Arial"/>
          <w:bCs/>
          <w:color w:val="000000"/>
          <w:lang w:val="es-ES"/>
        </w:rPr>
        <w:t xml:space="preserve">dentro de la consulta de la Resolución </w:t>
      </w:r>
      <w:proofErr w:type="spellStart"/>
      <w:r w:rsidR="007C289F" w:rsidRPr="00686048">
        <w:rPr>
          <w:rFonts w:ascii="Bookman Old Style" w:hAnsi="Bookman Old Style" w:cs="Arial"/>
          <w:bCs/>
          <w:color w:val="000000"/>
          <w:lang w:val="es-ES"/>
        </w:rPr>
        <w:t>CREG</w:t>
      </w:r>
      <w:proofErr w:type="spellEnd"/>
      <w:r w:rsidR="007C289F" w:rsidRPr="00686048">
        <w:rPr>
          <w:rFonts w:ascii="Bookman Old Style" w:hAnsi="Bookman Old Style" w:cs="Arial"/>
          <w:bCs/>
          <w:color w:val="000000"/>
          <w:lang w:val="es-ES"/>
        </w:rPr>
        <w:t xml:space="preserve"> 702 009 de 202</w:t>
      </w:r>
      <w:r w:rsidR="00F8778A" w:rsidRPr="00686048">
        <w:rPr>
          <w:rFonts w:ascii="Bookman Old Style" w:hAnsi="Bookman Old Style" w:cs="Arial"/>
          <w:bCs/>
          <w:color w:val="000000"/>
          <w:lang w:val="es-ES"/>
        </w:rPr>
        <w:t>2, toda vez que del análisis</w:t>
      </w:r>
      <w:r w:rsidR="00F8778A">
        <w:rPr>
          <w:rFonts w:ascii="Bookman Old Style" w:hAnsi="Bookman Old Style" w:cs="Arial"/>
          <w:bCs/>
          <w:color w:val="000000"/>
          <w:lang w:val="es-ES"/>
        </w:rPr>
        <w:t xml:space="preserve"> allí consignado no encontró procedente</w:t>
      </w:r>
      <w:r w:rsidR="000927DF">
        <w:rPr>
          <w:rFonts w:ascii="Bookman Old Style" w:hAnsi="Bookman Old Style" w:cs="Arial"/>
          <w:bCs/>
          <w:color w:val="000000"/>
          <w:lang w:val="es-ES"/>
        </w:rPr>
        <w:t>, para lo cual expuso las siguientes razones:</w:t>
      </w:r>
    </w:p>
    <w:p w14:paraId="5ABA5CFC" w14:textId="47F6D265" w:rsidR="00E52716" w:rsidRPr="00947662" w:rsidRDefault="000927DF" w:rsidP="00947662">
      <w:pPr>
        <w:pStyle w:val="NormalWeb"/>
        <w:spacing w:after="0" w:afterAutospacing="0" w:line="240" w:lineRule="auto"/>
        <w:ind w:left="227"/>
        <w:rPr>
          <w:i/>
          <w:iCs/>
          <w:sz w:val="22"/>
          <w:szCs w:val="22"/>
          <w:lang w:val="es-CO"/>
        </w:rPr>
      </w:pPr>
      <w:r>
        <w:rPr>
          <w:rFonts w:cs="Arial"/>
          <w:bCs/>
          <w:color w:val="000000"/>
        </w:rPr>
        <w:t>“</w:t>
      </w:r>
      <w:r w:rsidRPr="00947662">
        <w:rPr>
          <w:i/>
          <w:iCs/>
          <w:sz w:val="22"/>
          <w:szCs w:val="22"/>
          <w:lang w:val="es-CO"/>
        </w:rPr>
        <w:t xml:space="preserve">2.3 </w:t>
      </w:r>
      <w:r w:rsidR="00E52716" w:rsidRPr="00947662">
        <w:rPr>
          <w:i/>
          <w:iCs/>
          <w:sz w:val="22"/>
          <w:szCs w:val="22"/>
          <w:lang w:val="es-CO"/>
        </w:rPr>
        <w:t>Aplicación del artículo 7 de la metodología</w:t>
      </w:r>
    </w:p>
    <w:p w14:paraId="76138C3F" w14:textId="6A75F0D9"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 xml:space="preserve">Como se indicó antes, </w:t>
      </w:r>
      <w:proofErr w:type="spellStart"/>
      <w:r w:rsidRPr="00947662">
        <w:rPr>
          <w:i/>
          <w:iCs/>
          <w:sz w:val="22"/>
          <w:szCs w:val="22"/>
          <w:lang w:val="es-CO"/>
        </w:rPr>
        <w:t>Vanti</w:t>
      </w:r>
      <w:proofErr w:type="spellEnd"/>
      <w:r w:rsidRPr="00947662">
        <w:rPr>
          <w:i/>
          <w:iCs/>
          <w:sz w:val="22"/>
          <w:szCs w:val="22"/>
          <w:lang w:val="es-CO"/>
        </w:rPr>
        <w:t xml:space="preserve"> S.A. E.S.P. expuso varios argumentos para que la Comisión no le diera trámite a las actuaciones particulares cuando se aprobó la Resolución CREG 175 de 2021. </w:t>
      </w:r>
      <w:proofErr w:type="spellStart"/>
      <w:r w:rsidRPr="00947662">
        <w:rPr>
          <w:i/>
          <w:iCs/>
          <w:sz w:val="22"/>
          <w:szCs w:val="22"/>
          <w:lang w:val="es-CO"/>
        </w:rPr>
        <w:t>Asoenergía</w:t>
      </w:r>
      <w:proofErr w:type="spellEnd"/>
      <w:r w:rsidRPr="00947662">
        <w:rPr>
          <w:i/>
          <w:iCs/>
          <w:sz w:val="22"/>
          <w:szCs w:val="22"/>
          <w:lang w:val="es-CO"/>
        </w:rPr>
        <w:t xml:space="preserve"> y </w:t>
      </w:r>
      <w:proofErr w:type="spellStart"/>
      <w:r w:rsidRPr="00947662">
        <w:rPr>
          <w:i/>
          <w:iCs/>
          <w:sz w:val="22"/>
          <w:szCs w:val="22"/>
          <w:lang w:val="es-CO"/>
        </w:rPr>
        <w:t>ACP</w:t>
      </w:r>
      <w:proofErr w:type="spellEnd"/>
      <w:r w:rsidRPr="00947662">
        <w:rPr>
          <w:i/>
          <w:iCs/>
          <w:sz w:val="22"/>
          <w:szCs w:val="22"/>
          <w:lang w:val="es-CO"/>
        </w:rPr>
        <w:t xml:space="preserve"> hicieron peticiones en igual sentido.</w:t>
      </w:r>
    </w:p>
    <w:p w14:paraId="5CC6B324" w14:textId="5B138402"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La Resolución CREG 175 de 2021 protege las situaciones jurídicas consolidadas de las empresas que tomaron la decisión de mantener en operación, por otros 20 años, los activos que cumplieron la vida útil normativa durante la vigencia de la Resolución CREG 126 de 2010. Así mismo, frente a las actuaciones en curso, estableció una regla de transición entre la metodología anterior y la nueva, consistente en mantener para los activos que cumplieron la vida útil normativa hasta el 31 de diciembre de 2020 el procedimiento de valoración de las inversiones establecido en la Resolución CREG 126 de 2010, que estaba vigente al momento de cumplirse los 20 años de vida útil normativa de manera que, también protege para estos activos las reglas que le eran aplicables antes de expedir la nueva metodología.</w:t>
      </w:r>
    </w:p>
    <w:p w14:paraId="3F3C2260" w14:textId="37F55A96"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 xml:space="preserve">Debe tenerse en cuenta que, conforme al artículo 14 de la Resolución CREG 126 de 2010, un año antes de la finalización de la vida útil normativa, las empresas debían </w:t>
      </w:r>
      <w:r w:rsidRPr="00947662">
        <w:rPr>
          <w:i/>
          <w:iCs/>
          <w:sz w:val="22"/>
          <w:szCs w:val="22"/>
          <w:lang w:val="es-CO"/>
        </w:rPr>
        <w:lastRenderedPageBreak/>
        <w:t>declarar por activo el cumplimiento de la vida útil. La Comisión verificaba que ello fuere así, es decir, que el activo hubiere cumplido un periodo de remuneración de 20 años, y procedía al nombramiento de un perito para establecer el valor de reposición a nuevo del correspondiente activo. A partir de los resultados del peritaje, la Comisión, mediante resolución particular definía, para cada activo que terminó la vida útil normativa, (i) el valor de reposición a nuevo, (</w:t>
      </w:r>
      <w:proofErr w:type="spellStart"/>
      <w:r w:rsidRPr="00947662">
        <w:rPr>
          <w:i/>
          <w:iCs/>
          <w:sz w:val="22"/>
          <w:szCs w:val="22"/>
          <w:lang w:val="es-CO"/>
        </w:rPr>
        <w:t>ii</w:t>
      </w:r>
      <w:proofErr w:type="spellEnd"/>
      <w:r w:rsidRPr="00947662">
        <w:rPr>
          <w:i/>
          <w:iCs/>
          <w:sz w:val="22"/>
          <w:szCs w:val="22"/>
          <w:lang w:val="es-CO"/>
        </w:rPr>
        <w:t>) el valor que se le remuneraría a la empresa si ésta declaraba que continuaría operando el mismo activo, el cual correspondía al 60% del valor de reposición a nuevo, y (</w:t>
      </w:r>
      <w:proofErr w:type="spellStart"/>
      <w:r w:rsidRPr="00947662">
        <w:rPr>
          <w:i/>
          <w:iCs/>
          <w:sz w:val="22"/>
          <w:szCs w:val="22"/>
          <w:lang w:val="es-CO"/>
        </w:rPr>
        <w:t>iii</w:t>
      </w:r>
      <w:proofErr w:type="spellEnd"/>
      <w:r w:rsidRPr="00947662">
        <w:rPr>
          <w:i/>
          <w:iCs/>
          <w:sz w:val="22"/>
          <w:szCs w:val="22"/>
          <w:lang w:val="es-CO"/>
        </w:rPr>
        <w:t>) los valores a retirar de la base tarifaria cuando se hiciere los ajustes en los cargos.</w:t>
      </w:r>
    </w:p>
    <w:p w14:paraId="6A2B864B" w14:textId="51253677"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En atención a lo anterior, mediante las siguientes resoluciones la Comisión definió los tres conceptos mencionados para cada uno de los activos de los transportadores que terminaron vida útil normativa.</w:t>
      </w:r>
    </w:p>
    <w:p w14:paraId="032022E9" w14:textId="05C17A2F"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 xml:space="preserve">- Resolución CREG 096 de 2021, mediante la cual se resolvieron las solicitudes hechas por </w:t>
      </w:r>
      <w:proofErr w:type="spellStart"/>
      <w:r w:rsidRPr="00947662">
        <w:rPr>
          <w:i/>
          <w:iCs/>
          <w:sz w:val="22"/>
          <w:szCs w:val="22"/>
          <w:lang w:val="es-CO"/>
        </w:rPr>
        <w:t>Progasur</w:t>
      </w:r>
      <w:proofErr w:type="spellEnd"/>
      <w:r w:rsidRPr="00947662">
        <w:rPr>
          <w:i/>
          <w:iCs/>
          <w:sz w:val="22"/>
          <w:szCs w:val="22"/>
          <w:lang w:val="es-CO"/>
        </w:rPr>
        <w:t xml:space="preserve"> S.A. E.S.P. para la aplicación del artículo 14 de la Resolución CREG 126 de 2010.</w:t>
      </w:r>
    </w:p>
    <w:p w14:paraId="17A254E3" w14:textId="219359A4"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 Resolución CREG 097 de 2021, mediante la cual se resolvieron las solicitudes hechas por Promigas S.A. E.S.P. para la aplicación del artículo 14 de la Resolución CREG 126 de 2010.</w:t>
      </w:r>
    </w:p>
    <w:p w14:paraId="7FD62D2F" w14:textId="71966D06"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 xml:space="preserve">- Resolución CREG 098 de 2021, mediante la cual se resolvió la solicitud hecha por </w:t>
      </w:r>
      <w:proofErr w:type="spellStart"/>
      <w:r w:rsidRPr="00947662">
        <w:rPr>
          <w:i/>
          <w:iCs/>
          <w:sz w:val="22"/>
          <w:szCs w:val="22"/>
          <w:lang w:val="es-CO"/>
        </w:rPr>
        <w:t>Promioriente</w:t>
      </w:r>
      <w:proofErr w:type="spellEnd"/>
      <w:r w:rsidRPr="00947662">
        <w:rPr>
          <w:i/>
          <w:iCs/>
          <w:sz w:val="22"/>
          <w:szCs w:val="22"/>
          <w:lang w:val="es-CO"/>
        </w:rPr>
        <w:t xml:space="preserve"> S.A. E.S.P. para la aplicación del artículo 14 de la Resolución CREG 126 de 2010.</w:t>
      </w:r>
    </w:p>
    <w:p w14:paraId="7D387FF7" w14:textId="16180AA6"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 xml:space="preserve">- Resolución CREG 099 de 2021, mediante la cual se resolvieron las solicitudes hechas por </w:t>
      </w:r>
      <w:proofErr w:type="spellStart"/>
      <w:r w:rsidRPr="00947662">
        <w:rPr>
          <w:i/>
          <w:iCs/>
          <w:sz w:val="22"/>
          <w:szCs w:val="22"/>
          <w:lang w:val="es-CO"/>
        </w:rPr>
        <w:t>TGI</w:t>
      </w:r>
      <w:proofErr w:type="spellEnd"/>
      <w:r w:rsidRPr="00947662">
        <w:rPr>
          <w:i/>
          <w:iCs/>
          <w:sz w:val="22"/>
          <w:szCs w:val="22"/>
          <w:lang w:val="es-CO"/>
        </w:rPr>
        <w:t xml:space="preserve"> S.A. E.S.P. para la aplicación del artículo 14 de la Resolución CREG 126 de 2010.</w:t>
      </w:r>
    </w:p>
    <w:p w14:paraId="323141E2" w14:textId="3FF6B918"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 xml:space="preserve">- Resolución CREG 100 de 2021, mediante la cual se resolvió la solicitud hecha por </w:t>
      </w:r>
      <w:proofErr w:type="spellStart"/>
      <w:r w:rsidRPr="00947662">
        <w:rPr>
          <w:i/>
          <w:iCs/>
          <w:sz w:val="22"/>
          <w:szCs w:val="22"/>
          <w:lang w:val="es-CO"/>
        </w:rPr>
        <w:t>Transmetano</w:t>
      </w:r>
      <w:proofErr w:type="spellEnd"/>
      <w:r w:rsidRPr="00947662">
        <w:rPr>
          <w:i/>
          <w:iCs/>
          <w:sz w:val="22"/>
          <w:szCs w:val="22"/>
          <w:lang w:val="es-CO"/>
        </w:rPr>
        <w:t xml:space="preserve"> E.S.P. S.A. para la aplicación del artículo 14 de la Resolución CREG 126 de 2010.</w:t>
      </w:r>
    </w:p>
    <w:p w14:paraId="2E21FD0E" w14:textId="57AFE0D1"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 xml:space="preserve">- Resolución CREG 101 de 2021, mediante la cual se resolvió la solicitud hecha por </w:t>
      </w:r>
      <w:proofErr w:type="spellStart"/>
      <w:r w:rsidRPr="00947662">
        <w:rPr>
          <w:i/>
          <w:iCs/>
          <w:sz w:val="22"/>
          <w:szCs w:val="22"/>
          <w:lang w:val="es-CO"/>
        </w:rPr>
        <w:t>Transoccidente</w:t>
      </w:r>
      <w:proofErr w:type="spellEnd"/>
      <w:r w:rsidRPr="00947662">
        <w:rPr>
          <w:i/>
          <w:iCs/>
          <w:sz w:val="22"/>
          <w:szCs w:val="22"/>
          <w:lang w:val="es-CO"/>
        </w:rPr>
        <w:t xml:space="preserve"> S.A. E.S.P. para la aplicación del artículo 14 de la Resolución CREG 126 de 2010.</w:t>
      </w:r>
    </w:p>
    <w:p w14:paraId="36235CE6" w14:textId="4313FFF7"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Cuando se emite la Resolución CREG 175 de 2021, las anteriores decisiones ya se habían tomado y frente a las situaciones en curso, se debía proteger la expectativa legítima de quienes habían cumplido el procedimiento de valoración vigente y estaban a espera de la decisión de la autoridad reguladora, lo cual se atiende con las normas de transición entre las dos metodologías. Así, lo único que hace el artículo 7, como se menciona arriba, es precisar que la CREG respetaría los actos administrativos ya decididos y daría igual tratamiento a las situaciones en curso.</w:t>
      </w:r>
    </w:p>
    <w:p w14:paraId="05AFAE69" w14:textId="1C08E7CA" w:rsidR="00E52716" w:rsidRPr="00947662" w:rsidRDefault="00E52716" w:rsidP="00947662">
      <w:pPr>
        <w:pStyle w:val="NormalWeb"/>
        <w:spacing w:after="0" w:afterAutospacing="0" w:line="240" w:lineRule="auto"/>
        <w:ind w:left="227"/>
        <w:rPr>
          <w:i/>
          <w:iCs/>
          <w:sz w:val="22"/>
          <w:szCs w:val="22"/>
          <w:lang w:val="es-CO"/>
        </w:rPr>
      </w:pPr>
      <w:r w:rsidRPr="00947662">
        <w:rPr>
          <w:i/>
          <w:iCs/>
          <w:sz w:val="22"/>
          <w:szCs w:val="22"/>
          <w:lang w:val="es-CO"/>
        </w:rPr>
        <w:t>Ahora bien, sobre cómo remunerar un activo después del periodo de vida útil normativo, se remite al análisis que se hace en la sección 2.1 de esta parte motiva.</w:t>
      </w:r>
      <w:r w:rsidR="00EC1353">
        <w:rPr>
          <w:i/>
          <w:iCs/>
          <w:sz w:val="22"/>
          <w:szCs w:val="22"/>
          <w:lang w:val="es-CO"/>
        </w:rPr>
        <w:t xml:space="preserve">” </w:t>
      </w:r>
    </w:p>
    <w:p w14:paraId="3FC2B73B" w14:textId="77777777" w:rsidR="00E52716" w:rsidRDefault="00E52716" w:rsidP="00E52716">
      <w:pPr>
        <w:jc w:val="both"/>
        <w:rPr>
          <w:rFonts w:ascii="Bookman Old Style" w:hAnsi="Bookman Old Style" w:cs="Arial"/>
          <w:bCs/>
          <w:color w:val="000000"/>
          <w:lang w:val="es-ES"/>
        </w:rPr>
      </w:pPr>
    </w:p>
    <w:p w14:paraId="01E12EEE" w14:textId="1F6DA98C" w:rsidR="007038A5" w:rsidRDefault="007038A5" w:rsidP="00E52716">
      <w:pPr>
        <w:jc w:val="both"/>
        <w:rPr>
          <w:rFonts w:ascii="Bookman Old Style" w:hAnsi="Bookman Old Style" w:cs="Arial"/>
          <w:bCs/>
          <w:color w:val="000000"/>
          <w:lang w:val="es-ES"/>
        </w:rPr>
      </w:pPr>
      <w:r w:rsidRPr="007038A5">
        <w:rPr>
          <w:rFonts w:ascii="Bookman Old Style" w:hAnsi="Bookman Old Style" w:cs="Arial"/>
          <w:bCs/>
          <w:color w:val="000000"/>
          <w:lang w:val="es-ES"/>
        </w:rPr>
        <w:t xml:space="preserve">De acuerdo con </w:t>
      </w:r>
      <w:r w:rsidR="00872768">
        <w:rPr>
          <w:rFonts w:ascii="Bookman Old Style" w:hAnsi="Bookman Old Style" w:cs="Arial"/>
          <w:bCs/>
          <w:color w:val="000000"/>
          <w:lang w:val="es-ES"/>
        </w:rPr>
        <w:t>lo anterior</w:t>
      </w:r>
      <w:r w:rsidR="001A52BD">
        <w:rPr>
          <w:rFonts w:ascii="Bookman Old Style" w:hAnsi="Bookman Old Style" w:cs="Arial"/>
          <w:bCs/>
          <w:color w:val="000000"/>
          <w:lang w:val="es-ES"/>
        </w:rPr>
        <w:t xml:space="preserve"> y una vez adelantado el proceso de consulta</w:t>
      </w:r>
      <w:r w:rsidRPr="007038A5">
        <w:rPr>
          <w:rFonts w:ascii="Bookman Old Style" w:hAnsi="Bookman Old Style" w:cs="Arial"/>
          <w:bCs/>
          <w:color w:val="000000"/>
          <w:lang w:val="es-ES"/>
        </w:rPr>
        <w:t xml:space="preserve">, </w:t>
      </w:r>
      <w:r w:rsidR="001A52BD">
        <w:rPr>
          <w:rFonts w:ascii="Bookman Old Style" w:hAnsi="Bookman Old Style" w:cs="Arial"/>
          <w:bCs/>
          <w:color w:val="000000"/>
          <w:lang w:val="es-ES"/>
        </w:rPr>
        <w:t>la Comisión encuentra que el anterior análisis sig</w:t>
      </w:r>
      <w:r w:rsidR="00FC0DE2">
        <w:rPr>
          <w:rFonts w:ascii="Bookman Old Style" w:hAnsi="Bookman Old Style" w:cs="Arial"/>
          <w:bCs/>
          <w:color w:val="000000"/>
          <w:lang w:val="es-ES"/>
        </w:rPr>
        <w:t>u</w:t>
      </w:r>
      <w:r w:rsidR="001A52BD">
        <w:rPr>
          <w:rFonts w:ascii="Bookman Old Style" w:hAnsi="Bookman Old Style" w:cs="Arial"/>
          <w:bCs/>
          <w:color w:val="000000"/>
          <w:lang w:val="es-ES"/>
        </w:rPr>
        <w:t>e siendo procedente</w:t>
      </w:r>
      <w:r w:rsidR="00FC0DE2">
        <w:rPr>
          <w:rFonts w:ascii="Bookman Old Style" w:hAnsi="Bookman Old Style" w:cs="Arial"/>
          <w:bCs/>
          <w:color w:val="000000"/>
          <w:lang w:val="es-ES"/>
        </w:rPr>
        <w:t xml:space="preserve">, toda vez que no se encuentran argumentos nuevos o adicionales que motiven </w:t>
      </w:r>
      <w:r w:rsidR="00FE3492">
        <w:rPr>
          <w:rFonts w:ascii="Bookman Old Style" w:hAnsi="Bookman Old Style" w:cs="Arial"/>
          <w:bCs/>
          <w:color w:val="000000"/>
          <w:lang w:val="es-ES"/>
        </w:rPr>
        <w:t xml:space="preserve">algo </w:t>
      </w:r>
      <w:r w:rsidR="00FC0DE2">
        <w:rPr>
          <w:rFonts w:ascii="Bookman Old Style" w:hAnsi="Bookman Old Style" w:cs="Arial"/>
          <w:bCs/>
          <w:color w:val="000000"/>
          <w:lang w:val="es-ES"/>
        </w:rPr>
        <w:t>diferente a l</w:t>
      </w:r>
      <w:r w:rsidR="00FE3492">
        <w:rPr>
          <w:rFonts w:ascii="Bookman Old Style" w:hAnsi="Bookman Old Style" w:cs="Arial"/>
          <w:bCs/>
          <w:color w:val="000000"/>
          <w:lang w:val="es-ES"/>
        </w:rPr>
        <w:t>o</w:t>
      </w:r>
      <w:r w:rsidR="00FC0DE2">
        <w:rPr>
          <w:rFonts w:ascii="Bookman Old Style" w:hAnsi="Bookman Old Style" w:cs="Arial"/>
          <w:bCs/>
          <w:color w:val="000000"/>
          <w:lang w:val="es-ES"/>
        </w:rPr>
        <w:t xml:space="preserve"> consignada a la Resolución </w:t>
      </w:r>
      <w:proofErr w:type="spellStart"/>
      <w:r w:rsidR="00FC0DE2">
        <w:rPr>
          <w:rFonts w:ascii="Bookman Old Style" w:hAnsi="Bookman Old Style" w:cs="Arial"/>
          <w:bCs/>
          <w:color w:val="000000"/>
          <w:lang w:val="es-ES"/>
        </w:rPr>
        <w:t>CREG</w:t>
      </w:r>
      <w:proofErr w:type="spellEnd"/>
      <w:r w:rsidR="00FC0DE2">
        <w:rPr>
          <w:rFonts w:ascii="Bookman Old Style" w:hAnsi="Bookman Old Style" w:cs="Arial"/>
          <w:bCs/>
          <w:color w:val="000000"/>
          <w:lang w:val="es-ES"/>
        </w:rPr>
        <w:t xml:space="preserve"> 702 009 de 2022. </w:t>
      </w:r>
    </w:p>
    <w:p w14:paraId="151C8597" w14:textId="77777777" w:rsidR="00FC0DE2" w:rsidRDefault="00FC0DE2" w:rsidP="00E52716">
      <w:pPr>
        <w:jc w:val="both"/>
        <w:rPr>
          <w:rFonts w:ascii="Bookman Old Style" w:hAnsi="Bookman Old Style" w:cs="Arial"/>
          <w:bCs/>
          <w:color w:val="000000"/>
          <w:lang w:val="es-ES"/>
        </w:rPr>
      </w:pPr>
    </w:p>
    <w:p w14:paraId="66DF85CB" w14:textId="181D795D" w:rsidR="00EC1353" w:rsidRDefault="00771385" w:rsidP="00E52716">
      <w:pPr>
        <w:jc w:val="both"/>
        <w:rPr>
          <w:rFonts w:ascii="Bookman Old Style" w:hAnsi="Bookman Old Style" w:cs="Arial"/>
          <w:bCs/>
          <w:color w:val="000000"/>
          <w:lang w:val="es-ES"/>
        </w:rPr>
      </w:pPr>
      <w:r>
        <w:rPr>
          <w:rFonts w:ascii="Bookman Old Style" w:hAnsi="Bookman Old Style" w:cs="Arial"/>
          <w:bCs/>
          <w:color w:val="000000"/>
          <w:lang w:val="es-ES"/>
        </w:rPr>
        <w:lastRenderedPageBreak/>
        <w:t xml:space="preserve">En relación con </w:t>
      </w:r>
      <w:r w:rsidR="0015664C">
        <w:rPr>
          <w:rFonts w:ascii="Bookman Old Style" w:hAnsi="Bookman Old Style" w:cs="Arial"/>
          <w:bCs/>
          <w:color w:val="000000"/>
          <w:lang w:val="es-ES"/>
        </w:rPr>
        <w:t>lo señalado</w:t>
      </w:r>
      <w:r>
        <w:rPr>
          <w:rFonts w:ascii="Bookman Old Style" w:hAnsi="Bookman Old Style" w:cs="Arial"/>
          <w:bCs/>
          <w:color w:val="000000"/>
          <w:lang w:val="es-ES"/>
        </w:rPr>
        <w:t xml:space="preserve">, dentro del trámite de la actuación administrativa no se </w:t>
      </w:r>
      <w:r w:rsidR="005B5D95">
        <w:rPr>
          <w:rFonts w:ascii="Bookman Old Style" w:hAnsi="Bookman Old Style" w:cs="Arial"/>
          <w:bCs/>
          <w:color w:val="000000"/>
          <w:lang w:val="es-ES"/>
        </w:rPr>
        <w:t xml:space="preserve">ha </w:t>
      </w:r>
      <w:r>
        <w:rPr>
          <w:rFonts w:ascii="Bookman Old Style" w:hAnsi="Bookman Old Style" w:cs="Arial"/>
          <w:bCs/>
          <w:color w:val="000000"/>
          <w:lang w:val="es-ES"/>
        </w:rPr>
        <w:t xml:space="preserve">logrado demostrar la existencia de una lesión injusta en contra de los usuarios, ni tampoco en contra de las empresas, </w:t>
      </w:r>
      <w:r w:rsidR="001C010A">
        <w:rPr>
          <w:rFonts w:ascii="Bookman Old Style" w:hAnsi="Bookman Old Style" w:cs="Arial"/>
          <w:bCs/>
          <w:color w:val="000000"/>
          <w:lang w:val="es-ES"/>
        </w:rPr>
        <w:t>en</w:t>
      </w:r>
      <w:r>
        <w:rPr>
          <w:rFonts w:ascii="Bookman Old Style" w:hAnsi="Bookman Old Style" w:cs="Arial"/>
          <w:bCs/>
          <w:color w:val="000000"/>
          <w:lang w:val="es-ES"/>
        </w:rPr>
        <w:t xml:space="preserve"> los términos que se expone en el ac</w:t>
      </w:r>
      <w:r w:rsidR="001C010A">
        <w:rPr>
          <w:rFonts w:ascii="Bookman Old Style" w:hAnsi="Bookman Old Style" w:cs="Arial"/>
          <w:bCs/>
          <w:color w:val="000000"/>
          <w:lang w:val="es-ES"/>
        </w:rPr>
        <w:t>ápite</w:t>
      </w:r>
      <w:r>
        <w:rPr>
          <w:rFonts w:ascii="Bookman Old Style" w:hAnsi="Bookman Old Style" w:cs="Arial"/>
          <w:bCs/>
          <w:color w:val="000000"/>
          <w:lang w:val="es-ES"/>
        </w:rPr>
        <w:t xml:space="preserve"> siguiente, toda vez que</w:t>
      </w:r>
      <w:r w:rsidR="001C010A">
        <w:rPr>
          <w:rFonts w:ascii="Bookman Old Style" w:hAnsi="Bookman Old Style" w:cs="Arial"/>
          <w:bCs/>
          <w:color w:val="000000"/>
          <w:lang w:val="es-ES"/>
        </w:rPr>
        <w:t xml:space="preserve"> la aplicación de los artículos 6, 7 y 27</w:t>
      </w:r>
      <w:r w:rsidR="00656651">
        <w:rPr>
          <w:rFonts w:ascii="Bookman Old Style" w:hAnsi="Bookman Old Style" w:cs="Arial"/>
          <w:bCs/>
          <w:color w:val="000000"/>
          <w:lang w:val="es-ES"/>
        </w:rPr>
        <w:t xml:space="preserve"> se hizo atendiendo el cumplimiento de lo dispuesto en la Resolución </w:t>
      </w:r>
      <w:proofErr w:type="spellStart"/>
      <w:r w:rsidR="00656651">
        <w:rPr>
          <w:rFonts w:ascii="Bookman Old Style" w:hAnsi="Bookman Old Style" w:cs="Arial"/>
          <w:bCs/>
          <w:color w:val="000000"/>
          <w:lang w:val="es-ES"/>
        </w:rPr>
        <w:t>CREG</w:t>
      </w:r>
      <w:proofErr w:type="spellEnd"/>
      <w:r w:rsidR="00656651">
        <w:rPr>
          <w:rFonts w:ascii="Bookman Old Style" w:hAnsi="Bookman Old Style" w:cs="Arial"/>
          <w:bCs/>
          <w:color w:val="000000"/>
          <w:lang w:val="es-ES"/>
        </w:rPr>
        <w:t xml:space="preserve"> 126 de 2010 para los activos que cumplieron su vida útil normativa durante la vigencia de dicha metodología.</w:t>
      </w:r>
    </w:p>
    <w:p w14:paraId="200B2446" w14:textId="77777777" w:rsidR="00656651" w:rsidRDefault="00656651" w:rsidP="00E52716">
      <w:pPr>
        <w:jc w:val="both"/>
        <w:rPr>
          <w:rFonts w:ascii="Bookman Old Style" w:hAnsi="Bookman Old Style" w:cs="Arial"/>
          <w:bCs/>
          <w:color w:val="000000"/>
          <w:lang w:val="es-ES"/>
        </w:rPr>
      </w:pPr>
    </w:p>
    <w:p w14:paraId="5BF74A0D" w14:textId="2BF8A0CC" w:rsidR="00266651" w:rsidRDefault="00AC02C5" w:rsidP="00E52716">
      <w:pPr>
        <w:jc w:val="both"/>
        <w:rPr>
          <w:rFonts w:ascii="Bookman Old Style" w:hAnsi="Bookman Old Style" w:cs="Arial"/>
          <w:bCs/>
          <w:color w:val="000000"/>
          <w:lang w:val="es-ES"/>
        </w:rPr>
      </w:pPr>
      <w:r>
        <w:rPr>
          <w:rFonts w:ascii="Bookman Old Style" w:hAnsi="Bookman Old Style" w:cs="Arial"/>
          <w:bCs/>
          <w:color w:val="000000"/>
          <w:lang w:val="es-ES"/>
        </w:rPr>
        <w:t xml:space="preserve">De acuerdo con esto, </w:t>
      </w:r>
      <w:r w:rsidR="0051689C">
        <w:rPr>
          <w:rFonts w:ascii="Bookman Old Style" w:hAnsi="Bookman Old Style" w:cs="Arial"/>
          <w:bCs/>
          <w:color w:val="000000"/>
          <w:lang w:val="es-ES"/>
        </w:rPr>
        <w:t xml:space="preserve">entiende la Comisión que para los activos que cumplieron su vida útil normativa dentro de la vigencia de la Resolución </w:t>
      </w:r>
      <w:proofErr w:type="spellStart"/>
      <w:r w:rsidR="0051689C">
        <w:rPr>
          <w:rFonts w:ascii="Bookman Old Style" w:hAnsi="Bookman Old Style" w:cs="Arial"/>
          <w:bCs/>
          <w:color w:val="000000"/>
          <w:lang w:val="es-ES"/>
        </w:rPr>
        <w:t>CREG</w:t>
      </w:r>
      <w:proofErr w:type="spellEnd"/>
      <w:r w:rsidR="0051689C">
        <w:rPr>
          <w:rFonts w:ascii="Bookman Old Style" w:hAnsi="Bookman Old Style" w:cs="Arial"/>
          <w:bCs/>
          <w:color w:val="000000"/>
          <w:lang w:val="es-ES"/>
        </w:rPr>
        <w:t xml:space="preserve"> 126 de 2010</w:t>
      </w:r>
      <w:r w:rsidR="00834278">
        <w:rPr>
          <w:rFonts w:ascii="Bookman Old Style" w:hAnsi="Bookman Old Style" w:cs="Arial"/>
          <w:bCs/>
          <w:color w:val="000000"/>
          <w:lang w:val="es-ES"/>
        </w:rPr>
        <w:t xml:space="preserve"> se aplicó un mecanismo de incentivos donde dicho valor ha de cubrir todos </w:t>
      </w:r>
      <w:r w:rsidR="00E33C94">
        <w:rPr>
          <w:rFonts w:ascii="Bookman Old Style" w:hAnsi="Bookman Old Style" w:cs="Arial"/>
          <w:bCs/>
          <w:color w:val="000000"/>
          <w:lang w:val="es-ES"/>
        </w:rPr>
        <w:t xml:space="preserve">eventos </w:t>
      </w:r>
      <w:r w:rsidR="00266651">
        <w:rPr>
          <w:rFonts w:ascii="Bookman Old Style" w:hAnsi="Bookman Old Style" w:cs="Arial"/>
          <w:bCs/>
          <w:color w:val="000000"/>
          <w:lang w:val="es-ES"/>
        </w:rPr>
        <w:t xml:space="preserve">ordinarios y/o extraordinarios </w:t>
      </w:r>
      <w:r w:rsidR="00E33C94">
        <w:rPr>
          <w:rFonts w:ascii="Bookman Old Style" w:hAnsi="Bookman Old Style" w:cs="Arial"/>
          <w:bCs/>
          <w:color w:val="000000"/>
          <w:lang w:val="es-ES"/>
        </w:rPr>
        <w:t>que ocurran durante un período de 20 años en los que se lleve la prestación</w:t>
      </w:r>
      <w:r w:rsidR="00266651">
        <w:rPr>
          <w:rFonts w:ascii="Bookman Old Style" w:hAnsi="Bookman Old Style" w:cs="Arial"/>
          <w:bCs/>
          <w:color w:val="000000"/>
          <w:lang w:val="es-ES"/>
        </w:rPr>
        <w:t xml:space="preserve"> del servicio público domiciliario.</w:t>
      </w:r>
    </w:p>
    <w:p w14:paraId="679EBB57" w14:textId="77777777" w:rsidR="00266651" w:rsidRDefault="00266651" w:rsidP="00E52716">
      <w:pPr>
        <w:jc w:val="both"/>
        <w:rPr>
          <w:rFonts w:ascii="Bookman Old Style" w:hAnsi="Bookman Old Style" w:cs="Arial"/>
          <w:bCs/>
          <w:color w:val="000000"/>
          <w:lang w:val="es-ES"/>
        </w:rPr>
      </w:pPr>
    </w:p>
    <w:p w14:paraId="0E761A5B" w14:textId="0EC2D538" w:rsidR="00DB2B3F" w:rsidRDefault="006657D3" w:rsidP="00E52716">
      <w:pPr>
        <w:jc w:val="both"/>
        <w:rPr>
          <w:rFonts w:ascii="Bookman Old Style" w:hAnsi="Bookman Old Style" w:cs="Arial"/>
          <w:bCs/>
          <w:color w:val="000000"/>
          <w:lang w:val="es-ES"/>
        </w:rPr>
      </w:pPr>
      <w:r>
        <w:rPr>
          <w:rFonts w:ascii="Bookman Old Style" w:hAnsi="Bookman Old Style" w:cs="Arial"/>
          <w:bCs/>
          <w:color w:val="000000"/>
          <w:lang w:val="es-ES"/>
        </w:rPr>
        <w:t xml:space="preserve">Así mismo, </w:t>
      </w:r>
      <w:r w:rsidR="00C6207D">
        <w:rPr>
          <w:rFonts w:ascii="Bookman Old Style" w:hAnsi="Bookman Old Style" w:cs="Arial"/>
          <w:bCs/>
          <w:color w:val="000000"/>
          <w:lang w:val="es-ES"/>
        </w:rPr>
        <w:t>frente a la aplicación de este incentivo</w:t>
      </w:r>
      <w:r w:rsidR="00701A1F">
        <w:rPr>
          <w:rFonts w:ascii="Bookman Old Style" w:hAnsi="Bookman Old Style" w:cs="Arial"/>
          <w:bCs/>
          <w:color w:val="000000"/>
          <w:lang w:val="es-ES"/>
        </w:rPr>
        <w:t>,</w:t>
      </w:r>
      <w:r w:rsidR="00C6207D">
        <w:rPr>
          <w:rFonts w:ascii="Bookman Old Style" w:hAnsi="Bookman Old Style" w:cs="Arial"/>
          <w:bCs/>
          <w:color w:val="000000"/>
          <w:lang w:val="es-ES"/>
        </w:rPr>
        <w:t xml:space="preserve"> </w:t>
      </w:r>
      <w:r w:rsidR="002356A0">
        <w:rPr>
          <w:rFonts w:ascii="Bookman Old Style" w:hAnsi="Bookman Old Style" w:cs="Arial"/>
          <w:bCs/>
          <w:color w:val="000000"/>
          <w:lang w:val="es-ES"/>
        </w:rPr>
        <w:t xml:space="preserve">lo que se pudo evidenciar </w:t>
      </w:r>
      <w:r w:rsidR="00D63A9D">
        <w:rPr>
          <w:rFonts w:ascii="Bookman Old Style" w:hAnsi="Bookman Old Style" w:cs="Arial"/>
          <w:bCs/>
          <w:color w:val="000000"/>
          <w:lang w:val="es-ES"/>
        </w:rPr>
        <w:t xml:space="preserve">es que no se debía mantener la misma regla prevista en la Resolución </w:t>
      </w:r>
      <w:proofErr w:type="spellStart"/>
      <w:r w:rsidR="00D63A9D">
        <w:rPr>
          <w:rFonts w:ascii="Bookman Old Style" w:hAnsi="Bookman Old Style" w:cs="Arial"/>
          <w:bCs/>
          <w:color w:val="000000"/>
          <w:lang w:val="es-ES"/>
        </w:rPr>
        <w:t>CREG</w:t>
      </w:r>
      <w:proofErr w:type="spellEnd"/>
      <w:r w:rsidR="00D63A9D">
        <w:rPr>
          <w:rFonts w:ascii="Bookman Old Style" w:hAnsi="Bookman Old Style" w:cs="Arial"/>
          <w:bCs/>
          <w:color w:val="000000"/>
          <w:lang w:val="es-ES"/>
        </w:rPr>
        <w:t xml:space="preserve"> 126 de 2010</w:t>
      </w:r>
      <w:r w:rsidR="00DB2B3F">
        <w:rPr>
          <w:rFonts w:ascii="Bookman Old Style" w:hAnsi="Bookman Old Style" w:cs="Arial"/>
          <w:bCs/>
          <w:color w:val="000000"/>
          <w:lang w:val="es-ES"/>
        </w:rPr>
        <w:t xml:space="preserve">, </w:t>
      </w:r>
      <w:r w:rsidR="00974272">
        <w:rPr>
          <w:rFonts w:ascii="Bookman Old Style" w:hAnsi="Bookman Old Style" w:cs="Arial"/>
          <w:bCs/>
          <w:color w:val="000000"/>
          <w:lang w:val="es-ES"/>
        </w:rPr>
        <w:t>de ahí que</w:t>
      </w:r>
      <w:r w:rsidR="00664130">
        <w:rPr>
          <w:rFonts w:ascii="Bookman Old Style" w:hAnsi="Bookman Old Style" w:cs="Arial"/>
          <w:bCs/>
          <w:color w:val="000000"/>
          <w:lang w:val="es-ES"/>
        </w:rPr>
        <w:t xml:space="preserve"> </w:t>
      </w:r>
      <w:r w:rsidR="00C7768A">
        <w:rPr>
          <w:rFonts w:ascii="Bookman Old Style" w:hAnsi="Bookman Old Style" w:cs="Arial"/>
          <w:bCs/>
          <w:color w:val="000000"/>
          <w:lang w:val="es-ES"/>
        </w:rPr>
        <w:t xml:space="preserve">las </w:t>
      </w:r>
      <w:r w:rsidR="003668CA">
        <w:rPr>
          <w:rFonts w:ascii="Bookman Old Style" w:hAnsi="Bookman Old Style" w:cs="Arial"/>
          <w:bCs/>
          <w:color w:val="000000"/>
          <w:lang w:val="es-ES"/>
        </w:rPr>
        <w:t xml:space="preserve">reglas actuales previstas en la Resolución </w:t>
      </w:r>
      <w:proofErr w:type="spellStart"/>
      <w:r w:rsidR="003668CA">
        <w:rPr>
          <w:rFonts w:ascii="Bookman Old Style" w:hAnsi="Bookman Old Style" w:cs="Arial"/>
          <w:bCs/>
          <w:color w:val="000000"/>
          <w:lang w:val="es-ES"/>
        </w:rPr>
        <w:t>CREG</w:t>
      </w:r>
      <w:proofErr w:type="spellEnd"/>
      <w:r w:rsidR="003668CA">
        <w:rPr>
          <w:rFonts w:ascii="Bookman Old Style" w:hAnsi="Bookman Old Style" w:cs="Arial"/>
          <w:bCs/>
          <w:color w:val="000000"/>
          <w:lang w:val="es-ES"/>
        </w:rPr>
        <w:t xml:space="preserve"> 175 de 2021</w:t>
      </w:r>
      <w:r w:rsidR="00C15FDF">
        <w:rPr>
          <w:rFonts w:ascii="Bookman Old Style" w:hAnsi="Bookman Old Style" w:cs="Arial"/>
          <w:bCs/>
          <w:color w:val="000000"/>
          <w:lang w:val="es-ES"/>
        </w:rPr>
        <w:t xml:space="preserve"> </w:t>
      </w:r>
      <w:r w:rsidR="00DB7C80">
        <w:rPr>
          <w:rFonts w:ascii="Bookman Old Style" w:hAnsi="Bookman Old Style" w:cs="Arial"/>
          <w:bCs/>
          <w:color w:val="000000"/>
          <w:lang w:val="es-ES"/>
        </w:rPr>
        <w:t>definen en mejo</w:t>
      </w:r>
      <w:r w:rsidR="00674603">
        <w:rPr>
          <w:rFonts w:ascii="Bookman Old Style" w:hAnsi="Bookman Old Style" w:cs="Arial"/>
          <w:bCs/>
          <w:color w:val="000000"/>
          <w:lang w:val="es-ES"/>
        </w:rPr>
        <w:t>r forma la aplicación de este in</w:t>
      </w:r>
      <w:r w:rsidR="003C2D2E">
        <w:rPr>
          <w:rFonts w:ascii="Bookman Old Style" w:hAnsi="Bookman Old Style" w:cs="Arial"/>
          <w:bCs/>
          <w:color w:val="000000"/>
          <w:lang w:val="es-ES"/>
        </w:rPr>
        <w:t>centivo</w:t>
      </w:r>
      <w:r w:rsidR="007005C7">
        <w:rPr>
          <w:rFonts w:ascii="Bookman Old Style" w:hAnsi="Bookman Old Style" w:cs="Arial"/>
          <w:bCs/>
          <w:color w:val="000000"/>
          <w:lang w:val="es-ES"/>
        </w:rPr>
        <w:t xml:space="preserve">, </w:t>
      </w:r>
      <w:r w:rsidR="0085763F">
        <w:rPr>
          <w:rFonts w:ascii="Bookman Old Style" w:hAnsi="Bookman Old Style" w:cs="Arial"/>
          <w:bCs/>
          <w:color w:val="000000"/>
          <w:lang w:val="es-ES"/>
        </w:rPr>
        <w:t xml:space="preserve">buscando un mayor grado de eficiencia </w:t>
      </w:r>
      <w:r w:rsidR="0069140E">
        <w:rPr>
          <w:rFonts w:ascii="Bookman Old Style" w:hAnsi="Bookman Old Style" w:cs="Arial"/>
          <w:bCs/>
          <w:color w:val="000000"/>
          <w:lang w:val="es-ES"/>
        </w:rPr>
        <w:t xml:space="preserve">frente a la forma de </w:t>
      </w:r>
      <w:r w:rsidR="00E377F3">
        <w:rPr>
          <w:rFonts w:ascii="Bookman Old Style" w:hAnsi="Bookman Old Style" w:cs="Arial"/>
          <w:bCs/>
          <w:color w:val="000000"/>
          <w:lang w:val="es-ES"/>
        </w:rPr>
        <w:t xml:space="preserve">reconocer los costos de los activos que </w:t>
      </w:r>
      <w:r w:rsidR="00D4127E">
        <w:rPr>
          <w:rFonts w:ascii="Bookman Old Style" w:hAnsi="Bookman Old Style" w:cs="Arial"/>
          <w:bCs/>
          <w:color w:val="000000"/>
          <w:lang w:val="es-ES"/>
        </w:rPr>
        <w:t>cumplen vida útil normativa</w:t>
      </w:r>
      <w:r w:rsidR="00C06653">
        <w:rPr>
          <w:rFonts w:ascii="Bookman Old Style" w:hAnsi="Bookman Old Style" w:cs="Arial"/>
          <w:bCs/>
          <w:color w:val="000000"/>
          <w:lang w:val="es-ES"/>
        </w:rPr>
        <w:t>.</w:t>
      </w:r>
    </w:p>
    <w:p w14:paraId="4DC7C86D" w14:textId="77777777" w:rsidR="00DB2B3F" w:rsidRDefault="00DB2B3F" w:rsidP="00E52716">
      <w:pPr>
        <w:jc w:val="both"/>
        <w:rPr>
          <w:rFonts w:ascii="Bookman Old Style" w:hAnsi="Bookman Old Style" w:cs="Arial"/>
          <w:bCs/>
          <w:color w:val="000000"/>
          <w:lang w:val="es-ES"/>
        </w:rPr>
      </w:pPr>
    </w:p>
    <w:p w14:paraId="23355D94" w14:textId="60B24FB7" w:rsidR="009510CC" w:rsidRDefault="009510CC" w:rsidP="00E52716">
      <w:pPr>
        <w:jc w:val="both"/>
        <w:rPr>
          <w:rFonts w:ascii="Bookman Old Style" w:hAnsi="Bookman Old Style" w:cs="Arial"/>
          <w:bCs/>
          <w:color w:val="000000"/>
          <w:lang w:val="es-ES"/>
        </w:rPr>
      </w:pPr>
      <w:r>
        <w:rPr>
          <w:rFonts w:ascii="Bookman Old Style" w:hAnsi="Bookman Old Style" w:cs="Arial"/>
          <w:bCs/>
          <w:color w:val="000000"/>
          <w:lang w:val="es-ES"/>
        </w:rPr>
        <w:t xml:space="preserve">En este sentido, las disposiciones previstas en la metodología en materia de la vida útil normativa han buscado generar </w:t>
      </w:r>
      <w:r w:rsidRPr="009510CC">
        <w:rPr>
          <w:rFonts w:ascii="Bookman Old Style" w:hAnsi="Bookman Old Style" w:cs="Arial"/>
          <w:bCs/>
          <w:color w:val="000000"/>
          <w:lang w:val="es-ES"/>
        </w:rPr>
        <w:t xml:space="preserve">señales regulatorias </w:t>
      </w:r>
      <w:r>
        <w:rPr>
          <w:rFonts w:ascii="Bookman Old Style" w:hAnsi="Bookman Old Style" w:cs="Arial"/>
          <w:bCs/>
          <w:color w:val="000000"/>
          <w:lang w:val="es-ES"/>
        </w:rPr>
        <w:t>a través de una regla de incentivos en donde los valores reconocidos permitan</w:t>
      </w:r>
      <w:r w:rsidRPr="009510CC">
        <w:rPr>
          <w:rFonts w:ascii="Bookman Old Style" w:hAnsi="Bookman Old Style" w:cs="Arial"/>
          <w:bCs/>
          <w:color w:val="000000"/>
          <w:lang w:val="es-ES"/>
        </w:rPr>
        <w:t xml:space="preserve"> asumir los riesgos de inversión, incertidumbres y eventos no previsibles</w:t>
      </w:r>
      <w:r>
        <w:rPr>
          <w:rFonts w:ascii="Bookman Old Style" w:hAnsi="Bookman Old Style" w:cs="Arial"/>
          <w:bCs/>
          <w:color w:val="000000"/>
          <w:lang w:val="es-ES"/>
        </w:rPr>
        <w:t xml:space="preserve"> por parte de los agentes transportadores, lo cual </w:t>
      </w:r>
      <w:r w:rsidR="004B7846">
        <w:rPr>
          <w:rFonts w:ascii="Bookman Old Style" w:hAnsi="Bookman Old Style" w:cs="Arial"/>
          <w:bCs/>
          <w:color w:val="000000"/>
          <w:lang w:val="es-ES"/>
        </w:rPr>
        <w:t>ha sido posible hasta ahora.</w:t>
      </w:r>
    </w:p>
    <w:p w14:paraId="4FD71BE9" w14:textId="77777777" w:rsidR="00E72615" w:rsidRDefault="00E72615" w:rsidP="00E52716">
      <w:pPr>
        <w:jc w:val="both"/>
        <w:rPr>
          <w:rFonts w:ascii="Bookman Old Style" w:hAnsi="Bookman Old Style" w:cs="Arial"/>
          <w:bCs/>
          <w:color w:val="000000"/>
          <w:lang w:val="es-ES"/>
        </w:rPr>
      </w:pPr>
    </w:p>
    <w:p w14:paraId="3CFB7B18" w14:textId="0A753358" w:rsidR="008B3A25" w:rsidRDefault="00281834" w:rsidP="00E52716">
      <w:pPr>
        <w:jc w:val="both"/>
        <w:rPr>
          <w:rFonts w:ascii="Bookman Old Style" w:hAnsi="Bookman Old Style" w:cs="Arial"/>
          <w:bCs/>
          <w:color w:val="000000"/>
          <w:lang w:val="es-ES"/>
        </w:rPr>
      </w:pPr>
      <w:r>
        <w:rPr>
          <w:rFonts w:ascii="Bookman Old Style" w:hAnsi="Bookman Old Style" w:cs="Arial"/>
          <w:bCs/>
          <w:color w:val="000000"/>
          <w:lang w:val="es-ES"/>
        </w:rPr>
        <w:t xml:space="preserve">Adicionalmente, los eventos expuestos en relación con este punto </w:t>
      </w:r>
      <w:r w:rsidR="00E72615">
        <w:rPr>
          <w:rFonts w:ascii="Bookman Old Style" w:hAnsi="Bookman Old Style" w:cs="Arial"/>
          <w:bCs/>
          <w:color w:val="000000"/>
          <w:lang w:val="es-ES"/>
        </w:rPr>
        <w:t xml:space="preserve"> no se ajustan a lo establecido dentro de la </w:t>
      </w:r>
      <w:r w:rsidR="00BB7479">
        <w:rPr>
          <w:rFonts w:ascii="Bookman Old Style" w:hAnsi="Bookman Old Style" w:cs="Arial"/>
          <w:bCs/>
          <w:color w:val="000000"/>
          <w:lang w:val="es-ES"/>
        </w:rPr>
        <w:t xml:space="preserve">regulación </w:t>
      </w:r>
      <w:r w:rsidR="00E72615">
        <w:rPr>
          <w:rFonts w:ascii="Bookman Old Style" w:hAnsi="Bookman Old Style" w:cs="Arial"/>
          <w:bCs/>
          <w:color w:val="000000"/>
          <w:lang w:val="es-ES"/>
        </w:rPr>
        <w:t>de la Comisión</w:t>
      </w:r>
      <w:r w:rsidR="007748E0">
        <w:rPr>
          <w:rStyle w:val="Refdenotaalpie"/>
          <w:rFonts w:ascii="Bookman Old Style" w:hAnsi="Bookman Old Style" w:cs="Arial"/>
          <w:bCs/>
          <w:color w:val="000000"/>
          <w:lang w:val="es-ES"/>
        </w:rPr>
        <w:footnoteReference w:id="10"/>
      </w:r>
      <w:r w:rsidR="00E72615">
        <w:rPr>
          <w:rFonts w:ascii="Bookman Old Style" w:hAnsi="Bookman Old Style" w:cs="Arial"/>
          <w:bCs/>
          <w:color w:val="000000"/>
          <w:lang w:val="es-ES"/>
        </w:rPr>
        <w:t xml:space="preserve"> de lo que se ha entendido como un grave error de cálculo dentro de la definición de l</w:t>
      </w:r>
      <w:r w:rsidR="002F67D7">
        <w:rPr>
          <w:rFonts w:ascii="Bookman Old Style" w:hAnsi="Bookman Old Style" w:cs="Arial"/>
          <w:bCs/>
          <w:color w:val="000000"/>
          <w:lang w:val="es-ES"/>
        </w:rPr>
        <w:t>as metodologías</w:t>
      </w:r>
      <w:r w:rsidR="008B3A25">
        <w:rPr>
          <w:rFonts w:ascii="Bookman Old Style" w:hAnsi="Bookman Old Style" w:cs="Arial"/>
          <w:bCs/>
          <w:color w:val="000000"/>
          <w:lang w:val="es-ES"/>
        </w:rPr>
        <w:t xml:space="preserve"> o de una fórmula tarifaria</w:t>
      </w:r>
      <w:r w:rsidR="002F67D7">
        <w:rPr>
          <w:rFonts w:ascii="Bookman Old Style" w:hAnsi="Bookman Old Style" w:cs="Arial"/>
          <w:bCs/>
          <w:color w:val="000000"/>
          <w:lang w:val="es-ES"/>
        </w:rPr>
        <w:t>,</w:t>
      </w:r>
      <w:r w:rsidR="008B3A25">
        <w:rPr>
          <w:rFonts w:ascii="Bookman Old Style" w:hAnsi="Bookman Old Style" w:cs="Arial"/>
          <w:bCs/>
          <w:color w:val="000000"/>
          <w:lang w:val="es-ES"/>
        </w:rPr>
        <w:t xml:space="preserve">  toda vez que</w:t>
      </w:r>
      <w:r w:rsidR="008B3A25" w:rsidRPr="008B3A25">
        <w:rPr>
          <w:rFonts w:ascii="Bookman Old Style" w:hAnsi="Bookman Old Style" w:cs="Arial"/>
          <w:bCs/>
          <w:color w:val="000000"/>
          <w:lang w:val="es-ES"/>
        </w:rPr>
        <w:t xml:space="preserve">: </w:t>
      </w:r>
      <w:r w:rsidR="009025D4">
        <w:rPr>
          <w:rFonts w:ascii="Bookman Old Style" w:hAnsi="Bookman Old Style" w:cs="Arial"/>
          <w:bCs/>
          <w:color w:val="000000"/>
          <w:lang w:val="es-ES"/>
        </w:rPr>
        <w:t>i</w:t>
      </w:r>
      <w:r w:rsidR="008B3A25" w:rsidRPr="008B3A25">
        <w:rPr>
          <w:rFonts w:ascii="Bookman Old Style" w:hAnsi="Bookman Old Style" w:cs="Arial"/>
          <w:bCs/>
          <w:color w:val="000000"/>
          <w:lang w:val="es-ES"/>
        </w:rPr>
        <w:t xml:space="preserve">) </w:t>
      </w:r>
      <w:r w:rsidR="009025D4">
        <w:rPr>
          <w:rFonts w:ascii="Bookman Old Style" w:hAnsi="Bookman Old Style" w:cs="Arial"/>
          <w:bCs/>
          <w:color w:val="000000"/>
          <w:lang w:val="es-ES"/>
        </w:rPr>
        <w:t>p</w:t>
      </w:r>
      <w:r w:rsidR="008B3A25" w:rsidRPr="008B3A25">
        <w:rPr>
          <w:rFonts w:ascii="Bookman Old Style" w:hAnsi="Bookman Old Style" w:cs="Arial"/>
          <w:bCs/>
          <w:color w:val="000000"/>
          <w:lang w:val="es-ES"/>
        </w:rPr>
        <w:t>ara que exista un grave error de cálculo se requiere que a partir de una operación matemática mal ejecutada o la utilización equivocada de una cifra, símbolo, dato cualitativo, dato cuantitativo o variable se concluya que la definición de una fórmula o un aspecto tarifario dentro de una metodología o de un cargo tarifario debió haber sido diferente al que resultó y que dicha variación lesiona los intereses de la empresa o de los usuarios;</w:t>
      </w:r>
      <w:r w:rsidR="007748E0">
        <w:rPr>
          <w:rFonts w:ascii="Bookman Old Style" w:hAnsi="Bookman Old Style" w:cs="Arial"/>
          <w:bCs/>
          <w:color w:val="000000"/>
          <w:lang w:val="es-ES"/>
        </w:rPr>
        <w:t xml:space="preserve"> </w:t>
      </w:r>
      <w:proofErr w:type="spellStart"/>
      <w:r w:rsidR="007748E0">
        <w:rPr>
          <w:rFonts w:ascii="Bookman Old Style" w:hAnsi="Bookman Old Style" w:cs="Arial"/>
          <w:bCs/>
          <w:color w:val="000000"/>
          <w:lang w:val="es-ES"/>
        </w:rPr>
        <w:t>ii</w:t>
      </w:r>
      <w:proofErr w:type="spellEnd"/>
      <w:r w:rsidR="008B3A25" w:rsidRPr="008B3A25">
        <w:rPr>
          <w:rFonts w:ascii="Bookman Old Style" w:hAnsi="Bookman Old Style" w:cs="Arial"/>
          <w:bCs/>
          <w:color w:val="000000"/>
          <w:lang w:val="es-ES"/>
        </w:rPr>
        <w:t xml:space="preserve">) </w:t>
      </w:r>
      <w:r w:rsidR="009025D4">
        <w:rPr>
          <w:rFonts w:ascii="Bookman Old Style" w:hAnsi="Bookman Old Style" w:cs="Arial"/>
          <w:bCs/>
          <w:color w:val="000000"/>
          <w:lang w:val="es-ES"/>
        </w:rPr>
        <w:t>e</w:t>
      </w:r>
      <w:r w:rsidR="008B3A25" w:rsidRPr="008B3A25">
        <w:rPr>
          <w:rFonts w:ascii="Bookman Old Style" w:hAnsi="Bookman Old Style" w:cs="Arial"/>
          <w:bCs/>
          <w:color w:val="000000"/>
          <w:lang w:val="es-ES"/>
        </w:rPr>
        <w:t xml:space="preserve">l grave error de cálculo debe ser una conducta (i.e., acción u omisión) imputable al actuar de la Comisión de acuerdo con la información, las pruebas, los elementos y los argumentos con los que cuenta al momento de establecer un elemento o fórmula de carácter tarifario dentro de una metodología o al momento de llevar a cabo la definición de un cargo o tarifa; </w:t>
      </w:r>
      <w:proofErr w:type="spellStart"/>
      <w:r w:rsidR="007748E0">
        <w:rPr>
          <w:rFonts w:ascii="Bookman Old Style" w:hAnsi="Bookman Old Style" w:cs="Arial"/>
          <w:bCs/>
          <w:color w:val="000000"/>
          <w:lang w:val="es-ES"/>
        </w:rPr>
        <w:t>iii</w:t>
      </w:r>
      <w:proofErr w:type="spellEnd"/>
      <w:r w:rsidR="008B3A25" w:rsidRPr="008B3A25">
        <w:rPr>
          <w:rFonts w:ascii="Bookman Old Style" w:hAnsi="Bookman Old Style" w:cs="Arial"/>
          <w:bCs/>
          <w:color w:val="000000"/>
          <w:lang w:val="es-ES"/>
        </w:rPr>
        <w:t xml:space="preserve">) </w:t>
      </w:r>
      <w:r w:rsidR="00FB00B6">
        <w:rPr>
          <w:rFonts w:ascii="Bookman Old Style" w:hAnsi="Bookman Old Style" w:cs="Arial"/>
          <w:bCs/>
          <w:color w:val="000000"/>
          <w:lang w:val="es-ES"/>
        </w:rPr>
        <w:t>n</w:t>
      </w:r>
      <w:r w:rsidR="008B3A25" w:rsidRPr="008B3A25">
        <w:rPr>
          <w:rFonts w:ascii="Bookman Old Style" w:hAnsi="Bookman Old Style" w:cs="Arial"/>
          <w:bCs/>
          <w:color w:val="000000"/>
          <w:lang w:val="es-ES"/>
        </w:rPr>
        <w:t>o se considera procedente dentro de la causal del grave error de cálculo aquel error imputable a una conducta o a una omisión de la empresa dentro de las actuaciones administrativas al momento de establecer o definir los cargos o las fórmulas tarifarias</w:t>
      </w:r>
      <w:r w:rsidR="007748E0">
        <w:rPr>
          <w:rFonts w:ascii="Bookman Old Style" w:hAnsi="Bookman Old Style" w:cs="Arial"/>
          <w:bCs/>
          <w:color w:val="000000"/>
          <w:lang w:val="es-ES"/>
        </w:rPr>
        <w:t>.</w:t>
      </w:r>
    </w:p>
    <w:p w14:paraId="24024BD1" w14:textId="77777777" w:rsidR="004B7846" w:rsidRDefault="004B7846" w:rsidP="00E52716">
      <w:pPr>
        <w:jc w:val="both"/>
        <w:rPr>
          <w:rFonts w:ascii="Bookman Old Style" w:hAnsi="Bookman Old Style" w:cs="Arial"/>
          <w:bCs/>
          <w:color w:val="000000"/>
          <w:lang w:val="es-ES"/>
        </w:rPr>
      </w:pPr>
    </w:p>
    <w:p w14:paraId="18DB1FC5" w14:textId="206E13F5" w:rsidR="00F76966" w:rsidRDefault="004B7846" w:rsidP="00E52716">
      <w:pPr>
        <w:jc w:val="both"/>
        <w:rPr>
          <w:rFonts w:ascii="Bookman Old Style" w:hAnsi="Bookman Old Style" w:cs="Arial"/>
          <w:bCs/>
          <w:color w:val="000000"/>
          <w:lang w:val="es-ES"/>
        </w:rPr>
      </w:pPr>
      <w:r>
        <w:rPr>
          <w:rFonts w:ascii="Bookman Old Style" w:hAnsi="Bookman Old Style" w:cs="Arial"/>
          <w:bCs/>
          <w:color w:val="000000"/>
          <w:lang w:val="es-ES"/>
        </w:rPr>
        <w:lastRenderedPageBreak/>
        <w:t xml:space="preserve">Sin embargo, </w:t>
      </w:r>
      <w:r w:rsidR="00F76966">
        <w:rPr>
          <w:rFonts w:ascii="Bookman Old Style" w:hAnsi="Bookman Old Style" w:cs="Arial"/>
          <w:bCs/>
          <w:color w:val="000000"/>
          <w:lang w:val="es-ES"/>
        </w:rPr>
        <w:t xml:space="preserve">la Comisión considera que </w:t>
      </w:r>
      <w:r w:rsidR="00422A89">
        <w:rPr>
          <w:rFonts w:ascii="Bookman Old Style" w:hAnsi="Bookman Old Style" w:cs="Arial"/>
          <w:bCs/>
          <w:color w:val="000000"/>
          <w:lang w:val="es-ES"/>
        </w:rPr>
        <w:t>las</w:t>
      </w:r>
      <w:r w:rsidR="0040588A">
        <w:rPr>
          <w:rFonts w:ascii="Bookman Old Style" w:hAnsi="Bookman Old Style" w:cs="Arial"/>
          <w:bCs/>
          <w:color w:val="000000"/>
          <w:lang w:val="es-ES"/>
        </w:rPr>
        <w:t xml:space="preserve"> disposiciones</w:t>
      </w:r>
      <w:r w:rsidR="00422A89">
        <w:rPr>
          <w:rFonts w:ascii="Bookman Old Style" w:hAnsi="Bookman Old Style" w:cs="Arial"/>
          <w:bCs/>
          <w:color w:val="000000"/>
          <w:lang w:val="es-ES"/>
        </w:rPr>
        <w:t xml:space="preserve"> de la Resolución </w:t>
      </w:r>
      <w:proofErr w:type="spellStart"/>
      <w:r w:rsidR="00422A89">
        <w:rPr>
          <w:rFonts w:ascii="Bookman Old Style" w:hAnsi="Bookman Old Style" w:cs="Arial"/>
          <w:bCs/>
          <w:color w:val="000000"/>
          <w:lang w:val="es-ES"/>
        </w:rPr>
        <w:t>CREG</w:t>
      </w:r>
      <w:proofErr w:type="spellEnd"/>
      <w:r w:rsidR="00422A89">
        <w:rPr>
          <w:rFonts w:ascii="Bookman Old Style" w:hAnsi="Bookman Old Style" w:cs="Arial"/>
          <w:bCs/>
          <w:color w:val="000000"/>
          <w:lang w:val="es-ES"/>
        </w:rPr>
        <w:t xml:space="preserve"> 175 de 2021 y los temas relacionados con la vida útil normativa de los activos de transporte de gas natural</w:t>
      </w:r>
      <w:r w:rsidR="0040588A">
        <w:rPr>
          <w:rFonts w:ascii="Bookman Old Style" w:hAnsi="Bookman Old Style" w:cs="Arial"/>
          <w:bCs/>
          <w:color w:val="000000"/>
          <w:lang w:val="es-ES"/>
        </w:rPr>
        <w:t xml:space="preserve"> </w:t>
      </w:r>
      <w:r w:rsidR="00542E82">
        <w:rPr>
          <w:rFonts w:ascii="Bookman Old Style" w:hAnsi="Bookman Old Style" w:cs="Arial"/>
          <w:bCs/>
          <w:color w:val="000000"/>
          <w:lang w:val="es-ES"/>
        </w:rPr>
        <w:t>pueden ser</w:t>
      </w:r>
      <w:r w:rsidR="0040588A">
        <w:rPr>
          <w:rFonts w:ascii="Bookman Old Style" w:hAnsi="Bookman Old Style" w:cs="Arial"/>
          <w:bCs/>
          <w:color w:val="000000"/>
          <w:lang w:val="es-ES"/>
        </w:rPr>
        <w:t xml:space="preserve"> revisables hac</w:t>
      </w:r>
      <w:r w:rsidR="00830CBA">
        <w:rPr>
          <w:rFonts w:ascii="Bookman Old Style" w:hAnsi="Bookman Old Style" w:cs="Arial"/>
          <w:bCs/>
          <w:color w:val="000000"/>
          <w:lang w:val="es-ES"/>
        </w:rPr>
        <w:t>i</w:t>
      </w:r>
      <w:r w:rsidR="0040588A">
        <w:rPr>
          <w:rFonts w:ascii="Bookman Old Style" w:hAnsi="Bookman Old Style" w:cs="Arial"/>
          <w:bCs/>
          <w:color w:val="000000"/>
          <w:lang w:val="es-ES"/>
        </w:rPr>
        <w:t xml:space="preserve">a el futuro en el marco del artículo 126 de </w:t>
      </w:r>
      <w:r w:rsidR="0035413D">
        <w:rPr>
          <w:rFonts w:ascii="Bookman Old Style" w:hAnsi="Bookman Old Style" w:cs="Arial"/>
          <w:bCs/>
          <w:color w:val="000000"/>
          <w:lang w:val="es-ES"/>
        </w:rPr>
        <w:t xml:space="preserve">la Ley 142 de 1994, cuando la situación se adecue a alguna de las causales allí previstas, </w:t>
      </w:r>
      <w:r w:rsidR="00032F61">
        <w:rPr>
          <w:rFonts w:ascii="Bookman Old Style" w:hAnsi="Bookman Old Style" w:cs="Arial"/>
          <w:bCs/>
          <w:color w:val="000000"/>
          <w:lang w:val="es-ES"/>
        </w:rPr>
        <w:t xml:space="preserve">para lo cual resulta relevante reducir el grado de asimetrías de información con la que se cuenta en relación con </w:t>
      </w:r>
      <w:r>
        <w:rPr>
          <w:rFonts w:ascii="Bookman Old Style" w:hAnsi="Bookman Old Style" w:cs="Arial"/>
          <w:bCs/>
          <w:color w:val="000000"/>
          <w:lang w:val="es-ES"/>
        </w:rPr>
        <w:t xml:space="preserve">los costos eficientes que se deben reconocer </w:t>
      </w:r>
      <w:r w:rsidR="000F3263">
        <w:rPr>
          <w:rFonts w:ascii="Bookman Old Style" w:hAnsi="Bookman Old Style" w:cs="Arial"/>
          <w:bCs/>
          <w:color w:val="000000"/>
          <w:lang w:val="es-ES"/>
        </w:rPr>
        <w:t>para la remuneración del activo dentro de la prestación del servicio público domiciliario</w:t>
      </w:r>
      <w:r w:rsidR="0019433B">
        <w:rPr>
          <w:rFonts w:ascii="Bookman Old Style" w:hAnsi="Bookman Old Style" w:cs="Arial"/>
          <w:bCs/>
          <w:color w:val="000000"/>
          <w:lang w:val="es-ES"/>
        </w:rPr>
        <w:t xml:space="preserve"> (i.e. por ejemplo contar con información en relación con las </w:t>
      </w:r>
      <w:r w:rsidR="0019433B" w:rsidRPr="0019433B">
        <w:rPr>
          <w:rFonts w:ascii="Bookman Old Style" w:hAnsi="Bookman Old Style" w:cs="Arial"/>
          <w:bCs/>
          <w:color w:val="000000"/>
          <w:lang w:val="es-ES"/>
        </w:rPr>
        <w:t xml:space="preserve">inversiones adicionales </w:t>
      </w:r>
      <w:r w:rsidR="0019433B">
        <w:rPr>
          <w:rFonts w:ascii="Bookman Old Style" w:hAnsi="Bookman Old Style" w:cs="Arial"/>
          <w:bCs/>
          <w:color w:val="000000"/>
          <w:lang w:val="es-ES"/>
        </w:rPr>
        <w:t xml:space="preserve">requeridas </w:t>
      </w:r>
      <w:r w:rsidR="0019433B" w:rsidRPr="0019433B">
        <w:rPr>
          <w:rFonts w:ascii="Bookman Old Style" w:hAnsi="Bookman Old Style" w:cs="Arial"/>
          <w:bCs/>
          <w:color w:val="000000"/>
          <w:lang w:val="es-ES"/>
        </w:rPr>
        <w:t>por situaciones no predecible</w:t>
      </w:r>
      <w:r w:rsidR="0019433B">
        <w:rPr>
          <w:rFonts w:ascii="Bookman Old Style" w:hAnsi="Bookman Old Style" w:cs="Arial"/>
          <w:bCs/>
          <w:color w:val="000000"/>
          <w:lang w:val="es-ES"/>
        </w:rPr>
        <w:t xml:space="preserve">s </w:t>
      </w:r>
      <w:r w:rsidR="0092521E">
        <w:rPr>
          <w:rFonts w:ascii="Bookman Old Style" w:hAnsi="Bookman Old Style" w:cs="Arial"/>
          <w:bCs/>
          <w:color w:val="000000"/>
          <w:lang w:val="es-ES"/>
        </w:rPr>
        <w:t>durante un segundo período de vida útil normativa)</w:t>
      </w:r>
      <w:r w:rsidR="000F3263">
        <w:rPr>
          <w:rFonts w:ascii="Bookman Old Style" w:hAnsi="Bookman Old Style" w:cs="Arial"/>
          <w:bCs/>
          <w:color w:val="000000"/>
          <w:lang w:val="es-ES"/>
        </w:rPr>
        <w:t xml:space="preserve">. </w:t>
      </w:r>
    </w:p>
    <w:p w14:paraId="16911255" w14:textId="77777777" w:rsidR="00FF6C3B" w:rsidRDefault="00FF6C3B" w:rsidP="00E52716">
      <w:pPr>
        <w:jc w:val="both"/>
        <w:rPr>
          <w:rFonts w:ascii="Bookman Old Style" w:hAnsi="Bookman Old Style" w:cs="Arial"/>
          <w:bCs/>
          <w:color w:val="000000"/>
          <w:lang w:val="es-ES"/>
        </w:rPr>
      </w:pPr>
    </w:p>
    <w:p w14:paraId="2F365448" w14:textId="085D5020" w:rsidR="00FF6C3B" w:rsidRDefault="009E01DB" w:rsidP="00E52716">
      <w:pPr>
        <w:jc w:val="both"/>
        <w:rPr>
          <w:rFonts w:ascii="Bookman Old Style" w:hAnsi="Bookman Old Style" w:cs="Arial"/>
          <w:bCs/>
          <w:color w:val="000000"/>
          <w:lang w:val="es-ES"/>
        </w:rPr>
      </w:pPr>
      <w:r>
        <w:rPr>
          <w:rFonts w:ascii="Bookman Old Style" w:hAnsi="Bookman Old Style" w:cs="Arial"/>
          <w:bCs/>
          <w:color w:val="000000"/>
          <w:lang w:val="es-ES"/>
        </w:rPr>
        <w:t>Al reducir estas asimetrías, se pueden contar con mecanismos regulatori</w:t>
      </w:r>
      <w:r w:rsidR="006C2864">
        <w:rPr>
          <w:rFonts w:ascii="Bookman Old Style" w:hAnsi="Bookman Old Style" w:cs="Arial"/>
          <w:bCs/>
          <w:color w:val="000000"/>
          <w:lang w:val="es-ES"/>
        </w:rPr>
        <w:t>o</w:t>
      </w:r>
      <w:r>
        <w:rPr>
          <w:rFonts w:ascii="Bookman Old Style" w:hAnsi="Bookman Old Style" w:cs="Arial"/>
          <w:bCs/>
          <w:color w:val="000000"/>
          <w:lang w:val="es-ES"/>
        </w:rPr>
        <w:t xml:space="preserve">s </w:t>
      </w:r>
      <w:r w:rsidR="006C2864">
        <w:rPr>
          <w:rFonts w:ascii="Bookman Old Style" w:hAnsi="Bookman Old Style" w:cs="Arial"/>
          <w:bCs/>
          <w:color w:val="000000"/>
          <w:lang w:val="es-ES"/>
        </w:rPr>
        <w:t>que incremente</w:t>
      </w:r>
      <w:r w:rsidR="00C2623E">
        <w:rPr>
          <w:rFonts w:ascii="Bookman Old Style" w:hAnsi="Bookman Old Style" w:cs="Arial"/>
          <w:bCs/>
          <w:color w:val="000000"/>
          <w:lang w:val="es-ES"/>
        </w:rPr>
        <w:t>n</w:t>
      </w:r>
      <w:r w:rsidR="006C2864">
        <w:rPr>
          <w:rFonts w:ascii="Bookman Old Style" w:hAnsi="Bookman Old Style" w:cs="Arial"/>
          <w:bCs/>
          <w:color w:val="000000"/>
          <w:lang w:val="es-ES"/>
        </w:rPr>
        <w:t xml:space="preserve"> en un mayor grado el nivel de eficiencia</w:t>
      </w:r>
      <w:r w:rsidR="004842D1">
        <w:rPr>
          <w:rFonts w:ascii="Bookman Old Style" w:hAnsi="Bookman Old Style" w:cs="Arial"/>
          <w:bCs/>
          <w:color w:val="000000"/>
          <w:lang w:val="es-ES"/>
        </w:rPr>
        <w:t xml:space="preserve"> que actualmente se tiene</w:t>
      </w:r>
      <w:r>
        <w:rPr>
          <w:rFonts w:ascii="Bookman Old Style" w:hAnsi="Bookman Old Style" w:cs="Arial"/>
          <w:bCs/>
          <w:color w:val="000000"/>
          <w:lang w:val="es-ES"/>
        </w:rPr>
        <w:t>, acercándose a una eficiencia en términos más exact</w:t>
      </w:r>
      <w:r w:rsidR="008603B3">
        <w:rPr>
          <w:rFonts w:ascii="Bookman Old Style" w:hAnsi="Bookman Old Style" w:cs="Arial"/>
          <w:bCs/>
          <w:color w:val="000000"/>
          <w:lang w:val="es-ES"/>
        </w:rPr>
        <w:t>os</w:t>
      </w:r>
      <w:r w:rsidR="00E20772">
        <w:rPr>
          <w:rFonts w:ascii="Bookman Old Style" w:hAnsi="Bookman Old Style" w:cs="Arial"/>
          <w:bCs/>
          <w:color w:val="000000"/>
          <w:lang w:val="es-ES"/>
        </w:rPr>
        <w:t xml:space="preserve"> y precisos</w:t>
      </w:r>
      <w:r w:rsidR="00C2623E">
        <w:rPr>
          <w:rFonts w:ascii="Bookman Old Style" w:hAnsi="Bookman Old Style" w:cs="Arial"/>
          <w:bCs/>
          <w:color w:val="000000"/>
          <w:lang w:val="es-ES"/>
        </w:rPr>
        <w:t>, lo cual puede ser</w:t>
      </w:r>
      <w:r w:rsidR="00D41B85">
        <w:rPr>
          <w:rFonts w:ascii="Bookman Old Style" w:hAnsi="Bookman Old Style" w:cs="Arial"/>
          <w:bCs/>
          <w:color w:val="000000"/>
          <w:lang w:val="es-ES"/>
        </w:rPr>
        <w:t xml:space="preserve"> a nivel</w:t>
      </w:r>
      <w:r w:rsidR="008603B3">
        <w:rPr>
          <w:rFonts w:ascii="Bookman Old Style" w:hAnsi="Bookman Old Style" w:cs="Arial"/>
          <w:bCs/>
          <w:color w:val="000000"/>
          <w:lang w:val="es-ES"/>
        </w:rPr>
        <w:t xml:space="preserve"> de costos y la casuística de los activos relacionados con gasoductos, </w:t>
      </w:r>
      <w:proofErr w:type="spellStart"/>
      <w:r w:rsidR="008603B3">
        <w:rPr>
          <w:rFonts w:ascii="Bookman Old Style" w:hAnsi="Bookman Old Style" w:cs="Arial"/>
          <w:bCs/>
          <w:i/>
          <w:iCs/>
          <w:color w:val="000000"/>
          <w:lang w:val="es-ES"/>
        </w:rPr>
        <w:t>loops</w:t>
      </w:r>
      <w:proofErr w:type="spellEnd"/>
      <w:r w:rsidR="008603B3">
        <w:rPr>
          <w:rFonts w:ascii="Bookman Old Style" w:hAnsi="Bookman Old Style" w:cs="Arial"/>
          <w:bCs/>
          <w:color w:val="000000"/>
          <w:lang w:val="es-ES"/>
        </w:rPr>
        <w:t xml:space="preserve"> y estaciones de compresión</w:t>
      </w:r>
      <w:r w:rsidR="00FC2BEC">
        <w:rPr>
          <w:rFonts w:ascii="Bookman Old Style" w:hAnsi="Bookman Old Style" w:cs="Arial"/>
          <w:bCs/>
          <w:color w:val="000000"/>
          <w:lang w:val="es-ES"/>
        </w:rPr>
        <w:t xml:space="preserve"> que ya se vienen remunerando</w:t>
      </w:r>
      <w:r w:rsidR="00171518">
        <w:rPr>
          <w:rFonts w:ascii="Bookman Old Style" w:hAnsi="Bookman Old Style" w:cs="Arial"/>
          <w:bCs/>
          <w:color w:val="000000"/>
          <w:lang w:val="es-ES"/>
        </w:rPr>
        <w:t xml:space="preserve"> dentro de los cargos tarifarios</w:t>
      </w:r>
      <w:r w:rsidR="008603B3">
        <w:rPr>
          <w:rFonts w:ascii="Bookman Old Style" w:hAnsi="Bookman Old Style" w:cs="Arial"/>
          <w:bCs/>
          <w:color w:val="000000"/>
          <w:lang w:val="es-ES"/>
        </w:rPr>
        <w:t>.</w:t>
      </w:r>
    </w:p>
    <w:p w14:paraId="3C164BBE" w14:textId="77777777" w:rsidR="0055756D" w:rsidRDefault="0055756D" w:rsidP="00E52716">
      <w:pPr>
        <w:jc w:val="both"/>
        <w:rPr>
          <w:rFonts w:ascii="Bookman Old Style" w:hAnsi="Bookman Old Style" w:cs="Arial"/>
          <w:bCs/>
          <w:color w:val="000000"/>
          <w:lang w:val="es-ES"/>
        </w:rPr>
      </w:pPr>
    </w:p>
    <w:p w14:paraId="371F6A7A" w14:textId="6B75E017" w:rsidR="002D6AEF" w:rsidRDefault="002D6AEF" w:rsidP="00E52716">
      <w:pPr>
        <w:jc w:val="both"/>
        <w:rPr>
          <w:rFonts w:ascii="Bookman Old Style" w:hAnsi="Bookman Old Style" w:cs="Arial"/>
          <w:bCs/>
          <w:color w:val="000000"/>
          <w:lang w:val="es-ES"/>
        </w:rPr>
      </w:pPr>
      <w:r>
        <w:rPr>
          <w:rFonts w:ascii="Bookman Old Style" w:hAnsi="Bookman Old Style" w:cs="Arial"/>
          <w:bCs/>
          <w:color w:val="000000"/>
          <w:lang w:val="es-ES"/>
        </w:rPr>
        <w:t>En este sentido, se debe reafirmar lo</w:t>
      </w:r>
      <w:r w:rsidR="0080082E">
        <w:rPr>
          <w:rFonts w:ascii="Bookman Old Style" w:hAnsi="Bookman Old Style" w:cs="Arial"/>
          <w:bCs/>
          <w:color w:val="000000"/>
          <w:lang w:val="es-ES"/>
        </w:rPr>
        <w:t xml:space="preserve"> expuesto en la propuesta regulatoria de la Resolución </w:t>
      </w:r>
      <w:proofErr w:type="spellStart"/>
      <w:r w:rsidR="0080082E">
        <w:rPr>
          <w:rFonts w:ascii="Bookman Old Style" w:hAnsi="Bookman Old Style" w:cs="Arial"/>
          <w:bCs/>
          <w:color w:val="000000"/>
          <w:lang w:val="es-ES"/>
        </w:rPr>
        <w:t>CREG</w:t>
      </w:r>
      <w:proofErr w:type="spellEnd"/>
      <w:r w:rsidR="0080082E">
        <w:rPr>
          <w:rFonts w:ascii="Bookman Old Style" w:hAnsi="Bookman Old Style" w:cs="Arial"/>
          <w:bCs/>
          <w:color w:val="000000"/>
          <w:lang w:val="es-ES"/>
        </w:rPr>
        <w:t xml:space="preserve"> </w:t>
      </w:r>
      <w:r w:rsidR="0080082E" w:rsidRPr="0080082E">
        <w:rPr>
          <w:rFonts w:ascii="Bookman Old Style" w:hAnsi="Bookman Old Style" w:cs="Arial"/>
          <w:bCs/>
          <w:color w:val="000000"/>
          <w:lang w:val="es-ES"/>
        </w:rPr>
        <w:t>702 009 de 2022</w:t>
      </w:r>
      <w:r w:rsidR="0080082E">
        <w:rPr>
          <w:rFonts w:ascii="Bookman Old Style" w:hAnsi="Bookman Old Style" w:cs="Arial"/>
          <w:bCs/>
          <w:color w:val="000000"/>
          <w:lang w:val="es-ES"/>
        </w:rPr>
        <w:t xml:space="preserve"> sobre este punto.</w:t>
      </w:r>
    </w:p>
    <w:p w14:paraId="5875F928" w14:textId="2D6A232D" w:rsidR="00D800EF" w:rsidRDefault="00D800EF" w:rsidP="00E52716">
      <w:pPr>
        <w:jc w:val="both"/>
        <w:rPr>
          <w:rFonts w:ascii="Bookman Old Style" w:hAnsi="Bookman Old Style" w:cs="Arial"/>
          <w:bCs/>
          <w:color w:val="000000"/>
          <w:lang w:val="es-ES"/>
        </w:rPr>
      </w:pPr>
    </w:p>
    <w:p w14:paraId="28A59F55" w14:textId="2317304D" w:rsidR="0080082E" w:rsidRPr="00947662" w:rsidRDefault="00E77AC5" w:rsidP="00E300BB">
      <w:pPr>
        <w:pStyle w:val="Ttulo1"/>
        <w:numPr>
          <w:ilvl w:val="1"/>
          <w:numId w:val="54"/>
        </w:numPr>
        <w:rPr>
          <w:lang w:val="es-ES"/>
        </w:rPr>
      </w:pPr>
      <w:r w:rsidRPr="00947662">
        <w:rPr>
          <w:lang w:val="es-ES"/>
        </w:rPr>
        <w:t xml:space="preserve">El fundamento </w:t>
      </w:r>
      <w:r w:rsidR="005905D7" w:rsidRPr="00947662">
        <w:rPr>
          <w:lang w:val="es-ES"/>
        </w:rPr>
        <w:t>para llevar a cabo los cambios propuestos atendiendo el artículo 126 de la Ley 142 de 1994.</w:t>
      </w:r>
    </w:p>
    <w:p w14:paraId="294FD452" w14:textId="77777777" w:rsidR="00EC1353" w:rsidRPr="00E52716" w:rsidRDefault="00EC1353" w:rsidP="00E52716">
      <w:pPr>
        <w:jc w:val="both"/>
        <w:rPr>
          <w:rFonts w:ascii="Bookman Old Style" w:hAnsi="Bookman Old Style" w:cs="Arial"/>
          <w:bCs/>
          <w:color w:val="000000"/>
          <w:lang w:val="es-ES"/>
        </w:rPr>
      </w:pPr>
    </w:p>
    <w:p w14:paraId="43EF9AFF" w14:textId="6CD17B2D" w:rsidR="005905D7" w:rsidRDefault="005905D7" w:rsidP="005905D7">
      <w:pPr>
        <w:jc w:val="both"/>
        <w:rPr>
          <w:rFonts w:ascii="Bookman Old Style" w:hAnsi="Bookman Old Style" w:cs="Arial"/>
          <w:bCs/>
          <w:color w:val="000000"/>
          <w:lang w:val="es-ES"/>
        </w:rPr>
      </w:pPr>
      <w:r>
        <w:rPr>
          <w:rFonts w:ascii="Bookman Old Style" w:hAnsi="Bookman Old Style" w:cs="Arial"/>
          <w:bCs/>
          <w:color w:val="000000"/>
          <w:lang w:val="es-ES"/>
        </w:rPr>
        <w:t xml:space="preserve">En la propuesta </w:t>
      </w:r>
      <w:r w:rsidR="00C911CE" w:rsidRPr="00C911CE">
        <w:rPr>
          <w:rFonts w:ascii="Bookman Old Style" w:hAnsi="Bookman Old Style" w:cs="Arial"/>
          <w:bCs/>
          <w:color w:val="000000"/>
          <w:lang w:val="es-ES"/>
        </w:rPr>
        <w:t xml:space="preserve">regulatoria de la Resolución </w:t>
      </w:r>
      <w:proofErr w:type="spellStart"/>
      <w:r w:rsidR="00C911CE" w:rsidRPr="00C911CE">
        <w:rPr>
          <w:rFonts w:ascii="Bookman Old Style" w:hAnsi="Bookman Old Style" w:cs="Arial"/>
          <w:bCs/>
          <w:color w:val="000000"/>
          <w:lang w:val="es-ES"/>
        </w:rPr>
        <w:t>CREG</w:t>
      </w:r>
      <w:proofErr w:type="spellEnd"/>
      <w:r w:rsidR="00C911CE" w:rsidRPr="00C911CE">
        <w:rPr>
          <w:rFonts w:ascii="Bookman Old Style" w:hAnsi="Bookman Old Style" w:cs="Arial"/>
          <w:bCs/>
          <w:color w:val="000000"/>
          <w:lang w:val="es-ES"/>
        </w:rPr>
        <w:t xml:space="preserve"> 702 009 de 2022 </w:t>
      </w:r>
      <w:r w:rsidR="00C911CE">
        <w:rPr>
          <w:rFonts w:ascii="Bookman Old Style" w:hAnsi="Bookman Old Style" w:cs="Arial"/>
          <w:bCs/>
          <w:color w:val="000000"/>
          <w:lang w:val="es-ES"/>
        </w:rPr>
        <w:t>la Comisión expuso lo siguiente:</w:t>
      </w:r>
    </w:p>
    <w:p w14:paraId="7C0F6D5F" w14:textId="2103FC67" w:rsidR="00282AB1" w:rsidRPr="00947662" w:rsidRDefault="00282AB1" w:rsidP="00947662">
      <w:pPr>
        <w:pStyle w:val="NormalWeb"/>
        <w:spacing w:after="0" w:afterAutospacing="0" w:line="240" w:lineRule="auto"/>
        <w:ind w:left="227"/>
        <w:rPr>
          <w:i/>
          <w:iCs/>
          <w:sz w:val="22"/>
          <w:szCs w:val="22"/>
          <w:lang w:val="es-CO"/>
        </w:rPr>
      </w:pPr>
      <w:r>
        <w:rPr>
          <w:rFonts w:cs="Arial"/>
          <w:color w:val="000000"/>
        </w:rPr>
        <w:t>“</w:t>
      </w:r>
      <w:r w:rsidRPr="00947662">
        <w:rPr>
          <w:i/>
          <w:iCs/>
          <w:sz w:val="22"/>
          <w:szCs w:val="22"/>
          <w:lang w:val="es-CO"/>
        </w:rPr>
        <w:t xml:space="preserve">El artículo en mención precisa que dentro del período de vigencia de las fórmulas tarifarias, de oficio o a solicitud de parte, las fórmulas tarifarias sólo podrán modificarse cuando i) sea evidente que se cometieron graves errores en su cálculo que lesionan injustamente los intereses de los usuarios o de las empresas, o </w:t>
      </w:r>
      <w:proofErr w:type="spellStart"/>
      <w:r w:rsidRPr="00947662">
        <w:rPr>
          <w:i/>
          <w:iCs/>
          <w:sz w:val="22"/>
          <w:szCs w:val="22"/>
          <w:lang w:val="es-CO"/>
        </w:rPr>
        <w:t>ii</w:t>
      </w:r>
      <w:proofErr w:type="spellEnd"/>
      <w:r w:rsidRPr="00947662">
        <w:rPr>
          <w:i/>
          <w:iCs/>
          <w:sz w:val="22"/>
          <w:szCs w:val="22"/>
          <w:lang w:val="es-CO"/>
        </w:rPr>
        <w:t>) que existen razones de caso fortuito o fuerza mayor que comprometan en forma grave la capacidad financiera de la empresa para continuar prestando el servicio en las condiciones tarifarias previstas(9)</w:t>
      </w:r>
    </w:p>
    <w:p w14:paraId="03662B3E" w14:textId="76E3D6AF" w:rsidR="005905D7" w:rsidRDefault="00282AB1" w:rsidP="00282AB1">
      <w:pPr>
        <w:pStyle w:val="NormalWeb"/>
        <w:spacing w:after="0" w:afterAutospacing="0" w:line="240" w:lineRule="auto"/>
        <w:ind w:left="227"/>
        <w:rPr>
          <w:i/>
          <w:iCs/>
          <w:sz w:val="22"/>
          <w:szCs w:val="22"/>
          <w:lang w:val="es-CO"/>
        </w:rPr>
      </w:pPr>
      <w:r w:rsidRPr="00947662">
        <w:rPr>
          <w:i/>
          <w:iCs/>
          <w:sz w:val="22"/>
          <w:szCs w:val="22"/>
          <w:lang w:val="es-CO"/>
        </w:rPr>
        <w:t>A partir de los análisis desarrollados por la Comisión en atención a las solicitudes presentadas, y con los efectos de aplicación de las condiciones actuales de la metodología, se identificaron que estas pueden afectar en el tiempo la aplicación de los criterios de eficiencia y suficiencia financiera de las empresas, poniendo en riesgo la sostenibilidad y continuidad en la prestación del servicio.</w:t>
      </w:r>
    </w:p>
    <w:p w14:paraId="197681A5" w14:textId="53CA085A" w:rsidR="007830B4" w:rsidRDefault="007830B4" w:rsidP="00282AB1">
      <w:pPr>
        <w:pStyle w:val="NormalWeb"/>
        <w:spacing w:after="0" w:afterAutospacing="0" w:line="240" w:lineRule="auto"/>
        <w:ind w:left="227"/>
        <w:rPr>
          <w:i/>
          <w:iCs/>
          <w:sz w:val="22"/>
          <w:szCs w:val="22"/>
          <w:lang w:val="es-CO"/>
        </w:rPr>
      </w:pPr>
      <w:r>
        <w:rPr>
          <w:i/>
          <w:iCs/>
          <w:sz w:val="22"/>
          <w:szCs w:val="22"/>
          <w:lang w:val="es-CO"/>
        </w:rPr>
        <w:t>(…)</w:t>
      </w:r>
    </w:p>
    <w:p w14:paraId="21932703" w14:textId="7ADB243D" w:rsidR="002D5C3C" w:rsidRDefault="002D5C3C" w:rsidP="00282AB1">
      <w:pPr>
        <w:pStyle w:val="NormalWeb"/>
        <w:spacing w:after="0" w:afterAutospacing="0" w:line="240" w:lineRule="auto"/>
        <w:ind w:left="227"/>
        <w:rPr>
          <w:i/>
          <w:iCs/>
          <w:sz w:val="22"/>
          <w:szCs w:val="22"/>
          <w:lang w:val="es-CO"/>
        </w:rPr>
      </w:pPr>
      <w:r w:rsidRPr="002D5C3C">
        <w:rPr>
          <w:i/>
          <w:iCs/>
          <w:sz w:val="22"/>
          <w:szCs w:val="22"/>
          <w:lang w:val="es-CO"/>
        </w:rPr>
        <w:t>La Comisión, en aplicación de la causal de lesión injusta a las empresas descrita en el artículo 126 de la ley 142 de 1994, entendida como aquella que afecta la suficiencia financiera de estas, mediante el presente acto pone a consideración del mercado, entidades públicas y terceros interesados generales, una propuesta de modificación de la metodología tarifaria descrita en la Resolución CREG 175 de 2021, tomando como base la información reportada por las empresas como parte de la solicitud que motivan este acto y la información de carácter regulatorio con la que esta cuenta en desarrollo de sus diferentes funciones.</w:t>
      </w:r>
      <w:r>
        <w:rPr>
          <w:i/>
          <w:iCs/>
          <w:sz w:val="22"/>
          <w:szCs w:val="22"/>
          <w:lang w:val="es-CO"/>
        </w:rPr>
        <w:t>”</w:t>
      </w:r>
    </w:p>
    <w:p w14:paraId="70605697" w14:textId="77777777" w:rsidR="002D5C3C" w:rsidRDefault="002D5C3C" w:rsidP="002D5C3C">
      <w:pPr>
        <w:jc w:val="both"/>
        <w:rPr>
          <w:rFonts w:ascii="Bookman Old Style" w:hAnsi="Bookman Old Style" w:cs="Arial"/>
          <w:bCs/>
          <w:color w:val="000000"/>
          <w:lang w:val="es-ES"/>
        </w:rPr>
      </w:pPr>
    </w:p>
    <w:p w14:paraId="21F975C0" w14:textId="6E863497" w:rsidR="00AB78CE" w:rsidRDefault="002D5C3C" w:rsidP="002D5C3C">
      <w:pPr>
        <w:jc w:val="both"/>
        <w:rPr>
          <w:rFonts w:ascii="Bookman Old Style" w:hAnsi="Bookman Old Style" w:cs="Arial"/>
          <w:bCs/>
          <w:color w:val="000000"/>
          <w:lang w:val="es-ES"/>
        </w:rPr>
      </w:pPr>
      <w:r>
        <w:rPr>
          <w:rFonts w:ascii="Bookman Old Style" w:hAnsi="Bookman Old Style" w:cs="Arial"/>
          <w:bCs/>
          <w:color w:val="000000"/>
          <w:lang w:val="es-ES"/>
        </w:rPr>
        <w:lastRenderedPageBreak/>
        <w:t xml:space="preserve">En relación con lo expuesto, la Comisión considera </w:t>
      </w:r>
      <w:r w:rsidR="00945C6B">
        <w:rPr>
          <w:rFonts w:ascii="Bookman Old Style" w:hAnsi="Bookman Old Style" w:cs="Arial"/>
          <w:bCs/>
          <w:color w:val="000000"/>
          <w:lang w:val="es-ES"/>
        </w:rPr>
        <w:t xml:space="preserve">que las propuestas realizadas, contrario a lo manifestado en la consulta, no son procedentes atendiendo la causal </w:t>
      </w:r>
      <w:r w:rsidR="001746DC">
        <w:rPr>
          <w:rFonts w:ascii="Bookman Old Style" w:hAnsi="Bookman Old Style" w:cs="Arial"/>
          <w:bCs/>
          <w:color w:val="000000"/>
          <w:lang w:val="es-ES"/>
        </w:rPr>
        <w:t xml:space="preserve">de lesión injusta </w:t>
      </w:r>
      <w:r w:rsidR="00A16CFD">
        <w:rPr>
          <w:rFonts w:ascii="Bookman Old Style" w:hAnsi="Bookman Old Style" w:cs="Arial"/>
          <w:bCs/>
          <w:color w:val="000000"/>
          <w:lang w:val="es-ES"/>
        </w:rPr>
        <w:t xml:space="preserve">a los intereses de las empresas </w:t>
      </w:r>
      <w:r w:rsidR="00945C6B">
        <w:rPr>
          <w:rFonts w:ascii="Bookman Old Style" w:hAnsi="Bookman Old Style" w:cs="Arial"/>
          <w:bCs/>
          <w:color w:val="000000"/>
          <w:lang w:val="es-ES"/>
        </w:rPr>
        <w:t xml:space="preserve">prevista en </w:t>
      </w:r>
      <w:r w:rsidR="00A152E1">
        <w:rPr>
          <w:rFonts w:ascii="Bookman Old Style" w:hAnsi="Bookman Old Style" w:cs="Arial"/>
          <w:bCs/>
          <w:color w:val="000000"/>
          <w:lang w:val="es-ES"/>
        </w:rPr>
        <w:t>el</w:t>
      </w:r>
      <w:r w:rsidR="00C10D78" w:rsidRPr="00C10D78">
        <w:rPr>
          <w:rFonts w:ascii="Bookman Old Style" w:hAnsi="Bookman Old Style" w:cs="Arial"/>
          <w:bCs/>
          <w:color w:val="000000"/>
          <w:lang w:val="es-ES"/>
        </w:rPr>
        <w:t xml:space="preserve"> artículo 126 de la Ley 142 de 1994, modificado por la ley 2099 de 202</w:t>
      </w:r>
      <w:r w:rsidR="004F7CF0">
        <w:rPr>
          <w:rFonts w:ascii="Bookman Old Style" w:hAnsi="Bookman Old Style" w:cs="Arial"/>
          <w:bCs/>
          <w:color w:val="000000"/>
          <w:lang w:val="es-ES"/>
        </w:rPr>
        <w:t>1</w:t>
      </w:r>
      <w:r w:rsidR="00AD3704">
        <w:rPr>
          <w:rFonts w:ascii="Bookman Old Style" w:hAnsi="Bookman Old Style" w:cs="Arial"/>
          <w:bCs/>
          <w:color w:val="000000"/>
          <w:lang w:val="es-ES"/>
        </w:rPr>
        <w:t>, buscando una correcta aplicación del criterio de suficiencia financiera.</w:t>
      </w:r>
    </w:p>
    <w:p w14:paraId="5EBA0EF8" w14:textId="77777777" w:rsidR="00AB78CE" w:rsidRDefault="00AB78CE" w:rsidP="002D5C3C">
      <w:pPr>
        <w:jc w:val="both"/>
        <w:rPr>
          <w:rFonts w:ascii="Bookman Old Style" w:hAnsi="Bookman Old Style" w:cs="Arial"/>
          <w:bCs/>
          <w:color w:val="000000"/>
          <w:lang w:val="es-ES"/>
        </w:rPr>
      </w:pPr>
    </w:p>
    <w:p w14:paraId="67A43BDE" w14:textId="3456964B" w:rsidR="009565DA" w:rsidRDefault="00AB78CE" w:rsidP="002D5C3C">
      <w:pPr>
        <w:jc w:val="both"/>
        <w:rPr>
          <w:rFonts w:ascii="Bookman Old Style" w:hAnsi="Bookman Old Style" w:cs="Arial"/>
          <w:bCs/>
          <w:color w:val="000000"/>
          <w:lang w:val="es-ES"/>
        </w:rPr>
      </w:pPr>
      <w:r>
        <w:rPr>
          <w:rFonts w:ascii="Bookman Old Style" w:hAnsi="Bookman Old Style" w:cs="Arial"/>
          <w:bCs/>
          <w:color w:val="000000"/>
          <w:lang w:val="es-ES"/>
        </w:rPr>
        <w:t xml:space="preserve">Como se ha </w:t>
      </w:r>
      <w:r w:rsidR="004D3342">
        <w:rPr>
          <w:rFonts w:ascii="Bookman Old Style" w:hAnsi="Bookman Old Style" w:cs="Arial"/>
          <w:bCs/>
          <w:color w:val="000000"/>
          <w:lang w:val="es-ES"/>
        </w:rPr>
        <w:t>señalado</w:t>
      </w:r>
      <w:r>
        <w:rPr>
          <w:rFonts w:ascii="Bookman Old Style" w:hAnsi="Bookman Old Style" w:cs="Arial"/>
          <w:bCs/>
          <w:color w:val="000000"/>
          <w:lang w:val="es-ES"/>
        </w:rPr>
        <w:t>, lo consignado en la metodología, relativo a las reglas previstas para la aplicación de la vida útil normativa y el riesgo cambiario que debe ser asumido por los transportadores</w:t>
      </w:r>
      <w:r w:rsidR="006233F1">
        <w:rPr>
          <w:rFonts w:ascii="Bookman Old Style" w:hAnsi="Bookman Old Style" w:cs="Arial"/>
          <w:bCs/>
          <w:color w:val="000000"/>
          <w:lang w:val="es-ES"/>
        </w:rPr>
        <w:t>,</w:t>
      </w:r>
      <w:r>
        <w:rPr>
          <w:rFonts w:ascii="Bookman Old Style" w:hAnsi="Bookman Old Style" w:cs="Arial"/>
          <w:bCs/>
          <w:color w:val="000000"/>
          <w:lang w:val="es-ES"/>
        </w:rPr>
        <w:t xml:space="preserve"> son reglas adecuadas que buscan </w:t>
      </w:r>
      <w:r w:rsidR="009C7203">
        <w:rPr>
          <w:rFonts w:ascii="Bookman Old Style" w:hAnsi="Bookman Old Style" w:cs="Arial"/>
          <w:bCs/>
          <w:color w:val="000000"/>
          <w:lang w:val="es-ES"/>
        </w:rPr>
        <w:t xml:space="preserve">aplicar </w:t>
      </w:r>
      <w:r w:rsidR="006F3120">
        <w:rPr>
          <w:rFonts w:ascii="Bookman Old Style" w:hAnsi="Bookman Old Style" w:cs="Arial"/>
          <w:bCs/>
          <w:color w:val="000000"/>
          <w:lang w:val="es-ES"/>
        </w:rPr>
        <w:t>el</w:t>
      </w:r>
      <w:r w:rsidR="009C7203">
        <w:rPr>
          <w:rFonts w:ascii="Bookman Old Style" w:hAnsi="Bookman Old Style" w:cs="Arial"/>
          <w:bCs/>
          <w:color w:val="000000"/>
          <w:lang w:val="es-ES"/>
        </w:rPr>
        <w:t xml:space="preserve"> criterio</w:t>
      </w:r>
      <w:r w:rsidR="006F3120">
        <w:rPr>
          <w:rFonts w:ascii="Bookman Old Style" w:hAnsi="Bookman Old Style" w:cs="Arial"/>
          <w:bCs/>
          <w:color w:val="000000"/>
          <w:lang w:val="es-ES"/>
        </w:rPr>
        <w:t xml:space="preserve"> de </w:t>
      </w:r>
      <w:r w:rsidR="00BE560B">
        <w:rPr>
          <w:rFonts w:ascii="Bookman Old Style" w:hAnsi="Bookman Old Style" w:cs="Arial"/>
          <w:bCs/>
          <w:color w:val="000000"/>
          <w:lang w:val="es-ES"/>
        </w:rPr>
        <w:t>eficiencia</w:t>
      </w:r>
      <w:r w:rsidR="007B531C">
        <w:rPr>
          <w:rFonts w:ascii="Bookman Old Style" w:hAnsi="Bookman Old Style" w:cs="Arial"/>
          <w:bCs/>
          <w:color w:val="000000"/>
          <w:lang w:val="es-ES"/>
        </w:rPr>
        <w:t xml:space="preserve"> económica</w:t>
      </w:r>
      <w:r w:rsidR="009C7203">
        <w:rPr>
          <w:rFonts w:ascii="Bookman Old Style" w:hAnsi="Bookman Old Style" w:cs="Arial"/>
          <w:bCs/>
          <w:color w:val="000000"/>
          <w:lang w:val="es-ES"/>
        </w:rPr>
        <w:t>, sin embargo, los elementos identificados y que motivan la presente propuesta regulatoria y que resuelven las solicitudes en interés general hechas por los agentes</w:t>
      </w:r>
      <w:r w:rsidR="009565DA">
        <w:rPr>
          <w:rFonts w:ascii="Bookman Old Style" w:hAnsi="Bookman Old Style" w:cs="Arial"/>
          <w:bCs/>
          <w:color w:val="000000"/>
          <w:lang w:val="es-ES"/>
        </w:rPr>
        <w:t xml:space="preserve">, buscan una mejor </w:t>
      </w:r>
      <w:r w:rsidR="0036639E">
        <w:rPr>
          <w:rFonts w:ascii="Bookman Old Style" w:hAnsi="Bookman Old Style" w:cs="Arial"/>
          <w:bCs/>
          <w:color w:val="000000"/>
          <w:lang w:val="es-ES"/>
        </w:rPr>
        <w:t xml:space="preserve">y debida </w:t>
      </w:r>
      <w:r w:rsidR="009565DA">
        <w:rPr>
          <w:rFonts w:ascii="Bookman Old Style" w:hAnsi="Bookman Old Style" w:cs="Arial"/>
          <w:bCs/>
          <w:color w:val="000000"/>
          <w:lang w:val="es-ES"/>
        </w:rPr>
        <w:t>aplicación de dichas disposiciones.</w:t>
      </w:r>
      <w:r w:rsidR="0036639E">
        <w:rPr>
          <w:rFonts w:ascii="Bookman Old Style" w:hAnsi="Bookman Old Style" w:cs="Arial"/>
          <w:bCs/>
          <w:color w:val="000000"/>
          <w:lang w:val="es-ES"/>
        </w:rPr>
        <w:t xml:space="preserve"> </w:t>
      </w:r>
    </w:p>
    <w:p w14:paraId="2BFE168C" w14:textId="77777777" w:rsidR="00566E52" w:rsidRDefault="00566E52" w:rsidP="002D5C3C">
      <w:pPr>
        <w:jc w:val="both"/>
        <w:rPr>
          <w:rFonts w:ascii="Bookman Old Style" w:hAnsi="Bookman Old Style" w:cs="Arial"/>
          <w:bCs/>
          <w:color w:val="000000"/>
          <w:lang w:val="es-ES"/>
        </w:rPr>
      </w:pPr>
    </w:p>
    <w:p w14:paraId="00229945" w14:textId="4EA43C47" w:rsidR="002D5C3C" w:rsidRDefault="009565DA" w:rsidP="002D5C3C">
      <w:pPr>
        <w:jc w:val="both"/>
        <w:rPr>
          <w:rFonts w:ascii="Bookman Old Style" w:hAnsi="Bookman Old Style" w:cs="Arial"/>
          <w:bCs/>
          <w:color w:val="000000"/>
          <w:lang w:val="es-ES"/>
        </w:rPr>
      </w:pPr>
      <w:r>
        <w:rPr>
          <w:rFonts w:ascii="Bookman Old Style" w:hAnsi="Bookman Old Style" w:cs="Arial"/>
          <w:bCs/>
          <w:color w:val="000000"/>
          <w:lang w:val="es-ES"/>
        </w:rPr>
        <w:t xml:space="preserve">Esto resulta en una situación diferente a la existencia de una lesión injusta, entendida como </w:t>
      </w:r>
      <w:r w:rsidR="000B4E91">
        <w:rPr>
          <w:rFonts w:ascii="Bookman Old Style" w:hAnsi="Bookman Old Style" w:cs="Arial"/>
          <w:bCs/>
          <w:color w:val="000000"/>
          <w:lang w:val="es-ES"/>
        </w:rPr>
        <w:t xml:space="preserve">un concepto antijurídico </w:t>
      </w:r>
      <w:r w:rsidR="00205F03">
        <w:rPr>
          <w:rFonts w:ascii="Bookman Old Style" w:hAnsi="Bookman Old Style" w:cs="Arial"/>
          <w:bCs/>
          <w:color w:val="000000"/>
          <w:lang w:val="es-ES"/>
        </w:rPr>
        <w:t xml:space="preserve">que genera una carga que desde el punto de vista tarifario </w:t>
      </w:r>
      <w:r w:rsidR="00F71FB0">
        <w:rPr>
          <w:rFonts w:ascii="Bookman Old Style" w:hAnsi="Bookman Old Style" w:cs="Arial"/>
          <w:bCs/>
          <w:color w:val="000000"/>
          <w:lang w:val="es-ES"/>
        </w:rPr>
        <w:t>(</w:t>
      </w:r>
      <w:r w:rsidR="00B22D99">
        <w:rPr>
          <w:rFonts w:ascii="Bookman Old Style" w:hAnsi="Bookman Old Style" w:cs="Arial"/>
          <w:bCs/>
          <w:color w:val="000000"/>
          <w:lang w:val="es-ES"/>
        </w:rPr>
        <w:t xml:space="preserve">i.e. </w:t>
      </w:r>
      <w:r w:rsidR="00F71FB0">
        <w:rPr>
          <w:rFonts w:ascii="Bookman Old Style" w:hAnsi="Bookman Old Style" w:cs="Arial"/>
          <w:bCs/>
          <w:color w:val="000000"/>
          <w:lang w:val="es-ES"/>
        </w:rPr>
        <w:t xml:space="preserve">lo anterior considerando que la lesión recae sobre </w:t>
      </w:r>
      <w:r w:rsidR="00B22D99">
        <w:rPr>
          <w:rFonts w:ascii="Bookman Old Style" w:hAnsi="Bookman Old Style" w:cs="Arial"/>
          <w:bCs/>
          <w:color w:val="000000"/>
          <w:lang w:val="es-ES"/>
        </w:rPr>
        <w:t>el interés</w:t>
      </w:r>
      <w:r w:rsidR="00F71FB0">
        <w:rPr>
          <w:rFonts w:ascii="Bookman Old Style" w:hAnsi="Bookman Old Style" w:cs="Arial"/>
          <w:bCs/>
          <w:color w:val="000000"/>
          <w:lang w:val="es-ES"/>
        </w:rPr>
        <w:t xml:space="preserve"> </w:t>
      </w:r>
      <w:r w:rsidR="00B22D99">
        <w:rPr>
          <w:rFonts w:ascii="Bookman Old Style" w:hAnsi="Bookman Old Style" w:cs="Arial"/>
          <w:bCs/>
          <w:color w:val="000000"/>
          <w:lang w:val="es-ES"/>
        </w:rPr>
        <w:t>y no directamente sobre los usuarios o las empresas</w:t>
      </w:r>
      <w:r w:rsidR="00B22D99">
        <w:rPr>
          <w:rStyle w:val="Refdenotaalpie"/>
          <w:rFonts w:ascii="Bookman Old Style" w:hAnsi="Bookman Old Style" w:cs="Arial"/>
          <w:bCs/>
          <w:color w:val="000000"/>
          <w:lang w:val="es-ES"/>
        </w:rPr>
        <w:footnoteReference w:id="11"/>
      </w:r>
      <w:r w:rsidR="00B22D99">
        <w:rPr>
          <w:rFonts w:ascii="Bookman Old Style" w:hAnsi="Bookman Old Style" w:cs="Arial"/>
          <w:bCs/>
          <w:color w:val="000000"/>
          <w:lang w:val="es-ES"/>
        </w:rPr>
        <w:t xml:space="preserve">) </w:t>
      </w:r>
      <w:r w:rsidR="00205F03">
        <w:rPr>
          <w:rFonts w:ascii="Bookman Old Style" w:hAnsi="Bookman Old Style" w:cs="Arial"/>
          <w:bCs/>
          <w:color w:val="000000"/>
          <w:lang w:val="es-ES"/>
        </w:rPr>
        <w:t>no se está en el deber de soportar</w:t>
      </w:r>
      <w:r w:rsidR="00A87808">
        <w:rPr>
          <w:rFonts w:ascii="Bookman Old Style" w:hAnsi="Bookman Old Style" w:cs="Arial"/>
          <w:bCs/>
          <w:color w:val="000000"/>
          <w:lang w:val="es-ES"/>
        </w:rPr>
        <w:t xml:space="preserve"> a partir de una medida regulatoria existente</w:t>
      </w:r>
      <w:r w:rsidR="00205F03">
        <w:rPr>
          <w:rFonts w:ascii="Bookman Old Style" w:hAnsi="Bookman Old Style" w:cs="Arial"/>
          <w:bCs/>
          <w:color w:val="000000"/>
          <w:lang w:val="es-ES"/>
        </w:rPr>
        <w:t>,</w:t>
      </w:r>
      <w:r w:rsidR="00AA0A23">
        <w:rPr>
          <w:rFonts w:ascii="Bookman Old Style" w:hAnsi="Bookman Old Style" w:cs="Arial"/>
          <w:bCs/>
          <w:color w:val="000000"/>
          <w:lang w:val="es-ES"/>
        </w:rPr>
        <w:t xml:space="preserve"> que conlleven a </w:t>
      </w:r>
      <w:r w:rsidR="004A4064">
        <w:rPr>
          <w:rFonts w:ascii="Bookman Old Style" w:hAnsi="Bookman Old Style" w:cs="Arial"/>
          <w:bCs/>
          <w:color w:val="000000"/>
          <w:lang w:val="es-ES"/>
        </w:rPr>
        <w:t>que esta se</w:t>
      </w:r>
      <w:r w:rsidR="003E5F71">
        <w:rPr>
          <w:rFonts w:ascii="Bookman Old Style" w:hAnsi="Bookman Old Style" w:cs="Arial"/>
          <w:bCs/>
          <w:color w:val="000000"/>
          <w:lang w:val="es-ES"/>
        </w:rPr>
        <w:t>a</w:t>
      </w:r>
      <w:r w:rsidR="004A4064">
        <w:rPr>
          <w:rFonts w:ascii="Bookman Old Style" w:hAnsi="Bookman Old Style" w:cs="Arial"/>
          <w:bCs/>
          <w:color w:val="000000"/>
          <w:lang w:val="es-ES"/>
        </w:rPr>
        <w:t xml:space="preserve"> removi</w:t>
      </w:r>
      <w:r w:rsidR="00014C4B">
        <w:rPr>
          <w:rFonts w:ascii="Bookman Old Style" w:hAnsi="Bookman Old Style" w:cs="Arial"/>
          <w:bCs/>
          <w:color w:val="000000"/>
          <w:lang w:val="es-ES"/>
        </w:rPr>
        <w:t>da</w:t>
      </w:r>
      <w:r w:rsidR="00AA0A23">
        <w:rPr>
          <w:rFonts w:ascii="Bookman Old Style" w:hAnsi="Bookman Old Style" w:cs="Arial"/>
          <w:bCs/>
          <w:color w:val="000000"/>
          <w:lang w:val="es-ES"/>
        </w:rPr>
        <w:t>,</w:t>
      </w:r>
      <w:r w:rsidR="00205F03">
        <w:rPr>
          <w:rFonts w:ascii="Bookman Old Style" w:hAnsi="Bookman Old Style" w:cs="Arial"/>
          <w:bCs/>
          <w:color w:val="000000"/>
          <w:lang w:val="es-ES"/>
        </w:rPr>
        <w:t xml:space="preserve"> es decir, las disposiciones regulatorias de la Resolución </w:t>
      </w:r>
      <w:proofErr w:type="spellStart"/>
      <w:r w:rsidR="00205F03">
        <w:rPr>
          <w:rFonts w:ascii="Bookman Old Style" w:hAnsi="Bookman Old Style" w:cs="Arial"/>
          <w:bCs/>
          <w:color w:val="000000"/>
          <w:lang w:val="es-ES"/>
        </w:rPr>
        <w:t>CREG</w:t>
      </w:r>
      <w:proofErr w:type="spellEnd"/>
      <w:r w:rsidR="00205F03">
        <w:rPr>
          <w:rFonts w:ascii="Bookman Old Style" w:hAnsi="Bookman Old Style" w:cs="Arial"/>
          <w:bCs/>
          <w:color w:val="000000"/>
          <w:lang w:val="es-ES"/>
        </w:rPr>
        <w:t xml:space="preserve"> 175 de 2021 no generan dicho efecto.</w:t>
      </w:r>
      <w:r w:rsidR="009C7203">
        <w:rPr>
          <w:rFonts w:ascii="Bookman Old Style" w:hAnsi="Bookman Old Style" w:cs="Arial"/>
          <w:bCs/>
          <w:color w:val="000000"/>
          <w:lang w:val="es-ES"/>
        </w:rPr>
        <w:t xml:space="preserve"> </w:t>
      </w:r>
      <w:r w:rsidR="007E32B9">
        <w:rPr>
          <w:rFonts w:ascii="Bookman Old Style" w:hAnsi="Bookman Old Style" w:cs="Arial"/>
          <w:bCs/>
          <w:color w:val="000000"/>
          <w:lang w:val="es-ES"/>
        </w:rPr>
        <w:t xml:space="preserve">De ahí que se considere que la causal </w:t>
      </w:r>
      <w:r w:rsidR="00047FE8">
        <w:rPr>
          <w:rFonts w:ascii="Bookman Old Style" w:hAnsi="Bookman Old Style" w:cs="Arial"/>
          <w:bCs/>
          <w:color w:val="000000"/>
          <w:lang w:val="es-ES"/>
        </w:rPr>
        <w:t>propuesta en la consulta</w:t>
      </w:r>
      <w:r w:rsidR="007E32B9">
        <w:rPr>
          <w:rFonts w:ascii="Bookman Old Style" w:hAnsi="Bookman Old Style" w:cs="Arial"/>
          <w:bCs/>
          <w:color w:val="000000"/>
          <w:lang w:val="es-ES"/>
        </w:rPr>
        <w:t xml:space="preserve"> no sea procedente.</w:t>
      </w:r>
      <w:r w:rsidR="00AB78CE">
        <w:rPr>
          <w:rFonts w:ascii="Bookman Old Style" w:hAnsi="Bookman Old Style" w:cs="Arial"/>
          <w:bCs/>
          <w:color w:val="000000"/>
          <w:lang w:val="es-ES"/>
        </w:rPr>
        <w:t xml:space="preserve"> </w:t>
      </w:r>
    </w:p>
    <w:p w14:paraId="3B8EF3DC" w14:textId="77777777" w:rsidR="00014C4B" w:rsidRDefault="00014C4B" w:rsidP="002D5C3C">
      <w:pPr>
        <w:jc w:val="both"/>
        <w:rPr>
          <w:rFonts w:ascii="Bookman Old Style" w:hAnsi="Bookman Old Style" w:cs="Arial"/>
          <w:bCs/>
          <w:color w:val="000000"/>
          <w:lang w:val="es-ES"/>
        </w:rPr>
      </w:pPr>
    </w:p>
    <w:p w14:paraId="1196904A" w14:textId="3E80D9B9" w:rsidR="00014C4B" w:rsidRDefault="00A37D4E" w:rsidP="002D5C3C">
      <w:pPr>
        <w:jc w:val="both"/>
        <w:rPr>
          <w:rFonts w:ascii="Bookman Old Style" w:hAnsi="Bookman Old Style" w:cs="Arial"/>
          <w:bCs/>
          <w:color w:val="000000"/>
          <w:lang w:val="es-ES"/>
        </w:rPr>
      </w:pPr>
      <w:r>
        <w:rPr>
          <w:rFonts w:ascii="Bookman Old Style" w:hAnsi="Bookman Old Style" w:cs="Arial"/>
          <w:bCs/>
          <w:color w:val="000000"/>
          <w:lang w:val="es-ES"/>
        </w:rPr>
        <w:t>Cabe aclarar que</w:t>
      </w:r>
      <w:r w:rsidR="00014C4B">
        <w:rPr>
          <w:rFonts w:ascii="Bookman Old Style" w:hAnsi="Bookman Old Style" w:cs="Arial"/>
          <w:bCs/>
          <w:color w:val="000000"/>
          <w:lang w:val="es-ES"/>
        </w:rPr>
        <w:t xml:space="preserve">, </w:t>
      </w:r>
      <w:r w:rsidR="00830E76">
        <w:rPr>
          <w:rFonts w:ascii="Bookman Old Style" w:hAnsi="Bookman Old Style" w:cs="Arial"/>
          <w:bCs/>
          <w:color w:val="000000"/>
          <w:lang w:val="es-ES"/>
        </w:rPr>
        <w:t xml:space="preserve">a partir de la </w:t>
      </w:r>
      <w:r w:rsidR="00830E76" w:rsidRPr="00830E76">
        <w:rPr>
          <w:rFonts w:ascii="Bookman Old Style" w:hAnsi="Bookman Old Style" w:cs="Arial"/>
          <w:bCs/>
          <w:color w:val="000000"/>
          <w:lang w:val="es-ES"/>
        </w:rPr>
        <w:t>modifica</w:t>
      </w:r>
      <w:r w:rsidR="00830E76">
        <w:rPr>
          <w:rFonts w:ascii="Bookman Old Style" w:hAnsi="Bookman Old Style" w:cs="Arial"/>
          <w:bCs/>
          <w:color w:val="000000"/>
          <w:lang w:val="es-ES"/>
        </w:rPr>
        <w:t>ción hecha al artículo 126 de la Ley 142 de 199</w:t>
      </w:r>
      <w:r w:rsidR="00F63063">
        <w:rPr>
          <w:rFonts w:ascii="Bookman Old Style" w:hAnsi="Bookman Old Style" w:cs="Arial"/>
          <w:bCs/>
          <w:color w:val="000000"/>
          <w:lang w:val="es-ES"/>
        </w:rPr>
        <w:t>4</w:t>
      </w:r>
      <w:r w:rsidR="00830E76" w:rsidRPr="00830E76">
        <w:rPr>
          <w:rFonts w:ascii="Bookman Old Style" w:hAnsi="Bookman Old Style" w:cs="Arial"/>
          <w:bCs/>
          <w:color w:val="000000"/>
          <w:lang w:val="es-ES"/>
        </w:rPr>
        <w:t xml:space="preserve"> por </w:t>
      </w:r>
      <w:r w:rsidR="00F63063">
        <w:rPr>
          <w:rFonts w:ascii="Bookman Old Style" w:hAnsi="Bookman Old Style" w:cs="Arial"/>
          <w:bCs/>
          <w:color w:val="000000"/>
          <w:lang w:val="es-ES"/>
        </w:rPr>
        <w:t xml:space="preserve">parte de </w:t>
      </w:r>
      <w:r w:rsidR="00830E76" w:rsidRPr="00830E76">
        <w:rPr>
          <w:rFonts w:ascii="Bookman Old Style" w:hAnsi="Bookman Old Style" w:cs="Arial"/>
          <w:bCs/>
          <w:color w:val="000000"/>
          <w:lang w:val="es-ES"/>
        </w:rPr>
        <w:t>la ley 2099 de 2021</w:t>
      </w:r>
      <w:r w:rsidR="00F63063">
        <w:rPr>
          <w:rFonts w:ascii="Bookman Old Style" w:hAnsi="Bookman Old Style" w:cs="Arial"/>
          <w:bCs/>
          <w:color w:val="000000"/>
          <w:lang w:val="es-ES"/>
        </w:rPr>
        <w:t>, la lesión injusta a los intereses de los usuarios o las empresas es una causal autónoma e independiente del grave error de cálculo y no una consecuencia de este último como estaba considerado inicialmente en la Ley.</w:t>
      </w:r>
    </w:p>
    <w:p w14:paraId="31950537" w14:textId="77777777" w:rsidR="008A0F17" w:rsidRDefault="008A0F17" w:rsidP="002D5C3C">
      <w:pPr>
        <w:jc w:val="both"/>
        <w:rPr>
          <w:rFonts w:ascii="Bookman Old Style" w:hAnsi="Bookman Old Style" w:cs="Arial"/>
          <w:bCs/>
          <w:color w:val="000000"/>
          <w:lang w:val="es-ES"/>
        </w:rPr>
      </w:pPr>
    </w:p>
    <w:p w14:paraId="17018ED8" w14:textId="5F362A11" w:rsidR="00F8612E" w:rsidRPr="00947662" w:rsidRDefault="008A0F17" w:rsidP="00947662">
      <w:pPr>
        <w:jc w:val="both"/>
        <w:rPr>
          <w:rFonts w:ascii="Bookman Old Style" w:hAnsi="Bookman Old Style" w:cs="Arial"/>
          <w:bCs/>
          <w:color w:val="000000"/>
          <w:lang w:val="es-ES"/>
        </w:rPr>
      </w:pPr>
      <w:r>
        <w:rPr>
          <w:rFonts w:ascii="Bookman Old Style" w:hAnsi="Bookman Old Style" w:cs="Arial"/>
          <w:bCs/>
          <w:color w:val="000000"/>
          <w:lang w:val="es-ES"/>
        </w:rPr>
        <w:t>En este sentido, considerando que las medidas que se proponen son válidas</w:t>
      </w:r>
      <w:r w:rsidR="00242192">
        <w:rPr>
          <w:rFonts w:ascii="Bookman Old Style" w:hAnsi="Bookman Old Style" w:cs="Arial"/>
          <w:bCs/>
          <w:color w:val="000000"/>
          <w:lang w:val="es-ES"/>
        </w:rPr>
        <w:t>, toda vez que permiten una debida y correcta aplicación del criterio de eficiencia económica previsto en el artículo 87 de la Ley 142 de 1994</w:t>
      </w:r>
      <w:r w:rsidR="00F8612E">
        <w:rPr>
          <w:rFonts w:ascii="Bookman Old Style" w:hAnsi="Bookman Old Style" w:cs="Arial"/>
          <w:bCs/>
          <w:color w:val="000000"/>
          <w:lang w:val="es-ES"/>
        </w:rPr>
        <w:t xml:space="preserve">, </w:t>
      </w:r>
      <w:r w:rsidR="007629C3" w:rsidRPr="007629C3">
        <w:rPr>
          <w:rFonts w:ascii="Bookman Old Style" w:hAnsi="Bookman Old Style" w:cs="Arial"/>
          <w:bCs/>
          <w:color w:val="000000"/>
          <w:lang w:val="es-ES"/>
        </w:rPr>
        <w:t>la modificación de la metodología establecida en</w:t>
      </w:r>
      <w:r w:rsidR="00F8612E">
        <w:rPr>
          <w:rFonts w:ascii="Bookman Old Style" w:hAnsi="Bookman Old Style" w:cs="Arial"/>
          <w:bCs/>
          <w:color w:val="000000"/>
          <w:lang w:val="es-ES"/>
        </w:rPr>
        <w:t xml:space="preserve"> la Resolución </w:t>
      </w:r>
      <w:proofErr w:type="spellStart"/>
      <w:r w:rsidR="00F8612E">
        <w:rPr>
          <w:rFonts w:ascii="Bookman Old Style" w:hAnsi="Bookman Old Style" w:cs="Arial"/>
          <w:bCs/>
          <w:color w:val="000000"/>
          <w:lang w:val="es-ES"/>
        </w:rPr>
        <w:t>CREG</w:t>
      </w:r>
      <w:proofErr w:type="spellEnd"/>
      <w:r w:rsidR="00F8612E">
        <w:rPr>
          <w:rFonts w:ascii="Bookman Old Style" w:hAnsi="Bookman Old Style" w:cs="Arial"/>
          <w:bCs/>
          <w:color w:val="000000"/>
          <w:lang w:val="es-ES"/>
        </w:rPr>
        <w:t xml:space="preserve"> 175 de 2021, debe </w:t>
      </w:r>
      <w:r w:rsidR="00F8612E" w:rsidRPr="00947662">
        <w:rPr>
          <w:rFonts w:ascii="Bookman Old Style" w:hAnsi="Bookman Old Style" w:cs="Arial"/>
          <w:bCs/>
          <w:color w:val="000000"/>
          <w:lang w:val="es-ES"/>
        </w:rPr>
        <w:t>estar justificada dentro de las causales previstas en el artículo 126 de la Ley 142 de 1994, modificado por la ley 2099 de 2021 el cual establece lo siguiente:</w:t>
      </w:r>
    </w:p>
    <w:p w14:paraId="14F1D286" w14:textId="6888E1CA" w:rsidR="000C51BC" w:rsidRDefault="00F8612E" w:rsidP="00947662">
      <w:pPr>
        <w:pStyle w:val="NormalWeb"/>
        <w:spacing w:after="0" w:afterAutospacing="0" w:line="240" w:lineRule="auto"/>
        <w:ind w:left="227"/>
        <w:rPr>
          <w:i/>
          <w:iCs/>
          <w:sz w:val="22"/>
          <w:szCs w:val="22"/>
        </w:rPr>
      </w:pPr>
      <w:r w:rsidRPr="00947662">
        <w:rPr>
          <w:i/>
          <w:iCs/>
          <w:sz w:val="22"/>
          <w:szCs w:val="22"/>
          <w:lang w:val="es-CO"/>
        </w:rPr>
        <w:t>“</w:t>
      </w:r>
      <w:r w:rsidRPr="006C7539">
        <w:rPr>
          <w:b/>
          <w:i/>
          <w:sz w:val="22"/>
          <w:szCs w:val="22"/>
          <w:lang w:val="es-CO"/>
        </w:rPr>
        <w:t>Ley 142 de 1994. Artículo 126</w:t>
      </w:r>
      <w:r w:rsidRPr="00947662">
        <w:rPr>
          <w:i/>
          <w:iCs/>
          <w:sz w:val="22"/>
          <w:szCs w:val="22"/>
          <w:lang w:val="es-CO"/>
        </w:rPr>
        <w:t>.  Las fórmulas tarifarias tendrán una vigencia de cinco años, salvo que antes haya acuerdo entre la empresa de servicios públicos y la comisión para modificarlas o prorrogarlas por un período igual. Excepcionalmente podrán modificarse en cualquier tiempo, de oficio o a petición de parte, cuando sea evidente que se cometieron graves errores en su cálculo, se lesionan injustamente los intereses de los usuarios o de la empresa; o que ha habido razones de caso fortuito o fuerza mayor que comprometen en forma grave la capacidad financiera de la empresa para continuar prestando el servicio en las condiciones tarifarias previstas.</w:t>
      </w:r>
    </w:p>
    <w:p w14:paraId="5A189092" w14:textId="3C55227F" w:rsidR="000C51BC" w:rsidRDefault="000C51BC" w:rsidP="000C51BC">
      <w:pPr>
        <w:pStyle w:val="NormalWeb"/>
        <w:spacing w:after="0" w:afterAutospacing="0" w:line="240" w:lineRule="auto"/>
        <w:ind w:left="227"/>
        <w:rPr>
          <w:i/>
          <w:iCs/>
          <w:sz w:val="22"/>
          <w:szCs w:val="22"/>
        </w:rPr>
      </w:pPr>
      <w:r w:rsidRPr="000C51BC">
        <w:rPr>
          <w:i/>
          <w:iCs/>
          <w:sz w:val="22"/>
          <w:szCs w:val="22"/>
        </w:rPr>
        <w:t xml:space="preserve">Vencido el período de </w:t>
      </w:r>
      <w:r w:rsidRPr="00947662">
        <w:rPr>
          <w:i/>
          <w:iCs/>
          <w:sz w:val="22"/>
          <w:szCs w:val="22"/>
          <w:lang w:val="es-CO"/>
        </w:rPr>
        <w:t>vigencia</w:t>
      </w:r>
      <w:r w:rsidRPr="000C51BC">
        <w:rPr>
          <w:i/>
          <w:iCs/>
          <w:sz w:val="22"/>
          <w:szCs w:val="22"/>
        </w:rPr>
        <w:t xml:space="preserve"> de las fórmulas tarifarias, continuarán rigiendo mientras la comisión no fije las nuevas.”</w:t>
      </w:r>
    </w:p>
    <w:p w14:paraId="2D35ED90" w14:textId="77777777" w:rsidR="00DB57CC" w:rsidRDefault="00DB57CC" w:rsidP="00DB57CC">
      <w:pPr>
        <w:jc w:val="both"/>
        <w:rPr>
          <w:rFonts w:ascii="Bookman Old Style" w:hAnsi="Bookman Old Style" w:cs="Arial"/>
          <w:bCs/>
          <w:color w:val="000000"/>
          <w:lang w:val="es-ES"/>
        </w:rPr>
      </w:pPr>
    </w:p>
    <w:p w14:paraId="6918672E" w14:textId="62D1AD2F" w:rsidR="00DB57CC" w:rsidRDefault="00DB57CC" w:rsidP="00DB57CC">
      <w:pPr>
        <w:jc w:val="both"/>
        <w:rPr>
          <w:rFonts w:ascii="Bookman Old Style" w:hAnsi="Bookman Old Style" w:cs="Arial"/>
          <w:bCs/>
          <w:color w:val="000000"/>
          <w:lang w:val="es-ES"/>
        </w:rPr>
      </w:pPr>
      <w:r>
        <w:rPr>
          <w:rFonts w:ascii="Bookman Old Style" w:hAnsi="Bookman Old Style" w:cs="Arial"/>
          <w:bCs/>
          <w:color w:val="000000"/>
          <w:lang w:val="es-ES"/>
        </w:rPr>
        <w:lastRenderedPageBreak/>
        <w:t xml:space="preserve">A partir de lo consignado en esta norma, se identifica que para </w:t>
      </w:r>
      <w:r w:rsidR="00E509DD" w:rsidRPr="00E509DD">
        <w:rPr>
          <w:rFonts w:ascii="Bookman Old Style" w:hAnsi="Bookman Old Style" w:cs="Arial"/>
          <w:bCs/>
          <w:color w:val="000000"/>
          <w:lang w:val="es-ES"/>
        </w:rPr>
        <w:t>ajustar una fórmula tarifaria a partir del mutuo acuerdo entre</w:t>
      </w:r>
      <w:r w:rsidR="006428EA">
        <w:rPr>
          <w:rFonts w:ascii="Bookman Old Style" w:hAnsi="Bookman Old Style" w:cs="Arial"/>
          <w:bCs/>
          <w:color w:val="000000"/>
          <w:lang w:val="es-ES"/>
        </w:rPr>
        <w:t xml:space="preserve"> </w:t>
      </w:r>
      <w:r w:rsidRPr="00947662">
        <w:rPr>
          <w:rFonts w:ascii="Bookman Old Style" w:hAnsi="Bookman Old Style" w:cs="Arial"/>
          <w:bCs/>
          <w:color w:val="000000"/>
          <w:lang w:val="es-ES"/>
        </w:rPr>
        <w:t>la empresa de servicios públicos domiciliarios y la Comisión,</w:t>
      </w:r>
      <w:r w:rsidR="00EC09C9">
        <w:rPr>
          <w:rFonts w:ascii="Bookman Old Style" w:hAnsi="Bookman Old Style" w:cs="Arial"/>
          <w:bCs/>
          <w:color w:val="000000"/>
          <w:lang w:val="es-ES"/>
        </w:rPr>
        <w:t xml:space="preserve"> </w:t>
      </w:r>
      <w:r w:rsidRPr="00947662">
        <w:rPr>
          <w:rFonts w:ascii="Bookman Old Style" w:hAnsi="Bookman Old Style" w:cs="Arial"/>
          <w:bCs/>
          <w:color w:val="000000"/>
          <w:lang w:val="es-ES"/>
        </w:rPr>
        <w:t>esta facultad no permite acordar arbitrariamente una fórmula tarifaria en desconocimiento de las normas constitucionales y legales sobre el régimen tarifario, así como de los principios constitucionales que rigen la prestación de los servicios públicos domiciliarios, sino que la administración debe actuar conforme a los principios y límites previstos en la Constitución y la Ley.</w:t>
      </w:r>
    </w:p>
    <w:p w14:paraId="1FEA3A48" w14:textId="77777777" w:rsidR="00EC09C9" w:rsidRPr="00947662" w:rsidRDefault="00EC09C9" w:rsidP="00947662">
      <w:pPr>
        <w:jc w:val="both"/>
        <w:rPr>
          <w:rFonts w:ascii="Bookman Old Style" w:hAnsi="Bookman Old Style" w:cs="Arial"/>
          <w:bCs/>
          <w:color w:val="000000"/>
          <w:lang w:val="es-ES"/>
        </w:rPr>
      </w:pPr>
    </w:p>
    <w:p w14:paraId="683B4B1E" w14:textId="77777777" w:rsidR="00DB57CC" w:rsidRDefault="00DB57CC" w:rsidP="00DB57CC">
      <w:pPr>
        <w:jc w:val="both"/>
        <w:rPr>
          <w:rFonts w:ascii="Bookman Old Style" w:hAnsi="Bookman Old Style" w:cs="Arial"/>
          <w:bCs/>
          <w:color w:val="000000"/>
          <w:lang w:val="es-ES"/>
        </w:rPr>
      </w:pPr>
      <w:r w:rsidRPr="00947662">
        <w:rPr>
          <w:rFonts w:ascii="Bookman Old Style" w:hAnsi="Bookman Old Style" w:cs="Arial"/>
          <w:bCs/>
          <w:color w:val="000000"/>
          <w:lang w:val="es-ES"/>
        </w:rPr>
        <w:t>Es por esto que dicha causal tiene fundamento en razones que ameriten ajustes en las tarifas para garantizar a las empresas el cumplimiento de los criterios tarifarios definidos en el artículo 87 de la Ley 142 de 1994. En el evento del mutuo acuerdo, la modificación puede proceder por hechos o circunstancias de la prestación del servicio generadas en un evento posterior, que no se reflejan adecuadamente en los costos incorporados en las tarifas aprobadas a una empresa. Así mismo, la procedencia del mutuo acuerdo entre la Comisión y la empresa se debe fundar en razones que ameriten ajustes en las tarifas para garantizar a las empresas el cumplimiento de los criterios tarifarios definidos en la Ley.</w:t>
      </w:r>
    </w:p>
    <w:p w14:paraId="6681D8EC" w14:textId="77777777" w:rsidR="00EC09C9" w:rsidRPr="00947662" w:rsidRDefault="00EC09C9" w:rsidP="00947662">
      <w:pPr>
        <w:jc w:val="both"/>
        <w:rPr>
          <w:rFonts w:ascii="Bookman Old Style" w:hAnsi="Bookman Old Style" w:cs="Arial"/>
          <w:bCs/>
          <w:color w:val="000000"/>
          <w:lang w:val="es-ES"/>
        </w:rPr>
      </w:pPr>
    </w:p>
    <w:p w14:paraId="45BD9DF5" w14:textId="09560D0A" w:rsidR="00DB57CC" w:rsidRDefault="00DB57CC" w:rsidP="00DB57CC">
      <w:pPr>
        <w:jc w:val="both"/>
        <w:rPr>
          <w:rFonts w:ascii="Bookman Old Style" w:hAnsi="Bookman Old Style" w:cs="Arial"/>
          <w:bCs/>
          <w:color w:val="000000"/>
          <w:lang w:val="es-ES"/>
        </w:rPr>
      </w:pPr>
      <w:r w:rsidRPr="00947662">
        <w:rPr>
          <w:rFonts w:ascii="Bookman Old Style" w:hAnsi="Bookman Old Style" w:cs="Arial"/>
          <w:bCs/>
          <w:color w:val="000000"/>
          <w:lang w:val="es-ES"/>
        </w:rPr>
        <w:t xml:space="preserve">Frente a los </w:t>
      </w:r>
      <w:r w:rsidR="00EC09C9">
        <w:rPr>
          <w:rFonts w:ascii="Bookman Old Style" w:hAnsi="Bookman Old Style" w:cs="Arial"/>
          <w:bCs/>
          <w:color w:val="000000"/>
          <w:lang w:val="es-ES"/>
        </w:rPr>
        <w:t>elementos</w:t>
      </w:r>
      <w:r w:rsidRPr="00947662">
        <w:rPr>
          <w:rFonts w:ascii="Bookman Old Style" w:hAnsi="Bookman Old Style" w:cs="Arial"/>
          <w:bCs/>
          <w:color w:val="000000"/>
          <w:lang w:val="es-ES"/>
        </w:rPr>
        <w:t xml:space="preserve"> </w:t>
      </w:r>
      <w:r w:rsidR="00EC09C9">
        <w:rPr>
          <w:rFonts w:ascii="Bookman Old Style" w:hAnsi="Bookman Old Style" w:cs="Arial"/>
          <w:bCs/>
          <w:color w:val="000000"/>
          <w:lang w:val="es-ES"/>
        </w:rPr>
        <w:t>propuestos</w:t>
      </w:r>
      <w:r w:rsidRPr="00947662">
        <w:rPr>
          <w:rFonts w:ascii="Bookman Old Style" w:hAnsi="Bookman Old Style" w:cs="Arial"/>
          <w:bCs/>
          <w:color w:val="000000"/>
          <w:lang w:val="es-ES"/>
        </w:rPr>
        <w:t>, en el presente caso estos se adecuan a la causal de mut</w:t>
      </w:r>
      <w:r w:rsidR="003D24E8">
        <w:rPr>
          <w:rFonts w:ascii="Bookman Old Style" w:hAnsi="Bookman Old Style" w:cs="Arial"/>
          <w:bCs/>
          <w:color w:val="000000"/>
          <w:lang w:val="es-ES"/>
        </w:rPr>
        <w:t>u</w:t>
      </w:r>
      <w:r w:rsidRPr="00947662">
        <w:rPr>
          <w:rFonts w:ascii="Bookman Old Style" w:hAnsi="Bookman Old Style" w:cs="Arial"/>
          <w:bCs/>
          <w:color w:val="000000"/>
          <w:lang w:val="es-ES"/>
        </w:rPr>
        <w:t>o acuerdo previst</w:t>
      </w:r>
      <w:r w:rsidR="00554579">
        <w:rPr>
          <w:rFonts w:ascii="Bookman Old Style" w:hAnsi="Bookman Old Style" w:cs="Arial"/>
          <w:bCs/>
          <w:color w:val="000000"/>
          <w:lang w:val="es-ES"/>
        </w:rPr>
        <w:t>a</w:t>
      </w:r>
      <w:r w:rsidRPr="00947662">
        <w:rPr>
          <w:rFonts w:ascii="Bookman Old Style" w:hAnsi="Bookman Old Style" w:cs="Arial"/>
          <w:bCs/>
          <w:color w:val="000000"/>
          <w:lang w:val="es-ES"/>
        </w:rPr>
        <w:t xml:space="preserve"> en el artículo 126 de la Ley 142 de 1994, toda vez que su incorporación dentro de </w:t>
      </w:r>
      <w:r w:rsidR="00B74202">
        <w:rPr>
          <w:rFonts w:ascii="Bookman Old Style" w:hAnsi="Bookman Old Style" w:cs="Arial"/>
          <w:bCs/>
          <w:color w:val="000000"/>
          <w:lang w:val="es-ES"/>
        </w:rPr>
        <w:t xml:space="preserve">la Resolución </w:t>
      </w:r>
      <w:proofErr w:type="spellStart"/>
      <w:r w:rsidR="00B74202">
        <w:rPr>
          <w:rFonts w:ascii="Bookman Old Style" w:hAnsi="Bookman Old Style" w:cs="Arial"/>
          <w:bCs/>
          <w:color w:val="000000"/>
          <w:lang w:val="es-ES"/>
        </w:rPr>
        <w:t>CREG</w:t>
      </w:r>
      <w:proofErr w:type="spellEnd"/>
      <w:r w:rsidR="00B74202">
        <w:rPr>
          <w:rFonts w:ascii="Bookman Old Style" w:hAnsi="Bookman Old Style" w:cs="Arial"/>
          <w:bCs/>
          <w:color w:val="000000"/>
          <w:lang w:val="es-ES"/>
        </w:rPr>
        <w:t xml:space="preserve"> 175 de 2021</w:t>
      </w:r>
      <w:r w:rsidRPr="00947662">
        <w:rPr>
          <w:rFonts w:ascii="Bookman Old Style" w:hAnsi="Bookman Old Style" w:cs="Arial"/>
          <w:bCs/>
          <w:color w:val="000000"/>
          <w:lang w:val="es-ES"/>
        </w:rPr>
        <w:t xml:space="preserve"> garantiza</w:t>
      </w:r>
      <w:r w:rsidR="00B74202">
        <w:rPr>
          <w:rFonts w:ascii="Bookman Old Style" w:hAnsi="Bookman Old Style" w:cs="Arial"/>
          <w:bCs/>
          <w:color w:val="000000"/>
          <w:lang w:val="es-ES"/>
        </w:rPr>
        <w:t>n</w:t>
      </w:r>
      <w:r w:rsidRPr="00947662">
        <w:rPr>
          <w:rFonts w:ascii="Bookman Old Style" w:hAnsi="Bookman Old Style" w:cs="Arial"/>
          <w:bCs/>
          <w:color w:val="000000"/>
          <w:lang w:val="es-ES"/>
        </w:rPr>
        <w:t xml:space="preserve"> la correcta aplicación de los criterios tarifarios a que hacen referencia el artículo 87 de la Ley 142 de 1994 dentro del servicio público domiciliario de </w:t>
      </w:r>
      <w:r w:rsidR="00B74202">
        <w:rPr>
          <w:rFonts w:ascii="Bookman Old Style" w:hAnsi="Bookman Old Style" w:cs="Arial"/>
          <w:bCs/>
          <w:color w:val="000000"/>
          <w:lang w:val="es-ES"/>
        </w:rPr>
        <w:t>gas combustible</w:t>
      </w:r>
      <w:r w:rsidR="00E97E60">
        <w:rPr>
          <w:rFonts w:ascii="Bookman Old Style" w:hAnsi="Bookman Old Style" w:cs="Arial"/>
          <w:bCs/>
          <w:color w:val="000000"/>
          <w:lang w:val="es-ES"/>
        </w:rPr>
        <w:t xml:space="preserve"> en la actividad de transporte de gas natural</w:t>
      </w:r>
      <w:r w:rsidRPr="00947662">
        <w:rPr>
          <w:rFonts w:ascii="Bookman Old Style" w:hAnsi="Bookman Old Style" w:cs="Arial"/>
          <w:bCs/>
          <w:color w:val="000000"/>
          <w:lang w:val="es-ES"/>
        </w:rPr>
        <w:t>.</w:t>
      </w:r>
    </w:p>
    <w:p w14:paraId="00B34784" w14:textId="77777777" w:rsidR="00EC09C9" w:rsidRPr="00947662" w:rsidRDefault="00EC09C9" w:rsidP="00947662">
      <w:pPr>
        <w:jc w:val="both"/>
        <w:rPr>
          <w:rFonts w:ascii="Bookman Old Style" w:hAnsi="Bookman Old Style" w:cs="Arial"/>
          <w:bCs/>
          <w:color w:val="000000"/>
          <w:lang w:val="es-ES"/>
        </w:rPr>
      </w:pPr>
    </w:p>
    <w:p w14:paraId="1661949A" w14:textId="40730B89" w:rsidR="00DB57CC" w:rsidRDefault="00DB57CC" w:rsidP="00DB57CC">
      <w:pPr>
        <w:jc w:val="both"/>
        <w:rPr>
          <w:rFonts w:ascii="Bookman Old Style" w:hAnsi="Bookman Old Style" w:cs="Arial"/>
          <w:bCs/>
          <w:color w:val="000000"/>
          <w:lang w:val="es-ES"/>
        </w:rPr>
      </w:pPr>
      <w:r w:rsidRPr="00947662">
        <w:rPr>
          <w:rFonts w:ascii="Bookman Old Style" w:hAnsi="Bookman Old Style" w:cs="Arial"/>
          <w:bCs/>
          <w:color w:val="000000"/>
          <w:lang w:val="es-ES"/>
        </w:rPr>
        <w:t xml:space="preserve">En este sentido, estima la Comisión que en la presente propuesta se da una correcta aplicación de los criterios tarifarios en la medida que permite la recuperación de unos valores que se consideran eficientes en el marco del criterio de eficiencia económica, toda vez que dichos valores no incorporan gestiones ineficientes o son resultado de prácticas anticompetitivas o abusivas; reflejan una estructura de costos que permite una adecuada recuperación de los mismos, protegiendo el interés de los usuarios en la medida en que se establecen condiciones para que </w:t>
      </w:r>
      <w:r w:rsidR="000E1EDA">
        <w:rPr>
          <w:rFonts w:ascii="Bookman Old Style" w:hAnsi="Bookman Old Style" w:cs="Arial"/>
          <w:bCs/>
          <w:color w:val="000000"/>
          <w:lang w:val="es-ES"/>
        </w:rPr>
        <w:t>la</w:t>
      </w:r>
      <w:r w:rsidRPr="00947662">
        <w:rPr>
          <w:rFonts w:ascii="Bookman Old Style" w:hAnsi="Bookman Old Style" w:cs="Arial"/>
          <w:bCs/>
          <w:color w:val="000000"/>
          <w:lang w:val="es-ES"/>
        </w:rPr>
        <w:t xml:space="preserve"> prestación sea sostenible en el largo plazo, garantizando la continuidad en las actividades que deben desplegar los </w:t>
      </w:r>
      <w:r w:rsidR="00224DF9">
        <w:rPr>
          <w:rFonts w:ascii="Bookman Old Style" w:hAnsi="Bookman Old Style" w:cs="Arial"/>
          <w:bCs/>
          <w:color w:val="000000"/>
          <w:lang w:val="es-ES"/>
        </w:rPr>
        <w:t>transportadores</w:t>
      </w:r>
      <w:r w:rsidRPr="00947662">
        <w:rPr>
          <w:rFonts w:ascii="Bookman Old Style" w:hAnsi="Bookman Old Style" w:cs="Arial"/>
          <w:bCs/>
          <w:color w:val="000000"/>
          <w:lang w:val="es-ES"/>
        </w:rPr>
        <w:t xml:space="preserve"> en el marco del criterio de suficiencia financiera.</w:t>
      </w:r>
    </w:p>
    <w:p w14:paraId="6FCAE632" w14:textId="77777777" w:rsidR="00F209F3" w:rsidRDefault="00F209F3" w:rsidP="00DB57CC">
      <w:pPr>
        <w:jc w:val="both"/>
        <w:rPr>
          <w:rFonts w:ascii="Bookman Old Style" w:hAnsi="Bookman Old Style" w:cs="Arial"/>
          <w:bCs/>
          <w:color w:val="000000"/>
          <w:lang w:val="es-ES"/>
        </w:rPr>
      </w:pPr>
    </w:p>
    <w:p w14:paraId="0C700EA1" w14:textId="4C22D825" w:rsidR="00DB57CC" w:rsidRDefault="00DB57CC" w:rsidP="00DB57CC">
      <w:pPr>
        <w:jc w:val="both"/>
        <w:rPr>
          <w:rFonts w:ascii="Bookman Old Style" w:hAnsi="Bookman Old Style" w:cs="Arial"/>
          <w:bCs/>
          <w:color w:val="000000"/>
          <w:lang w:val="es-ES"/>
        </w:rPr>
      </w:pPr>
      <w:r w:rsidRPr="00947662">
        <w:rPr>
          <w:rFonts w:ascii="Bookman Old Style" w:hAnsi="Bookman Old Style" w:cs="Arial"/>
          <w:bCs/>
          <w:color w:val="000000"/>
          <w:lang w:val="es-ES"/>
        </w:rPr>
        <w:t xml:space="preserve">De acuerdo con lo anterior, la presente propuesta regulatoria permite dar cumplimiento a los principios constitucionales y legales que rigen la prestación de los servicios públicos domiciliarios, previstos en el artículo 370 constitucional y en la Ley 142 de 1994 en sus artículos 1 al 13, relacionados entre otros con la prestación continua e ininterrumpida en condiciones de eficiencia, facilitando que los usuarios puedan sufragar la </w:t>
      </w:r>
      <w:r w:rsidR="00F209F3">
        <w:rPr>
          <w:rFonts w:ascii="Bookman Old Style" w:hAnsi="Bookman Old Style" w:cs="Arial"/>
          <w:bCs/>
          <w:color w:val="000000"/>
          <w:lang w:val="es-ES"/>
        </w:rPr>
        <w:t xml:space="preserve">tarifa </w:t>
      </w:r>
      <w:r w:rsidRPr="00947662">
        <w:rPr>
          <w:rFonts w:ascii="Bookman Old Style" w:hAnsi="Bookman Old Style" w:cs="Arial"/>
          <w:bCs/>
          <w:color w:val="000000"/>
          <w:lang w:val="es-ES"/>
        </w:rPr>
        <w:t>sin incrementos excesivos.</w:t>
      </w:r>
    </w:p>
    <w:p w14:paraId="35164F8E" w14:textId="77777777" w:rsidR="00E55DD5" w:rsidRDefault="00E55DD5" w:rsidP="00DB57CC">
      <w:pPr>
        <w:jc w:val="both"/>
        <w:rPr>
          <w:rFonts w:ascii="Bookman Old Style" w:hAnsi="Bookman Old Style" w:cs="Arial"/>
          <w:bCs/>
          <w:color w:val="000000"/>
          <w:lang w:val="es-ES"/>
        </w:rPr>
      </w:pPr>
    </w:p>
    <w:p w14:paraId="0E97FF82" w14:textId="1151AB01" w:rsidR="0041486C" w:rsidRPr="0041486C" w:rsidRDefault="00E55DD5" w:rsidP="0041486C">
      <w:pPr>
        <w:jc w:val="both"/>
        <w:rPr>
          <w:rFonts w:ascii="Bookman Old Style" w:hAnsi="Bookman Old Style" w:cs="Arial"/>
          <w:bCs/>
          <w:color w:val="000000"/>
          <w:lang w:val="es-ES"/>
        </w:rPr>
      </w:pPr>
      <w:r>
        <w:rPr>
          <w:rFonts w:ascii="Bookman Old Style" w:hAnsi="Bookman Old Style" w:cs="Arial"/>
          <w:bCs/>
          <w:color w:val="000000"/>
          <w:lang w:val="es-ES"/>
        </w:rPr>
        <w:t xml:space="preserve">Adicionalmente, </w:t>
      </w:r>
      <w:r w:rsidR="0041486C">
        <w:rPr>
          <w:rFonts w:ascii="Bookman Old Style" w:hAnsi="Bookman Old Style" w:cs="Arial"/>
          <w:bCs/>
          <w:color w:val="000000"/>
          <w:lang w:val="es-ES"/>
        </w:rPr>
        <w:t>t</w:t>
      </w:r>
      <w:r w:rsidR="0041486C" w:rsidRPr="0041486C">
        <w:rPr>
          <w:rFonts w:ascii="Bookman Old Style" w:hAnsi="Bookman Old Style" w:cs="Arial"/>
          <w:bCs/>
          <w:color w:val="000000"/>
          <w:lang w:val="es-ES"/>
        </w:rPr>
        <w:t xml:space="preserve">eniendo en cuenta que las gestiones </w:t>
      </w:r>
      <w:r w:rsidR="0041486C">
        <w:rPr>
          <w:rFonts w:ascii="Bookman Old Style" w:hAnsi="Bookman Old Style" w:cs="Arial"/>
          <w:bCs/>
          <w:color w:val="000000"/>
          <w:lang w:val="es-ES"/>
        </w:rPr>
        <w:t xml:space="preserve">consignadas en las disposiciones </w:t>
      </w:r>
      <w:r w:rsidR="00491900" w:rsidRPr="00491900">
        <w:rPr>
          <w:rFonts w:ascii="Bookman Old Style" w:hAnsi="Bookman Old Style" w:cs="Arial"/>
          <w:bCs/>
          <w:color w:val="000000"/>
          <w:lang w:val="es-ES"/>
        </w:rPr>
        <w:t>a las que se hace referencia en la presente</w:t>
      </w:r>
      <w:r w:rsidR="0041486C">
        <w:rPr>
          <w:rFonts w:ascii="Bookman Old Style" w:hAnsi="Bookman Old Style" w:cs="Arial"/>
          <w:bCs/>
          <w:color w:val="000000"/>
          <w:lang w:val="es-ES"/>
        </w:rPr>
        <w:t xml:space="preserve"> resolución deben ser desarrolladas y aplicadas por parte de los transportadores de gas natural</w:t>
      </w:r>
      <w:r w:rsidR="0041486C" w:rsidRPr="0041486C">
        <w:rPr>
          <w:rFonts w:ascii="Bookman Old Style" w:hAnsi="Bookman Old Style" w:cs="Arial"/>
          <w:bCs/>
          <w:color w:val="000000"/>
          <w:lang w:val="es-ES"/>
        </w:rPr>
        <w:t xml:space="preserve">, </w:t>
      </w:r>
      <w:r w:rsidR="00406592">
        <w:rPr>
          <w:rFonts w:ascii="Bookman Old Style" w:hAnsi="Bookman Old Style" w:cs="Arial"/>
          <w:bCs/>
          <w:color w:val="000000"/>
          <w:lang w:val="es-ES"/>
        </w:rPr>
        <w:t xml:space="preserve">es a </w:t>
      </w:r>
      <w:r w:rsidR="0041486C" w:rsidRPr="0041486C">
        <w:rPr>
          <w:rFonts w:ascii="Bookman Old Style" w:hAnsi="Bookman Old Style" w:cs="Arial"/>
          <w:bCs/>
          <w:color w:val="000000"/>
          <w:lang w:val="es-ES"/>
        </w:rPr>
        <w:t xml:space="preserve">dichos agentes a quienes se dirige el acuerdo modificatorio de </w:t>
      </w:r>
      <w:r w:rsidR="00406592">
        <w:rPr>
          <w:rFonts w:ascii="Bookman Old Style" w:hAnsi="Bookman Old Style" w:cs="Arial"/>
          <w:bCs/>
          <w:color w:val="000000"/>
          <w:lang w:val="es-ES"/>
        </w:rPr>
        <w:t xml:space="preserve">Resolución </w:t>
      </w:r>
      <w:proofErr w:type="spellStart"/>
      <w:r w:rsidR="00406592">
        <w:rPr>
          <w:rFonts w:ascii="Bookman Old Style" w:hAnsi="Bookman Old Style" w:cs="Arial"/>
          <w:bCs/>
          <w:color w:val="000000"/>
          <w:lang w:val="es-ES"/>
        </w:rPr>
        <w:t>CREG</w:t>
      </w:r>
      <w:proofErr w:type="spellEnd"/>
      <w:r w:rsidR="00406592">
        <w:rPr>
          <w:rFonts w:ascii="Bookman Old Style" w:hAnsi="Bookman Old Style" w:cs="Arial"/>
          <w:bCs/>
          <w:color w:val="000000"/>
          <w:lang w:val="es-ES"/>
        </w:rPr>
        <w:t xml:space="preserve"> 175 de 2021</w:t>
      </w:r>
      <w:r w:rsidR="0041486C" w:rsidRPr="0041486C">
        <w:rPr>
          <w:rFonts w:ascii="Bookman Old Style" w:hAnsi="Bookman Old Style" w:cs="Arial"/>
          <w:bCs/>
          <w:color w:val="000000"/>
          <w:lang w:val="es-ES"/>
        </w:rPr>
        <w:t>.</w:t>
      </w:r>
    </w:p>
    <w:p w14:paraId="6B796893" w14:textId="77777777" w:rsidR="00DB491C" w:rsidRDefault="00DB491C" w:rsidP="00E55DD5">
      <w:pPr>
        <w:jc w:val="both"/>
        <w:rPr>
          <w:rFonts w:ascii="Bookman Old Style" w:hAnsi="Bookman Old Style" w:cs="Arial"/>
          <w:bCs/>
          <w:color w:val="000000"/>
          <w:lang w:val="es-ES"/>
        </w:rPr>
      </w:pPr>
    </w:p>
    <w:p w14:paraId="26693356" w14:textId="3459CDF3" w:rsidR="001C2A6D" w:rsidRDefault="00DB491C" w:rsidP="00E55DD5">
      <w:pPr>
        <w:jc w:val="both"/>
        <w:rPr>
          <w:rFonts w:ascii="Bookman Old Style" w:hAnsi="Bookman Old Style" w:cs="Arial"/>
          <w:bCs/>
          <w:color w:val="000000"/>
          <w:lang w:val="es-ES"/>
        </w:rPr>
      </w:pPr>
      <w:r>
        <w:rPr>
          <w:rFonts w:ascii="Bookman Old Style" w:hAnsi="Bookman Old Style" w:cs="Arial"/>
          <w:bCs/>
          <w:color w:val="000000"/>
          <w:lang w:val="es-ES"/>
        </w:rPr>
        <w:lastRenderedPageBreak/>
        <w:t xml:space="preserve">Así mismo, </w:t>
      </w:r>
      <w:r w:rsidR="00E55DD5">
        <w:rPr>
          <w:rFonts w:ascii="Bookman Old Style" w:hAnsi="Bookman Old Style" w:cs="Arial"/>
          <w:bCs/>
          <w:color w:val="000000"/>
          <w:lang w:val="es-ES"/>
        </w:rPr>
        <w:t xml:space="preserve">se </w:t>
      </w:r>
      <w:r>
        <w:rPr>
          <w:rFonts w:ascii="Bookman Old Style" w:hAnsi="Bookman Old Style" w:cs="Arial"/>
          <w:bCs/>
          <w:color w:val="000000"/>
          <w:lang w:val="es-ES"/>
        </w:rPr>
        <w:t>considera</w:t>
      </w:r>
      <w:r w:rsidR="00E55DD5">
        <w:rPr>
          <w:rFonts w:ascii="Bookman Old Style" w:hAnsi="Bookman Old Style" w:cs="Arial"/>
          <w:bCs/>
          <w:color w:val="000000"/>
          <w:lang w:val="es-ES"/>
        </w:rPr>
        <w:t xml:space="preserve"> que la aplicación de esta causal </w:t>
      </w:r>
      <w:r w:rsidR="00E55DD5" w:rsidRPr="00E55DD5">
        <w:rPr>
          <w:rFonts w:ascii="Bookman Old Style" w:hAnsi="Bookman Old Style" w:cs="Arial"/>
          <w:bCs/>
          <w:color w:val="000000"/>
          <w:lang w:val="es-ES"/>
        </w:rPr>
        <w:t xml:space="preserve">guarda una correspondencia lógica con la propuesta regulatoria desarrollada en el proyecto </w:t>
      </w:r>
      <w:proofErr w:type="spellStart"/>
      <w:r w:rsidR="00E55DD5" w:rsidRPr="00E55DD5">
        <w:rPr>
          <w:rFonts w:ascii="Bookman Old Style" w:hAnsi="Bookman Old Style" w:cs="Arial"/>
          <w:bCs/>
          <w:color w:val="000000"/>
          <w:lang w:val="es-ES"/>
        </w:rPr>
        <w:t>CREG</w:t>
      </w:r>
      <w:proofErr w:type="spellEnd"/>
      <w:r w:rsidR="00E55DD5" w:rsidRPr="00E55DD5">
        <w:rPr>
          <w:rFonts w:ascii="Bookman Old Style" w:hAnsi="Bookman Old Style" w:cs="Arial"/>
          <w:bCs/>
          <w:color w:val="000000"/>
          <w:lang w:val="es-ES"/>
        </w:rPr>
        <w:t xml:space="preserve"> </w:t>
      </w:r>
      <w:r w:rsidR="00E55DD5">
        <w:rPr>
          <w:rFonts w:ascii="Bookman Old Style" w:hAnsi="Bookman Old Style" w:cs="Arial"/>
          <w:bCs/>
          <w:color w:val="000000"/>
          <w:lang w:val="es-ES"/>
        </w:rPr>
        <w:t>702 009 de 2022</w:t>
      </w:r>
      <w:r w:rsidR="00E55DD5" w:rsidRPr="00E55DD5">
        <w:rPr>
          <w:rFonts w:ascii="Bookman Old Style" w:hAnsi="Bookman Old Style" w:cs="Arial"/>
          <w:bCs/>
          <w:color w:val="000000"/>
          <w:lang w:val="es-ES"/>
        </w:rPr>
        <w:t xml:space="preserve">, al referirse a materias y asuntos allí consultados </w:t>
      </w:r>
      <w:r w:rsidR="005D6D11">
        <w:rPr>
          <w:rFonts w:ascii="Bookman Old Style" w:hAnsi="Bookman Old Style" w:cs="Arial"/>
          <w:bCs/>
          <w:color w:val="000000"/>
          <w:lang w:val="es-ES"/>
        </w:rPr>
        <w:t xml:space="preserve">en relación con lo dispuesto en la Resolución </w:t>
      </w:r>
      <w:proofErr w:type="spellStart"/>
      <w:r w:rsidR="005D6D11">
        <w:rPr>
          <w:rFonts w:ascii="Bookman Old Style" w:hAnsi="Bookman Old Style" w:cs="Arial"/>
          <w:bCs/>
          <w:color w:val="000000"/>
          <w:lang w:val="es-ES"/>
        </w:rPr>
        <w:t>CREG</w:t>
      </w:r>
      <w:proofErr w:type="spellEnd"/>
      <w:r w:rsidR="005D6D11">
        <w:rPr>
          <w:rFonts w:ascii="Bookman Old Style" w:hAnsi="Bookman Old Style" w:cs="Arial"/>
          <w:bCs/>
          <w:color w:val="000000"/>
          <w:lang w:val="es-ES"/>
        </w:rPr>
        <w:t xml:space="preserve"> 175 de 2021</w:t>
      </w:r>
      <w:r w:rsidR="00E55DD5" w:rsidRPr="00E55DD5">
        <w:rPr>
          <w:rFonts w:ascii="Bookman Old Style" w:hAnsi="Bookman Old Style" w:cs="Arial"/>
          <w:bCs/>
          <w:color w:val="000000"/>
          <w:lang w:val="es-ES"/>
        </w:rPr>
        <w:t>,</w:t>
      </w:r>
      <w:r w:rsidR="005D6D11">
        <w:rPr>
          <w:rFonts w:ascii="Bookman Old Style" w:hAnsi="Bookman Old Style" w:cs="Arial"/>
          <w:bCs/>
          <w:color w:val="000000"/>
          <w:lang w:val="es-ES"/>
        </w:rPr>
        <w:t xml:space="preserve"> así como versa sobre </w:t>
      </w:r>
      <w:r w:rsidR="002A4555" w:rsidRPr="002A4555">
        <w:rPr>
          <w:rFonts w:ascii="Bookman Old Style" w:hAnsi="Bookman Old Style" w:cs="Arial"/>
          <w:bCs/>
          <w:color w:val="000000"/>
          <w:lang w:val="es-ES"/>
        </w:rPr>
        <w:t>las solicitudes particulares en interés general</w:t>
      </w:r>
      <w:r w:rsidR="00A82DCB">
        <w:rPr>
          <w:rFonts w:ascii="Bookman Old Style" w:hAnsi="Bookman Old Style" w:cs="Arial"/>
          <w:bCs/>
          <w:color w:val="000000"/>
          <w:lang w:val="es-ES"/>
        </w:rPr>
        <w:t xml:space="preserve"> realizadas de acuerdo con lo </w:t>
      </w:r>
      <w:r w:rsidR="002A4555">
        <w:rPr>
          <w:rFonts w:ascii="Bookman Old Style" w:hAnsi="Bookman Old Style" w:cs="Arial"/>
          <w:bCs/>
          <w:color w:val="000000"/>
          <w:lang w:val="es-ES"/>
        </w:rPr>
        <w:t>dispuesto en</w:t>
      </w:r>
      <w:r w:rsidR="005D6D11">
        <w:rPr>
          <w:rFonts w:ascii="Bookman Old Style" w:hAnsi="Bookman Old Style" w:cs="Arial"/>
          <w:bCs/>
          <w:color w:val="000000"/>
          <w:lang w:val="es-ES"/>
        </w:rPr>
        <w:t xml:space="preserve"> el artículo 126 de la Ley 142 de 1994 </w:t>
      </w:r>
      <w:r w:rsidR="00A82DCB">
        <w:rPr>
          <w:rFonts w:ascii="Bookman Old Style" w:hAnsi="Bookman Old Style" w:cs="Arial"/>
          <w:bCs/>
          <w:color w:val="000000"/>
          <w:lang w:val="es-ES"/>
        </w:rPr>
        <w:t xml:space="preserve">y </w:t>
      </w:r>
      <w:r w:rsidR="00A53932">
        <w:rPr>
          <w:rFonts w:ascii="Bookman Old Style" w:hAnsi="Bookman Old Style" w:cs="Arial"/>
          <w:bCs/>
          <w:color w:val="000000"/>
          <w:lang w:val="es-ES"/>
        </w:rPr>
        <w:t xml:space="preserve">aplicabilidad de </w:t>
      </w:r>
      <w:r w:rsidR="00A82DCB">
        <w:rPr>
          <w:rFonts w:ascii="Bookman Old Style" w:hAnsi="Bookman Old Style" w:cs="Arial"/>
          <w:bCs/>
          <w:color w:val="000000"/>
          <w:lang w:val="es-ES"/>
        </w:rPr>
        <w:t xml:space="preserve">las causales allí establecidas. </w:t>
      </w:r>
    </w:p>
    <w:p w14:paraId="766A57E1" w14:textId="77777777" w:rsidR="00A82DCB" w:rsidRDefault="00A82DCB" w:rsidP="00E55DD5">
      <w:pPr>
        <w:jc w:val="both"/>
        <w:rPr>
          <w:rFonts w:ascii="Bookman Old Style" w:hAnsi="Bookman Old Style" w:cs="Arial"/>
          <w:bCs/>
          <w:color w:val="000000"/>
          <w:lang w:val="es-ES"/>
        </w:rPr>
      </w:pPr>
    </w:p>
    <w:p w14:paraId="4BE61F39" w14:textId="303BEB66" w:rsidR="00E55DD5" w:rsidRDefault="00E55DD5" w:rsidP="00DB57CC">
      <w:pPr>
        <w:jc w:val="both"/>
        <w:rPr>
          <w:rFonts w:ascii="Bookman Old Style" w:hAnsi="Bookman Old Style" w:cs="Arial"/>
          <w:bCs/>
          <w:color w:val="000000"/>
          <w:lang w:val="es-ES"/>
        </w:rPr>
      </w:pPr>
      <w:r w:rsidRPr="00E55DD5">
        <w:rPr>
          <w:rFonts w:ascii="Bookman Old Style" w:hAnsi="Bookman Old Style" w:cs="Arial"/>
          <w:bCs/>
          <w:color w:val="000000"/>
          <w:lang w:val="es-ES"/>
        </w:rPr>
        <w:t xml:space="preserve">En este sentido, se concluye que existe una relación de conexidad y coherencia temática entre las modificaciones </w:t>
      </w:r>
      <w:r w:rsidR="00A53932">
        <w:rPr>
          <w:rFonts w:ascii="Bookman Old Style" w:hAnsi="Bookman Old Style" w:cs="Arial"/>
          <w:bCs/>
          <w:color w:val="000000"/>
          <w:lang w:val="es-ES"/>
        </w:rPr>
        <w:t xml:space="preserve">consignadas en la presente resolución </w:t>
      </w:r>
      <w:r w:rsidRPr="00E55DD5">
        <w:rPr>
          <w:rFonts w:ascii="Bookman Old Style" w:hAnsi="Bookman Old Style" w:cs="Arial"/>
          <w:bCs/>
          <w:color w:val="000000"/>
          <w:lang w:val="es-ES"/>
        </w:rPr>
        <w:t>y las demás disposiciones que hacen parte del proyecto regulatorio, en este caso, con respecto a l</w:t>
      </w:r>
      <w:r w:rsidR="00213332">
        <w:rPr>
          <w:rFonts w:ascii="Bookman Old Style" w:hAnsi="Bookman Old Style" w:cs="Arial"/>
          <w:bCs/>
          <w:color w:val="000000"/>
          <w:lang w:val="es-ES"/>
        </w:rPr>
        <w:t xml:space="preserve">as modificaciones a la Resolución </w:t>
      </w:r>
      <w:proofErr w:type="spellStart"/>
      <w:r w:rsidR="00213332">
        <w:rPr>
          <w:rFonts w:ascii="Bookman Old Style" w:hAnsi="Bookman Old Style" w:cs="Arial"/>
          <w:bCs/>
          <w:color w:val="000000"/>
          <w:lang w:val="es-ES"/>
        </w:rPr>
        <w:t>CREG</w:t>
      </w:r>
      <w:proofErr w:type="spellEnd"/>
      <w:r w:rsidR="00213332">
        <w:rPr>
          <w:rFonts w:ascii="Bookman Old Style" w:hAnsi="Bookman Old Style" w:cs="Arial"/>
          <w:bCs/>
          <w:color w:val="000000"/>
          <w:lang w:val="es-ES"/>
        </w:rPr>
        <w:t xml:space="preserve"> 175 de 2021 y lo dispuesto en el artículo 126 de la Ley 142 de 1994</w:t>
      </w:r>
      <w:r w:rsidRPr="00E55DD5">
        <w:rPr>
          <w:rFonts w:ascii="Bookman Old Style" w:hAnsi="Bookman Old Style" w:cs="Arial"/>
          <w:bCs/>
          <w:color w:val="000000"/>
          <w:lang w:val="es-ES"/>
        </w:rPr>
        <w:t>.</w:t>
      </w:r>
    </w:p>
    <w:p w14:paraId="47037E67" w14:textId="77777777" w:rsidR="00F209F3" w:rsidRPr="00947662" w:rsidRDefault="00F209F3" w:rsidP="00947662">
      <w:pPr>
        <w:jc w:val="both"/>
        <w:rPr>
          <w:rFonts w:ascii="Bookman Old Style" w:hAnsi="Bookman Old Style" w:cs="Arial"/>
          <w:bCs/>
          <w:color w:val="000000"/>
          <w:lang w:val="es-ES"/>
        </w:rPr>
      </w:pPr>
    </w:p>
    <w:p w14:paraId="41EDEC36" w14:textId="4FDB2F3B" w:rsidR="00DB57CC" w:rsidRDefault="009B1CD7" w:rsidP="00B13187">
      <w:pPr>
        <w:jc w:val="both"/>
        <w:rPr>
          <w:rFonts w:ascii="Bookman Old Style" w:hAnsi="Bookman Old Style" w:cs="Arial"/>
          <w:bCs/>
          <w:color w:val="000000"/>
          <w:lang w:val="es-ES"/>
        </w:rPr>
      </w:pPr>
      <w:r>
        <w:rPr>
          <w:rFonts w:ascii="Bookman Old Style" w:hAnsi="Bookman Old Style" w:cs="Arial"/>
          <w:bCs/>
          <w:color w:val="000000"/>
          <w:lang w:val="es-ES"/>
        </w:rPr>
        <w:t xml:space="preserve">Por lo tanto, la causal del mutuo acuerdo se considera que es la alternativa procedente en este caso para incorporar las medidas propuestas en la </w:t>
      </w:r>
      <w:r w:rsidR="00013F29">
        <w:rPr>
          <w:rFonts w:ascii="Bookman Old Style" w:hAnsi="Bookman Old Style" w:cs="Arial"/>
          <w:bCs/>
          <w:color w:val="000000"/>
          <w:lang w:val="es-ES"/>
        </w:rPr>
        <w:t xml:space="preserve">presente resolución y que modifican la Resolución </w:t>
      </w:r>
      <w:proofErr w:type="spellStart"/>
      <w:r w:rsidR="00013F29">
        <w:rPr>
          <w:rFonts w:ascii="Bookman Old Style" w:hAnsi="Bookman Old Style" w:cs="Arial"/>
          <w:bCs/>
          <w:color w:val="000000"/>
          <w:lang w:val="es-ES"/>
        </w:rPr>
        <w:t>CREG</w:t>
      </w:r>
      <w:proofErr w:type="spellEnd"/>
      <w:r w:rsidR="00013F29">
        <w:rPr>
          <w:rFonts w:ascii="Bookman Old Style" w:hAnsi="Bookman Old Style" w:cs="Arial"/>
          <w:bCs/>
          <w:color w:val="000000"/>
          <w:lang w:val="es-ES"/>
        </w:rPr>
        <w:t xml:space="preserve"> 175 de 2021.</w:t>
      </w:r>
    </w:p>
    <w:p w14:paraId="0E259D67" w14:textId="77777777" w:rsidR="0083675C" w:rsidRDefault="0083675C" w:rsidP="00B13187">
      <w:pPr>
        <w:jc w:val="both"/>
        <w:rPr>
          <w:rFonts w:ascii="Bookman Old Style" w:hAnsi="Bookman Old Style" w:cs="Arial"/>
          <w:bCs/>
          <w:color w:val="000000"/>
          <w:lang w:val="es-ES"/>
        </w:rPr>
      </w:pPr>
    </w:p>
    <w:p w14:paraId="64FFDA9D" w14:textId="64226DBE" w:rsidR="0083675C" w:rsidRPr="00185A9F" w:rsidRDefault="00406592" w:rsidP="00E300BB">
      <w:pPr>
        <w:pStyle w:val="Ttulo1"/>
        <w:numPr>
          <w:ilvl w:val="0"/>
          <w:numId w:val="54"/>
        </w:numPr>
        <w:rPr>
          <w:rFonts w:cs="Arial"/>
          <w:color w:val="000000"/>
          <w:lang w:val="es-ES"/>
        </w:rPr>
      </w:pPr>
      <w:r w:rsidRPr="00185A9F">
        <w:rPr>
          <w:lang w:val="es-ES"/>
        </w:rPr>
        <w:t>PROPUESTA</w:t>
      </w:r>
    </w:p>
    <w:p w14:paraId="3B51B816" w14:textId="77777777" w:rsidR="00792180" w:rsidRDefault="00792180" w:rsidP="00792180">
      <w:pPr>
        <w:jc w:val="both"/>
        <w:rPr>
          <w:rFonts w:ascii="Bookman Old Style" w:hAnsi="Bookman Old Style" w:cs="Arial"/>
          <w:bCs/>
          <w:color w:val="000000"/>
          <w:lang w:val="es-ES"/>
        </w:rPr>
      </w:pPr>
    </w:p>
    <w:p w14:paraId="4910052D" w14:textId="5684CDE1" w:rsidR="00792180" w:rsidRPr="00BB45A9" w:rsidRDefault="00792180" w:rsidP="00792180">
      <w:pPr>
        <w:jc w:val="both"/>
        <w:rPr>
          <w:rFonts w:ascii="Bookman Old Style" w:hAnsi="Bookman Old Style" w:cs="Arial"/>
          <w:bCs/>
          <w:color w:val="000000"/>
          <w:lang w:val="es-ES"/>
        </w:rPr>
      </w:pPr>
      <w:r>
        <w:rPr>
          <w:rFonts w:ascii="Bookman Old Style" w:hAnsi="Bookman Old Style" w:cs="Arial"/>
          <w:bCs/>
          <w:color w:val="000000"/>
          <w:lang w:val="es-ES"/>
        </w:rPr>
        <w:t xml:space="preserve">Conforme a los </w:t>
      </w:r>
      <w:r w:rsidRPr="00BB45A9">
        <w:rPr>
          <w:rFonts w:ascii="Bookman Old Style" w:hAnsi="Bookman Old Style" w:cs="Arial"/>
          <w:bCs/>
          <w:color w:val="000000"/>
          <w:lang w:val="es-ES"/>
        </w:rPr>
        <w:t>anteriores elementos del análisis, se considera válido y procedente realizar ajustes a</w:t>
      </w:r>
      <w:r w:rsidR="007E4B4C" w:rsidRPr="00BB45A9">
        <w:rPr>
          <w:rFonts w:ascii="Bookman Old Style" w:hAnsi="Bookman Old Style" w:cs="Arial"/>
          <w:bCs/>
          <w:color w:val="000000"/>
          <w:lang w:val="es-ES"/>
        </w:rPr>
        <w:t xml:space="preserve"> </w:t>
      </w:r>
      <w:r w:rsidRPr="00BB45A9">
        <w:rPr>
          <w:rFonts w:ascii="Bookman Old Style" w:hAnsi="Bookman Old Style" w:cs="Arial"/>
          <w:bCs/>
          <w:color w:val="000000"/>
          <w:lang w:val="es-ES"/>
        </w:rPr>
        <w:t xml:space="preserve">la propuesta inicial de la Resolución </w:t>
      </w:r>
      <w:proofErr w:type="spellStart"/>
      <w:r w:rsidRPr="00BB45A9">
        <w:rPr>
          <w:rFonts w:ascii="Bookman Old Style" w:hAnsi="Bookman Old Style" w:cs="Arial"/>
          <w:bCs/>
          <w:color w:val="000000"/>
          <w:lang w:val="es-ES"/>
        </w:rPr>
        <w:t>CREG</w:t>
      </w:r>
      <w:proofErr w:type="spellEnd"/>
      <w:r w:rsidRPr="00BB45A9">
        <w:rPr>
          <w:rFonts w:ascii="Bookman Old Style" w:hAnsi="Bookman Old Style" w:cs="Arial"/>
          <w:bCs/>
          <w:color w:val="000000"/>
          <w:lang w:val="es-ES"/>
        </w:rPr>
        <w:t xml:space="preserve"> 702 009 de 2022, modificando de la siguiente manera la Resolución </w:t>
      </w:r>
      <w:proofErr w:type="spellStart"/>
      <w:r w:rsidRPr="00BB45A9">
        <w:rPr>
          <w:rFonts w:ascii="Bookman Old Style" w:hAnsi="Bookman Old Style" w:cs="Arial"/>
          <w:bCs/>
          <w:color w:val="000000"/>
          <w:lang w:val="es-ES"/>
        </w:rPr>
        <w:t>CREG</w:t>
      </w:r>
      <w:proofErr w:type="spellEnd"/>
      <w:r w:rsidRPr="00BB45A9">
        <w:rPr>
          <w:rFonts w:ascii="Bookman Old Style" w:hAnsi="Bookman Old Style" w:cs="Arial"/>
          <w:bCs/>
          <w:color w:val="000000"/>
          <w:lang w:val="es-ES"/>
        </w:rPr>
        <w:t xml:space="preserve"> 175 de 2021:</w:t>
      </w:r>
    </w:p>
    <w:p w14:paraId="06A35961" w14:textId="77777777" w:rsidR="00792180" w:rsidRPr="00BB45A9" w:rsidRDefault="00792180" w:rsidP="00792180">
      <w:pPr>
        <w:jc w:val="both"/>
        <w:rPr>
          <w:rFonts w:ascii="Bookman Old Style" w:hAnsi="Bookman Old Style" w:cs="Arial"/>
          <w:bCs/>
          <w:color w:val="000000"/>
          <w:lang w:val="es-ES"/>
        </w:rPr>
      </w:pPr>
    </w:p>
    <w:p w14:paraId="43A8A366" w14:textId="1C4855B5" w:rsidR="00792180" w:rsidRPr="00BB45A9" w:rsidRDefault="00792180" w:rsidP="00950D74">
      <w:pPr>
        <w:pStyle w:val="Prrafodelista"/>
        <w:numPr>
          <w:ilvl w:val="0"/>
          <w:numId w:val="48"/>
        </w:numPr>
        <w:ind w:left="1077"/>
        <w:contextualSpacing/>
        <w:rPr>
          <w:rFonts w:cs="Arial"/>
          <w:color w:val="000000"/>
          <w:szCs w:val="24"/>
        </w:rPr>
      </w:pPr>
      <w:r w:rsidRPr="00BB45A9">
        <w:rPr>
          <w:rFonts w:cs="Arial"/>
          <w:bCs/>
          <w:color w:val="000000"/>
          <w:lang w:val="es-ES"/>
        </w:rPr>
        <w:t xml:space="preserve">Agregar el numeral 18.7 en el artículo </w:t>
      </w:r>
      <w:r w:rsidR="00AA2949">
        <w:rPr>
          <w:rFonts w:cs="Arial"/>
          <w:bCs/>
          <w:color w:val="000000"/>
          <w:lang w:val="es-ES"/>
        </w:rPr>
        <w:t>1</w:t>
      </w:r>
      <w:r w:rsidRPr="00BB45A9">
        <w:rPr>
          <w:rFonts w:cs="Arial"/>
          <w:bCs/>
          <w:color w:val="000000"/>
          <w:lang w:val="es-ES"/>
        </w:rPr>
        <w:t xml:space="preserve">8 de la Resolución </w:t>
      </w:r>
      <w:proofErr w:type="spellStart"/>
      <w:r w:rsidRPr="00BB45A9">
        <w:rPr>
          <w:rFonts w:cs="Arial"/>
          <w:bCs/>
          <w:color w:val="000000"/>
          <w:lang w:val="es-ES"/>
        </w:rPr>
        <w:t>CREG</w:t>
      </w:r>
      <w:proofErr w:type="spellEnd"/>
      <w:r w:rsidRPr="00BB45A9">
        <w:rPr>
          <w:rFonts w:cs="Arial"/>
          <w:bCs/>
          <w:color w:val="000000"/>
          <w:lang w:val="es-ES"/>
        </w:rPr>
        <w:t xml:space="preserve"> 175 de 2021 con el fin de introducir el procedimiento para determinar el cubrimiento por deuda en dólares, </w:t>
      </w:r>
      <m:oMath>
        <m:r>
          <w:rPr>
            <w:rFonts w:ascii="Cambria Math" w:hAnsi="Cambria Math"/>
            <w:color w:val="000000"/>
            <w:szCs w:val="24"/>
          </w:rPr>
          <m:t>CUSD</m:t>
        </m:r>
      </m:oMath>
      <w:r w:rsidRPr="00BB45A9">
        <w:rPr>
          <w:rFonts w:cs="Arial"/>
          <w:color w:val="000000"/>
          <w:szCs w:val="24"/>
        </w:rPr>
        <w:t xml:space="preserve">, dentro de los gastos de AOM. </w:t>
      </w:r>
    </w:p>
    <w:p w14:paraId="5056B573" w14:textId="77777777" w:rsidR="00470DEC" w:rsidRPr="006B49BD" w:rsidRDefault="00470DEC" w:rsidP="006B49BD">
      <w:pPr>
        <w:pStyle w:val="NormalWeb"/>
        <w:spacing w:before="0" w:beforeAutospacing="0" w:after="0" w:afterAutospacing="0" w:line="240" w:lineRule="auto"/>
        <w:contextualSpacing/>
        <w:rPr>
          <w:lang w:val="es-CO"/>
        </w:rPr>
      </w:pPr>
    </w:p>
    <w:p w14:paraId="5C35AEC1" w14:textId="00C48C0A" w:rsidR="00792180" w:rsidRPr="00BB45A9" w:rsidRDefault="00792180" w:rsidP="00300E76">
      <w:pPr>
        <w:pStyle w:val="NormalWeb"/>
        <w:numPr>
          <w:ilvl w:val="0"/>
          <w:numId w:val="48"/>
        </w:numPr>
        <w:spacing w:before="0" w:beforeAutospacing="0" w:after="0" w:afterAutospacing="0" w:line="240" w:lineRule="auto"/>
        <w:contextualSpacing/>
        <w:rPr>
          <w:lang w:val="es-CO"/>
        </w:rPr>
      </w:pPr>
      <w:r w:rsidRPr="00BB45A9">
        <w:rPr>
          <w:lang w:val="es-CO"/>
        </w:rPr>
        <w:t>Modificar los numerales 22.1 y 22.2 del artículo 22 de la Resolución CREG 175 de 2021 con el fin de incorporar en la formulación de los cargos fijos y variables que remuneran las inversiones el reconocimiento de un costo de oportunidad,</w:t>
      </w:r>
      <w:r w:rsidRPr="006B49BD">
        <w:rPr>
          <w:rFonts w:cs="Arial"/>
          <w:i/>
          <w:color w:val="000000"/>
        </w:rPr>
        <w:t xml:space="preserve"> </w:t>
      </w:r>
      <m:oMath>
        <m:r>
          <w:rPr>
            <w:rFonts w:ascii="Cambria Math" w:hAnsi="Cambria Math" w:cs="Arial"/>
            <w:color w:val="000000"/>
          </w:rPr>
          <m:t>RVUN</m:t>
        </m:r>
      </m:oMath>
      <w:r w:rsidRPr="006B49BD">
        <w:rPr>
          <w:rFonts w:cs="Arial"/>
          <w:i/>
          <w:color w:val="000000"/>
        </w:rPr>
        <w:t>,</w:t>
      </w:r>
      <w:r w:rsidRPr="00BB45A9">
        <w:rPr>
          <w:lang w:val="es-CO"/>
        </w:rPr>
        <w:t xml:space="preserve"> al activo que termina el periodo de vida útil normativo. Producto del análisis de los comentarios se encontró </w:t>
      </w:r>
      <w:r w:rsidR="003A4119">
        <w:rPr>
          <w:lang w:val="es-CO"/>
        </w:rPr>
        <w:t>conveniente</w:t>
      </w:r>
      <w:r w:rsidRPr="00BB45A9">
        <w:rPr>
          <w:lang w:val="es-CO"/>
        </w:rPr>
        <w:t xml:space="preserve"> incorporar este concepto de remuneración dentro de los cargos de inversión.</w:t>
      </w:r>
    </w:p>
    <w:p w14:paraId="3BAC1977" w14:textId="77777777" w:rsidR="00470DEC" w:rsidRDefault="00470DEC" w:rsidP="00B83173">
      <w:pPr>
        <w:pStyle w:val="NormalWeb"/>
        <w:spacing w:before="0" w:beforeAutospacing="0" w:after="0" w:afterAutospacing="0" w:line="240" w:lineRule="auto"/>
        <w:ind w:left="1080"/>
        <w:contextualSpacing/>
        <w:rPr>
          <w:lang w:val="es-CO"/>
        </w:rPr>
      </w:pPr>
    </w:p>
    <w:p w14:paraId="7F295469" w14:textId="51925013" w:rsidR="00FA79D2" w:rsidRPr="00300E76" w:rsidRDefault="00FA79D2" w:rsidP="00FA79D2">
      <w:pPr>
        <w:pStyle w:val="NormalWeb"/>
        <w:numPr>
          <w:ilvl w:val="0"/>
          <w:numId w:val="48"/>
        </w:numPr>
        <w:spacing w:before="0" w:beforeAutospacing="0" w:after="0" w:afterAutospacing="0" w:line="240" w:lineRule="auto"/>
        <w:ind w:left="1077"/>
        <w:contextualSpacing/>
        <w:rPr>
          <w:lang w:val="es-CO"/>
        </w:rPr>
      </w:pPr>
      <w:r w:rsidRPr="00BB45A9">
        <w:rPr>
          <w:lang w:val="es-CO"/>
        </w:rPr>
        <w:t xml:space="preserve">Modificar el numeral 22.4 del artículo 22 de la Resolución CREG 175 de 2021 para incorporar la variable </w:t>
      </w:r>
      <m:oMath>
        <m:r>
          <w:rPr>
            <w:rFonts w:ascii="Cambria Math" w:hAnsi="Cambria Math"/>
            <w:color w:val="000000"/>
            <w:lang w:val="es-CO"/>
          </w:rPr>
          <m:t>CUSD</m:t>
        </m:r>
      </m:oMath>
      <w:r w:rsidRPr="00BB45A9">
        <w:rPr>
          <w:lang w:val="es-CO"/>
        </w:rPr>
        <w:t xml:space="preserve"> en la formulación del cargo fijo de AOM, </w:t>
      </w:r>
      <m:oMath>
        <m:r>
          <w:rPr>
            <w:rFonts w:ascii="Cambria Math" w:hAnsi="Cambria Math"/>
            <w:color w:val="000000"/>
            <w:lang w:val="es-CO"/>
          </w:rPr>
          <m:t>CFAOM</m:t>
        </m:r>
      </m:oMath>
      <w:r w:rsidRPr="00BB45A9">
        <w:rPr>
          <w:color w:val="000000"/>
          <w:lang w:val="es-CO"/>
        </w:rPr>
        <w:t>. En esta modificación queda explícito que el cargo</w:t>
      </w:r>
      <w:r w:rsidR="008D595C">
        <w:rPr>
          <w:color w:val="000000"/>
          <w:lang w:val="es-CO"/>
        </w:rPr>
        <w:t xml:space="preserve"> </w:t>
      </w:r>
      <w:r w:rsidR="006C6AC9">
        <w:rPr>
          <w:color w:val="000000"/>
          <w:lang w:val="es-CO"/>
        </w:rPr>
        <w:t>incluyendo el cubrimiento eficiente aplica únicamente por un periodo de 60 meses.</w:t>
      </w:r>
    </w:p>
    <w:p w14:paraId="502D98F1" w14:textId="77777777" w:rsidR="00FA79D2" w:rsidRPr="00BB45A9" w:rsidRDefault="00FA79D2" w:rsidP="006B49BD">
      <w:pPr>
        <w:pStyle w:val="NormalWeb"/>
        <w:spacing w:before="0" w:beforeAutospacing="0" w:after="0" w:afterAutospacing="0" w:line="240" w:lineRule="auto"/>
        <w:ind w:left="1080"/>
        <w:contextualSpacing/>
        <w:rPr>
          <w:lang w:val="es-CO"/>
        </w:rPr>
      </w:pPr>
    </w:p>
    <w:p w14:paraId="127DFC08" w14:textId="77777777" w:rsidR="00792180" w:rsidRPr="00BB45A9" w:rsidRDefault="00792180" w:rsidP="00300E76">
      <w:pPr>
        <w:pStyle w:val="NormalWeb"/>
        <w:numPr>
          <w:ilvl w:val="0"/>
          <w:numId w:val="48"/>
        </w:numPr>
        <w:spacing w:before="0" w:beforeAutospacing="0" w:after="0" w:afterAutospacing="0" w:line="240" w:lineRule="auto"/>
        <w:contextualSpacing/>
      </w:pPr>
      <w:r w:rsidRPr="00BB45A9">
        <w:rPr>
          <w:lang w:val="es-CO"/>
        </w:rPr>
        <w:t xml:space="preserve">Modificar los literales e) y f) del artículo 27 de la Resolución CREG 175 de 2021. En el caso del literal e) para incorporar el procedimiento de cálculo de la variable </w:t>
      </w:r>
      <m:oMath>
        <m:r>
          <w:rPr>
            <w:rFonts w:ascii="Cambria Math" w:hAnsi="Cambria Math"/>
          </w:rPr>
          <m:t>RVUN</m:t>
        </m:r>
      </m:oMath>
      <w:r w:rsidRPr="00BB45A9">
        <w:t xml:space="preserve"> cuando la empresa decide mantener en operación un activo que terminó el periodo de vida útil normativa y, lo más importante, el servicio lo requiere, y, en el caso del literal f), para que quede claro que cuando la empresa tiene que remplazar un activo, mientras se remplaza, el valor a reconocer en el cargo corresponde al </w:t>
      </w:r>
      <m:oMath>
        <m:r>
          <w:rPr>
            <w:rFonts w:ascii="Cambria Math" w:hAnsi="Cambria Math"/>
          </w:rPr>
          <m:t>RVUN</m:t>
        </m:r>
      </m:oMath>
      <w:r w:rsidRPr="00BB45A9">
        <w:t>.</w:t>
      </w:r>
    </w:p>
    <w:p w14:paraId="472A2B5D" w14:textId="77777777" w:rsidR="00470DEC" w:rsidRPr="00BB45A9" w:rsidRDefault="00470DEC" w:rsidP="006B49BD">
      <w:pPr>
        <w:pStyle w:val="Prrafodelista"/>
      </w:pPr>
    </w:p>
    <w:p w14:paraId="04A951D8" w14:textId="1AA16BA7" w:rsidR="00792180" w:rsidRDefault="000D67D6" w:rsidP="00950D74">
      <w:pPr>
        <w:pStyle w:val="Prrafodelista"/>
        <w:widowControl w:val="0"/>
        <w:numPr>
          <w:ilvl w:val="0"/>
          <w:numId w:val="48"/>
        </w:numPr>
        <w:ind w:right="47"/>
        <w:contextualSpacing/>
      </w:pPr>
      <w:r>
        <w:t xml:space="preserve">En coherencia con las disposiciones del costo de oportunidad, </w:t>
      </w:r>
      <w:r w:rsidR="009736AA">
        <w:t>m</w:t>
      </w:r>
      <w:r w:rsidR="00792180">
        <w:t>odificar</w:t>
      </w:r>
      <w:r w:rsidR="00792180" w:rsidRPr="00DE3DEA">
        <w:t xml:space="preserve"> el artículo 40 de la Resolución CREG 175 de 2021 para reconocer un costo de oportunidad</w:t>
      </w:r>
      <w:r w:rsidR="00521733">
        <w:t xml:space="preserve">, </w:t>
      </w:r>
      <w:r w:rsidR="00ED1231" w:rsidRPr="00ED1231">
        <w:t xml:space="preserve">conforme a las disposiciones del numeral </w:t>
      </w:r>
      <w:proofErr w:type="spellStart"/>
      <w:r w:rsidR="00ED1231" w:rsidRPr="00ED1231">
        <w:t>iii</w:t>
      </w:r>
      <w:proofErr w:type="spellEnd"/>
      <w:r w:rsidR="00ED1231" w:rsidRPr="00ED1231">
        <w:t xml:space="preserve"> del literal e) del artículo 27 de la </w:t>
      </w:r>
      <w:r w:rsidR="00E81C3B">
        <w:t>R</w:t>
      </w:r>
      <w:r w:rsidR="00ED1231" w:rsidRPr="00ED1231">
        <w:t>esolución</w:t>
      </w:r>
      <w:r w:rsidR="00E81C3B">
        <w:t xml:space="preserve"> CREG 175 de 2021</w:t>
      </w:r>
      <w:r w:rsidR="00ED1231" w:rsidRPr="00ED1231">
        <w:t xml:space="preserve"> para la estimación de la variable </w:t>
      </w:r>
      <m:oMath>
        <m:r>
          <w:rPr>
            <w:rFonts w:ascii="Cambria Math" w:hAnsi="Cambria Math"/>
          </w:rPr>
          <m:t>RVUN</m:t>
        </m:r>
      </m:oMath>
      <w:r w:rsidR="008E25CC">
        <w:t>,</w:t>
      </w:r>
      <w:r w:rsidR="007B2972" w:rsidRPr="00ED1231" w:rsidDel="007B2972">
        <w:t xml:space="preserve"> </w:t>
      </w:r>
      <w:r w:rsidR="00C85821">
        <w:t xml:space="preserve">a </w:t>
      </w:r>
      <w:r w:rsidR="00792180" w:rsidRPr="00DE3DEA">
        <w:t xml:space="preserve">los gasoductos dedicados que empiecen a </w:t>
      </w:r>
      <w:r w:rsidR="007C38A3">
        <w:t xml:space="preserve">ser parte del sistema nacional de transporte y </w:t>
      </w:r>
      <w:r w:rsidR="00087980">
        <w:t>que hu</w:t>
      </w:r>
      <w:r w:rsidR="00764CCA">
        <w:t xml:space="preserve">bieren estado en </w:t>
      </w:r>
      <w:r w:rsidR="00C259AF">
        <w:t>operación comercial más de 20 años</w:t>
      </w:r>
      <w:r w:rsidR="008D019D">
        <w:t>.</w:t>
      </w:r>
    </w:p>
    <w:p w14:paraId="773539F7" w14:textId="77777777" w:rsidR="00DE3DEA" w:rsidRPr="001C5D97" w:rsidRDefault="00DE3DEA" w:rsidP="00FD4D81">
      <w:pPr>
        <w:pStyle w:val="NormalWeb"/>
        <w:spacing w:before="0" w:beforeAutospacing="0" w:after="0" w:afterAutospacing="0" w:line="240" w:lineRule="auto"/>
        <w:contextualSpacing/>
        <w:rPr>
          <w:lang w:val="es-CO"/>
        </w:rPr>
      </w:pPr>
    </w:p>
    <w:p w14:paraId="4157C9E7" w14:textId="73F121C4" w:rsidR="00DD0B5E" w:rsidRPr="00BB45A9" w:rsidRDefault="00DD0B5E" w:rsidP="00FD4D81">
      <w:pPr>
        <w:widowControl w:val="0"/>
        <w:ind w:right="47"/>
        <w:contextualSpacing/>
        <w:jc w:val="both"/>
        <w:rPr>
          <w:rFonts w:ascii="Bookman Old Style" w:hAnsi="Bookman Old Style" w:cs="Arial"/>
          <w:lang w:eastAsia="es-ES"/>
        </w:rPr>
      </w:pPr>
      <w:r w:rsidRPr="00BB45A9">
        <w:rPr>
          <w:rFonts w:ascii="Bookman Old Style" w:hAnsi="Bookman Old Style" w:cs="Arial"/>
          <w:bCs/>
          <w:color w:val="000000"/>
          <w:lang w:val="es-ES"/>
        </w:rPr>
        <w:t>E</w:t>
      </w:r>
      <w:r w:rsidRPr="00BB45A9">
        <w:rPr>
          <w:rFonts w:ascii="Bookman Old Style" w:hAnsi="Bookman Old Style" w:cs="Arial"/>
          <w:lang w:eastAsia="es-ES"/>
        </w:rPr>
        <w:t>n el documento soporte que acompaña la presente resolución, se consignan las consideraciones y análisis que fundamentan y soportan la presente propuesta regulatoria.</w:t>
      </w:r>
    </w:p>
    <w:p w14:paraId="5FE97C9B" w14:textId="32D5E740" w:rsidR="00DD0B5E" w:rsidRPr="00BB45A9" w:rsidRDefault="00DD0B5E" w:rsidP="00DD0B5E">
      <w:pPr>
        <w:widowControl w:val="0"/>
        <w:spacing w:before="240" w:after="240"/>
        <w:ind w:right="47"/>
        <w:jc w:val="both"/>
        <w:rPr>
          <w:rFonts w:ascii="Bookman Old Style" w:hAnsi="Bookman Old Style" w:cs="Arial"/>
          <w:lang w:eastAsia="es-ES"/>
        </w:rPr>
      </w:pPr>
      <w:r w:rsidRPr="00BB45A9">
        <w:rPr>
          <w:rFonts w:ascii="Bookman Old Style" w:hAnsi="Bookman Old Style" w:cs="Arial"/>
          <w:lang w:eastAsia="es-ES"/>
        </w:rPr>
        <w:t xml:space="preserve">En cumplimiento de lo establecido en el Decreto 1074 de 2015 y como resultado del diligenciamiento del formulario sobre prácticas restrictivas a la competencia, se concluyó que esta normativa no es restrictiva de la competencia. No obstante, teniendo en cuenta que se modifica una metodología tarifaria, se </w:t>
      </w:r>
      <w:r w:rsidR="00521173" w:rsidRPr="00BB45A9">
        <w:rPr>
          <w:rFonts w:ascii="Bookman Old Style" w:hAnsi="Bookman Old Style" w:cs="Arial"/>
          <w:lang w:eastAsia="es-ES"/>
        </w:rPr>
        <w:t xml:space="preserve">aprobó en la sesión CREG </w:t>
      </w:r>
      <w:r w:rsidRPr="00BB45A9">
        <w:rPr>
          <w:rFonts w:ascii="Bookman Old Style" w:hAnsi="Bookman Old Style" w:cs="Arial"/>
          <w:lang w:eastAsia="es-ES"/>
        </w:rPr>
        <w:t>inform</w:t>
      </w:r>
      <w:r w:rsidR="00521173" w:rsidRPr="00BB45A9">
        <w:rPr>
          <w:rFonts w:ascii="Bookman Old Style" w:hAnsi="Bookman Old Style" w:cs="Arial"/>
          <w:lang w:eastAsia="es-ES"/>
        </w:rPr>
        <w:t>ar</w:t>
      </w:r>
      <w:r w:rsidRPr="00BB45A9">
        <w:rPr>
          <w:rFonts w:ascii="Bookman Old Style" w:hAnsi="Bookman Old Style" w:cs="Arial"/>
          <w:lang w:eastAsia="es-ES"/>
        </w:rPr>
        <w:t xml:space="preserve"> a la Superintendencia de Industria y Comercio, SIC, sobre </w:t>
      </w:r>
      <w:r w:rsidR="003543ED" w:rsidRPr="00BB45A9">
        <w:rPr>
          <w:rFonts w:ascii="Bookman Old Style" w:hAnsi="Bookman Old Style" w:cs="Arial"/>
          <w:lang w:eastAsia="es-ES"/>
        </w:rPr>
        <w:t xml:space="preserve">el diligenciamiento del cuestionario sobre abogacía de la competencia </w:t>
      </w:r>
      <w:r w:rsidR="0039586C" w:rsidRPr="00BB45A9">
        <w:rPr>
          <w:rFonts w:ascii="Bookman Old Style" w:hAnsi="Bookman Old Style" w:cs="Arial"/>
          <w:lang w:eastAsia="es-ES"/>
        </w:rPr>
        <w:t xml:space="preserve">consignado en el documento soporte que acompaña </w:t>
      </w:r>
      <w:r w:rsidRPr="00BB45A9">
        <w:rPr>
          <w:rFonts w:ascii="Bookman Old Style" w:hAnsi="Bookman Old Style" w:cs="Arial"/>
          <w:lang w:eastAsia="es-ES"/>
        </w:rPr>
        <w:t>la presente resolución.</w:t>
      </w:r>
    </w:p>
    <w:p w14:paraId="1B5E3069" w14:textId="0CD594D0" w:rsidR="00DD0B5E" w:rsidRPr="00DD0B5E" w:rsidRDefault="00DD0B5E" w:rsidP="00DD0B5E">
      <w:pPr>
        <w:widowControl w:val="0"/>
        <w:spacing w:before="240" w:after="240"/>
        <w:ind w:right="47"/>
        <w:jc w:val="both"/>
        <w:rPr>
          <w:rFonts w:ascii="Bookman Old Style" w:hAnsi="Bookman Old Style" w:cs="Arial"/>
          <w:lang w:eastAsia="es-ES"/>
        </w:rPr>
      </w:pPr>
      <w:r w:rsidRPr="00BB45A9">
        <w:rPr>
          <w:rFonts w:ascii="Bookman Old Style" w:hAnsi="Bookman Old Style" w:cs="Arial"/>
          <w:lang w:eastAsia="es-ES"/>
        </w:rPr>
        <w:t>Con base en lo anterior, la Comisión de Regulación</w:t>
      </w:r>
      <w:r w:rsidRPr="00DD0B5E">
        <w:rPr>
          <w:rFonts w:ascii="Bookman Old Style" w:hAnsi="Bookman Old Style" w:cs="Arial"/>
          <w:lang w:eastAsia="es-ES"/>
        </w:rPr>
        <w:t xml:space="preserve"> de Energía y Gas, en su sesión No. </w:t>
      </w:r>
      <w:r w:rsidR="00946AB7">
        <w:rPr>
          <w:rFonts w:ascii="Bookman Old Style" w:hAnsi="Bookman Old Style" w:cs="Arial"/>
          <w:lang w:eastAsia="es-ES"/>
        </w:rPr>
        <w:t>1323</w:t>
      </w:r>
      <w:r w:rsidRPr="00DD0B5E">
        <w:rPr>
          <w:rFonts w:ascii="Bookman Old Style" w:hAnsi="Bookman Old Style" w:cs="Arial"/>
          <w:lang w:eastAsia="es-ES"/>
        </w:rPr>
        <w:t xml:space="preserve"> del </w:t>
      </w:r>
      <w:r w:rsidR="00AC0D1E">
        <w:rPr>
          <w:rFonts w:ascii="Bookman Old Style" w:hAnsi="Bookman Old Style" w:cs="Arial"/>
          <w:lang w:eastAsia="es-ES"/>
        </w:rPr>
        <w:t>2</w:t>
      </w:r>
      <w:r w:rsidR="009E1AF7">
        <w:rPr>
          <w:rFonts w:ascii="Bookman Old Style" w:hAnsi="Bookman Old Style" w:cs="Arial"/>
          <w:lang w:eastAsia="es-ES"/>
        </w:rPr>
        <w:t>4</w:t>
      </w:r>
      <w:r w:rsidRPr="00DD0B5E">
        <w:rPr>
          <w:rFonts w:ascii="Bookman Old Style" w:hAnsi="Bookman Old Style" w:cs="Arial"/>
          <w:lang w:eastAsia="es-ES"/>
        </w:rPr>
        <w:t xml:space="preserve"> de </w:t>
      </w:r>
      <w:r w:rsidR="0039586C">
        <w:rPr>
          <w:rFonts w:ascii="Bookman Old Style" w:hAnsi="Bookman Old Style" w:cs="Arial"/>
          <w:lang w:eastAsia="es-ES"/>
        </w:rPr>
        <w:t>junio</w:t>
      </w:r>
      <w:r w:rsidRPr="00DD0B5E">
        <w:rPr>
          <w:rFonts w:ascii="Bookman Old Style" w:hAnsi="Bookman Old Style" w:cs="Arial"/>
          <w:lang w:eastAsia="es-ES"/>
        </w:rPr>
        <w:t xml:space="preserve"> de 202</w:t>
      </w:r>
      <w:r w:rsidR="0039586C">
        <w:rPr>
          <w:rFonts w:ascii="Bookman Old Style" w:hAnsi="Bookman Old Style" w:cs="Arial"/>
          <w:lang w:eastAsia="es-ES"/>
        </w:rPr>
        <w:t>4</w:t>
      </w:r>
      <w:r w:rsidRPr="00DD0B5E">
        <w:rPr>
          <w:rFonts w:ascii="Bookman Old Style" w:hAnsi="Bookman Old Style" w:cs="Arial"/>
          <w:lang w:eastAsia="es-ES"/>
        </w:rPr>
        <w:t>, acordó expedir esta resolución.</w:t>
      </w:r>
    </w:p>
    <w:p w14:paraId="0773E76B" w14:textId="77777777" w:rsidR="00DD0B5E" w:rsidRPr="00DD0B5E" w:rsidRDefault="00DD0B5E" w:rsidP="00DD0B5E">
      <w:pPr>
        <w:spacing w:before="120" w:after="120"/>
        <w:ind w:right="-142"/>
        <w:jc w:val="both"/>
        <w:rPr>
          <w:rFonts w:ascii="Bookman Old Style" w:hAnsi="Bookman Old Style"/>
          <w:color w:val="000000"/>
          <w:lang w:val="es-ES_tradnl" w:eastAsia="es-ES"/>
        </w:rPr>
      </w:pPr>
      <w:r w:rsidRPr="00DD0B5E">
        <w:rPr>
          <w:rFonts w:ascii="Bookman Old Style" w:hAnsi="Bookman Old Style"/>
          <w:color w:val="000000"/>
          <w:lang w:val="es-ES_tradnl" w:eastAsia="es-ES"/>
        </w:rPr>
        <w:t xml:space="preserve">En consecuencia, </w:t>
      </w:r>
    </w:p>
    <w:p w14:paraId="04819AFD" w14:textId="77777777" w:rsidR="00DD0B5E" w:rsidRPr="00DD0B5E" w:rsidRDefault="00DD0B5E" w:rsidP="00DD0B5E">
      <w:pPr>
        <w:widowControl w:val="0"/>
        <w:spacing w:before="480" w:after="480"/>
        <w:jc w:val="center"/>
        <w:rPr>
          <w:rFonts w:ascii="Bookman Old Style" w:hAnsi="Bookman Old Style" w:cs="Arial"/>
          <w:lang w:val="es-ES" w:eastAsia="es-ES"/>
        </w:rPr>
      </w:pPr>
      <w:r w:rsidRPr="00DD0B5E">
        <w:rPr>
          <w:rFonts w:ascii="Bookman Old Style" w:hAnsi="Bookman Old Style" w:cs="Arial"/>
          <w:b/>
          <w:spacing w:val="80"/>
          <w:lang w:val="es-ES" w:eastAsia="es-ES"/>
        </w:rPr>
        <w:t>RESUELVE</w:t>
      </w:r>
      <w:r w:rsidRPr="00DD0B5E">
        <w:rPr>
          <w:rFonts w:ascii="Bookman Old Style" w:hAnsi="Bookman Old Style" w:cs="Arial"/>
          <w:b/>
          <w:lang w:val="es-ES" w:eastAsia="es-ES"/>
        </w:rPr>
        <w:t>:</w:t>
      </w:r>
    </w:p>
    <w:p w14:paraId="16F745E0" w14:textId="77777777" w:rsidR="00AE3615" w:rsidRPr="00896E8E" w:rsidRDefault="00DD0B5E" w:rsidP="00896E8E">
      <w:pPr>
        <w:widowControl w:val="0"/>
        <w:numPr>
          <w:ilvl w:val="0"/>
          <w:numId w:val="35"/>
        </w:numPr>
        <w:adjustRightInd w:val="0"/>
        <w:spacing w:before="240" w:after="240"/>
        <w:jc w:val="both"/>
        <w:textAlignment w:val="baseline"/>
        <w:outlineLvl w:val="0"/>
        <w:rPr>
          <w:rFonts w:ascii="Bookman Old Style" w:hAnsi="Bookman Old Style"/>
          <w:lang w:eastAsia="ar-SA"/>
        </w:rPr>
      </w:pPr>
      <w:r w:rsidRPr="00896E8E">
        <w:rPr>
          <w:rFonts w:ascii="Bookman Old Style" w:hAnsi="Bookman Old Style"/>
          <w:b/>
          <w:bCs/>
          <w:lang w:val="es-ES" w:eastAsia="ar-SA"/>
        </w:rPr>
        <w:t xml:space="preserve">Objeto. </w:t>
      </w:r>
      <w:r w:rsidRPr="00896E8E">
        <w:rPr>
          <w:rFonts w:ascii="Bookman Old Style" w:hAnsi="Bookman Old Style"/>
          <w:lang w:val="es-ES" w:eastAsia="ar-SA"/>
        </w:rPr>
        <w:t xml:space="preserve">La presente resolución tiene como objeto </w:t>
      </w:r>
      <w:r w:rsidR="0039586C" w:rsidRPr="00896E8E">
        <w:rPr>
          <w:rFonts w:ascii="Bookman Old Style" w:hAnsi="Bookman Old Style"/>
          <w:lang w:val="es-ES" w:eastAsia="ar-SA"/>
        </w:rPr>
        <w:t xml:space="preserve">modificar </w:t>
      </w:r>
      <w:r w:rsidR="001138D4" w:rsidRPr="00896E8E">
        <w:rPr>
          <w:rFonts w:ascii="Bookman Old Style" w:hAnsi="Bookman Old Style"/>
          <w:lang w:val="es-ES" w:eastAsia="ar-SA"/>
        </w:rPr>
        <w:t xml:space="preserve">los artículos 18, 22, 27 y 40 de la Resolución </w:t>
      </w:r>
      <w:proofErr w:type="spellStart"/>
      <w:r w:rsidR="001138D4" w:rsidRPr="00896E8E">
        <w:rPr>
          <w:rFonts w:ascii="Bookman Old Style" w:hAnsi="Bookman Old Style"/>
          <w:lang w:val="es-ES" w:eastAsia="ar-SA"/>
        </w:rPr>
        <w:t>CREG</w:t>
      </w:r>
      <w:proofErr w:type="spellEnd"/>
      <w:r w:rsidR="001138D4" w:rsidRPr="00896E8E">
        <w:rPr>
          <w:rFonts w:ascii="Bookman Old Style" w:hAnsi="Bookman Old Style"/>
          <w:lang w:val="es-ES" w:eastAsia="ar-SA"/>
        </w:rPr>
        <w:t xml:space="preserve"> 175 de 2021, </w:t>
      </w:r>
      <w:r w:rsidR="005E7D1E" w:rsidRPr="00896E8E">
        <w:rPr>
          <w:rFonts w:ascii="Bookman Old Style" w:hAnsi="Bookman Old Style"/>
          <w:lang w:val="es-ES" w:eastAsia="ar-SA"/>
        </w:rPr>
        <w:t>“Por la cual se establecen los criterios generales para la remuneración del servicio de transporte de gas natural y el esquema general de cargos del Sistema Nacional de Transporte, y se dictan otras disposiciones en materia de transporte de gas natural</w:t>
      </w:r>
      <w:r w:rsidR="00CF0B7F" w:rsidRPr="00896E8E">
        <w:rPr>
          <w:rFonts w:ascii="Bookman Old Style" w:hAnsi="Bookman Old Style"/>
          <w:lang w:val="es-ES" w:eastAsia="ar-SA"/>
        </w:rPr>
        <w:t xml:space="preserve">”, </w:t>
      </w:r>
      <w:r w:rsidRPr="00896E8E">
        <w:rPr>
          <w:rFonts w:ascii="Bookman Old Style" w:hAnsi="Bookman Old Style"/>
          <w:lang w:val="es-ES" w:eastAsia="ar-SA"/>
        </w:rPr>
        <w:t>en el marco del artículo 126 de la Ley 142 de 1994.</w:t>
      </w:r>
      <w:bookmarkStart w:id="4" w:name="_Ref151581345"/>
    </w:p>
    <w:p w14:paraId="64E714BD" w14:textId="03474758" w:rsidR="007466AB" w:rsidRPr="00896E8E" w:rsidRDefault="00DD0B5E" w:rsidP="00896E8E">
      <w:pPr>
        <w:widowControl w:val="0"/>
        <w:numPr>
          <w:ilvl w:val="0"/>
          <w:numId w:val="35"/>
        </w:numPr>
        <w:adjustRightInd w:val="0"/>
        <w:spacing w:before="240" w:after="240"/>
        <w:jc w:val="both"/>
        <w:textAlignment w:val="baseline"/>
        <w:outlineLvl w:val="0"/>
        <w:rPr>
          <w:rFonts w:ascii="Bookman Old Style" w:hAnsi="Bookman Old Style"/>
          <w:lang w:eastAsia="ar-SA"/>
        </w:rPr>
      </w:pPr>
      <w:r w:rsidRPr="00896E8E">
        <w:rPr>
          <w:rFonts w:ascii="Bookman Old Style" w:hAnsi="Bookman Old Style"/>
          <w:b/>
          <w:bCs/>
          <w:lang w:val="es-ES" w:eastAsia="ar-SA"/>
        </w:rPr>
        <w:t xml:space="preserve">Alcance. </w:t>
      </w:r>
      <w:r w:rsidRPr="00896E8E">
        <w:rPr>
          <w:rFonts w:ascii="Bookman Old Style" w:hAnsi="Bookman Old Style"/>
          <w:lang w:val="es-ES" w:eastAsia="ar-SA"/>
        </w:rPr>
        <w:t>La presente resolución aplica a</w:t>
      </w:r>
      <w:r w:rsidR="001A4FC0" w:rsidRPr="00896E8E">
        <w:rPr>
          <w:rFonts w:ascii="Bookman Old Style" w:hAnsi="Bookman Old Style"/>
          <w:lang w:val="es-ES" w:eastAsia="ar-SA"/>
        </w:rPr>
        <w:t xml:space="preserve"> los agentes transportadores que en el marco de la causal de modificación de las fórmulas tarifarias por mutuo acuerdo, señalada en el artículo 126 de la Ley 142 de 1994, decidan acogerse </w:t>
      </w:r>
      <w:r w:rsidR="00812ACC">
        <w:rPr>
          <w:rFonts w:ascii="Bookman Old Style" w:hAnsi="Bookman Old Style"/>
          <w:lang w:val="es-ES" w:eastAsia="ar-SA"/>
        </w:rPr>
        <w:t>a las dis</w:t>
      </w:r>
      <w:r w:rsidR="00EC0CD3">
        <w:rPr>
          <w:rFonts w:ascii="Bookman Old Style" w:hAnsi="Bookman Old Style"/>
          <w:lang w:val="es-ES" w:eastAsia="ar-SA"/>
        </w:rPr>
        <w:t>posiciones</w:t>
      </w:r>
      <w:r w:rsidR="004174C1" w:rsidRPr="00896E8E">
        <w:rPr>
          <w:rFonts w:ascii="Bookman Old Style" w:hAnsi="Bookman Old Style"/>
          <w:lang w:val="es-ES" w:eastAsia="ar-SA"/>
        </w:rPr>
        <w:t xml:space="preserve"> de la presente resolución</w:t>
      </w:r>
      <w:r w:rsidR="00C458B1" w:rsidRPr="00896E8E">
        <w:rPr>
          <w:rFonts w:ascii="Bookman Old Style" w:hAnsi="Bookman Old Style"/>
          <w:lang w:val="es-ES" w:eastAsia="ar-SA"/>
        </w:rPr>
        <w:t>.</w:t>
      </w:r>
    </w:p>
    <w:p w14:paraId="6DB07537" w14:textId="62EF9C47" w:rsidR="00DD0B5E" w:rsidRPr="00DD0B5E" w:rsidRDefault="00DD0B5E" w:rsidP="00950D74">
      <w:pPr>
        <w:widowControl w:val="0"/>
        <w:numPr>
          <w:ilvl w:val="0"/>
          <w:numId w:val="35"/>
        </w:numPr>
        <w:adjustRightInd w:val="0"/>
        <w:spacing w:before="240" w:after="240"/>
        <w:jc w:val="both"/>
        <w:textAlignment w:val="baseline"/>
        <w:outlineLvl w:val="0"/>
        <w:rPr>
          <w:rFonts w:ascii="Bookman Old Style" w:hAnsi="Bookman Old Style"/>
          <w:lang w:val="es-ES" w:eastAsia="ar-SA"/>
        </w:rPr>
      </w:pPr>
      <w:bookmarkStart w:id="5" w:name="_Ref152314393"/>
      <w:bookmarkEnd w:id="4"/>
      <w:r w:rsidRPr="00DD0B5E">
        <w:rPr>
          <w:rFonts w:ascii="Bookman Old Style" w:hAnsi="Bookman Old Style"/>
          <w:b/>
          <w:bCs/>
          <w:lang w:val="es-ES" w:eastAsia="ar-SA"/>
        </w:rPr>
        <w:t xml:space="preserve">Plazo para acogerse a la modificación tarifaria. </w:t>
      </w:r>
      <w:r w:rsidRPr="00DD0B5E">
        <w:rPr>
          <w:rFonts w:ascii="Bookman Old Style" w:hAnsi="Bookman Old Style"/>
          <w:lang w:val="es-ES" w:eastAsia="ar-SA"/>
        </w:rPr>
        <w:t xml:space="preserve">Los </w:t>
      </w:r>
      <w:r w:rsidR="006E2400">
        <w:rPr>
          <w:rFonts w:ascii="Bookman Old Style" w:hAnsi="Bookman Old Style"/>
          <w:lang w:val="es-ES" w:eastAsia="ar-SA"/>
        </w:rPr>
        <w:t>transportadores</w:t>
      </w:r>
      <w:r w:rsidRPr="00DD0B5E">
        <w:rPr>
          <w:rFonts w:ascii="Bookman Old Style" w:hAnsi="Bookman Old Style"/>
          <w:lang w:val="es-ES" w:eastAsia="ar-SA"/>
        </w:rPr>
        <w:t xml:space="preserve"> </w:t>
      </w:r>
      <w:r w:rsidR="004D6234">
        <w:rPr>
          <w:rFonts w:ascii="Bookman Old Style" w:hAnsi="Bookman Old Style"/>
          <w:lang w:val="es-ES" w:eastAsia="ar-SA"/>
        </w:rPr>
        <w:t>de gas natural</w:t>
      </w:r>
      <w:r w:rsidRPr="00DD0B5E">
        <w:rPr>
          <w:rFonts w:ascii="Bookman Old Style" w:hAnsi="Bookman Old Style"/>
          <w:lang w:val="es-ES" w:eastAsia="ar-SA"/>
        </w:rPr>
        <w:t xml:space="preserve"> tendrán un plazo de diez (10) días calendario, contados a partir de la fecha de entrada en vigencia de la presente resolución, para informar a la </w:t>
      </w:r>
      <w:proofErr w:type="spellStart"/>
      <w:r w:rsidRPr="00DD0B5E">
        <w:rPr>
          <w:rFonts w:ascii="Bookman Old Style" w:hAnsi="Bookman Old Style"/>
          <w:lang w:val="es-ES" w:eastAsia="ar-SA"/>
        </w:rPr>
        <w:t>CREG</w:t>
      </w:r>
      <w:proofErr w:type="spellEnd"/>
      <w:r w:rsidRPr="00DD0B5E">
        <w:rPr>
          <w:rFonts w:ascii="Bookman Old Style" w:hAnsi="Bookman Old Style"/>
          <w:lang w:val="es-ES" w:eastAsia="ar-SA"/>
        </w:rPr>
        <w:t>, con copia a</w:t>
      </w:r>
      <w:r w:rsidR="0048410E">
        <w:rPr>
          <w:rFonts w:ascii="Bookman Old Style" w:hAnsi="Bookman Old Style"/>
          <w:lang w:val="es-ES" w:eastAsia="ar-SA"/>
        </w:rPr>
        <w:t xml:space="preserve"> </w:t>
      </w:r>
      <w:r w:rsidR="00FF5135">
        <w:rPr>
          <w:rFonts w:ascii="Bookman Old Style" w:hAnsi="Bookman Old Style"/>
          <w:lang w:val="es-ES" w:eastAsia="ar-SA"/>
        </w:rPr>
        <w:t>l</w:t>
      </w:r>
      <w:r w:rsidR="0048410E">
        <w:rPr>
          <w:rFonts w:ascii="Bookman Old Style" w:hAnsi="Bookman Old Style"/>
          <w:lang w:val="es-ES" w:eastAsia="ar-SA"/>
        </w:rPr>
        <w:t>a</w:t>
      </w:r>
      <w:r w:rsidRPr="00DD0B5E">
        <w:rPr>
          <w:rFonts w:ascii="Bookman Old Style" w:hAnsi="Bookman Old Style"/>
          <w:lang w:val="es-ES" w:eastAsia="ar-SA"/>
        </w:rPr>
        <w:t xml:space="preserve"> </w:t>
      </w:r>
      <w:proofErr w:type="spellStart"/>
      <w:r w:rsidRPr="00DD0B5E">
        <w:rPr>
          <w:rFonts w:ascii="Bookman Old Style" w:hAnsi="Bookman Old Style"/>
          <w:lang w:val="es-ES" w:eastAsia="ar-SA"/>
        </w:rPr>
        <w:t>SSPD</w:t>
      </w:r>
      <w:proofErr w:type="spellEnd"/>
      <w:r w:rsidRPr="00DD0B5E">
        <w:rPr>
          <w:rFonts w:ascii="Bookman Old Style" w:hAnsi="Bookman Old Style"/>
          <w:lang w:val="es-ES" w:eastAsia="ar-SA"/>
        </w:rPr>
        <w:t>, la decisión de acogerse a las medidas incorporadas en la presente resolución, mediante comunicación suscrita por su representante legal.</w:t>
      </w:r>
      <w:bookmarkEnd w:id="5"/>
    </w:p>
    <w:p w14:paraId="5696A0F1" w14:textId="6B942FDC" w:rsidR="00C47FB1" w:rsidRPr="009677BE" w:rsidDel="00DD0B5E" w:rsidRDefault="00DD0B5E" w:rsidP="00814CAF">
      <w:pPr>
        <w:jc w:val="both"/>
        <w:rPr>
          <w:color w:val="000000"/>
          <w:highlight w:val="yellow"/>
        </w:rPr>
      </w:pPr>
      <w:r w:rsidRPr="00DD0B5E">
        <w:rPr>
          <w:rFonts w:ascii="Bookman Old Style" w:hAnsi="Bookman Old Style"/>
          <w:lang w:val="es-ES" w:eastAsia="ar-SA"/>
        </w:rPr>
        <w:lastRenderedPageBreak/>
        <w:t xml:space="preserve">Vencido el plazo otorgado en el presente artículo para acogerse a la modificación tarifaria, la Dirección Ejecutiva de la </w:t>
      </w:r>
      <w:proofErr w:type="spellStart"/>
      <w:r w:rsidRPr="00DD0B5E">
        <w:rPr>
          <w:rFonts w:ascii="Bookman Old Style" w:hAnsi="Bookman Old Style"/>
          <w:lang w:val="es-ES" w:eastAsia="ar-SA"/>
        </w:rPr>
        <w:t>CREG</w:t>
      </w:r>
      <w:proofErr w:type="spellEnd"/>
      <w:r w:rsidRPr="00DD0B5E">
        <w:rPr>
          <w:rFonts w:ascii="Bookman Old Style" w:hAnsi="Bookman Old Style"/>
          <w:lang w:val="es-ES" w:eastAsia="ar-SA"/>
        </w:rPr>
        <w:t xml:space="preserve">, informará mediante </w:t>
      </w:r>
      <w:r w:rsidR="007A56BE">
        <w:rPr>
          <w:rFonts w:ascii="Bookman Old Style" w:hAnsi="Bookman Old Style"/>
          <w:lang w:val="es-ES" w:eastAsia="ar-SA"/>
        </w:rPr>
        <w:t>C</w:t>
      </w:r>
      <w:r w:rsidR="0044666F">
        <w:rPr>
          <w:rFonts w:ascii="Bookman Old Style" w:hAnsi="Bookman Old Style"/>
          <w:lang w:val="es-ES" w:eastAsia="ar-SA"/>
        </w:rPr>
        <w:t>ircular los transportadores</w:t>
      </w:r>
      <w:r w:rsidRPr="00DD0B5E">
        <w:rPr>
          <w:rFonts w:ascii="Bookman Old Style" w:hAnsi="Bookman Old Style"/>
          <w:lang w:val="es-ES" w:eastAsia="ar-SA"/>
        </w:rPr>
        <w:t xml:space="preserve"> que se hayan acogido.</w:t>
      </w:r>
    </w:p>
    <w:p w14:paraId="3AF15FFD" w14:textId="77777777" w:rsidR="00364E34" w:rsidRPr="007967AA" w:rsidRDefault="00364E34" w:rsidP="00AF44B9"/>
    <w:p w14:paraId="66C6A313" w14:textId="463E7CB1" w:rsidR="001F5753" w:rsidRDefault="0044666F" w:rsidP="0044666F">
      <w:pPr>
        <w:pStyle w:val="Estilo5"/>
        <w:keepNext w:val="0"/>
        <w:widowControl w:val="0"/>
        <w:numPr>
          <w:ilvl w:val="0"/>
          <w:numId w:val="0"/>
        </w:numPr>
        <w:tabs>
          <w:tab w:val="left" w:pos="1418"/>
        </w:tabs>
        <w:spacing w:before="0" w:after="0"/>
        <w:rPr>
          <w:rFonts w:ascii="Bookman Old Style" w:hAnsi="Bookman Old Style"/>
          <w:b w:val="0"/>
          <w:color w:val="000000"/>
          <w:sz w:val="24"/>
          <w:szCs w:val="24"/>
        </w:rPr>
      </w:pPr>
      <w:r w:rsidRPr="0044666F">
        <w:rPr>
          <w:rFonts w:ascii="Bookman Old Style" w:hAnsi="Bookman Old Style"/>
          <w:bCs/>
          <w:color w:val="000000"/>
          <w:sz w:val="24"/>
          <w:szCs w:val="24"/>
        </w:rPr>
        <w:t>Artículo 4.</w:t>
      </w:r>
      <w:r>
        <w:rPr>
          <w:rFonts w:ascii="Bookman Old Style" w:hAnsi="Bookman Old Style"/>
          <w:b w:val="0"/>
          <w:color w:val="000000"/>
          <w:sz w:val="24"/>
          <w:szCs w:val="24"/>
        </w:rPr>
        <w:t xml:space="preserve"> Adiciónese</w:t>
      </w:r>
      <w:r w:rsidR="003D68D9">
        <w:rPr>
          <w:rFonts w:ascii="Bookman Old Style" w:hAnsi="Bookman Old Style"/>
          <w:b w:val="0"/>
          <w:color w:val="000000"/>
          <w:sz w:val="24"/>
          <w:szCs w:val="24"/>
        </w:rPr>
        <w:t xml:space="preserve"> </w:t>
      </w:r>
      <w:r w:rsidR="0036287D">
        <w:rPr>
          <w:rFonts w:ascii="Bookman Old Style" w:hAnsi="Bookman Old Style"/>
          <w:b w:val="0"/>
          <w:color w:val="000000"/>
          <w:sz w:val="24"/>
          <w:szCs w:val="24"/>
        </w:rPr>
        <w:t xml:space="preserve">un numeral </w:t>
      </w:r>
      <w:r w:rsidR="00E02A8E">
        <w:rPr>
          <w:rFonts w:ascii="Bookman Old Style" w:hAnsi="Bookman Old Style"/>
          <w:b w:val="0"/>
          <w:color w:val="000000"/>
          <w:sz w:val="24"/>
          <w:szCs w:val="24"/>
        </w:rPr>
        <w:t>a</w:t>
      </w:r>
      <w:r w:rsidR="00AC3DBB">
        <w:rPr>
          <w:rFonts w:ascii="Bookman Old Style" w:hAnsi="Bookman Old Style"/>
          <w:b w:val="0"/>
          <w:color w:val="000000"/>
          <w:sz w:val="24"/>
          <w:szCs w:val="24"/>
        </w:rPr>
        <w:t>l</w:t>
      </w:r>
      <w:r w:rsidR="00E02A8E">
        <w:rPr>
          <w:rFonts w:ascii="Bookman Old Style" w:hAnsi="Bookman Old Style"/>
          <w:b w:val="0"/>
          <w:color w:val="000000"/>
          <w:sz w:val="24"/>
          <w:szCs w:val="24"/>
        </w:rPr>
        <w:t xml:space="preserve"> artículo 18 de la Resolución </w:t>
      </w:r>
      <w:proofErr w:type="spellStart"/>
      <w:r w:rsidR="00E02A8E">
        <w:rPr>
          <w:rFonts w:ascii="Bookman Old Style" w:hAnsi="Bookman Old Style"/>
          <w:b w:val="0"/>
          <w:color w:val="000000"/>
          <w:sz w:val="24"/>
          <w:szCs w:val="24"/>
        </w:rPr>
        <w:t>CREG</w:t>
      </w:r>
      <w:proofErr w:type="spellEnd"/>
      <w:r w:rsidR="00E02A8E">
        <w:rPr>
          <w:rFonts w:ascii="Bookman Old Style" w:hAnsi="Bookman Old Style"/>
          <w:b w:val="0"/>
          <w:color w:val="000000"/>
          <w:sz w:val="24"/>
          <w:szCs w:val="24"/>
        </w:rPr>
        <w:t xml:space="preserve"> 175 de 2021 así:</w:t>
      </w:r>
    </w:p>
    <w:p w14:paraId="30B7B509" w14:textId="77777777" w:rsidR="00E02A8E" w:rsidRDefault="00E02A8E" w:rsidP="007967AA">
      <w:pPr>
        <w:pStyle w:val="Prrafodelista"/>
        <w:ind w:left="284"/>
        <w:rPr>
          <w:color w:val="000000"/>
          <w:szCs w:val="24"/>
        </w:rPr>
      </w:pPr>
    </w:p>
    <w:p w14:paraId="673A5C61" w14:textId="1A17E567" w:rsidR="00852F54" w:rsidRPr="00421B32" w:rsidRDefault="00852F54" w:rsidP="007967AA">
      <w:pPr>
        <w:pStyle w:val="Estilo3"/>
        <w:widowControl w:val="0"/>
        <w:tabs>
          <w:tab w:val="left" w:pos="0"/>
        </w:tabs>
        <w:ind w:left="284"/>
        <w:jc w:val="both"/>
        <w:rPr>
          <w:rFonts w:ascii="Bookman Old Style" w:hAnsi="Bookman Old Style"/>
          <w:bCs/>
          <w:color w:val="000000"/>
          <w:sz w:val="24"/>
          <w:szCs w:val="24"/>
        </w:rPr>
      </w:pPr>
      <w:r w:rsidRPr="00421B32">
        <w:rPr>
          <w:rFonts w:ascii="Bookman Old Style" w:hAnsi="Bookman Old Style" w:cs="Arial"/>
          <w:bCs/>
          <w:color w:val="000000"/>
          <w:sz w:val="24"/>
          <w:szCs w:val="24"/>
        </w:rPr>
        <w:t>“</w:t>
      </w:r>
      <w:r w:rsidRPr="00814CAF">
        <w:rPr>
          <w:rFonts w:ascii="Bookman Old Style" w:hAnsi="Bookman Old Style" w:cs="Arial"/>
          <w:b/>
          <w:color w:val="000000"/>
          <w:sz w:val="24"/>
          <w:szCs w:val="24"/>
        </w:rPr>
        <w:t>18.7</w:t>
      </w:r>
      <w:r w:rsidRPr="00421B32">
        <w:rPr>
          <w:rFonts w:ascii="Bookman Old Style" w:hAnsi="Bookman Old Style" w:cs="Arial"/>
          <w:bCs/>
          <w:color w:val="000000"/>
          <w:sz w:val="24"/>
          <w:szCs w:val="24"/>
        </w:rPr>
        <w:t xml:space="preserve"> </w:t>
      </w:r>
      <w:r w:rsidRPr="00DD4912">
        <w:rPr>
          <w:rFonts w:ascii="Bookman Old Style" w:hAnsi="Bookman Old Style" w:cs="Arial"/>
          <w:b/>
          <w:color w:val="000000"/>
          <w:sz w:val="24"/>
          <w:szCs w:val="24"/>
        </w:rPr>
        <w:t xml:space="preserve">Remuneración </w:t>
      </w:r>
      <w:r w:rsidR="00A65BF8" w:rsidRPr="00DD4912">
        <w:rPr>
          <w:rFonts w:ascii="Bookman Old Style" w:hAnsi="Bookman Old Style" w:cs="Arial"/>
          <w:b/>
          <w:color w:val="000000"/>
          <w:sz w:val="24"/>
          <w:szCs w:val="24"/>
        </w:rPr>
        <w:t xml:space="preserve">de un </w:t>
      </w:r>
      <w:r w:rsidRPr="00DD4912">
        <w:rPr>
          <w:rFonts w:ascii="Bookman Old Style" w:hAnsi="Bookman Old Style" w:cs="Arial"/>
          <w:b/>
          <w:color w:val="000000"/>
          <w:sz w:val="24"/>
          <w:szCs w:val="24"/>
        </w:rPr>
        <w:t>cubrimiento</w:t>
      </w:r>
      <w:r w:rsidR="0079396E" w:rsidRPr="00DD4912">
        <w:rPr>
          <w:rFonts w:ascii="Bookman Old Style" w:hAnsi="Bookman Old Style" w:cs="Arial"/>
          <w:b/>
          <w:color w:val="000000"/>
          <w:sz w:val="24"/>
          <w:szCs w:val="24"/>
        </w:rPr>
        <w:t xml:space="preserve"> por</w:t>
      </w:r>
      <w:r w:rsidRPr="00DD4912">
        <w:rPr>
          <w:rFonts w:ascii="Bookman Old Style" w:hAnsi="Bookman Old Style" w:cs="Arial"/>
          <w:b/>
          <w:color w:val="000000"/>
          <w:sz w:val="24"/>
          <w:szCs w:val="24"/>
        </w:rPr>
        <w:t xml:space="preserve"> deuda en dólares</w:t>
      </w:r>
      <w:r w:rsidRPr="00DD4912">
        <w:rPr>
          <w:rFonts w:ascii="Bookman Old Style" w:hAnsi="Bookman Old Style"/>
          <w:b/>
          <w:color w:val="000000"/>
          <w:sz w:val="24"/>
          <w:szCs w:val="24"/>
          <w:lang w:val="es-CO"/>
        </w:rPr>
        <w:t xml:space="preserve">, </w:t>
      </w:r>
      <m:oMath>
        <m:r>
          <m:rPr>
            <m:sty m:val="bi"/>
          </m:rPr>
          <w:rPr>
            <w:rFonts w:ascii="Cambria Math" w:hAnsi="Cambria Math"/>
            <w:color w:val="000000"/>
            <w:sz w:val="24"/>
            <w:szCs w:val="24"/>
            <w:lang w:val="es-CO"/>
          </w:rPr>
          <m:t>CUSD</m:t>
        </m:r>
      </m:oMath>
      <w:r w:rsidRPr="00DD4912">
        <w:rPr>
          <w:rFonts w:ascii="Bookman Old Style" w:hAnsi="Bookman Old Style"/>
          <w:b/>
          <w:color w:val="000000"/>
          <w:sz w:val="24"/>
          <w:szCs w:val="24"/>
        </w:rPr>
        <w:t>.</w:t>
      </w:r>
      <w:r w:rsidRPr="00421B32">
        <w:rPr>
          <w:rFonts w:ascii="Bookman Old Style" w:hAnsi="Bookman Old Style"/>
          <w:bCs/>
          <w:color w:val="000000"/>
          <w:sz w:val="24"/>
          <w:szCs w:val="24"/>
        </w:rPr>
        <w:t xml:space="preserve"> Durante los primeros cinco años del horizonte de proyección, dentro de los valores de </w:t>
      </w:r>
      <w:proofErr w:type="spellStart"/>
      <w:r w:rsidRPr="00421B32">
        <w:rPr>
          <w:rFonts w:ascii="Bookman Old Style" w:hAnsi="Bookman Old Style"/>
          <w:bCs/>
          <w:color w:val="000000"/>
          <w:sz w:val="24"/>
          <w:szCs w:val="24"/>
        </w:rPr>
        <w:t>AOM</w:t>
      </w:r>
      <w:proofErr w:type="spellEnd"/>
      <w:r w:rsidRPr="00421B32">
        <w:rPr>
          <w:rFonts w:ascii="Bookman Old Style" w:hAnsi="Bookman Old Style"/>
          <w:bCs/>
          <w:color w:val="000000"/>
          <w:sz w:val="24"/>
          <w:szCs w:val="24"/>
        </w:rPr>
        <w:t xml:space="preserve">, </w:t>
      </w:r>
      <w:proofErr w:type="spellStart"/>
      <w:r w:rsidRPr="00421B32">
        <w:rPr>
          <w:rFonts w:ascii="Bookman Old Style" w:hAnsi="Bookman Old Style"/>
          <w:bCs/>
          <w:color w:val="000000"/>
          <w:sz w:val="24"/>
          <w:szCs w:val="24"/>
        </w:rPr>
        <w:t>si</w:t>
      </w:r>
      <w:proofErr w:type="spellEnd"/>
      <w:r w:rsidRPr="00421B32">
        <w:rPr>
          <w:rFonts w:ascii="Bookman Old Style" w:hAnsi="Bookman Old Style"/>
          <w:bCs/>
          <w:color w:val="000000"/>
          <w:sz w:val="24"/>
          <w:szCs w:val="24"/>
        </w:rPr>
        <w:t xml:space="preserve"> </w:t>
      </w:r>
      <w:r w:rsidR="006145B9">
        <w:rPr>
          <w:rFonts w:ascii="Bookman Old Style" w:hAnsi="Bookman Old Style"/>
          <w:bCs/>
          <w:color w:val="000000"/>
          <w:sz w:val="24"/>
          <w:szCs w:val="24"/>
        </w:rPr>
        <w:t xml:space="preserve">y </w:t>
      </w:r>
      <w:r w:rsidRPr="00421B32">
        <w:rPr>
          <w:rFonts w:ascii="Bookman Old Style" w:hAnsi="Bookman Old Style"/>
          <w:bCs/>
          <w:color w:val="000000"/>
          <w:sz w:val="24"/>
          <w:szCs w:val="24"/>
        </w:rPr>
        <w:t xml:space="preserve">solo sí, una empresa certifica que tiene endeudamiento </w:t>
      </w:r>
      <w:r w:rsidR="00BD54D7" w:rsidRPr="00421B32">
        <w:rPr>
          <w:rFonts w:ascii="Bookman Old Style" w:hAnsi="Bookman Old Style"/>
          <w:bCs/>
          <w:color w:val="000000"/>
          <w:sz w:val="24"/>
          <w:szCs w:val="24"/>
        </w:rPr>
        <w:t xml:space="preserve">de largo plazo </w:t>
      </w:r>
      <w:r w:rsidRPr="00421B32">
        <w:rPr>
          <w:rFonts w:ascii="Bookman Old Style" w:hAnsi="Bookman Old Style"/>
          <w:bCs/>
          <w:color w:val="000000"/>
          <w:sz w:val="24"/>
          <w:szCs w:val="24"/>
        </w:rPr>
        <w:t>en dólares</w:t>
      </w:r>
      <w:r w:rsidR="00BD54D7">
        <w:rPr>
          <w:rFonts w:ascii="Bookman Old Style" w:hAnsi="Bookman Old Style"/>
          <w:bCs/>
          <w:color w:val="000000"/>
          <w:sz w:val="24"/>
          <w:szCs w:val="24"/>
        </w:rPr>
        <w:t xml:space="preserve"> americanos</w:t>
      </w:r>
      <w:r w:rsidR="00E4754A">
        <w:rPr>
          <w:rFonts w:ascii="Bookman Old Style" w:hAnsi="Bookman Old Style"/>
          <w:bCs/>
          <w:color w:val="000000"/>
          <w:sz w:val="24"/>
          <w:szCs w:val="24"/>
        </w:rPr>
        <w:t xml:space="preserve"> u otra moneda</w:t>
      </w:r>
      <w:r w:rsidR="00C01377">
        <w:rPr>
          <w:rFonts w:ascii="Bookman Old Style" w:hAnsi="Bookman Old Style"/>
          <w:bCs/>
          <w:color w:val="000000"/>
          <w:sz w:val="24"/>
          <w:szCs w:val="24"/>
        </w:rPr>
        <w:t>, adquirido antes de 2021,</w:t>
      </w:r>
      <w:r w:rsidR="005909FB">
        <w:rPr>
          <w:rFonts w:ascii="Bookman Old Style" w:hAnsi="Bookman Old Style"/>
          <w:bCs/>
          <w:color w:val="000000"/>
          <w:sz w:val="24"/>
          <w:szCs w:val="24"/>
        </w:rPr>
        <w:t xml:space="preserve"> y</w:t>
      </w:r>
      <w:r w:rsidR="00CD0837" w:rsidRPr="00421B32">
        <w:rPr>
          <w:rFonts w:ascii="Bookman Old Style" w:hAnsi="Bookman Old Style"/>
          <w:bCs/>
          <w:color w:val="000000"/>
          <w:sz w:val="24"/>
          <w:szCs w:val="24"/>
        </w:rPr>
        <w:t xml:space="preserve"> </w:t>
      </w:r>
      <w:r w:rsidR="00323906" w:rsidRPr="00421B32">
        <w:rPr>
          <w:rFonts w:ascii="Bookman Old Style" w:hAnsi="Bookman Old Style"/>
          <w:bCs/>
          <w:color w:val="000000"/>
          <w:sz w:val="24"/>
          <w:szCs w:val="24"/>
        </w:rPr>
        <w:t xml:space="preserve">que se haya utilizado </w:t>
      </w:r>
      <w:r w:rsidR="00291E0D" w:rsidRPr="00421B32">
        <w:rPr>
          <w:rFonts w:ascii="Bookman Old Style" w:hAnsi="Bookman Old Style"/>
          <w:bCs/>
          <w:color w:val="000000"/>
          <w:sz w:val="24"/>
          <w:szCs w:val="24"/>
        </w:rPr>
        <w:t>para</w:t>
      </w:r>
      <w:r w:rsidRPr="00421B32">
        <w:rPr>
          <w:rFonts w:ascii="Bookman Old Style" w:hAnsi="Bookman Old Style"/>
          <w:bCs/>
          <w:color w:val="000000"/>
          <w:sz w:val="24"/>
          <w:szCs w:val="24"/>
        </w:rPr>
        <w:t xml:space="preserve"> adquirir infraestructura en su sistema de transporte de gas natural, se reconocerá </w:t>
      </w:r>
      <w:r w:rsidR="00005798" w:rsidRPr="00421B32">
        <w:rPr>
          <w:rFonts w:ascii="Bookman Old Style" w:hAnsi="Bookman Old Style"/>
          <w:bCs/>
          <w:color w:val="000000"/>
          <w:sz w:val="24"/>
          <w:szCs w:val="24"/>
        </w:rPr>
        <w:t xml:space="preserve">a la empresa </w:t>
      </w:r>
      <w:r w:rsidRPr="00421B32">
        <w:rPr>
          <w:rFonts w:ascii="Bookman Old Style" w:hAnsi="Bookman Old Style"/>
          <w:bCs/>
          <w:color w:val="000000"/>
          <w:sz w:val="24"/>
          <w:szCs w:val="24"/>
        </w:rPr>
        <w:t>un cubrimiento por el cambio de moneda de dólares a pesos teniendo en cuenta los siguientes elementos:</w:t>
      </w:r>
    </w:p>
    <w:p w14:paraId="44F6F5E4" w14:textId="77777777" w:rsidR="00852F54" w:rsidRPr="004D699D" w:rsidRDefault="00852F54" w:rsidP="00852F54">
      <w:pPr>
        <w:pStyle w:val="Estilo3"/>
        <w:widowControl w:val="0"/>
        <w:tabs>
          <w:tab w:val="left" w:pos="0"/>
        </w:tabs>
        <w:ind w:left="720"/>
        <w:jc w:val="both"/>
        <w:rPr>
          <w:rFonts w:ascii="Bookman Old Style" w:hAnsi="Bookman Old Style"/>
          <w:sz w:val="24"/>
          <w:szCs w:val="24"/>
          <w:lang w:val="es-CO"/>
        </w:rPr>
      </w:pPr>
    </w:p>
    <w:p w14:paraId="514400F2" w14:textId="4318E4A4" w:rsidR="00852F54" w:rsidRPr="0077445E" w:rsidRDefault="00852F54" w:rsidP="00950D74">
      <w:pPr>
        <w:pStyle w:val="Estilo3"/>
        <w:widowControl w:val="0"/>
        <w:numPr>
          <w:ilvl w:val="8"/>
          <w:numId w:val="8"/>
        </w:numPr>
        <w:tabs>
          <w:tab w:val="left" w:pos="0"/>
        </w:tabs>
        <w:ind w:left="851" w:hanging="284"/>
        <w:jc w:val="both"/>
        <w:rPr>
          <w:rFonts w:ascii="Bookman Old Style" w:hAnsi="Bookman Old Style"/>
          <w:sz w:val="24"/>
          <w:szCs w:val="24"/>
          <w:lang w:val="es-CO"/>
        </w:rPr>
      </w:pPr>
      <w:r w:rsidRPr="004D699D">
        <w:rPr>
          <w:rFonts w:ascii="Bookman Old Style" w:hAnsi="Bookman Old Style"/>
          <w:sz w:val="24"/>
          <w:szCs w:val="24"/>
          <w:lang w:val="es-CO"/>
        </w:rPr>
        <w:t xml:space="preserve">El valor de los activos en la base </w:t>
      </w:r>
      <w:r w:rsidRPr="0077445E">
        <w:rPr>
          <w:rFonts w:ascii="Bookman Old Style" w:hAnsi="Bookman Old Style"/>
          <w:sz w:val="24"/>
          <w:szCs w:val="24"/>
          <w:lang w:val="es-CO"/>
        </w:rPr>
        <w:t>tarifaria de la empresa,</w:t>
      </w:r>
      <w:r w:rsidRPr="0077445E">
        <w:rPr>
          <w:rFonts w:ascii="Cambria Math" w:hAnsi="Cambria Math"/>
          <w:i/>
          <w:sz w:val="24"/>
          <w:szCs w:val="24"/>
          <w:lang w:val="es-CO"/>
        </w:rPr>
        <w:t xml:space="preserve"> </w:t>
      </w:r>
      <m:oMath>
        <m:r>
          <w:rPr>
            <w:rFonts w:ascii="Cambria Math" w:hAnsi="Cambria Math"/>
            <w:sz w:val="24"/>
            <w:szCs w:val="24"/>
            <w:lang w:val="es-CO"/>
          </w:rPr>
          <m:t>VA</m:t>
        </m:r>
      </m:oMath>
      <w:r w:rsidRPr="0077445E">
        <w:rPr>
          <w:rFonts w:ascii="Bookman Old Style" w:hAnsi="Bookman Old Style"/>
          <w:sz w:val="24"/>
          <w:szCs w:val="24"/>
          <w:lang w:val="es-CO"/>
        </w:rPr>
        <w:t>, en pesos colombianos</w:t>
      </w:r>
      <w:r w:rsidR="00A81C54">
        <w:rPr>
          <w:rFonts w:ascii="Bookman Old Style" w:hAnsi="Bookman Old Style"/>
          <w:sz w:val="24"/>
          <w:szCs w:val="24"/>
          <w:lang w:val="es-CO"/>
        </w:rPr>
        <w:t>,</w:t>
      </w:r>
      <w:r w:rsidRPr="0077445E">
        <w:rPr>
          <w:rFonts w:ascii="Bookman Old Style" w:hAnsi="Bookman Old Style"/>
          <w:sz w:val="24"/>
          <w:szCs w:val="24"/>
          <w:lang w:val="es-CO"/>
        </w:rPr>
        <w:t xml:space="preserve"> conforme a las disposiciones del artículo 6</w:t>
      </w:r>
      <w:r w:rsidR="00E27FBD">
        <w:rPr>
          <w:rFonts w:ascii="Bookman Old Style" w:hAnsi="Bookman Old Style"/>
          <w:sz w:val="24"/>
          <w:szCs w:val="24"/>
          <w:lang w:val="es-CO"/>
        </w:rPr>
        <w:t>.</w:t>
      </w:r>
    </w:p>
    <w:p w14:paraId="22B47339" w14:textId="77777777" w:rsidR="00A97762" w:rsidRPr="0077445E" w:rsidRDefault="00A97762" w:rsidP="007967AA">
      <w:pPr>
        <w:pStyle w:val="Estilo3"/>
        <w:widowControl w:val="0"/>
        <w:tabs>
          <w:tab w:val="left" w:pos="0"/>
        </w:tabs>
        <w:ind w:left="851" w:hanging="284"/>
        <w:jc w:val="both"/>
        <w:rPr>
          <w:rFonts w:ascii="Bookman Old Style" w:hAnsi="Bookman Old Style"/>
          <w:sz w:val="24"/>
          <w:szCs w:val="24"/>
          <w:lang w:val="es-CO"/>
        </w:rPr>
      </w:pPr>
    </w:p>
    <w:p w14:paraId="6EE0C597" w14:textId="04BC67FB" w:rsidR="00185FD6" w:rsidRPr="008C64D2" w:rsidRDefault="00784BD0" w:rsidP="00950D74">
      <w:pPr>
        <w:pStyle w:val="Estilo3"/>
        <w:widowControl w:val="0"/>
        <w:numPr>
          <w:ilvl w:val="8"/>
          <w:numId w:val="8"/>
        </w:numPr>
        <w:tabs>
          <w:tab w:val="left" w:pos="0"/>
        </w:tabs>
        <w:ind w:left="851" w:hanging="284"/>
        <w:jc w:val="both"/>
        <w:rPr>
          <w:rFonts w:ascii="Bookman Old Style" w:hAnsi="Bookman Old Style"/>
          <w:sz w:val="24"/>
          <w:szCs w:val="24"/>
          <w:lang w:val="es-CO"/>
        </w:rPr>
      </w:pPr>
      <w:r w:rsidRPr="008C64D2">
        <w:rPr>
          <w:rFonts w:ascii="Bookman Old Style" w:hAnsi="Bookman Old Style"/>
          <w:sz w:val="24"/>
          <w:szCs w:val="24"/>
          <w:lang w:val="es-CO"/>
        </w:rPr>
        <w:t xml:space="preserve">A la fecha de cálculo de la variable </w:t>
      </w:r>
      <m:oMath>
        <m:r>
          <w:rPr>
            <w:rFonts w:ascii="Cambria Math" w:hAnsi="Cambria Math"/>
            <w:sz w:val="24"/>
            <w:szCs w:val="24"/>
            <w:lang w:val="es-CO"/>
          </w:rPr>
          <m:t>CUSD</m:t>
        </m:r>
      </m:oMath>
      <w:r w:rsidRPr="008C64D2">
        <w:rPr>
          <w:rFonts w:ascii="Bookman Old Style" w:hAnsi="Bookman Old Style"/>
          <w:sz w:val="24"/>
          <w:szCs w:val="24"/>
          <w:lang w:val="es-CO"/>
        </w:rPr>
        <w:t xml:space="preserve"> se tendrá en cuenta </w:t>
      </w:r>
      <w:r w:rsidR="00A97762" w:rsidRPr="008C64D2">
        <w:rPr>
          <w:rFonts w:ascii="Bookman Old Style" w:hAnsi="Bookman Old Style"/>
          <w:sz w:val="24"/>
          <w:szCs w:val="24"/>
          <w:lang w:val="es-CO"/>
        </w:rPr>
        <w:t xml:space="preserve">el valor eficiente de las </w:t>
      </w:r>
      <w:r w:rsidR="000C11A1" w:rsidRPr="008C64D2">
        <w:rPr>
          <w:rFonts w:ascii="Bookman Old Style" w:hAnsi="Bookman Old Style"/>
          <w:sz w:val="24"/>
          <w:szCs w:val="24"/>
          <w:lang w:val="es-CO"/>
        </w:rPr>
        <w:t xml:space="preserve">inversiones </w:t>
      </w:r>
      <m:oMath>
        <m:r>
          <w:rPr>
            <w:rFonts w:ascii="Cambria Math" w:hAnsi="Cambria Math"/>
            <w:sz w:val="24"/>
            <w:szCs w:val="24"/>
            <w:lang w:val="es-CO"/>
          </w:rPr>
          <m:t>IFPNI</m:t>
        </m:r>
      </m:oMath>
      <w:r w:rsidR="000C11A1" w:rsidRPr="008C64D2">
        <w:rPr>
          <w:rFonts w:ascii="Bookman Old Style" w:hAnsi="Bookman Old Style"/>
          <w:sz w:val="24"/>
          <w:szCs w:val="24"/>
          <w:lang w:val="es-CO"/>
        </w:rPr>
        <w:t xml:space="preserve"> que fue</w:t>
      </w:r>
      <w:r w:rsidR="003F48AF" w:rsidRPr="008C64D2">
        <w:rPr>
          <w:rFonts w:ascii="Bookman Old Style" w:hAnsi="Bookman Old Style"/>
          <w:sz w:val="24"/>
          <w:szCs w:val="24"/>
          <w:lang w:val="es-CO"/>
        </w:rPr>
        <w:t>ron</w:t>
      </w:r>
      <w:r w:rsidR="000C11A1" w:rsidRPr="008C64D2">
        <w:rPr>
          <w:rFonts w:ascii="Bookman Old Style" w:hAnsi="Bookman Old Style"/>
          <w:sz w:val="24"/>
          <w:szCs w:val="24"/>
          <w:lang w:val="es-CO"/>
        </w:rPr>
        <w:t xml:space="preserve"> ejecutada</w:t>
      </w:r>
      <w:r w:rsidR="003F48AF" w:rsidRPr="008C64D2">
        <w:rPr>
          <w:rFonts w:ascii="Bookman Old Style" w:hAnsi="Bookman Old Style"/>
          <w:sz w:val="24"/>
          <w:szCs w:val="24"/>
          <w:lang w:val="es-CO"/>
        </w:rPr>
        <w:t xml:space="preserve">s </w:t>
      </w:r>
      <w:r w:rsidR="005D4506" w:rsidRPr="008C64D2">
        <w:rPr>
          <w:rFonts w:ascii="Bookman Old Style" w:hAnsi="Bookman Old Style"/>
          <w:sz w:val="24"/>
          <w:szCs w:val="24"/>
          <w:lang w:val="es-CO"/>
        </w:rPr>
        <w:t xml:space="preserve">en </w:t>
      </w:r>
      <w:r w:rsidR="000C11A1" w:rsidRPr="008C64D2">
        <w:rPr>
          <w:rFonts w:ascii="Bookman Old Style" w:hAnsi="Bookman Old Style"/>
          <w:sz w:val="24"/>
          <w:szCs w:val="24"/>
          <w:lang w:val="es-CO"/>
        </w:rPr>
        <w:t xml:space="preserve">el período tarifario </w:t>
      </w:r>
      <m:oMath>
        <m:r>
          <w:rPr>
            <w:rFonts w:ascii="Cambria Math" w:hAnsi="Cambria Math"/>
            <w:sz w:val="24"/>
            <w:szCs w:val="24"/>
            <w:lang w:val="es-CO"/>
          </w:rPr>
          <m:t>t</m:t>
        </m:r>
        <m:r>
          <m:rPr>
            <m:sty m:val="p"/>
          </m:rPr>
          <w:rPr>
            <w:rFonts w:ascii="Cambria Math" w:hAnsi="Cambria Math"/>
            <w:sz w:val="24"/>
            <w:szCs w:val="24"/>
            <w:lang w:val="es-CO"/>
          </w:rPr>
          <m:t>-1</m:t>
        </m:r>
      </m:oMath>
      <w:r w:rsidR="008221C7" w:rsidRPr="008C64D2">
        <w:rPr>
          <w:rFonts w:ascii="Bookman Old Style" w:hAnsi="Bookman Old Style"/>
          <w:sz w:val="24"/>
          <w:szCs w:val="24"/>
          <w:lang w:val="es-CO"/>
        </w:rPr>
        <w:t>,</w:t>
      </w:r>
      <w:r w:rsidR="00185FD6" w:rsidRPr="008C64D2">
        <w:rPr>
          <w:rFonts w:ascii="Bookman Old Style" w:hAnsi="Bookman Old Style"/>
          <w:sz w:val="24"/>
          <w:szCs w:val="24"/>
          <w:lang w:val="es-CO"/>
        </w:rPr>
        <w:t xml:space="preserve"> siempre y cuando se cumplan l</w:t>
      </w:r>
      <w:r w:rsidR="00187828" w:rsidRPr="008C64D2">
        <w:rPr>
          <w:rFonts w:ascii="Bookman Old Style" w:hAnsi="Bookman Old Style"/>
          <w:sz w:val="24"/>
          <w:szCs w:val="24"/>
          <w:lang w:val="es-CO"/>
        </w:rPr>
        <w:t>a</w:t>
      </w:r>
      <w:r w:rsidR="00185FD6" w:rsidRPr="008C64D2">
        <w:rPr>
          <w:rFonts w:ascii="Bookman Old Style" w:hAnsi="Bookman Old Style"/>
          <w:sz w:val="24"/>
          <w:szCs w:val="24"/>
          <w:lang w:val="es-CO"/>
        </w:rPr>
        <w:t xml:space="preserve">s siguientes </w:t>
      </w:r>
      <w:r w:rsidR="00187828" w:rsidRPr="008C64D2">
        <w:rPr>
          <w:rFonts w:ascii="Bookman Old Style" w:hAnsi="Bookman Old Style"/>
          <w:sz w:val="24"/>
          <w:szCs w:val="24"/>
          <w:lang w:val="es-CO"/>
        </w:rPr>
        <w:t>condic</w:t>
      </w:r>
      <w:r w:rsidR="008D426E" w:rsidRPr="008C64D2">
        <w:rPr>
          <w:rFonts w:ascii="Bookman Old Style" w:hAnsi="Bookman Old Style"/>
          <w:sz w:val="24"/>
          <w:szCs w:val="24"/>
          <w:lang w:val="es-CO"/>
        </w:rPr>
        <w:t>io</w:t>
      </w:r>
      <w:r w:rsidR="00187828" w:rsidRPr="008C64D2">
        <w:rPr>
          <w:rFonts w:ascii="Bookman Old Style" w:hAnsi="Bookman Old Style"/>
          <w:sz w:val="24"/>
          <w:szCs w:val="24"/>
          <w:lang w:val="es-CO"/>
        </w:rPr>
        <w:t>nes</w:t>
      </w:r>
      <w:r w:rsidR="00185FD6" w:rsidRPr="008C64D2">
        <w:rPr>
          <w:rFonts w:ascii="Bookman Old Style" w:hAnsi="Bookman Old Style"/>
          <w:sz w:val="24"/>
          <w:szCs w:val="24"/>
          <w:lang w:val="es-CO"/>
        </w:rPr>
        <w:t>:</w:t>
      </w:r>
    </w:p>
    <w:p w14:paraId="400934D5" w14:textId="77777777" w:rsidR="00185FD6" w:rsidRPr="008C64D2" w:rsidRDefault="00185FD6" w:rsidP="00185FD6">
      <w:pPr>
        <w:pStyle w:val="Prrafodelista"/>
        <w:rPr>
          <w:szCs w:val="24"/>
        </w:rPr>
      </w:pPr>
    </w:p>
    <w:p w14:paraId="68746F75" w14:textId="77777777" w:rsidR="00994591" w:rsidRPr="008C64D2" w:rsidRDefault="00562353" w:rsidP="00950D74">
      <w:pPr>
        <w:pStyle w:val="Estilo3"/>
        <w:widowControl w:val="0"/>
        <w:numPr>
          <w:ilvl w:val="0"/>
          <w:numId w:val="25"/>
        </w:numPr>
        <w:tabs>
          <w:tab w:val="left" w:pos="0"/>
        </w:tabs>
        <w:ind w:left="1276" w:hanging="425"/>
        <w:jc w:val="both"/>
        <w:rPr>
          <w:rFonts w:ascii="Bookman Old Style" w:hAnsi="Bookman Old Style"/>
          <w:sz w:val="24"/>
          <w:szCs w:val="24"/>
          <w:lang w:val="es-CO"/>
        </w:rPr>
      </w:pPr>
      <w:r w:rsidRPr="008C64D2">
        <w:rPr>
          <w:rFonts w:ascii="Bookman Old Style" w:hAnsi="Bookman Old Style"/>
          <w:sz w:val="24"/>
          <w:szCs w:val="24"/>
          <w:lang w:val="es-CO"/>
        </w:rPr>
        <w:t>Deben ser inversiones que</w:t>
      </w:r>
      <w:r w:rsidR="00AC1086" w:rsidRPr="008C64D2">
        <w:rPr>
          <w:rFonts w:ascii="Bookman Old Style" w:hAnsi="Bookman Old Style"/>
          <w:sz w:val="24"/>
          <w:szCs w:val="24"/>
          <w:lang w:val="es-CO"/>
        </w:rPr>
        <w:t xml:space="preserve"> </w:t>
      </w:r>
      <w:r w:rsidR="000C11A1" w:rsidRPr="008C64D2">
        <w:rPr>
          <w:rFonts w:ascii="Bookman Old Style" w:hAnsi="Bookman Old Style"/>
          <w:sz w:val="24"/>
          <w:szCs w:val="24"/>
          <w:lang w:val="es-CO"/>
        </w:rPr>
        <w:t>no estaba</w:t>
      </w:r>
      <w:r w:rsidR="00436103" w:rsidRPr="008C64D2">
        <w:rPr>
          <w:rFonts w:ascii="Bookman Old Style" w:hAnsi="Bookman Old Style"/>
          <w:sz w:val="24"/>
          <w:szCs w:val="24"/>
          <w:lang w:val="es-CO"/>
        </w:rPr>
        <w:t>n</w:t>
      </w:r>
      <w:r w:rsidR="000C11A1" w:rsidRPr="008C64D2">
        <w:rPr>
          <w:rFonts w:ascii="Bookman Old Style" w:hAnsi="Bookman Old Style"/>
          <w:sz w:val="24"/>
          <w:szCs w:val="24"/>
          <w:lang w:val="es-CO"/>
        </w:rPr>
        <w:t xml:space="preserve"> incluida</w:t>
      </w:r>
      <w:r w:rsidR="00436103" w:rsidRPr="008C64D2">
        <w:rPr>
          <w:rFonts w:ascii="Bookman Old Style" w:hAnsi="Bookman Old Style"/>
          <w:sz w:val="24"/>
          <w:szCs w:val="24"/>
          <w:lang w:val="es-CO"/>
        </w:rPr>
        <w:t>s</w:t>
      </w:r>
      <w:r w:rsidR="000C11A1" w:rsidRPr="008C64D2">
        <w:rPr>
          <w:rFonts w:ascii="Bookman Old Style" w:hAnsi="Bookman Old Style"/>
          <w:sz w:val="24"/>
          <w:szCs w:val="24"/>
          <w:lang w:val="es-CO"/>
        </w:rPr>
        <w:t xml:space="preserve"> en el programa de nuevas inversiones</w:t>
      </w:r>
      <w:r w:rsidR="00994591" w:rsidRPr="008C64D2">
        <w:rPr>
          <w:rFonts w:ascii="Bookman Old Style" w:hAnsi="Bookman Old Style"/>
          <w:sz w:val="24"/>
          <w:szCs w:val="24"/>
          <w:lang w:val="es-CO"/>
        </w:rPr>
        <w:t xml:space="preserve"> o en el programa de inversiones en aumento capacidad del periodo tarifario t-1.</w:t>
      </w:r>
    </w:p>
    <w:p w14:paraId="602B49D7" w14:textId="77777777" w:rsidR="007121AB" w:rsidRPr="008C64D2" w:rsidRDefault="00994591" w:rsidP="00950D74">
      <w:pPr>
        <w:pStyle w:val="Estilo3"/>
        <w:widowControl w:val="0"/>
        <w:numPr>
          <w:ilvl w:val="0"/>
          <w:numId w:val="25"/>
        </w:numPr>
        <w:tabs>
          <w:tab w:val="left" w:pos="0"/>
        </w:tabs>
        <w:ind w:left="1276" w:hanging="425"/>
        <w:jc w:val="both"/>
        <w:rPr>
          <w:rFonts w:ascii="Bookman Old Style" w:hAnsi="Bookman Old Style"/>
          <w:sz w:val="24"/>
          <w:szCs w:val="24"/>
          <w:lang w:val="es-CO"/>
        </w:rPr>
      </w:pPr>
      <w:r w:rsidRPr="008C64D2">
        <w:rPr>
          <w:rFonts w:ascii="Bookman Old Style" w:hAnsi="Bookman Old Style"/>
          <w:sz w:val="24"/>
          <w:szCs w:val="24"/>
          <w:lang w:val="es-CO"/>
        </w:rPr>
        <w:t>Deben ser inversiones que no están</w:t>
      </w:r>
      <w:r w:rsidR="000C11A1" w:rsidRPr="008C64D2">
        <w:rPr>
          <w:rFonts w:ascii="Bookman Old Style" w:hAnsi="Bookman Old Style"/>
          <w:sz w:val="24"/>
          <w:szCs w:val="24"/>
          <w:lang w:val="es-CO"/>
        </w:rPr>
        <w:t xml:space="preserve"> en el plan de abastecimiento de gas natura</w:t>
      </w:r>
      <w:r w:rsidR="007121AB" w:rsidRPr="008C64D2">
        <w:rPr>
          <w:rFonts w:ascii="Bookman Old Style" w:hAnsi="Bookman Old Style"/>
          <w:sz w:val="24"/>
          <w:szCs w:val="24"/>
          <w:lang w:val="es-CO"/>
        </w:rPr>
        <w:t>l.</w:t>
      </w:r>
    </w:p>
    <w:p w14:paraId="0465704B" w14:textId="36AB2ACE" w:rsidR="00EB1981" w:rsidRPr="008C64D2" w:rsidRDefault="007121AB" w:rsidP="00950D74">
      <w:pPr>
        <w:pStyle w:val="Estilo3"/>
        <w:widowControl w:val="0"/>
        <w:numPr>
          <w:ilvl w:val="0"/>
          <w:numId w:val="25"/>
        </w:numPr>
        <w:tabs>
          <w:tab w:val="left" w:pos="0"/>
        </w:tabs>
        <w:ind w:left="1276" w:hanging="425"/>
        <w:jc w:val="both"/>
        <w:rPr>
          <w:szCs w:val="24"/>
        </w:rPr>
      </w:pPr>
      <w:r w:rsidRPr="008C64D2">
        <w:rPr>
          <w:rFonts w:ascii="Bookman Old Style" w:hAnsi="Bookman Old Style"/>
          <w:sz w:val="24"/>
          <w:szCs w:val="24"/>
          <w:lang w:val="es-CO"/>
        </w:rPr>
        <w:t xml:space="preserve">Deben ser inversiones </w:t>
      </w:r>
      <w:r w:rsidR="00451031" w:rsidRPr="008C64D2">
        <w:rPr>
          <w:rFonts w:ascii="Bookman Old Style" w:hAnsi="Bookman Old Style"/>
          <w:sz w:val="24"/>
          <w:szCs w:val="24"/>
          <w:lang w:val="es-CO"/>
        </w:rPr>
        <w:t xml:space="preserve">que </w:t>
      </w:r>
      <w:r w:rsidR="000C11A1" w:rsidRPr="008C64D2">
        <w:rPr>
          <w:rFonts w:ascii="Bookman Old Style" w:hAnsi="Bookman Old Style"/>
          <w:sz w:val="24"/>
          <w:szCs w:val="24"/>
          <w:lang w:val="es-CO"/>
        </w:rPr>
        <w:t>continúe</w:t>
      </w:r>
      <w:r w:rsidR="00451031" w:rsidRPr="008C64D2">
        <w:rPr>
          <w:rFonts w:ascii="Bookman Old Style" w:hAnsi="Bookman Old Style"/>
          <w:sz w:val="24"/>
          <w:szCs w:val="24"/>
          <w:lang w:val="es-CO"/>
        </w:rPr>
        <w:t>n</w:t>
      </w:r>
      <w:r w:rsidR="000C11A1" w:rsidRPr="008C64D2">
        <w:rPr>
          <w:rFonts w:ascii="Bookman Old Style" w:hAnsi="Bookman Old Style"/>
          <w:sz w:val="24"/>
          <w:szCs w:val="24"/>
          <w:lang w:val="es-CO"/>
        </w:rPr>
        <w:t xml:space="preserve"> en operación</w:t>
      </w:r>
      <w:r w:rsidRPr="008C64D2">
        <w:rPr>
          <w:rFonts w:ascii="Bookman Old Style" w:hAnsi="Bookman Old Style"/>
          <w:sz w:val="24"/>
          <w:szCs w:val="24"/>
          <w:lang w:val="es-CO"/>
        </w:rPr>
        <w:t xml:space="preserve"> </w:t>
      </w:r>
      <w:r w:rsidR="00590A37" w:rsidRPr="008C64D2">
        <w:rPr>
          <w:rFonts w:ascii="Bookman Old Style" w:hAnsi="Bookman Old Style"/>
          <w:sz w:val="24"/>
          <w:szCs w:val="24"/>
          <w:lang w:val="es-CO"/>
        </w:rPr>
        <w:t>y que</w:t>
      </w:r>
      <w:r w:rsidR="00F32DC1" w:rsidRPr="008C64D2">
        <w:rPr>
          <w:rFonts w:ascii="Bookman Old Style" w:hAnsi="Bookman Old Style"/>
          <w:sz w:val="24"/>
          <w:szCs w:val="24"/>
          <w:lang w:val="es-CO"/>
        </w:rPr>
        <w:t xml:space="preserve"> la empresa haya justificado que se requerían para la prestación del servicio</w:t>
      </w:r>
      <w:r w:rsidR="00BE68F0" w:rsidRPr="008C64D2">
        <w:rPr>
          <w:rFonts w:ascii="Bookman Old Style" w:hAnsi="Bookman Old Style"/>
          <w:sz w:val="24"/>
          <w:szCs w:val="24"/>
          <w:lang w:val="es-CO"/>
        </w:rPr>
        <w:t>.</w:t>
      </w:r>
    </w:p>
    <w:p w14:paraId="008F3FF4" w14:textId="4732D8AB" w:rsidR="00BE68F0" w:rsidRPr="008C64D2" w:rsidRDefault="00D8368F" w:rsidP="00950D74">
      <w:pPr>
        <w:pStyle w:val="Estilo3"/>
        <w:widowControl w:val="0"/>
        <w:numPr>
          <w:ilvl w:val="0"/>
          <w:numId w:val="25"/>
        </w:numPr>
        <w:tabs>
          <w:tab w:val="left" w:pos="0"/>
        </w:tabs>
        <w:ind w:left="1276" w:hanging="425"/>
        <w:jc w:val="both"/>
        <w:rPr>
          <w:szCs w:val="24"/>
        </w:rPr>
      </w:pPr>
      <w:r w:rsidRPr="008C64D2">
        <w:rPr>
          <w:rFonts w:ascii="Bookman Old Style" w:hAnsi="Bookman Old Style"/>
          <w:sz w:val="24"/>
          <w:szCs w:val="24"/>
          <w:lang w:val="es-CO"/>
        </w:rPr>
        <w:t xml:space="preserve">No </w:t>
      </w:r>
      <w:r w:rsidR="00590A37" w:rsidRPr="008C64D2">
        <w:rPr>
          <w:rFonts w:ascii="Bookman Old Style" w:hAnsi="Bookman Old Style"/>
          <w:sz w:val="24"/>
          <w:szCs w:val="24"/>
          <w:lang w:val="es-CO"/>
        </w:rPr>
        <w:t>puede</w:t>
      </w:r>
      <w:r w:rsidRPr="008C64D2">
        <w:rPr>
          <w:rFonts w:ascii="Bookman Old Style" w:hAnsi="Bookman Old Style"/>
          <w:sz w:val="24"/>
          <w:szCs w:val="24"/>
          <w:lang w:val="es-CO"/>
        </w:rPr>
        <w:t xml:space="preserve"> haber valores de inversiones que la </w:t>
      </w:r>
      <w:r w:rsidR="002A2B91" w:rsidRPr="008C64D2">
        <w:rPr>
          <w:rFonts w:ascii="Bookman Old Style" w:hAnsi="Bookman Old Style"/>
          <w:sz w:val="24"/>
          <w:szCs w:val="24"/>
          <w:lang w:val="es-CO"/>
        </w:rPr>
        <w:t>empresa</w:t>
      </w:r>
      <w:r w:rsidRPr="008C64D2">
        <w:rPr>
          <w:rFonts w:ascii="Bookman Old Style" w:hAnsi="Bookman Old Style"/>
          <w:sz w:val="24"/>
          <w:szCs w:val="24"/>
          <w:lang w:val="es-CO"/>
        </w:rPr>
        <w:t xml:space="preserve"> hubiere puesto en operación comercial después de </w:t>
      </w:r>
      <w:r w:rsidR="002A2B91" w:rsidRPr="008C64D2">
        <w:rPr>
          <w:rFonts w:ascii="Bookman Old Style" w:hAnsi="Bookman Old Style"/>
          <w:sz w:val="24"/>
          <w:szCs w:val="24"/>
          <w:lang w:val="es-CO"/>
        </w:rPr>
        <w:t>la expedición de la presente resolución.</w:t>
      </w:r>
    </w:p>
    <w:p w14:paraId="49AEE83C" w14:textId="45B0BC67" w:rsidR="0014032A" w:rsidRPr="0092128E" w:rsidRDefault="0014032A" w:rsidP="00950D74">
      <w:pPr>
        <w:pStyle w:val="Estilo3"/>
        <w:widowControl w:val="0"/>
        <w:numPr>
          <w:ilvl w:val="0"/>
          <w:numId w:val="25"/>
        </w:numPr>
        <w:tabs>
          <w:tab w:val="left" w:pos="0"/>
        </w:tabs>
        <w:ind w:left="1276" w:hanging="425"/>
        <w:jc w:val="both"/>
        <w:rPr>
          <w:szCs w:val="24"/>
        </w:rPr>
      </w:pPr>
      <w:r w:rsidRPr="008C64D2">
        <w:rPr>
          <w:rFonts w:ascii="Bookman Old Style" w:hAnsi="Bookman Old Style"/>
          <w:sz w:val="24"/>
          <w:szCs w:val="24"/>
          <w:lang w:val="es-CO"/>
        </w:rPr>
        <w:t xml:space="preserve">Para cada valor de inversión </w:t>
      </w:r>
      <w:proofErr w:type="spellStart"/>
      <w:r w:rsidR="00153D6E" w:rsidRPr="008C64D2">
        <w:rPr>
          <w:rFonts w:ascii="Bookman Old Style" w:hAnsi="Bookman Old Style"/>
          <w:sz w:val="24"/>
          <w:szCs w:val="24"/>
          <w:lang w:val="es-CO"/>
        </w:rPr>
        <w:t>IFPNI</w:t>
      </w:r>
      <w:proofErr w:type="spellEnd"/>
      <w:r w:rsidR="00153D6E" w:rsidRPr="008C64D2">
        <w:rPr>
          <w:rFonts w:ascii="Bookman Old Style" w:hAnsi="Bookman Old Style"/>
          <w:sz w:val="24"/>
          <w:szCs w:val="24"/>
          <w:lang w:val="es-CO"/>
        </w:rPr>
        <w:t xml:space="preserve"> la empresa debe certificar que se endeudó en dól</w:t>
      </w:r>
      <w:r w:rsidR="008D43EC" w:rsidRPr="008C64D2">
        <w:rPr>
          <w:rFonts w:ascii="Bookman Old Style" w:hAnsi="Bookman Old Style"/>
          <w:sz w:val="24"/>
          <w:szCs w:val="24"/>
          <w:lang w:val="es-CO"/>
        </w:rPr>
        <w:t>ares</w:t>
      </w:r>
      <w:r w:rsidR="00EF3E97" w:rsidRPr="008C64D2">
        <w:rPr>
          <w:rFonts w:ascii="Bookman Old Style" w:hAnsi="Bookman Old Style"/>
          <w:sz w:val="24"/>
          <w:szCs w:val="24"/>
          <w:lang w:val="es-CO"/>
        </w:rPr>
        <w:t xml:space="preserve"> a largo plazo</w:t>
      </w:r>
      <w:r w:rsidR="008D43EC" w:rsidRPr="008C64D2">
        <w:rPr>
          <w:rFonts w:ascii="Bookman Old Style" w:hAnsi="Bookman Old Style"/>
          <w:sz w:val="24"/>
          <w:szCs w:val="24"/>
          <w:lang w:val="es-CO"/>
        </w:rPr>
        <w:t xml:space="preserve"> y declarar cuál fue el endeudamiento en dólares.</w:t>
      </w:r>
    </w:p>
    <w:p w14:paraId="6034F143" w14:textId="77777777" w:rsidR="009F41C4" w:rsidRPr="008C64D2" w:rsidRDefault="009F41C4" w:rsidP="00DD4912">
      <w:pPr>
        <w:pStyle w:val="Estilo3"/>
        <w:widowControl w:val="0"/>
        <w:tabs>
          <w:tab w:val="left" w:pos="0"/>
        </w:tabs>
        <w:ind w:left="1276"/>
        <w:jc w:val="both"/>
        <w:rPr>
          <w:szCs w:val="24"/>
        </w:rPr>
      </w:pPr>
    </w:p>
    <w:p w14:paraId="4AAD3006" w14:textId="16C2FC86" w:rsidR="00852F54" w:rsidRPr="00027FE5" w:rsidRDefault="00021D73" w:rsidP="00950D74">
      <w:pPr>
        <w:pStyle w:val="Estilo3"/>
        <w:widowControl w:val="0"/>
        <w:numPr>
          <w:ilvl w:val="8"/>
          <w:numId w:val="8"/>
        </w:numPr>
        <w:tabs>
          <w:tab w:val="left" w:pos="0"/>
        </w:tabs>
        <w:ind w:left="851" w:hanging="284"/>
        <w:jc w:val="both"/>
        <w:rPr>
          <w:rFonts w:ascii="Bookman Old Style" w:hAnsi="Bookman Old Style"/>
          <w:sz w:val="24"/>
          <w:szCs w:val="24"/>
          <w:lang w:val="es-CO"/>
        </w:rPr>
      </w:pPr>
      <w:r w:rsidRPr="00027FE5">
        <w:rPr>
          <w:rFonts w:ascii="Bookman Old Style" w:hAnsi="Bookman Old Style"/>
          <w:sz w:val="24"/>
          <w:szCs w:val="24"/>
          <w:lang w:val="es-CO"/>
        </w:rPr>
        <w:t xml:space="preserve">A la fecha de cálculo de </w:t>
      </w:r>
      <w:r w:rsidR="00B47159" w:rsidRPr="00027FE5">
        <w:rPr>
          <w:rFonts w:ascii="Bookman Old Style" w:hAnsi="Bookman Old Style"/>
          <w:sz w:val="24"/>
          <w:szCs w:val="24"/>
          <w:lang w:val="es-CO"/>
        </w:rPr>
        <w:t xml:space="preserve">la variable </w:t>
      </w:r>
      <m:oMath>
        <m:r>
          <w:rPr>
            <w:rFonts w:ascii="Cambria Math" w:hAnsi="Cambria Math"/>
            <w:color w:val="000000"/>
            <w:sz w:val="24"/>
            <w:szCs w:val="24"/>
            <w:lang w:val="es-CO"/>
          </w:rPr>
          <m:t>CUSD</m:t>
        </m:r>
      </m:oMath>
      <w:r w:rsidR="00B47159" w:rsidRPr="00027FE5">
        <w:rPr>
          <w:rFonts w:ascii="Bookman Old Style" w:hAnsi="Bookman Old Style"/>
          <w:sz w:val="24"/>
          <w:szCs w:val="24"/>
          <w:lang w:val="es-CO"/>
        </w:rPr>
        <w:t xml:space="preserve"> </w:t>
      </w:r>
      <w:r w:rsidR="0032434B" w:rsidRPr="00027FE5">
        <w:rPr>
          <w:rFonts w:ascii="Bookman Old Style" w:hAnsi="Bookman Old Style"/>
          <w:sz w:val="24"/>
          <w:szCs w:val="24"/>
          <w:lang w:val="es-CO"/>
        </w:rPr>
        <w:t>n</w:t>
      </w:r>
      <w:r w:rsidR="00852F54" w:rsidRPr="00027FE5">
        <w:rPr>
          <w:rFonts w:ascii="Bookman Old Style" w:hAnsi="Bookman Old Style"/>
          <w:sz w:val="24"/>
          <w:szCs w:val="24"/>
          <w:lang w:val="es-CO"/>
        </w:rPr>
        <w:t xml:space="preserve">o se tendrá en cuenta el valor de los activos que </w:t>
      </w:r>
      <w:r w:rsidR="00524A0B" w:rsidRPr="00027FE5">
        <w:rPr>
          <w:rFonts w:ascii="Bookman Old Style" w:hAnsi="Bookman Old Style"/>
          <w:sz w:val="24"/>
          <w:szCs w:val="24"/>
          <w:lang w:val="es-CO"/>
        </w:rPr>
        <w:t xml:space="preserve">hayan terminado </w:t>
      </w:r>
      <w:r w:rsidR="00C83C28" w:rsidRPr="00027FE5">
        <w:rPr>
          <w:rFonts w:ascii="Bookman Old Style" w:hAnsi="Bookman Old Style"/>
          <w:sz w:val="24"/>
          <w:szCs w:val="24"/>
          <w:lang w:val="es-CO"/>
        </w:rPr>
        <w:t>un</w:t>
      </w:r>
      <w:r w:rsidR="00524A0B" w:rsidRPr="00027FE5">
        <w:rPr>
          <w:rFonts w:ascii="Bookman Old Style" w:hAnsi="Bookman Old Style"/>
          <w:sz w:val="24"/>
          <w:szCs w:val="24"/>
          <w:lang w:val="es-CO"/>
        </w:rPr>
        <w:t xml:space="preserve"> periodo de vida útil normativa hasta</w:t>
      </w:r>
      <w:r w:rsidR="007C2FE3" w:rsidRPr="00027FE5">
        <w:rPr>
          <w:rFonts w:ascii="Bookman Old Style" w:hAnsi="Bookman Old Style"/>
          <w:sz w:val="24"/>
          <w:szCs w:val="24"/>
          <w:lang w:val="es-CO"/>
        </w:rPr>
        <w:t xml:space="preserve"> diciembre de 2021</w:t>
      </w:r>
      <w:r w:rsidR="0078218F" w:rsidRPr="00027FE5">
        <w:rPr>
          <w:rFonts w:ascii="Bookman Old Style" w:hAnsi="Bookman Old Style"/>
          <w:sz w:val="24"/>
          <w:szCs w:val="24"/>
          <w:lang w:val="es-CO"/>
        </w:rPr>
        <w:t>. Estos valores deberán estar expresados</w:t>
      </w:r>
      <w:r w:rsidR="00852F54" w:rsidRPr="00027FE5">
        <w:rPr>
          <w:rFonts w:ascii="Bookman Old Style" w:hAnsi="Bookman Old Style"/>
          <w:sz w:val="24"/>
          <w:szCs w:val="24"/>
          <w:lang w:val="es-CO"/>
        </w:rPr>
        <w:t xml:space="preserve"> en pesos colombianos</w:t>
      </w:r>
      <w:r w:rsidR="00F84F55" w:rsidRPr="00027FE5">
        <w:rPr>
          <w:rFonts w:ascii="Bookman Old Style" w:hAnsi="Bookman Old Style"/>
          <w:sz w:val="24"/>
          <w:szCs w:val="24"/>
          <w:lang w:val="es-CO"/>
        </w:rPr>
        <w:t>,</w:t>
      </w:r>
      <w:r w:rsidR="00852F54" w:rsidRPr="00027FE5">
        <w:rPr>
          <w:rFonts w:ascii="Bookman Old Style" w:hAnsi="Bookman Old Style"/>
          <w:sz w:val="24"/>
          <w:szCs w:val="24"/>
          <w:lang w:val="es-CO"/>
        </w:rPr>
        <w:t xml:space="preserve"> conforme a las disposiciones del artículo 6 de la presente resolución.</w:t>
      </w:r>
    </w:p>
    <w:p w14:paraId="7118332A" w14:textId="77777777" w:rsidR="00852F54" w:rsidRPr="00027FE5" w:rsidRDefault="00852F54" w:rsidP="005E0C16">
      <w:pPr>
        <w:pStyle w:val="Prrafodelista"/>
        <w:ind w:left="851" w:hanging="284"/>
        <w:rPr>
          <w:szCs w:val="24"/>
        </w:rPr>
      </w:pPr>
    </w:p>
    <w:p w14:paraId="486FBC0E" w14:textId="5B495ABA" w:rsidR="00852F54" w:rsidRPr="00027FE5" w:rsidRDefault="004D353C" w:rsidP="00950D74">
      <w:pPr>
        <w:pStyle w:val="Estilo3"/>
        <w:widowControl w:val="0"/>
        <w:numPr>
          <w:ilvl w:val="8"/>
          <w:numId w:val="8"/>
        </w:numPr>
        <w:tabs>
          <w:tab w:val="left" w:pos="0"/>
        </w:tabs>
        <w:ind w:left="851" w:hanging="284"/>
        <w:jc w:val="both"/>
        <w:rPr>
          <w:rFonts w:ascii="Bookman Old Style" w:hAnsi="Bookman Old Style"/>
          <w:sz w:val="24"/>
          <w:szCs w:val="24"/>
          <w:lang w:val="es-CO"/>
        </w:rPr>
      </w:pPr>
      <w:r w:rsidRPr="00027FE5">
        <w:rPr>
          <w:rFonts w:ascii="Bookman Old Style" w:hAnsi="Bookman Old Style"/>
          <w:sz w:val="24"/>
          <w:szCs w:val="24"/>
          <w:lang w:val="es-CO"/>
        </w:rPr>
        <w:t xml:space="preserve">A la fecha de cálculo de la variable </w:t>
      </w:r>
      <m:oMath>
        <m:r>
          <w:rPr>
            <w:rFonts w:ascii="Cambria Math" w:hAnsi="Cambria Math"/>
            <w:color w:val="000000"/>
            <w:sz w:val="24"/>
            <w:szCs w:val="24"/>
            <w:lang w:val="es-CO"/>
          </w:rPr>
          <m:t>CUSD</m:t>
        </m:r>
      </m:oMath>
      <w:r w:rsidRPr="00027FE5">
        <w:rPr>
          <w:rFonts w:ascii="Bookman Old Style" w:hAnsi="Bookman Old Style"/>
          <w:sz w:val="24"/>
          <w:szCs w:val="24"/>
          <w:lang w:val="es-CO"/>
        </w:rPr>
        <w:t xml:space="preserve"> n</w:t>
      </w:r>
      <w:r w:rsidR="00852F54" w:rsidRPr="00027FE5">
        <w:rPr>
          <w:rFonts w:ascii="Bookman Old Style" w:hAnsi="Bookman Old Style"/>
          <w:sz w:val="24"/>
          <w:szCs w:val="24"/>
          <w:lang w:val="es-CO"/>
        </w:rPr>
        <w:t>o se tendrá en cuenta el valor de los activos que no estén en operación comercial</w:t>
      </w:r>
      <w:r w:rsidR="00F2543B" w:rsidRPr="00027FE5">
        <w:rPr>
          <w:rFonts w:ascii="Bookman Old Style" w:hAnsi="Bookman Old Style"/>
          <w:sz w:val="24"/>
          <w:szCs w:val="24"/>
          <w:lang w:val="es-CO"/>
        </w:rPr>
        <w:t>. Estos valores deberán estar</w:t>
      </w:r>
      <w:r w:rsidR="00852F54" w:rsidRPr="00027FE5">
        <w:rPr>
          <w:rFonts w:ascii="Bookman Old Style" w:hAnsi="Bookman Old Style"/>
          <w:sz w:val="24"/>
          <w:szCs w:val="24"/>
          <w:lang w:val="es-CO"/>
        </w:rPr>
        <w:t xml:space="preserve"> </w:t>
      </w:r>
      <w:r w:rsidR="006A1239" w:rsidRPr="00027FE5">
        <w:rPr>
          <w:rFonts w:ascii="Bookman Old Style" w:hAnsi="Bookman Old Style"/>
          <w:sz w:val="24"/>
          <w:szCs w:val="24"/>
          <w:lang w:val="es-CO"/>
        </w:rPr>
        <w:t xml:space="preserve">expresados </w:t>
      </w:r>
      <w:r w:rsidR="00852F54" w:rsidRPr="00027FE5">
        <w:rPr>
          <w:rFonts w:ascii="Bookman Old Style" w:hAnsi="Bookman Old Style"/>
          <w:sz w:val="24"/>
          <w:szCs w:val="24"/>
          <w:lang w:val="es-CO"/>
        </w:rPr>
        <w:t>en pesos colombianos conforme a las disposiciones del artículo 6 de la presente resolución</w:t>
      </w:r>
      <w:r w:rsidR="008A0C6F" w:rsidRPr="00027FE5">
        <w:rPr>
          <w:rFonts w:ascii="Bookman Old Style" w:hAnsi="Bookman Old Style"/>
          <w:sz w:val="24"/>
          <w:szCs w:val="24"/>
          <w:lang w:val="es-CO"/>
        </w:rPr>
        <w:t>, y teniendo en cuenta la información que las empresas declarar</w:t>
      </w:r>
      <w:r w:rsidR="008112C7" w:rsidRPr="00027FE5">
        <w:rPr>
          <w:rFonts w:ascii="Bookman Old Style" w:hAnsi="Bookman Old Style"/>
          <w:sz w:val="24"/>
          <w:szCs w:val="24"/>
          <w:lang w:val="es-CO"/>
        </w:rPr>
        <w:t>on de activos que no están en operación comercial</w:t>
      </w:r>
      <w:r w:rsidR="00112782" w:rsidRPr="00027FE5">
        <w:rPr>
          <w:rFonts w:ascii="Bookman Old Style" w:hAnsi="Bookman Old Style"/>
          <w:sz w:val="24"/>
          <w:szCs w:val="24"/>
          <w:lang w:val="es-CO"/>
        </w:rPr>
        <w:t>.</w:t>
      </w:r>
    </w:p>
    <w:p w14:paraId="018E5136" w14:textId="77777777" w:rsidR="00852F54" w:rsidRPr="00027FE5" w:rsidRDefault="00852F54" w:rsidP="005E0C16">
      <w:pPr>
        <w:pStyle w:val="Prrafodelista"/>
        <w:ind w:left="851" w:hanging="284"/>
        <w:rPr>
          <w:szCs w:val="24"/>
        </w:rPr>
      </w:pPr>
    </w:p>
    <w:p w14:paraId="4BCE3C37" w14:textId="7418FC22" w:rsidR="00852F54" w:rsidRPr="00027FE5" w:rsidRDefault="00852F54" w:rsidP="00950D74">
      <w:pPr>
        <w:pStyle w:val="Estilo3"/>
        <w:widowControl w:val="0"/>
        <w:numPr>
          <w:ilvl w:val="8"/>
          <w:numId w:val="8"/>
        </w:numPr>
        <w:tabs>
          <w:tab w:val="left" w:pos="0"/>
        </w:tabs>
        <w:ind w:left="851" w:hanging="284"/>
        <w:jc w:val="both"/>
        <w:rPr>
          <w:rFonts w:ascii="Bookman Old Style" w:hAnsi="Bookman Old Style"/>
          <w:sz w:val="24"/>
          <w:szCs w:val="24"/>
          <w:lang w:val="es-CO"/>
        </w:rPr>
      </w:pPr>
      <w:r w:rsidRPr="00027FE5">
        <w:rPr>
          <w:rFonts w:ascii="Bookman Old Style" w:hAnsi="Bookman Old Style"/>
          <w:sz w:val="24"/>
          <w:szCs w:val="24"/>
          <w:lang w:val="es-CO"/>
        </w:rPr>
        <w:lastRenderedPageBreak/>
        <w:t xml:space="preserve">Porcentaje de la deuda </w:t>
      </w:r>
      <m:oMath>
        <m:r>
          <w:rPr>
            <w:rFonts w:ascii="Cambria Math" w:hAnsi="Cambria Math"/>
            <w:sz w:val="24"/>
            <w:szCs w:val="24"/>
            <w:lang w:val="es-CO"/>
          </w:rPr>
          <m:t>Wd</m:t>
        </m:r>
      </m:oMath>
      <w:r w:rsidR="00A106FA" w:rsidRPr="00027FE5">
        <w:rPr>
          <w:rFonts w:ascii="Bookman Old Style" w:hAnsi="Bookman Old Style"/>
          <w:sz w:val="24"/>
          <w:szCs w:val="24"/>
          <w:lang w:val="es-CO"/>
        </w:rPr>
        <w:t xml:space="preserve"> = 40%</w:t>
      </w:r>
    </w:p>
    <w:p w14:paraId="41E8DB47" w14:textId="77777777" w:rsidR="00852F54" w:rsidRPr="00027FE5" w:rsidRDefault="00852F54" w:rsidP="005E0C16">
      <w:pPr>
        <w:pStyle w:val="Estilo3"/>
        <w:widowControl w:val="0"/>
        <w:tabs>
          <w:tab w:val="left" w:pos="0"/>
        </w:tabs>
        <w:ind w:left="851" w:hanging="284"/>
        <w:rPr>
          <w:rFonts w:ascii="Bookman Old Style" w:hAnsi="Bookman Old Style"/>
          <w:sz w:val="24"/>
          <w:szCs w:val="24"/>
          <w:lang w:val="es-CO"/>
        </w:rPr>
      </w:pPr>
    </w:p>
    <w:p w14:paraId="68CC06FF" w14:textId="5BF7B2C7" w:rsidR="005B750E" w:rsidRPr="00027FE5" w:rsidRDefault="00AD7F0E" w:rsidP="00517B85">
      <w:pPr>
        <w:pStyle w:val="Estilo3"/>
        <w:widowControl w:val="0"/>
        <w:numPr>
          <w:ilvl w:val="8"/>
          <w:numId w:val="8"/>
        </w:numPr>
        <w:tabs>
          <w:tab w:val="left" w:pos="0"/>
        </w:tabs>
        <w:ind w:left="851" w:hanging="284"/>
        <w:jc w:val="both"/>
        <w:rPr>
          <w:szCs w:val="24"/>
        </w:rPr>
      </w:pPr>
      <w:r w:rsidRPr="00027FE5">
        <w:rPr>
          <w:rFonts w:ascii="Bookman Old Style" w:hAnsi="Bookman Old Style"/>
          <w:sz w:val="24"/>
          <w:szCs w:val="24"/>
          <w:lang w:val="es-CO"/>
        </w:rPr>
        <w:t xml:space="preserve">Estimación de las expectativas de </w:t>
      </w:r>
      <w:r w:rsidR="00FE420E" w:rsidRPr="00027FE5">
        <w:rPr>
          <w:rFonts w:ascii="Bookman Old Style" w:hAnsi="Bookman Old Style"/>
          <w:sz w:val="24"/>
          <w:szCs w:val="24"/>
          <w:lang w:val="es-CO"/>
        </w:rPr>
        <w:t xml:space="preserve">devaluación, </w:t>
      </w:r>
      <w:r w:rsidR="00D45794" w:rsidRPr="00027FE5">
        <w:rPr>
          <w:rFonts w:ascii="Bookman Old Style" w:hAnsi="Bookman Old Style"/>
          <w:sz w:val="24"/>
          <w:szCs w:val="24"/>
          <w:lang w:val="es-CO"/>
        </w:rPr>
        <w:t>de acuerdo</w:t>
      </w:r>
      <w:r w:rsidR="00852F54" w:rsidRPr="00027FE5">
        <w:rPr>
          <w:rFonts w:ascii="Bookman Old Style" w:hAnsi="Bookman Old Style"/>
          <w:sz w:val="24"/>
          <w:szCs w:val="24"/>
          <w:lang w:val="es-CO"/>
        </w:rPr>
        <w:t xml:space="preserve"> con la metodología contenida en la Resolución CREG 004 de 2021 o aquella que la modifique o sustituya</w:t>
      </w:r>
      <w:r w:rsidR="00B47E79" w:rsidRPr="00027FE5">
        <w:rPr>
          <w:rFonts w:ascii="Bookman Old Style" w:hAnsi="Bookman Old Style"/>
          <w:sz w:val="24"/>
          <w:szCs w:val="24"/>
          <w:lang w:val="es-CO"/>
        </w:rPr>
        <w:t>, para el cálculo de esa variabl</w:t>
      </w:r>
      <w:r w:rsidR="00087FBF" w:rsidRPr="00027FE5">
        <w:rPr>
          <w:rFonts w:ascii="Bookman Old Style" w:hAnsi="Bookman Old Style"/>
          <w:sz w:val="24"/>
          <w:szCs w:val="24"/>
          <w:lang w:val="es-CO"/>
        </w:rPr>
        <w:t xml:space="preserve">e. </w:t>
      </w:r>
    </w:p>
    <w:p w14:paraId="5AE26B62" w14:textId="77777777" w:rsidR="00BE24EE" w:rsidRPr="00027FE5" w:rsidRDefault="00BE24EE" w:rsidP="00947662">
      <w:pPr>
        <w:pStyle w:val="Estilo3"/>
        <w:ind w:left="851" w:hanging="284"/>
        <w:rPr>
          <w:szCs w:val="24"/>
        </w:rPr>
      </w:pPr>
    </w:p>
    <w:p w14:paraId="39AC48FE" w14:textId="0E04BB42" w:rsidR="00BE24EE" w:rsidRPr="00271C38" w:rsidRDefault="00BE24EE" w:rsidP="00950D74">
      <w:pPr>
        <w:pStyle w:val="Estilo3"/>
        <w:widowControl w:val="0"/>
        <w:numPr>
          <w:ilvl w:val="8"/>
          <w:numId w:val="8"/>
        </w:numPr>
        <w:tabs>
          <w:tab w:val="left" w:pos="0"/>
        </w:tabs>
        <w:ind w:left="851" w:hanging="284"/>
        <w:jc w:val="both"/>
        <w:rPr>
          <w:rFonts w:ascii="Bookman Old Style" w:hAnsi="Bookman Old Style"/>
          <w:sz w:val="24"/>
          <w:szCs w:val="24"/>
          <w:lang w:val="es-CO"/>
        </w:rPr>
      </w:pPr>
      <w:r w:rsidRPr="00027FE5">
        <w:rPr>
          <w:rFonts w:ascii="Bookman Old Style" w:hAnsi="Bookman Old Style"/>
          <w:sz w:val="24"/>
          <w:szCs w:val="24"/>
          <w:lang w:val="es-CO"/>
        </w:rPr>
        <w:t>Si</w:t>
      </w:r>
      <w:r w:rsidR="006C681C" w:rsidRPr="00027FE5">
        <w:rPr>
          <w:rFonts w:ascii="Bookman Old Style" w:hAnsi="Bookman Old Style"/>
          <w:sz w:val="24"/>
          <w:szCs w:val="24"/>
          <w:lang w:val="es-CO"/>
        </w:rPr>
        <w:t xml:space="preserve"> el valor de</w:t>
      </w:r>
      <w:r w:rsidRPr="00027FE5">
        <w:rPr>
          <w:rFonts w:ascii="Bookman Old Style" w:hAnsi="Bookman Old Style"/>
          <w:sz w:val="24"/>
          <w:szCs w:val="24"/>
          <w:lang w:val="es-CO"/>
        </w:rPr>
        <w:t xml:space="preserve"> </w:t>
      </w:r>
      <m:oMath>
        <m:r>
          <w:rPr>
            <w:rFonts w:ascii="Cambria Math" w:hAnsi="Cambria Math"/>
            <w:sz w:val="24"/>
            <w:szCs w:val="24"/>
            <w:lang w:val="es-CO"/>
          </w:rPr>
          <m:t>[</m:t>
        </m:r>
        <m:d>
          <m:dPr>
            <m:ctrlPr>
              <w:rPr>
                <w:rFonts w:ascii="Cambria Math" w:hAnsi="Cambria Math" w:cs="Arial"/>
                <w:bCs/>
                <w:i/>
                <w:color w:val="000000"/>
                <w:sz w:val="24"/>
                <w:szCs w:val="24"/>
              </w:rPr>
            </m:ctrlPr>
          </m:dPr>
          <m:e>
            <m:r>
              <w:rPr>
                <w:rFonts w:ascii="Cambria Math" w:hAnsi="Cambria Math" w:cs="Arial"/>
                <w:color w:val="000000"/>
                <w:sz w:val="24"/>
                <w:szCs w:val="24"/>
              </w:rPr>
              <m:t>VA+IFPNI-NVA-INO</m:t>
            </m:r>
          </m:e>
        </m:d>
        <m:r>
          <w:rPr>
            <w:rFonts w:ascii="Cambria Math" w:hAnsi="Cambria Math" w:cs="Arial"/>
            <w:color w:val="000000"/>
            <w:sz w:val="24"/>
            <w:szCs w:val="24"/>
          </w:rPr>
          <m:t>×Wd]</m:t>
        </m:r>
      </m:oMath>
      <w:r w:rsidR="0064325A" w:rsidRPr="00027FE5">
        <w:rPr>
          <w:rFonts w:ascii="Bookman Old Style" w:hAnsi="Bookman Old Style"/>
          <w:color w:val="000000"/>
          <w:sz w:val="24"/>
          <w:szCs w:val="24"/>
        </w:rPr>
        <w:t xml:space="preserve"> es mayor al valor de la deuda en dólares</w:t>
      </w:r>
      <w:r w:rsidR="00C5435A" w:rsidRPr="00027FE5">
        <w:rPr>
          <w:rFonts w:ascii="Bookman Old Style" w:hAnsi="Bookman Old Style"/>
          <w:color w:val="000000"/>
          <w:sz w:val="24"/>
          <w:szCs w:val="24"/>
        </w:rPr>
        <w:t xml:space="preserve"> a largo plazo</w:t>
      </w:r>
      <w:r w:rsidR="0064325A" w:rsidRPr="00517B85">
        <w:rPr>
          <w:rFonts w:ascii="Bookman Old Style" w:hAnsi="Bookman Old Style"/>
          <w:color w:val="FF0000"/>
          <w:sz w:val="24"/>
          <w:szCs w:val="24"/>
        </w:rPr>
        <w:t xml:space="preserve"> </w:t>
      </w:r>
      <w:r w:rsidR="0064325A" w:rsidRPr="00027FE5">
        <w:rPr>
          <w:rFonts w:ascii="Bookman Old Style" w:hAnsi="Bookman Old Style"/>
          <w:color w:val="000000"/>
          <w:sz w:val="24"/>
          <w:szCs w:val="24"/>
        </w:rPr>
        <w:t>de la empresa</w:t>
      </w:r>
      <w:r w:rsidR="006113EE" w:rsidRPr="00027FE5">
        <w:rPr>
          <w:rFonts w:ascii="Bookman Old Style" w:hAnsi="Bookman Old Style"/>
          <w:color w:val="000000"/>
          <w:sz w:val="24"/>
          <w:szCs w:val="24"/>
        </w:rPr>
        <w:t xml:space="preserve"> </w:t>
      </w:r>
      <w:r w:rsidR="00B44F7F" w:rsidRPr="00814CAF">
        <w:rPr>
          <w:rFonts w:ascii="Bookman Old Style" w:hAnsi="Bookman Old Style"/>
          <w:color w:val="000000"/>
          <w:sz w:val="24"/>
          <w:szCs w:val="24"/>
        </w:rPr>
        <w:t xml:space="preserve">adquirida </w:t>
      </w:r>
      <w:r w:rsidR="006113EE" w:rsidRPr="00027FE5">
        <w:rPr>
          <w:rFonts w:ascii="Bookman Old Style" w:hAnsi="Bookman Old Style"/>
          <w:color w:val="000000"/>
          <w:sz w:val="24"/>
          <w:szCs w:val="24"/>
        </w:rPr>
        <w:t>para</w:t>
      </w:r>
      <w:r w:rsidR="006113EE" w:rsidRPr="00814CAF">
        <w:rPr>
          <w:rFonts w:ascii="Bookman Old Style" w:hAnsi="Bookman Old Style"/>
          <w:color w:val="000000"/>
          <w:sz w:val="24"/>
          <w:szCs w:val="24"/>
        </w:rPr>
        <w:t xml:space="preserve"> </w:t>
      </w:r>
      <w:r w:rsidR="00B44F7F" w:rsidRPr="00814CAF">
        <w:rPr>
          <w:rFonts w:ascii="Bookman Old Style" w:hAnsi="Bookman Old Style"/>
          <w:color w:val="000000"/>
          <w:sz w:val="24"/>
          <w:szCs w:val="24"/>
        </w:rPr>
        <w:t>desarrollar</w:t>
      </w:r>
      <w:r w:rsidR="006113EE" w:rsidRPr="00027FE5">
        <w:rPr>
          <w:rFonts w:ascii="Bookman Old Style" w:hAnsi="Bookman Old Style"/>
          <w:color w:val="000000"/>
          <w:sz w:val="24"/>
          <w:szCs w:val="24"/>
        </w:rPr>
        <w:t xml:space="preserve"> </w:t>
      </w:r>
      <w:r w:rsidR="00AD49B8" w:rsidRPr="00027FE5">
        <w:rPr>
          <w:rFonts w:ascii="Bookman Old Style" w:hAnsi="Bookman Old Style"/>
          <w:color w:val="000000"/>
          <w:sz w:val="24"/>
          <w:szCs w:val="24"/>
        </w:rPr>
        <w:t>la infraestructura de transporte de gas natural</w:t>
      </w:r>
      <w:r w:rsidR="00F07D67" w:rsidRPr="00814CAF">
        <w:rPr>
          <w:rFonts w:ascii="Bookman Old Style" w:hAnsi="Bookman Old Style"/>
          <w:color w:val="000000"/>
          <w:sz w:val="24"/>
          <w:szCs w:val="24"/>
        </w:rPr>
        <w:t>,</w:t>
      </w:r>
      <w:r w:rsidR="004B1810" w:rsidRPr="00027FE5">
        <w:rPr>
          <w:rFonts w:ascii="Bookman Old Style" w:hAnsi="Bookman Old Style"/>
          <w:color w:val="000000"/>
          <w:sz w:val="24"/>
          <w:szCs w:val="24"/>
        </w:rPr>
        <w:t xml:space="preserve"> la estimación de la variable </w:t>
      </w:r>
      <m:oMath>
        <m:r>
          <w:rPr>
            <w:rFonts w:ascii="Cambria Math" w:hAnsi="Cambria Math"/>
            <w:color w:val="000000"/>
            <w:sz w:val="24"/>
            <w:szCs w:val="24"/>
            <w:lang w:val="es-CO"/>
          </w:rPr>
          <m:t>CUSD</m:t>
        </m:r>
      </m:oMath>
      <w:r w:rsidR="00A34C8B" w:rsidRPr="00027FE5">
        <w:rPr>
          <w:rFonts w:ascii="Bookman Old Style" w:hAnsi="Bookman Old Style"/>
          <w:color w:val="000000"/>
          <w:sz w:val="24"/>
          <w:szCs w:val="24"/>
          <w:lang w:val="es-CO"/>
        </w:rPr>
        <w:t xml:space="preserve"> se hará con el valor de la deuda en dólares de los Estados</w:t>
      </w:r>
      <w:r w:rsidR="005B7A1B" w:rsidRPr="00027FE5">
        <w:rPr>
          <w:rFonts w:ascii="Bookman Old Style" w:hAnsi="Bookman Old Style"/>
          <w:color w:val="000000"/>
          <w:sz w:val="24"/>
          <w:szCs w:val="24"/>
          <w:lang w:val="es-CO"/>
        </w:rPr>
        <w:t xml:space="preserve"> </w:t>
      </w:r>
      <w:r w:rsidR="00953D39" w:rsidRPr="00027FE5">
        <w:rPr>
          <w:rFonts w:ascii="Bookman Old Style" w:hAnsi="Bookman Old Style"/>
          <w:color w:val="000000"/>
          <w:sz w:val="24"/>
          <w:szCs w:val="24"/>
          <w:lang w:val="es-CO"/>
        </w:rPr>
        <w:t xml:space="preserve">Unidos </w:t>
      </w:r>
      <w:r w:rsidR="003F1EB9" w:rsidRPr="00814CAF">
        <w:rPr>
          <w:rFonts w:ascii="Bookman Old Style" w:hAnsi="Bookman Old Style"/>
          <w:color w:val="000000"/>
          <w:sz w:val="24"/>
          <w:szCs w:val="24"/>
          <w:lang w:val="es-CO"/>
        </w:rPr>
        <w:t xml:space="preserve">expresada </w:t>
      </w:r>
      <w:r w:rsidR="00953D39" w:rsidRPr="00027FE5">
        <w:rPr>
          <w:rFonts w:ascii="Bookman Old Style" w:hAnsi="Bookman Old Style"/>
          <w:color w:val="000000"/>
          <w:sz w:val="24"/>
          <w:szCs w:val="24"/>
          <w:lang w:val="es-CO"/>
        </w:rPr>
        <w:t xml:space="preserve">en pesos </w:t>
      </w:r>
      <w:r w:rsidR="006D412B">
        <w:rPr>
          <w:rFonts w:ascii="Bookman Old Style" w:hAnsi="Bookman Old Style"/>
          <w:color w:val="000000"/>
          <w:sz w:val="24"/>
          <w:szCs w:val="24"/>
          <w:lang w:val="es-CO"/>
        </w:rPr>
        <w:t>c</w:t>
      </w:r>
      <w:r w:rsidR="00953D39" w:rsidRPr="00027FE5">
        <w:rPr>
          <w:rFonts w:ascii="Bookman Old Style" w:hAnsi="Bookman Old Style"/>
          <w:color w:val="000000"/>
          <w:sz w:val="24"/>
          <w:szCs w:val="24"/>
          <w:lang w:val="es-CO"/>
        </w:rPr>
        <w:t xml:space="preserve">olombianos, </w:t>
      </w:r>
      <w:r w:rsidR="006E5458" w:rsidRPr="00027FE5">
        <w:rPr>
          <w:rFonts w:ascii="Bookman Old Style" w:hAnsi="Bookman Old Style"/>
          <w:color w:val="000000"/>
          <w:sz w:val="24"/>
          <w:szCs w:val="24"/>
          <w:lang w:val="es-CO"/>
        </w:rPr>
        <w:t xml:space="preserve">considerando </w:t>
      </w:r>
      <w:r w:rsidR="00953D39" w:rsidRPr="00027FE5">
        <w:rPr>
          <w:rFonts w:ascii="Bookman Old Style" w:hAnsi="Bookman Old Style"/>
          <w:color w:val="000000"/>
          <w:sz w:val="24"/>
          <w:szCs w:val="24"/>
          <w:lang w:val="es-CO"/>
        </w:rPr>
        <w:t>el</w:t>
      </w:r>
      <w:r w:rsidR="006E5458" w:rsidRPr="00027FE5">
        <w:rPr>
          <w:rFonts w:ascii="Bookman Old Style" w:hAnsi="Bookman Old Style"/>
          <w:color w:val="000000"/>
          <w:sz w:val="24"/>
          <w:szCs w:val="24"/>
          <w:lang w:val="es-CO"/>
        </w:rPr>
        <w:t xml:space="preserve"> valor de </w:t>
      </w:r>
      <w:r w:rsidR="005B7A1B" w:rsidRPr="00027FE5">
        <w:rPr>
          <w:rFonts w:ascii="Bookman Old Style" w:hAnsi="Bookman Old Style"/>
          <w:color w:val="000000"/>
          <w:sz w:val="24"/>
          <w:szCs w:val="24"/>
          <w:lang w:val="es-CO"/>
        </w:rPr>
        <w:t xml:space="preserve">la </w:t>
      </w:r>
      <w:proofErr w:type="spellStart"/>
      <w:r w:rsidR="005B7A1B" w:rsidRPr="00027FE5">
        <w:rPr>
          <w:rFonts w:ascii="Bookman Old Style" w:hAnsi="Bookman Old Style"/>
          <w:color w:val="000000"/>
          <w:sz w:val="24"/>
          <w:szCs w:val="24"/>
          <w:lang w:val="es-CO"/>
        </w:rPr>
        <w:t>TRM</w:t>
      </w:r>
      <w:proofErr w:type="spellEnd"/>
      <w:r w:rsidR="005B7A1B" w:rsidRPr="00027FE5">
        <w:rPr>
          <w:rFonts w:ascii="Bookman Old Style" w:hAnsi="Bookman Old Style"/>
          <w:color w:val="000000"/>
          <w:sz w:val="24"/>
          <w:szCs w:val="24"/>
          <w:lang w:val="es-CO"/>
        </w:rPr>
        <w:t xml:space="preserve"> de</w:t>
      </w:r>
      <w:r w:rsidR="00953D39" w:rsidRPr="00027FE5">
        <w:rPr>
          <w:rFonts w:ascii="Bookman Old Style" w:hAnsi="Bookman Old Style"/>
          <w:color w:val="000000"/>
          <w:sz w:val="24"/>
          <w:szCs w:val="24"/>
          <w:lang w:val="es-CO"/>
        </w:rPr>
        <w:t>l</w:t>
      </w:r>
      <w:r w:rsidR="006E5458" w:rsidRPr="00027FE5">
        <w:rPr>
          <w:rFonts w:ascii="Bookman Old Style" w:hAnsi="Bookman Old Style"/>
          <w:color w:val="000000"/>
          <w:sz w:val="24"/>
          <w:szCs w:val="24"/>
          <w:lang w:val="es-CO"/>
        </w:rPr>
        <w:t xml:space="preserve"> 31 de diciembre de 2021.</w:t>
      </w:r>
      <w:r w:rsidR="0062506C" w:rsidRPr="00517B85">
        <w:rPr>
          <w:rFonts w:ascii="Bookman Old Style" w:hAnsi="Bookman Old Style"/>
          <w:color w:val="000000"/>
          <w:sz w:val="24"/>
          <w:szCs w:val="24"/>
          <w:lang w:val="es-CO"/>
        </w:rPr>
        <w:t xml:space="preserve"> El valor de la deuda en dólares deberá estar registrado </w:t>
      </w:r>
      <w:r w:rsidR="00D07179" w:rsidRPr="00517B85">
        <w:rPr>
          <w:rFonts w:ascii="Bookman Old Style" w:hAnsi="Bookman Old Style"/>
          <w:color w:val="000000"/>
          <w:sz w:val="24"/>
          <w:szCs w:val="24"/>
          <w:lang w:val="es-CO"/>
        </w:rPr>
        <w:t xml:space="preserve">en </w:t>
      </w:r>
      <w:r w:rsidR="00210272" w:rsidRPr="00517B85">
        <w:rPr>
          <w:rFonts w:ascii="Bookman Old Style" w:hAnsi="Bookman Old Style"/>
          <w:color w:val="000000"/>
          <w:sz w:val="24"/>
          <w:szCs w:val="24"/>
          <w:lang w:val="es-CO"/>
        </w:rPr>
        <w:t>los estados financieros de la empresa.</w:t>
      </w:r>
    </w:p>
    <w:p w14:paraId="500571D6" w14:textId="77777777" w:rsidR="00146D75" w:rsidRDefault="00146D75" w:rsidP="00517B85">
      <w:pPr>
        <w:pStyle w:val="Prrafodelista"/>
        <w:rPr>
          <w:szCs w:val="24"/>
        </w:rPr>
      </w:pPr>
    </w:p>
    <w:p w14:paraId="17D7E1FD" w14:textId="33056AEE" w:rsidR="00146D75" w:rsidRDefault="00146D75" w:rsidP="00146D75">
      <w:pPr>
        <w:pStyle w:val="Estilo3"/>
        <w:widowControl w:val="0"/>
        <w:tabs>
          <w:tab w:val="left" w:pos="0"/>
        </w:tabs>
        <w:ind w:left="851"/>
        <w:jc w:val="both"/>
        <w:rPr>
          <w:rFonts w:ascii="Bookman Old Style" w:hAnsi="Bookman Old Style"/>
          <w:sz w:val="24"/>
          <w:szCs w:val="24"/>
          <w:lang w:val="es-CO"/>
        </w:rPr>
      </w:pPr>
      <w:r>
        <w:rPr>
          <w:rFonts w:ascii="Bookman Old Style" w:hAnsi="Bookman Old Style"/>
          <w:sz w:val="24"/>
          <w:szCs w:val="24"/>
          <w:lang w:val="es-CO"/>
        </w:rPr>
        <w:t>Donde:</w:t>
      </w:r>
    </w:p>
    <w:p w14:paraId="1AAAA089" w14:textId="77777777" w:rsidR="00146D75" w:rsidRDefault="00146D75" w:rsidP="00146D75">
      <w:pPr>
        <w:pStyle w:val="Estilo3"/>
        <w:widowControl w:val="0"/>
        <w:tabs>
          <w:tab w:val="left" w:pos="0"/>
        </w:tabs>
        <w:ind w:left="851"/>
        <w:jc w:val="both"/>
        <w:rPr>
          <w:rFonts w:ascii="Bookman Old Style" w:hAnsi="Bookman Old Style"/>
          <w:sz w:val="24"/>
          <w:szCs w:val="24"/>
          <w:lang w:val="es-CO"/>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940"/>
      </w:tblGrid>
      <w:tr w:rsidR="00146D75" w14:paraId="5206FB86" w14:textId="77777777" w:rsidTr="00814CAF">
        <w:tc>
          <w:tcPr>
            <w:tcW w:w="1271" w:type="dxa"/>
          </w:tcPr>
          <w:p w14:paraId="4587483A" w14:textId="1ABC5C90" w:rsidR="00146D75" w:rsidRDefault="00A02A91" w:rsidP="00146D75">
            <w:pPr>
              <w:pStyle w:val="Estilo3"/>
              <w:widowControl w:val="0"/>
              <w:tabs>
                <w:tab w:val="left" w:pos="0"/>
              </w:tabs>
              <w:jc w:val="both"/>
              <w:rPr>
                <w:rFonts w:ascii="Bookman Old Style" w:hAnsi="Bookman Old Style"/>
                <w:sz w:val="24"/>
                <w:szCs w:val="24"/>
                <w:lang w:val="es-CO"/>
              </w:rPr>
            </w:pPr>
            <m:oMath>
              <m:r>
                <w:rPr>
                  <w:rFonts w:ascii="Cambria Math" w:hAnsi="Cambria Math"/>
                  <w:sz w:val="24"/>
                  <w:szCs w:val="24"/>
                  <w:lang w:val="es-CO"/>
                </w:rPr>
                <m:t>VA</m:t>
              </m:r>
            </m:oMath>
            <w:r>
              <w:rPr>
                <w:rFonts w:ascii="Bookman Old Style" w:hAnsi="Bookman Old Style"/>
                <w:sz w:val="24"/>
                <w:szCs w:val="24"/>
                <w:lang w:val="es-CO"/>
              </w:rPr>
              <w:t>:</w:t>
            </w:r>
          </w:p>
        </w:tc>
        <w:tc>
          <w:tcPr>
            <w:tcW w:w="6940" w:type="dxa"/>
          </w:tcPr>
          <w:p w14:paraId="71EAA69E" w14:textId="41035777" w:rsidR="00146D75" w:rsidRDefault="008D1014" w:rsidP="00146D75">
            <w:pPr>
              <w:pStyle w:val="Estilo3"/>
              <w:widowControl w:val="0"/>
              <w:tabs>
                <w:tab w:val="left" w:pos="0"/>
              </w:tabs>
              <w:jc w:val="both"/>
              <w:rPr>
                <w:rFonts w:ascii="Bookman Old Style" w:hAnsi="Bookman Old Style"/>
                <w:sz w:val="24"/>
                <w:szCs w:val="24"/>
                <w:lang w:val="es-CO"/>
              </w:rPr>
            </w:pPr>
            <w:r>
              <w:rPr>
                <w:rFonts w:ascii="Bookman Old Style" w:hAnsi="Bookman Old Style"/>
                <w:sz w:val="24"/>
                <w:szCs w:val="24"/>
                <w:lang w:val="es-CO"/>
              </w:rPr>
              <w:t>Valor de los activos en la base tarifaria a diciembre de 2021</w:t>
            </w:r>
            <w:r w:rsidR="00751A55">
              <w:rPr>
                <w:rFonts w:ascii="Bookman Old Style" w:hAnsi="Bookman Old Style"/>
                <w:sz w:val="24"/>
                <w:szCs w:val="24"/>
                <w:lang w:val="es-CO"/>
              </w:rPr>
              <w:t>, conforme a las disposiciones del artículo 6 de la presente resolución.</w:t>
            </w:r>
          </w:p>
        </w:tc>
      </w:tr>
      <w:tr w:rsidR="00146D75" w14:paraId="560EF956" w14:textId="77777777" w:rsidTr="00814CAF">
        <w:tc>
          <w:tcPr>
            <w:tcW w:w="1271" w:type="dxa"/>
          </w:tcPr>
          <w:p w14:paraId="70EC34E5" w14:textId="4CFE0BE6" w:rsidR="00146D75" w:rsidRDefault="00534164" w:rsidP="00146D75">
            <w:pPr>
              <w:pStyle w:val="Estilo3"/>
              <w:widowControl w:val="0"/>
              <w:tabs>
                <w:tab w:val="left" w:pos="0"/>
              </w:tabs>
              <w:jc w:val="both"/>
              <w:rPr>
                <w:rFonts w:ascii="Bookman Old Style" w:hAnsi="Bookman Old Style"/>
                <w:sz w:val="24"/>
                <w:szCs w:val="24"/>
                <w:lang w:val="es-CO"/>
              </w:rPr>
            </w:pPr>
            <m:oMath>
              <m:r>
                <w:rPr>
                  <w:rFonts w:ascii="Cambria Math" w:hAnsi="Cambria Math"/>
                  <w:sz w:val="24"/>
                  <w:szCs w:val="24"/>
                  <w:lang w:val="es-CO"/>
                </w:rPr>
                <m:t>IFPNI</m:t>
              </m:r>
            </m:oMath>
            <w:r w:rsidR="00A02A91">
              <w:rPr>
                <w:rFonts w:ascii="Bookman Old Style" w:hAnsi="Bookman Old Style"/>
                <w:sz w:val="24"/>
                <w:szCs w:val="24"/>
                <w:lang w:val="es-CO"/>
              </w:rPr>
              <w:t>:</w:t>
            </w:r>
          </w:p>
        </w:tc>
        <w:tc>
          <w:tcPr>
            <w:tcW w:w="6940" w:type="dxa"/>
          </w:tcPr>
          <w:p w14:paraId="30B620A4" w14:textId="75E8F2CF" w:rsidR="00146D75" w:rsidRDefault="00090E64" w:rsidP="00146D75">
            <w:pPr>
              <w:pStyle w:val="Estilo3"/>
              <w:widowControl w:val="0"/>
              <w:tabs>
                <w:tab w:val="left" w:pos="0"/>
              </w:tabs>
              <w:jc w:val="both"/>
              <w:rPr>
                <w:rFonts w:ascii="Bookman Old Style" w:hAnsi="Bookman Old Style"/>
                <w:sz w:val="24"/>
                <w:szCs w:val="24"/>
                <w:lang w:val="es-CO"/>
              </w:rPr>
            </w:pPr>
            <w:r>
              <w:rPr>
                <w:rFonts w:ascii="Bookman Old Style" w:hAnsi="Bookman Old Style"/>
                <w:sz w:val="24"/>
                <w:szCs w:val="24"/>
                <w:lang w:val="es-CO"/>
              </w:rPr>
              <w:t xml:space="preserve">Valores </w:t>
            </w:r>
            <w:r w:rsidR="00446821">
              <w:rPr>
                <w:rFonts w:ascii="Bookman Old Style" w:hAnsi="Bookman Old Style"/>
                <w:sz w:val="24"/>
                <w:szCs w:val="24"/>
                <w:lang w:val="es-CO"/>
              </w:rPr>
              <w:t xml:space="preserve">de las inversiones </w:t>
            </w:r>
            <w:r w:rsidR="00904371">
              <w:rPr>
                <w:rFonts w:ascii="Bookman Old Style" w:hAnsi="Bookman Old Style"/>
                <w:sz w:val="24"/>
                <w:szCs w:val="24"/>
                <w:lang w:val="es-CO"/>
              </w:rPr>
              <w:t>conforme a</w:t>
            </w:r>
            <w:r w:rsidR="00751A55">
              <w:rPr>
                <w:rFonts w:ascii="Bookman Old Style" w:hAnsi="Bookman Old Style"/>
                <w:sz w:val="24"/>
                <w:szCs w:val="24"/>
                <w:lang w:val="es-CO"/>
              </w:rPr>
              <w:t>l artículo 12 de la presente resolución.</w:t>
            </w:r>
          </w:p>
        </w:tc>
      </w:tr>
      <w:tr w:rsidR="00146D75" w14:paraId="66412059" w14:textId="77777777" w:rsidTr="00814CAF">
        <w:tc>
          <w:tcPr>
            <w:tcW w:w="1271" w:type="dxa"/>
          </w:tcPr>
          <w:p w14:paraId="17803634" w14:textId="5630B884" w:rsidR="00146D75" w:rsidRDefault="00534164" w:rsidP="00146D75">
            <w:pPr>
              <w:pStyle w:val="Estilo3"/>
              <w:widowControl w:val="0"/>
              <w:tabs>
                <w:tab w:val="left" w:pos="0"/>
              </w:tabs>
              <w:jc w:val="both"/>
              <w:rPr>
                <w:rFonts w:ascii="Bookman Old Style" w:hAnsi="Bookman Old Style"/>
                <w:sz w:val="24"/>
                <w:szCs w:val="24"/>
                <w:lang w:val="es-CO"/>
              </w:rPr>
            </w:pPr>
            <m:oMath>
              <m:r>
                <w:rPr>
                  <w:rFonts w:ascii="Cambria Math" w:hAnsi="Cambria Math"/>
                  <w:sz w:val="24"/>
                  <w:szCs w:val="24"/>
                  <w:lang w:val="es-CO"/>
                </w:rPr>
                <m:t>NVA</m:t>
              </m:r>
            </m:oMath>
            <w:r w:rsidR="00B11CEE">
              <w:rPr>
                <w:rFonts w:ascii="Bookman Old Style" w:hAnsi="Bookman Old Style"/>
                <w:sz w:val="24"/>
                <w:szCs w:val="24"/>
                <w:lang w:val="es-CO"/>
              </w:rPr>
              <w:t>:</w:t>
            </w:r>
          </w:p>
        </w:tc>
        <w:tc>
          <w:tcPr>
            <w:tcW w:w="6940" w:type="dxa"/>
          </w:tcPr>
          <w:p w14:paraId="2CAC3A30" w14:textId="5E84FEE4" w:rsidR="00146D75" w:rsidRDefault="00751A55" w:rsidP="00146D75">
            <w:pPr>
              <w:pStyle w:val="Estilo3"/>
              <w:widowControl w:val="0"/>
              <w:tabs>
                <w:tab w:val="left" w:pos="0"/>
              </w:tabs>
              <w:jc w:val="both"/>
              <w:rPr>
                <w:rFonts w:ascii="Bookman Old Style" w:hAnsi="Bookman Old Style"/>
                <w:sz w:val="24"/>
                <w:szCs w:val="24"/>
                <w:lang w:val="es-CO"/>
              </w:rPr>
            </w:pPr>
            <w:r>
              <w:rPr>
                <w:rFonts w:ascii="Bookman Old Style" w:hAnsi="Bookman Old Style"/>
                <w:sz w:val="24"/>
                <w:szCs w:val="24"/>
                <w:lang w:val="es-CO"/>
              </w:rPr>
              <w:t>Valores de las inversiones que a diciembre de 2021 cumplieron un periodo de vida útil normativa.</w:t>
            </w:r>
          </w:p>
        </w:tc>
      </w:tr>
      <w:tr w:rsidR="00146D75" w14:paraId="31101E74" w14:textId="77777777" w:rsidTr="00814CAF">
        <w:tc>
          <w:tcPr>
            <w:tcW w:w="1271" w:type="dxa"/>
          </w:tcPr>
          <w:p w14:paraId="6B82D929" w14:textId="3846248B" w:rsidR="00146D75" w:rsidRDefault="008D1014" w:rsidP="00146D75">
            <w:pPr>
              <w:pStyle w:val="Estilo3"/>
              <w:widowControl w:val="0"/>
              <w:tabs>
                <w:tab w:val="left" w:pos="0"/>
              </w:tabs>
              <w:jc w:val="both"/>
              <w:rPr>
                <w:rFonts w:ascii="Bookman Old Style" w:hAnsi="Bookman Old Style"/>
                <w:sz w:val="24"/>
                <w:szCs w:val="24"/>
                <w:lang w:val="es-CO"/>
              </w:rPr>
            </w:pPr>
            <m:oMath>
              <m:r>
                <w:rPr>
                  <w:rFonts w:ascii="Cambria Math" w:hAnsi="Cambria Math"/>
                  <w:sz w:val="24"/>
                  <w:szCs w:val="24"/>
                  <w:lang w:val="es-CO"/>
                </w:rPr>
                <m:t>INO</m:t>
              </m:r>
            </m:oMath>
            <w:r>
              <w:rPr>
                <w:rFonts w:ascii="Bookman Old Style" w:hAnsi="Bookman Old Style"/>
                <w:sz w:val="24"/>
                <w:szCs w:val="24"/>
                <w:lang w:val="es-CO"/>
              </w:rPr>
              <w:t>:</w:t>
            </w:r>
          </w:p>
        </w:tc>
        <w:tc>
          <w:tcPr>
            <w:tcW w:w="6940" w:type="dxa"/>
          </w:tcPr>
          <w:p w14:paraId="15D1EA24" w14:textId="3FA5D8D6" w:rsidR="00146D75" w:rsidRDefault="00751A55" w:rsidP="00146D75">
            <w:pPr>
              <w:pStyle w:val="Estilo3"/>
              <w:widowControl w:val="0"/>
              <w:tabs>
                <w:tab w:val="left" w:pos="0"/>
              </w:tabs>
              <w:jc w:val="both"/>
              <w:rPr>
                <w:rFonts w:ascii="Bookman Old Style" w:hAnsi="Bookman Old Style"/>
                <w:sz w:val="24"/>
                <w:szCs w:val="24"/>
                <w:lang w:val="es-CO"/>
              </w:rPr>
            </w:pPr>
            <w:r>
              <w:rPr>
                <w:rFonts w:ascii="Bookman Old Style" w:hAnsi="Bookman Old Style"/>
                <w:sz w:val="24"/>
                <w:szCs w:val="24"/>
                <w:lang w:val="es-CO"/>
              </w:rPr>
              <w:t>Valores de las inversiones conforme al artículo 12 de la presente resolución.</w:t>
            </w:r>
          </w:p>
        </w:tc>
      </w:tr>
      <w:tr w:rsidR="00146D75" w14:paraId="16C6FAEC" w14:textId="77777777" w:rsidTr="00814CAF">
        <w:tc>
          <w:tcPr>
            <w:tcW w:w="1271" w:type="dxa"/>
          </w:tcPr>
          <w:p w14:paraId="526D0488" w14:textId="0240DC6A" w:rsidR="00146D75" w:rsidRDefault="008D1014" w:rsidP="00146D75">
            <w:pPr>
              <w:pStyle w:val="Estilo3"/>
              <w:widowControl w:val="0"/>
              <w:tabs>
                <w:tab w:val="left" w:pos="0"/>
              </w:tabs>
              <w:jc w:val="both"/>
              <w:rPr>
                <w:rFonts w:ascii="Bookman Old Style" w:hAnsi="Bookman Old Style"/>
                <w:sz w:val="24"/>
                <w:szCs w:val="24"/>
                <w:lang w:val="es-CO"/>
              </w:rPr>
            </w:pPr>
            <m:oMath>
              <m:r>
                <w:rPr>
                  <w:rFonts w:ascii="Cambria Math" w:hAnsi="Cambria Math"/>
                  <w:sz w:val="24"/>
                  <w:szCs w:val="24"/>
                  <w:lang w:val="es-CO"/>
                </w:rPr>
                <m:t>Wd</m:t>
              </m:r>
            </m:oMath>
            <w:r>
              <w:rPr>
                <w:rFonts w:ascii="Bookman Old Style" w:hAnsi="Bookman Old Style"/>
                <w:sz w:val="24"/>
                <w:szCs w:val="24"/>
                <w:lang w:val="es-CO"/>
              </w:rPr>
              <w:t>:</w:t>
            </w:r>
          </w:p>
        </w:tc>
        <w:tc>
          <w:tcPr>
            <w:tcW w:w="6940" w:type="dxa"/>
          </w:tcPr>
          <w:p w14:paraId="3B53BEAE" w14:textId="14FD9A24" w:rsidR="00146D75" w:rsidRDefault="008D1014" w:rsidP="00146D75">
            <w:pPr>
              <w:pStyle w:val="Estilo3"/>
              <w:widowControl w:val="0"/>
              <w:tabs>
                <w:tab w:val="left" w:pos="0"/>
              </w:tabs>
              <w:jc w:val="both"/>
              <w:rPr>
                <w:rFonts w:ascii="Bookman Old Style" w:hAnsi="Bookman Old Style"/>
                <w:sz w:val="24"/>
                <w:szCs w:val="24"/>
                <w:lang w:val="es-CO"/>
              </w:rPr>
            </w:pPr>
            <w:r>
              <w:rPr>
                <w:rFonts w:ascii="Bookman Old Style" w:hAnsi="Bookman Old Style"/>
                <w:sz w:val="24"/>
                <w:szCs w:val="24"/>
                <w:lang w:val="es-CO"/>
              </w:rPr>
              <w:t>40%</w:t>
            </w:r>
          </w:p>
        </w:tc>
      </w:tr>
    </w:tbl>
    <w:p w14:paraId="62178115" w14:textId="77777777" w:rsidR="00146D75" w:rsidRPr="00027FE5" w:rsidRDefault="00146D75" w:rsidP="00334A3F">
      <w:pPr>
        <w:pStyle w:val="Estilo3"/>
        <w:widowControl w:val="0"/>
        <w:tabs>
          <w:tab w:val="left" w:pos="0"/>
        </w:tabs>
        <w:ind w:left="851"/>
        <w:jc w:val="both"/>
        <w:rPr>
          <w:rFonts w:ascii="Bookman Old Style" w:hAnsi="Bookman Old Style"/>
          <w:sz w:val="24"/>
          <w:szCs w:val="24"/>
          <w:lang w:val="es-CO"/>
        </w:rPr>
      </w:pPr>
    </w:p>
    <w:p w14:paraId="7FEC1B6E" w14:textId="77777777" w:rsidR="00852F54" w:rsidRDefault="00852F54" w:rsidP="005E0C16">
      <w:pPr>
        <w:pStyle w:val="Estilo3"/>
        <w:widowControl w:val="0"/>
        <w:tabs>
          <w:tab w:val="left" w:pos="0"/>
        </w:tabs>
        <w:ind w:left="851" w:hanging="284"/>
        <w:rPr>
          <w:rFonts w:ascii="Bookman Old Style" w:hAnsi="Bookman Old Style"/>
          <w:sz w:val="24"/>
          <w:szCs w:val="24"/>
          <w:lang w:val="es-CO"/>
        </w:rPr>
      </w:pPr>
    </w:p>
    <w:p w14:paraId="6E748929" w14:textId="653DAE4B" w:rsidR="00532DF3" w:rsidRPr="00532DF3" w:rsidRDefault="009935E4" w:rsidP="00950D74">
      <w:pPr>
        <w:pStyle w:val="Estilo3"/>
        <w:widowControl w:val="0"/>
        <w:numPr>
          <w:ilvl w:val="8"/>
          <w:numId w:val="8"/>
        </w:numPr>
        <w:tabs>
          <w:tab w:val="left" w:pos="0"/>
        </w:tabs>
        <w:ind w:left="851" w:hanging="284"/>
        <w:jc w:val="both"/>
        <w:rPr>
          <w:rFonts w:ascii="Bookman Old Style" w:hAnsi="Bookman Old Style"/>
          <w:sz w:val="24"/>
          <w:szCs w:val="24"/>
          <w:lang w:val="es-CO"/>
        </w:rPr>
      </w:pPr>
      <w:r w:rsidRPr="00532DF3">
        <w:rPr>
          <w:rFonts w:ascii="Bookman Old Style" w:hAnsi="Bookman Old Style"/>
          <w:sz w:val="24"/>
          <w:szCs w:val="24"/>
          <w:lang w:val="es-CO"/>
        </w:rPr>
        <w:t xml:space="preserve">El valor de </w:t>
      </w:r>
      <m:oMath>
        <m:r>
          <w:rPr>
            <w:rFonts w:ascii="Cambria Math" w:hAnsi="Cambria Math"/>
            <w:sz w:val="24"/>
            <w:szCs w:val="24"/>
            <w:lang w:val="es-CO"/>
          </w:rPr>
          <m:t>CUSD</m:t>
        </m:r>
      </m:oMath>
      <w:r w:rsidR="00852F54" w:rsidRPr="00532DF3">
        <w:rPr>
          <w:rFonts w:ascii="Bookman Old Style" w:hAnsi="Bookman Old Style"/>
          <w:sz w:val="24"/>
          <w:szCs w:val="24"/>
          <w:lang w:val="es-CO"/>
        </w:rPr>
        <w:t xml:space="preserve"> </w:t>
      </w:r>
      <w:r w:rsidRPr="00532DF3">
        <w:rPr>
          <w:rFonts w:ascii="Bookman Old Style" w:hAnsi="Bookman Old Style"/>
          <w:sz w:val="24"/>
          <w:szCs w:val="24"/>
          <w:lang w:val="es-CO"/>
        </w:rPr>
        <w:t xml:space="preserve">estará expresado </w:t>
      </w:r>
      <w:r w:rsidR="00532DF3" w:rsidRPr="00532DF3">
        <w:rPr>
          <w:rFonts w:ascii="Bookman Old Style" w:hAnsi="Bookman Old Style"/>
          <w:sz w:val="24"/>
          <w:szCs w:val="24"/>
          <w:lang w:val="es-CO"/>
        </w:rPr>
        <w:t xml:space="preserve">en pesos colombianos de la fecha base por </w:t>
      </w:r>
      <w:proofErr w:type="spellStart"/>
      <w:r w:rsidR="00532DF3" w:rsidRPr="00532DF3">
        <w:rPr>
          <w:rFonts w:ascii="Bookman Old Style" w:hAnsi="Bookman Old Style"/>
          <w:sz w:val="24"/>
          <w:szCs w:val="24"/>
          <w:lang w:val="es-CO"/>
        </w:rPr>
        <w:t>kpcd</w:t>
      </w:r>
      <w:proofErr w:type="spellEnd"/>
      <w:r w:rsidR="00532DF3" w:rsidRPr="00532DF3">
        <w:rPr>
          <w:rFonts w:ascii="Bookman Old Style" w:hAnsi="Bookman Old Style"/>
          <w:sz w:val="24"/>
          <w:szCs w:val="24"/>
          <w:lang w:val="es-CO"/>
        </w:rPr>
        <w:t>-año</w:t>
      </w:r>
      <w:r w:rsidR="00532DF3">
        <w:rPr>
          <w:rFonts w:ascii="Bookman Old Style" w:hAnsi="Bookman Old Style"/>
          <w:sz w:val="24"/>
          <w:szCs w:val="24"/>
          <w:lang w:val="es-CO"/>
        </w:rPr>
        <w:t xml:space="preserve"> y se calculará conforme a los siguientes pasos:</w:t>
      </w:r>
    </w:p>
    <w:p w14:paraId="1FE550DC" w14:textId="07BEE4A1" w:rsidR="00852F54" w:rsidRDefault="00852F54" w:rsidP="00532DF3">
      <w:pPr>
        <w:pStyle w:val="Estilo3"/>
        <w:widowControl w:val="0"/>
        <w:tabs>
          <w:tab w:val="left" w:pos="0"/>
        </w:tabs>
        <w:ind w:left="851"/>
        <w:jc w:val="both"/>
        <w:rPr>
          <w:rFonts w:ascii="Bookman Old Style" w:hAnsi="Bookman Old Style"/>
          <w:sz w:val="24"/>
          <w:szCs w:val="24"/>
          <w:lang w:val="es-CO"/>
        </w:rPr>
      </w:pPr>
    </w:p>
    <w:p w14:paraId="4002826C" w14:textId="1B683F46" w:rsidR="00532DF3" w:rsidRDefault="00532DF3" w:rsidP="00532DF3">
      <w:pPr>
        <w:pStyle w:val="Estilo3"/>
        <w:widowControl w:val="0"/>
        <w:tabs>
          <w:tab w:val="left" w:pos="0"/>
        </w:tabs>
        <w:ind w:left="851"/>
        <w:jc w:val="both"/>
        <w:rPr>
          <w:rFonts w:ascii="Bookman Old Style" w:hAnsi="Bookman Old Style"/>
          <w:sz w:val="24"/>
          <w:szCs w:val="24"/>
          <w:lang w:val="es-CO"/>
        </w:rPr>
      </w:pPr>
      <w:r>
        <w:rPr>
          <w:rFonts w:ascii="Bookman Old Style" w:hAnsi="Bookman Old Style"/>
          <w:sz w:val="24"/>
          <w:szCs w:val="24"/>
          <w:lang w:val="es-CO"/>
        </w:rPr>
        <w:t>Paso 1</w:t>
      </w:r>
    </w:p>
    <w:p w14:paraId="720223A7" w14:textId="77777777" w:rsidR="00ED596C" w:rsidRDefault="00ED596C" w:rsidP="00532DF3">
      <w:pPr>
        <w:pStyle w:val="Estilo3"/>
        <w:widowControl w:val="0"/>
        <w:tabs>
          <w:tab w:val="left" w:pos="0"/>
        </w:tabs>
        <w:ind w:left="851"/>
        <w:jc w:val="both"/>
        <w:rPr>
          <w:rFonts w:ascii="Bookman Old Style" w:hAnsi="Bookman Old Style"/>
          <w:sz w:val="24"/>
          <w:szCs w:val="24"/>
          <w:lang w:val="es-CO"/>
        </w:rPr>
      </w:pPr>
    </w:p>
    <w:p w14:paraId="4E6D281B" w14:textId="7608AFB3" w:rsidR="00ED596C" w:rsidRDefault="00ED596C" w:rsidP="00532DF3">
      <w:pPr>
        <w:pStyle w:val="Estilo3"/>
        <w:widowControl w:val="0"/>
        <w:tabs>
          <w:tab w:val="left" w:pos="0"/>
        </w:tabs>
        <w:ind w:left="851"/>
        <w:jc w:val="both"/>
        <w:rPr>
          <w:rFonts w:ascii="Bookman Old Style" w:hAnsi="Bookman Old Style"/>
          <w:sz w:val="24"/>
          <w:szCs w:val="24"/>
          <w:lang w:val="es-CO"/>
        </w:rPr>
      </w:pPr>
      <w:r>
        <w:rPr>
          <w:rFonts w:ascii="Bookman Old Style" w:hAnsi="Bookman Old Style"/>
          <w:sz w:val="24"/>
          <w:szCs w:val="24"/>
          <w:lang w:val="es-CO"/>
        </w:rPr>
        <w:t xml:space="preserve">Estimación del cubrimiento para cada uno de los primeros cinco años </w:t>
      </w:r>
      <w:r w:rsidR="005B6142">
        <w:rPr>
          <w:rFonts w:ascii="Bookman Old Style" w:hAnsi="Bookman Old Style"/>
          <w:sz w:val="24"/>
          <w:szCs w:val="24"/>
          <w:lang w:val="es-CO"/>
        </w:rPr>
        <w:t xml:space="preserve">de aplicación </w:t>
      </w:r>
      <w:r w:rsidR="004B3491">
        <w:rPr>
          <w:rFonts w:ascii="Bookman Old Style" w:hAnsi="Bookman Old Style"/>
          <w:sz w:val="24"/>
          <w:szCs w:val="24"/>
          <w:lang w:val="es-CO"/>
        </w:rPr>
        <w:t xml:space="preserve">de los cargos </w:t>
      </w:r>
      <w:r w:rsidR="00EE464E">
        <w:rPr>
          <w:rFonts w:ascii="Bookman Old Style" w:hAnsi="Bookman Old Style"/>
          <w:sz w:val="24"/>
          <w:szCs w:val="24"/>
          <w:lang w:val="es-CO"/>
        </w:rPr>
        <w:t xml:space="preserve">de </w:t>
      </w:r>
      <w:proofErr w:type="spellStart"/>
      <w:r w:rsidR="00EE464E">
        <w:rPr>
          <w:rFonts w:ascii="Bookman Old Style" w:hAnsi="Bookman Old Style"/>
          <w:sz w:val="24"/>
          <w:szCs w:val="24"/>
          <w:lang w:val="es-CO"/>
        </w:rPr>
        <w:t>AOM</w:t>
      </w:r>
      <w:proofErr w:type="spellEnd"/>
      <w:r w:rsidR="00EE464E">
        <w:rPr>
          <w:rFonts w:ascii="Bookman Old Style" w:hAnsi="Bookman Old Style"/>
          <w:sz w:val="24"/>
          <w:szCs w:val="24"/>
          <w:lang w:val="es-CO"/>
        </w:rPr>
        <w:t>.</w:t>
      </w:r>
    </w:p>
    <w:p w14:paraId="6CECBCB8" w14:textId="77777777" w:rsidR="00852F54" w:rsidRDefault="00852F54" w:rsidP="00852F54">
      <w:pPr>
        <w:pStyle w:val="Estilo3"/>
        <w:widowControl w:val="0"/>
        <w:tabs>
          <w:tab w:val="left" w:pos="0"/>
        </w:tabs>
        <w:ind w:left="720"/>
        <w:jc w:val="both"/>
        <w:rPr>
          <w:rFonts w:ascii="Bookman Old Style" w:hAnsi="Bookman Old Style" w:cs="Arial"/>
          <w:bCs/>
          <w:color w:val="000000"/>
          <w:sz w:val="24"/>
          <w:szCs w:val="24"/>
        </w:rPr>
      </w:pPr>
    </w:p>
    <w:tbl>
      <w:tblPr>
        <w:tblStyle w:val="Tablaconcuadrcula"/>
        <w:tblW w:w="0" w:type="auto"/>
        <w:jc w:val="center"/>
        <w:tblLook w:val="04A0" w:firstRow="1" w:lastRow="0" w:firstColumn="1" w:lastColumn="0" w:noHBand="0" w:noVBand="1"/>
      </w:tblPr>
      <w:tblGrid>
        <w:gridCol w:w="845"/>
        <w:gridCol w:w="6805"/>
      </w:tblGrid>
      <w:tr w:rsidR="00852F54" w14:paraId="6DAACDFD" w14:textId="77777777" w:rsidTr="00B55B52">
        <w:trPr>
          <w:tblHeader/>
          <w:jc w:val="center"/>
        </w:trPr>
        <w:tc>
          <w:tcPr>
            <w:tcW w:w="845" w:type="dxa"/>
          </w:tcPr>
          <w:p w14:paraId="5110D23C" w14:textId="77777777" w:rsidR="00852F54" w:rsidRPr="00436E04" w:rsidRDefault="00852F54" w:rsidP="00601E09">
            <w:pPr>
              <w:pStyle w:val="Estilo3"/>
              <w:widowControl w:val="0"/>
              <w:tabs>
                <w:tab w:val="left" w:pos="0"/>
              </w:tabs>
              <w:jc w:val="center"/>
              <w:rPr>
                <w:rFonts w:ascii="Bookman Old Style" w:hAnsi="Bookman Old Style" w:cs="Arial"/>
                <w:b/>
                <w:color w:val="000000"/>
                <w:sz w:val="24"/>
                <w:szCs w:val="24"/>
              </w:rPr>
            </w:pPr>
            <w:r w:rsidRPr="00436E04">
              <w:rPr>
                <w:rFonts w:ascii="Bookman Old Style" w:hAnsi="Bookman Old Style" w:cs="Arial"/>
                <w:b/>
                <w:color w:val="000000"/>
                <w:sz w:val="24"/>
                <w:szCs w:val="24"/>
              </w:rPr>
              <w:t>Año</w:t>
            </w:r>
          </w:p>
        </w:tc>
        <w:tc>
          <w:tcPr>
            <w:tcW w:w="6805" w:type="dxa"/>
          </w:tcPr>
          <w:p w14:paraId="0D5E1726" w14:textId="77777777" w:rsidR="00852F54" w:rsidRPr="00436E04" w:rsidRDefault="00852F54" w:rsidP="00601E09">
            <w:pPr>
              <w:pStyle w:val="Estilo3"/>
              <w:widowControl w:val="0"/>
              <w:tabs>
                <w:tab w:val="left" w:pos="0"/>
              </w:tabs>
              <w:jc w:val="center"/>
              <w:rPr>
                <w:rFonts w:ascii="Bookman Old Style" w:hAnsi="Bookman Old Style" w:cs="Arial"/>
                <w:b/>
                <w:color w:val="000000"/>
                <w:sz w:val="24"/>
                <w:szCs w:val="24"/>
              </w:rPr>
            </w:pPr>
            <w:r w:rsidRPr="00436E04">
              <w:rPr>
                <w:rFonts w:ascii="Bookman Old Style" w:hAnsi="Bookman Old Style" w:cs="Arial"/>
                <w:b/>
                <w:color w:val="000000"/>
                <w:sz w:val="24"/>
                <w:szCs w:val="24"/>
              </w:rPr>
              <w:t>Cubrimiento</w:t>
            </w:r>
          </w:p>
        </w:tc>
      </w:tr>
      <w:tr w:rsidR="00852F54" w14:paraId="17A371FC" w14:textId="77777777" w:rsidTr="00B55B52">
        <w:trPr>
          <w:jc w:val="center"/>
        </w:trPr>
        <w:tc>
          <w:tcPr>
            <w:tcW w:w="845" w:type="dxa"/>
          </w:tcPr>
          <w:p w14:paraId="4CAD6429" w14:textId="77777777" w:rsidR="00852F54" w:rsidRDefault="00852F54" w:rsidP="00601E09">
            <w:pPr>
              <w:pStyle w:val="Estilo3"/>
              <w:widowControl w:val="0"/>
              <w:tabs>
                <w:tab w:val="left" w:pos="0"/>
              </w:tabs>
              <w:jc w:val="both"/>
              <w:rPr>
                <w:rFonts w:ascii="Bookman Old Style" w:hAnsi="Bookman Old Style" w:cs="Arial"/>
                <w:bCs/>
                <w:color w:val="000000"/>
                <w:sz w:val="24"/>
                <w:szCs w:val="24"/>
              </w:rPr>
            </w:pPr>
            <w:r>
              <w:rPr>
                <w:rFonts w:ascii="Bookman Old Style" w:hAnsi="Bookman Old Style" w:cs="Arial"/>
                <w:bCs/>
                <w:color w:val="000000"/>
                <w:sz w:val="24"/>
                <w:szCs w:val="24"/>
              </w:rPr>
              <w:t>1</w:t>
            </w:r>
          </w:p>
        </w:tc>
        <w:tc>
          <w:tcPr>
            <w:tcW w:w="6805" w:type="dxa"/>
          </w:tcPr>
          <w:p w14:paraId="32E85F79" w14:textId="30363159" w:rsidR="00852F54" w:rsidRDefault="00852F54"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 xml:space="preserve">Cubrimiento=β× </m:t>
                </m:r>
                <m:d>
                  <m:dPr>
                    <m:ctrlPr>
                      <w:rPr>
                        <w:rFonts w:ascii="Cambria Math" w:hAnsi="Cambria Math" w:cs="Arial"/>
                        <w:bCs/>
                        <w:i/>
                        <w:color w:val="000000"/>
                        <w:sz w:val="24"/>
                        <w:szCs w:val="24"/>
                      </w:rPr>
                    </m:ctrlPr>
                  </m:dPr>
                  <m:e>
                    <m:r>
                      <w:rPr>
                        <w:rFonts w:ascii="Cambria Math" w:hAnsi="Cambria Math" w:cs="Arial"/>
                        <w:color w:val="000000"/>
                        <w:sz w:val="24"/>
                        <w:szCs w:val="24"/>
                      </w:rPr>
                      <m:t>VA+IFPNI-NVA-INO</m:t>
                    </m:r>
                  </m:e>
                </m:d>
                <m:r>
                  <w:rPr>
                    <w:rFonts w:ascii="Cambria Math" w:hAnsi="Cambria Math" w:cs="Arial"/>
                    <w:color w:val="000000"/>
                    <w:sz w:val="24"/>
                    <w:szCs w:val="24"/>
                  </w:rPr>
                  <m:t>×Wd×Dev</m:t>
                </m:r>
              </m:oMath>
            </m:oMathPara>
          </w:p>
        </w:tc>
      </w:tr>
      <w:tr w:rsidR="00852F54" w14:paraId="6598830F" w14:textId="77777777" w:rsidTr="00B55B52">
        <w:trPr>
          <w:jc w:val="center"/>
        </w:trPr>
        <w:tc>
          <w:tcPr>
            <w:tcW w:w="845" w:type="dxa"/>
          </w:tcPr>
          <w:p w14:paraId="74589FE5" w14:textId="77777777" w:rsidR="00852F54" w:rsidRDefault="00852F54" w:rsidP="00601E09">
            <w:pPr>
              <w:pStyle w:val="Estilo3"/>
              <w:widowControl w:val="0"/>
              <w:tabs>
                <w:tab w:val="left" w:pos="0"/>
              </w:tabs>
              <w:jc w:val="both"/>
              <w:rPr>
                <w:rFonts w:ascii="Bookman Old Style" w:hAnsi="Bookman Old Style" w:cs="Arial"/>
                <w:bCs/>
                <w:color w:val="000000"/>
                <w:sz w:val="24"/>
                <w:szCs w:val="24"/>
              </w:rPr>
            </w:pPr>
            <w:r>
              <w:rPr>
                <w:rFonts w:ascii="Bookman Old Style" w:hAnsi="Bookman Old Style" w:cs="Arial"/>
                <w:bCs/>
                <w:color w:val="000000"/>
                <w:sz w:val="24"/>
                <w:szCs w:val="24"/>
              </w:rPr>
              <w:t>2</w:t>
            </w:r>
          </w:p>
        </w:tc>
        <w:tc>
          <w:tcPr>
            <w:tcW w:w="6805" w:type="dxa"/>
          </w:tcPr>
          <w:p w14:paraId="06FAFBBF" w14:textId="4CF78963" w:rsidR="00852F54" w:rsidRDefault="00B55B52"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Cubrimiento=β×</m:t>
                </m:r>
                <m:d>
                  <m:dPr>
                    <m:ctrlPr>
                      <w:rPr>
                        <w:rFonts w:ascii="Cambria Math" w:hAnsi="Cambria Math" w:cs="Arial"/>
                        <w:bCs/>
                        <w:i/>
                        <w:color w:val="000000"/>
                        <w:sz w:val="24"/>
                        <w:szCs w:val="24"/>
                      </w:rPr>
                    </m:ctrlPr>
                  </m:dPr>
                  <m:e>
                    <m:r>
                      <w:rPr>
                        <w:rFonts w:ascii="Cambria Math" w:hAnsi="Cambria Math" w:cs="Arial"/>
                        <w:color w:val="000000"/>
                        <w:sz w:val="24"/>
                        <w:szCs w:val="24"/>
                      </w:rPr>
                      <m:t>VA+IFPNI-NVA-INO</m:t>
                    </m:r>
                  </m:e>
                </m:d>
                <m:r>
                  <w:rPr>
                    <w:rFonts w:ascii="Cambria Math" w:hAnsi="Cambria Math" w:cs="Arial"/>
                    <w:color w:val="000000"/>
                    <w:sz w:val="24"/>
                    <w:szCs w:val="24"/>
                  </w:rPr>
                  <m:t>×Wd×Dev</m:t>
                </m:r>
              </m:oMath>
            </m:oMathPara>
          </w:p>
        </w:tc>
      </w:tr>
      <w:tr w:rsidR="00852F54" w14:paraId="1188702A" w14:textId="77777777" w:rsidTr="00B55B52">
        <w:trPr>
          <w:jc w:val="center"/>
        </w:trPr>
        <w:tc>
          <w:tcPr>
            <w:tcW w:w="845" w:type="dxa"/>
          </w:tcPr>
          <w:p w14:paraId="26E8CAE4" w14:textId="77777777" w:rsidR="00852F54" w:rsidRDefault="00852F54" w:rsidP="00601E09">
            <w:pPr>
              <w:pStyle w:val="Estilo3"/>
              <w:widowControl w:val="0"/>
              <w:tabs>
                <w:tab w:val="left" w:pos="0"/>
              </w:tabs>
              <w:jc w:val="both"/>
              <w:rPr>
                <w:rFonts w:ascii="Bookman Old Style" w:hAnsi="Bookman Old Style" w:cs="Arial"/>
                <w:bCs/>
                <w:color w:val="000000"/>
                <w:sz w:val="24"/>
                <w:szCs w:val="24"/>
              </w:rPr>
            </w:pPr>
            <w:r>
              <w:rPr>
                <w:rFonts w:ascii="Bookman Old Style" w:hAnsi="Bookman Old Style" w:cs="Arial"/>
                <w:bCs/>
                <w:color w:val="000000"/>
                <w:sz w:val="24"/>
                <w:szCs w:val="24"/>
              </w:rPr>
              <w:t>3</w:t>
            </w:r>
          </w:p>
        </w:tc>
        <w:tc>
          <w:tcPr>
            <w:tcW w:w="6805" w:type="dxa"/>
          </w:tcPr>
          <w:p w14:paraId="4BBC4AA5" w14:textId="740A67A5" w:rsidR="00852F54" w:rsidRDefault="00B55B52"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Cubrimiento=β×</m:t>
                </m:r>
                <m:d>
                  <m:dPr>
                    <m:ctrlPr>
                      <w:rPr>
                        <w:rFonts w:ascii="Cambria Math" w:hAnsi="Cambria Math" w:cs="Arial"/>
                        <w:bCs/>
                        <w:i/>
                        <w:color w:val="000000"/>
                        <w:sz w:val="24"/>
                        <w:szCs w:val="24"/>
                      </w:rPr>
                    </m:ctrlPr>
                  </m:dPr>
                  <m:e>
                    <m:r>
                      <w:rPr>
                        <w:rFonts w:ascii="Cambria Math" w:hAnsi="Cambria Math" w:cs="Arial"/>
                        <w:color w:val="000000"/>
                        <w:sz w:val="24"/>
                        <w:szCs w:val="24"/>
                      </w:rPr>
                      <m:t>VA+IFPNI-NVA-INO</m:t>
                    </m:r>
                  </m:e>
                </m:d>
                <m:r>
                  <w:rPr>
                    <w:rFonts w:ascii="Cambria Math" w:hAnsi="Cambria Math" w:cs="Arial"/>
                    <w:color w:val="000000"/>
                    <w:sz w:val="24"/>
                    <w:szCs w:val="24"/>
                  </w:rPr>
                  <m:t>×Wd×Dev</m:t>
                </m:r>
              </m:oMath>
            </m:oMathPara>
          </w:p>
        </w:tc>
      </w:tr>
      <w:tr w:rsidR="00852F54" w14:paraId="4658494D" w14:textId="77777777" w:rsidTr="00B55B52">
        <w:trPr>
          <w:jc w:val="center"/>
        </w:trPr>
        <w:tc>
          <w:tcPr>
            <w:tcW w:w="845" w:type="dxa"/>
          </w:tcPr>
          <w:p w14:paraId="3A43B507" w14:textId="77777777" w:rsidR="00852F54" w:rsidRDefault="00852F54" w:rsidP="00601E09">
            <w:pPr>
              <w:pStyle w:val="Estilo3"/>
              <w:widowControl w:val="0"/>
              <w:tabs>
                <w:tab w:val="left" w:pos="0"/>
              </w:tabs>
              <w:jc w:val="both"/>
              <w:rPr>
                <w:rFonts w:ascii="Bookman Old Style" w:hAnsi="Bookman Old Style" w:cs="Arial"/>
                <w:bCs/>
                <w:color w:val="000000"/>
                <w:sz w:val="24"/>
                <w:szCs w:val="24"/>
              </w:rPr>
            </w:pPr>
            <w:r>
              <w:rPr>
                <w:rFonts w:ascii="Bookman Old Style" w:hAnsi="Bookman Old Style" w:cs="Arial"/>
                <w:bCs/>
                <w:color w:val="000000"/>
                <w:sz w:val="24"/>
                <w:szCs w:val="24"/>
              </w:rPr>
              <w:t>4</w:t>
            </w:r>
          </w:p>
        </w:tc>
        <w:tc>
          <w:tcPr>
            <w:tcW w:w="6805" w:type="dxa"/>
          </w:tcPr>
          <w:p w14:paraId="5284A91B" w14:textId="33F215B1" w:rsidR="00852F54" w:rsidRDefault="00B55B52"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Cubrimiento=β×</m:t>
                </m:r>
                <m:d>
                  <m:dPr>
                    <m:ctrlPr>
                      <w:rPr>
                        <w:rFonts w:ascii="Cambria Math" w:hAnsi="Cambria Math" w:cs="Arial"/>
                        <w:bCs/>
                        <w:i/>
                        <w:color w:val="000000"/>
                        <w:sz w:val="24"/>
                        <w:szCs w:val="24"/>
                      </w:rPr>
                    </m:ctrlPr>
                  </m:dPr>
                  <m:e>
                    <m:r>
                      <w:rPr>
                        <w:rFonts w:ascii="Cambria Math" w:hAnsi="Cambria Math" w:cs="Arial"/>
                        <w:color w:val="000000"/>
                        <w:sz w:val="24"/>
                        <w:szCs w:val="24"/>
                      </w:rPr>
                      <m:t>VA+IFPNI-NVA-INO</m:t>
                    </m:r>
                  </m:e>
                </m:d>
                <m:r>
                  <w:rPr>
                    <w:rFonts w:ascii="Cambria Math" w:hAnsi="Cambria Math" w:cs="Arial"/>
                    <w:color w:val="000000"/>
                    <w:sz w:val="24"/>
                    <w:szCs w:val="24"/>
                  </w:rPr>
                  <m:t>×Wd×Dev</m:t>
                </m:r>
              </m:oMath>
            </m:oMathPara>
          </w:p>
        </w:tc>
      </w:tr>
      <w:tr w:rsidR="00852F54" w14:paraId="43ACBD31" w14:textId="77777777" w:rsidTr="00B55B52">
        <w:trPr>
          <w:jc w:val="center"/>
        </w:trPr>
        <w:tc>
          <w:tcPr>
            <w:tcW w:w="845" w:type="dxa"/>
          </w:tcPr>
          <w:p w14:paraId="4400D64E" w14:textId="77777777" w:rsidR="00852F54" w:rsidRDefault="00852F54" w:rsidP="00601E09">
            <w:pPr>
              <w:pStyle w:val="Estilo3"/>
              <w:widowControl w:val="0"/>
              <w:tabs>
                <w:tab w:val="left" w:pos="0"/>
              </w:tabs>
              <w:jc w:val="both"/>
              <w:rPr>
                <w:rFonts w:ascii="Bookman Old Style" w:hAnsi="Bookman Old Style" w:cs="Arial"/>
                <w:bCs/>
                <w:color w:val="000000"/>
                <w:sz w:val="24"/>
                <w:szCs w:val="24"/>
              </w:rPr>
            </w:pPr>
            <w:r>
              <w:rPr>
                <w:rFonts w:ascii="Bookman Old Style" w:hAnsi="Bookman Old Style" w:cs="Arial"/>
                <w:bCs/>
                <w:color w:val="000000"/>
                <w:sz w:val="24"/>
                <w:szCs w:val="24"/>
              </w:rPr>
              <w:t>5</w:t>
            </w:r>
          </w:p>
        </w:tc>
        <w:tc>
          <w:tcPr>
            <w:tcW w:w="6805" w:type="dxa"/>
          </w:tcPr>
          <w:p w14:paraId="6F2A452D" w14:textId="7AC11B73" w:rsidR="00852F54" w:rsidRDefault="00B55B52"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Cubrimiento=β×</m:t>
                </m:r>
                <m:d>
                  <m:dPr>
                    <m:ctrlPr>
                      <w:rPr>
                        <w:rFonts w:ascii="Cambria Math" w:hAnsi="Cambria Math" w:cs="Arial"/>
                        <w:bCs/>
                        <w:i/>
                        <w:color w:val="000000"/>
                        <w:sz w:val="24"/>
                        <w:szCs w:val="24"/>
                      </w:rPr>
                    </m:ctrlPr>
                  </m:dPr>
                  <m:e>
                    <m:r>
                      <w:rPr>
                        <w:rFonts w:ascii="Cambria Math" w:hAnsi="Cambria Math" w:cs="Arial"/>
                        <w:color w:val="000000"/>
                        <w:sz w:val="24"/>
                        <w:szCs w:val="24"/>
                      </w:rPr>
                      <m:t>VA+IFPNI-NVA-INO</m:t>
                    </m:r>
                  </m:e>
                </m:d>
                <m:r>
                  <w:rPr>
                    <w:rFonts w:ascii="Cambria Math" w:hAnsi="Cambria Math" w:cs="Arial"/>
                    <w:color w:val="000000"/>
                    <w:sz w:val="24"/>
                    <w:szCs w:val="24"/>
                  </w:rPr>
                  <m:t>×Wd×Dev</m:t>
                </m:r>
              </m:oMath>
            </m:oMathPara>
          </w:p>
        </w:tc>
      </w:tr>
      <w:tr w:rsidR="00852F54" w14:paraId="0C6E8376" w14:textId="77777777" w:rsidTr="00B55B52">
        <w:trPr>
          <w:jc w:val="center"/>
        </w:trPr>
        <w:tc>
          <w:tcPr>
            <w:tcW w:w="845" w:type="dxa"/>
          </w:tcPr>
          <w:p w14:paraId="54E2E5BA" w14:textId="77777777" w:rsidR="00852F54" w:rsidRDefault="00852F54" w:rsidP="00601E09">
            <w:pPr>
              <w:pStyle w:val="Estilo3"/>
              <w:widowControl w:val="0"/>
              <w:tabs>
                <w:tab w:val="left" w:pos="0"/>
              </w:tabs>
              <w:jc w:val="both"/>
              <w:rPr>
                <w:rFonts w:ascii="Bookman Old Style" w:hAnsi="Bookman Old Style" w:cs="Arial"/>
                <w:bCs/>
                <w:color w:val="000000"/>
                <w:sz w:val="24"/>
                <w:szCs w:val="24"/>
              </w:rPr>
            </w:pPr>
            <w:r>
              <w:rPr>
                <w:rFonts w:ascii="Bookman Old Style" w:hAnsi="Bookman Old Style" w:cs="Arial"/>
                <w:bCs/>
                <w:color w:val="000000"/>
                <w:sz w:val="24"/>
                <w:szCs w:val="24"/>
              </w:rPr>
              <w:t>6</w:t>
            </w:r>
          </w:p>
        </w:tc>
        <w:tc>
          <w:tcPr>
            <w:tcW w:w="6805" w:type="dxa"/>
          </w:tcPr>
          <w:p w14:paraId="1F94041D" w14:textId="094C3335" w:rsidR="00852F54" w:rsidRDefault="00B55B52"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Cubrimiento=β×</m:t>
                </m:r>
                <m:d>
                  <m:dPr>
                    <m:ctrlPr>
                      <w:rPr>
                        <w:rFonts w:ascii="Cambria Math" w:hAnsi="Cambria Math" w:cs="Arial"/>
                        <w:bCs/>
                        <w:i/>
                        <w:color w:val="000000"/>
                        <w:sz w:val="24"/>
                        <w:szCs w:val="24"/>
                      </w:rPr>
                    </m:ctrlPr>
                  </m:dPr>
                  <m:e>
                    <m:r>
                      <w:rPr>
                        <w:rFonts w:ascii="Cambria Math" w:hAnsi="Cambria Math" w:cs="Arial"/>
                        <w:color w:val="000000"/>
                        <w:sz w:val="24"/>
                        <w:szCs w:val="24"/>
                      </w:rPr>
                      <m:t>VA+IFPNI-NVA-INO</m:t>
                    </m:r>
                  </m:e>
                </m:d>
                <m:r>
                  <w:rPr>
                    <w:rFonts w:ascii="Cambria Math" w:hAnsi="Cambria Math" w:cs="Arial"/>
                    <w:color w:val="000000"/>
                    <w:sz w:val="24"/>
                    <w:szCs w:val="24"/>
                  </w:rPr>
                  <m:t>×Wd×Dev</m:t>
                </m:r>
              </m:oMath>
            </m:oMathPara>
          </w:p>
        </w:tc>
      </w:tr>
    </w:tbl>
    <w:p w14:paraId="0EECE271" w14:textId="77777777" w:rsidR="00E02A8E" w:rsidRDefault="00E02A8E" w:rsidP="00AF44B9"/>
    <w:p w14:paraId="7B584E64" w14:textId="42847BE5" w:rsidR="00AE1B93" w:rsidRPr="00FA43FD" w:rsidRDefault="00AE1B93" w:rsidP="00FA43FD">
      <w:pPr>
        <w:pStyle w:val="Estilo3"/>
        <w:widowControl w:val="0"/>
        <w:tabs>
          <w:tab w:val="left" w:pos="0"/>
        </w:tabs>
        <w:ind w:left="851"/>
        <w:jc w:val="both"/>
        <w:rPr>
          <w:rFonts w:ascii="Bookman Old Style" w:hAnsi="Bookman Old Style"/>
          <w:sz w:val="24"/>
          <w:szCs w:val="24"/>
          <w:lang w:val="es-CO"/>
        </w:rPr>
      </w:pPr>
      <w:r w:rsidRPr="00FA43FD">
        <w:rPr>
          <w:rFonts w:ascii="Bookman Old Style" w:hAnsi="Bookman Old Style"/>
          <w:sz w:val="24"/>
          <w:szCs w:val="24"/>
          <w:lang w:val="es-CO"/>
        </w:rPr>
        <w:t xml:space="preserve">Los valores </w:t>
      </w:r>
      <m:oMath>
        <m:r>
          <w:rPr>
            <w:rFonts w:ascii="Cambria Math" w:hAnsi="Cambria Math"/>
            <w:sz w:val="24"/>
            <w:szCs w:val="24"/>
            <w:lang w:val="es-CO"/>
          </w:rPr>
          <m:t>β</m:t>
        </m:r>
      </m:oMath>
      <w:r w:rsidRPr="00FA43FD">
        <w:rPr>
          <w:rFonts w:ascii="Bookman Old Style" w:hAnsi="Bookman Old Style"/>
          <w:sz w:val="24"/>
          <w:szCs w:val="24"/>
          <w:lang w:val="es-CO"/>
        </w:rPr>
        <w:t xml:space="preserve"> para cada uno de los años </w:t>
      </w:r>
      <w:r w:rsidR="00AD3B04" w:rsidRPr="00FA43FD">
        <w:rPr>
          <w:rFonts w:ascii="Bookman Old Style" w:hAnsi="Bookman Old Style"/>
          <w:sz w:val="24"/>
          <w:szCs w:val="24"/>
          <w:lang w:val="es-CO"/>
        </w:rPr>
        <w:t>es el que se indica en la siguiente tabla</w:t>
      </w:r>
      <w:r w:rsidR="007967AA" w:rsidRPr="00FA43FD">
        <w:rPr>
          <w:rFonts w:ascii="Bookman Old Style" w:hAnsi="Bookman Old Style"/>
          <w:sz w:val="24"/>
          <w:szCs w:val="24"/>
          <w:lang w:val="es-CO"/>
        </w:rPr>
        <w:t>:</w:t>
      </w:r>
    </w:p>
    <w:p w14:paraId="6D7AE670" w14:textId="77777777" w:rsidR="00376F49" w:rsidRDefault="00376F49" w:rsidP="00AE1B93">
      <w:pPr>
        <w:pStyle w:val="NormalWeb"/>
        <w:spacing w:before="0" w:beforeAutospacing="0" w:after="120" w:afterAutospacing="0" w:line="240" w:lineRule="auto"/>
        <w:ind w:left="709"/>
        <w:rPr>
          <w:rFonts w:cs="Arial"/>
          <w:bCs/>
          <w:color w:val="000000"/>
        </w:rPr>
      </w:pPr>
    </w:p>
    <w:tbl>
      <w:tblPr>
        <w:tblStyle w:val="Tablaconcuadrcula"/>
        <w:tblW w:w="0" w:type="auto"/>
        <w:jc w:val="center"/>
        <w:tblLook w:val="04A0" w:firstRow="1" w:lastRow="0" w:firstColumn="1" w:lastColumn="0" w:noHBand="0" w:noVBand="1"/>
      </w:tblPr>
      <w:tblGrid>
        <w:gridCol w:w="845"/>
        <w:gridCol w:w="3261"/>
      </w:tblGrid>
      <w:tr w:rsidR="00AD3B04" w14:paraId="26CBC2FA" w14:textId="77777777" w:rsidTr="00396483">
        <w:trPr>
          <w:tblHeader/>
          <w:jc w:val="center"/>
        </w:trPr>
        <w:tc>
          <w:tcPr>
            <w:tcW w:w="845" w:type="dxa"/>
          </w:tcPr>
          <w:p w14:paraId="7CCEB43E" w14:textId="77777777" w:rsidR="00AD3B04" w:rsidRPr="00436E04" w:rsidRDefault="00AD3B04" w:rsidP="00601E09">
            <w:pPr>
              <w:pStyle w:val="Estilo3"/>
              <w:widowControl w:val="0"/>
              <w:tabs>
                <w:tab w:val="left" w:pos="0"/>
              </w:tabs>
              <w:jc w:val="center"/>
              <w:rPr>
                <w:rFonts w:ascii="Bookman Old Style" w:hAnsi="Bookman Old Style" w:cs="Arial"/>
                <w:b/>
                <w:color w:val="000000"/>
                <w:sz w:val="24"/>
                <w:szCs w:val="24"/>
              </w:rPr>
            </w:pPr>
            <w:r w:rsidRPr="00436E04">
              <w:rPr>
                <w:rFonts w:ascii="Bookman Old Style" w:hAnsi="Bookman Old Style" w:cs="Arial"/>
                <w:b/>
                <w:color w:val="000000"/>
                <w:sz w:val="24"/>
                <w:szCs w:val="24"/>
              </w:rPr>
              <w:t>Año</w:t>
            </w:r>
          </w:p>
        </w:tc>
        <w:tc>
          <w:tcPr>
            <w:tcW w:w="3261" w:type="dxa"/>
          </w:tcPr>
          <w:p w14:paraId="20E5B133" w14:textId="77777777" w:rsidR="00AD3B04" w:rsidRPr="00436E04" w:rsidRDefault="00AD3B04" w:rsidP="00601E09">
            <w:pPr>
              <w:pStyle w:val="Estilo3"/>
              <w:widowControl w:val="0"/>
              <w:tabs>
                <w:tab w:val="left" w:pos="0"/>
              </w:tabs>
              <w:jc w:val="center"/>
              <w:rPr>
                <w:rFonts w:ascii="Bookman Old Style" w:hAnsi="Bookman Old Style" w:cs="Arial"/>
                <w:b/>
                <w:color w:val="000000"/>
                <w:sz w:val="24"/>
                <w:szCs w:val="24"/>
              </w:rPr>
            </w:pPr>
            <w:r w:rsidRPr="00436E04">
              <w:rPr>
                <w:rFonts w:ascii="Bookman Old Style" w:hAnsi="Bookman Old Style" w:cs="Arial"/>
                <w:b/>
                <w:color w:val="000000"/>
                <w:sz w:val="24"/>
                <w:szCs w:val="24"/>
              </w:rPr>
              <w:t>Cubrimiento</w:t>
            </w:r>
          </w:p>
        </w:tc>
      </w:tr>
      <w:tr w:rsidR="00AD3B04" w14:paraId="64208DCD" w14:textId="77777777" w:rsidTr="00396483">
        <w:trPr>
          <w:jc w:val="center"/>
        </w:trPr>
        <w:tc>
          <w:tcPr>
            <w:tcW w:w="845" w:type="dxa"/>
          </w:tcPr>
          <w:p w14:paraId="7203B54D" w14:textId="77777777" w:rsidR="00AD3B04" w:rsidRDefault="00AD3B04" w:rsidP="000C233E">
            <w:pPr>
              <w:pStyle w:val="Estilo3"/>
              <w:widowControl w:val="0"/>
              <w:tabs>
                <w:tab w:val="left" w:pos="0"/>
              </w:tabs>
              <w:jc w:val="center"/>
              <w:rPr>
                <w:rFonts w:ascii="Bookman Old Style" w:hAnsi="Bookman Old Style" w:cs="Arial"/>
                <w:bCs/>
                <w:color w:val="000000"/>
                <w:sz w:val="24"/>
                <w:szCs w:val="24"/>
              </w:rPr>
            </w:pPr>
            <w:r>
              <w:rPr>
                <w:rFonts w:ascii="Bookman Old Style" w:hAnsi="Bookman Old Style" w:cs="Arial"/>
                <w:bCs/>
                <w:color w:val="000000"/>
                <w:sz w:val="24"/>
                <w:szCs w:val="24"/>
              </w:rPr>
              <w:t>1</w:t>
            </w:r>
          </w:p>
        </w:tc>
        <w:tc>
          <w:tcPr>
            <w:tcW w:w="3261" w:type="dxa"/>
          </w:tcPr>
          <w:p w14:paraId="134F4BED" w14:textId="6628C372" w:rsidR="00AD3B04" w:rsidRDefault="00AD3B04"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β=1,0</m:t>
                </m:r>
              </m:oMath>
            </m:oMathPara>
          </w:p>
        </w:tc>
      </w:tr>
      <w:tr w:rsidR="00AD3B04" w14:paraId="45048354" w14:textId="77777777" w:rsidTr="00396483">
        <w:trPr>
          <w:jc w:val="center"/>
        </w:trPr>
        <w:tc>
          <w:tcPr>
            <w:tcW w:w="845" w:type="dxa"/>
          </w:tcPr>
          <w:p w14:paraId="4FECCEFC" w14:textId="77777777" w:rsidR="00AD3B04" w:rsidRDefault="00AD3B04" w:rsidP="000C233E">
            <w:pPr>
              <w:pStyle w:val="Estilo3"/>
              <w:widowControl w:val="0"/>
              <w:tabs>
                <w:tab w:val="left" w:pos="0"/>
              </w:tabs>
              <w:jc w:val="center"/>
              <w:rPr>
                <w:rFonts w:ascii="Bookman Old Style" w:hAnsi="Bookman Old Style" w:cs="Arial"/>
                <w:bCs/>
                <w:color w:val="000000"/>
                <w:sz w:val="24"/>
                <w:szCs w:val="24"/>
              </w:rPr>
            </w:pPr>
            <w:r>
              <w:rPr>
                <w:rFonts w:ascii="Bookman Old Style" w:hAnsi="Bookman Old Style" w:cs="Arial"/>
                <w:bCs/>
                <w:color w:val="000000"/>
                <w:sz w:val="24"/>
                <w:szCs w:val="24"/>
              </w:rPr>
              <w:t>2</w:t>
            </w:r>
          </w:p>
        </w:tc>
        <w:tc>
          <w:tcPr>
            <w:tcW w:w="3261" w:type="dxa"/>
          </w:tcPr>
          <w:p w14:paraId="4ACD6766" w14:textId="3BCD092F" w:rsidR="00AD3B04" w:rsidRDefault="00AD3B04"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β=1,0</m:t>
                </m:r>
              </m:oMath>
            </m:oMathPara>
          </w:p>
        </w:tc>
      </w:tr>
      <w:tr w:rsidR="00AD3B04" w14:paraId="1CD5BC7C" w14:textId="77777777" w:rsidTr="00396483">
        <w:trPr>
          <w:jc w:val="center"/>
        </w:trPr>
        <w:tc>
          <w:tcPr>
            <w:tcW w:w="845" w:type="dxa"/>
          </w:tcPr>
          <w:p w14:paraId="592F0E19" w14:textId="77777777" w:rsidR="00AD3B04" w:rsidRDefault="00AD3B04" w:rsidP="000C233E">
            <w:pPr>
              <w:pStyle w:val="Estilo3"/>
              <w:widowControl w:val="0"/>
              <w:tabs>
                <w:tab w:val="left" w:pos="0"/>
              </w:tabs>
              <w:jc w:val="center"/>
              <w:rPr>
                <w:rFonts w:ascii="Bookman Old Style" w:hAnsi="Bookman Old Style" w:cs="Arial"/>
                <w:bCs/>
                <w:color w:val="000000"/>
                <w:sz w:val="24"/>
                <w:szCs w:val="24"/>
              </w:rPr>
            </w:pPr>
            <w:r>
              <w:rPr>
                <w:rFonts w:ascii="Bookman Old Style" w:hAnsi="Bookman Old Style" w:cs="Arial"/>
                <w:bCs/>
                <w:color w:val="000000"/>
                <w:sz w:val="24"/>
                <w:szCs w:val="24"/>
              </w:rPr>
              <w:lastRenderedPageBreak/>
              <w:t>3</w:t>
            </w:r>
          </w:p>
        </w:tc>
        <w:tc>
          <w:tcPr>
            <w:tcW w:w="3261" w:type="dxa"/>
          </w:tcPr>
          <w:p w14:paraId="7D3CB416" w14:textId="32362BC5" w:rsidR="00AD3B04" w:rsidRDefault="00AD3B04"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β=0,8</m:t>
                </m:r>
              </m:oMath>
            </m:oMathPara>
          </w:p>
        </w:tc>
      </w:tr>
      <w:tr w:rsidR="00AD3B04" w14:paraId="746087B8" w14:textId="77777777" w:rsidTr="00396483">
        <w:trPr>
          <w:jc w:val="center"/>
        </w:trPr>
        <w:tc>
          <w:tcPr>
            <w:tcW w:w="845" w:type="dxa"/>
          </w:tcPr>
          <w:p w14:paraId="4EACAAB3" w14:textId="77777777" w:rsidR="00AD3B04" w:rsidRDefault="00AD3B04" w:rsidP="000C233E">
            <w:pPr>
              <w:pStyle w:val="Estilo3"/>
              <w:widowControl w:val="0"/>
              <w:tabs>
                <w:tab w:val="left" w:pos="0"/>
              </w:tabs>
              <w:jc w:val="center"/>
              <w:rPr>
                <w:rFonts w:ascii="Bookman Old Style" w:hAnsi="Bookman Old Style" w:cs="Arial"/>
                <w:bCs/>
                <w:color w:val="000000"/>
                <w:sz w:val="24"/>
                <w:szCs w:val="24"/>
              </w:rPr>
            </w:pPr>
            <w:r>
              <w:rPr>
                <w:rFonts w:ascii="Bookman Old Style" w:hAnsi="Bookman Old Style" w:cs="Arial"/>
                <w:bCs/>
                <w:color w:val="000000"/>
                <w:sz w:val="24"/>
                <w:szCs w:val="24"/>
              </w:rPr>
              <w:t>4</w:t>
            </w:r>
          </w:p>
        </w:tc>
        <w:tc>
          <w:tcPr>
            <w:tcW w:w="3261" w:type="dxa"/>
          </w:tcPr>
          <w:p w14:paraId="511D8412" w14:textId="0BF23D19" w:rsidR="00AD3B04" w:rsidRDefault="00AD3B04"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β=0,6</m:t>
                </m:r>
              </m:oMath>
            </m:oMathPara>
          </w:p>
        </w:tc>
      </w:tr>
      <w:tr w:rsidR="00AD3B04" w14:paraId="1F85395E" w14:textId="77777777" w:rsidTr="00396483">
        <w:trPr>
          <w:jc w:val="center"/>
        </w:trPr>
        <w:tc>
          <w:tcPr>
            <w:tcW w:w="845" w:type="dxa"/>
          </w:tcPr>
          <w:p w14:paraId="36438E3D" w14:textId="77777777" w:rsidR="00AD3B04" w:rsidRDefault="00AD3B04" w:rsidP="000C233E">
            <w:pPr>
              <w:pStyle w:val="Estilo3"/>
              <w:widowControl w:val="0"/>
              <w:tabs>
                <w:tab w:val="left" w:pos="0"/>
              </w:tabs>
              <w:jc w:val="center"/>
              <w:rPr>
                <w:rFonts w:ascii="Bookman Old Style" w:hAnsi="Bookman Old Style" w:cs="Arial"/>
                <w:bCs/>
                <w:color w:val="000000"/>
                <w:sz w:val="24"/>
                <w:szCs w:val="24"/>
              </w:rPr>
            </w:pPr>
            <w:r>
              <w:rPr>
                <w:rFonts w:ascii="Bookman Old Style" w:hAnsi="Bookman Old Style" w:cs="Arial"/>
                <w:bCs/>
                <w:color w:val="000000"/>
                <w:sz w:val="24"/>
                <w:szCs w:val="24"/>
              </w:rPr>
              <w:t>5</w:t>
            </w:r>
          </w:p>
        </w:tc>
        <w:tc>
          <w:tcPr>
            <w:tcW w:w="3261" w:type="dxa"/>
          </w:tcPr>
          <w:p w14:paraId="58B47F51" w14:textId="1D8FFF9F" w:rsidR="00AD3B04" w:rsidRDefault="00AD3B04"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β=0,4</m:t>
                </m:r>
              </m:oMath>
            </m:oMathPara>
          </w:p>
        </w:tc>
      </w:tr>
      <w:tr w:rsidR="00AD3B04" w14:paraId="0DE4F0DC" w14:textId="77777777" w:rsidTr="00396483">
        <w:trPr>
          <w:jc w:val="center"/>
        </w:trPr>
        <w:tc>
          <w:tcPr>
            <w:tcW w:w="845" w:type="dxa"/>
          </w:tcPr>
          <w:p w14:paraId="54F6970D" w14:textId="77777777" w:rsidR="00AD3B04" w:rsidRDefault="00AD3B04" w:rsidP="000C233E">
            <w:pPr>
              <w:pStyle w:val="Estilo3"/>
              <w:widowControl w:val="0"/>
              <w:tabs>
                <w:tab w:val="left" w:pos="0"/>
              </w:tabs>
              <w:jc w:val="center"/>
              <w:rPr>
                <w:rFonts w:ascii="Bookman Old Style" w:hAnsi="Bookman Old Style" w:cs="Arial"/>
                <w:bCs/>
                <w:color w:val="000000"/>
                <w:sz w:val="24"/>
                <w:szCs w:val="24"/>
              </w:rPr>
            </w:pPr>
            <w:r>
              <w:rPr>
                <w:rFonts w:ascii="Bookman Old Style" w:hAnsi="Bookman Old Style" w:cs="Arial"/>
                <w:bCs/>
                <w:color w:val="000000"/>
                <w:sz w:val="24"/>
                <w:szCs w:val="24"/>
              </w:rPr>
              <w:t>6</w:t>
            </w:r>
          </w:p>
        </w:tc>
        <w:tc>
          <w:tcPr>
            <w:tcW w:w="3261" w:type="dxa"/>
          </w:tcPr>
          <w:p w14:paraId="130DA7A4" w14:textId="27774D8A" w:rsidR="00AD3B04" w:rsidRDefault="00AD3B04" w:rsidP="00601E09">
            <w:pPr>
              <w:pStyle w:val="Estilo3"/>
              <w:widowControl w:val="0"/>
              <w:tabs>
                <w:tab w:val="left" w:pos="0"/>
              </w:tabs>
              <w:jc w:val="both"/>
              <w:rPr>
                <w:rFonts w:ascii="Bookman Old Style" w:hAnsi="Bookman Old Style" w:cs="Arial"/>
                <w:bCs/>
                <w:color w:val="000000"/>
                <w:sz w:val="24"/>
                <w:szCs w:val="24"/>
              </w:rPr>
            </w:pPr>
            <m:oMathPara>
              <m:oMath>
                <m:r>
                  <w:rPr>
                    <w:rFonts w:ascii="Cambria Math" w:hAnsi="Cambria Math" w:cs="Arial"/>
                    <w:color w:val="000000"/>
                    <w:sz w:val="24"/>
                    <w:szCs w:val="24"/>
                  </w:rPr>
                  <m:t>β=0.0</m:t>
                </m:r>
              </m:oMath>
            </m:oMathPara>
          </w:p>
        </w:tc>
      </w:tr>
    </w:tbl>
    <w:p w14:paraId="45AADAF3" w14:textId="77777777" w:rsidR="00364E34" w:rsidRPr="0089508C" w:rsidRDefault="00364E34" w:rsidP="00AF44B9">
      <w:pPr>
        <w:rPr>
          <w:lang w:val="es-ES"/>
        </w:rPr>
      </w:pPr>
    </w:p>
    <w:p w14:paraId="768B2E5F" w14:textId="1CA05AAB" w:rsidR="00FA43FD" w:rsidRDefault="00FA43FD" w:rsidP="00FA43FD">
      <w:pPr>
        <w:pStyle w:val="Estilo3"/>
        <w:widowControl w:val="0"/>
        <w:tabs>
          <w:tab w:val="left" w:pos="0"/>
        </w:tabs>
        <w:ind w:left="851"/>
        <w:jc w:val="both"/>
        <w:rPr>
          <w:rFonts w:ascii="Bookman Old Style" w:hAnsi="Bookman Old Style"/>
          <w:sz w:val="24"/>
          <w:szCs w:val="24"/>
          <w:lang w:val="es-CO"/>
        </w:rPr>
      </w:pPr>
      <w:r>
        <w:rPr>
          <w:rFonts w:ascii="Bookman Old Style" w:hAnsi="Bookman Old Style"/>
          <w:sz w:val="24"/>
          <w:szCs w:val="24"/>
          <w:lang w:val="es-CO"/>
        </w:rPr>
        <w:t>Paso 2</w:t>
      </w:r>
    </w:p>
    <w:p w14:paraId="320207C1" w14:textId="77777777" w:rsidR="00AD2F59" w:rsidRDefault="00AD2F59" w:rsidP="00FA43FD">
      <w:pPr>
        <w:pStyle w:val="Estilo3"/>
        <w:widowControl w:val="0"/>
        <w:tabs>
          <w:tab w:val="left" w:pos="0"/>
        </w:tabs>
        <w:ind w:left="851"/>
        <w:jc w:val="both"/>
        <w:rPr>
          <w:rFonts w:ascii="Bookman Old Style" w:hAnsi="Bookman Old Style"/>
          <w:sz w:val="24"/>
          <w:szCs w:val="24"/>
          <w:lang w:val="es-CO"/>
        </w:rPr>
      </w:pPr>
    </w:p>
    <w:p w14:paraId="5A9D8EEB" w14:textId="341EF9A9" w:rsidR="004F0528" w:rsidRDefault="00126354" w:rsidP="00FA43FD">
      <w:pPr>
        <w:pStyle w:val="Estilo3"/>
        <w:widowControl w:val="0"/>
        <w:tabs>
          <w:tab w:val="left" w:pos="0"/>
        </w:tabs>
        <w:ind w:left="851"/>
        <w:jc w:val="both"/>
        <w:rPr>
          <w:rFonts w:ascii="Bookman Old Style" w:hAnsi="Bookman Old Style"/>
          <w:sz w:val="24"/>
          <w:szCs w:val="24"/>
          <w:lang w:val="es-CO"/>
        </w:rPr>
      </w:pPr>
      <w:r>
        <w:rPr>
          <w:rFonts w:ascii="Bookman Old Style" w:hAnsi="Bookman Old Style"/>
          <w:iCs/>
          <w:sz w:val="24"/>
          <w:szCs w:val="24"/>
          <w:lang w:val="es-CO"/>
        </w:rPr>
        <w:t>Con</w:t>
      </w:r>
      <w:r w:rsidR="00D2353F">
        <w:rPr>
          <w:rFonts w:ascii="Bookman Old Style" w:hAnsi="Bookman Old Style"/>
          <w:iCs/>
          <w:sz w:val="24"/>
          <w:szCs w:val="24"/>
          <w:lang w:val="es-CO"/>
        </w:rPr>
        <w:t xml:space="preserve"> el valor de la</w:t>
      </w:r>
      <w:r>
        <w:rPr>
          <w:rFonts w:ascii="Bookman Old Style" w:hAnsi="Bookman Old Style"/>
          <w:iCs/>
          <w:sz w:val="24"/>
          <w:szCs w:val="24"/>
          <w:lang w:val="es-CO"/>
        </w:rPr>
        <w:t xml:space="preserve"> </w:t>
      </w:r>
      <m:oMath>
        <m:r>
          <w:rPr>
            <w:rFonts w:ascii="Cambria Math" w:hAnsi="Cambria Math"/>
            <w:sz w:val="24"/>
            <w:szCs w:val="24"/>
            <w:lang w:val="es-CO"/>
          </w:rPr>
          <m:t>Tkc</m:t>
        </m:r>
      </m:oMath>
      <w:r w:rsidR="00D2353F">
        <w:rPr>
          <w:rFonts w:ascii="Bookman Old Style" w:hAnsi="Bookman Old Style"/>
          <w:iCs/>
          <w:sz w:val="24"/>
          <w:szCs w:val="24"/>
          <w:lang w:val="es-CO"/>
        </w:rPr>
        <w:t xml:space="preserve"> se calculará el valor presente </w:t>
      </w:r>
      <w:r w:rsidR="007C47EC">
        <w:rPr>
          <w:rFonts w:ascii="Bookman Old Style" w:hAnsi="Bookman Old Style"/>
          <w:iCs/>
          <w:sz w:val="24"/>
          <w:szCs w:val="24"/>
          <w:lang w:val="es-CO"/>
        </w:rPr>
        <w:t xml:space="preserve">de los cubrimientos del año 1 hasta el </w:t>
      </w:r>
      <w:r w:rsidR="00E770A7">
        <w:rPr>
          <w:rFonts w:ascii="Bookman Old Style" w:hAnsi="Bookman Old Style"/>
          <w:iCs/>
          <w:sz w:val="24"/>
          <w:szCs w:val="24"/>
          <w:lang w:val="es-CO"/>
        </w:rPr>
        <w:t>año 5</w:t>
      </w:r>
      <w:r w:rsidR="00E73338">
        <w:rPr>
          <w:rFonts w:ascii="Bookman Old Style" w:hAnsi="Bookman Old Style"/>
          <w:iCs/>
          <w:sz w:val="24"/>
          <w:szCs w:val="24"/>
          <w:lang w:val="es-CO"/>
        </w:rPr>
        <w:t xml:space="preserve">. </w:t>
      </w:r>
      <w:r w:rsidR="00DC7687">
        <w:rPr>
          <w:rFonts w:ascii="Bookman Old Style" w:hAnsi="Bookman Old Style"/>
          <w:iCs/>
          <w:sz w:val="24"/>
          <w:szCs w:val="24"/>
          <w:lang w:val="es-CO"/>
        </w:rPr>
        <w:t xml:space="preserve">Este valor </w:t>
      </w:r>
      <w:r w:rsidR="00653F2C">
        <w:rPr>
          <w:rFonts w:ascii="Bookman Old Style" w:hAnsi="Bookman Old Style"/>
          <w:iCs/>
          <w:sz w:val="24"/>
          <w:szCs w:val="24"/>
          <w:lang w:val="es-CO"/>
        </w:rPr>
        <w:t>estará expresado</w:t>
      </w:r>
      <w:r w:rsidR="005715F1">
        <w:rPr>
          <w:rFonts w:ascii="Bookman Old Style" w:hAnsi="Bookman Old Style"/>
          <w:iCs/>
          <w:sz w:val="24"/>
          <w:szCs w:val="24"/>
          <w:lang w:val="es-CO"/>
        </w:rPr>
        <w:t xml:space="preserve"> </w:t>
      </w:r>
      <w:r w:rsidR="00653F2C" w:rsidRPr="00532DF3">
        <w:rPr>
          <w:rFonts w:ascii="Bookman Old Style" w:hAnsi="Bookman Old Style"/>
          <w:sz w:val="24"/>
          <w:szCs w:val="24"/>
          <w:lang w:val="es-CO"/>
        </w:rPr>
        <w:t>en pesos colombianos de la fecha base</w:t>
      </w:r>
      <w:r w:rsidR="00C56FF4">
        <w:rPr>
          <w:rFonts w:ascii="Bookman Old Style" w:hAnsi="Bookman Old Style"/>
          <w:sz w:val="24"/>
          <w:szCs w:val="24"/>
          <w:lang w:val="es-CO"/>
        </w:rPr>
        <w:t>.</w:t>
      </w:r>
    </w:p>
    <w:p w14:paraId="3A58AD34" w14:textId="7634C109" w:rsidR="00C56FF4" w:rsidRDefault="00C56FF4" w:rsidP="00FA43FD">
      <w:pPr>
        <w:pStyle w:val="Estilo3"/>
        <w:widowControl w:val="0"/>
        <w:tabs>
          <w:tab w:val="left" w:pos="0"/>
        </w:tabs>
        <w:ind w:left="851"/>
        <w:jc w:val="both"/>
        <w:rPr>
          <w:rFonts w:ascii="Bookman Old Style" w:hAnsi="Bookman Old Style"/>
          <w:sz w:val="24"/>
          <w:szCs w:val="24"/>
          <w:lang w:val="es-CO"/>
        </w:rPr>
      </w:pPr>
    </w:p>
    <w:p w14:paraId="68F737E9" w14:textId="32AED3AD" w:rsidR="00C56FF4" w:rsidRDefault="00C56FF4" w:rsidP="00C56FF4">
      <w:pPr>
        <w:pStyle w:val="Estilo3"/>
        <w:widowControl w:val="0"/>
        <w:tabs>
          <w:tab w:val="left" w:pos="0"/>
        </w:tabs>
        <w:ind w:left="851"/>
        <w:jc w:val="both"/>
        <w:rPr>
          <w:rFonts w:ascii="Bookman Old Style" w:hAnsi="Bookman Old Style"/>
          <w:sz w:val="24"/>
          <w:szCs w:val="24"/>
          <w:lang w:val="es-CO"/>
        </w:rPr>
      </w:pPr>
      <w:r>
        <w:rPr>
          <w:rFonts w:ascii="Bookman Old Style" w:hAnsi="Bookman Old Style"/>
          <w:sz w:val="24"/>
          <w:szCs w:val="24"/>
          <w:lang w:val="es-CO"/>
        </w:rPr>
        <w:t>Paso 3</w:t>
      </w:r>
    </w:p>
    <w:p w14:paraId="6F28CF4A" w14:textId="77777777" w:rsidR="00C56FF4" w:rsidRDefault="00C56FF4" w:rsidP="00C56FF4">
      <w:pPr>
        <w:pStyle w:val="Estilo3"/>
        <w:widowControl w:val="0"/>
        <w:tabs>
          <w:tab w:val="left" w:pos="0"/>
        </w:tabs>
        <w:ind w:left="851"/>
        <w:jc w:val="both"/>
        <w:rPr>
          <w:rFonts w:ascii="Bookman Old Style" w:hAnsi="Bookman Old Style"/>
          <w:sz w:val="24"/>
          <w:szCs w:val="24"/>
          <w:lang w:val="es-CO"/>
        </w:rPr>
      </w:pPr>
    </w:p>
    <w:p w14:paraId="2BDDEFEF" w14:textId="45C94C14" w:rsidR="00776B0A" w:rsidRDefault="009E487F" w:rsidP="00AC62B9">
      <w:pPr>
        <w:pStyle w:val="Estilo3"/>
        <w:widowControl w:val="0"/>
        <w:tabs>
          <w:tab w:val="left" w:pos="0"/>
        </w:tabs>
        <w:ind w:left="851"/>
        <w:jc w:val="both"/>
        <w:rPr>
          <w:rFonts w:ascii="Bookman Old Style" w:hAnsi="Bookman Old Style"/>
          <w:iCs/>
          <w:sz w:val="24"/>
          <w:szCs w:val="24"/>
          <w:lang w:val="es-CO"/>
        </w:rPr>
      </w:pPr>
      <w:r>
        <w:rPr>
          <w:rFonts w:ascii="Bookman Old Style" w:hAnsi="Bookman Old Style"/>
          <w:iCs/>
          <w:sz w:val="24"/>
          <w:szCs w:val="24"/>
          <w:lang w:val="es-CO"/>
        </w:rPr>
        <w:t>Conforme a las disposiciones del numeral 18.1.3. del Artículo 18 de la presente resolución</w:t>
      </w:r>
      <w:r w:rsidRPr="00AC62B9">
        <w:rPr>
          <w:rFonts w:ascii="Bookman Old Style" w:hAnsi="Bookman Old Style"/>
          <w:iCs/>
          <w:sz w:val="24"/>
          <w:szCs w:val="24"/>
          <w:lang w:val="es-CO"/>
        </w:rPr>
        <w:t xml:space="preserve"> </w:t>
      </w:r>
      <w:r>
        <w:rPr>
          <w:rFonts w:ascii="Bookman Old Style" w:hAnsi="Bookman Old Style"/>
          <w:iCs/>
          <w:sz w:val="24"/>
          <w:szCs w:val="24"/>
          <w:lang w:val="es-CO"/>
        </w:rPr>
        <w:t xml:space="preserve">para la estimación </w:t>
      </w:r>
      <w:r w:rsidR="004666A2">
        <w:rPr>
          <w:rFonts w:ascii="Bookman Old Style" w:hAnsi="Bookman Old Style"/>
          <w:iCs/>
          <w:sz w:val="24"/>
          <w:szCs w:val="24"/>
          <w:lang w:val="es-CO"/>
        </w:rPr>
        <w:t xml:space="preserve">de los valores </w:t>
      </w:r>
      <m:oMath>
        <m:sSubSup>
          <m:sSubSupPr>
            <m:ctrlPr>
              <w:rPr>
                <w:rFonts w:ascii="Cambria Math" w:hAnsi="Cambria Math"/>
                <w:iCs/>
                <w:sz w:val="24"/>
                <w:szCs w:val="24"/>
                <w:lang w:val="es-CO"/>
              </w:rPr>
            </m:ctrlPr>
          </m:sSubSupPr>
          <m:e>
            <m:r>
              <w:rPr>
                <w:rFonts w:ascii="Cambria Math" w:hAnsi="Cambria Math"/>
                <w:sz w:val="24"/>
                <w:szCs w:val="24"/>
                <w:lang w:val="es-CO"/>
              </w:rPr>
              <m:t>AOM</m:t>
            </m:r>
          </m:e>
          <m:sub>
            <m:r>
              <w:rPr>
                <w:rFonts w:ascii="Cambria Math" w:hAnsi="Cambria Math"/>
                <w:sz w:val="24"/>
                <w:szCs w:val="24"/>
                <w:lang w:val="es-CO"/>
              </w:rPr>
              <m:t>t</m:t>
            </m:r>
          </m:sub>
          <m:sup>
            <m:r>
              <w:rPr>
                <w:rFonts w:ascii="Cambria Math" w:hAnsi="Cambria Math"/>
                <w:sz w:val="24"/>
                <w:szCs w:val="24"/>
                <w:lang w:val="es-CO"/>
              </w:rPr>
              <m:t>IE</m:t>
            </m:r>
          </m:sup>
        </m:sSubSup>
      </m:oMath>
      <w:r w:rsidR="00747FDA">
        <w:rPr>
          <w:rFonts w:ascii="Bookman Old Style" w:hAnsi="Bookman Old Style"/>
          <w:iCs/>
          <w:sz w:val="24"/>
          <w:szCs w:val="24"/>
          <w:lang w:val="es-CO"/>
        </w:rPr>
        <w:t xml:space="preserve">, </w:t>
      </w:r>
      <w:r w:rsidR="00CA65D3">
        <w:rPr>
          <w:rFonts w:ascii="Bookman Old Style" w:hAnsi="Bookman Old Style"/>
          <w:iCs/>
          <w:sz w:val="24"/>
          <w:szCs w:val="24"/>
          <w:lang w:val="es-CO"/>
        </w:rPr>
        <w:t xml:space="preserve">el valor que resulta del </w:t>
      </w:r>
      <w:r w:rsidR="004A7139">
        <w:rPr>
          <w:rFonts w:ascii="Bookman Old Style" w:hAnsi="Bookman Old Style"/>
          <w:iCs/>
          <w:sz w:val="24"/>
          <w:szCs w:val="24"/>
          <w:lang w:val="es-CO"/>
        </w:rPr>
        <w:t>Paso 2</w:t>
      </w:r>
      <w:r w:rsidR="009F5348" w:rsidRPr="00AC62B9">
        <w:rPr>
          <w:rFonts w:ascii="Bookman Old Style" w:hAnsi="Bookman Old Style"/>
          <w:iCs/>
          <w:sz w:val="24"/>
          <w:szCs w:val="24"/>
          <w:lang w:val="es-CO"/>
        </w:rPr>
        <w:t xml:space="preserve"> se </w:t>
      </w:r>
      <w:r w:rsidR="00FF4D44">
        <w:rPr>
          <w:rFonts w:ascii="Bookman Old Style" w:hAnsi="Bookman Old Style"/>
          <w:iCs/>
          <w:sz w:val="24"/>
          <w:szCs w:val="24"/>
          <w:lang w:val="es-CO"/>
        </w:rPr>
        <w:t>asignará</w:t>
      </w:r>
      <w:r w:rsidR="002226D9" w:rsidRPr="00AC62B9">
        <w:rPr>
          <w:rFonts w:ascii="Bookman Old Style" w:hAnsi="Bookman Old Style"/>
          <w:iCs/>
          <w:sz w:val="24"/>
          <w:szCs w:val="24"/>
          <w:lang w:val="es-CO"/>
        </w:rPr>
        <w:t xml:space="preserve"> a prorrata de los valores de </w:t>
      </w:r>
      <m:oMath>
        <m:sSubSup>
          <m:sSubSupPr>
            <m:ctrlPr>
              <w:rPr>
                <w:rFonts w:ascii="Cambria Math" w:hAnsi="Cambria Math"/>
                <w:iCs/>
                <w:sz w:val="24"/>
                <w:szCs w:val="24"/>
                <w:lang w:val="es-CO"/>
              </w:rPr>
            </m:ctrlPr>
          </m:sSubSupPr>
          <m:e>
            <m:r>
              <w:rPr>
                <w:rFonts w:ascii="Cambria Math" w:hAnsi="Cambria Math"/>
                <w:sz w:val="24"/>
                <w:szCs w:val="24"/>
                <w:lang w:val="es-CO"/>
              </w:rPr>
              <m:t>AOM</m:t>
            </m:r>
          </m:e>
          <m:sub>
            <m:r>
              <w:rPr>
                <w:rFonts w:ascii="Cambria Math" w:hAnsi="Cambria Math"/>
                <w:sz w:val="24"/>
                <w:szCs w:val="24"/>
                <w:lang w:val="es-CO"/>
              </w:rPr>
              <m:t>t</m:t>
            </m:r>
          </m:sub>
          <m:sup>
            <m:r>
              <w:rPr>
                <w:rFonts w:ascii="Cambria Math" w:hAnsi="Cambria Math"/>
                <w:sz w:val="24"/>
                <w:szCs w:val="24"/>
                <w:lang w:val="es-CO"/>
              </w:rPr>
              <m:t>IE</m:t>
            </m:r>
          </m:sup>
        </m:sSubSup>
      </m:oMath>
      <w:r w:rsidR="004D216C">
        <w:rPr>
          <w:rFonts w:ascii="Bookman Old Style" w:hAnsi="Bookman Old Style"/>
          <w:iCs/>
          <w:sz w:val="24"/>
          <w:szCs w:val="24"/>
          <w:lang w:val="es-CO"/>
        </w:rPr>
        <w:t xml:space="preserve">, </w:t>
      </w:r>
      <w:r w:rsidR="009D2262">
        <w:rPr>
          <w:rFonts w:ascii="Bookman Old Style" w:hAnsi="Bookman Old Style"/>
          <w:iCs/>
          <w:sz w:val="24"/>
          <w:szCs w:val="24"/>
          <w:lang w:val="es-CO"/>
        </w:rPr>
        <w:t xml:space="preserve">en </w:t>
      </w:r>
      <w:r w:rsidR="009D2262" w:rsidRPr="00AC62B9">
        <w:rPr>
          <w:rFonts w:ascii="Bookman Old Style" w:hAnsi="Bookman Old Style"/>
          <w:iCs/>
          <w:sz w:val="24"/>
          <w:szCs w:val="24"/>
          <w:lang w:val="es-CO"/>
        </w:rPr>
        <w:t>cada</w:t>
      </w:r>
      <w:r w:rsidR="00183030" w:rsidRPr="00AC62B9">
        <w:rPr>
          <w:rFonts w:ascii="Bookman Old Style" w:hAnsi="Bookman Old Style"/>
          <w:iCs/>
          <w:sz w:val="24"/>
          <w:szCs w:val="24"/>
          <w:lang w:val="es-CO"/>
        </w:rPr>
        <w:t xml:space="preserve"> tramo regulatorio o grupo de gasoductos </w:t>
      </w:r>
      <w:r w:rsidR="0044533F">
        <w:rPr>
          <w:rFonts w:ascii="Bookman Old Style" w:hAnsi="Bookman Old Style"/>
          <w:iCs/>
          <w:sz w:val="24"/>
          <w:szCs w:val="24"/>
          <w:lang w:val="es-CO"/>
        </w:rPr>
        <w:t xml:space="preserve">de </w:t>
      </w:r>
      <w:r w:rsidR="00FA27AD" w:rsidRPr="00AC62B9">
        <w:rPr>
          <w:rFonts w:ascii="Bookman Old Style" w:hAnsi="Bookman Old Style"/>
          <w:iCs/>
          <w:sz w:val="24"/>
          <w:szCs w:val="24"/>
          <w:lang w:val="es-CO"/>
        </w:rPr>
        <w:t>la empresa en su respectivo sistema de transporte de gas natural.</w:t>
      </w:r>
      <w:r w:rsidR="002602C7">
        <w:rPr>
          <w:rFonts w:ascii="Bookman Old Style" w:hAnsi="Bookman Old Style"/>
          <w:iCs/>
          <w:sz w:val="24"/>
          <w:szCs w:val="24"/>
          <w:lang w:val="es-CO"/>
        </w:rPr>
        <w:t xml:space="preserve"> Estos valores estarán expresados en pesos colombianos de la fecha base.</w:t>
      </w:r>
    </w:p>
    <w:p w14:paraId="5ED64890" w14:textId="77777777" w:rsidR="00046AC4" w:rsidRDefault="00046AC4" w:rsidP="00AC62B9">
      <w:pPr>
        <w:pStyle w:val="Estilo3"/>
        <w:widowControl w:val="0"/>
        <w:tabs>
          <w:tab w:val="left" w:pos="0"/>
        </w:tabs>
        <w:ind w:left="851"/>
        <w:jc w:val="both"/>
        <w:rPr>
          <w:rFonts w:ascii="Bookman Old Style" w:hAnsi="Bookman Old Style"/>
          <w:iCs/>
          <w:sz w:val="24"/>
          <w:szCs w:val="24"/>
          <w:lang w:val="es-CO"/>
        </w:rPr>
      </w:pPr>
    </w:p>
    <w:p w14:paraId="78349AF6" w14:textId="1A90BFDB" w:rsidR="00046AC4" w:rsidRDefault="00046AC4" w:rsidP="00AC62B9">
      <w:pPr>
        <w:pStyle w:val="Estilo3"/>
        <w:widowControl w:val="0"/>
        <w:tabs>
          <w:tab w:val="left" w:pos="0"/>
        </w:tabs>
        <w:ind w:left="851"/>
        <w:jc w:val="both"/>
        <w:rPr>
          <w:rFonts w:ascii="Bookman Old Style" w:hAnsi="Bookman Old Style"/>
          <w:iCs/>
          <w:sz w:val="24"/>
          <w:szCs w:val="24"/>
          <w:lang w:val="es-CO"/>
        </w:rPr>
      </w:pPr>
      <w:r>
        <w:rPr>
          <w:rFonts w:ascii="Bookman Old Style" w:hAnsi="Bookman Old Style"/>
          <w:iCs/>
          <w:sz w:val="24"/>
          <w:szCs w:val="24"/>
          <w:lang w:val="es-CO"/>
        </w:rPr>
        <w:t>Paso 4</w:t>
      </w:r>
    </w:p>
    <w:p w14:paraId="783A7934" w14:textId="77777777" w:rsidR="00046AC4" w:rsidRDefault="00046AC4" w:rsidP="00AC62B9">
      <w:pPr>
        <w:pStyle w:val="Estilo3"/>
        <w:widowControl w:val="0"/>
        <w:tabs>
          <w:tab w:val="left" w:pos="0"/>
        </w:tabs>
        <w:ind w:left="851"/>
        <w:jc w:val="both"/>
        <w:rPr>
          <w:rFonts w:ascii="Bookman Old Style" w:hAnsi="Bookman Old Style"/>
          <w:iCs/>
          <w:sz w:val="24"/>
          <w:szCs w:val="24"/>
          <w:lang w:val="es-CO"/>
        </w:rPr>
      </w:pPr>
    </w:p>
    <w:p w14:paraId="59982B44" w14:textId="146B4A77" w:rsidR="005C458C" w:rsidRDefault="007B3244" w:rsidP="005C458C">
      <w:pPr>
        <w:pStyle w:val="Estilo3"/>
        <w:widowControl w:val="0"/>
        <w:tabs>
          <w:tab w:val="left" w:pos="0"/>
        </w:tabs>
        <w:ind w:left="851"/>
        <w:jc w:val="both"/>
        <w:rPr>
          <w:rFonts w:ascii="Bookman Old Style" w:hAnsi="Bookman Old Style"/>
          <w:iCs/>
          <w:sz w:val="24"/>
          <w:szCs w:val="24"/>
          <w:lang w:val="es-CO"/>
        </w:rPr>
      </w:pPr>
      <w:r>
        <w:rPr>
          <w:rFonts w:ascii="Bookman Old Style" w:hAnsi="Bookman Old Style"/>
          <w:iCs/>
          <w:sz w:val="24"/>
          <w:szCs w:val="24"/>
          <w:lang w:val="es-CO"/>
        </w:rPr>
        <w:t>En cada tra</w:t>
      </w:r>
      <w:r w:rsidR="00044FF7">
        <w:rPr>
          <w:rFonts w:ascii="Bookman Old Style" w:hAnsi="Bookman Old Style"/>
          <w:iCs/>
          <w:sz w:val="24"/>
          <w:szCs w:val="24"/>
          <w:lang w:val="es-CO"/>
        </w:rPr>
        <w:t xml:space="preserve">mo regulatorio o grupo de </w:t>
      </w:r>
      <w:r w:rsidR="00BA4D12">
        <w:rPr>
          <w:rFonts w:ascii="Bookman Old Style" w:hAnsi="Bookman Old Style"/>
          <w:iCs/>
          <w:sz w:val="24"/>
          <w:szCs w:val="24"/>
          <w:lang w:val="es-CO"/>
        </w:rPr>
        <w:t>gasoductos</w:t>
      </w:r>
      <w:r w:rsidR="00DD3B77">
        <w:rPr>
          <w:rFonts w:ascii="Bookman Old Style" w:hAnsi="Bookman Old Style"/>
          <w:iCs/>
          <w:sz w:val="24"/>
          <w:szCs w:val="24"/>
          <w:lang w:val="es-CO"/>
        </w:rPr>
        <w:t xml:space="preserve">, </w:t>
      </w:r>
      <w:r w:rsidR="00193015">
        <w:rPr>
          <w:rFonts w:ascii="Bookman Old Style" w:hAnsi="Bookman Old Style"/>
          <w:iCs/>
          <w:sz w:val="24"/>
          <w:szCs w:val="24"/>
          <w:lang w:val="es-CO"/>
        </w:rPr>
        <w:t>c</w:t>
      </w:r>
      <w:r w:rsidR="00804D8F">
        <w:rPr>
          <w:rFonts w:ascii="Bookman Old Style" w:hAnsi="Bookman Old Style"/>
          <w:iCs/>
          <w:sz w:val="24"/>
          <w:szCs w:val="24"/>
          <w:lang w:val="es-CO"/>
        </w:rPr>
        <w:t xml:space="preserve">on el valor de la </w:t>
      </w:r>
      <m:oMath>
        <m:r>
          <w:rPr>
            <w:rFonts w:ascii="Cambria Math" w:hAnsi="Cambria Math"/>
            <w:sz w:val="24"/>
            <w:szCs w:val="24"/>
            <w:lang w:val="es-CO"/>
          </w:rPr>
          <m:t>Tkc</m:t>
        </m:r>
      </m:oMath>
      <w:r w:rsidR="00804D8F">
        <w:rPr>
          <w:rFonts w:ascii="Bookman Old Style" w:hAnsi="Bookman Old Style"/>
          <w:iCs/>
          <w:sz w:val="24"/>
          <w:szCs w:val="24"/>
          <w:lang w:val="es-CO"/>
        </w:rPr>
        <w:t xml:space="preserve"> se c</w:t>
      </w:r>
      <w:proofErr w:type="spellStart"/>
      <w:r w:rsidR="0036461E">
        <w:rPr>
          <w:rFonts w:ascii="Bookman Old Style" w:hAnsi="Bookman Old Style"/>
          <w:iCs/>
          <w:sz w:val="24"/>
          <w:szCs w:val="24"/>
          <w:lang w:val="es-CO"/>
        </w:rPr>
        <w:t>alculará</w:t>
      </w:r>
      <w:proofErr w:type="spellEnd"/>
      <w:r w:rsidR="0036461E">
        <w:rPr>
          <w:rFonts w:ascii="Bookman Old Style" w:hAnsi="Bookman Old Style"/>
          <w:iCs/>
          <w:sz w:val="24"/>
          <w:szCs w:val="24"/>
          <w:lang w:val="es-CO"/>
        </w:rPr>
        <w:t xml:space="preserve"> el valor presente de los valores de la demanda esperada de capacidad</w:t>
      </w:r>
      <w:r w:rsidR="00D47AA7">
        <w:rPr>
          <w:rFonts w:ascii="Bookman Old Style" w:hAnsi="Bookman Old Style"/>
          <w:iCs/>
          <w:sz w:val="24"/>
          <w:szCs w:val="24"/>
          <w:lang w:val="es-CO"/>
        </w:rPr>
        <w:t xml:space="preserve"> de los primeros cinco años del horizonte de proyección </w:t>
      </w:r>
      <w:r w:rsidR="007B3E1B">
        <w:rPr>
          <w:rFonts w:ascii="Bookman Old Style" w:hAnsi="Bookman Old Style"/>
          <w:iCs/>
          <w:sz w:val="24"/>
          <w:szCs w:val="24"/>
          <w:lang w:val="es-CO"/>
        </w:rPr>
        <w:t xml:space="preserve">considerando </w:t>
      </w:r>
      <w:r w:rsidR="005E3CC4">
        <w:rPr>
          <w:rFonts w:ascii="Bookman Old Style" w:hAnsi="Bookman Old Style"/>
          <w:iCs/>
          <w:sz w:val="24"/>
          <w:szCs w:val="24"/>
          <w:lang w:val="es-CO"/>
        </w:rPr>
        <w:t xml:space="preserve">el valor de la </w:t>
      </w:r>
      <w:r w:rsidR="00430F84">
        <w:rPr>
          <w:rFonts w:ascii="Bookman Old Style" w:hAnsi="Bookman Old Style"/>
          <w:iCs/>
          <w:sz w:val="24"/>
          <w:szCs w:val="24"/>
          <w:lang w:val="es-CO"/>
        </w:rPr>
        <w:t xml:space="preserve">demanda esperada de capacidad </w:t>
      </w:r>
      <w:r w:rsidR="002F5F6C">
        <w:rPr>
          <w:rFonts w:ascii="Bookman Old Style" w:hAnsi="Bookman Old Style"/>
          <w:iCs/>
          <w:sz w:val="24"/>
          <w:szCs w:val="24"/>
          <w:lang w:val="es-CO"/>
        </w:rPr>
        <w:t>asociada a la inversión existente,</w:t>
      </w:r>
      <w:r w:rsidR="00BB00BA" w:rsidRPr="00BB00BA">
        <w:rPr>
          <w:rFonts w:ascii="Cambria Math" w:hAnsi="Cambria Math"/>
          <w:i/>
          <w:color w:val="000000"/>
        </w:rPr>
        <w:t xml:space="preserve"> </w:t>
      </w:r>
      <m:oMath>
        <m:sSubSup>
          <m:sSubSupPr>
            <m:ctrlPr>
              <w:rPr>
                <w:rFonts w:ascii="Cambria Math" w:hAnsi="Cambria Math"/>
                <w:i/>
                <w:color w:val="000000"/>
              </w:rPr>
            </m:ctrlPr>
          </m:sSubSupPr>
          <m:e>
            <m:r>
              <w:rPr>
                <w:rFonts w:ascii="Cambria Math" w:hAnsi="Cambria Math"/>
              </w:rPr>
              <m:t>DEC</m:t>
            </m:r>
          </m:e>
          <m:sub>
            <m:r>
              <w:rPr>
                <w:rFonts w:ascii="Cambria Math" w:hAnsi="Cambria Math"/>
                <w:color w:val="000000"/>
              </w:rPr>
              <m:t>t</m:t>
            </m:r>
          </m:sub>
          <m:sup>
            <m:r>
              <w:rPr>
                <w:rFonts w:ascii="Cambria Math" w:hAnsi="Cambria Math"/>
                <w:color w:val="000000"/>
              </w:rPr>
              <m:t>a</m:t>
            </m:r>
          </m:sup>
        </m:sSubSup>
      </m:oMath>
      <w:r w:rsidR="005C458C">
        <w:rPr>
          <w:rFonts w:ascii="Bookman Old Style" w:hAnsi="Bookman Old Style"/>
          <w:iCs/>
          <w:sz w:val="24"/>
          <w:szCs w:val="24"/>
          <w:lang w:val="es-CO"/>
        </w:rPr>
        <w:t xml:space="preserve">, </w:t>
      </w:r>
      <w:r w:rsidR="006F5243">
        <w:rPr>
          <w:rFonts w:ascii="Bookman Old Style" w:hAnsi="Bookman Old Style"/>
          <w:iCs/>
          <w:sz w:val="24"/>
          <w:szCs w:val="24"/>
          <w:lang w:val="es-CO"/>
        </w:rPr>
        <w:t xml:space="preserve">la </w:t>
      </w:r>
      <w:r w:rsidR="001E37F2">
        <w:rPr>
          <w:rFonts w:ascii="Bookman Old Style" w:hAnsi="Bookman Old Style"/>
          <w:iCs/>
          <w:sz w:val="24"/>
          <w:szCs w:val="24"/>
          <w:lang w:val="es-CO"/>
        </w:rPr>
        <w:t xml:space="preserve">demanda esperada de capacidad </w:t>
      </w:r>
      <w:r w:rsidR="008A1ED0">
        <w:rPr>
          <w:rFonts w:ascii="Bookman Old Style" w:hAnsi="Bookman Old Style"/>
          <w:iCs/>
          <w:sz w:val="24"/>
          <w:szCs w:val="24"/>
          <w:lang w:val="es-CO"/>
        </w:rPr>
        <w:t xml:space="preserve">asociada </w:t>
      </w:r>
      <w:r w:rsidR="000E2BC3">
        <w:rPr>
          <w:rFonts w:ascii="Bookman Old Style" w:hAnsi="Bookman Old Style"/>
          <w:iCs/>
          <w:sz w:val="24"/>
          <w:szCs w:val="24"/>
          <w:lang w:val="es-CO"/>
        </w:rPr>
        <w:t xml:space="preserve">a la inversión </w:t>
      </w:r>
      <w:r w:rsidR="00371D54">
        <w:rPr>
          <w:rFonts w:ascii="Bookman Old Style" w:hAnsi="Bookman Old Style"/>
          <w:iCs/>
          <w:sz w:val="24"/>
          <w:szCs w:val="24"/>
          <w:lang w:val="es-CO"/>
        </w:rPr>
        <w:t>tipo II</w:t>
      </w:r>
      <w:r w:rsidR="00D5016A">
        <w:rPr>
          <w:rFonts w:ascii="Bookman Old Style" w:hAnsi="Bookman Old Style"/>
          <w:iCs/>
          <w:sz w:val="24"/>
          <w:szCs w:val="24"/>
          <w:lang w:val="es-CO"/>
        </w:rPr>
        <w:t>,</w:t>
      </w:r>
      <w:r w:rsidR="00BE1A2A" w:rsidRPr="00BE1A2A">
        <w:rPr>
          <w:rFonts w:ascii="Cambria Math" w:hAnsi="Cambria Math"/>
          <w:i/>
        </w:rPr>
        <w:t xml:space="preserve"> </w:t>
      </w:r>
      <m:oMath>
        <m:sSubSup>
          <m:sSubSupPr>
            <m:ctrlPr>
              <w:rPr>
                <w:rFonts w:ascii="Cambria Math" w:hAnsi="Cambria Math"/>
                <w:i/>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PNI</m:t>
            </m:r>
            <m:r>
              <w:rPr>
                <w:rFonts w:ascii="Cambria Math" w:hAnsi="Cambria Math"/>
                <w:lang w:val="es-ES"/>
              </w:rPr>
              <m:t>_</m:t>
            </m:r>
            <m:r>
              <w:rPr>
                <w:rFonts w:ascii="Cambria Math" w:hAnsi="Cambria Math"/>
                <w:lang w:val="en-US"/>
              </w:rPr>
              <m:t>II</m:t>
            </m:r>
          </m:sup>
        </m:sSubSup>
      </m:oMath>
      <w:r w:rsidR="008C2612">
        <w:rPr>
          <w:rFonts w:ascii="Bookman Old Style" w:hAnsi="Bookman Old Style"/>
          <w:bCs/>
          <w:color w:val="000000"/>
          <w:sz w:val="24"/>
          <w:szCs w:val="24"/>
        </w:rPr>
        <w:t xml:space="preserve"> y </w:t>
      </w:r>
      <w:r w:rsidR="00AC3B91">
        <w:rPr>
          <w:rFonts w:ascii="Bookman Old Style" w:hAnsi="Bookman Old Style"/>
          <w:bCs/>
          <w:color w:val="000000"/>
          <w:sz w:val="24"/>
          <w:szCs w:val="24"/>
        </w:rPr>
        <w:t xml:space="preserve">la demanda esperada de capacidad </w:t>
      </w:r>
      <w:r w:rsidR="00830B0B">
        <w:rPr>
          <w:rFonts w:ascii="Bookman Old Style" w:hAnsi="Bookman Old Style"/>
          <w:bCs/>
          <w:color w:val="000000"/>
          <w:sz w:val="24"/>
          <w:szCs w:val="24"/>
        </w:rPr>
        <w:t xml:space="preserve">asociada a proyectos </w:t>
      </w:r>
      <w:proofErr w:type="spellStart"/>
      <w:r w:rsidR="00407B84">
        <w:rPr>
          <w:rFonts w:ascii="Bookman Old Style" w:hAnsi="Bookman Old Style"/>
          <w:bCs/>
          <w:color w:val="000000"/>
          <w:sz w:val="24"/>
          <w:szCs w:val="24"/>
        </w:rPr>
        <w:t>IAC</w:t>
      </w:r>
      <w:proofErr w:type="spellEnd"/>
      <w:r w:rsidR="004F2302">
        <w:rPr>
          <w:rFonts w:ascii="Bookman Old Style" w:hAnsi="Bookman Old Style"/>
          <w:bCs/>
          <w:color w:val="000000"/>
          <w:sz w:val="24"/>
          <w:szCs w:val="24"/>
        </w:rPr>
        <w:t xml:space="preserve">, </w:t>
      </w:r>
      <m:oMath>
        <m:sSubSup>
          <m:sSubSupPr>
            <m:ctrlPr>
              <w:rPr>
                <w:rFonts w:ascii="Cambria Math" w:hAnsi="Cambria Math" w:cs="Arial"/>
                <w:i/>
                <w:color w:val="000000"/>
              </w:rPr>
            </m:ctrlPr>
          </m:sSubSupPr>
          <m:e>
            <m:r>
              <w:rPr>
                <w:rFonts w:ascii="Cambria Math" w:hAnsi="Cambria Math" w:cs="Arial"/>
                <w:color w:val="000000"/>
              </w:rPr>
              <m:t>DEC</m:t>
            </m:r>
          </m:e>
          <m:sub>
            <m:r>
              <w:rPr>
                <w:rFonts w:ascii="Cambria Math" w:hAnsi="Cambria Math" w:cs="Arial"/>
                <w:color w:val="000000"/>
              </w:rPr>
              <m:t>t</m:t>
            </m:r>
          </m:sub>
          <m:sup>
            <m:r>
              <w:rPr>
                <w:rFonts w:ascii="Cambria Math" w:hAnsi="Cambria Math" w:cs="Arial"/>
                <w:color w:val="000000"/>
              </w:rPr>
              <m:t>IAC</m:t>
            </m:r>
          </m:sup>
        </m:sSubSup>
      </m:oMath>
      <w:r w:rsidR="00295440">
        <w:rPr>
          <w:rFonts w:ascii="Bookman Old Style" w:hAnsi="Bookman Old Style"/>
          <w:color w:val="000000"/>
        </w:rPr>
        <w:t xml:space="preserve">. </w:t>
      </w:r>
      <w:r w:rsidR="00295440" w:rsidRPr="004C02BC">
        <w:rPr>
          <w:rFonts w:ascii="Bookman Old Style" w:hAnsi="Bookman Old Style"/>
          <w:iCs/>
          <w:sz w:val="24"/>
          <w:szCs w:val="24"/>
          <w:lang w:val="es-CO"/>
        </w:rPr>
        <w:t>Est</w:t>
      </w:r>
      <w:r w:rsidR="00C03B42">
        <w:rPr>
          <w:rFonts w:ascii="Bookman Old Style" w:hAnsi="Bookman Old Style"/>
          <w:iCs/>
          <w:sz w:val="24"/>
          <w:szCs w:val="24"/>
          <w:lang w:val="es-CO"/>
        </w:rPr>
        <w:t xml:space="preserve">e valor estará expresado </w:t>
      </w:r>
      <w:r w:rsidR="004E6199">
        <w:rPr>
          <w:rFonts w:ascii="Bookman Old Style" w:hAnsi="Bookman Old Style"/>
          <w:iCs/>
          <w:sz w:val="24"/>
          <w:szCs w:val="24"/>
          <w:lang w:val="es-CO"/>
        </w:rPr>
        <w:t xml:space="preserve">en </w:t>
      </w:r>
      <w:proofErr w:type="spellStart"/>
      <w:r w:rsidR="004E6199">
        <w:rPr>
          <w:rFonts w:ascii="Bookman Old Style" w:hAnsi="Bookman Old Style"/>
          <w:iCs/>
          <w:sz w:val="24"/>
          <w:szCs w:val="24"/>
          <w:lang w:val="es-CO"/>
        </w:rPr>
        <w:t>kpcd</w:t>
      </w:r>
      <w:proofErr w:type="spellEnd"/>
      <w:r w:rsidR="004E6199">
        <w:rPr>
          <w:rFonts w:ascii="Bookman Old Style" w:hAnsi="Bookman Old Style"/>
          <w:iCs/>
          <w:sz w:val="24"/>
          <w:szCs w:val="24"/>
          <w:lang w:val="es-CO"/>
        </w:rPr>
        <w:t xml:space="preserve"> – año.</w:t>
      </w:r>
    </w:p>
    <w:p w14:paraId="38942D33" w14:textId="77777777" w:rsidR="00DB00A4" w:rsidRDefault="00DB00A4" w:rsidP="005C458C">
      <w:pPr>
        <w:pStyle w:val="Estilo3"/>
        <w:widowControl w:val="0"/>
        <w:tabs>
          <w:tab w:val="left" w:pos="0"/>
        </w:tabs>
        <w:ind w:left="851"/>
        <w:jc w:val="both"/>
        <w:rPr>
          <w:rFonts w:ascii="Bookman Old Style" w:hAnsi="Bookman Old Style"/>
          <w:iCs/>
          <w:sz w:val="24"/>
          <w:szCs w:val="24"/>
          <w:lang w:val="es-CO"/>
        </w:rPr>
      </w:pPr>
    </w:p>
    <w:p w14:paraId="5982AFD8" w14:textId="6D7001B4" w:rsidR="00DB00A4" w:rsidRDefault="00DB00A4" w:rsidP="005C458C">
      <w:pPr>
        <w:pStyle w:val="Estilo3"/>
        <w:widowControl w:val="0"/>
        <w:tabs>
          <w:tab w:val="left" w:pos="0"/>
        </w:tabs>
        <w:ind w:left="851"/>
        <w:jc w:val="both"/>
        <w:rPr>
          <w:rFonts w:ascii="Bookman Old Style" w:hAnsi="Bookman Old Style"/>
          <w:iCs/>
          <w:sz w:val="24"/>
          <w:szCs w:val="24"/>
          <w:lang w:val="es-CO"/>
        </w:rPr>
      </w:pPr>
      <w:r>
        <w:rPr>
          <w:rFonts w:ascii="Bookman Old Style" w:hAnsi="Bookman Old Style"/>
          <w:iCs/>
          <w:sz w:val="24"/>
          <w:szCs w:val="24"/>
          <w:lang w:val="es-CO"/>
        </w:rPr>
        <w:t>Paso 5</w:t>
      </w:r>
    </w:p>
    <w:p w14:paraId="2A8FD2C2" w14:textId="77777777" w:rsidR="00DE0580" w:rsidRDefault="00DE0580" w:rsidP="005C458C">
      <w:pPr>
        <w:pStyle w:val="Estilo3"/>
        <w:widowControl w:val="0"/>
        <w:tabs>
          <w:tab w:val="left" w:pos="0"/>
        </w:tabs>
        <w:ind w:left="851"/>
        <w:jc w:val="both"/>
        <w:rPr>
          <w:rFonts w:ascii="Bookman Old Style" w:hAnsi="Bookman Old Style"/>
          <w:iCs/>
          <w:sz w:val="24"/>
          <w:szCs w:val="24"/>
          <w:lang w:val="es-CO"/>
        </w:rPr>
      </w:pPr>
    </w:p>
    <w:p w14:paraId="372F1125" w14:textId="16DA3C8A" w:rsidR="00B4431D" w:rsidRDefault="00B4431D" w:rsidP="005C458C">
      <w:pPr>
        <w:pStyle w:val="Estilo3"/>
        <w:widowControl w:val="0"/>
        <w:tabs>
          <w:tab w:val="left" w:pos="0"/>
        </w:tabs>
        <w:ind w:left="851"/>
        <w:jc w:val="both"/>
        <w:rPr>
          <w:rFonts w:ascii="Bookman Old Style" w:hAnsi="Bookman Old Style"/>
          <w:iCs/>
          <w:sz w:val="24"/>
          <w:szCs w:val="24"/>
          <w:lang w:val="es-CO"/>
        </w:rPr>
      </w:pPr>
      <w:r>
        <w:rPr>
          <w:rFonts w:ascii="Bookman Old Style" w:hAnsi="Bookman Old Style"/>
          <w:iCs/>
          <w:sz w:val="24"/>
          <w:szCs w:val="24"/>
          <w:lang w:val="es-CO"/>
        </w:rPr>
        <w:t xml:space="preserve">El valor </w:t>
      </w:r>
      <w:r w:rsidR="00B54143">
        <w:rPr>
          <w:rFonts w:ascii="Bookman Old Style" w:hAnsi="Bookman Old Style"/>
          <w:iCs/>
          <w:sz w:val="24"/>
          <w:szCs w:val="24"/>
          <w:lang w:val="es-CO"/>
        </w:rPr>
        <w:t xml:space="preserve">de </w:t>
      </w:r>
      <m:oMath>
        <m:r>
          <w:rPr>
            <w:rFonts w:ascii="Cambria Math" w:hAnsi="Cambria Math"/>
            <w:sz w:val="24"/>
            <w:szCs w:val="24"/>
            <w:lang w:val="es-CO"/>
          </w:rPr>
          <m:t>CUSD</m:t>
        </m:r>
      </m:oMath>
      <w:r w:rsidR="00B54143">
        <w:rPr>
          <w:rFonts w:ascii="Bookman Old Style" w:hAnsi="Bookman Old Style"/>
          <w:iCs/>
          <w:sz w:val="24"/>
          <w:szCs w:val="24"/>
          <w:lang w:val="es-CO"/>
        </w:rPr>
        <w:t xml:space="preserve"> resultará de dividir el valor </w:t>
      </w:r>
      <w:r w:rsidR="00EF3B2B">
        <w:rPr>
          <w:rFonts w:ascii="Bookman Old Style" w:hAnsi="Bookman Old Style"/>
          <w:iCs/>
          <w:sz w:val="24"/>
          <w:szCs w:val="24"/>
          <w:lang w:val="es-CO"/>
        </w:rPr>
        <w:t xml:space="preserve">que resulta del Paso 3 sobre el valor que resulta del Paso 4. </w:t>
      </w:r>
      <w:r w:rsidR="007A45E7">
        <w:rPr>
          <w:rFonts w:ascii="Bookman Old Style" w:hAnsi="Bookman Old Style"/>
          <w:iCs/>
          <w:sz w:val="24"/>
          <w:szCs w:val="24"/>
          <w:lang w:val="es-CO"/>
        </w:rPr>
        <w:t xml:space="preserve">Este valor estará expresado </w:t>
      </w:r>
      <w:r w:rsidR="005C65E7">
        <w:rPr>
          <w:rFonts w:ascii="Bookman Old Style" w:hAnsi="Bookman Old Style"/>
          <w:iCs/>
          <w:sz w:val="24"/>
          <w:szCs w:val="24"/>
          <w:lang w:val="es-CO"/>
        </w:rPr>
        <w:t xml:space="preserve">en pesos colombianos de </w:t>
      </w:r>
      <w:r w:rsidR="006D1E4C">
        <w:rPr>
          <w:rFonts w:ascii="Bookman Old Style" w:hAnsi="Bookman Old Style"/>
          <w:iCs/>
          <w:sz w:val="24"/>
          <w:szCs w:val="24"/>
          <w:lang w:val="es-CO"/>
        </w:rPr>
        <w:t xml:space="preserve">la fecha base por </w:t>
      </w:r>
      <w:proofErr w:type="spellStart"/>
      <w:r w:rsidR="006D1E4C">
        <w:rPr>
          <w:rFonts w:ascii="Bookman Old Style" w:hAnsi="Bookman Old Style"/>
          <w:iCs/>
          <w:sz w:val="24"/>
          <w:szCs w:val="24"/>
          <w:lang w:val="es-CO"/>
        </w:rPr>
        <w:t>kpcd</w:t>
      </w:r>
      <w:proofErr w:type="spellEnd"/>
      <w:r w:rsidR="006D1E4C">
        <w:rPr>
          <w:rFonts w:ascii="Bookman Old Style" w:hAnsi="Bookman Old Style"/>
          <w:iCs/>
          <w:sz w:val="24"/>
          <w:szCs w:val="24"/>
          <w:lang w:val="es-CO"/>
        </w:rPr>
        <w:t xml:space="preserve"> </w:t>
      </w:r>
      <w:r w:rsidR="00DF44F0">
        <w:rPr>
          <w:rFonts w:ascii="Bookman Old Style" w:hAnsi="Bookman Old Style"/>
          <w:iCs/>
          <w:sz w:val="24"/>
          <w:szCs w:val="24"/>
          <w:lang w:val="es-CO"/>
        </w:rPr>
        <w:t>–</w:t>
      </w:r>
      <w:r w:rsidR="006D1E4C">
        <w:rPr>
          <w:rFonts w:ascii="Bookman Old Style" w:hAnsi="Bookman Old Style"/>
          <w:iCs/>
          <w:sz w:val="24"/>
          <w:szCs w:val="24"/>
          <w:lang w:val="es-CO"/>
        </w:rPr>
        <w:t xml:space="preserve"> año</w:t>
      </w:r>
      <w:r w:rsidR="00DF44F0">
        <w:rPr>
          <w:rFonts w:ascii="Bookman Old Style" w:hAnsi="Bookman Old Style"/>
          <w:iCs/>
          <w:sz w:val="24"/>
          <w:szCs w:val="24"/>
          <w:lang w:val="es-CO"/>
        </w:rPr>
        <w:t>.</w:t>
      </w:r>
    </w:p>
    <w:p w14:paraId="74187DEA" w14:textId="77777777" w:rsidR="00A367CF" w:rsidRDefault="00A367CF" w:rsidP="005C458C">
      <w:pPr>
        <w:pStyle w:val="Estilo3"/>
        <w:widowControl w:val="0"/>
        <w:tabs>
          <w:tab w:val="left" w:pos="0"/>
        </w:tabs>
        <w:ind w:left="851"/>
        <w:jc w:val="both"/>
        <w:rPr>
          <w:rFonts w:ascii="Bookman Old Style" w:hAnsi="Bookman Old Style"/>
          <w:iCs/>
          <w:sz w:val="24"/>
          <w:szCs w:val="24"/>
          <w:lang w:val="es-CO"/>
        </w:rPr>
      </w:pPr>
    </w:p>
    <w:p w14:paraId="6A34E213" w14:textId="0D914395" w:rsidR="00A367CF" w:rsidRPr="00A54A93" w:rsidRDefault="00937411" w:rsidP="00950D74">
      <w:pPr>
        <w:pStyle w:val="Estilo3"/>
        <w:widowControl w:val="0"/>
        <w:numPr>
          <w:ilvl w:val="8"/>
          <w:numId w:val="8"/>
        </w:numPr>
        <w:tabs>
          <w:tab w:val="left" w:pos="0"/>
        </w:tabs>
        <w:ind w:left="851" w:hanging="284"/>
        <w:jc w:val="both"/>
        <w:rPr>
          <w:rFonts w:ascii="Bookman Old Style" w:hAnsi="Bookman Old Style"/>
          <w:sz w:val="24"/>
          <w:szCs w:val="24"/>
          <w:lang w:val="es-CO"/>
        </w:rPr>
      </w:pPr>
      <w:r w:rsidRPr="00A54A93">
        <w:rPr>
          <w:rFonts w:ascii="Bookman Old Style" w:hAnsi="Bookman Old Style"/>
          <w:sz w:val="24"/>
          <w:szCs w:val="24"/>
          <w:lang w:val="es-CO"/>
        </w:rPr>
        <w:t>A las empresas de transporte de gas</w:t>
      </w:r>
      <w:r w:rsidR="00611CB2" w:rsidRPr="00A54A93">
        <w:rPr>
          <w:rFonts w:ascii="Bookman Old Style" w:hAnsi="Bookman Old Style"/>
          <w:sz w:val="24"/>
          <w:szCs w:val="24"/>
          <w:lang w:val="es-CO"/>
        </w:rPr>
        <w:t xml:space="preserve"> natural</w:t>
      </w:r>
      <w:r w:rsidRPr="00A54A93">
        <w:rPr>
          <w:rFonts w:ascii="Bookman Old Style" w:hAnsi="Bookman Old Style"/>
          <w:sz w:val="24"/>
          <w:szCs w:val="24"/>
          <w:lang w:val="es-CO"/>
        </w:rPr>
        <w:t xml:space="preserve"> a las que se les </w:t>
      </w:r>
      <w:r w:rsidR="00E16B99" w:rsidRPr="00A54A93">
        <w:rPr>
          <w:rFonts w:ascii="Bookman Old Style" w:hAnsi="Bookman Old Style"/>
          <w:sz w:val="24"/>
          <w:szCs w:val="24"/>
          <w:lang w:val="es-CO"/>
        </w:rPr>
        <w:t xml:space="preserve">estime un valor </w:t>
      </w:r>
      <m:oMath>
        <m:r>
          <w:rPr>
            <w:rFonts w:ascii="Cambria Math" w:hAnsi="Cambria Math"/>
            <w:sz w:val="24"/>
            <w:szCs w:val="24"/>
            <w:lang w:val="es-CO"/>
          </w:rPr>
          <m:t>CUSD</m:t>
        </m:r>
      </m:oMath>
      <w:r w:rsidR="003B042F" w:rsidRPr="00A54A93">
        <w:rPr>
          <w:rFonts w:ascii="Bookman Old Style" w:hAnsi="Bookman Old Style"/>
          <w:sz w:val="24"/>
          <w:szCs w:val="24"/>
          <w:lang w:val="es-CO"/>
        </w:rPr>
        <w:t xml:space="preserve"> </w:t>
      </w:r>
      <w:r w:rsidR="00CA3446" w:rsidRPr="00A54A93">
        <w:rPr>
          <w:rFonts w:ascii="Bookman Old Style" w:hAnsi="Bookman Old Style"/>
          <w:sz w:val="24"/>
          <w:szCs w:val="24"/>
          <w:lang w:val="es-CO"/>
        </w:rPr>
        <w:t>solo podrán cobrar e</w:t>
      </w:r>
      <w:r w:rsidR="005475ED" w:rsidRPr="00A54A93">
        <w:rPr>
          <w:rFonts w:ascii="Bookman Old Style" w:hAnsi="Bookman Old Style"/>
          <w:sz w:val="24"/>
          <w:szCs w:val="24"/>
          <w:lang w:val="es-CO"/>
        </w:rPr>
        <w:t xml:space="preserve">se valor en los cargos </w:t>
      </w:r>
      <w:r w:rsidR="00FA579E" w:rsidRPr="00A54A93">
        <w:rPr>
          <w:rFonts w:ascii="Bookman Old Style" w:hAnsi="Bookman Old Style"/>
          <w:sz w:val="24"/>
          <w:szCs w:val="24"/>
          <w:lang w:val="es-CO"/>
        </w:rPr>
        <w:t>fijo</w:t>
      </w:r>
      <w:r w:rsidR="00B152D1" w:rsidRPr="00A54A93">
        <w:rPr>
          <w:rFonts w:ascii="Bookman Old Style" w:hAnsi="Bookman Old Style"/>
          <w:sz w:val="24"/>
          <w:szCs w:val="24"/>
          <w:lang w:val="es-CO"/>
        </w:rPr>
        <w:t>s</w:t>
      </w:r>
      <w:r w:rsidR="00FA579E" w:rsidRPr="00A54A93">
        <w:rPr>
          <w:rFonts w:ascii="Bookman Old Style" w:hAnsi="Bookman Old Style"/>
          <w:sz w:val="24"/>
          <w:szCs w:val="24"/>
          <w:lang w:val="es-CO"/>
        </w:rPr>
        <w:t xml:space="preserve"> de </w:t>
      </w:r>
      <w:proofErr w:type="spellStart"/>
      <w:r w:rsidR="00FA579E" w:rsidRPr="00A54A93">
        <w:rPr>
          <w:rFonts w:ascii="Bookman Old Style" w:hAnsi="Bookman Old Style"/>
          <w:sz w:val="24"/>
          <w:szCs w:val="24"/>
          <w:lang w:val="es-CO"/>
        </w:rPr>
        <w:t>AOM</w:t>
      </w:r>
      <w:proofErr w:type="spellEnd"/>
      <w:r w:rsidR="00B152D1" w:rsidRPr="00A54A93">
        <w:rPr>
          <w:rFonts w:ascii="Bookman Old Style" w:hAnsi="Bookman Old Style"/>
          <w:sz w:val="24"/>
          <w:szCs w:val="24"/>
          <w:lang w:val="es-CO"/>
        </w:rPr>
        <w:t xml:space="preserve">, </w:t>
      </w:r>
      <m:oMath>
        <m:sSubSup>
          <m:sSubSupPr>
            <m:ctrlPr>
              <w:rPr>
                <w:rFonts w:ascii="Cambria Math" w:hAnsi="Cambria Math"/>
                <w:i/>
                <w:sz w:val="20"/>
              </w:rPr>
            </m:ctrlPr>
          </m:sSubSupPr>
          <m:e>
            <m:r>
              <w:rPr>
                <w:rFonts w:ascii="Cambria Math" w:hAnsi="Cambria Math"/>
                <w:sz w:val="20"/>
              </w:rPr>
              <m:t>CFAOM</m:t>
            </m:r>
          </m:e>
          <m:sub>
            <m:r>
              <w:rPr>
                <w:rFonts w:ascii="Cambria Math" w:hAnsi="Cambria Math"/>
                <w:sz w:val="20"/>
              </w:rPr>
              <m:t>t</m:t>
            </m:r>
          </m:sub>
          <m:sup>
            <m:r>
              <w:rPr>
                <w:rFonts w:ascii="Cambria Math" w:hAnsi="Cambria Math"/>
                <w:sz w:val="20"/>
              </w:rPr>
              <m:t>I</m:t>
            </m:r>
            <m:sSub>
              <m:sSubPr>
                <m:ctrlPr>
                  <w:rPr>
                    <w:rFonts w:ascii="Cambria Math" w:hAnsi="Cambria Math"/>
                    <w:i/>
                    <w:sz w:val="20"/>
                  </w:rPr>
                </m:ctrlPr>
              </m:sSubPr>
              <m:e>
                <m:r>
                  <w:rPr>
                    <w:rFonts w:ascii="Cambria Math" w:hAnsi="Cambria Math"/>
                    <w:sz w:val="20"/>
                  </w:rPr>
                  <m:t>E</m:t>
                </m:r>
              </m:e>
              <m:sub>
                <m:r>
                  <w:rPr>
                    <w:rFonts w:ascii="Cambria Math" w:hAnsi="Cambria Math"/>
                    <w:sz w:val="20"/>
                  </w:rPr>
                  <m:t>PN</m:t>
                </m:r>
                <m:sSub>
                  <m:sSubPr>
                    <m:ctrlPr>
                      <w:rPr>
                        <w:rFonts w:ascii="Cambria Math" w:hAnsi="Cambria Math"/>
                        <w:i/>
                        <w:sz w:val="20"/>
                      </w:rPr>
                    </m:ctrlPr>
                  </m:sSubPr>
                  <m:e>
                    <m:r>
                      <w:rPr>
                        <w:rFonts w:ascii="Cambria Math" w:hAnsi="Cambria Math"/>
                        <w:sz w:val="20"/>
                      </w:rPr>
                      <m:t>I</m:t>
                    </m:r>
                  </m:e>
                  <m:sub>
                    <m:r>
                      <w:rPr>
                        <w:rFonts w:ascii="Cambria Math" w:hAnsi="Cambria Math"/>
                        <w:sz w:val="20"/>
                      </w:rPr>
                      <m:t>IAC</m:t>
                    </m:r>
                  </m:sub>
                </m:sSub>
              </m:sub>
            </m:sSub>
          </m:sup>
        </m:sSubSup>
      </m:oMath>
      <w:r w:rsidR="00B152D1" w:rsidRPr="00A54A93">
        <w:rPr>
          <w:rFonts w:ascii="Bookman Old Style" w:hAnsi="Bookman Old Style"/>
          <w:sz w:val="20"/>
        </w:rPr>
        <w:t>,</w:t>
      </w:r>
      <w:r w:rsidR="00FA579E" w:rsidRPr="00A54A93">
        <w:rPr>
          <w:rFonts w:ascii="Bookman Old Style" w:hAnsi="Bookman Old Style"/>
          <w:sz w:val="24"/>
          <w:szCs w:val="24"/>
          <w:lang w:val="es-CO"/>
        </w:rPr>
        <w:t xml:space="preserve"> durante </w:t>
      </w:r>
      <w:r w:rsidR="00952151" w:rsidRPr="00A54A93">
        <w:rPr>
          <w:rFonts w:ascii="Bookman Old Style" w:hAnsi="Bookman Old Style"/>
          <w:sz w:val="24"/>
          <w:szCs w:val="24"/>
          <w:lang w:val="es-CO"/>
        </w:rPr>
        <w:t>60 meses</w:t>
      </w:r>
      <w:r w:rsidR="005662A9" w:rsidRPr="00A54A93">
        <w:rPr>
          <w:rFonts w:ascii="Bookman Old Style" w:hAnsi="Bookman Old Style"/>
          <w:sz w:val="24"/>
          <w:szCs w:val="24"/>
          <w:lang w:val="es-CO"/>
        </w:rPr>
        <w:t xml:space="preserve">, contados </w:t>
      </w:r>
      <w:r w:rsidR="00CC79CE" w:rsidRPr="00A54A93">
        <w:rPr>
          <w:rFonts w:ascii="Bookman Old Style" w:hAnsi="Bookman Old Style"/>
          <w:sz w:val="24"/>
          <w:szCs w:val="24"/>
        </w:rPr>
        <w:t xml:space="preserve">partir de la fecha de entrada en vigencia de los cargos aprobados por la </w:t>
      </w:r>
      <w:proofErr w:type="spellStart"/>
      <w:r w:rsidR="00CC79CE" w:rsidRPr="00A54A93">
        <w:rPr>
          <w:rFonts w:ascii="Bookman Old Style" w:hAnsi="Bookman Old Style"/>
          <w:sz w:val="24"/>
          <w:szCs w:val="24"/>
        </w:rPr>
        <w:t>CREG</w:t>
      </w:r>
      <w:proofErr w:type="spellEnd"/>
      <w:r w:rsidR="00952151" w:rsidRPr="00A54A93">
        <w:rPr>
          <w:rFonts w:ascii="Bookman Old Style" w:hAnsi="Bookman Old Style"/>
          <w:sz w:val="24"/>
          <w:szCs w:val="24"/>
          <w:lang w:val="es-CO"/>
        </w:rPr>
        <w:t xml:space="preserve">. </w:t>
      </w:r>
      <w:r w:rsidR="006B3D01" w:rsidRPr="00A54A93">
        <w:rPr>
          <w:rFonts w:ascii="Bookman Old Style" w:hAnsi="Bookman Old Style"/>
          <w:sz w:val="24"/>
          <w:szCs w:val="24"/>
          <w:lang w:val="es-CO"/>
        </w:rPr>
        <w:t xml:space="preserve">En el mes 61 </w:t>
      </w:r>
      <w:r w:rsidR="008D500F" w:rsidRPr="00A54A93">
        <w:rPr>
          <w:rFonts w:ascii="Bookman Old Style" w:hAnsi="Bookman Old Style"/>
          <w:sz w:val="24"/>
          <w:szCs w:val="24"/>
          <w:lang w:val="es-CO"/>
        </w:rPr>
        <w:t>de aplicación de los cargos particulares las empresas</w:t>
      </w:r>
      <w:r w:rsidR="008D312F" w:rsidRPr="00A54A93">
        <w:rPr>
          <w:rFonts w:ascii="Bookman Old Style" w:hAnsi="Bookman Old Style"/>
          <w:sz w:val="24"/>
          <w:szCs w:val="24"/>
          <w:lang w:val="es-CO"/>
        </w:rPr>
        <w:t xml:space="preserve"> deberán </w:t>
      </w:r>
      <w:r w:rsidR="00A27375" w:rsidRPr="00A54A93">
        <w:rPr>
          <w:rFonts w:ascii="Bookman Old Style" w:hAnsi="Bookman Old Style"/>
          <w:sz w:val="24"/>
          <w:szCs w:val="24"/>
          <w:lang w:val="es-CO"/>
        </w:rPr>
        <w:t xml:space="preserve">prestar el servicio </w:t>
      </w:r>
      <w:r w:rsidR="00735E80" w:rsidRPr="00A54A93">
        <w:rPr>
          <w:rFonts w:ascii="Bookman Old Style" w:hAnsi="Bookman Old Style"/>
          <w:sz w:val="24"/>
          <w:szCs w:val="24"/>
        </w:rPr>
        <w:t>sin la</w:t>
      </w:r>
      <w:r w:rsidR="00DE3401" w:rsidRPr="00A54A93">
        <w:rPr>
          <w:rFonts w:ascii="Bookman Old Style" w:hAnsi="Bookman Old Style"/>
          <w:sz w:val="24"/>
          <w:szCs w:val="24"/>
        </w:rPr>
        <w:t xml:space="preserve"> componente </w:t>
      </w:r>
      <m:oMath>
        <m:r>
          <w:rPr>
            <w:rFonts w:ascii="Cambria Math" w:hAnsi="Cambria Math"/>
            <w:sz w:val="24"/>
            <w:szCs w:val="24"/>
            <w:lang w:val="es-CO"/>
          </w:rPr>
          <m:t>CUSD</m:t>
        </m:r>
      </m:oMath>
      <w:r w:rsidR="002A4C7C" w:rsidRPr="00A54A93">
        <w:rPr>
          <w:rFonts w:ascii="Bookman Old Style" w:hAnsi="Bookman Old Style"/>
          <w:sz w:val="24"/>
          <w:szCs w:val="24"/>
          <w:lang w:val="es-CO"/>
        </w:rPr>
        <w:t>,</w:t>
      </w:r>
      <w:r w:rsidR="00087EC5" w:rsidRPr="00A54A93">
        <w:rPr>
          <w:rFonts w:ascii="Bookman Old Style" w:hAnsi="Bookman Old Style"/>
          <w:sz w:val="24"/>
          <w:szCs w:val="24"/>
          <w:lang w:val="es-CO"/>
        </w:rPr>
        <w:t xml:space="preserve"> conforme a las </w:t>
      </w:r>
      <w:r w:rsidR="00264EE1" w:rsidRPr="00A54A93">
        <w:rPr>
          <w:rFonts w:ascii="Bookman Old Style" w:hAnsi="Bookman Old Style"/>
          <w:sz w:val="24"/>
          <w:szCs w:val="24"/>
          <w:lang w:val="es-CO"/>
        </w:rPr>
        <w:t>disposiciones del numeral 22.4 de la presente resolución</w:t>
      </w:r>
      <w:r w:rsidR="00A54A93" w:rsidRPr="00771B72">
        <w:rPr>
          <w:rFonts w:ascii="Bookman Old Style" w:hAnsi="Bookman Old Style"/>
          <w:sz w:val="24"/>
          <w:szCs w:val="24"/>
          <w:lang w:val="es-CO"/>
        </w:rPr>
        <w:t>”.</w:t>
      </w:r>
    </w:p>
    <w:p w14:paraId="39C5B794" w14:textId="77777777" w:rsidR="00AA1012" w:rsidRDefault="00AA1012" w:rsidP="00133913">
      <w:pPr>
        <w:pStyle w:val="Estilo3"/>
        <w:widowControl w:val="0"/>
        <w:tabs>
          <w:tab w:val="left" w:pos="0"/>
        </w:tabs>
        <w:ind w:left="851"/>
        <w:jc w:val="both"/>
        <w:rPr>
          <w:rFonts w:ascii="Bookman Old Style" w:hAnsi="Bookman Old Style"/>
          <w:iCs/>
          <w:sz w:val="24"/>
          <w:szCs w:val="24"/>
          <w:lang w:val="es-CO"/>
        </w:rPr>
      </w:pPr>
    </w:p>
    <w:p w14:paraId="3446BD5E" w14:textId="27C3141B" w:rsidR="00456130" w:rsidRDefault="0044666F" w:rsidP="0044666F">
      <w:pPr>
        <w:pStyle w:val="Estilo5"/>
        <w:keepNext w:val="0"/>
        <w:widowControl w:val="0"/>
        <w:numPr>
          <w:ilvl w:val="0"/>
          <w:numId w:val="0"/>
        </w:numPr>
        <w:tabs>
          <w:tab w:val="left" w:pos="1276"/>
        </w:tabs>
        <w:spacing w:before="0" w:after="0"/>
        <w:rPr>
          <w:rFonts w:ascii="Bookman Old Style" w:hAnsi="Bookman Old Style"/>
          <w:b w:val="0"/>
          <w:color w:val="000000"/>
          <w:sz w:val="24"/>
          <w:szCs w:val="24"/>
        </w:rPr>
      </w:pPr>
      <w:r w:rsidRPr="0044666F">
        <w:rPr>
          <w:rFonts w:ascii="Bookman Old Style" w:hAnsi="Bookman Old Style"/>
          <w:bCs/>
          <w:color w:val="000000"/>
          <w:sz w:val="24"/>
          <w:szCs w:val="24"/>
        </w:rPr>
        <w:t>Artículo 5.</w:t>
      </w:r>
      <w:r>
        <w:rPr>
          <w:rFonts w:ascii="Bookman Old Style" w:hAnsi="Bookman Old Style"/>
          <w:b w:val="0"/>
          <w:color w:val="000000"/>
          <w:sz w:val="24"/>
          <w:szCs w:val="24"/>
        </w:rPr>
        <w:t xml:space="preserve"> </w:t>
      </w:r>
      <w:r w:rsidR="00456130">
        <w:rPr>
          <w:rFonts w:ascii="Bookman Old Style" w:hAnsi="Bookman Old Style"/>
          <w:b w:val="0"/>
          <w:color w:val="000000"/>
          <w:sz w:val="24"/>
          <w:szCs w:val="24"/>
        </w:rPr>
        <w:t>Modi</w:t>
      </w:r>
      <w:r w:rsidR="00A908CE">
        <w:rPr>
          <w:rFonts w:ascii="Bookman Old Style" w:hAnsi="Bookman Old Style"/>
          <w:b w:val="0"/>
          <w:color w:val="000000"/>
          <w:sz w:val="24"/>
          <w:szCs w:val="24"/>
        </w:rPr>
        <w:t xml:space="preserve">fíquese el numeral 22.1. del Artículo 22 de la Resolución </w:t>
      </w:r>
      <w:proofErr w:type="spellStart"/>
      <w:r w:rsidR="00A908CE">
        <w:rPr>
          <w:rFonts w:ascii="Bookman Old Style" w:hAnsi="Bookman Old Style"/>
          <w:b w:val="0"/>
          <w:color w:val="000000"/>
          <w:sz w:val="24"/>
          <w:szCs w:val="24"/>
        </w:rPr>
        <w:t>CREG</w:t>
      </w:r>
      <w:proofErr w:type="spellEnd"/>
      <w:r w:rsidR="00A908CE">
        <w:rPr>
          <w:rFonts w:ascii="Bookman Old Style" w:hAnsi="Bookman Old Style"/>
          <w:b w:val="0"/>
          <w:color w:val="000000"/>
          <w:sz w:val="24"/>
          <w:szCs w:val="24"/>
        </w:rPr>
        <w:t xml:space="preserve"> 175 de 2021 así:</w:t>
      </w:r>
    </w:p>
    <w:p w14:paraId="38E1B2DB" w14:textId="77777777" w:rsidR="00A908CE" w:rsidRDefault="00A908CE" w:rsidP="00AF44B9"/>
    <w:p w14:paraId="644AE6ED" w14:textId="1DC2A526" w:rsidR="00776C74" w:rsidRPr="004416CB" w:rsidRDefault="006E6B03" w:rsidP="00A85503">
      <w:pPr>
        <w:pStyle w:val="Prrafodelista"/>
        <w:ind w:left="284"/>
        <w:rPr>
          <w:szCs w:val="24"/>
        </w:rPr>
      </w:pPr>
      <w:bookmarkStart w:id="6" w:name="_Ref3208394"/>
      <w:bookmarkStart w:id="7" w:name="_Ref3822714"/>
      <w:r>
        <w:rPr>
          <w:rFonts w:cs="Arial"/>
          <w:b/>
          <w:color w:val="000000"/>
          <w:kern w:val="28"/>
          <w:szCs w:val="24"/>
          <w:lang w:val="es-ES_tradnl" w:eastAsia="es-CO"/>
        </w:rPr>
        <w:lastRenderedPageBreak/>
        <w:t>“</w:t>
      </w:r>
      <w:r w:rsidR="00F15C92">
        <w:rPr>
          <w:rFonts w:cs="Arial"/>
          <w:b/>
          <w:color w:val="000000"/>
          <w:kern w:val="28"/>
          <w:szCs w:val="24"/>
          <w:lang w:val="es-ES_tradnl" w:eastAsia="es-CO"/>
        </w:rPr>
        <w:t xml:space="preserve">22.1. </w:t>
      </w:r>
      <w:r w:rsidR="00776C74" w:rsidRPr="004416CB">
        <w:rPr>
          <w:rFonts w:cs="Arial"/>
          <w:b/>
          <w:color w:val="000000"/>
          <w:kern w:val="28"/>
          <w:szCs w:val="24"/>
          <w:lang w:val="es-ES_tradnl" w:eastAsia="es-CO"/>
        </w:rPr>
        <w:t>Cálculo</w:t>
      </w:r>
      <w:r w:rsidR="00776C74" w:rsidRPr="004416CB">
        <w:rPr>
          <w:b/>
          <w:szCs w:val="24"/>
        </w:rPr>
        <w:t xml:space="preserve"> de cargos fijos regulados de referencia para la remuneración de la inversión. </w:t>
      </w:r>
      <w:r w:rsidR="00776C74" w:rsidRPr="004416CB">
        <w:rPr>
          <w:szCs w:val="24"/>
        </w:rPr>
        <w:t>Para el cálculo de los cargos fijos se aplicará la siguiente expresión:</w:t>
      </w:r>
      <w:bookmarkEnd w:id="6"/>
      <w:bookmarkEnd w:id="7"/>
    </w:p>
    <w:p w14:paraId="5126E596" w14:textId="77777777" w:rsidR="00776C74" w:rsidRPr="004416CB" w:rsidRDefault="00776C74" w:rsidP="00776C74">
      <w:pPr>
        <w:rPr>
          <w:rFonts w:ascii="Bookman Old Style" w:hAnsi="Bookman Old Style"/>
        </w:rPr>
      </w:pPr>
    </w:p>
    <w:p w14:paraId="5C429956" w14:textId="77777777" w:rsidR="00776C74" w:rsidRPr="004416CB" w:rsidRDefault="00000000" w:rsidP="00776C74">
      <w:pPr>
        <w:rPr>
          <w:rFonts w:ascii="Bookman Old Style" w:hAnsi="Bookman Old Style"/>
        </w:rPr>
      </w:pPr>
      <m:oMathPara>
        <m:oMath>
          <m:sSub>
            <m:sSubPr>
              <m:ctrlPr>
                <w:rPr>
                  <w:rFonts w:ascii="Cambria Math" w:hAnsi="Cambria Math"/>
                </w:rPr>
              </m:ctrlPr>
            </m:sSubPr>
            <m:e>
              <m:r>
                <w:rPr>
                  <w:rFonts w:ascii="Cambria Math" w:hAnsi="Cambria Math"/>
                </w:rPr>
                <m:t>CFI_IE_PNI_IAC</m:t>
              </m:r>
            </m:e>
            <m: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f</m:t>
                  </m:r>
                </m:sub>
              </m:sSub>
            </m:sub>
          </m:sSub>
          <m:r>
            <m:rPr>
              <m:sty m:val="p"/>
            </m:rPr>
            <w:rPr>
              <w:rFonts w:ascii="Cambria Math" w:hAnsi="Cambria Math"/>
              <w:lang w:val="en-US"/>
            </w:rPr>
            <m:t>=</m:t>
          </m:r>
          <m:f>
            <m:fPr>
              <m:ctrlPr>
                <w:rPr>
                  <w:rFonts w:ascii="Cambria Math" w:hAnsi="Cambria Math"/>
                  <w:lang w:val="en-US"/>
                </w:rPr>
              </m:ctrlPr>
            </m:fPr>
            <m:num>
              <m:d>
                <m:dPr>
                  <m:ctrlPr>
                    <w:rPr>
                      <w:rFonts w:ascii="Cambria Math" w:hAnsi="Cambria Math"/>
                    </w:rPr>
                  </m:ctrlPr>
                </m:dPr>
                <m:e>
                  <m:sSub>
                    <m:sSubPr>
                      <m:ctrlPr>
                        <w:rPr>
                          <w:rFonts w:ascii="Cambria Math" w:hAnsi="Cambria Math" w:cs="Arial"/>
                          <w:i/>
                        </w:rPr>
                      </m:ctrlPr>
                    </m:sSubPr>
                    <m:e>
                      <m:r>
                        <w:rPr>
                          <w:rFonts w:ascii="Cambria Math" w:hAnsi="Cambria Math" w:cs="Arial"/>
                        </w:rPr>
                        <m:t>IE</m:t>
                      </m:r>
                    </m:e>
                    <m:sub>
                      <m:r>
                        <w:rPr>
                          <w:rFonts w:ascii="Cambria Math" w:hAnsi="Cambria Math" w:cs="Arial"/>
                        </w:rPr>
                        <m:t>t</m:t>
                      </m:r>
                    </m:sub>
                  </m:sSub>
                  <m:r>
                    <w:rPr>
                      <w:rFonts w:ascii="Cambria Math" w:hAnsi="Cambria Math" w:cs="Arial"/>
                    </w:rPr>
                    <m:t>+</m:t>
                  </m:r>
                  <m:sSub>
                    <m:sSubPr>
                      <m:ctrlPr>
                        <w:rPr>
                          <w:rFonts w:ascii="Cambria Math" w:hAnsi="Cambria Math" w:cs="Arial"/>
                          <w:i/>
                          <w:color w:val="000000"/>
                          <w:lang w:val="es-ES_tradnl"/>
                        </w:rPr>
                      </m:ctrlPr>
                    </m:sSubPr>
                    <m:e>
                      <m:r>
                        <w:rPr>
                          <w:rFonts w:ascii="Cambria Math" w:hAnsi="Cambria Math" w:cs="Arial"/>
                          <w:color w:val="000000"/>
                          <w:lang w:val="es-ES_tradnl"/>
                        </w:rPr>
                        <m:t>I</m:t>
                      </m:r>
                    </m:e>
                    <m:sub>
                      <m:r>
                        <w:rPr>
                          <w:rFonts w:ascii="Cambria Math" w:hAnsi="Cambria Math" w:cs="Arial"/>
                          <w:color w:val="000000"/>
                          <w:lang w:val="es-ES_tradnl"/>
                        </w:rPr>
                        <m:t>t</m:t>
                      </m:r>
                    </m:sub>
                  </m:sSub>
                  <m:r>
                    <w:rPr>
                      <w:rFonts w:ascii="Cambria Math" w:hAnsi="Cambria Math" w:cs="Arial"/>
                      <w:color w:val="000000"/>
                      <w:lang w:val="es-ES_tradnl"/>
                    </w:rPr>
                    <m:t>+</m:t>
                  </m:r>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v,t</m:t>
                      </m:r>
                    </m:sub>
                    <m:sup>
                      <m:r>
                        <w:rPr>
                          <w:rFonts w:ascii="Cambria Math" w:hAnsi="Cambria Math" w:cs="Arial"/>
                          <w:color w:val="000000"/>
                        </w:rPr>
                        <m:t>a</m:t>
                      </m:r>
                    </m:sup>
                  </m:sSubSup>
                  <m:r>
                    <w:rPr>
                      <w:rFonts w:ascii="Cambria Math" w:hAnsi="Cambria Math" w:cs="Arial"/>
                      <w:color w:val="000000"/>
                      <w:lang w:val="es-ES_tradnl"/>
                    </w:rPr>
                    <m:t>+</m:t>
                  </m:r>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II,t</m:t>
                      </m:r>
                    </m:sub>
                    <m:sup>
                      <m:r>
                        <w:rPr>
                          <w:rFonts w:ascii="Cambria Math" w:hAnsi="Cambria Math" w:cs="Arial"/>
                          <w:color w:val="000000"/>
                        </w:rPr>
                        <m:t>a</m:t>
                      </m:r>
                    </m:sup>
                  </m:sSubSup>
                  <m:r>
                    <w:rPr>
                      <w:rFonts w:ascii="Cambria Math" w:hAnsi="Cambria Math" w:cs="Arial"/>
                      <w:color w:val="000000"/>
                      <w:lang w:val="es-ES_tradnl"/>
                    </w:rPr>
                    <m:t>+</m:t>
                  </m:r>
                  <m:sSubSup>
                    <m:sSubSupPr>
                      <m:ctrlPr>
                        <w:rPr>
                          <w:rFonts w:ascii="Cambria Math" w:hAnsi="Cambria Math" w:cs="Arial"/>
                          <w:i/>
                          <w:iCs/>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r>
                    <w:rPr>
                      <w:rFonts w:ascii="Cambria Math" w:hAnsi="Cambria Math" w:cs="Arial"/>
                      <w:color w:val="000000"/>
                    </w:rPr>
                    <m:t>+RVUN</m:t>
                  </m:r>
                </m:e>
              </m:d>
              <m:r>
                <m:rPr>
                  <m:sty m:val="p"/>
                </m:rPr>
                <w:rPr>
                  <w:rFonts w:ascii="Cambria Math" w:hAnsi="Cambria Math"/>
                </w:rPr>
                <m:t>×</m:t>
              </m:r>
              <m:sSub>
                <m:sSubPr>
                  <m:ctrlPr>
                    <w:rPr>
                      <w:rFonts w:ascii="Cambria Math" w:hAnsi="Cambria Math" w:cs="Arial"/>
                    </w:rPr>
                  </m:ctrlPr>
                </m:sSubPr>
                <m:e>
                  <m:r>
                    <w:rPr>
                      <w:rFonts w:ascii="Cambria Math" w:hAnsi="Cambria Math" w:cs="Arial"/>
                    </w:rPr>
                    <m:t>λ</m:t>
                  </m:r>
                </m:e>
                <m:sub>
                  <m:r>
                    <w:rPr>
                      <w:rFonts w:ascii="Cambria Math" w:hAnsi="Cambria Math" w:cs="Arial"/>
                    </w:rPr>
                    <m:t>f</m:t>
                  </m:r>
                </m:sub>
              </m:sSub>
            </m:num>
            <m:den>
              <m:r>
                <w:rPr>
                  <w:rFonts w:ascii="Cambria Math" w:hAnsi="Cambria Math"/>
                  <w:lang w:val="en-US"/>
                </w:rPr>
                <m:t>VP</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a</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PNI_II</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IAC</m:t>
                      </m:r>
                    </m:sup>
                  </m:sSubSup>
                  <m:r>
                    <m:rPr>
                      <m:sty m:val="p"/>
                    </m:rPr>
                    <w:rPr>
                      <w:rFonts w:ascii="Cambria Math" w:hAnsi="Cambria Math"/>
                      <w:lang w:val="en-US"/>
                    </w:rPr>
                    <m:t>,</m:t>
                  </m:r>
                  <m:r>
                    <w:rPr>
                      <w:rFonts w:ascii="Cambria Math" w:hAnsi="Cambria Math"/>
                      <w:lang w:val="en-US"/>
                    </w:rPr>
                    <m:t>Tkc</m:t>
                  </m:r>
                </m:e>
              </m:d>
            </m:den>
          </m:f>
        </m:oMath>
      </m:oMathPara>
    </w:p>
    <w:p w14:paraId="02015D06" w14:textId="77777777" w:rsidR="00776C74" w:rsidRDefault="00776C74" w:rsidP="00A85503">
      <w:pPr>
        <w:ind w:left="284"/>
        <w:rPr>
          <w:rFonts w:ascii="Bookman Old Style" w:hAnsi="Bookman Old Style"/>
        </w:rPr>
      </w:pPr>
      <w:r w:rsidRPr="004416CB">
        <w:rPr>
          <w:rFonts w:ascii="Bookman Old Style" w:hAnsi="Bookman Old Style"/>
        </w:rPr>
        <w:t xml:space="preserve">Donde: </w:t>
      </w:r>
    </w:p>
    <w:p w14:paraId="3C3B8AE0" w14:textId="77777777" w:rsidR="00F15C92" w:rsidRDefault="00F15C92" w:rsidP="00F15C92">
      <w:pPr>
        <w:ind w:firstLine="709"/>
        <w:rPr>
          <w:rFonts w:ascii="Bookman Old Style" w:hAnsi="Bookman Old Style"/>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6488"/>
      </w:tblGrid>
      <w:tr w:rsidR="00F15C92" w14:paraId="3FF723E6" w14:textId="77777777" w:rsidTr="004F5D44">
        <w:tc>
          <w:tcPr>
            <w:tcW w:w="2300" w:type="dxa"/>
          </w:tcPr>
          <w:p w14:paraId="023D0B28" w14:textId="61879303" w:rsidR="00F15C92" w:rsidRDefault="00000000" w:rsidP="00F15C92">
            <w:pPr>
              <w:rPr>
                <w:rFonts w:ascii="Bookman Old Style" w:hAnsi="Bookman Old Style"/>
              </w:rPr>
            </w:pPr>
            <m:oMathPara>
              <m:oMath>
                <m:sSub>
                  <m:sSubPr>
                    <m:ctrlPr>
                      <w:rPr>
                        <w:rFonts w:ascii="Cambria Math" w:hAnsi="Cambria Math"/>
                        <w:i/>
                      </w:rPr>
                    </m:ctrlPr>
                  </m:sSubPr>
                  <m:e>
                    <m:r>
                      <w:rPr>
                        <w:rFonts w:ascii="Cambria Math" w:hAnsi="Cambria Math"/>
                      </w:rPr>
                      <m:t>CFI_IE_PNI_IAC</m:t>
                    </m:r>
                  </m:e>
                  <m:sub>
                    <m:r>
                      <w:rPr>
                        <w:rFonts w:ascii="Cambria Math" w:hAnsi="Cambria Math"/>
                      </w:rPr>
                      <m:t>t,</m:t>
                    </m:r>
                    <m:sSub>
                      <m:sSubPr>
                        <m:ctrlPr>
                          <w:rPr>
                            <w:rFonts w:ascii="Cambria Math" w:hAnsi="Cambria Math"/>
                            <w:i/>
                          </w:rPr>
                        </m:ctrlPr>
                      </m:sSubPr>
                      <m:e>
                        <m:r>
                          <w:rPr>
                            <w:rFonts w:ascii="Cambria Math" w:hAnsi="Cambria Math"/>
                          </w:rPr>
                          <m:t>λ</m:t>
                        </m:r>
                      </m:e>
                      <m:sub>
                        <m:r>
                          <w:rPr>
                            <w:rFonts w:ascii="Cambria Math" w:hAnsi="Cambria Math"/>
                          </w:rPr>
                          <m:t>f</m:t>
                        </m:r>
                      </m:sub>
                    </m:sSub>
                  </m:sub>
                </m:sSub>
                <m:r>
                  <w:rPr>
                    <w:rFonts w:ascii="Cambria Math" w:hAnsi="Cambria Math"/>
                  </w:rPr>
                  <m:t>:</m:t>
                </m:r>
              </m:oMath>
            </m:oMathPara>
          </w:p>
        </w:tc>
        <w:tc>
          <w:tcPr>
            <w:tcW w:w="6488" w:type="dxa"/>
          </w:tcPr>
          <w:p w14:paraId="7AEA2189" w14:textId="77777777" w:rsidR="00F15C92" w:rsidRDefault="00F15C92" w:rsidP="00F15C92">
            <w:pPr>
              <w:jc w:val="both"/>
              <w:rPr>
                <w:rFonts w:ascii="Bookman Old Style" w:hAnsi="Bookman Old Style"/>
                <w:color w:val="000000"/>
              </w:rPr>
            </w:pPr>
            <w:r w:rsidRPr="00F15C92">
              <w:rPr>
                <w:rFonts w:ascii="Bookman Old Style" w:hAnsi="Bookman Old Style"/>
                <w:color w:val="000000"/>
              </w:rPr>
              <w:t xml:space="preserve">Cargo fijo que remunera costos de inversión existente y las inversiones </w:t>
            </w:r>
            <m:oMath>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t</m:t>
                  </m:r>
                </m:sub>
              </m:sSub>
            </m:oMath>
            <w:r w:rsidRPr="00F15C92">
              <w:rPr>
                <w:rFonts w:ascii="Bookman Old Style" w:hAnsi="Bookman Old Style"/>
                <w:color w:val="000000"/>
              </w:rPr>
              <w:t xml:space="preserve">, </w:t>
            </w:r>
            <m:oMath>
              <m:sSubSup>
                <m:sSubSupPr>
                  <m:ctrlPr>
                    <w:rPr>
                      <w:rFonts w:ascii="Cambria Math" w:hAnsi="Cambria Math"/>
                      <w:color w:val="000000"/>
                    </w:rPr>
                  </m:ctrlPr>
                </m:sSubSupPr>
                <m:e>
                  <m:r>
                    <w:rPr>
                      <w:rFonts w:ascii="Cambria Math" w:hAnsi="Cambria Math"/>
                      <w:color w:val="000000"/>
                    </w:rPr>
                    <m:t>PNI</m:t>
                  </m:r>
                </m:e>
                <m:sub>
                  <m:r>
                    <w:rPr>
                      <w:rFonts w:ascii="Cambria Math" w:hAnsi="Cambria Math"/>
                      <w:color w:val="000000"/>
                    </w:rPr>
                    <m:t>v</m:t>
                  </m:r>
                  <m:r>
                    <m:rPr>
                      <m:sty m:val="p"/>
                    </m:rPr>
                    <w:rPr>
                      <w:rFonts w:ascii="Cambria Math" w:hAnsi="Cambria Math"/>
                      <w:color w:val="000000"/>
                    </w:rPr>
                    <m:t>,</m:t>
                  </m:r>
                  <m:r>
                    <w:rPr>
                      <w:rFonts w:ascii="Cambria Math" w:hAnsi="Cambria Math"/>
                      <w:color w:val="000000"/>
                    </w:rPr>
                    <m:t>t</m:t>
                  </m:r>
                </m:sub>
                <m:sup>
                  <m:r>
                    <w:rPr>
                      <w:rFonts w:ascii="Cambria Math" w:hAnsi="Cambria Math"/>
                      <w:color w:val="000000"/>
                    </w:rPr>
                    <m:t>a</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PNI</m:t>
                  </m:r>
                </m:e>
                <m:sub>
                  <m:r>
                    <w:rPr>
                      <w:rFonts w:ascii="Cambria Math" w:hAnsi="Cambria Math"/>
                      <w:color w:val="000000"/>
                    </w:rPr>
                    <m:t>II</m:t>
                  </m:r>
                  <m:r>
                    <m:rPr>
                      <m:sty m:val="p"/>
                    </m:rPr>
                    <w:rPr>
                      <w:rFonts w:ascii="Cambria Math" w:hAnsi="Cambria Math"/>
                      <w:color w:val="000000"/>
                    </w:rPr>
                    <m:t>,</m:t>
                  </m:r>
                  <m:r>
                    <w:rPr>
                      <w:rFonts w:ascii="Cambria Math" w:hAnsi="Cambria Math"/>
                      <w:color w:val="000000"/>
                    </w:rPr>
                    <m:t>t</m:t>
                  </m:r>
                </m:sub>
                <m:sup>
                  <m:r>
                    <w:rPr>
                      <w:rFonts w:ascii="Cambria Math" w:hAnsi="Cambria Math"/>
                      <w:color w:val="000000"/>
                    </w:rPr>
                    <m:t>a</m:t>
                  </m:r>
                </m:sup>
              </m:sSubSup>
              <m:r>
                <m:rPr>
                  <m:sty m:val="p"/>
                </m:rPr>
                <w:rPr>
                  <w:rFonts w:ascii="Cambria Math" w:hAnsi="Cambria Math"/>
                  <w:color w:val="000000"/>
                </w:rPr>
                <m:t>,</m:t>
              </m:r>
              <m:sSubSup>
                <m:sSubSupPr>
                  <m:ctrlPr>
                    <w:rPr>
                      <w:rFonts w:ascii="Cambria Math" w:hAnsi="Cambria Math"/>
                      <w:color w:val="000000"/>
                    </w:rPr>
                  </m:ctrlPr>
                </m:sSubSupPr>
                <m:e>
                  <m:r>
                    <w:rPr>
                      <w:rFonts w:ascii="Cambria Math" w:hAnsi="Cambria Math"/>
                      <w:color w:val="000000"/>
                    </w:rPr>
                    <m:t>IAC</m:t>
                  </m:r>
                </m:e>
                <m:sub>
                  <m:r>
                    <w:rPr>
                      <w:rFonts w:ascii="Cambria Math" w:hAnsi="Cambria Math"/>
                      <w:color w:val="000000"/>
                    </w:rPr>
                    <m:t>t</m:t>
                  </m:r>
                </m:sub>
                <m:sup>
                  <m:r>
                    <w:rPr>
                      <w:rFonts w:ascii="Cambria Math" w:hAnsi="Cambria Math"/>
                      <w:color w:val="000000"/>
                    </w:rPr>
                    <m:t>a</m:t>
                  </m:r>
                </m:sup>
              </m:sSubSup>
            </m:oMath>
            <w:r w:rsidRPr="00F15C92">
              <w:rPr>
                <w:rFonts w:ascii="Bookman Old Style" w:hAnsi="Bookman Old Style"/>
                <w:color w:val="000000"/>
              </w:rPr>
              <w:t>, expresado en pesos colombianos de la fecha base por kpcd-año.</w:t>
            </w:r>
          </w:p>
          <w:p w14:paraId="7AE1B559" w14:textId="61844E78" w:rsidR="00F15C92" w:rsidRDefault="00F15C92" w:rsidP="00F15C92">
            <w:pPr>
              <w:jc w:val="both"/>
              <w:rPr>
                <w:rFonts w:ascii="Bookman Old Style" w:hAnsi="Bookman Old Style"/>
              </w:rPr>
            </w:pPr>
          </w:p>
        </w:tc>
      </w:tr>
      <w:tr w:rsidR="00F15C92" w14:paraId="3F35D10F" w14:textId="77777777" w:rsidTr="004F5D44">
        <w:tc>
          <w:tcPr>
            <w:tcW w:w="2300" w:type="dxa"/>
          </w:tcPr>
          <w:p w14:paraId="0729162F" w14:textId="4A32001E" w:rsidR="00F15C92" w:rsidRDefault="00000000" w:rsidP="00F15C92">
            <w:pPr>
              <w:rPr>
                <w:rFonts w:ascii="Bookman Old Style" w:hAnsi="Bookman Old Style"/>
              </w:rPr>
            </w:pPr>
            <m:oMath>
              <m:sSub>
                <m:sSubPr>
                  <m:ctrlPr>
                    <w:rPr>
                      <w:rFonts w:ascii="Cambria Math" w:hAnsi="Cambria Math"/>
                      <w:i/>
                    </w:rPr>
                  </m:ctrlPr>
                </m:sSubPr>
                <m:e>
                  <m:r>
                    <w:rPr>
                      <w:rFonts w:ascii="Cambria Math" w:hAnsi="Cambria Math"/>
                    </w:rPr>
                    <m:t>IE</m:t>
                  </m:r>
                </m:e>
                <m:sub>
                  <m:r>
                    <w:rPr>
                      <w:rFonts w:ascii="Cambria Math" w:hAnsi="Cambria Math"/>
                    </w:rPr>
                    <m:t>t</m:t>
                  </m:r>
                </m:sub>
              </m:sSub>
            </m:oMath>
            <w:r w:rsidR="00352233">
              <w:rPr>
                <w:rFonts w:ascii="Bookman Old Style" w:hAnsi="Bookman Old Style"/>
              </w:rPr>
              <w:t>:</w:t>
            </w:r>
          </w:p>
        </w:tc>
        <w:tc>
          <w:tcPr>
            <w:tcW w:w="6488" w:type="dxa"/>
          </w:tcPr>
          <w:p w14:paraId="4E44C491" w14:textId="53F6F1FB" w:rsidR="00F15C92" w:rsidRPr="00352233" w:rsidRDefault="00352233" w:rsidP="00352233">
            <w:pPr>
              <w:jc w:val="both"/>
              <w:rPr>
                <w:rFonts w:ascii="Bookman Old Style" w:hAnsi="Bookman Old Style"/>
                <w:color w:val="000000"/>
              </w:rPr>
            </w:pPr>
            <w:r w:rsidRPr="00352233">
              <w:rPr>
                <w:rFonts w:ascii="Bookman Old Style" w:hAnsi="Bookman Old Style"/>
                <w:color w:val="000000"/>
              </w:rPr>
              <w:t>Valor de la inversión existente, expresado en pesos colombianos de la fecha base.</w:t>
            </w:r>
          </w:p>
        </w:tc>
      </w:tr>
      <w:tr w:rsidR="00F15C92" w14:paraId="03A8FD4C" w14:textId="77777777" w:rsidTr="004F5D44">
        <w:tc>
          <w:tcPr>
            <w:tcW w:w="2300" w:type="dxa"/>
          </w:tcPr>
          <w:p w14:paraId="0EA1F2E3" w14:textId="1F1A15A1" w:rsidR="00F15C92" w:rsidRDefault="00000000" w:rsidP="00F15C92">
            <w:pPr>
              <w:rPr>
                <w:rFonts w:ascii="Bookman Old Style" w:hAnsi="Bookman Old Style"/>
              </w:rPr>
            </w:pPr>
            <m:oMath>
              <m:sSub>
                <m:sSubPr>
                  <m:ctrlPr>
                    <w:rPr>
                      <w:rFonts w:ascii="Cambria Math" w:hAnsi="Cambria Math" w:cs="Arial"/>
                      <w:i/>
                      <w:color w:val="000000"/>
                      <w:lang w:val="es-ES_tradnl"/>
                    </w:rPr>
                  </m:ctrlPr>
                </m:sSubPr>
                <m:e>
                  <m:r>
                    <w:rPr>
                      <w:rFonts w:ascii="Cambria Math" w:hAnsi="Cambria Math" w:cs="Arial"/>
                      <w:color w:val="000000"/>
                      <w:lang w:val="es-ES_tradnl"/>
                    </w:rPr>
                    <m:t>I</m:t>
                  </m:r>
                </m:e>
                <m:sub>
                  <m:r>
                    <w:rPr>
                      <w:rFonts w:ascii="Cambria Math" w:hAnsi="Cambria Math" w:cs="Arial"/>
                      <w:color w:val="000000"/>
                      <w:lang w:val="es-ES_tradnl"/>
                    </w:rPr>
                    <m:t>t</m:t>
                  </m:r>
                </m:sub>
              </m:sSub>
            </m:oMath>
            <w:r w:rsidR="00352233">
              <w:rPr>
                <w:rFonts w:ascii="Bookman Old Style" w:hAnsi="Bookman Old Style"/>
                <w:color w:val="000000"/>
                <w:lang w:val="es-ES_tradnl"/>
              </w:rPr>
              <w:t>:</w:t>
            </w:r>
          </w:p>
        </w:tc>
        <w:tc>
          <w:tcPr>
            <w:tcW w:w="6488" w:type="dxa"/>
          </w:tcPr>
          <w:p w14:paraId="602D830F" w14:textId="20E3C85F" w:rsidR="00352233" w:rsidRPr="00352233" w:rsidRDefault="00352233" w:rsidP="00352233">
            <w:pPr>
              <w:jc w:val="both"/>
              <w:rPr>
                <w:rFonts w:ascii="Bookman Old Style" w:hAnsi="Bookman Old Style"/>
                <w:color w:val="000000"/>
              </w:rPr>
            </w:pPr>
            <w:r w:rsidRPr="00352233">
              <w:rPr>
                <w:rFonts w:ascii="Bookman Old Style" w:hAnsi="Bookman Old Style"/>
                <w:color w:val="000000"/>
              </w:rPr>
              <w:t xml:space="preserve">Es el valor presente de los valores </w:t>
            </w:r>
            <m:oMath>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j</m:t>
                  </m:r>
                </m:sub>
              </m:sSub>
            </m:oMath>
            <w:r w:rsidRPr="00352233">
              <w:rPr>
                <w:rFonts w:ascii="Bookman Old Style" w:hAnsi="Bookman Old Style"/>
                <w:color w:val="000000"/>
              </w:rPr>
              <w:t xml:space="preserve"> con la Tkc, conforme al</w:t>
            </w:r>
            <w:r>
              <w:rPr>
                <w:rFonts w:ascii="Bookman Old Style" w:hAnsi="Bookman Old Style"/>
                <w:color w:val="000000"/>
              </w:rPr>
              <w:t xml:space="preserve"> Artículo12</w:t>
            </w:r>
            <w:r w:rsidRPr="00352233">
              <w:rPr>
                <w:rFonts w:ascii="Bookman Old Style" w:hAnsi="Bookman Old Style"/>
                <w:color w:val="000000"/>
              </w:rPr>
              <w:t xml:space="preserve">. </w:t>
            </w:r>
          </w:p>
          <w:p w14:paraId="75EF980C" w14:textId="77777777" w:rsidR="00F15C92" w:rsidRDefault="00F15C92" w:rsidP="00F15C92">
            <w:pPr>
              <w:rPr>
                <w:rFonts w:ascii="Bookman Old Style" w:hAnsi="Bookman Old Style"/>
              </w:rPr>
            </w:pPr>
          </w:p>
        </w:tc>
      </w:tr>
      <w:tr w:rsidR="00F15C92" w14:paraId="135D4287" w14:textId="77777777" w:rsidTr="004F5D44">
        <w:tc>
          <w:tcPr>
            <w:tcW w:w="2300" w:type="dxa"/>
          </w:tcPr>
          <w:p w14:paraId="050A06AF" w14:textId="17B6F6E9" w:rsidR="00F15C92" w:rsidRDefault="00000000" w:rsidP="00F15C92">
            <w:pPr>
              <w:rPr>
                <w:rFonts w:ascii="Bookman Old Style" w:hAnsi="Bookman Old Style"/>
              </w:rPr>
            </w:pPr>
            <m:oMath>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v,t</m:t>
                  </m:r>
                </m:sub>
                <m:sup>
                  <m:r>
                    <w:rPr>
                      <w:rFonts w:ascii="Cambria Math" w:hAnsi="Cambria Math" w:cs="Arial"/>
                      <w:color w:val="000000"/>
                    </w:rPr>
                    <m:t>a</m:t>
                  </m:r>
                </m:sup>
              </m:sSubSup>
            </m:oMath>
            <w:r w:rsidR="00352233">
              <w:rPr>
                <w:rFonts w:ascii="Bookman Old Style" w:hAnsi="Bookman Old Style"/>
                <w:iCs/>
                <w:color w:val="000000"/>
              </w:rPr>
              <w:t>:</w:t>
            </w:r>
          </w:p>
        </w:tc>
        <w:tc>
          <w:tcPr>
            <w:tcW w:w="6488" w:type="dxa"/>
          </w:tcPr>
          <w:p w14:paraId="6CAF1248" w14:textId="2A6B1A25" w:rsidR="00F15C92" w:rsidRPr="00352233" w:rsidRDefault="00352233" w:rsidP="00352233">
            <w:pPr>
              <w:jc w:val="both"/>
              <w:rPr>
                <w:rFonts w:ascii="Bookman Old Style" w:hAnsi="Bookman Old Style"/>
                <w:color w:val="000000"/>
              </w:rPr>
            </w:pPr>
            <w:r w:rsidRPr="00352233">
              <w:rPr>
                <w:rFonts w:ascii="Bookman Old Style" w:hAnsi="Bookman Old Style"/>
                <w:color w:val="000000"/>
              </w:rPr>
              <w:t xml:space="preserve">Valor presente ajustado de la inversión en variantes con la </w:t>
            </w:r>
            <w:proofErr w:type="spellStart"/>
            <w:r w:rsidRPr="00352233">
              <w:rPr>
                <w:rFonts w:ascii="Bookman Old Style" w:hAnsi="Bookman Old Style"/>
                <w:color w:val="000000"/>
              </w:rPr>
              <w:t>Tkc</w:t>
            </w:r>
            <w:proofErr w:type="spellEnd"/>
            <w:r w:rsidRPr="00352233">
              <w:rPr>
                <w:rFonts w:ascii="Bookman Old Style" w:hAnsi="Bookman Old Style"/>
                <w:color w:val="000000"/>
              </w:rPr>
              <w:t xml:space="preserve">. Este valor estará expresado en pesos colombianos de la fecha base, el cual debe ajustarse siguiendo lo expresado en el </w:t>
            </w:r>
            <w:r>
              <w:rPr>
                <w:rFonts w:ascii="Bookman Old Style" w:hAnsi="Bookman Old Style"/>
                <w:color w:val="000000"/>
              </w:rPr>
              <w:t xml:space="preserve">Artículo 13 </w:t>
            </w:r>
            <w:r w:rsidRPr="00352233">
              <w:rPr>
                <w:rFonts w:ascii="Bookman Old Style" w:hAnsi="Bookman Old Style"/>
                <w:color w:val="000000"/>
              </w:rPr>
              <w:t xml:space="preserve">de la presente resolución. Cuando la </w:t>
            </w:r>
            <m:oMath>
              <m:sSubSup>
                <m:sSubSupPr>
                  <m:ctrlPr>
                    <w:rPr>
                      <w:rFonts w:ascii="Cambria Math" w:hAnsi="Cambria Math"/>
                      <w:color w:val="000000"/>
                    </w:rPr>
                  </m:ctrlPr>
                </m:sSubSupPr>
                <m:e>
                  <m:r>
                    <w:rPr>
                      <w:rFonts w:ascii="Cambria Math" w:hAnsi="Cambria Math"/>
                      <w:color w:val="000000"/>
                    </w:rPr>
                    <m:t>PNI</m:t>
                  </m:r>
                </m:e>
                <m:sub>
                  <m:r>
                    <w:rPr>
                      <w:rFonts w:ascii="Cambria Math" w:hAnsi="Cambria Math"/>
                      <w:color w:val="000000"/>
                    </w:rPr>
                    <m:t>v</m:t>
                  </m:r>
                  <m:r>
                    <m:rPr>
                      <m:sty m:val="p"/>
                    </m:rPr>
                    <w:rPr>
                      <w:rFonts w:ascii="Cambria Math" w:hAnsi="Cambria Math"/>
                      <w:color w:val="000000"/>
                    </w:rPr>
                    <m:t>,</m:t>
                  </m:r>
                  <m:r>
                    <w:rPr>
                      <w:rFonts w:ascii="Cambria Math" w:hAnsi="Cambria Math"/>
                      <w:color w:val="000000"/>
                    </w:rPr>
                    <m:t>t</m:t>
                  </m:r>
                </m:sub>
                <m:sup>
                  <m:r>
                    <w:rPr>
                      <w:rFonts w:ascii="Cambria Math" w:hAnsi="Cambria Math"/>
                      <w:color w:val="000000"/>
                    </w:rPr>
                    <m:t>a</m:t>
                  </m:r>
                </m:sup>
              </m:sSubSup>
            </m:oMath>
            <w:r w:rsidRPr="00352233">
              <w:rPr>
                <w:rFonts w:ascii="Bookman Old Style" w:hAnsi="Bookman Old Style"/>
                <w:color w:val="000000"/>
              </w:rPr>
              <w:t xml:space="preserve"> entre en operación conforme a las disposiciones del</w:t>
            </w:r>
            <w:r>
              <w:rPr>
                <w:rFonts w:ascii="Bookman Old Style" w:hAnsi="Bookman Old Style"/>
                <w:color w:val="000000"/>
              </w:rPr>
              <w:t xml:space="preserve"> Artículo 28</w:t>
            </w:r>
            <w:r w:rsidRPr="00352233">
              <w:rPr>
                <w:rFonts w:ascii="Bookman Old Style" w:hAnsi="Bookman Old Style"/>
                <w:color w:val="000000"/>
              </w:rPr>
              <w:t xml:space="preserve"> se recalculará el </w:t>
            </w:r>
            <m:oMath>
              <m:sSub>
                <m:sSubPr>
                  <m:ctrlPr>
                    <w:rPr>
                      <w:rFonts w:ascii="Cambria Math" w:hAnsi="Cambria Math"/>
                      <w:color w:val="000000"/>
                    </w:rPr>
                  </m:ctrlPr>
                </m:sSubPr>
                <m:e>
                  <m:r>
                    <w:rPr>
                      <w:rFonts w:ascii="Cambria Math" w:hAnsi="Cambria Math"/>
                      <w:color w:val="000000"/>
                    </w:rPr>
                    <m:t>CFI</m:t>
                  </m:r>
                  <m:r>
                    <m:rPr>
                      <m:sty m:val="p"/>
                    </m:rPr>
                    <w:rPr>
                      <w:rFonts w:ascii="Cambria Math" w:hAnsi="Cambria Math"/>
                      <w:color w:val="000000"/>
                    </w:rPr>
                    <m:t>_</m:t>
                  </m:r>
                  <m:r>
                    <w:rPr>
                      <w:rFonts w:ascii="Cambria Math" w:hAnsi="Cambria Math"/>
                      <w:color w:val="000000"/>
                    </w:rPr>
                    <m:t>IE</m:t>
                  </m:r>
                  <m:r>
                    <m:rPr>
                      <m:sty m:val="p"/>
                    </m:rPr>
                    <w:rPr>
                      <w:rFonts w:ascii="Cambria Math" w:hAnsi="Cambria Math"/>
                      <w:color w:val="000000"/>
                    </w:rPr>
                    <m:t>_</m:t>
                  </m:r>
                  <m:r>
                    <w:rPr>
                      <w:rFonts w:ascii="Cambria Math" w:hAnsi="Cambria Math"/>
                      <w:color w:val="000000"/>
                    </w:rPr>
                    <m:t>PNI</m:t>
                  </m:r>
                  <m:r>
                    <m:rPr>
                      <m:sty m:val="p"/>
                    </m:rPr>
                    <w:rPr>
                      <w:rFonts w:ascii="Cambria Math" w:hAnsi="Cambria Math"/>
                      <w:color w:val="000000"/>
                    </w:rPr>
                    <m:t>_</m:t>
                  </m:r>
                  <m:r>
                    <w:rPr>
                      <w:rFonts w:ascii="Cambria Math" w:hAnsi="Cambria Math"/>
                      <w:color w:val="000000"/>
                    </w:rPr>
                    <m:t>IAC</m:t>
                  </m:r>
                </m:e>
                <m:sub>
                  <m:r>
                    <w:rPr>
                      <w:rFonts w:ascii="Cambria Math" w:hAnsi="Cambria Math"/>
                      <w:color w:val="000000"/>
                    </w:rPr>
                    <m:t>t</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λ</m:t>
                      </m:r>
                    </m:e>
                    <m:sub>
                      <m:r>
                        <w:rPr>
                          <w:rFonts w:ascii="Cambria Math" w:hAnsi="Cambria Math"/>
                          <w:color w:val="000000"/>
                        </w:rPr>
                        <m:t>f</m:t>
                      </m:r>
                    </m:sub>
                  </m:sSub>
                </m:sub>
              </m:sSub>
            </m:oMath>
            <w:r w:rsidRPr="00352233">
              <w:rPr>
                <w:rFonts w:ascii="Bookman Old Style" w:hAnsi="Bookman Old Style"/>
                <w:color w:val="000000"/>
              </w:rPr>
              <w:t xml:space="preserve">  teniendo en cuenta los valores de demanda para el horizonte de proyección contados desde ese año.</w:t>
            </w:r>
          </w:p>
        </w:tc>
      </w:tr>
      <w:tr w:rsidR="00F15C92" w14:paraId="560F9B07" w14:textId="77777777" w:rsidTr="004F5D44">
        <w:tc>
          <w:tcPr>
            <w:tcW w:w="2300" w:type="dxa"/>
          </w:tcPr>
          <w:p w14:paraId="7BCDFDF2" w14:textId="29CD3162" w:rsidR="00F15C92" w:rsidRDefault="00000000" w:rsidP="00F15C92">
            <w:pPr>
              <w:rPr>
                <w:rFonts w:ascii="Bookman Old Style" w:hAnsi="Bookman Old Style"/>
              </w:rPr>
            </w:pPr>
            <m:oMath>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II,t</m:t>
                  </m:r>
                </m:sub>
                <m:sup>
                  <m:r>
                    <w:rPr>
                      <w:rFonts w:ascii="Cambria Math" w:hAnsi="Cambria Math" w:cs="Arial"/>
                      <w:color w:val="000000"/>
                    </w:rPr>
                    <m:t>a</m:t>
                  </m:r>
                </m:sup>
              </m:sSubSup>
            </m:oMath>
            <w:r w:rsidR="00352233">
              <w:rPr>
                <w:rFonts w:ascii="Bookman Old Style" w:hAnsi="Bookman Old Style"/>
                <w:iCs/>
                <w:color w:val="000000"/>
              </w:rPr>
              <w:t>:</w:t>
            </w:r>
          </w:p>
        </w:tc>
        <w:tc>
          <w:tcPr>
            <w:tcW w:w="6488" w:type="dxa"/>
          </w:tcPr>
          <w:p w14:paraId="28942301" w14:textId="14B85E0C" w:rsidR="00F15C92" w:rsidRPr="00352233" w:rsidRDefault="00352233" w:rsidP="00352233">
            <w:pPr>
              <w:jc w:val="both"/>
              <w:rPr>
                <w:rFonts w:ascii="Bookman Old Style" w:hAnsi="Bookman Old Style"/>
                <w:color w:val="000000"/>
              </w:rPr>
            </w:pPr>
            <w:r w:rsidRPr="00352233">
              <w:rPr>
                <w:rFonts w:ascii="Bookman Old Style" w:hAnsi="Bookman Old Style"/>
                <w:color w:val="000000"/>
              </w:rPr>
              <w:t xml:space="preserve">Valor presente ajustado de inversiones del PNI correspondientes a redes tipo II con la </w:t>
            </w:r>
            <w:proofErr w:type="spellStart"/>
            <w:r w:rsidRPr="00352233">
              <w:rPr>
                <w:rFonts w:ascii="Bookman Old Style" w:hAnsi="Bookman Old Style"/>
                <w:color w:val="000000"/>
              </w:rPr>
              <w:t>Tkc</w:t>
            </w:r>
            <w:proofErr w:type="spellEnd"/>
            <w:r w:rsidRPr="00352233">
              <w:rPr>
                <w:rFonts w:ascii="Bookman Old Style" w:hAnsi="Bookman Old Style"/>
                <w:color w:val="000000"/>
              </w:rPr>
              <w:t>. Este valor estará expresado en pesos colombianos de la fecha base, el cual debe ajustarse siguiendo lo expresado en el</w:t>
            </w:r>
            <w:r>
              <w:rPr>
                <w:rFonts w:ascii="Bookman Old Style" w:hAnsi="Bookman Old Style"/>
                <w:color w:val="000000"/>
              </w:rPr>
              <w:t xml:space="preserve"> Artículo 13</w:t>
            </w:r>
            <w:r w:rsidRPr="00352233">
              <w:rPr>
                <w:rFonts w:ascii="Bookman Old Style" w:hAnsi="Bookman Old Style"/>
                <w:color w:val="000000"/>
              </w:rPr>
              <w:t xml:space="preserve"> de la presente resolución. Cuando la </w:t>
            </w:r>
            <m:oMath>
              <m:sSubSup>
                <m:sSubSupPr>
                  <m:ctrlPr>
                    <w:rPr>
                      <w:rFonts w:ascii="Cambria Math" w:hAnsi="Cambria Math"/>
                      <w:color w:val="000000"/>
                    </w:rPr>
                  </m:ctrlPr>
                </m:sSubSupPr>
                <m:e>
                  <m:r>
                    <w:rPr>
                      <w:rFonts w:ascii="Cambria Math" w:hAnsi="Cambria Math"/>
                      <w:color w:val="000000"/>
                    </w:rPr>
                    <m:t>PNI</m:t>
                  </m:r>
                </m:e>
                <m:sub>
                  <m:r>
                    <w:rPr>
                      <w:rFonts w:ascii="Cambria Math" w:hAnsi="Cambria Math"/>
                      <w:color w:val="000000"/>
                    </w:rPr>
                    <m:t>II</m:t>
                  </m:r>
                  <m:r>
                    <m:rPr>
                      <m:sty m:val="p"/>
                    </m:rPr>
                    <w:rPr>
                      <w:rFonts w:ascii="Cambria Math" w:hAnsi="Cambria Math"/>
                      <w:color w:val="000000"/>
                    </w:rPr>
                    <m:t>,</m:t>
                  </m:r>
                  <m:r>
                    <w:rPr>
                      <w:rFonts w:ascii="Cambria Math" w:hAnsi="Cambria Math"/>
                      <w:color w:val="000000"/>
                    </w:rPr>
                    <m:t>t</m:t>
                  </m:r>
                </m:sub>
                <m:sup>
                  <m:r>
                    <w:rPr>
                      <w:rFonts w:ascii="Cambria Math" w:hAnsi="Cambria Math"/>
                      <w:color w:val="000000"/>
                    </w:rPr>
                    <m:t>a</m:t>
                  </m:r>
                </m:sup>
              </m:sSubSup>
              <m:r>
                <m:rPr>
                  <m:sty m:val="p"/>
                </m:rPr>
                <w:rPr>
                  <w:rFonts w:ascii="Cambria Math" w:hAnsi="Cambria Math"/>
                  <w:color w:val="000000"/>
                </w:rPr>
                <m:t xml:space="preserve"> </m:t>
              </m:r>
            </m:oMath>
            <w:r w:rsidRPr="00352233">
              <w:rPr>
                <w:rFonts w:ascii="Bookman Old Style" w:hAnsi="Bookman Old Style"/>
                <w:color w:val="000000"/>
              </w:rPr>
              <w:t>entre en operación, conforme a las disposiciones del</w:t>
            </w:r>
            <w:r>
              <w:rPr>
                <w:rFonts w:ascii="Bookman Old Style" w:hAnsi="Bookman Old Style"/>
                <w:color w:val="000000"/>
              </w:rPr>
              <w:t xml:space="preserve"> Artículo 28</w:t>
            </w:r>
            <w:r w:rsidRPr="00352233">
              <w:rPr>
                <w:rFonts w:ascii="Bookman Old Style" w:hAnsi="Bookman Old Style"/>
                <w:color w:val="000000"/>
              </w:rPr>
              <w:t xml:space="preserve"> se recalculará el </w:t>
            </w:r>
            <m:oMath>
              <m:sSub>
                <m:sSubPr>
                  <m:ctrlPr>
                    <w:rPr>
                      <w:rFonts w:ascii="Cambria Math" w:hAnsi="Cambria Math"/>
                      <w:color w:val="000000"/>
                    </w:rPr>
                  </m:ctrlPr>
                </m:sSubPr>
                <m:e>
                  <m:r>
                    <w:rPr>
                      <w:rFonts w:ascii="Cambria Math" w:hAnsi="Cambria Math"/>
                      <w:color w:val="000000"/>
                    </w:rPr>
                    <m:t>CFI</m:t>
                  </m:r>
                  <m:r>
                    <m:rPr>
                      <m:sty m:val="p"/>
                    </m:rPr>
                    <w:rPr>
                      <w:rFonts w:ascii="Cambria Math" w:hAnsi="Cambria Math"/>
                      <w:color w:val="000000"/>
                    </w:rPr>
                    <m:t>_</m:t>
                  </m:r>
                  <m:r>
                    <w:rPr>
                      <w:rFonts w:ascii="Cambria Math" w:hAnsi="Cambria Math"/>
                      <w:color w:val="000000"/>
                    </w:rPr>
                    <m:t>IE</m:t>
                  </m:r>
                  <m:r>
                    <m:rPr>
                      <m:sty m:val="p"/>
                    </m:rPr>
                    <w:rPr>
                      <w:rFonts w:ascii="Cambria Math" w:hAnsi="Cambria Math"/>
                      <w:color w:val="000000"/>
                    </w:rPr>
                    <m:t>_</m:t>
                  </m:r>
                  <m:r>
                    <w:rPr>
                      <w:rFonts w:ascii="Cambria Math" w:hAnsi="Cambria Math"/>
                      <w:color w:val="000000"/>
                    </w:rPr>
                    <m:t>PNI</m:t>
                  </m:r>
                  <m:r>
                    <m:rPr>
                      <m:sty m:val="p"/>
                    </m:rPr>
                    <w:rPr>
                      <w:rFonts w:ascii="Cambria Math" w:hAnsi="Cambria Math"/>
                      <w:color w:val="000000"/>
                    </w:rPr>
                    <m:t>_</m:t>
                  </m:r>
                  <m:r>
                    <w:rPr>
                      <w:rFonts w:ascii="Cambria Math" w:hAnsi="Cambria Math"/>
                      <w:color w:val="000000"/>
                    </w:rPr>
                    <m:t>IAC</m:t>
                  </m:r>
                </m:e>
                <m:sub>
                  <m:r>
                    <w:rPr>
                      <w:rFonts w:ascii="Cambria Math" w:hAnsi="Cambria Math"/>
                      <w:color w:val="000000"/>
                    </w:rPr>
                    <m:t>t</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λ</m:t>
                      </m:r>
                    </m:e>
                    <m:sub>
                      <m:r>
                        <w:rPr>
                          <w:rFonts w:ascii="Cambria Math" w:hAnsi="Cambria Math"/>
                          <w:color w:val="000000"/>
                        </w:rPr>
                        <m:t>f</m:t>
                      </m:r>
                    </m:sub>
                  </m:sSub>
                </m:sub>
              </m:sSub>
            </m:oMath>
            <w:r w:rsidRPr="00352233">
              <w:rPr>
                <w:rFonts w:ascii="Bookman Old Style" w:hAnsi="Bookman Old Style"/>
                <w:color w:val="000000"/>
              </w:rPr>
              <w:t xml:space="preserve"> teniendo en cuenta los valores de demanda para el horizonte de proyección contados desde ese año.</w:t>
            </w:r>
          </w:p>
        </w:tc>
      </w:tr>
      <w:tr w:rsidR="00F15C92" w14:paraId="6362A360" w14:textId="77777777" w:rsidTr="004F5D44">
        <w:tc>
          <w:tcPr>
            <w:tcW w:w="2300" w:type="dxa"/>
          </w:tcPr>
          <w:p w14:paraId="2FBB4831" w14:textId="0B498FC8" w:rsidR="00F15C92" w:rsidRDefault="00000000" w:rsidP="00F15C92">
            <w:pPr>
              <w:rPr>
                <w:rFonts w:ascii="Bookman Old Style" w:hAnsi="Bookman Old Style"/>
              </w:rPr>
            </w:pPr>
            <m:oMath>
              <m:sSubSup>
                <m:sSubSupPr>
                  <m:ctrlPr>
                    <w:rPr>
                      <w:rFonts w:ascii="Cambria Math" w:hAnsi="Cambria Math" w:cs="Arial"/>
                      <w:i/>
                      <w:iCs/>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oMath>
            <w:r w:rsidR="00352233">
              <w:rPr>
                <w:rFonts w:ascii="Bookman Old Style" w:hAnsi="Bookman Old Style"/>
                <w:iCs/>
                <w:color w:val="000000"/>
              </w:rPr>
              <w:t>:</w:t>
            </w:r>
          </w:p>
        </w:tc>
        <w:tc>
          <w:tcPr>
            <w:tcW w:w="6488" w:type="dxa"/>
          </w:tcPr>
          <w:p w14:paraId="3ECD41D0" w14:textId="31C8AFE5" w:rsidR="00F15C92" w:rsidRPr="00352233" w:rsidRDefault="00352233" w:rsidP="00352233">
            <w:pPr>
              <w:jc w:val="both"/>
              <w:rPr>
                <w:rFonts w:ascii="Bookman Old Style" w:hAnsi="Bookman Old Style"/>
                <w:color w:val="000000"/>
              </w:rPr>
            </w:pPr>
            <w:r w:rsidRPr="00EF7678">
              <w:rPr>
                <w:rFonts w:ascii="Bookman Old Style" w:hAnsi="Bookman Old Style" w:cs="Arial"/>
                <w:color w:val="000000"/>
              </w:rPr>
              <w:t xml:space="preserve">Valor presente ajustado de inversión en aumento de capacidad correspondiente a un gasoducto o a una estación de compresión con la tasa </w:t>
            </w:r>
            <w:proofErr w:type="spellStart"/>
            <w:r w:rsidRPr="00EF7678">
              <w:rPr>
                <w:rFonts w:ascii="Bookman Old Style" w:hAnsi="Bookman Old Style" w:cs="Arial"/>
                <w:i/>
                <w:iCs/>
                <w:color w:val="000000"/>
              </w:rPr>
              <w:t>Tkc</w:t>
            </w:r>
            <w:proofErr w:type="spellEnd"/>
            <w:r w:rsidRPr="00EF7678">
              <w:rPr>
                <w:rFonts w:ascii="Bookman Old Style" w:hAnsi="Bookman Old Style" w:cs="Arial"/>
                <w:color w:val="000000"/>
              </w:rPr>
              <w:t xml:space="preserve">. </w:t>
            </w:r>
            <w:r w:rsidRPr="00EF7678">
              <w:rPr>
                <w:rFonts w:ascii="Bookman Old Style" w:hAnsi="Bookman Old Style"/>
              </w:rPr>
              <w:t>Este valor estará expresado en pesos colombianos de la fecha base, el cual debe ajustarse siguiendo lo expresado en el</w:t>
            </w:r>
            <w:r>
              <w:rPr>
                <w:rFonts w:ascii="Bookman Old Style" w:hAnsi="Bookman Old Style"/>
              </w:rPr>
              <w:t xml:space="preserve"> Artículo 14 </w:t>
            </w:r>
            <w:r w:rsidRPr="00EF7678">
              <w:rPr>
                <w:rFonts w:ascii="Bookman Old Style" w:hAnsi="Bookman Old Style"/>
              </w:rPr>
              <w:t xml:space="preserve">de la presente resolución. Cuando la </w:t>
            </w:r>
            <m:oMath>
              <m:sSubSup>
                <m:sSubSupPr>
                  <m:ctrlPr>
                    <w:rPr>
                      <w:rFonts w:ascii="Cambria Math" w:hAnsi="Cambria Math" w:cs="Arial"/>
                      <w:i/>
                      <w:iCs/>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r>
                <w:rPr>
                  <w:rFonts w:ascii="Cambria Math" w:hAnsi="Cambria Math" w:cs="Arial"/>
                  <w:color w:val="000000"/>
                </w:rPr>
                <m:t xml:space="preserve"> </m:t>
              </m:r>
            </m:oMath>
            <w:r w:rsidRPr="00EF7678">
              <w:rPr>
                <w:rFonts w:ascii="Bookman Old Style" w:hAnsi="Bookman Old Style"/>
              </w:rPr>
              <w:t xml:space="preserve">entre en operación, conforme a las disposiciones del </w:t>
            </w:r>
            <w:r>
              <w:rPr>
                <w:rFonts w:ascii="Bookman Old Style" w:hAnsi="Bookman Old Style"/>
              </w:rPr>
              <w:t>Artículo 28</w:t>
            </w:r>
            <w:r w:rsidRPr="00EF7678">
              <w:rPr>
                <w:rFonts w:ascii="Bookman Old Style" w:hAnsi="Bookman Old Style"/>
              </w:rPr>
              <w:t xml:space="preserve"> se recalculará el </w:t>
            </w:r>
            <m:oMath>
              <m:sSub>
                <m:sSubPr>
                  <m:ctrlPr>
                    <w:rPr>
                      <w:rFonts w:ascii="Cambria Math" w:hAnsi="Cambria Math"/>
                      <w:i/>
                    </w:rPr>
                  </m:ctrlPr>
                </m:sSubPr>
                <m:e>
                  <m:r>
                    <w:rPr>
                      <w:rFonts w:ascii="Cambria Math" w:hAnsi="Cambria Math"/>
                    </w:rPr>
                    <m:t>CFI_IE_PNI_IAC</m:t>
                  </m:r>
                </m:e>
                <m:sub>
                  <m:r>
                    <w:rPr>
                      <w:rFonts w:ascii="Cambria Math" w:hAnsi="Cambria Math"/>
                    </w:rPr>
                    <m:t>t,</m:t>
                  </m:r>
                  <m:sSub>
                    <m:sSubPr>
                      <m:ctrlPr>
                        <w:rPr>
                          <w:rFonts w:ascii="Cambria Math" w:hAnsi="Cambria Math"/>
                          <w:i/>
                        </w:rPr>
                      </m:ctrlPr>
                    </m:sSubPr>
                    <m:e>
                      <m:r>
                        <w:rPr>
                          <w:rFonts w:ascii="Cambria Math" w:hAnsi="Cambria Math"/>
                        </w:rPr>
                        <m:t>λ</m:t>
                      </m:r>
                    </m:e>
                    <m:sub>
                      <m:r>
                        <w:rPr>
                          <w:rFonts w:ascii="Cambria Math" w:hAnsi="Cambria Math"/>
                        </w:rPr>
                        <m:t>f</m:t>
                      </m:r>
                    </m:sub>
                  </m:sSub>
                </m:sub>
              </m:sSub>
            </m:oMath>
            <w:r w:rsidRPr="00EF7678">
              <w:rPr>
                <w:rFonts w:ascii="Bookman Old Style" w:hAnsi="Bookman Old Style"/>
              </w:rPr>
              <w:t xml:space="preserve">  teniendo en cuenta los valores de demanda para el horizonte de proyección contados desde ese año.</w:t>
            </w:r>
          </w:p>
        </w:tc>
      </w:tr>
      <w:tr w:rsidR="00EF0FCC" w14:paraId="5DF1ABAD" w14:textId="77777777" w:rsidTr="004F5D44">
        <w:tc>
          <w:tcPr>
            <w:tcW w:w="2300" w:type="dxa"/>
          </w:tcPr>
          <w:p w14:paraId="5C41161C" w14:textId="710D7F69" w:rsidR="00EF0FCC" w:rsidRDefault="00EF0FCC" w:rsidP="00F15C92">
            <w:pPr>
              <w:rPr>
                <w:rFonts w:ascii="Bookman Old Style" w:hAnsi="Bookman Old Style"/>
                <w:iCs/>
                <w:color w:val="000000"/>
              </w:rPr>
            </w:pPr>
            <m:oMath>
              <m:r>
                <w:rPr>
                  <w:rFonts w:ascii="Cambria Math" w:hAnsi="Cambria Math" w:cs="Arial"/>
                  <w:color w:val="000000"/>
                </w:rPr>
                <m:t>RVUN</m:t>
              </m:r>
            </m:oMath>
            <w:r>
              <w:rPr>
                <w:rFonts w:ascii="Bookman Old Style" w:hAnsi="Bookman Old Style"/>
                <w:iCs/>
                <w:color w:val="000000"/>
              </w:rPr>
              <w:t>:</w:t>
            </w:r>
          </w:p>
        </w:tc>
        <w:tc>
          <w:tcPr>
            <w:tcW w:w="6488" w:type="dxa"/>
          </w:tcPr>
          <w:p w14:paraId="47FA072A" w14:textId="71BFB10F" w:rsidR="00EF0FCC" w:rsidRPr="00EF7678" w:rsidRDefault="009A27D2" w:rsidP="00352233">
            <w:pPr>
              <w:jc w:val="both"/>
              <w:rPr>
                <w:rFonts w:ascii="Bookman Old Style" w:hAnsi="Bookman Old Style" w:cs="Arial"/>
                <w:color w:val="000000"/>
              </w:rPr>
            </w:pPr>
            <w:r>
              <w:rPr>
                <w:rFonts w:ascii="Bookman Old Style" w:hAnsi="Bookman Old Style" w:cs="Arial"/>
                <w:color w:val="000000"/>
              </w:rPr>
              <w:t xml:space="preserve">Costo de oportunidad </w:t>
            </w:r>
            <w:r w:rsidR="00752EC0">
              <w:rPr>
                <w:rFonts w:ascii="Bookman Old Style" w:hAnsi="Bookman Old Style" w:cs="Arial"/>
                <w:color w:val="000000"/>
              </w:rPr>
              <w:t>por mantener en operación</w:t>
            </w:r>
            <w:r w:rsidR="00154F04">
              <w:rPr>
                <w:rFonts w:ascii="Bookman Old Style" w:hAnsi="Bookman Old Style" w:cs="Arial"/>
                <w:color w:val="000000"/>
              </w:rPr>
              <w:t xml:space="preserve"> los activos que cumplen el periodo de vida útil normativa, </w:t>
            </w:r>
            <m:oMath>
              <m:r>
                <w:rPr>
                  <w:rFonts w:ascii="Cambria Math" w:hAnsi="Cambria Math"/>
                </w:rPr>
                <m:t>RVUN</m:t>
              </m:r>
            </m:oMath>
            <w:r w:rsidR="00154F04">
              <w:rPr>
                <w:rFonts w:ascii="Bookman Old Style" w:hAnsi="Bookman Old Style" w:cs="Arial"/>
                <w:iCs/>
              </w:rPr>
              <w:t>, conforme a las disposiciones del numeral iii del literal e)</w:t>
            </w:r>
            <w:r w:rsidR="00DA50C3">
              <w:rPr>
                <w:rFonts w:ascii="Bookman Old Style" w:hAnsi="Bookman Old Style" w:cs="Arial"/>
                <w:iCs/>
              </w:rPr>
              <w:t xml:space="preserve"> del artículo 2</w:t>
            </w:r>
            <w:r w:rsidR="008A29B2">
              <w:rPr>
                <w:rFonts w:ascii="Bookman Old Style" w:hAnsi="Bookman Old Style" w:cs="Arial"/>
                <w:iCs/>
              </w:rPr>
              <w:t>7 de la presente resolución.</w:t>
            </w:r>
          </w:p>
        </w:tc>
      </w:tr>
      <w:tr w:rsidR="00F15C92" w14:paraId="2FBFF240" w14:textId="77777777" w:rsidTr="004F5D44">
        <w:tc>
          <w:tcPr>
            <w:tcW w:w="2300" w:type="dxa"/>
          </w:tcPr>
          <w:p w14:paraId="5A227968" w14:textId="6F845A61" w:rsidR="00F15C92" w:rsidRDefault="00000000" w:rsidP="00F15C92">
            <w:pPr>
              <w:rPr>
                <w:rFonts w:ascii="Bookman Old Style" w:hAnsi="Bookman Old Style"/>
              </w:rPr>
            </w:pPr>
            <m:oMath>
              <m:sSub>
                <m:sSubPr>
                  <m:ctrlPr>
                    <w:rPr>
                      <w:rFonts w:ascii="Cambria Math" w:hAnsi="Cambria Math"/>
                      <w:i/>
                    </w:rPr>
                  </m:ctrlPr>
                </m:sSubPr>
                <m:e>
                  <m:r>
                    <w:rPr>
                      <w:rFonts w:ascii="Cambria Math" w:hAnsi="Cambria Math"/>
                    </w:rPr>
                    <m:t>λ</m:t>
                  </m:r>
                </m:e>
                <m:sub>
                  <m:r>
                    <w:rPr>
                      <w:rFonts w:ascii="Cambria Math" w:hAnsi="Cambria Math"/>
                    </w:rPr>
                    <m:t>f</m:t>
                  </m:r>
                </m:sub>
              </m:sSub>
            </m:oMath>
            <w:r w:rsidR="00352233">
              <w:rPr>
                <w:rFonts w:ascii="Bookman Old Style" w:hAnsi="Bookman Old Style"/>
              </w:rPr>
              <w:t>:</w:t>
            </w:r>
          </w:p>
        </w:tc>
        <w:tc>
          <w:tcPr>
            <w:tcW w:w="6488" w:type="dxa"/>
          </w:tcPr>
          <w:p w14:paraId="000D1849" w14:textId="7E623359" w:rsidR="00352233" w:rsidRPr="004416CB" w:rsidRDefault="00352233" w:rsidP="00352233">
            <w:pPr>
              <w:jc w:val="both"/>
              <w:rPr>
                <w:rFonts w:ascii="Bookman Old Style" w:hAnsi="Bookman Old Style"/>
              </w:rPr>
            </w:pPr>
            <w:r w:rsidRPr="00352233">
              <w:rPr>
                <w:rFonts w:ascii="Bookman Old Style" w:hAnsi="Bookman Old Style" w:cs="Arial"/>
                <w:color w:val="000000"/>
              </w:rPr>
              <w:t>Corresponde a uno de los siguientes valores: 0; 0,10; 0,20; 0,40; 0,50; 0,60; 0,70; 0,80; 0,85; 0,90; 0,92; 0,94; 0,96; 0,98 y 1.</w:t>
            </w:r>
          </w:p>
          <w:p w14:paraId="77987B52" w14:textId="77777777" w:rsidR="00F15C92" w:rsidRPr="00352233" w:rsidRDefault="00F15C92" w:rsidP="00352233">
            <w:pPr>
              <w:jc w:val="both"/>
              <w:rPr>
                <w:rFonts w:ascii="Bookman Old Style" w:hAnsi="Bookman Old Style"/>
                <w:color w:val="000000"/>
              </w:rPr>
            </w:pPr>
          </w:p>
        </w:tc>
      </w:tr>
      <w:tr w:rsidR="00F15C92" w14:paraId="263FC034" w14:textId="77777777" w:rsidTr="004F5D44">
        <w:tc>
          <w:tcPr>
            <w:tcW w:w="2300" w:type="dxa"/>
          </w:tcPr>
          <w:p w14:paraId="71BD45A8" w14:textId="325E8104" w:rsidR="00F15C92" w:rsidRDefault="00000000" w:rsidP="00F15C92">
            <w:pPr>
              <w:rPr>
                <w:rFonts w:ascii="Bookman Old Style" w:hAnsi="Bookman Old Style"/>
              </w:rPr>
            </w:pPr>
            <m:oMath>
              <m:sSubSup>
                <m:sSubSupPr>
                  <m:ctrlPr>
                    <w:rPr>
                      <w:rFonts w:ascii="Cambria Math" w:hAnsi="Cambria Math"/>
                      <w:i/>
                    </w:rPr>
                  </m:ctrlPr>
                </m:sSubSupPr>
                <m:e>
                  <m:r>
                    <w:rPr>
                      <w:rFonts w:ascii="Cambria Math" w:hAnsi="Cambria Math"/>
                    </w:rPr>
                    <m:t>DEC</m:t>
                  </m:r>
                </m:e>
                <m:sub>
                  <m:r>
                    <w:rPr>
                      <w:rFonts w:ascii="Cambria Math" w:hAnsi="Cambria Math"/>
                    </w:rPr>
                    <m:t>t</m:t>
                  </m:r>
                </m:sub>
                <m:sup>
                  <m:r>
                    <w:rPr>
                      <w:rFonts w:ascii="Cambria Math" w:hAnsi="Cambria Math"/>
                    </w:rPr>
                    <m:t>a</m:t>
                  </m:r>
                </m:sup>
              </m:sSubSup>
            </m:oMath>
            <w:r w:rsidR="00352233">
              <w:rPr>
                <w:rFonts w:ascii="Bookman Old Style" w:hAnsi="Bookman Old Style"/>
              </w:rPr>
              <w:t>:</w:t>
            </w:r>
          </w:p>
        </w:tc>
        <w:tc>
          <w:tcPr>
            <w:tcW w:w="6488" w:type="dxa"/>
          </w:tcPr>
          <w:p w14:paraId="05263805" w14:textId="28700A36" w:rsidR="00F15C92" w:rsidRPr="00352233" w:rsidRDefault="00352233" w:rsidP="00352233">
            <w:pPr>
              <w:jc w:val="both"/>
              <w:rPr>
                <w:rFonts w:ascii="Bookman Old Style" w:hAnsi="Bookman Old Style"/>
                <w:color w:val="000000"/>
              </w:rPr>
            </w:pPr>
            <w:r w:rsidRPr="004416CB">
              <w:rPr>
                <w:rFonts w:ascii="Bookman Old Style" w:hAnsi="Bookman Old Style"/>
              </w:rPr>
              <w:t xml:space="preserve">Demanda esperada de capacidad asociada a la inversión existente, expresada en </w:t>
            </w:r>
            <w:proofErr w:type="spellStart"/>
            <w:r w:rsidRPr="004416CB">
              <w:rPr>
                <w:rFonts w:ascii="Bookman Old Style" w:hAnsi="Bookman Old Style"/>
              </w:rPr>
              <w:t>kpcd</w:t>
            </w:r>
            <w:proofErr w:type="spellEnd"/>
            <w:r w:rsidRPr="004416CB">
              <w:rPr>
                <w:rFonts w:ascii="Bookman Old Style" w:hAnsi="Bookman Old Style"/>
              </w:rPr>
              <w:t xml:space="preserve">-año. Cuando, conforme a las disposiciones del </w:t>
            </w:r>
            <w:r>
              <w:rPr>
                <w:rFonts w:ascii="Bookman Old Style" w:hAnsi="Bookman Old Style"/>
              </w:rPr>
              <w:t xml:space="preserve">Artículo 28 </w:t>
            </w:r>
            <w:r w:rsidRPr="004416CB">
              <w:rPr>
                <w:rFonts w:ascii="Bookman Old Style" w:hAnsi="Bookman Old Style"/>
              </w:rPr>
              <w:t xml:space="preserve">se incluya alguna inversión </w:t>
            </w:r>
            <m:oMath>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 xml:space="preserve">II,t </m:t>
                  </m:r>
                </m:sub>
                <m:sup>
                  <m:r>
                    <w:rPr>
                      <w:rFonts w:ascii="Cambria Math" w:hAnsi="Cambria Math" w:cs="Arial"/>
                      <w:color w:val="000000"/>
                    </w:rPr>
                    <m:t>a</m:t>
                  </m:r>
                </m:sup>
              </m:sSubSup>
              <m:r>
                <w:rPr>
                  <w:rFonts w:ascii="Cambria Math" w:hAnsi="Cambria Math" w:cs="Arial"/>
                  <w:color w:val="000000"/>
                  <w:lang w:val="es-ES_tradnl"/>
                </w:rPr>
                <m:t xml:space="preserve">ó </m:t>
              </m:r>
              <m:sSubSup>
                <m:sSubSupPr>
                  <m:ctrlPr>
                    <w:rPr>
                      <w:rFonts w:ascii="Cambria Math" w:hAnsi="Cambria Math" w:cs="Arial"/>
                      <w:i/>
                      <w:iCs/>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oMath>
            <w:r w:rsidRPr="004416CB">
              <w:rPr>
                <w:rFonts w:ascii="Bookman Old Style" w:hAnsi="Bookman Old Style"/>
              </w:rPr>
              <w:t xml:space="preserve">  en los cargos los valores de demanda se deberán actualizar para el horizonte de proyección aplicando las disposiciones</w:t>
            </w:r>
            <w:r w:rsidR="003C63C4">
              <w:rPr>
                <w:rFonts w:ascii="Bookman Old Style" w:hAnsi="Bookman Old Style"/>
              </w:rPr>
              <w:t xml:space="preserve"> del Artículo 2</w:t>
            </w:r>
            <w:r w:rsidR="00D55949">
              <w:rPr>
                <w:rFonts w:ascii="Bookman Old Style" w:hAnsi="Bookman Old Style"/>
              </w:rPr>
              <w:t>1.</w:t>
            </w:r>
          </w:p>
        </w:tc>
      </w:tr>
      <w:tr w:rsidR="00352233" w14:paraId="7D9DDB0C" w14:textId="77777777" w:rsidTr="004F5D44">
        <w:tc>
          <w:tcPr>
            <w:tcW w:w="2300" w:type="dxa"/>
          </w:tcPr>
          <w:p w14:paraId="19732825" w14:textId="4EEED041" w:rsidR="00352233" w:rsidRDefault="00000000" w:rsidP="00F15C92">
            <w:pPr>
              <w:rPr>
                <w:rFonts w:ascii="Bookman Old Style" w:hAnsi="Bookman Old Style"/>
              </w:rPr>
            </w:pPr>
            <m:oMath>
              <m:sSubSup>
                <m:sSubSupPr>
                  <m:ctrlPr>
                    <w:rPr>
                      <w:rFonts w:ascii="Cambria Math" w:hAnsi="Cambria Math"/>
                      <w:i/>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PNI</m:t>
                  </m:r>
                  <m:r>
                    <w:rPr>
                      <w:rFonts w:ascii="Cambria Math" w:hAnsi="Cambria Math"/>
                      <w:lang w:val="es-ES"/>
                    </w:rPr>
                    <m:t>_</m:t>
                  </m:r>
                  <m:r>
                    <w:rPr>
                      <w:rFonts w:ascii="Cambria Math" w:hAnsi="Cambria Math"/>
                      <w:lang w:val="en-US"/>
                    </w:rPr>
                    <m:t>II</m:t>
                  </m:r>
                </m:sup>
              </m:sSubSup>
            </m:oMath>
            <w:r w:rsidR="00B650E6">
              <w:rPr>
                <w:rFonts w:ascii="Bookman Old Style" w:hAnsi="Bookman Old Style"/>
                <w:lang w:val="en-US"/>
              </w:rPr>
              <w:t>:</w:t>
            </w:r>
          </w:p>
        </w:tc>
        <w:tc>
          <w:tcPr>
            <w:tcW w:w="6488" w:type="dxa"/>
          </w:tcPr>
          <w:p w14:paraId="348B1FF0" w14:textId="2AE5F5C6" w:rsidR="00B650E6" w:rsidRPr="004416CB" w:rsidRDefault="00B650E6" w:rsidP="00B650E6">
            <w:pPr>
              <w:jc w:val="both"/>
              <w:rPr>
                <w:rFonts w:ascii="Bookman Old Style" w:hAnsi="Bookman Old Style"/>
              </w:rPr>
            </w:pPr>
            <w:r w:rsidRPr="004416CB">
              <w:rPr>
                <w:rFonts w:ascii="Bookman Old Style" w:hAnsi="Bookman Old Style"/>
              </w:rPr>
              <w:t xml:space="preserve">Demanda anual esperada de capacidad asociada a la </w:t>
            </w:r>
            <w:r w:rsidRPr="004416CB" w:rsidDel="002B4D0D">
              <w:rPr>
                <w:rFonts w:ascii="Bookman Old Style" w:hAnsi="Bookman Old Style"/>
              </w:rPr>
              <w:t>inversión</w:t>
            </w:r>
            <w:r w:rsidRPr="004416CB">
              <w:rPr>
                <w:rFonts w:ascii="Bookman Old Style" w:hAnsi="Bookman Old Style"/>
              </w:rPr>
              <w:t xml:space="preserve"> tipo II, </w:t>
            </w:r>
            <m:oMath>
              <m:sSub>
                <m:sSubPr>
                  <m:ctrlPr>
                    <w:rPr>
                      <w:rFonts w:ascii="Cambria Math" w:hAnsi="Cambria Math"/>
                    </w:rPr>
                  </m:ctrlPr>
                </m:sSubPr>
                <m:e>
                  <m:r>
                    <w:rPr>
                      <w:rFonts w:ascii="Cambria Math" w:hAnsi="Cambria Math"/>
                    </w:rPr>
                    <m:t>PNI</m:t>
                  </m:r>
                  <m:r>
                    <m:rPr>
                      <m:sty m:val="p"/>
                    </m:rPr>
                    <w:rPr>
                      <w:rFonts w:ascii="Cambria Math" w:hAnsi="Cambria Math"/>
                    </w:rPr>
                    <m:t>_</m:t>
                  </m:r>
                  <m:r>
                    <w:rPr>
                      <w:rFonts w:ascii="Cambria Math" w:hAnsi="Cambria Math"/>
                    </w:rPr>
                    <m:t>II</m:t>
                  </m:r>
                </m:e>
                <m:sub>
                  <m:r>
                    <w:rPr>
                      <w:rFonts w:ascii="Cambria Math" w:hAnsi="Cambria Math"/>
                    </w:rPr>
                    <m:t>t</m:t>
                  </m:r>
                </m:sub>
              </m:sSub>
            </m:oMath>
            <w:r w:rsidRPr="004416CB">
              <w:rPr>
                <w:rFonts w:ascii="Bookman Old Style" w:hAnsi="Bookman Old Style"/>
              </w:rPr>
              <w:t>, para el horizonte de proyección, expresada en kpcd-año. Cuando, conforme a las d</w:t>
            </w:r>
            <w:proofErr w:type="spellStart"/>
            <w:r w:rsidRPr="00B6387D">
              <w:rPr>
                <w:rFonts w:ascii="Bookman Old Style" w:hAnsi="Bookman Old Style"/>
              </w:rPr>
              <w:t>isposiciones</w:t>
            </w:r>
            <w:proofErr w:type="spellEnd"/>
            <w:r w:rsidRPr="00B6387D">
              <w:rPr>
                <w:rFonts w:ascii="Bookman Old Style" w:hAnsi="Bookman Old Style"/>
              </w:rPr>
              <w:t xml:space="preserve"> del</w:t>
            </w:r>
            <w:r>
              <w:rPr>
                <w:rFonts w:ascii="Bookman Old Style" w:hAnsi="Bookman Old Style"/>
              </w:rPr>
              <w:t xml:space="preserve"> Artículo 28</w:t>
            </w:r>
            <w:r w:rsidRPr="00B6387D">
              <w:rPr>
                <w:rFonts w:ascii="Bookman Old Style" w:hAnsi="Bookman Old Style"/>
              </w:rPr>
              <w:t xml:space="preserve"> se incluya alguna inversión </w:t>
            </w:r>
            <m:oMath>
              <m:sSubSup>
                <m:sSubSupPr>
                  <m:ctrlPr>
                    <w:rPr>
                      <w:rFonts w:ascii="Cambria Math" w:hAnsi="Cambria Math"/>
                    </w:rPr>
                  </m:ctrlPr>
                </m:sSubSupPr>
                <m:e>
                  <m:r>
                    <w:rPr>
                      <w:rFonts w:ascii="Cambria Math" w:hAnsi="Cambria Math"/>
                    </w:rPr>
                    <m:t>PNI</m:t>
                  </m:r>
                </m:e>
                <m:sub>
                  <m:r>
                    <w:rPr>
                      <w:rFonts w:ascii="Cambria Math" w:hAnsi="Cambria Math"/>
                    </w:rPr>
                    <m:t>II</m:t>
                  </m:r>
                  <m:r>
                    <m:rPr>
                      <m:sty m:val="p"/>
                    </m:rPr>
                    <w:rPr>
                      <w:rFonts w:ascii="Cambria Math" w:hAnsi="Cambria Math"/>
                    </w:rPr>
                    <m:t>,</m:t>
                  </m:r>
                  <m:r>
                    <w:rPr>
                      <w:rFonts w:ascii="Cambria Math" w:hAnsi="Cambria Math"/>
                    </w:rPr>
                    <m:t>t</m:t>
                  </m:r>
                  <m:r>
                    <m:rPr>
                      <m:sty m:val="p"/>
                    </m:rPr>
                    <w:rPr>
                      <w:rFonts w:ascii="Cambria Math" w:hAnsi="Cambria Math"/>
                    </w:rPr>
                    <m:t xml:space="preserve"> </m:t>
                  </m:r>
                </m:sub>
                <m:sup>
                  <m:r>
                    <w:rPr>
                      <w:rFonts w:ascii="Cambria Math" w:hAnsi="Cambria Math"/>
                    </w:rPr>
                    <m:t>a</m:t>
                  </m:r>
                </m:sup>
              </m:sSubSup>
              <m:r>
                <m:rPr>
                  <m:sty m:val="p"/>
                </m:rPr>
                <w:rPr>
                  <w:rFonts w:ascii="Cambria Math" w:hAnsi="Cambria Math"/>
                </w:rPr>
                <m:t xml:space="preserve">ó </m:t>
              </m:r>
              <m:sSubSup>
                <m:sSubSupPr>
                  <m:ctrlPr>
                    <w:rPr>
                      <w:rFonts w:ascii="Cambria Math" w:hAnsi="Cambria Math"/>
                    </w:rPr>
                  </m:ctrlPr>
                </m:sSubSupPr>
                <m:e>
                  <m:r>
                    <w:rPr>
                      <w:rFonts w:ascii="Cambria Math" w:hAnsi="Cambria Math"/>
                    </w:rPr>
                    <m:t>IAC</m:t>
                  </m:r>
                </m:e>
                <m:sub>
                  <m:r>
                    <w:rPr>
                      <w:rFonts w:ascii="Cambria Math" w:hAnsi="Cambria Math"/>
                    </w:rPr>
                    <m:t>t</m:t>
                  </m:r>
                </m:sub>
                <m:sup>
                  <m:r>
                    <w:rPr>
                      <w:rFonts w:ascii="Cambria Math" w:hAnsi="Cambria Math"/>
                    </w:rPr>
                    <m:t>a</m:t>
                  </m:r>
                </m:sup>
              </m:sSubSup>
            </m:oMath>
            <w:r w:rsidRPr="00B6387D">
              <w:rPr>
                <w:rFonts w:ascii="Bookman Old Style" w:hAnsi="Bookman Old Style"/>
              </w:rPr>
              <w:t xml:space="preserve">  en los cargos los valores de demanda se deberán actualizar para el horizonte de proyección aplicando las disposiciones</w:t>
            </w:r>
            <w:r>
              <w:rPr>
                <w:rFonts w:ascii="Bookman Old Style" w:hAnsi="Bookman Old Style"/>
              </w:rPr>
              <w:t xml:space="preserve"> Artículo 21</w:t>
            </w:r>
            <w:r w:rsidRPr="00B6387D">
              <w:rPr>
                <w:rFonts w:ascii="Bookman Old Style" w:hAnsi="Bookman Old Style"/>
              </w:rPr>
              <w:t>.</w:t>
            </w:r>
          </w:p>
          <w:p w14:paraId="71D7C497" w14:textId="77777777" w:rsidR="00352233" w:rsidRPr="00B650E6" w:rsidRDefault="00352233" w:rsidP="00B650E6">
            <w:pPr>
              <w:jc w:val="both"/>
              <w:rPr>
                <w:rFonts w:ascii="Bookman Old Style" w:hAnsi="Bookman Old Style"/>
              </w:rPr>
            </w:pPr>
          </w:p>
        </w:tc>
      </w:tr>
      <w:tr w:rsidR="00352233" w14:paraId="5E3576E0" w14:textId="77777777" w:rsidTr="004F5D44">
        <w:tc>
          <w:tcPr>
            <w:tcW w:w="2300" w:type="dxa"/>
          </w:tcPr>
          <w:p w14:paraId="2BE967DA" w14:textId="219E5626" w:rsidR="00352233" w:rsidRDefault="00000000" w:rsidP="00F15C92">
            <w:pPr>
              <w:rPr>
                <w:rFonts w:ascii="Bookman Old Style" w:hAnsi="Bookman Old Style"/>
              </w:rPr>
            </w:pPr>
            <m:oMath>
              <m:sSubSup>
                <m:sSubSupPr>
                  <m:ctrlPr>
                    <w:rPr>
                      <w:rFonts w:ascii="Cambria Math" w:hAnsi="Cambria Math" w:cs="Arial"/>
                      <w:i/>
                      <w:color w:val="000000"/>
                    </w:rPr>
                  </m:ctrlPr>
                </m:sSubSupPr>
                <m:e>
                  <m:r>
                    <w:rPr>
                      <w:rFonts w:ascii="Cambria Math" w:hAnsi="Cambria Math" w:cs="Arial"/>
                      <w:color w:val="000000"/>
                    </w:rPr>
                    <m:t>DEC</m:t>
                  </m:r>
                </m:e>
                <m:sub>
                  <m:r>
                    <w:rPr>
                      <w:rFonts w:ascii="Cambria Math" w:hAnsi="Cambria Math" w:cs="Arial"/>
                      <w:color w:val="000000"/>
                    </w:rPr>
                    <m:t>t</m:t>
                  </m:r>
                </m:sub>
                <m:sup>
                  <m:r>
                    <w:rPr>
                      <w:rFonts w:ascii="Cambria Math" w:hAnsi="Cambria Math" w:cs="Arial"/>
                      <w:color w:val="000000"/>
                    </w:rPr>
                    <m:t>IAC</m:t>
                  </m:r>
                </m:sup>
              </m:sSubSup>
            </m:oMath>
            <w:r w:rsidR="00B650E6">
              <w:rPr>
                <w:rFonts w:ascii="Bookman Old Style" w:hAnsi="Bookman Old Style"/>
                <w:color w:val="000000"/>
              </w:rPr>
              <w:t>:</w:t>
            </w:r>
          </w:p>
        </w:tc>
        <w:tc>
          <w:tcPr>
            <w:tcW w:w="6488" w:type="dxa"/>
          </w:tcPr>
          <w:p w14:paraId="3441DFDA" w14:textId="04FFDB4F" w:rsidR="00352233" w:rsidRPr="00352233" w:rsidRDefault="00D2076A" w:rsidP="00352233">
            <w:pPr>
              <w:jc w:val="both"/>
              <w:rPr>
                <w:rFonts w:ascii="Bookman Old Style" w:hAnsi="Bookman Old Style"/>
                <w:color w:val="000000"/>
              </w:rPr>
            </w:pPr>
            <w:r w:rsidRPr="004416CB">
              <w:rPr>
                <w:rFonts w:ascii="Bookman Old Style" w:hAnsi="Bookman Old Style"/>
                <w:color w:val="000000"/>
              </w:rPr>
              <w:t xml:space="preserve">Demanda esperada de capacidad asociada a proyectos </w:t>
            </w:r>
            <w:proofErr w:type="spellStart"/>
            <w:r w:rsidRPr="004416CB">
              <w:rPr>
                <w:rFonts w:ascii="Bookman Old Style" w:hAnsi="Bookman Old Style"/>
                <w:color w:val="000000"/>
              </w:rPr>
              <w:t>IAC</w:t>
            </w:r>
            <w:proofErr w:type="spellEnd"/>
            <w:r w:rsidRPr="004416CB">
              <w:rPr>
                <w:rFonts w:ascii="Bookman Old Style" w:hAnsi="Bookman Old Style"/>
                <w:color w:val="000000"/>
              </w:rPr>
              <w:t xml:space="preserve">, </w:t>
            </w:r>
            <w:r w:rsidRPr="00861703">
              <w:rPr>
                <w:rFonts w:ascii="Bookman Old Style" w:hAnsi="Bookman Old Style"/>
                <w:color w:val="000000"/>
              </w:rPr>
              <w:t>para el horizonte de proyección,</w:t>
            </w:r>
            <w:r w:rsidRPr="004416CB">
              <w:rPr>
                <w:rFonts w:ascii="Bookman Old Style" w:hAnsi="Bookman Old Style"/>
                <w:color w:val="000000"/>
              </w:rPr>
              <w:t xml:space="preserve"> </w:t>
            </w:r>
            <w:r w:rsidRPr="00861703">
              <w:rPr>
                <w:rFonts w:ascii="Bookman Old Style" w:hAnsi="Bookman Old Style"/>
                <w:color w:val="000000"/>
              </w:rPr>
              <w:t xml:space="preserve">expresada en </w:t>
            </w:r>
            <w:proofErr w:type="spellStart"/>
            <w:r w:rsidRPr="00861703">
              <w:rPr>
                <w:rFonts w:ascii="Bookman Old Style" w:hAnsi="Bookman Old Style"/>
                <w:color w:val="000000"/>
              </w:rPr>
              <w:t>kpcd</w:t>
            </w:r>
            <w:proofErr w:type="spellEnd"/>
            <w:r w:rsidRPr="00861703">
              <w:rPr>
                <w:rFonts w:ascii="Bookman Old Style" w:hAnsi="Bookman Old Style"/>
                <w:color w:val="000000"/>
              </w:rPr>
              <w:t xml:space="preserve">-año. Cuando, conforme a las disposiciones del Artículo 28 se incluya alguna inversión </w:t>
            </w:r>
            <m:oMath>
              <m:sSubSup>
                <m:sSubSupPr>
                  <m:ctrlPr>
                    <w:rPr>
                      <w:rFonts w:ascii="Cambria Math" w:hAnsi="Cambria Math"/>
                      <w:color w:val="000000"/>
                    </w:rPr>
                  </m:ctrlPr>
                </m:sSubSupPr>
                <m:e>
                  <m:r>
                    <w:rPr>
                      <w:rFonts w:ascii="Cambria Math" w:hAnsi="Cambria Math"/>
                      <w:color w:val="000000"/>
                    </w:rPr>
                    <m:t>PNI</m:t>
                  </m:r>
                </m:e>
                <m:sub>
                  <m:r>
                    <w:rPr>
                      <w:rFonts w:ascii="Cambria Math" w:hAnsi="Cambria Math"/>
                      <w:color w:val="000000"/>
                    </w:rPr>
                    <m:t>II</m:t>
                  </m:r>
                  <m:r>
                    <m:rPr>
                      <m:sty m:val="p"/>
                    </m:rPr>
                    <w:rPr>
                      <w:rFonts w:ascii="Cambria Math" w:hAnsi="Cambria Math"/>
                      <w:color w:val="000000"/>
                    </w:rPr>
                    <m:t>,</m:t>
                  </m:r>
                  <m:r>
                    <w:rPr>
                      <w:rFonts w:ascii="Cambria Math" w:hAnsi="Cambria Math"/>
                      <w:color w:val="000000"/>
                    </w:rPr>
                    <m:t>t</m:t>
                  </m:r>
                  <m:r>
                    <m:rPr>
                      <m:sty m:val="p"/>
                    </m:rPr>
                    <w:rPr>
                      <w:rFonts w:ascii="Cambria Math" w:hAnsi="Cambria Math"/>
                      <w:color w:val="000000"/>
                    </w:rPr>
                    <m:t xml:space="preserve"> </m:t>
                  </m:r>
                </m:sub>
                <m:sup>
                  <m:r>
                    <w:rPr>
                      <w:rFonts w:ascii="Cambria Math" w:hAnsi="Cambria Math"/>
                      <w:color w:val="000000"/>
                    </w:rPr>
                    <m:t>a</m:t>
                  </m:r>
                </m:sup>
              </m:sSubSup>
              <m:r>
                <m:rPr>
                  <m:sty m:val="p"/>
                </m:rPr>
                <w:rPr>
                  <w:rFonts w:ascii="Cambria Math" w:hAnsi="Cambria Math"/>
                  <w:color w:val="000000"/>
                </w:rPr>
                <m:t xml:space="preserve">ó </m:t>
              </m:r>
              <m:sSubSup>
                <m:sSubSupPr>
                  <m:ctrlPr>
                    <w:rPr>
                      <w:rFonts w:ascii="Cambria Math" w:hAnsi="Cambria Math"/>
                      <w:color w:val="000000"/>
                    </w:rPr>
                  </m:ctrlPr>
                </m:sSubSupPr>
                <m:e>
                  <m:r>
                    <w:rPr>
                      <w:rFonts w:ascii="Cambria Math" w:hAnsi="Cambria Math"/>
                      <w:color w:val="000000"/>
                    </w:rPr>
                    <m:t>IAC</m:t>
                  </m:r>
                </m:e>
                <m:sub>
                  <m:r>
                    <w:rPr>
                      <w:rFonts w:ascii="Cambria Math" w:hAnsi="Cambria Math"/>
                      <w:color w:val="000000"/>
                    </w:rPr>
                    <m:t>t</m:t>
                  </m:r>
                </m:sub>
                <m:sup>
                  <m:r>
                    <w:rPr>
                      <w:rFonts w:ascii="Cambria Math" w:hAnsi="Cambria Math"/>
                      <w:color w:val="000000"/>
                    </w:rPr>
                    <m:t>a</m:t>
                  </m:r>
                </m:sup>
              </m:sSubSup>
            </m:oMath>
            <w:r w:rsidRPr="00861703">
              <w:rPr>
                <w:rFonts w:ascii="Bookman Old Style" w:hAnsi="Bookman Old Style"/>
                <w:color w:val="000000"/>
              </w:rPr>
              <w:t xml:space="preserve">  en los cargos los valores de demanda se deberán actualizar para el horizonte de proyección aplicando las disposiciones Artículo 21.</w:t>
            </w:r>
          </w:p>
        </w:tc>
      </w:tr>
      <w:tr w:rsidR="00B650E6" w14:paraId="52034CDA" w14:textId="77777777" w:rsidTr="004F5D44">
        <w:tc>
          <w:tcPr>
            <w:tcW w:w="2300" w:type="dxa"/>
          </w:tcPr>
          <w:p w14:paraId="3A5A32EB" w14:textId="5B6E9168" w:rsidR="00B650E6" w:rsidRDefault="00861703" w:rsidP="00F15C92">
            <w:pPr>
              <w:rPr>
                <w:rFonts w:ascii="Bookman Old Style" w:hAnsi="Bookman Old Style"/>
              </w:rPr>
            </w:pPr>
            <m:oMath>
              <m:r>
                <w:rPr>
                  <w:rFonts w:ascii="Cambria Math" w:hAnsi="Cambria Math" w:cs="Arial"/>
                  <w:lang w:val="es-ES_tradnl"/>
                </w:rPr>
                <m:t>Tkc</m:t>
              </m:r>
            </m:oMath>
            <w:r>
              <w:rPr>
                <w:rFonts w:ascii="Bookman Old Style" w:hAnsi="Bookman Old Style"/>
                <w:lang w:val="es-ES_tradnl"/>
              </w:rPr>
              <w:t>:</w:t>
            </w:r>
          </w:p>
        </w:tc>
        <w:tc>
          <w:tcPr>
            <w:tcW w:w="6488" w:type="dxa"/>
          </w:tcPr>
          <w:p w14:paraId="25851FE8" w14:textId="77777777" w:rsidR="00861703" w:rsidRPr="004416CB" w:rsidRDefault="00861703" w:rsidP="00861703">
            <w:pPr>
              <w:jc w:val="both"/>
              <w:rPr>
                <w:rFonts w:ascii="Bookman Old Style" w:hAnsi="Bookman Old Style"/>
                <w:color w:val="000000"/>
              </w:rPr>
            </w:pPr>
            <w:r w:rsidRPr="004416CB">
              <w:rPr>
                <w:rFonts w:ascii="Bookman Old Style" w:hAnsi="Bookman Old Style"/>
                <w:color w:val="000000"/>
              </w:rPr>
              <w:t xml:space="preserve">Tasa promedio de costo de capital, real antes de impuestos, remunerado por servicios de capacidad a través de cargos fijos expresados en pesos colombianos. </w:t>
            </w:r>
          </w:p>
          <w:p w14:paraId="31602F4C" w14:textId="77777777" w:rsidR="00B650E6" w:rsidRPr="00352233" w:rsidRDefault="00B650E6" w:rsidP="00861703">
            <w:pPr>
              <w:jc w:val="both"/>
              <w:rPr>
                <w:rFonts w:ascii="Bookman Old Style" w:hAnsi="Bookman Old Style"/>
                <w:color w:val="000000"/>
              </w:rPr>
            </w:pPr>
          </w:p>
        </w:tc>
      </w:tr>
      <w:tr w:rsidR="00B650E6" w14:paraId="1B919C1E" w14:textId="77777777" w:rsidTr="004F5D44">
        <w:tc>
          <w:tcPr>
            <w:tcW w:w="2300" w:type="dxa"/>
          </w:tcPr>
          <w:p w14:paraId="63A823A8" w14:textId="07F50AB3" w:rsidR="00B650E6" w:rsidRPr="001E1294" w:rsidRDefault="00C72C12" w:rsidP="00F15C92">
            <w:pPr>
              <w:rPr>
                <w:rFonts w:ascii="Bookman Old Style" w:hAnsi="Bookman Old Style"/>
              </w:rPr>
            </w:pPr>
            <m:oMathPara>
              <m:oMath>
                <m:r>
                  <w:rPr>
                    <w:rFonts w:ascii="Cambria Math" w:hAnsi="Cambria Math"/>
                    <w:sz w:val="21"/>
                    <w:szCs w:val="21"/>
                    <w:lang w:val="en-US"/>
                  </w:rPr>
                  <m:t>VP</m:t>
                </m:r>
                <m:d>
                  <m:dPr>
                    <m:ctrlPr>
                      <w:rPr>
                        <w:rFonts w:ascii="Cambria Math" w:hAnsi="Cambria Math"/>
                        <w:sz w:val="21"/>
                        <w:szCs w:val="21"/>
                        <w:lang w:val="en-US"/>
                      </w:rPr>
                    </m:ctrlPr>
                  </m:dPr>
                  <m:e>
                    <m:sSubSup>
                      <m:sSubSupPr>
                        <m:ctrlPr>
                          <w:rPr>
                            <w:rFonts w:ascii="Cambria Math" w:hAnsi="Cambria Math"/>
                            <w:sz w:val="21"/>
                            <w:szCs w:val="21"/>
                            <w:lang w:val="en-US"/>
                          </w:rPr>
                        </m:ctrlPr>
                      </m:sSubSupPr>
                      <m:e>
                        <m:r>
                          <w:rPr>
                            <w:rFonts w:ascii="Cambria Math" w:hAnsi="Cambria Math"/>
                            <w:sz w:val="21"/>
                            <w:szCs w:val="21"/>
                            <w:lang w:val="en-US"/>
                          </w:rPr>
                          <m:t>DEC</m:t>
                        </m:r>
                      </m:e>
                      <m:sub>
                        <m:r>
                          <w:rPr>
                            <w:rFonts w:ascii="Cambria Math" w:hAnsi="Cambria Math"/>
                            <w:sz w:val="21"/>
                            <w:szCs w:val="21"/>
                            <w:lang w:val="en-US"/>
                          </w:rPr>
                          <m:t>t</m:t>
                        </m:r>
                      </m:sub>
                      <m:sup>
                        <m:r>
                          <w:rPr>
                            <w:rFonts w:ascii="Cambria Math" w:hAnsi="Cambria Math"/>
                            <w:sz w:val="21"/>
                            <w:szCs w:val="21"/>
                            <w:lang w:val="en-US"/>
                          </w:rPr>
                          <m:t>a</m:t>
                        </m:r>
                      </m:sup>
                    </m:sSubSup>
                    <m:r>
                      <w:rPr>
                        <w:rFonts w:ascii="Cambria Math" w:hAnsi="Cambria Math"/>
                        <w:sz w:val="21"/>
                        <w:szCs w:val="21"/>
                        <w:lang w:val="es-ES"/>
                      </w:rPr>
                      <m:t>+</m:t>
                    </m:r>
                    <m:sSubSup>
                      <m:sSubSupPr>
                        <m:ctrlPr>
                          <w:rPr>
                            <w:rFonts w:ascii="Cambria Math" w:hAnsi="Cambria Math"/>
                            <w:i/>
                            <w:sz w:val="21"/>
                            <w:szCs w:val="21"/>
                            <w:lang w:val="en-US"/>
                          </w:rPr>
                        </m:ctrlPr>
                      </m:sSubSupPr>
                      <m:e>
                        <m:r>
                          <w:rPr>
                            <w:rFonts w:ascii="Cambria Math" w:hAnsi="Cambria Math"/>
                            <w:sz w:val="21"/>
                            <w:szCs w:val="21"/>
                            <w:lang w:val="en-US"/>
                          </w:rPr>
                          <m:t>DEC</m:t>
                        </m:r>
                      </m:e>
                      <m:sub>
                        <m:r>
                          <w:rPr>
                            <w:rFonts w:ascii="Cambria Math" w:hAnsi="Cambria Math"/>
                            <w:sz w:val="21"/>
                            <w:szCs w:val="21"/>
                            <w:lang w:val="en-US"/>
                          </w:rPr>
                          <m:t>t</m:t>
                        </m:r>
                      </m:sub>
                      <m:sup>
                        <m:r>
                          <w:rPr>
                            <w:rFonts w:ascii="Cambria Math" w:hAnsi="Cambria Math"/>
                            <w:sz w:val="21"/>
                            <w:szCs w:val="21"/>
                            <w:lang w:val="en-US"/>
                          </w:rPr>
                          <m:t>PNI</m:t>
                        </m:r>
                        <m:r>
                          <w:rPr>
                            <w:rFonts w:ascii="Cambria Math" w:hAnsi="Cambria Math"/>
                            <w:sz w:val="21"/>
                            <w:szCs w:val="21"/>
                            <w:lang w:val="es-ES"/>
                          </w:rPr>
                          <m:t>_</m:t>
                        </m:r>
                        <m:r>
                          <w:rPr>
                            <w:rFonts w:ascii="Cambria Math" w:hAnsi="Cambria Math"/>
                            <w:sz w:val="21"/>
                            <w:szCs w:val="21"/>
                            <w:lang w:val="en-US"/>
                          </w:rPr>
                          <m:t>II</m:t>
                        </m:r>
                      </m:sup>
                    </m:sSubSup>
                    <m:r>
                      <w:rPr>
                        <w:rFonts w:ascii="Cambria Math" w:hAnsi="Cambria Math"/>
                        <w:sz w:val="21"/>
                        <w:szCs w:val="21"/>
                        <w:lang w:val="es-ES"/>
                      </w:rPr>
                      <m:t>+</m:t>
                    </m:r>
                    <m:sSubSup>
                      <m:sSubSupPr>
                        <m:ctrlPr>
                          <w:rPr>
                            <w:rFonts w:ascii="Cambria Math" w:hAnsi="Cambria Math"/>
                            <w:i/>
                            <w:sz w:val="21"/>
                            <w:szCs w:val="21"/>
                            <w:lang w:val="en-US"/>
                          </w:rPr>
                        </m:ctrlPr>
                      </m:sSubSupPr>
                      <m:e>
                        <m:r>
                          <w:rPr>
                            <w:rFonts w:ascii="Cambria Math" w:hAnsi="Cambria Math"/>
                            <w:sz w:val="21"/>
                            <w:szCs w:val="21"/>
                            <w:lang w:val="en-US"/>
                          </w:rPr>
                          <m:t>DEC</m:t>
                        </m:r>
                      </m:e>
                      <m:sub>
                        <m:r>
                          <w:rPr>
                            <w:rFonts w:ascii="Cambria Math" w:hAnsi="Cambria Math"/>
                            <w:sz w:val="21"/>
                            <w:szCs w:val="21"/>
                            <w:lang w:val="en-US"/>
                          </w:rPr>
                          <m:t>t</m:t>
                        </m:r>
                      </m:sub>
                      <m:sup>
                        <m:r>
                          <w:rPr>
                            <w:rFonts w:ascii="Cambria Math" w:hAnsi="Cambria Math"/>
                            <w:sz w:val="21"/>
                            <w:szCs w:val="21"/>
                            <w:lang w:val="en-US"/>
                          </w:rPr>
                          <m:t>IAC</m:t>
                        </m:r>
                      </m:sup>
                    </m:sSubSup>
                    <m:r>
                      <m:rPr>
                        <m:sty m:val="p"/>
                      </m:rPr>
                      <w:rPr>
                        <w:rFonts w:ascii="Cambria Math" w:hAnsi="Cambria Math"/>
                        <w:sz w:val="21"/>
                        <w:szCs w:val="21"/>
                        <w:lang w:val="es-ES"/>
                      </w:rPr>
                      <m:t>,</m:t>
                    </m:r>
                    <m:r>
                      <w:rPr>
                        <w:rFonts w:ascii="Cambria Math" w:hAnsi="Cambria Math"/>
                        <w:sz w:val="21"/>
                        <w:szCs w:val="21"/>
                        <w:lang w:val="en-US"/>
                      </w:rPr>
                      <m:t>Tkc</m:t>
                    </m:r>
                  </m:e>
                </m:d>
              </m:oMath>
            </m:oMathPara>
          </w:p>
        </w:tc>
        <w:tc>
          <w:tcPr>
            <w:tcW w:w="6488" w:type="dxa"/>
          </w:tcPr>
          <w:p w14:paraId="446CC36A" w14:textId="5A8A5B9F" w:rsidR="00B650E6" w:rsidRPr="00352233" w:rsidRDefault="00171936" w:rsidP="00352233">
            <w:pPr>
              <w:jc w:val="both"/>
              <w:rPr>
                <w:rFonts w:ascii="Bookman Old Style" w:hAnsi="Bookman Old Style"/>
                <w:color w:val="000000"/>
              </w:rPr>
            </w:pPr>
            <w:r w:rsidRPr="004416CB">
              <w:rPr>
                <w:rFonts w:ascii="Bookman Old Style" w:hAnsi="Bookman Old Style"/>
              </w:rPr>
              <w:t xml:space="preserve">Valor presente de la demanda </w:t>
            </w:r>
            <m:oMath>
              <m:sSubSup>
                <m:sSubSupPr>
                  <m:ctrlPr>
                    <w:rPr>
                      <w:rFonts w:ascii="Cambria Math" w:hAnsi="Cambria Math"/>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a</m:t>
                  </m:r>
                </m:sup>
              </m:sSubSup>
              <m:r>
                <w:rPr>
                  <w:rFonts w:ascii="Cambria Math" w:hAnsi="Cambria Math"/>
                  <w:lang w:val="es-ES"/>
                </w:rPr>
                <m:t>+</m:t>
              </m:r>
              <m:sSubSup>
                <m:sSubSupPr>
                  <m:ctrlPr>
                    <w:rPr>
                      <w:rFonts w:ascii="Cambria Math" w:hAnsi="Cambria Math"/>
                      <w:i/>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PNI</m:t>
                  </m:r>
                  <m:r>
                    <w:rPr>
                      <w:rFonts w:ascii="Cambria Math" w:hAnsi="Cambria Math"/>
                      <w:lang w:val="es-ES"/>
                    </w:rPr>
                    <m:t>_</m:t>
                  </m:r>
                  <m:r>
                    <w:rPr>
                      <w:rFonts w:ascii="Cambria Math" w:hAnsi="Cambria Math"/>
                      <w:lang w:val="en-US"/>
                    </w:rPr>
                    <m:t>II</m:t>
                  </m:r>
                </m:sup>
              </m:sSubSup>
              <m:r>
                <w:rPr>
                  <w:rFonts w:ascii="Cambria Math" w:hAnsi="Cambria Math"/>
                  <w:lang w:val="es-ES"/>
                </w:rPr>
                <m:t>+</m:t>
              </m:r>
              <m:sSubSup>
                <m:sSubSupPr>
                  <m:ctrlPr>
                    <w:rPr>
                      <w:rFonts w:ascii="Cambria Math" w:hAnsi="Cambria Math"/>
                      <w:i/>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IAC</m:t>
                  </m:r>
                </m:sup>
              </m:sSubSup>
            </m:oMath>
            <w:r w:rsidRPr="004416CB">
              <w:rPr>
                <w:rFonts w:ascii="Bookman Old Style" w:hAnsi="Bookman Old Style"/>
              </w:rPr>
              <w:t xml:space="preserve"> descontada a la tasa </w:t>
            </w:r>
            <m:oMath>
              <m:r>
                <w:rPr>
                  <w:rFonts w:ascii="Cambria Math" w:hAnsi="Cambria Math"/>
                </w:rPr>
                <m:t>Tkc</m:t>
              </m:r>
            </m:oMath>
            <w:r w:rsidR="006E6B03">
              <w:rPr>
                <w:rFonts w:ascii="Bookman Old Style" w:hAnsi="Bookman Old Style"/>
              </w:rPr>
              <w:t>”</w:t>
            </w:r>
            <w:r w:rsidRPr="004416CB">
              <w:rPr>
                <w:rFonts w:ascii="Bookman Old Style" w:hAnsi="Bookman Old Style"/>
              </w:rPr>
              <w:t>.</w:t>
            </w:r>
          </w:p>
        </w:tc>
      </w:tr>
    </w:tbl>
    <w:p w14:paraId="15865C5F" w14:textId="77777777" w:rsidR="00F15C92" w:rsidRPr="004416CB" w:rsidRDefault="00F15C92" w:rsidP="00F15C92">
      <w:pPr>
        <w:ind w:firstLine="709"/>
        <w:rPr>
          <w:rFonts w:ascii="Bookman Old Style" w:hAnsi="Bookman Old Style"/>
        </w:rPr>
      </w:pPr>
    </w:p>
    <w:p w14:paraId="33A42905" w14:textId="3771F543" w:rsidR="0005306D" w:rsidRDefault="0044666F" w:rsidP="0044666F">
      <w:pPr>
        <w:pStyle w:val="Estilo5"/>
        <w:keepNext w:val="0"/>
        <w:widowControl w:val="0"/>
        <w:numPr>
          <w:ilvl w:val="0"/>
          <w:numId w:val="0"/>
        </w:numPr>
        <w:tabs>
          <w:tab w:val="left" w:pos="1134"/>
        </w:tabs>
        <w:spacing w:before="0" w:after="0"/>
        <w:rPr>
          <w:rFonts w:ascii="Bookman Old Style" w:hAnsi="Bookman Old Style"/>
          <w:b w:val="0"/>
          <w:color w:val="000000"/>
          <w:sz w:val="24"/>
          <w:szCs w:val="24"/>
        </w:rPr>
      </w:pPr>
      <w:r w:rsidRPr="0044666F">
        <w:rPr>
          <w:rFonts w:ascii="Bookman Old Style" w:hAnsi="Bookman Old Style"/>
          <w:bCs/>
          <w:color w:val="000000"/>
          <w:sz w:val="24"/>
          <w:szCs w:val="24"/>
        </w:rPr>
        <w:t>Artículo 6.</w:t>
      </w:r>
      <w:r>
        <w:rPr>
          <w:rFonts w:ascii="Bookman Old Style" w:hAnsi="Bookman Old Style"/>
          <w:b w:val="0"/>
          <w:color w:val="000000"/>
          <w:sz w:val="24"/>
          <w:szCs w:val="24"/>
        </w:rPr>
        <w:t xml:space="preserve"> </w:t>
      </w:r>
      <w:r w:rsidR="0005306D">
        <w:rPr>
          <w:rFonts w:ascii="Bookman Old Style" w:hAnsi="Bookman Old Style"/>
          <w:b w:val="0"/>
          <w:color w:val="000000"/>
          <w:sz w:val="24"/>
          <w:szCs w:val="24"/>
        </w:rPr>
        <w:t>Modifíquese el numeral 22.</w:t>
      </w:r>
      <w:r w:rsidR="00506E78">
        <w:rPr>
          <w:rFonts w:ascii="Bookman Old Style" w:hAnsi="Bookman Old Style"/>
          <w:b w:val="0"/>
          <w:color w:val="000000"/>
          <w:sz w:val="24"/>
          <w:szCs w:val="24"/>
        </w:rPr>
        <w:t>2</w:t>
      </w:r>
      <w:r w:rsidR="0005306D">
        <w:rPr>
          <w:rFonts w:ascii="Bookman Old Style" w:hAnsi="Bookman Old Style"/>
          <w:b w:val="0"/>
          <w:color w:val="000000"/>
          <w:sz w:val="24"/>
          <w:szCs w:val="24"/>
        </w:rPr>
        <w:t xml:space="preserve">. del Artículo 22 de la Resolución </w:t>
      </w:r>
      <w:proofErr w:type="spellStart"/>
      <w:r w:rsidR="0005306D">
        <w:rPr>
          <w:rFonts w:ascii="Bookman Old Style" w:hAnsi="Bookman Old Style"/>
          <w:b w:val="0"/>
          <w:color w:val="000000"/>
          <w:sz w:val="24"/>
          <w:szCs w:val="24"/>
        </w:rPr>
        <w:t>CREG</w:t>
      </w:r>
      <w:proofErr w:type="spellEnd"/>
      <w:r w:rsidR="0005306D">
        <w:rPr>
          <w:rFonts w:ascii="Bookman Old Style" w:hAnsi="Bookman Old Style"/>
          <w:b w:val="0"/>
          <w:color w:val="000000"/>
          <w:sz w:val="24"/>
          <w:szCs w:val="24"/>
        </w:rPr>
        <w:t xml:space="preserve"> 175 de 2021 así:</w:t>
      </w:r>
    </w:p>
    <w:p w14:paraId="5962F0EA" w14:textId="77777777" w:rsidR="002828FA" w:rsidRDefault="002828FA" w:rsidP="00AF44B9"/>
    <w:p w14:paraId="7C70F159" w14:textId="0E13964B" w:rsidR="007F131A" w:rsidRPr="007F131A" w:rsidRDefault="006E6B03" w:rsidP="00456F0E">
      <w:pPr>
        <w:pStyle w:val="Prrafodelista"/>
        <w:ind w:left="284"/>
        <w:rPr>
          <w:rFonts w:cs="Arial"/>
          <w:bCs/>
          <w:color w:val="000000"/>
          <w:kern w:val="28"/>
          <w:szCs w:val="24"/>
          <w:lang w:val="es-ES_tradnl" w:eastAsia="es-CO"/>
        </w:rPr>
      </w:pPr>
      <w:bookmarkStart w:id="8" w:name="_Ref69979374"/>
      <w:r>
        <w:rPr>
          <w:rFonts w:cs="Arial"/>
          <w:b/>
          <w:color w:val="000000"/>
          <w:kern w:val="28"/>
          <w:szCs w:val="24"/>
          <w:lang w:val="es-ES_tradnl" w:eastAsia="es-CO"/>
        </w:rPr>
        <w:t>“</w:t>
      </w:r>
      <w:r w:rsidR="007F131A" w:rsidRPr="007F131A">
        <w:rPr>
          <w:rFonts w:cs="Arial"/>
          <w:b/>
          <w:color w:val="000000"/>
          <w:kern w:val="28"/>
          <w:szCs w:val="24"/>
          <w:lang w:val="es-ES_tradnl" w:eastAsia="es-CO"/>
        </w:rPr>
        <w:t>22.2. Cálculo de cargos variables regulados de referencia para la remuneración de la inversión</w:t>
      </w:r>
      <w:r w:rsidR="007F131A" w:rsidRPr="007F131A">
        <w:rPr>
          <w:rFonts w:cs="Arial"/>
          <w:bCs/>
          <w:color w:val="000000"/>
          <w:kern w:val="28"/>
          <w:szCs w:val="24"/>
          <w:lang w:val="es-ES_tradnl" w:eastAsia="es-CO"/>
        </w:rPr>
        <w:t>. Para el cálculo de los cargos variables se aplicará la siguiente expresión:</w:t>
      </w:r>
      <w:bookmarkEnd w:id="8"/>
    </w:p>
    <w:p w14:paraId="13E7E2A3" w14:textId="77777777" w:rsidR="007F131A" w:rsidRPr="004416CB" w:rsidRDefault="007F131A" w:rsidP="00A85503">
      <w:pPr>
        <w:ind w:left="426"/>
      </w:pPr>
    </w:p>
    <w:p w14:paraId="41EE5212" w14:textId="77777777" w:rsidR="007F131A" w:rsidRPr="004416CB" w:rsidRDefault="00000000" w:rsidP="00BC2CD6">
      <w:pPr>
        <w:ind w:left="284"/>
        <w:rPr>
          <w:rFonts w:ascii="Bookman Old Style" w:hAnsi="Bookman Old Style"/>
        </w:rPr>
      </w:pPr>
      <m:oMathPara>
        <m:oMath>
          <m:sSub>
            <m:sSubPr>
              <m:ctrlPr>
                <w:rPr>
                  <w:rFonts w:ascii="Cambria Math" w:hAnsi="Cambria Math"/>
                </w:rPr>
              </m:ctrlPr>
            </m:sSubPr>
            <m:e>
              <m:r>
                <w:rPr>
                  <w:rFonts w:ascii="Cambria Math" w:hAnsi="Cambria Math"/>
                </w:rPr>
                <m:t>CVI_IE_PNI_IAC</m:t>
              </m:r>
            </m:e>
            <m: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v</m:t>
                  </m:r>
                </m:sub>
              </m:sSub>
            </m:sub>
          </m:sSub>
          <m:r>
            <m:rPr>
              <m:sty m:val="p"/>
            </m:rPr>
            <w:rPr>
              <w:rFonts w:ascii="Cambria Math" w:hAnsi="Cambria Math"/>
              <w:lang w:val="en-US"/>
            </w:rPr>
            <m:t>=</m:t>
          </m:r>
          <m:f>
            <m:fPr>
              <m:ctrlPr>
                <w:rPr>
                  <w:rFonts w:ascii="Cambria Math" w:hAnsi="Cambria Math"/>
                  <w:lang w:val="en-US"/>
                </w:rPr>
              </m:ctrlPr>
            </m:fPr>
            <m:num>
              <m:d>
                <m:dPr>
                  <m:ctrlPr>
                    <w:rPr>
                      <w:rFonts w:ascii="Cambria Math" w:hAnsi="Cambria Math"/>
                    </w:rPr>
                  </m:ctrlPr>
                </m:dPr>
                <m:e>
                  <m:sSub>
                    <m:sSubPr>
                      <m:ctrlPr>
                        <w:rPr>
                          <w:rFonts w:ascii="Cambria Math" w:hAnsi="Cambria Math" w:cs="Arial"/>
                          <w:i/>
                        </w:rPr>
                      </m:ctrlPr>
                    </m:sSubPr>
                    <m:e>
                      <m:r>
                        <w:rPr>
                          <w:rFonts w:ascii="Cambria Math" w:hAnsi="Cambria Math" w:cs="Arial"/>
                        </w:rPr>
                        <m:t>IE</m:t>
                      </m:r>
                    </m:e>
                    <m:sub>
                      <m:r>
                        <w:rPr>
                          <w:rFonts w:ascii="Cambria Math" w:hAnsi="Cambria Math" w:cs="Arial"/>
                        </w:rPr>
                        <m:t>t</m:t>
                      </m:r>
                    </m:sub>
                  </m:sSub>
                  <m:r>
                    <w:rPr>
                      <w:rFonts w:ascii="Cambria Math" w:hAnsi="Cambria Math" w:cs="Arial"/>
                    </w:rPr>
                    <m:t>+</m:t>
                  </m:r>
                  <m:sSub>
                    <m:sSubPr>
                      <m:ctrlPr>
                        <w:rPr>
                          <w:rFonts w:ascii="Cambria Math" w:hAnsi="Cambria Math" w:cs="Arial"/>
                          <w:i/>
                          <w:color w:val="000000"/>
                          <w:lang w:val="es-ES_tradnl"/>
                        </w:rPr>
                      </m:ctrlPr>
                    </m:sSubPr>
                    <m:e>
                      <m:r>
                        <w:rPr>
                          <w:rFonts w:ascii="Cambria Math" w:hAnsi="Cambria Math" w:cs="Arial"/>
                          <w:color w:val="000000"/>
                          <w:lang w:val="es-ES_tradnl"/>
                        </w:rPr>
                        <m:t>I</m:t>
                      </m:r>
                    </m:e>
                    <m:sub>
                      <m:r>
                        <w:rPr>
                          <w:rFonts w:ascii="Cambria Math" w:hAnsi="Cambria Math" w:cs="Arial"/>
                          <w:color w:val="000000"/>
                          <w:lang w:val="es-ES_tradnl"/>
                        </w:rPr>
                        <m:t>t</m:t>
                      </m:r>
                    </m:sub>
                  </m:sSub>
                  <m:r>
                    <w:rPr>
                      <w:rFonts w:ascii="Cambria Math" w:hAnsi="Cambria Math" w:cs="Arial"/>
                      <w:color w:val="000000"/>
                      <w:lang w:val="es-ES_tradnl"/>
                    </w:rPr>
                    <m:t>+</m:t>
                  </m:r>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v,t</m:t>
                      </m:r>
                    </m:sub>
                    <m:sup>
                      <m:r>
                        <w:rPr>
                          <w:rFonts w:ascii="Cambria Math" w:hAnsi="Cambria Math" w:cs="Arial"/>
                          <w:color w:val="000000"/>
                        </w:rPr>
                        <m:t>a</m:t>
                      </m:r>
                    </m:sup>
                  </m:sSubSup>
                  <m:r>
                    <w:rPr>
                      <w:rFonts w:ascii="Cambria Math" w:hAnsi="Cambria Math" w:cs="Arial"/>
                      <w:color w:val="000000"/>
                      <w:lang w:val="es-ES_tradnl"/>
                    </w:rPr>
                    <m:t>+</m:t>
                  </m:r>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II,t</m:t>
                      </m:r>
                    </m:sub>
                    <m:sup>
                      <m:r>
                        <w:rPr>
                          <w:rFonts w:ascii="Cambria Math" w:hAnsi="Cambria Math" w:cs="Arial"/>
                          <w:color w:val="000000"/>
                        </w:rPr>
                        <m:t>a</m:t>
                      </m:r>
                    </m:sup>
                  </m:sSubSup>
                  <m:r>
                    <w:rPr>
                      <w:rFonts w:ascii="Cambria Math" w:hAnsi="Cambria Math" w:cs="Arial"/>
                      <w:color w:val="000000"/>
                      <w:lang w:val="es-ES_tradnl"/>
                    </w:rPr>
                    <m:t>+</m:t>
                  </m:r>
                  <m:sSubSup>
                    <m:sSubSupPr>
                      <m:ctrlPr>
                        <w:rPr>
                          <w:rFonts w:ascii="Cambria Math" w:hAnsi="Cambria Math" w:cs="Arial"/>
                          <w:i/>
                          <w:iCs/>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r>
                    <w:rPr>
                      <w:rFonts w:ascii="Cambria Math" w:hAnsi="Cambria Math" w:cs="Arial"/>
                      <w:color w:val="000000"/>
                    </w:rPr>
                    <m:t>+RVUN</m:t>
                  </m:r>
                </m:e>
              </m:d>
              <m:r>
                <m:rPr>
                  <m:sty m:val="p"/>
                </m:rPr>
                <w:rPr>
                  <w:rFonts w:ascii="Cambria Math" w:hAnsi="Cambria Math"/>
                </w:rPr>
                <m:t>×</m:t>
              </m:r>
              <m:sSub>
                <m:sSubPr>
                  <m:ctrlPr>
                    <w:rPr>
                      <w:rFonts w:ascii="Cambria Math" w:hAnsi="Cambria Math" w:cs="Arial"/>
                    </w:rPr>
                  </m:ctrlPr>
                </m:sSubPr>
                <m:e>
                  <m:r>
                    <w:rPr>
                      <w:rFonts w:ascii="Cambria Math" w:hAnsi="Cambria Math" w:cs="Arial"/>
                    </w:rPr>
                    <m:t>λ</m:t>
                  </m:r>
                </m:e>
                <m:sub>
                  <m:r>
                    <w:rPr>
                      <w:rFonts w:ascii="Cambria Math" w:hAnsi="Cambria Math" w:cs="Arial"/>
                    </w:rPr>
                    <m:t>v</m:t>
                  </m:r>
                </m:sub>
              </m:sSub>
            </m:num>
            <m:den>
              <m:r>
                <w:rPr>
                  <w:rFonts w:ascii="Cambria Math" w:hAnsi="Cambria Math"/>
                  <w:lang w:val="en-US"/>
                </w:rPr>
                <m:t>VP</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DEV</m:t>
                      </m:r>
                    </m:e>
                    <m:sub>
                      <m:r>
                        <w:rPr>
                          <w:rFonts w:ascii="Cambria Math" w:hAnsi="Cambria Math"/>
                          <w:lang w:val="en-US"/>
                        </w:rPr>
                        <m:t>t</m:t>
                      </m:r>
                    </m:sub>
                    <m:sup>
                      <m:r>
                        <w:rPr>
                          <w:rFonts w:ascii="Cambria Math" w:hAnsi="Cambria Math"/>
                          <w:lang w:val="en-US"/>
                        </w:rPr>
                        <m:t>a</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DEV</m:t>
                      </m:r>
                    </m:e>
                    <m:sub>
                      <m:r>
                        <w:rPr>
                          <w:rFonts w:ascii="Cambria Math" w:hAnsi="Cambria Math"/>
                          <w:lang w:val="en-US"/>
                        </w:rPr>
                        <m:t>t</m:t>
                      </m:r>
                    </m:sub>
                    <m:sup>
                      <m:r>
                        <w:rPr>
                          <w:rFonts w:ascii="Cambria Math" w:hAnsi="Cambria Math"/>
                          <w:lang w:val="en-US"/>
                        </w:rPr>
                        <m:t>PNI_II</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DEV</m:t>
                      </m:r>
                    </m:e>
                    <m:sub>
                      <m:r>
                        <w:rPr>
                          <w:rFonts w:ascii="Cambria Math" w:hAnsi="Cambria Math"/>
                          <w:lang w:val="en-US"/>
                        </w:rPr>
                        <m:t>t</m:t>
                      </m:r>
                    </m:sub>
                    <m:sup>
                      <m:r>
                        <w:rPr>
                          <w:rFonts w:ascii="Cambria Math" w:hAnsi="Cambria Math"/>
                          <w:lang w:val="en-US"/>
                        </w:rPr>
                        <m:t>IAC</m:t>
                      </m:r>
                    </m:sup>
                  </m:sSubSup>
                  <m:r>
                    <m:rPr>
                      <m:sty m:val="p"/>
                    </m:rPr>
                    <w:rPr>
                      <w:rFonts w:ascii="Cambria Math" w:hAnsi="Cambria Math"/>
                      <w:lang w:val="en-US"/>
                    </w:rPr>
                    <m:t>,</m:t>
                  </m:r>
                  <m:r>
                    <w:rPr>
                      <w:rFonts w:ascii="Cambria Math" w:hAnsi="Cambria Math"/>
                      <w:lang w:val="en-US"/>
                    </w:rPr>
                    <m:t>Tkv</m:t>
                  </m:r>
                </m:e>
              </m:d>
            </m:den>
          </m:f>
        </m:oMath>
      </m:oMathPara>
    </w:p>
    <w:p w14:paraId="0ACED092" w14:textId="77777777" w:rsidR="007F131A" w:rsidRDefault="007F131A" w:rsidP="00A85503">
      <w:pPr>
        <w:ind w:left="426" w:firstLine="709"/>
        <w:rPr>
          <w:rFonts w:ascii="Bookman Old Style" w:hAnsi="Bookman Old Style"/>
        </w:rPr>
      </w:pPr>
    </w:p>
    <w:p w14:paraId="6ECF419F" w14:textId="58AD48CD" w:rsidR="007F131A" w:rsidRPr="004416CB" w:rsidRDefault="007F131A" w:rsidP="00A85503">
      <w:pPr>
        <w:ind w:left="284"/>
        <w:rPr>
          <w:rFonts w:ascii="Bookman Old Style" w:hAnsi="Bookman Old Style"/>
        </w:rPr>
      </w:pPr>
      <w:r w:rsidRPr="004416CB">
        <w:rPr>
          <w:rFonts w:ascii="Bookman Old Style" w:hAnsi="Bookman Old Style"/>
        </w:rPr>
        <w:t xml:space="preserve">Donde: </w:t>
      </w:r>
    </w:p>
    <w:p w14:paraId="20155CBC" w14:textId="77777777" w:rsidR="007F131A" w:rsidRDefault="007F131A" w:rsidP="007F131A">
      <w:pPr>
        <w:jc w:val="both"/>
        <w:rPr>
          <w:rFonts w:ascii="Bookman Old Style" w:hAnsi="Bookman Old Style"/>
        </w:rPr>
      </w:pPr>
    </w:p>
    <w:tbl>
      <w:tblPr>
        <w:tblStyle w:val="Tablaconcuadrcula"/>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6593"/>
      </w:tblGrid>
      <w:tr w:rsidR="007F131A" w:rsidRPr="00AD4CA6" w14:paraId="2838097B" w14:textId="77777777" w:rsidTr="00E63999">
        <w:tc>
          <w:tcPr>
            <w:tcW w:w="2195" w:type="dxa"/>
          </w:tcPr>
          <w:p w14:paraId="785C8801" w14:textId="28D9146B" w:rsidR="007F131A" w:rsidRPr="00AD4CA6" w:rsidRDefault="00000000" w:rsidP="008E3C92">
            <w:pPr>
              <w:ind w:left="-113"/>
              <w:jc w:val="both"/>
              <w:rPr>
                <w:rFonts w:ascii="Bookman Old Style" w:hAnsi="Bookman Old Style"/>
              </w:rPr>
            </w:pPr>
            <m:oMath>
              <m:sSub>
                <m:sSubPr>
                  <m:ctrlPr>
                    <w:rPr>
                      <w:rFonts w:ascii="Cambria Math" w:hAnsi="Cambria Math"/>
                      <w:i/>
                    </w:rPr>
                  </m:ctrlPr>
                </m:sSubPr>
                <m:e>
                  <m:r>
                    <w:rPr>
                      <w:rFonts w:ascii="Cambria Math" w:hAnsi="Cambria Math"/>
                    </w:rPr>
                    <m:t>CVI_IE_PNI_IAC</m:t>
                  </m:r>
                </m:e>
                <m:sub>
                  <m:r>
                    <w:rPr>
                      <w:rFonts w:ascii="Cambria Math" w:hAnsi="Cambria Math"/>
                    </w:rPr>
                    <m:t>t,</m:t>
                  </m:r>
                  <m:sSub>
                    <m:sSubPr>
                      <m:ctrlPr>
                        <w:rPr>
                          <w:rFonts w:ascii="Cambria Math" w:hAnsi="Cambria Math"/>
                          <w:i/>
                        </w:rPr>
                      </m:ctrlPr>
                    </m:sSubPr>
                    <m:e>
                      <m:r>
                        <w:rPr>
                          <w:rFonts w:ascii="Cambria Math" w:hAnsi="Cambria Math"/>
                        </w:rPr>
                        <m:t>λ</m:t>
                      </m:r>
                    </m:e>
                    <m:sub>
                      <m:r>
                        <w:rPr>
                          <w:rFonts w:ascii="Cambria Math" w:hAnsi="Cambria Math"/>
                        </w:rPr>
                        <m:t>v</m:t>
                      </m:r>
                    </m:sub>
                  </m:sSub>
                </m:sub>
              </m:sSub>
            </m:oMath>
            <w:r w:rsidR="008E3C92" w:rsidRPr="00AD4CA6">
              <w:rPr>
                <w:rFonts w:ascii="Bookman Old Style" w:hAnsi="Bookman Old Style"/>
              </w:rPr>
              <w:t>:</w:t>
            </w:r>
          </w:p>
        </w:tc>
        <w:tc>
          <w:tcPr>
            <w:tcW w:w="6593" w:type="dxa"/>
          </w:tcPr>
          <w:p w14:paraId="10DA77F1" w14:textId="0263BCC5" w:rsidR="007F131A" w:rsidRPr="00AD4CA6" w:rsidRDefault="008E3C92" w:rsidP="007F131A">
            <w:pPr>
              <w:jc w:val="both"/>
              <w:rPr>
                <w:rFonts w:ascii="Bookman Old Style" w:hAnsi="Bookman Old Style"/>
              </w:rPr>
            </w:pPr>
            <w:r w:rsidRPr="00AD4CA6">
              <w:rPr>
                <w:rFonts w:ascii="Bookman Old Style" w:hAnsi="Bookman Old Style"/>
              </w:rPr>
              <w:t xml:space="preserve">Cargo variable que remunera costos de inversión existente y las inversiones </w:t>
            </w:r>
            <m:oMath>
              <m:sSub>
                <m:sSubPr>
                  <m:ctrlPr>
                    <w:rPr>
                      <w:rFonts w:ascii="Cambria Math" w:hAnsi="Cambria Math" w:cs="Arial"/>
                      <w:i/>
                      <w:color w:val="000000"/>
                      <w:lang w:val="es-ES_tradnl"/>
                    </w:rPr>
                  </m:ctrlPr>
                </m:sSubPr>
                <m:e>
                  <m:r>
                    <w:rPr>
                      <w:rFonts w:ascii="Cambria Math" w:hAnsi="Cambria Math" w:cs="Arial"/>
                      <w:color w:val="000000"/>
                      <w:lang w:val="es-ES_tradnl"/>
                    </w:rPr>
                    <m:t>I</m:t>
                  </m:r>
                </m:e>
                <m:sub>
                  <m:r>
                    <w:rPr>
                      <w:rFonts w:ascii="Cambria Math" w:hAnsi="Cambria Math" w:cs="Arial"/>
                      <w:color w:val="000000"/>
                      <w:lang w:val="es-ES_tradnl"/>
                    </w:rPr>
                    <m:t>t</m:t>
                  </m:r>
                </m:sub>
              </m:sSub>
            </m:oMath>
            <w:r w:rsidRPr="00AD4CA6">
              <w:rPr>
                <w:rFonts w:ascii="Bookman Old Style" w:hAnsi="Bookman Old Style"/>
                <w:color w:val="000000"/>
                <w:lang w:val="es-ES_tradnl"/>
              </w:rPr>
              <w:t xml:space="preserve">, </w:t>
            </w:r>
            <m:oMath>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v,t</m:t>
                  </m:r>
                </m:sub>
                <m:sup>
                  <m:r>
                    <w:rPr>
                      <w:rFonts w:ascii="Cambria Math" w:hAnsi="Cambria Math" w:cs="Arial"/>
                      <w:color w:val="000000"/>
                    </w:rPr>
                    <m:t>a</m:t>
                  </m:r>
                </m:sup>
              </m:sSubSup>
              <m:r>
                <w:rPr>
                  <w:rFonts w:ascii="Cambria Math" w:hAnsi="Cambria Math" w:cs="Arial"/>
                  <w:color w:val="000000"/>
                  <w:lang w:val="es-ES_tradnl"/>
                </w:rPr>
                <m:t xml:space="preserve">, </m:t>
              </m:r>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II,t</m:t>
                  </m:r>
                </m:sub>
                <m:sup>
                  <m:r>
                    <w:rPr>
                      <w:rFonts w:ascii="Cambria Math" w:hAnsi="Cambria Math" w:cs="Arial"/>
                      <w:color w:val="000000"/>
                    </w:rPr>
                    <m:t>a</m:t>
                  </m:r>
                </m:sup>
              </m:sSubSup>
              <m:r>
                <w:rPr>
                  <w:rFonts w:ascii="Cambria Math" w:hAnsi="Cambria Math" w:cs="Arial"/>
                  <w:color w:val="000000"/>
                </w:rPr>
                <m:t>,</m:t>
              </m:r>
              <m:sSubSup>
                <m:sSubSupPr>
                  <m:ctrlPr>
                    <w:rPr>
                      <w:rFonts w:ascii="Cambria Math" w:hAnsi="Cambria Math" w:cs="Arial"/>
                      <w:i/>
                      <w:iCs/>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oMath>
            <w:r w:rsidRPr="00AD4CA6">
              <w:rPr>
                <w:rFonts w:ascii="Bookman Old Style" w:hAnsi="Bookman Old Style"/>
              </w:rPr>
              <w:t>, expresado en pesos colombianos de la fecha base por kpc-año.</w:t>
            </w:r>
          </w:p>
        </w:tc>
      </w:tr>
      <w:tr w:rsidR="007F131A" w:rsidRPr="00AD4CA6" w14:paraId="364D48D8" w14:textId="77777777" w:rsidTr="00E63999">
        <w:tc>
          <w:tcPr>
            <w:tcW w:w="2195" w:type="dxa"/>
          </w:tcPr>
          <w:p w14:paraId="08D07E9E" w14:textId="3D534856" w:rsidR="007F131A" w:rsidRPr="00AD4CA6" w:rsidRDefault="00000000" w:rsidP="007F131A">
            <w:pPr>
              <w:jc w:val="both"/>
              <w:rPr>
                <w:rFonts w:ascii="Bookman Old Style" w:hAnsi="Bookman Old Style"/>
              </w:rPr>
            </w:pPr>
            <m:oMath>
              <m:sSub>
                <m:sSubPr>
                  <m:ctrlPr>
                    <w:rPr>
                      <w:rFonts w:ascii="Cambria Math" w:hAnsi="Cambria Math"/>
                      <w:i/>
                    </w:rPr>
                  </m:ctrlPr>
                </m:sSubPr>
                <m:e>
                  <m:r>
                    <w:rPr>
                      <w:rFonts w:ascii="Cambria Math" w:hAnsi="Cambria Math"/>
                    </w:rPr>
                    <m:t>IE</m:t>
                  </m:r>
                </m:e>
                <m:sub>
                  <m:r>
                    <w:rPr>
                      <w:rFonts w:ascii="Cambria Math" w:hAnsi="Cambria Math"/>
                    </w:rPr>
                    <m:t>t</m:t>
                  </m:r>
                </m:sub>
              </m:sSub>
            </m:oMath>
            <w:r w:rsidR="008E3C92" w:rsidRPr="00AD4CA6">
              <w:rPr>
                <w:rFonts w:ascii="Bookman Old Style" w:hAnsi="Bookman Old Style"/>
              </w:rPr>
              <w:t>:</w:t>
            </w:r>
          </w:p>
        </w:tc>
        <w:tc>
          <w:tcPr>
            <w:tcW w:w="6593" w:type="dxa"/>
          </w:tcPr>
          <w:p w14:paraId="2D51C23F" w14:textId="77777777" w:rsidR="008E3C92" w:rsidRPr="00AD4CA6" w:rsidRDefault="008E3C92" w:rsidP="008E3C92">
            <w:pPr>
              <w:jc w:val="both"/>
              <w:rPr>
                <w:rFonts w:ascii="Bookman Old Style" w:hAnsi="Bookman Old Style"/>
              </w:rPr>
            </w:pPr>
            <w:r w:rsidRPr="00AD4CA6">
              <w:rPr>
                <w:rFonts w:ascii="Bookman Old Style" w:hAnsi="Bookman Old Style"/>
              </w:rPr>
              <w:t>Valor de la inversión existente, expresado en pesos colombianos de la fecha base.</w:t>
            </w:r>
          </w:p>
          <w:p w14:paraId="41961916" w14:textId="77777777" w:rsidR="007F131A" w:rsidRPr="00AD4CA6" w:rsidRDefault="007F131A" w:rsidP="007F131A">
            <w:pPr>
              <w:jc w:val="both"/>
              <w:rPr>
                <w:rFonts w:ascii="Bookman Old Style" w:hAnsi="Bookman Old Style"/>
              </w:rPr>
            </w:pPr>
          </w:p>
        </w:tc>
      </w:tr>
      <w:tr w:rsidR="007F131A" w:rsidRPr="00AD4CA6" w14:paraId="1DF35FAE" w14:textId="77777777" w:rsidTr="00E63999">
        <w:tc>
          <w:tcPr>
            <w:tcW w:w="2195" w:type="dxa"/>
          </w:tcPr>
          <w:p w14:paraId="4DF056DE" w14:textId="55F26022" w:rsidR="007F131A" w:rsidRPr="00AD4CA6" w:rsidRDefault="00000000" w:rsidP="007F131A">
            <w:pPr>
              <w:jc w:val="both"/>
              <w:rPr>
                <w:rFonts w:ascii="Bookman Old Style" w:hAnsi="Bookman Old Style"/>
              </w:rPr>
            </w:pPr>
            <m:oMath>
              <m:sSub>
                <m:sSubPr>
                  <m:ctrlPr>
                    <w:rPr>
                      <w:rFonts w:ascii="Cambria Math" w:hAnsi="Cambria Math" w:cs="Arial"/>
                      <w:i/>
                      <w:color w:val="000000"/>
                      <w:lang w:val="es-ES_tradnl"/>
                    </w:rPr>
                  </m:ctrlPr>
                </m:sSubPr>
                <m:e>
                  <m:r>
                    <w:rPr>
                      <w:rFonts w:ascii="Cambria Math" w:hAnsi="Cambria Math" w:cs="Arial"/>
                      <w:color w:val="000000"/>
                      <w:lang w:val="es-ES_tradnl"/>
                    </w:rPr>
                    <m:t>I</m:t>
                  </m:r>
                </m:e>
                <m:sub>
                  <m:r>
                    <w:rPr>
                      <w:rFonts w:ascii="Cambria Math" w:hAnsi="Cambria Math" w:cs="Arial"/>
                      <w:color w:val="000000"/>
                      <w:lang w:val="es-ES_tradnl"/>
                    </w:rPr>
                    <m:t>t</m:t>
                  </m:r>
                </m:sub>
              </m:sSub>
            </m:oMath>
            <w:r w:rsidR="008E3C92" w:rsidRPr="00AD4CA6">
              <w:rPr>
                <w:rFonts w:ascii="Bookman Old Style" w:hAnsi="Bookman Old Style"/>
                <w:color w:val="000000"/>
                <w:lang w:val="es-ES_tradnl"/>
              </w:rPr>
              <w:t>:</w:t>
            </w:r>
          </w:p>
        </w:tc>
        <w:tc>
          <w:tcPr>
            <w:tcW w:w="6593" w:type="dxa"/>
          </w:tcPr>
          <w:p w14:paraId="184158AB" w14:textId="76F30B4A" w:rsidR="007F131A" w:rsidRPr="00AD4CA6" w:rsidRDefault="008E3C92" w:rsidP="007F131A">
            <w:pPr>
              <w:jc w:val="both"/>
              <w:rPr>
                <w:rFonts w:ascii="Bookman Old Style" w:hAnsi="Bookman Old Style"/>
              </w:rPr>
            </w:pPr>
            <w:r w:rsidRPr="00AD4CA6">
              <w:rPr>
                <w:rFonts w:ascii="Bookman Old Style" w:hAnsi="Bookman Old Style" w:cs="Arial"/>
                <w:color w:val="000000"/>
                <w:lang w:val="es-ES_tradnl"/>
              </w:rPr>
              <w:t xml:space="preserve">Es el valor presente de los valores </w:t>
            </w:r>
            <m:oMath>
              <m:sSub>
                <m:sSubPr>
                  <m:ctrlPr>
                    <w:rPr>
                      <w:rFonts w:ascii="Cambria Math" w:hAnsi="Cambria Math" w:cs="Arial"/>
                      <w:i/>
                      <w:color w:val="000000"/>
                      <w:lang w:val="es-ES_tradnl"/>
                    </w:rPr>
                  </m:ctrlPr>
                </m:sSubPr>
                <m:e>
                  <m:r>
                    <w:rPr>
                      <w:rFonts w:ascii="Cambria Math" w:hAnsi="Cambria Math" w:cs="Arial"/>
                      <w:color w:val="000000"/>
                      <w:lang w:val="es-ES_tradnl"/>
                    </w:rPr>
                    <m:t>I</m:t>
                  </m:r>
                </m:e>
                <m:sub>
                  <m:r>
                    <w:rPr>
                      <w:rFonts w:ascii="Cambria Math" w:hAnsi="Cambria Math" w:cs="Arial"/>
                      <w:color w:val="000000"/>
                      <w:lang w:val="es-ES_tradnl"/>
                    </w:rPr>
                    <m:t>j</m:t>
                  </m:r>
                </m:sub>
              </m:sSub>
            </m:oMath>
            <w:r w:rsidRPr="00AD4CA6">
              <w:rPr>
                <w:rFonts w:ascii="Bookman Old Style" w:hAnsi="Bookman Old Style" w:cs="Arial"/>
                <w:color w:val="000000"/>
                <w:lang w:val="es-ES_tradnl"/>
              </w:rPr>
              <w:t xml:space="preserve"> con la </w:t>
            </w:r>
            <w:proofErr w:type="spellStart"/>
            <w:r w:rsidRPr="00AD4CA6">
              <w:rPr>
                <w:rFonts w:ascii="Bookman Old Style" w:hAnsi="Bookman Old Style"/>
                <w:i/>
              </w:rPr>
              <w:t>Tkv</w:t>
            </w:r>
            <w:proofErr w:type="spellEnd"/>
            <w:r w:rsidRPr="00AD4CA6">
              <w:rPr>
                <w:rFonts w:ascii="Bookman Old Style" w:hAnsi="Bookman Old Style"/>
              </w:rPr>
              <w:t>, conforme al Artículo 12.</w:t>
            </w:r>
          </w:p>
        </w:tc>
      </w:tr>
      <w:tr w:rsidR="007F131A" w:rsidRPr="00AD4CA6" w14:paraId="6DFC33ED" w14:textId="77777777" w:rsidTr="00E63999">
        <w:tc>
          <w:tcPr>
            <w:tcW w:w="2195" w:type="dxa"/>
          </w:tcPr>
          <w:p w14:paraId="1CAA5B99" w14:textId="70C96209" w:rsidR="007F131A" w:rsidRPr="00AD4CA6" w:rsidRDefault="00000000" w:rsidP="007F131A">
            <w:pPr>
              <w:jc w:val="both"/>
              <w:rPr>
                <w:rFonts w:ascii="Bookman Old Style" w:hAnsi="Bookman Old Style"/>
              </w:rPr>
            </w:pPr>
            <m:oMath>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v,t</m:t>
                  </m:r>
                </m:sub>
                <m:sup>
                  <m:r>
                    <w:rPr>
                      <w:rFonts w:ascii="Cambria Math" w:hAnsi="Cambria Math" w:cs="Arial"/>
                      <w:color w:val="000000"/>
                    </w:rPr>
                    <m:t>a</m:t>
                  </m:r>
                </m:sup>
              </m:sSubSup>
            </m:oMath>
            <w:r w:rsidR="008E3C92" w:rsidRPr="00AD4CA6">
              <w:rPr>
                <w:rFonts w:ascii="Bookman Old Style" w:hAnsi="Bookman Old Style"/>
                <w:color w:val="000000"/>
              </w:rPr>
              <w:t>:</w:t>
            </w:r>
          </w:p>
        </w:tc>
        <w:tc>
          <w:tcPr>
            <w:tcW w:w="6593" w:type="dxa"/>
          </w:tcPr>
          <w:p w14:paraId="4E88B7B3" w14:textId="084F9AB0" w:rsidR="007F131A" w:rsidRPr="00AD4CA6" w:rsidRDefault="008E3C92" w:rsidP="007F131A">
            <w:pPr>
              <w:jc w:val="both"/>
              <w:rPr>
                <w:rFonts w:ascii="Bookman Old Style" w:hAnsi="Bookman Old Style"/>
              </w:rPr>
            </w:pPr>
            <w:r w:rsidRPr="00AD4CA6">
              <w:rPr>
                <w:rFonts w:ascii="Bookman Old Style" w:hAnsi="Bookman Old Style"/>
              </w:rPr>
              <w:t xml:space="preserve">Valor presente ajustado de la inversión en variantes con la </w:t>
            </w:r>
            <w:proofErr w:type="spellStart"/>
            <w:r w:rsidRPr="00AD4CA6">
              <w:rPr>
                <w:rFonts w:ascii="Bookman Old Style" w:hAnsi="Bookman Old Style"/>
                <w:i/>
              </w:rPr>
              <w:t>Tkv</w:t>
            </w:r>
            <w:proofErr w:type="spellEnd"/>
            <w:r w:rsidRPr="00AD4CA6">
              <w:rPr>
                <w:rFonts w:ascii="Bookman Old Style" w:hAnsi="Bookman Old Style"/>
              </w:rPr>
              <w:t xml:space="preserve">. Este valor estará expresado en pesos colombianos de la fecha base, el cual debe ajustarse siguiendo lo expresado en el Artículo 13 de la presente resolución. Cuando la </w:t>
            </w:r>
            <m:oMath>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v,t</m:t>
                  </m:r>
                </m:sub>
                <m:sup>
                  <m:r>
                    <w:rPr>
                      <w:rFonts w:ascii="Cambria Math" w:hAnsi="Cambria Math" w:cs="Arial"/>
                      <w:color w:val="000000"/>
                    </w:rPr>
                    <m:t>a</m:t>
                  </m:r>
                </m:sup>
              </m:sSubSup>
              <m:r>
                <w:rPr>
                  <w:rFonts w:ascii="Cambria Math" w:hAnsi="Cambria Math" w:cs="Arial"/>
                  <w:color w:val="000000"/>
                </w:rPr>
                <m:t xml:space="preserve"> </m:t>
              </m:r>
            </m:oMath>
            <w:r w:rsidRPr="00AD4CA6">
              <w:rPr>
                <w:rFonts w:ascii="Bookman Old Style" w:hAnsi="Bookman Old Style"/>
              </w:rPr>
              <w:t xml:space="preserve">entre en operación, conforme a las disposiciones del Artículo 28 se recalculará el </w:t>
            </w:r>
            <m:oMath>
              <m:sSub>
                <m:sSubPr>
                  <m:ctrlPr>
                    <w:rPr>
                      <w:rFonts w:ascii="Cambria Math" w:hAnsi="Cambria Math"/>
                      <w:i/>
                    </w:rPr>
                  </m:ctrlPr>
                </m:sSubPr>
                <m:e>
                  <m:r>
                    <w:rPr>
                      <w:rFonts w:ascii="Cambria Math" w:hAnsi="Cambria Math"/>
                    </w:rPr>
                    <m:t>CVI_IE_PNI_IAC</m:t>
                  </m:r>
                </m:e>
                <m:sub>
                  <m:r>
                    <w:rPr>
                      <w:rFonts w:ascii="Cambria Math" w:hAnsi="Cambria Math"/>
                    </w:rPr>
                    <m:t>t,</m:t>
                  </m:r>
                  <m:sSub>
                    <m:sSubPr>
                      <m:ctrlPr>
                        <w:rPr>
                          <w:rFonts w:ascii="Cambria Math" w:hAnsi="Cambria Math"/>
                          <w:i/>
                        </w:rPr>
                      </m:ctrlPr>
                    </m:sSubPr>
                    <m:e>
                      <m:r>
                        <w:rPr>
                          <w:rFonts w:ascii="Cambria Math" w:hAnsi="Cambria Math"/>
                        </w:rPr>
                        <m:t>λ</m:t>
                      </m:r>
                    </m:e>
                    <m:sub>
                      <m:r>
                        <w:rPr>
                          <w:rFonts w:ascii="Cambria Math" w:hAnsi="Cambria Math"/>
                        </w:rPr>
                        <m:t>v</m:t>
                      </m:r>
                    </m:sub>
                  </m:sSub>
                </m:sub>
              </m:sSub>
            </m:oMath>
            <w:r w:rsidRPr="00AD4CA6">
              <w:rPr>
                <w:rFonts w:ascii="Bookman Old Style" w:hAnsi="Bookman Old Style"/>
              </w:rPr>
              <w:t xml:space="preserve"> teniendo en cuenta los valores de demanda para el horizonte de proyección contados desde ese año.</w:t>
            </w:r>
          </w:p>
        </w:tc>
      </w:tr>
      <w:tr w:rsidR="007F131A" w:rsidRPr="00AD4CA6" w14:paraId="523AC387" w14:textId="77777777" w:rsidTr="00E63999">
        <w:tc>
          <w:tcPr>
            <w:tcW w:w="2195" w:type="dxa"/>
          </w:tcPr>
          <w:p w14:paraId="7F610C7F" w14:textId="76711D14" w:rsidR="007F131A" w:rsidRPr="00AD4CA6" w:rsidRDefault="00000000" w:rsidP="007F131A">
            <w:pPr>
              <w:jc w:val="both"/>
              <w:rPr>
                <w:rFonts w:ascii="Bookman Old Style" w:hAnsi="Bookman Old Style"/>
              </w:rPr>
            </w:pPr>
            <m:oMath>
              <m:sSubSup>
                <m:sSubSupPr>
                  <m:ctrlPr>
                    <w:rPr>
                      <w:rFonts w:ascii="Cambria Math" w:hAnsi="Cambria Math" w:cs="Arial"/>
                      <w:i/>
                      <w:iCs/>
                      <w:color w:val="000000"/>
                    </w:rPr>
                  </m:ctrlPr>
                </m:sSubSupPr>
                <m:e>
                  <m:r>
                    <w:rPr>
                      <w:rFonts w:ascii="Cambria Math" w:hAnsi="Cambria Math" w:cs="Arial"/>
                      <w:color w:val="000000"/>
                    </w:rPr>
                    <m:t>PNI</m:t>
                  </m:r>
                </m:e>
                <m:sub>
                  <m:r>
                    <w:rPr>
                      <w:rFonts w:ascii="Cambria Math" w:hAnsi="Cambria Math" w:cs="Arial"/>
                      <w:color w:val="000000"/>
                    </w:rPr>
                    <m:t>II,t</m:t>
                  </m:r>
                </m:sub>
                <m:sup>
                  <m:r>
                    <w:rPr>
                      <w:rFonts w:ascii="Cambria Math" w:hAnsi="Cambria Math" w:cs="Arial"/>
                      <w:color w:val="000000"/>
                    </w:rPr>
                    <m:t>a</m:t>
                  </m:r>
                </m:sup>
              </m:sSubSup>
            </m:oMath>
            <w:r w:rsidR="008E3C92" w:rsidRPr="00AD4CA6">
              <w:rPr>
                <w:rFonts w:ascii="Bookman Old Style" w:hAnsi="Bookman Old Style"/>
                <w:color w:val="000000"/>
              </w:rPr>
              <w:t>:</w:t>
            </w:r>
          </w:p>
        </w:tc>
        <w:tc>
          <w:tcPr>
            <w:tcW w:w="6593" w:type="dxa"/>
          </w:tcPr>
          <w:p w14:paraId="5310B8B7" w14:textId="50E19A02" w:rsidR="008E3C92" w:rsidRPr="00AD4CA6" w:rsidRDefault="008E3C92" w:rsidP="008E3C92">
            <w:pPr>
              <w:jc w:val="both"/>
              <w:rPr>
                <w:rFonts w:ascii="Bookman Old Style" w:hAnsi="Bookman Old Style"/>
              </w:rPr>
            </w:pPr>
            <w:r w:rsidRPr="00AD4CA6">
              <w:rPr>
                <w:rFonts w:ascii="Bookman Old Style" w:hAnsi="Bookman Old Style"/>
              </w:rPr>
              <w:t xml:space="preserve">Valor presente ajustado de inversiones del PNI correspondientes a redes tipo II con la tasa </w:t>
            </w:r>
            <w:proofErr w:type="spellStart"/>
            <w:r w:rsidRPr="00AD4CA6">
              <w:rPr>
                <w:rFonts w:ascii="Bookman Old Style" w:hAnsi="Bookman Old Style"/>
              </w:rPr>
              <w:t>Tkv</w:t>
            </w:r>
            <w:proofErr w:type="spellEnd"/>
            <w:r w:rsidRPr="00AD4CA6">
              <w:rPr>
                <w:rFonts w:ascii="Bookman Old Style" w:hAnsi="Bookman Old Style"/>
              </w:rPr>
              <w:t xml:space="preserve">. Este valor estará expresado en pesos colombianos de la fecha base, el cual debe ajustarse siguiendo lo expresado en el Artículo 13 de la presente resolución. Cuando la </w:t>
            </w:r>
            <m:oMath>
              <m:sSubSup>
                <m:sSubSupPr>
                  <m:ctrlPr>
                    <w:rPr>
                      <w:rFonts w:ascii="Cambria Math" w:hAnsi="Cambria Math"/>
                    </w:rPr>
                  </m:ctrlPr>
                </m:sSubSupPr>
                <m:e>
                  <m:r>
                    <w:rPr>
                      <w:rFonts w:ascii="Cambria Math" w:hAnsi="Cambria Math"/>
                    </w:rPr>
                    <m:t>PNI</m:t>
                  </m:r>
                </m:e>
                <m:sub>
                  <m:r>
                    <w:rPr>
                      <w:rFonts w:ascii="Cambria Math" w:hAnsi="Cambria Math"/>
                    </w:rPr>
                    <m:t>II</m:t>
                  </m:r>
                  <m:r>
                    <m:rPr>
                      <m:sty m:val="p"/>
                    </m:rPr>
                    <w:rPr>
                      <w:rFonts w:ascii="Cambria Math" w:hAnsi="Cambria Math"/>
                    </w:rPr>
                    <m:t>,</m:t>
                  </m:r>
                  <m:r>
                    <w:rPr>
                      <w:rFonts w:ascii="Cambria Math" w:hAnsi="Cambria Math"/>
                    </w:rPr>
                    <m:t>t</m:t>
                  </m:r>
                </m:sub>
                <m:sup>
                  <m:r>
                    <w:rPr>
                      <w:rFonts w:ascii="Cambria Math" w:hAnsi="Cambria Math"/>
                    </w:rPr>
                    <m:t>a</m:t>
                  </m:r>
                </m:sup>
              </m:sSubSup>
            </m:oMath>
            <w:r w:rsidRPr="00AD4CA6">
              <w:rPr>
                <w:rFonts w:ascii="Bookman Old Style" w:hAnsi="Bookman Old Style"/>
              </w:rPr>
              <w:t xml:space="preserve">, entre en operación conforme a las disposiciones del Artículo 28 se recalculará el </w:t>
            </w:r>
            <m:oMath>
              <m:sSub>
                <m:sSubPr>
                  <m:ctrlPr>
                    <w:rPr>
                      <w:rFonts w:ascii="Cambria Math" w:hAnsi="Cambria Math"/>
                    </w:rPr>
                  </m:ctrlPr>
                </m:sSubPr>
                <m:e>
                  <m:r>
                    <w:rPr>
                      <w:rFonts w:ascii="Cambria Math" w:hAnsi="Cambria Math"/>
                    </w:rPr>
                    <m:t>CVI</m:t>
                  </m:r>
                  <m:r>
                    <m:rPr>
                      <m:sty m:val="p"/>
                    </m:rPr>
                    <w:rPr>
                      <w:rFonts w:ascii="Cambria Math" w:hAnsi="Cambria Math"/>
                    </w:rPr>
                    <m:t>_</m:t>
                  </m:r>
                  <m:r>
                    <w:rPr>
                      <w:rFonts w:ascii="Cambria Math" w:hAnsi="Cambria Math"/>
                    </w:rPr>
                    <m:t>IE</m:t>
                  </m:r>
                  <m:r>
                    <m:rPr>
                      <m:sty m:val="p"/>
                    </m:rPr>
                    <w:rPr>
                      <w:rFonts w:ascii="Cambria Math" w:hAnsi="Cambria Math"/>
                    </w:rPr>
                    <m:t>_</m:t>
                  </m:r>
                  <m:r>
                    <w:rPr>
                      <w:rFonts w:ascii="Cambria Math" w:hAnsi="Cambria Math"/>
                    </w:rPr>
                    <m:t>PNI</m:t>
                  </m:r>
                  <m:r>
                    <m:rPr>
                      <m:sty m:val="p"/>
                    </m:rPr>
                    <w:rPr>
                      <w:rFonts w:ascii="Cambria Math" w:hAnsi="Cambria Math"/>
                    </w:rPr>
                    <m:t>_</m:t>
                  </m:r>
                  <m:r>
                    <w:rPr>
                      <w:rFonts w:ascii="Cambria Math" w:hAnsi="Cambria Math"/>
                    </w:rPr>
                    <m:t>IAC</m:t>
                  </m:r>
                </m:e>
                <m: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v</m:t>
                      </m:r>
                    </m:sub>
                  </m:sSub>
                </m:sub>
              </m:sSub>
            </m:oMath>
            <w:r w:rsidRPr="00AD4CA6">
              <w:rPr>
                <w:rFonts w:ascii="Bookman Old Style" w:hAnsi="Bookman Old Style"/>
              </w:rPr>
              <w:t xml:space="preserve"> teniendo en cuenta los valores de demanda para el horizonte de proyección contados desde ese año.</w:t>
            </w:r>
          </w:p>
          <w:p w14:paraId="492958A6" w14:textId="77777777" w:rsidR="007F131A" w:rsidRPr="00AD4CA6" w:rsidRDefault="007F131A" w:rsidP="007F131A">
            <w:pPr>
              <w:jc w:val="both"/>
              <w:rPr>
                <w:rFonts w:ascii="Bookman Old Style" w:hAnsi="Bookman Old Style"/>
              </w:rPr>
            </w:pPr>
          </w:p>
        </w:tc>
      </w:tr>
      <w:tr w:rsidR="007F131A" w:rsidRPr="00AD4CA6" w14:paraId="5A274D5D" w14:textId="77777777" w:rsidTr="00E63999">
        <w:tc>
          <w:tcPr>
            <w:tcW w:w="2195" w:type="dxa"/>
          </w:tcPr>
          <w:p w14:paraId="336BE91C" w14:textId="05856795" w:rsidR="007F131A" w:rsidRPr="00AD4CA6" w:rsidRDefault="00000000" w:rsidP="007F131A">
            <w:pPr>
              <w:jc w:val="both"/>
              <w:rPr>
                <w:rFonts w:ascii="Bookman Old Style" w:hAnsi="Bookman Old Style"/>
              </w:rPr>
            </w:pPr>
            <m:oMath>
              <m:sSubSup>
                <m:sSubSupPr>
                  <m:ctrlPr>
                    <w:rPr>
                      <w:rFonts w:ascii="Cambria Math" w:hAnsi="Cambria Math" w:cs="Arial"/>
                      <w:i/>
                      <w:iCs/>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oMath>
            <w:r w:rsidR="0016587B" w:rsidRPr="00AD4CA6">
              <w:rPr>
                <w:rFonts w:ascii="Bookman Old Style" w:hAnsi="Bookman Old Style"/>
                <w:color w:val="000000"/>
              </w:rPr>
              <w:t>:</w:t>
            </w:r>
          </w:p>
        </w:tc>
        <w:tc>
          <w:tcPr>
            <w:tcW w:w="6593" w:type="dxa"/>
          </w:tcPr>
          <w:p w14:paraId="4DDAB38F" w14:textId="4B19B026" w:rsidR="007F131A" w:rsidRPr="00AD4CA6" w:rsidRDefault="0016587B" w:rsidP="007F131A">
            <w:pPr>
              <w:jc w:val="both"/>
              <w:rPr>
                <w:rFonts w:ascii="Bookman Old Style" w:hAnsi="Bookman Old Style"/>
              </w:rPr>
            </w:pPr>
            <w:r w:rsidRPr="00AD4CA6">
              <w:rPr>
                <w:rFonts w:ascii="Bookman Old Style" w:hAnsi="Bookman Old Style" w:cs="Arial"/>
                <w:color w:val="000000"/>
              </w:rPr>
              <w:t xml:space="preserve">Valor presente ajustado de inversión en aumento de capacidad correspondiente a un gasoducto o a una estación de compresión con la tasa </w:t>
            </w:r>
            <w:proofErr w:type="spellStart"/>
            <w:r w:rsidRPr="00AD4CA6">
              <w:rPr>
                <w:rFonts w:ascii="Bookman Old Style" w:hAnsi="Bookman Old Style" w:cs="Arial"/>
                <w:i/>
                <w:color w:val="000000"/>
              </w:rPr>
              <w:t>Tkv</w:t>
            </w:r>
            <w:proofErr w:type="spellEnd"/>
            <w:r w:rsidRPr="00AD4CA6">
              <w:rPr>
                <w:rFonts w:ascii="Bookman Old Style" w:hAnsi="Bookman Old Style" w:cs="Arial"/>
                <w:color w:val="000000"/>
              </w:rPr>
              <w:t xml:space="preserve">. </w:t>
            </w:r>
            <w:r w:rsidRPr="00AD4CA6">
              <w:rPr>
                <w:rFonts w:ascii="Bookman Old Style" w:hAnsi="Bookman Old Style"/>
              </w:rPr>
              <w:t xml:space="preserve">Este valor estará expresado en pesos colombianos de la fecha base, el cual debe ajustarse siguiendo lo expresado en el Artículo 14 de la presente resolución. Cuando la </w:t>
            </w:r>
            <m:oMath>
              <m:sSubSup>
                <m:sSubSupPr>
                  <m:ctrlPr>
                    <w:rPr>
                      <w:rFonts w:ascii="Cambria Math" w:hAnsi="Cambria Math" w:cs="Arial"/>
                      <w:i/>
                      <w:iCs/>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oMath>
            <w:r w:rsidRPr="00AD4CA6">
              <w:rPr>
                <w:rFonts w:ascii="Bookman Old Style" w:hAnsi="Bookman Old Style"/>
              </w:rPr>
              <w:t xml:space="preserve"> entre en operación, conforme a las disposiciones del</w:t>
            </w:r>
            <w:r w:rsidR="00D14195" w:rsidRPr="00AD4CA6">
              <w:rPr>
                <w:rFonts w:ascii="Bookman Old Style" w:hAnsi="Bookman Old Style"/>
              </w:rPr>
              <w:t xml:space="preserve"> Artículo 28</w:t>
            </w:r>
            <w:r w:rsidRPr="00AD4CA6">
              <w:rPr>
                <w:rFonts w:ascii="Bookman Old Style" w:hAnsi="Bookman Old Style"/>
              </w:rPr>
              <w:t xml:space="preserve"> se recalculará el </w:t>
            </w:r>
            <m:oMath>
              <m:sSub>
                <m:sSubPr>
                  <m:ctrlPr>
                    <w:rPr>
                      <w:rFonts w:ascii="Cambria Math" w:hAnsi="Cambria Math"/>
                      <w:i/>
                    </w:rPr>
                  </m:ctrlPr>
                </m:sSubPr>
                <m:e>
                  <m:r>
                    <w:rPr>
                      <w:rFonts w:ascii="Cambria Math" w:hAnsi="Cambria Math"/>
                    </w:rPr>
                    <m:t>CVI_IE_PNI_IAC</m:t>
                  </m:r>
                </m:e>
                <m:sub>
                  <m:r>
                    <w:rPr>
                      <w:rFonts w:ascii="Cambria Math" w:hAnsi="Cambria Math"/>
                    </w:rPr>
                    <m:t>t,</m:t>
                  </m:r>
                  <m:sSub>
                    <m:sSubPr>
                      <m:ctrlPr>
                        <w:rPr>
                          <w:rFonts w:ascii="Cambria Math" w:hAnsi="Cambria Math"/>
                          <w:i/>
                        </w:rPr>
                      </m:ctrlPr>
                    </m:sSubPr>
                    <m:e>
                      <m:r>
                        <w:rPr>
                          <w:rFonts w:ascii="Cambria Math" w:hAnsi="Cambria Math"/>
                        </w:rPr>
                        <m:t>λ</m:t>
                      </m:r>
                    </m:e>
                    <m:sub>
                      <m:r>
                        <w:rPr>
                          <w:rFonts w:ascii="Cambria Math" w:hAnsi="Cambria Math"/>
                        </w:rPr>
                        <m:t>v</m:t>
                      </m:r>
                    </m:sub>
                  </m:sSub>
                </m:sub>
              </m:sSub>
            </m:oMath>
            <w:r w:rsidRPr="00AD4CA6">
              <w:rPr>
                <w:rFonts w:ascii="Bookman Old Style" w:hAnsi="Bookman Old Style"/>
              </w:rPr>
              <w:t>teniendo en cuenta los valores de demanda para el horizonte de proyección contados desde ese año.</w:t>
            </w:r>
          </w:p>
        </w:tc>
      </w:tr>
      <w:tr w:rsidR="00D14195" w:rsidRPr="00AD4CA6" w14:paraId="7853A1B1" w14:textId="77777777" w:rsidTr="00E63999">
        <w:tc>
          <w:tcPr>
            <w:tcW w:w="2195" w:type="dxa"/>
          </w:tcPr>
          <w:p w14:paraId="30CFCF83" w14:textId="03F97015" w:rsidR="00D14195" w:rsidRPr="00AD4CA6" w:rsidRDefault="00D14195" w:rsidP="00D14195">
            <w:pPr>
              <w:jc w:val="both"/>
              <w:rPr>
                <w:rFonts w:ascii="Bookman Old Style" w:hAnsi="Bookman Old Style"/>
              </w:rPr>
            </w:pPr>
            <m:oMath>
              <m:r>
                <w:rPr>
                  <w:rFonts w:ascii="Cambria Math" w:hAnsi="Cambria Math" w:cs="Arial"/>
                  <w:color w:val="000000"/>
                </w:rPr>
                <m:t>RVUN</m:t>
              </m:r>
            </m:oMath>
            <w:r w:rsidRPr="00AD4CA6">
              <w:rPr>
                <w:rFonts w:ascii="Bookman Old Style" w:hAnsi="Bookman Old Style"/>
                <w:color w:val="000000"/>
              </w:rPr>
              <w:t>:</w:t>
            </w:r>
          </w:p>
        </w:tc>
        <w:tc>
          <w:tcPr>
            <w:tcW w:w="6593" w:type="dxa"/>
          </w:tcPr>
          <w:p w14:paraId="2F58AF8E" w14:textId="7CA0A4AB" w:rsidR="00D14195" w:rsidRPr="00AD4CA6" w:rsidRDefault="00D14195" w:rsidP="00D14195">
            <w:pPr>
              <w:jc w:val="both"/>
              <w:rPr>
                <w:rFonts w:ascii="Bookman Old Style" w:hAnsi="Bookman Old Style"/>
              </w:rPr>
            </w:pPr>
            <w:r w:rsidRPr="00AD4CA6">
              <w:rPr>
                <w:rFonts w:ascii="Bookman Old Style" w:hAnsi="Bookman Old Style" w:cs="Arial"/>
                <w:color w:val="000000"/>
              </w:rPr>
              <w:t xml:space="preserve">Costo de oportunidad por mantener en operación los activos que cumplen el periodo de vida útil normativa, </w:t>
            </w:r>
            <m:oMath>
              <m:r>
                <w:rPr>
                  <w:rFonts w:ascii="Cambria Math" w:hAnsi="Cambria Math"/>
                </w:rPr>
                <m:t>RVUN</m:t>
              </m:r>
            </m:oMath>
            <w:r w:rsidRPr="00AD4CA6">
              <w:rPr>
                <w:rFonts w:ascii="Bookman Old Style" w:hAnsi="Bookman Old Style" w:cs="Arial"/>
              </w:rPr>
              <w:t xml:space="preserve">, conforme a las disposiciones del numeral iii del literal e) del </w:t>
            </w:r>
            <w:r w:rsidR="00DA3F7C">
              <w:rPr>
                <w:rFonts w:ascii="Bookman Old Style" w:hAnsi="Bookman Old Style" w:cs="Arial"/>
              </w:rPr>
              <w:t>A</w:t>
            </w:r>
            <w:r w:rsidRPr="00AD4CA6">
              <w:rPr>
                <w:rFonts w:ascii="Bookman Old Style" w:hAnsi="Bookman Old Style" w:cs="Arial"/>
              </w:rPr>
              <w:t>rtículo 27 de la presente resolución.</w:t>
            </w:r>
          </w:p>
        </w:tc>
      </w:tr>
      <w:tr w:rsidR="00D14195" w:rsidRPr="00AD4CA6" w14:paraId="2E15970A" w14:textId="77777777" w:rsidTr="00E63999">
        <w:tc>
          <w:tcPr>
            <w:tcW w:w="2195" w:type="dxa"/>
          </w:tcPr>
          <w:p w14:paraId="3B6EEB9A" w14:textId="2C902679" w:rsidR="00D14195" w:rsidRPr="00AD4CA6" w:rsidRDefault="00000000" w:rsidP="00D14195">
            <w:pPr>
              <w:jc w:val="both"/>
              <w:rPr>
                <w:rFonts w:ascii="Bookman Old Style" w:hAnsi="Bookman Old Style"/>
              </w:rPr>
            </w:pPr>
            <m:oMath>
              <m:sSub>
                <m:sSubPr>
                  <m:ctrlPr>
                    <w:rPr>
                      <w:rFonts w:ascii="Cambria Math" w:hAnsi="Cambria Math"/>
                      <w:i/>
                    </w:rPr>
                  </m:ctrlPr>
                </m:sSubPr>
                <m:e>
                  <m:r>
                    <w:rPr>
                      <w:rFonts w:ascii="Cambria Math" w:hAnsi="Cambria Math"/>
                    </w:rPr>
                    <m:t>λ</m:t>
                  </m:r>
                </m:e>
                <m:sub>
                  <m:r>
                    <w:rPr>
                      <w:rFonts w:ascii="Cambria Math" w:hAnsi="Cambria Math"/>
                    </w:rPr>
                    <m:t>v</m:t>
                  </m:r>
                </m:sub>
              </m:sSub>
            </m:oMath>
            <w:r w:rsidR="00D14195" w:rsidRPr="00AD4CA6">
              <w:rPr>
                <w:rFonts w:ascii="Bookman Old Style" w:hAnsi="Bookman Old Style"/>
              </w:rPr>
              <w:t>:</w:t>
            </w:r>
          </w:p>
        </w:tc>
        <w:tc>
          <w:tcPr>
            <w:tcW w:w="6593" w:type="dxa"/>
          </w:tcPr>
          <w:p w14:paraId="295146CB" w14:textId="0B21490F" w:rsidR="00D14195" w:rsidRPr="00AD4CA6" w:rsidRDefault="00D14195" w:rsidP="00D14195">
            <w:pPr>
              <w:jc w:val="both"/>
              <w:rPr>
                <w:rFonts w:ascii="Bookman Old Style" w:hAnsi="Bookman Old Style"/>
              </w:rPr>
            </w:pPr>
            <w:r w:rsidRPr="00AD4CA6">
              <w:rPr>
                <w:rFonts w:ascii="Bookman Old Style" w:hAnsi="Bookman Old Style"/>
              </w:rPr>
              <w:t>1-</w:t>
            </w:r>
            <m:oMath>
              <m:sSub>
                <m:sSubPr>
                  <m:ctrlPr>
                    <w:rPr>
                      <w:rFonts w:ascii="Cambria Math" w:hAnsi="Cambria Math"/>
                      <w:i/>
                    </w:rPr>
                  </m:ctrlPr>
                </m:sSubPr>
                <m:e>
                  <m:r>
                    <w:rPr>
                      <w:rFonts w:ascii="Cambria Math" w:hAnsi="Cambria Math"/>
                    </w:rPr>
                    <m:t>λ</m:t>
                  </m:r>
                </m:e>
                <m:sub>
                  <m:r>
                    <w:rPr>
                      <w:rFonts w:ascii="Cambria Math" w:hAnsi="Cambria Math"/>
                    </w:rPr>
                    <m:t>f</m:t>
                  </m:r>
                </m:sub>
              </m:sSub>
            </m:oMath>
          </w:p>
        </w:tc>
      </w:tr>
      <w:tr w:rsidR="00D14195" w:rsidRPr="00AD4CA6" w14:paraId="5D17CB84" w14:textId="77777777" w:rsidTr="00E63999">
        <w:tc>
          <w:tcPr>
            <w:tcW w:w="2195" w:type="dxa"/>
          </w:tcPr>
          <w:p w14:paraId="54F59046" w14:textId="50A9B5B4" w:rsidR="00D14195" w:rsidRPr="00AD4CA6" w:rsidRDefault="00000000" w:rsidP="00D14195">
            <w:pPr>
              <w:jc w:val="both"/>
              <w:rPr>
                <w:rFonts w:ascii="Bookman Old Style" w:hAnsi="Bookman Old Style"/>
              </w:rPr>
            </w:pPr>
            <m:oMath>
              <m:sSubSup>
                <m:sSubSupPr>
                  <m:ctrlPr>
                    <w:rPr>
                      <w:rFonts w:ascii="Cambria Math" w:hAnsi="Cambria Math"/>
                      <w:i/>
                    </w:rPr>
                  </m:ctrlPr>
                </m:sSubSupPr>
                <m:e>
                  <m:r>
                    <w:rPr>
                      <w:rFonts w:ascii="Cambria Math" w:hAnsi="Cambria Math"/>
                    </w:rPr>
                    <m:t>DEV</m:t>
                  </m:r>
                </m:e>
                <m:sub>
                  <m:r>
                    <w:rPr>
                      <w:rFonts w:ascii="Cambria Math" w:hAnsi="Cambria Math"/>
                    </w:rPr>
                    <m:t>t</m:t>
                  </m:r>
                </m:sub>
                <m:sup>
                  <m:r>
                    <w:rPr>
                      <w:rFonts w:ascii="Cambria Math" w:hAnsi="Cambria Math"/>
                    </w:rPr>
                    <m:t>a</m:t>
                  </m:r>
                </m:sup>
              </m:sSubSup>
            </m:oMath>
            <w:r w:rsidR="00D14195" w:rsidRPr="00AD4CA6">
              <w:rPr>
                <w:rFonts w:ascii="Bookman Old Style" w:hAnsi="Bookman Old Style"/>
              </w:rPr>
              <w:t>:</w:t>
            </w:r>
          </w:p>
        </w:tc>
        <w:tc>
          <w:tcPr>
            <w:tcW w:w="6593" w:type="dxa"/>
          </w:tcPr>
          <w:p w14:paraId="64C4BD97" w14:textId="68B3E713" w:rsidR="00D14195" w:rsidRPr="00AD4CA6" w:rsidRDefault="00D14195" w:rsidP="00D14195">
            <w:pPr>
              <w:jc w:val="both"/>
              <w:rPr>
                <w:rFonts w:ascii="Bookman Old Style" w:hAnsi="Bookman Old Style" w:cs="Arial"/>
                <w:color w:val="000000"/>
              </w:rPr>
            </w:pPr>
            <w:r w:rsidRPr="00AD4CA6">
              <w:rPr>
                <w:rFonts w:ascii="Bookman Old Style" w:hAnsi="Bookman Old Style" w:cs="Arial"/>
                <w:color w:val="000000"/>
              </w:rPr>
              <w:t xml:space="preserve">Demanda esperada de volumen asociada a la inversión existente, expresada en </w:t>
            </w:r>
            <w:proofErr w:type="spellStart"/>
            <w:r w:rsidRPr="00AD4CA6">
              <w:rPr>
                <w:rFonts w:ascii="Bookman Old Style" w:hAnsi="Bookman Old Style" w:cs="Arial"/>
                <w:color w:val="000000"/>
              </w:rPr>
              <w:t>kpc</w:t>
            </w:r>
            <w:proofErr w:type="spellEnd"/>
            <w:r w:rsidRPr="00AD4CA6">
              <w:rPr>
                <w:rFonts w:ascii="Bookman Old Style" w:hAnsi="Bookman Old Style" w:cs="Arial"/>
                <w:color w:val="000000"/>
              </w:rPr>
              <w:t xml:space="preserve">-año. Cuando, conforme a las disposiciones del Artículo 28 se incluya alguna inversión </w:t>
            </w:r>
            <m:oMath>
              <m:sSubSup>
                <m:sSubSupPr>
                  <m:ctrlPr>
                    <w:rPr>
                      <w:rFonts w:ascii="Cambria Math" w:hAnsi="Cambria Math" w:cs="Arial"/>
                      <w:color w:val="000000"/>
                    </w:rPr>
                  </m:ctrlPr>
                </m:sSubSupPr>
                <m:e>
                  <m:r>
                    <w:rPr>
                      <w:rFonts w:ascii="Cambria Math" w:hAnsi="Cambria Math" w:cs="Arial"/>
                      <w:color w:val="000000"/>
                    </w:rPr>
                    <m:t>PNI</m:t>
                  </m:r>
                </m:e>
                <m:sub>
                  <m:r>
                    <w:rPr>
                      <w:rFonts w:ascii="Cambria Math" w:hAnsi="Cambria Math" w:cs="Arial"/>
                      <w:color w:val="000000"/>
                    </w:rPr>
                    <m:t>II</m:t>
                  </m:r>
                  <m:r>
                    <m:rPr>
                      <m:sty m:val="p"/>
                    </m:rPr>
                    <w:rPr>
                      <w:rFonts w:ascii="Cambria Math" w:hAnsi="Cambria Math" w:cs="Arial"/>
                      <w:color w:val="000000"/>
                    </w:rPr>
                    <m:t>,</m:t>
                  </m:r>
                  <m:r>
                    <w:rPr>
                      <w:rFonts w:ascii="Cambria Math" w:hAnsi="Cambria Math" w:cs="Arial"/>
                      <w:color w:val="000000"/>
                    </w:rPr>
                    <m:t>t</m:t>
                  </m:r>
                  <m:r>
                    <m:rPr>
                      <m:sty m:val="p"/>
                    </m:rPr>
                    <w:rPr>
                      <w:rFonts w:ascii="Cambria Math" w:hAnsi="Cambria Math" w:cs="Arial"/>
                      <w:color w:val="000000"/>
                    </w:rPr>
                    <m:t xml:space="preserve"> </m:t>
                  </m:r>
                </m:sub>
                <m:sup>
                  <m:r>
                    <w:rPr>
                      <w:rFonts w:ascii="Cambria Math" w:hAnsi="Cambria Math" w:cs="Arial"/>
                      <w:color w:val="000000"/>
                    </w:rPr>
                    <m:t>a</m:t>
                  </m:r>
                </m:sup>
              </m:sSubSup>
              <m:r>
                <m:rPr>
                  <m:sty m:val="p"/>
                </m:rPr>
                <w:rPr>
                  <w:rFonts w:ascii="Cambria Math" w:hAnsi="Cambria Math" w:cs="Arial"/>
                  <w:color w:val="000000"/>
                </w:rPr>
                <m:t xml:space="preserve">ó </m:t>
              </m:r>
              <m:sSubSup>
                <m:sSubSupPr>
                  <m:ctrlPr>
                    <w:rPr>
                      <w:rFonts w:ascii="Cambria Math" w:hAnsi="Cambria Math" w:cs="Arial"/>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oMath>
            <w:r w:rsidRPr="00AD4CA6">
              <w:rPr>
                <w:rFonts w:ascii="Bookman Old Style" w:hAnsi="Bookman Old Style" w:cs="Arial"/>
                <w:color w:val="000000"/>
              </w:rPr>
              <w:t xml:space="preserve">  en los cargos los valores de demanda se deberán actualizar para el horizonte de proyección aplicando las disposiciones Ar</w:t>
            </w:r>
            <w:proofErr w:type="spellStart"/>
            <w:r w:rsidR="00101B33" w:rsidRPr="00AD4CA6">
              <w:rPr>
                <w:rFonts w:ascii="Bookman Old Style" w:hAnsi="Bookman Old Style" w:cs="Arial"/>
                <w:color w:val="000000"/>
              </w:rPr>
              <w:t>tículo</w:t>
            </w:r>
            <w:proofErr w:type="spellEnd"/>
            <w:r w:rsidR="00101B33" w:rsidRPr="00AD4CA6">
              <w:rPr>
                <w:rFonts w:ascii="Bookman Old Style" w:hAnsi="Bookman Old Style" w:cs="Arial"/>
                <w:color w:val="000000"/>
              </w:rPr>
              <w:t xml:space="preserve"> 21</w:t>
            </w:r>
            <w:r w:rsidRPr="00AD4CA6">
              <w:rPr>
                <w:rFonts w:ascii="Bookman Old Style" w:hAnsi="Bookman Old Style" w:cs="Arial"/>
                <w:color w:val="000000"/>
              </w:rPr>
              <w:t>.</w:t>
            </w:r>
          </w:p>
          <w:p w14:paraId="6BACBE92" w14:textId="77777777" w:rsidR="00D14195" w:rsidRPr="00AD4CA6" w:rsidRDefault="00D14195" w:rsidP="00D14195">
            <w:pPr>
              <w:jc w:val="both"/>
              <w:rPr>
                <w:rFonts w:ascii="Bookman Old Style" w:hAnsi="Bookman Old Style"/>
              </w:rPr>
            </w:pPr>
          </w:p>
        </w:tc>
      </w:tr>
      <w:tr w:rsidR="00D14195" w:rsidRPr="00AD4CA6" w14:paraId="7E61AEAD" w14:textId="77777777" w:rsidTr="00E63999">
        <w:tc>
          <w:tcPr>
            <w:tcW w:w="2195" w:type="dxa"/>
          </w:tcPr>
          <w:p w14:paraId="74E7771E" w14:textId="27F943CF" w:rsidR="00D14195" w:rsidRPr="00AD4CA6" w:rsidRDefault="00000000" w:rsidP="00D14195">
            <w:pPr>
              <w:jc w:val="both"/>
              <w:rPr>
                <w:rFonts w:ascii="Bookman Old Style" w:hAnsi="Bookman Old Style"/>
              </w:rPr>
            </w:pPr>
            <m:oMath>
              <m:sSubSup>
                <m:sSubSupPr>
                  <m:ctrlPr>
                    <w:rPr>
                      <w:rFonts w:ascii="Cambria Math" w:hAnsi="Cambria Math"/>
                      <w:i/>
                      <w:lang w:val="en-US"/>
                    </w:rPr>
                  </m:ctrlPr>
                </m:sSubSupPr>
                <m:e>
                  <m:r>
                    <w:rPr>
                      <w:rFonts w:ascii="Cambria Math" w:hAnsi="Cambria Math"/>
                      <w:lang w:val="en-US"/>
                    </w:rPr>
                    <m:t>DEV</m:t>
                  </m:r>
                </m:e>
                <m:sub>
                  <m:r>
                    <w:rPr>
                      <w:rFonts w:ascii="Cambria Math" w:hAnsi="Cambria Math"/>
                      <w:lang w:val="en-US"/>
                    </w:rPr>
                    <m:t>t</m:t>
                  </m:r>
                </m:sub>
                <m:sup>
                  <m:r>
                    <w:rPr>
                      <w:rFonts w:ascii="Cambria Math" w:hAnsi="Cambria Math"/>
                      <w:lang w:val="en-US"/>
                    </w:rPr>
                    <m:t>PNI</m:t>
                  </m:r>
                  <m:r>
                    <w:rPr>
                      <w:rFonts w:ascii="Cambria Math" w:hAnsi="Cambria Math"/>
                      <w:lang w:val="es-ES"/>
                    </w:rPr>
                    <m:t>_</m:t>
                  </m:r>
                  <m:r>
                    <w:rPr>
                      <w:rFonts w:ascii="Cambria Math" w:hAnsi="Cambria Math"/>
                      <w:lang w:val="en-US"/>
                    </w:rPr>
                    <m:t>II</m:t>
                  </m:r>
                </m:sup>
              </m:sSubSup>
            </m:oMath>
            <w:r w:rsidR="00CE577E" w:rsidRPr="00AD4CA6">
              <w:rPr>
                <w:rFonts w:ascii="Bookman Old Style" w:hAnsi="Bookman Old Style"/>
                <w:lang w:val="en-US"/>
              </w:rPr>
              <w:t>:</w:t>
            </w:r>
          </w:p>
        </w:tc>
        <w:tc>
          <w:tcPr>
            <w:tcW w:w="6593" w:type="dxa"/>
          </w:tcPr>
          <w:p w14:paraId="34B639D9" w14:textId="6628355D" w:rsidR="00CE577E" w:rsidRPr="00AD4CA6" w:rsidRDefault="00CE577E" w:rsidP="00CE577E">
            <w:pPr>
              <w:jc w:val="both"/>
              <w:rPr>
                <w:rFonts w:ascii="Bookman Old Style" w:hAnsi="Bookman Old Style" w:cs="Arial"/>
                <w:color w:val="000000"/>
              </w:rPr>
            </w:pPr>
            <w:r w:rsidRPr="00AD4CA6">
              <w:rPr>
                <w:rFonts w:ascii="Bookman Old Style" w:hAnsi="Bookman Old Style" w:cs="Arial"/>
                <w:color w:val="000000"/>
              </w:rPr>
              <w:t xml:space="preserve">Demanda anual esperada de volumen asociada a la </w:t>
            </w:r>
            <w:r w:rsidRPr="00AD4CA6" w:rsidDel="002B4D0D">
              <w:rPr>
                <w:rFonts w:ascii="Bookman Old Style" w:hAnsi="Bookman Old Style" w:cs="Arial"/>
                <w:color w:val="000000"/>
              </w:rPr>
              <w:t>inversión</w:t>
            </w:r>
            <w:r w:rsidRPr="00AD4CA6">
              <w:rPr>
                <w:rFonts w:ascii="Bookman Old Style" w:hAnsi="Bookman Old Style" w:cs="Arial"/>
                <w:color w:val="000000"/>
              </w:rPr>
              <w:t xml:space="preserve"> tipo II, </w:t>
            </w:r>
            <m:oMath>
              <m:sSub>
                <m:sSubPr>
                  <m:ctrlPr>
                    <w:rPr>
                      <w:rFonts w:ascii="Cambria Math" w:hAnsi="Cambria Math" w:cs="Arial"/>
                      <w:color w:val="000000"/>
                    </w:rPr>
                  </m:ctrlPr>
                </m:sSubPr>
                <m:e>
                  <m:r>
                    <w:rPr>
                      <w:rFonts w:ascii="Cambria Math" w:hAnsi="Cambria Math" w:cs="Arial"/>
                      <w:color w:val="000000"/>
                    </w:rPr>
                    <m:t>PNI</m:t>
                  </m:r>
                  <m:r>
                    <m:rPr>
                      <m:sty m:val="p"/>
                    </m:rPr>
                    <w:rPr>
                      <w:rFonts w:ascii="Cambria Math" w:hAnsi="Cambria Math" w:cs="Arial"/>
                      <w:color w:val="000000"/>
                    </w:rPr>
                    <m:t>_</m:t>
                  </m:r>
                  <m:r>
                    <w:rPr>
                      <w:rFonts w:ascii="Cambria Math" w:hAnsi="Cambria Math" w:cs="Arial"/>
                      <w:color w:val="000000"/>
                    </w:rPr>
                    <m:t>II</m:t>
                  </m:r>
                </m:e>
                <m:sub>
                  <m:r>
                    <w:rPr>
                      <w:rFonts w:ascii="Cambria Math" w:hAnsi="Cambria Math" w:cs="Arial"/>
                      <w:color w:val="000000"/>
                    </w:rPr>
                    <m:t>t</m:t>
                  </m:r>
                </m:sub>
              </m:sSub>
            </m:oMath>
            <w:r w:rsidRPr="00AD4CA6">
              <w:rPr>
                <w:rFonts w:ascii="Bookman Old Style" w:hAnsi="Bookman Old Style" w:cs="Arial"/>
                <w:color w:val="000000"/>
              </w:rPr>
              <w:t xml:space="preserve">, para el horizonte de proyección, expresada en </w:t>
            </w:r>
            <w:proofErr w:type="spellStart"/>
            <w:r w:rsidRPr="00AD4CA6">
              <w:rPr>
                <w:rFonts w:ascii="Bookman Old Style" w:hAnsi="Bookman Old Style" w:cs="Arial"/>
                <w:color w:val="000000"/>
              </w:rPr>
              <w:t>kpc</w:t>
            </w:r>
            <w:proofErr w:type="spellEnd"/>
            <w:r w:rsidRPr="00AD4CA6">
              <w:rPr>
                <w:rFonts w:ascii="Bookman Old Style" w:hAnsi="Bookman Old Style" w:cs="Arial"/>
                <w:color w:val="000000"/>
              </w:rPr>
              <w:t xml:space="preserve">-año. Cuando, conforme a las disposiciones del Artículo 28 se incluya alguna </w:t>
            </w:r>
            <w:r w:rsidRPr="00AD4CA6">
              <w:rPr>
                <w:rFonts w:ascii="Bookman Old Style" w:hAnsi="Bookman Old Style" w:cs="Arial"/>
                <w:color w:val="000000"/>
              </w:rPr>
              <w:lastRenderedPageBreak/>
              <w:t xml:space="preserve">inversión </w:t>
            </w:r>
            <m:oMath>
              <m:sSubSup>
                <m:sSubSupPr>
                  <m:ctrlPr>
                    <w:rPr>
                      <w:rFonts w:ascii="Cambria Math" w:hAnsi="Cambria Math" w:cs="Arial"/>
                      <w:color w:val="000000"/>
                    </w:rPr>
                  </m:ctrlPr>
                </m:sSubSupPr>
                <m:e>
                  <m:r>
                    <w:rPr>
                      <w:rFonts w:ascii="Cambria Math" w:hAnsi="Cambria Math" w:cs="Arial"/>
                      <w:color w:val="000000"/>
                    </w:rPr>
                    <m:t>PNI</m:t>
                  </m:r>
                </m:e>
                <m:sub>
                  <m:r>
                    <w:rPr>
                      <w:rFonts w:ascii="Cambria Math" w:hAnsi="Cambria Math" w:cs="Arial"/>
                      <w:color w:val="000000"/>
                    </w:rPr>
                    <m:t>II</m:t>
                  </m:r>
                  <m:r>
                    <m:rPr>
                      <m:sty m:val="p"/>
                    </m:rPr>
                    <w:rPr>
                      <w:rFonts w:ascii="Cambria Math" w:hAnsi="Cambria Math" w:cs="Arial"/>
                      <w:color w:val="000000"/>
                    </w:rPr>
                    <m:t>,</m:t>
                  </m:r>
                  <m:r>
                    <w:rPr>
                      <w:rFonts w:ascii="Cambria Math" w:hAnsi="Cambria Math" w:cs="Arial"/>
                      <w:color w:val="000000"/>
                    </w:rPr>
                    <m:t>t</m:t>
                  </m:r>
                  <m:r>
                    <m:rPr>
                      <m:sty m:val="p"/>
                    </m:rPr>
                    <w:rPr>
                      <w:rFonts w:ascii="Cambria Math" w:hAnsi="Cambria Math" w:cs="Arial"/>
                      <w:color w:val="000000"/>
                    </w:rPr>
                    <m:t xml:space="preserve"> </m:t>
                  </m:r>
                </m:sub>
                <m:sup>
                  <m:r>
                    <w:rPr>
                      <w:rFonts w:ascii="Cambria Math" w:hAnsi="Cambria Math" w:cs="Arial"/>
                      <w:color w:val="000000"/>
                    </w:rPr>
                    <m:t>a</m:t>
                  </m:r>
                </m:sup>
              </m:sSubSup>
              <m:r>
                <m:rPr>
                  <m:sty m:val="p"/>
                </m:rPr>
                <w:rPr>
                  <w:rFonts w:ascii="Cambria Math" w:hAnsi="Cambria Math" w:cs="Arial"/>
                  <w:color w:val="000000"/>
                </w:rPr>
                <m:t xml:space="preserve">ó </m:t>
              </m:r>
              <m:sSubSup>
                <m:sSubSupPr>
                  <m:ctrlPr>
                    <w:rPr>
                      <w:rFonts w:ascii="Cambria Math" w:hAnsi="Cambria Math" w:cs="Arial"/>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oMath>
            <w:r w:rsidRPr="00AD4CA6">
              <w:rPr>
                <w:rFonts w:ascii="Bookman Old Style" w:hAnsi="Bookman Old Style" w:cs="Arial"/>
                <w:color w:val="000000"/>
              </w:rPr>
              <w:t xml:space="preserve">  en los cargos los valores de demanda se deberán actualizar para el horizonte de proyección aplicando las disposiciones Artículo 21.</w:t>
            </w:r>
          </w:p>
          <w:p w14:paraId="6ED1B6E0" w14:textId="77777777" w:rsidR="00D14195" w:rsidRPr="00AD4CA6" w:rsidRDefault="00D14195" w:rsidP="00D14195">
            <w:pPr>
              <w:jc w:val="both"/>
              <w:rPr>
                <w:rFonts w:ascii="Bookman Old Style" w:hAnsi="Bookman Old Style"/>
              </w:rPr>
            </w:pPr>
          </w:p>
        </w:tc>
      </w:tr>
      <w:tr w:rsidR="00D14195" w:rsidRPr="00AD4CA6" w14:paraId="0CF2D0D3" w14:textId="77777777" w:rsidTr="00E63999">
        <w:tc>
          <w:tcPr>
            <w:tcW w:w="2195" w:type="dxa"/>
          </w:tcPr>
          <w:p w14:paraId="04771411" w14:textId="67614BDC" w:rsidR="00D14195" w:rsidRPr="00AD4CA6" w:rsidRDefault="00000000" w:rsidP="00D14195">
            <w:pPr>
              <w:jc w:val="both"/>
              <w:rPr>
                <w:rFonts w:ascii="Bookman Old Style" w:hAnsi="Bookman Old Style" w:cs="Arial"/>
                <w:color w:val="000000"/>
              </w:rPr>
            </w:pPr>
            <m:oMath>
              <m:sSubSup>
                <m:sSubSupPr>
                  <m:ctrlPr>
                    <w:rPr>
                      <w:rFonts w:ascii="Cambria Math" w:hAnsi="Cambria Math" w:cs="Arial"/>
                      <w:color w:val="000000"/>
                    </w:rPr>
                  </m:ctrlPr>
                </m:sSubSupPr>
                <m:e>
                  <m:r>
                    <w:rPr>
                      <w:rFonts w:ascii="Cambria Math" w:hAnsi="Cambria Math" w:cs="Arial"/>
                      <w:color w:val="000000"/>
                    </w:rPr>
                    <m:t>DEV</m:t>
                  </m:r>
                </m:e>
                <m:sub>
                  <m:r>
                    <w:rPr>
                      <w:rFonts w:ascii="Cambria Math" w:hAnsi="Cambria Math" w:cs="Arial"/>
                      <w:color w:val="000000"/>
                    </w:rPr>
                    <m:t>t</m:t>
                  </m:r>
                </m:sub>
                <m:sup>
                  <m:r>
                    <w:rPr>
                      <w:rFonts w:ascii="Cambria Math" w:hAnsi="Cambria Math" w:cs="Arial"/>
                      <w:color w:val="000000"/>
                    </w:rPr>
                    <m:t>IAC</m:t>
                  </m:r>
                </m:sup>
              </m:sSubSup>
            </m:oMath>
            <w:r w:rsidR="00CE577E" w:rsidRPr="00AD4CA6">
              <w:rPr>
                <w:rFonts w:ascii="Bookman Old Style" w:hAnsi="Bookman Old Style" w:cs="Arial"/>
                <w:color w:val="000000"/>
              </w:rPr>
              <w:t>:</w:t>
            </w:r>
          </w:p>
        </w:tc>
        <w:tc>
          <w:tcPr>
            <w:tcW w:w="6593" w:type="dxa"/>
          </w:tcPr>
          <w:p w14:paraId="7D1E94EC" w14:textId="105C9F00" w:rsidR="00CE577E" w:rsidRPr="00AD4CA6" w:rsidRDefault="00CE577E" w:rsidP="00CE577E">
            <w:pPr>
              <w:jc w:val="both"/>
              <w:rPr>
                <w:rFonts w:ascii="Bookman Old Style" w:hAnsi="Bookman Old Style" w:cs="Arial"/>
                <w:color w:val="000000"/>
              </w:rPr>
            </w:pPr>
            <w:r w:rsidRPr="00AD4CA6">
              <w:rPr>
                <w:rFonts w:ascii="Bookman Old Style" w:hAnsi="Bookman Old Style" w:cs="Arial"/>
                <w:color w:val="000000"/>
              </w:rPr>
              <w:t xml:space="preserve">Demanda esperada de capacidad asociada a proyectos </w:t>
            </w:r>
            <w:proofErr w:type="spellStart"/>
            <w:r w:rsidRPr="00AD4CA6">
              <w:rPr>
                <w:rFonts w:ascii="Bookman Old Style" w:hAnsi="Bookman Old Style" w:cs="Arial"/>
                <w:color w:val="000000"/>
              </w:rPr>
              <w:t>IAC</w:t>
            </w:r>
            <w:proofErr w:type="spellEnd"/>
            <w:r w:rsidRPr="00AD4CA6">
              <w:rPr>
                <w:rFonts w:ascii="Bookman Old Style" w:hAnsi="Bookman Old Style" w:cs="Arial"/>
                <w:color w:val="000000"/>
              </w:rPr>
              <w:t xml:space="preserve">, para el horizonte de proyección, expresada en </w:t>
            </w:r>
            <w:proofErr w:type="spellStart"/>
            <w:r w:rsidRPr="00AD4CA6">
              <w:rPr>
                <w:rFonts w:ascii="Bookman Old Style" w:hAnsi="Bookman Old Style" w:cs="Arial"/>
                <w:color w:val="000000"/>
              </w:rPr>
              <w:t>kpc</w:t>
            </w:r>
            <w:proofErr w:type="spellEnd"/>
            <w:r w:rsidRPr="00AD4CA6">
              <w:rPr>
                <w:rFonts w:ascii="Bookman Old Style" w:hAnsi="Bookman Old Style" w:cs="Arial"/>
                <w:color w:val="000000"/>
              </w:rPr>
              <w:t xml:space="preserve">-año. Cuando, conforme a las disposiciones del Artículo 28 se incluya alguna inversión </w:t>
            </w:r>
            <m:oMath>
              <m:sSubSup>
                <m:sSubSupPr>
                  <m:ctrlPr>
                    <w:rPr>
                      <w:rFonts w:ascii="Cambria Math" w:hAnsi="Cambria Math" w:cs="Arial"/>
                      <w:color w:val="000000"/>
                    </w:rPr>
                  </m:ctrlPr>
                </m:sSubSupPr>
                <m:e>
                  <m:r>
                    <w:rPr>
                      <w:rFonts w:ascii="Cambria Math" w:hAnsi="Cambria Math" w:cs="Arial"/>
                      <w:color w:val="000000"/>
                    </w:rPr>
                    <m:t>PNI</m:t>
                  </m:r>
                </m:e>
                <m:sub>
                  <m:r>
                    <w:rPr>
                      <w:rFonts w:ascii="Cambria Math" w:hAnsi="Cambria Math" w:cs="Arial"/>
                      <w:color w:val="000000"/>
                    </w:rPr>
                    <m:t>II</m:t>
                  </m:r>
                  <m:r>
                    <m:rPr>
                      <m:sty m:val="p"/>
                    </m:rPr>
                    <w:rPr>
                      <w:rFonts w:ascii="Cambria Math" w:hAnsi="Cambria Math" w:cs="Arial"/>
                      <w:color w:val="000000"/>
                    </w:rPr>
                    <m:t>,</m:t>
                  </m:r>
                  <m:r>
                    <w:rPr>
                      <w:rFonts w:ascii="Cambria Math" w:hAnsi="Cambria Math" w:cs="Arial"/>
                      <w:color w:val="000000"/>
                    </w:rPr>
                    <m:t>t</m:t>
                  </m:r>
                  <m:r>
                    <m:rPr>
                      <m:sty m:val="p"/>
                    </m:rPr>
                    <w:rPr>
                      <w:rFonts w:ascii="Cambria Math" w:hAnsi="Cambria Math" w:cs="Arial"/>
                      <w:color w:val="000000"/>
                    </w:rPr>
                    <m:t xml:space="preserve"> </m:t>
                  </m:r>
                </m:sub>
                <m:sup>
                  <m:r>
                    <w:rPr>
                      <w:rFonts w:ascii="Cambria Math" w:hAnsi="Cambria Math" w:cs="Arial"/>
                      <w:color w:val="000000"/>
                    </w:rPr>
                    <m:t>a</m:t>
                  </m:r>
                </m:sup>
              </m:sSubSup>
              <m:r>
                <m:rPr>
                  <m:sty m:val="p"/>
                </m:rPr>
                <w:rPr>
                  <w:rFonts w:ascii="Cambria Math" w:hAnsi="Cambria Math" w:cs="Arial"/>
                  <w:color w:val="000000"/>
                </w:rPr>
                <m:t xml:space="preserve">ó </m:t>
              </m:r>
              <m:sSubSup>
                <m:sSubSupPr>
                  <m:ctrlPr>
                    <w:rPr>
                      <w:rFonts w:ascii="Cambria Math" w:hAnsi="Cambria Math" w:cs="Arial"/>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oMath>
            <w:r w:rsidRPr="00AD4CA6">
              <w:rPr>
                <w:rFonts w:ascii="Bookman Old Style" w:hAnsi="Bookman Old Style" w:cs="Arial"/>
                <w:color w:val="000000"/>
              </w:rPr>
              <w:t xml:space="preserve">  en los cargos los valores de demanda se deberán actualizar para el horizonte de proyección aplicando las disposiciones Artículo 21.</w:t>
            </w:r>
          </w:p>
          <w:p w14:paraId="67499555" w14:textId="77777777" w:rsidR="00D14195" w:rsidRPr="00AD4CA6" w:rsidRDefault="00D14195" w:rsidP="00CE577E">
            <w:pPr>
              <w:jc w:val="both"/>
              <w:rPr>
                <w:rFonts w:ascii="Bookman Old Style" w:hAnsi="Bookman Old Style" w:cs="Arial"/>
                <w:color w:val="000000"/>
              </w:rPr>
            </w:pPr>
          </w:p>
        </w:tc>
      </w:tr>
      <w:tr w:rsidR="00D14195" w:rsidRPr="00AD4CA6" w14:paraId="13F78620" w14:textId="77777777" w:rsidTr="00E63999">
        <w:tc>
          <w:tcPr>
            <w:tcW w:w="2195" w:type="dxa"/>
          </w:tcPr>
          <w:p w14:paraId="5A41D431" w14:textId="4261D601" w:rsidR="00D14195" w:rsidRPr="00AD4CA6" w:rsidRDefault="00CE577E" w:rsidP="00D14195">
            <w:pPr>
              <w:jc w:val="both"/>
              <w:rPr>
                <w:rFonts w:ascii="Bookman Old Style" w:hAnsi="Bookman Old Style"/>
              </w:rPr>
            </w:pPr>
            <m:oMath>
              <m:r>
                <w:rPr>
                  <w:rFonts w:ascii="Cambria Math" w:hAnsi="Cambria Math" w:cs="Arial"/>
                  <w:lang w:val="es-ES_tradnl"/>
                </w:rPr>
                <m:t>Tkv</m:t>
              </m:r>
            </m:oMath>
            <w:r w:rsidRPr="00AD4CA6">
              <w:rPr>
                <w:rFonts w:ascii="Bookman Old Style" w:hAnsi="Bookman Old Style"/>
                <w:lang w:val="es-ES_tradnl"/>
              </w:rPr>
              <w:t>:</w:t>
            </w:r>
          </w:p>
        </w:tc>
        <w:tc>
          <w:tcPr>
            <w:tcW w:w="6593" w:type="dxa"/>
          </w:tcPr>
          <w:p w14:paraId="2A7635B7" w14:textId="72E41B7B" w:rsidR="00D14195" w:rsidRPr="00AD4CA6" w:rsidRDefault="00CE577E" w:rsidP="00D14195">
            <w:pPr>
              <w:jc w:val="both"/>
              <w:rPr>
                <w:rFonts w:ascii="Bookman Old Style" w:hAnsi="Bookman Old Style"/>
              </w:rPr>
            </w:pPr>
            <w:r w:rsidRPr="00AD4CA6">
              <w:rPr>
                <w:rFonts w:ascii="Bookman Old Style" w:hAnsi="Bookman Old Style"/>
                <w:color w:val="000000"/>
              </w:rPr>
              <w:t>Tasa promedio de costo de capital, real antes de impuestos, remunerado por servicios de volumen a través de cargos variables expresados en pesos colombianos.</w:t>
            </w:r>
          </w:p>
        </w:tc>
      </w:tr>
      <w:tr w:rsidR="00D14195" w:rsidRPr="00AD4CA6" w14:paraId="478BECF5" w14:textId="77777777" w:rsidTr="00E63999">
        <w:tc>
          <w:tcPr>
            <w:tcW w:w="2195" w:type="dxa"/>
          </w:tcPr>
          <w:p w14:paraId="19E12888" w14:textId="7AE4494A" w:rsidR="00D14195" w:rsidRPr="00AD4CA6" w:rsidRDefault="00CE577E" w:rsidP="00D14195">
            <w:pPr>
              <w:jc w:val="both"/>
              <w:rPr>
                <w:rFonts w:ascii="Bookman Old Style" w:hAnsi="Bookman Old Style"/>
              </w:rPr>
            </w:pPr>
            <m:oMathPara>
              <m:oMath>
                <m:r>
                  <w:rPr>
                    <w:rFonts w:ascii="Cambria Math" w:hAnsi="Cambria Math"/>
                    <w:lang w:val="en-US"/>
                  </w:rPr>
                  <m:t>VP</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a</m:t>
                        </m:r>
                      </m:sup>
                    </m:sSubSup>
                    <m:r>
                      <w:rPr>
                        <w:rFonts w:ascii="Cambria Math" w:hAnsi="Cambria Math"/>
                        <w:lang w:val="es-ES"/>
                      </w:rPr>
                      <m:t>+</m:t>
                    </m:r>
                    <m:sSubSup>
                      <m:sSubSupPr>
                        <m:ctrlPr>
                          <w:rPr>
                            <w:rFonts w:ascii="Cambria Math" w:hAnsi="Cambria Math"/>
                            <w:i/>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PNI</m:t>
                        </m:r>
                        <m:r>
                          <w:rPr>
                            <w:rFonts w:ascii="Cambria Math" w:hAnsi="Cambria Math"/>
                            <w:lang w:val="es-ES"/>
                          </w:rPr>
                          <m:t>_</m:t>
                        </m:r>
                        <m:r>
                          <w:rPr>
                            <w:rFonts w:ascii="Cambria Math" w:hAnsi="Cambria Math"/>
                            <w:lang w:val="en-US"/>
                          </w:rPr>
                          <m:t>II</m:t>
                        </m:r>
                      </m:sup>
                    </m:sSubSup>
                    <m:r>
                      <w:rPr>
                        <w:rFonts w:ascii="Cambria Math" w:hAnsi="Cambria Math"/>
                        <w:lang w:val="es-ES"/>
                      </w:rPr>
                      <m:t>+</m:t>
                    </m:r>
                    <m:sSubSup>
                      <m:sSubSupPr>
                        <m:ctrlPr>
                          <w:rPr>
                            <w:rFonts w:ascii="Cambria Math" w:hAnsi="Cambria Math"/>
                            <w:i/>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IAC</m:t>
                        </m:r>
                      </m:sup>
                    </m:sSubSup>
                    <m:r>
                      <m:rPr>
                        <m:sty m:val="p"/>
                      </m:rPr>
                      <w:rPr>
                        <w:rFonts w:ascii="Cambria Math" w:hAnsi="Cambria Math"/>
                        <w:lang w:val="es-ES"/>
                      </w:rPr>
                      <m:t>,</m:t>
                    </m:r>
                    <m:r>
                      <w:rPr>
                        <w:rFonts w:ascii="Cambria Math" w:hAnsi="Cambria Math"/>
                        <w:lang w:val="en-US"/>
                      </w:rPr>
                      <m:t>Tkv</m:t>
                    </m:r>
                  </m:e>
                </m:d>
              </m:oMath>
            </m:oMathPara>
          </w:p>
        </w:tc>
        <w:tc>
          <w:tcPr>
            <w:tcW w:w="6593" w:type="dxa"/>
          </w:tcPr>
          <w:p w14:paraId="6DDCB801" w14:textId="6FAD9104" w:rsidR="00D14195" w:rsidRPr="00AD4CA6" w:rsidRDefault="00CE577E" w:rsidP="00D14195">
            <w:pPr>
              <w:jc w:val="both"/>
              <w:rPr>
                <w:rFonts w:ascii="Bookman Old Style" w:hAnsi="Bookman Old Style"/>
              </w:rPr>
            </w:pPr>
            <w:r w:rsidRPr="00AD4CA6">
              <w:rPr>
                <w:rFonts w:ascii="Bookman Old Style" w:hAnsi="Bookman Old Style"/>
              </w:rPr>
              <w:t xml:space="preserve">Valor presente de la demanda </w:t>
            </w:r>
            <m:oMath>
              <m:sSubSup>
                <m:sSubSupPr>
                  <m:ctrlPr>
                    <w:rPr>
                      <w:rFonts w:ascii="Cambria Math" w:hAnsi="Cambria Math"/>
                      <w:lang w:val="en-US"/>
                    </w:rPr>
                  </m:ctrlPr>
                </m:sSubSupPr>
                <m:e>
                  <m:r>
                    <w:rPr>
                      <w:rFonts w:ascii="Cambria Math" w:hAnsi="Cambria Math"/>
                      <w:lang w:val="en-US"/>
                    </w:rPr>
                    <m:t>DEV</m:t>
                  </m:r>
                </m:e>
                <m:sub>
                  <m:r>
                    <w:rPr>
                      <w:rFonts w:ascii="Cambria Math" w:hAnsi="Cambria Math"/>
                      <w:lang w:val="en-US"/>
                    </w:rPr>
                    <m:t>t</m:t>
                  </m:r>
                </m:sub>
                <m:sup>
                  <m:r>
                    <w:rPr>
                      <w:rFonts w:ascii="Cambria Math" w:hAnsi="Cambria Math"/>
                      <w:lang w:val="en-US"/>
                    </w:rPr>
                    <m:t>a</m:t>
                  </m:r>
                </m:sup>
              </m:sSubSup>
              <m:r>
                <w:rPr>
                  <w:rFonts w:ascii="Cambria Math" w:hAnsi="Cambria Math"/>
                  <w:lang w:val="es-ES"/>
                </w:rPr>
                <m:t>+</m:t>
              </m:r>
              <m:sSubSup>
                <m:sSubSupPr>
                  <m:ctrlPr>
                    <w:rPr>
                      <w:rFonts w:ascii="Cambria Math" w:hAnsi="Cambria Math"/>
                      <w:i/>
                      <w:lang w:val="en-US"/>
                    </w:rPr>
                  </m:ctrlPr>
                </m:sSubSupPr>
                <m:e>
                  <m:r>
                    <w:rPr>
                      <w:rFonts w:ascii="Cambria Math" w:hAnsi="Cambria Math"/>
                      <w:lang w:val="en-US"/>
                    </w:rPr>
                    <m:t>DEV</m:t>
                  </m:r>
                </m:e>
                <m:sub>
                  <m:r>
                    <w:rPr>
                      <w:rFonts w:ascii="Cambria Math" w:hAnsi="Cambria Math"/>
                      <w:lang w:val="en-US"/>
                    </w:rPr>
                    <m:t>t</m:t>
                  </m:r>
                </m:sub>
                <m:sup>
                  <m:r>
                    <w:rPr>
                      <w:rFonts w:ascii="Cambria Math" w:hAnsi="Cambria Math"/>
                      <w:lang w:val="en-US"/>
                    </w:rPr>
                    <m:t>PNI</m:t>
                  </m:r>
                  <m:r>
                    <w:rPr>
                      <w:rFonts w:ascii="Cambria Math" w:hAnsi="Cambria Math"/>
                      <w:lang w:val="es-ES"/>
                    </w:rPr>
                    <m:t>_</m:t>
                  </m:r>
                  <m:r>
                    <w:rPr>
                      <w:rFonts w:ascii="Cambria Math" w:hAnsi="Cambria Math"/>
                      <w:lang w:val="en-US"/>
                    </w:rPr>
                    <m:t>II</m:t>
                  </m:r>
                </m:sup>
              </m:sSubSup>
              <m:r>
                <w:rPr>
                  <w:rFonts w:ascii="Cambria Math" w:hAnsi="Cambria Math"/>
                  <w:lang w:val="es-ES"/>
                </w:rPr>
                <m:t>+</m:t>
              </m:r>
              <m:sSubSup>
                <m:sSubSupPr>
                  <m:ctrlPr>
                    <w:rPr>
                      <w:rFonts w:ascii="Cambria Math" w:hAnsi="Cambria Math"/>
                      <w:i/>
                      <w:lang w:val="en-US"/>
                    </w:rPr>
                  </m:ctrlPr>
                </m:sSubSupPr>
                <m:e>
                  <m:r>
                    <w:rPr>
                      <w:rFonts w:ascii="Cambria Math" w:hAnsi="Cambria Math"/>
                      <w:lang w:val="en-US"/>
                    </w:rPr>
                    <m:t>DEV</m:t>
                  </m:r>
                </m:e>
                <m:sub>
                  <m:r>
                    <w:rPr>
                      <w:rFonts w:ascii="Cambria Math" w:hAnsi="Cambria Math"/>
                      <w:lang w:val="en-US"/>
                    </w:rPr>
                    <m:t>t</m:t>
                  </m:r>
                </m:sub>
                <m:sup>
                  <m:r>
                    <w:rPr>
                      <w:rFonts w:ascii="Cambria Math" w:hAnsi="Cambria Math"/>
                      <w:lang w:val="en-US"/>
                    </w:rPr>
                    <m:t>IAC</m:t>
                  </m:r>
                </m:sup>
              </m:sSubSup>
            </m:oMath>
            <w:r w:rsidRPr="00AD4CA6">
              <w:rPr>
                <w:rFonts w:ascii="Bookman Old Style" w:hAnsi="Bookman Old Style"/>
              </w:rPr>
              <w:t xml:space="preserve"> descontada a la tasa </w:t>
            </w:r>
            <m:oMath>
              <m:r>
                <w:rPr>
                  <w:rFonts w:ascii="Cambria Math" w:hAnsi="Cambria Math"/>
                </w:rPr>
                <m:t>Tkv</m:t>
              </m:r>
            </m:oMath>
            <w:r w:rsidR="006E6B03" w:rsidRPr="00AD4CA6">
              <w:rPr>
                <w:rFonts w:ascii="Bookman Old Style" w:hAnsi="Bookman Old Style"/>
              </w:rPr>
              <w:t>”</w:t>
            </w:r>
            <w:r w:rsidRPr="00AD4CA6">
              <w:rPr>
                <w:rFonts w:ascii="Bookman Old Style" w:hAnsi="Bookman Old Style"/>
              </w:rPr>
              <w:t>.</w:t>
            </w:r>
          </w:p>
        </w:tc>
      </w:tr>
    </w:tbl>
    <w:p w14:paraId="51985F10" w14:textId="53D5B63D" w:rsidR="007F131A" w:rsidRPr="004416CB" w:rsidRDefault="007F131A" w:rsidP="007F131A">
      <w:pPr>
        <w:jc w:val="both"/>
        <w:rPr>
          <w:rFonts w:ascii="Bookman Old Style" w:hAnsi="Bookman Old Style"/>
        </w:rPr>
      </w:pPr>
    </w:p>
    <w:p w14:paraId="1B518BF8" w14:textId="3D93FECC" w:rsidR="00E4197A" w:rsidRDefault="0044666F" w:rsidP="0044666F">
      <w:pPr>
        <w:pStyle w:val="Estilo5"/>
        <w:keepNext w:val="0"/>
        <w:widowControl w:val="0"/>
        <w:numPr>
          <w:ilvl w:val="0"/>
          <w:numId w:val="0"/>
        </w:numPr>
        <w:tabs>
          <w:tab w:val="left" w:pos="993"/>
        </w:tabs>
        <w:spacing w:before="0" w:after="0"/>
        <w:rPr>
          <w:rFonts w:ascii="Bookman Old Style" w:hAnsi="Bookman Old Style"/>
          <w:b w:val="0"/>
          <w:color w:val="000000"/>
          <w:sz w:val="24"/>
          <w:szCs w:val="24"/>
        </w:rPr>
      </w:pPr>
      <w:r w:rsidRPr="0044666F">
        <w:rPr>
          <w:rFonts w:ascii="Bookman Old Style" w:hAnsi="Bookman Old Style"/>
          <w:bCs/>
          <w:color w:val="000000"/>
          <w:sz w:val="24"/>
          <w:szCs w:val="24"/>
        </w:rPr>
        <w:t xml:space="preserve">Artículo 7. </w:t>
      </w:r>
      <w:r w:rsidR="00E4197A">
        <w:rPr>
          <w:rFonts w:ascii="Bookman Old Style" w:hAnsi="Bookman Old Style"/>
          <w:b w:val="0"/>
          <w:color w:val="000000"/>
          <w:sz w:val="24"/>
          <w:szCs w:val="24"/>
        </w:rPr>
        <w:t xml:space="preserve">Modifíquese </w:t>
      </w:r>
      <w:r w:rsidR="002508DD">
        <w:rPr>
          <w:rFonts w:ascii="Bookman Old Style" w:hAnsi="Bookman Old Style"/>
          <w:b w:val="0"/>
          <w:color w:val="000000"/>
          <w:sz w:val="24"/>
          <w:szCs w:val="24"/>
        </w:rPr>
        <w:t xml:space="preserve">el numeral </w:t>
      </w:r>
      <w:r w:rsidR="00966D05">
        <w:rPr>
          <w:rFonts w:ascii="Bookman Old Style" w:hAnsi="Bookman Old Style"/>
          <w:b w:val="0"/>
          <w:color w:val="000000"/>
          <w:sz w:val="24"/>
          <w:szCs w:val="24"/>
        </w:rPr>
        <w:t xml:space="preserve">22.4 </w:t>
      </w:r>
      <w:r w:rsidR="00C92323">
        <w:rPr>
          <w:rFonts w:ascii="Bookman Old Style" w:hAnsi="Bookman Old Style"/>
          <w:b w:val="0"/>
          <w:color w:val="000000"/>
          <w:sz w:val="24"/>
          <w:szCs w:val="24"/>
        </w:rPr>
        <w:t xml:space="preserve">del Artículo </w:t>
      </w:r>
      <w:r w:rsidR="008F1A2A">
        <w:rPr>
          <w:rFonts w:ascii="Bookman Old Style" w:hAnsi="Bookman Old Style"/>
          <w:b w:val="0"/>
          <w:color w:val="000000"/>
          <w:sz w:val="24"/>
          <w:szCs w:val="24"/>
        </w:rPr>
        <w:t xml:space="preserve">22 de Resolución </w:t>
      </w:r>
      <w:proofErr w:type="spellStart"/>
      <w:r w:rsidR="008F1A2A">
        <w:rPr>
          <w:rFonts w:ascii="Bookman Old Style" w:hAnsi="Bookman Old Style"/>
          <w:b w:val="0"/>
          <w:color w:val="000000"/>
          <w:sz w:val="24"/>
          <w:szCs w:val="24"/>
        </w:rPr>
        <w:t>CREG</w:t>
      </w:r>
      <w:proofErr w:type="spellEnd"/>
      <w:r w:rsidR="008F1A2A">
        <w:rPr>
          <w:rFonts w:ascii="Bookman Old Style" w:hAnsi="Bookman Old Style"/>
          <w:b w:val="0"/>
          <w:color w:val="000000"/>
          <w:sz w:val="24"/>
          <w:szCs w:val="24"/>
        </w:rPr>
        <w:t xml:space="preserve"> 175 de 2021 así:</w:t>
      </w:r>
    </w:p>
    <w:p w14:paraId="0AF34997" w14:textId="77777777" w:rsidR="008F1A2A" w:rsidRDefault="008F1A2A" w:rsidP="00AF44B9"/>
    <w:p w14:paraId="6319B5A0" w14:textId="48E5CC3C" w:rsidR="00421B32" w:rsidRPr="00421B32" w:rsidRDefault="006E6B03" w:rsidP="00C30707">
      <w:pPr>
        <w:pStyle w:val="Estilo3"/>
        <w:widowControl w:val="0"/>
        <w:tabs>
          <w:tab w:val="left" w:pos="0"/>
        </w:tabs>
        <w:ind w:left="284"/>
        <w:jc w:val="both"/>
        <w:rPr>
          <w:rFonts w:ascii="Bookman Old Style" w:hAnsi="Bookman Old Style" w:cs="Arial"/>
          <w:bCs/>
          <w:color w:val="000000"/>
          <w:sz w:val="24"/>
          <w:szCs w:val="24"/>
        </w:rPr>
      </w:pPr>
      <w:bookmarkStart w:id="9" w:name="_Ref3212513"/>
      <w:r>
        <w:rPr>
          <w:rFonts w:ascii="Bookman Old Style" w:hAnsi="Bookman Old Style" w:cs="Arial"/>
          <w:bCs/>
          <w:color w:val="000000"/>
          <w:sz w:val="24"/>
          <w:szCs w:val="24"/>
        </w:rPr>
        <w:t>“</w:t>
      </w:r>
      <w:r w:rsidR="00897B10" w:rsidRPr="00A942F7">
        <w:rPr>
          <w:rFonts w:ascii="Bookman Old Style" w:hAnsi="Bookman Old Style" w:cs="Arial"/>
          <w:b/>
          <w:color w:val="000000"/>
          <w:sz w:val="24"/>
          <w:szCs w:val="24"/>
        </w:rPr>
        <w:t xml:space="preserve">22.4 </w:t>
      </w:r>
      <w:r w:rsidR="00421B32" w:rsidRPr="00A942F7">
        <w:rPr>
          <w:rFonts w:ascii="Bookman Old Style" w:hAnsi="Bookman Old Style" w:cs="Arial"/>
          <w:b/>
          <w:color w:val="000000"/>
          <w:sz w:val="24"/>
          <w:szCs w:val="24"/>
        </w:rPr>
        <w:t xml:space="preserve">Cálculo de cargos fijos que remuneran los gastos de </w:t>
      </w:r>
      <m:oMath>
        <m:r>
          <m:rPr>
            <m:sty m:val="bi"/>
          </m:rPr>
          <w:rPr>
            <w:rFonts w:ascii="Cambria Math" w:hAnsi="Cambria Math" w:cs="Arial"/>
            <w:color w:val="000000"/>
            <w:sz w:val="24"/>
            <w:szCs w:val="24"/>
          </w:rPr>
          <m:t>AOM</m:t>
        </m:r>
      </m:oMath>
      <w:r w:rsidR="00421B32" w:rsidRPr="00A942F7">
        <w:rPr>
          <w:rFonts w:ascii="Bookman Old Style" w:hAnsi="Bookman Old Style" w:cs="Arial"/>
          <w:b/>
          <w:color w:val="000000"/>
          <w:sz w:val="24"/>
          <w:szCs w:val="24"/>
        </w:rPr>
        <w:t xml:space="preserve"> de inversión existente, </w:t>
      </w:r>
      <m:oMath>
        <m:sSub>
          <m:sSubPr>
            <m:ctrlPr>
              <w:rPr>
                <w:rFonts w:ascii="Cambria Math" w:hAnsi="Cambria Math" w:cs="Arial"/>
                <w:b/>
                <w:color w:val="000000"/>
                <w:sz w:val="24"/>
                <w:szCs w:val="24"/>
              </w:rPr>
            </m:ctrlPr>
          </m:sSubPr>
          <m:e>
            <m:r>
              <m:rPr>
                <m:sty m:val="bi"/>
              </m:rPr>
              <w:rPr>
                <w:rFonts w:ascii="Cambria Math" w:hAnsi="Cambria Math" w:cs="Arial"/>
                <w:color w:val="000000"/>
                <w:sz w:val="24"/>
                <w:szCs w:val="24"/>
              </w:rPr>
              <m:t>IE</m:t>
            </m:r>
          </m:e>
          <m:sub>
            <m:r>
              <m:rPr>
                <m:sty m:val="bi"/>
              </m:rPr>
              <w:rPr>
                <w:rFonts w:ascii="Cambria Math" w:hAnsi="Cambria Math" w:cs="Arial"/>
                <w:color w:val="000000"/>
                <w:sz w:val="24"/>
                <w:szCs w:val="24"/>
              </w:rPr>
              <m:t>t</m:t>
            </m:r>
          </m:sub>
        </m:sSub>
      </m:oMath>
      <w:r w:rsidR="00421B32" w:rsidRPr="00A942F7">
        <w:rPr>
          <w:rFonts w:ascii="Bookman Old Style" w:hAnsi="Bookman Old Style" w:cs="Arial"/>
          <w:b/>
          <w:color w:val="000000"/>
          <w:sz w:val="24"/>
          <w:szCs w:val="24"/>
        </w:rPr>
        <w:t>.</w:t>
      </w:r>
      <w:r w:rsidR="00421B32" w:rsidRPr="00421B32">
        <w:rPr>
          <w:rFonts w:ascii="Bookman Old Style" w:hAnsi="Bookman Old Style" w:cs="Arial"/>
          <w:bCs/>
          <w:color w:val="000000"/>
          <w:sz w:val="24"/>
          <w:szCs w:val="24"/>
        </w:rPr>
        <w:t xml:space="preserve"> </w:t>
      </w:r>
      <w:r w:rsidR="00A70B33">
        <w:rPr>
          <w:rFonts w:ascii="Bookman Old Style" w:hAnsi="Bookman Old Style" w:cs="Arial"/>
          <w:bCs/>
          <w:color w:val="000000"/>
          <w:sz w:val="24"/>
          <w:szCs w:val="24"/>
        </w:rPr>
        <w:t xml:space="preserve">Si para la empresa de transporte de gas natural hay mérito para incorporarle una remuneración de cubrimiento por deuda en dólares, conforme a las disposiciones del numeral 18.7 del </w:t>
      </w:r>
      <w:r w:rsidR="00DB35A9">
        <w:rPr>
          <w:rFonts w:ascii="Bookman Old Style" w:hAnsi="Bookman Old Style" w:cs="Arial"/>
          <w:bCs/>
          <w:color w:val="000000"/>
          <w:sz w:val="24"/>
          <w:szCs w:val="24"/>
        </w:rPr>
        <w:t>A</w:t>
      </w:r>
      <w:r w:rsidR="00A70B33">
        <w:rPr>
          <w:rFonts w:ascii="Bookman Old Style" w:hAnsi="Bookman Old Style" w:cs="Arial"/>
          <w:bCs/>
          <w:color w:val="000000"/>
          <w:sz w:val="24"/>
          <w:szCs w:val="24"/>
        </w:rPr>
        <w:t>rtículo 18 de la presente resolución</w:t>
      </w:r>
      <w:r w:rsidR="00FE6B62">
        <w:rPr>
          <w:rFonts w:ascii="Bookman Old Style" w:hAnsi="Bookman Old Style" w:cs="Arial"/>
          <w:bCs/>
          <w:color w:val="000000"/>
          <w:sz w:val="24"/>
          <w:szCs w:val="24"/>
        </w:rPr>
        <w:t>, p</w:t>
      </w:r>
      <w:r w:rsidR="00421B32" w:rsidRPr="00421B32">
        <w:rPr>
          <w:rFonts w:ascii="Bookman Old Style" w:hAnsi="Bookman Old Style" w:cs="Arial"/>
          <w:bCs/>
          <w:color w:val="000000"/>
          <w:sz w:val="24"/>
          <w:szCs w:val="24"/>
        </w:rPr>
        <w:t xml:space="preserve">ara el cálculo de los cargos fijos que remuneran los gastos de </w:t>
      </w:r>
      <m:oMath>
        <m:r>
          <w:rPr>
            <w:rFonts w:ascii="Cambria Math" w:hAnsi="Cambria Math" w:cs="Arial"/>
            <w:color w:val="000000"/>
            <w:sz w:val="24"/>
            <w:szCs w:val="24"/>
          </w:rPr>
          <m:t>AOM</m:t>
        </m:r>
      </m:oMath>
      <w:r w:rsidR="00421B32" w:rsidRPr="00421B32">
        <w:rPr>
          <w:rFonts w:ascii="Bookman Old Style" w:hAnsi="Bookman Old Style" w:cs="Arial"/>
          <w:bCs/>
          <w:color w:val="000000"/>
          <w:sz w:val="24"/>
          <w:szCs w:val="24"/>
        </w:rPr>
        <w:t xml:space="preserve"> de inversión existente, se aplicará la siguiente expresión:</w:t>
      </w:r>
      <w:bookmarkEnd w:id="9"/>
      <w:r w:rsidR="00421B32" w:rsidRPr="00421B32">
        <w:rPr>
          <w:rFonts w:ascii="Bookman Old Style" w:hAnsi="Bookman Old Style" w:cs="Arial"/>
          <w:bCs/>
          <w:color w:val="000000"/>
          <w:sz w:val="24"/>
          <w:szCs w:val="24"/>
        </w:rPr>
        <w:t xml:space="preserve"> </w:t>
      </w:r>
    </w:p>
    <w:p w14:paraId="6C59ADC3" w14:textId="77777777" w:rsidR="00421B32" w:rsidRPr="004416CB" w:rsidRDefault="00421B32" w:rsidP="00421B32">
      <w:pPr>
        <w:pStyle w:val="Textoindependiente"/>
        <w:jc w:val="both"/>
        <w:rPr>
          <w:rFonts w:ascii="Bookman Old Style" w:hAnsi="Bookman Old Style"/>
          <w:b w:val="0"/>
          <w:color w:val="000000"/>
          <w:lang w:val="es-ES_tradnl"/>
        </w:rPr>
      </w:pPr>
    </w:p>
    <w:p w14:paraId="476C0E98" w14:textId="1EFBC49C" w:rsidR="00421B32" w:rsidRPr="00CF0F13" w:rsidRDefault="00000000" w:rsidP="00421B32">
      <w:pPr>
        <w:rPr>
          <w:rFonts w:ascii="Bookman Old Style" w:hAnsi="Bookman Old Style"/>
          <w:sz w:val="20"/>
          <w:szCs w:val="20"/>
          <w:lang w:val="es-ES_tradnl"/>
        </w:rPr>
      </w:pPr>
      <m:oMathPara>
        <m:oMath>
          <m:sSubSup>
            <m:sSubSupPr>
              <m:ctrlPr>
                <w:rPr>
                  <w:rFonts w:ascii="Cambria Math" w:hAnsi="Cambria Math"/>
                  <w:i/>
                  <w:sz w:val="20"/>
                  <w:szCs w:val="20"/>
                </w:rPr>
              </m:ctrlPr>
            </m:sSubSupPr>
            <m:e>
              <m:r>
                <w:rPr>
                  <w:rFonts w:ascii="Cambria Math" w:hAnsi="Cambria Math"/>
                  <w:sz w:val="20"/>
                  <w:szCs w:val="20"/>
                </w:rPr>
                <m:t>CFAOM</m:t>
              </m:r>
            </m:e>
            <m:sub>
              <m:r>
                <w:rPr>
                  <w:rFonts w:ascii="Cambria Math" w:hAnsi="Cambria Math"/>
                  <w:sz w:val="20"/>
                  <w:szCs w:val="20"/>
                </w:rPr>
                <m:t>t</m:t>
              </m:r>
            </m:sub>
            <m:sup>
              <m:r>
                <w:rPr>
                  <w:rFonts w:ascii="Cambria Math" w:hAnsi="Cambria Math"/>
                  <w:sz w:val="20"/>
                  <w:szCs w:val="20"/>
                </w:rPr>
                <m:t>I</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PN</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IAC</m:t>
                      </m:r>
                    </m:sub>
                  </m:sSub>
                </m:sub>
              </m:sSub>
            </m:sup>
          </m:sSubSup>
          <m:r>
            <m:rPr>
              <m:sty m:val="p"/>
            </m:rPr>
            <w:rPr>
              <w:rFonts w:ascii="Cambria Math" w:hAnsi="Cambria Math"/>
              <w:sz w:val="20"/>
              <w:szCs w:val="20"/>
              <w:lang w:val="en-US"/>
            </w:rPr>
            <m:t>=</m:t>
          </m:r>
          <m:f>
            <m:fPr>
              <m:ctrlPr>
                <w:rPr>
                  <w:rFonts w:ascii="Cambria Math" w:hAnsi="Cambria Math"/>
                  <w:sz w:val="20"/>
                  <w:szCs w:val="20"/>
                  <w:lang w:val="en-US"/>
                </w:rPr>
              </m:ctrlPr>
            </m:fPr>
            <m:num>
              <m:r>
                <w:rPr>
                  <w:rFonts w:ascii="Cambria Math" w:hAnsi="Cambria Math"/>
                  <w:sz w:val="20"/>
                  <w:szCs w:val="20"/>
                  <w:lang w:val="en-US"/>
                </w:rPr>
                <m:t>VP</m:t>
              </m:r>
              <m:d>
                <m:dPr>
                  <m:ctrlPr>
                    <w:rPr>
                      <w:rFonts w:ascii="Cambria Math" w:hAnsi="Cambria Math"/>
                      <w:sz w:val="20"/>
                      <w:szCs w:val="20"/>
                      <w:lang w:val="en-US"/>
                    </w:rPr>
                  </m:ctrlPr>
                </m:dPr>
                <m:e>
                  <m:sSubSup>
                    <m:sSubSupPr>
                      <m:ctrlPr>
                        <w:rPr>
                          <w:rFonts w:ascii="Cambria Math" w:hAnsi="Cambria Math"/>
                          <w:sz w:val="20"/>
                          <w:szCs w:val="20"/>
                          <w:lang w:val="en-US"/>
                        </w:rPr>
                      </m:ctrlPr>
                    </m:sSubSupPr>
                    <m:e>
                      <m:r>
                        <w:rPr>
                          <w:rFonts w:ascii="Cambria Math" w:hAnsi="Cambria Math"/>
                          <w:sz w:val="20"/>
                          <w:szCs w:val="20"/>
                          <w:lang w:val="en-US"/>
                        </w:rPr>
                        <m:t>AOM</m:t>
                      </m:r>
                    </m:e>
                    <m:sub>
                      <m:r>
                        <w:rPr>
                          <w:rFonts w:ascii="Cambria Math" w:hAnsi="Cambria Math"/>
                          <w:sz w:val="20"/>
                          <w:szCs w:val="20"/>
                          <w:lang w:val="en-US"/>
                        </w:rPr>
                        <m:t>t</m:t>
                      </m:r>
                    </m:sub>
                    <m:sup>
                      <m:r>
                        <w:rPr>
                          <w:rFonts w:ascii="Cambria Math" w:hAnsi="Cambria Math"/>
                          <w:sz w:val="20"/>
                          <w:szCs w:val="20"/>
                          <w:lang w:val="en-US"/>
                        </w:rPr>
                        <m:t>IE</m:t>
                      </m:r>
                    </m:sup>
                  </m:sSubSup>
                  <m:r>
                    <w:rPr>
                      <w:rFonts w:ascii="Cambria Math" w:hAnsi="Cambria Math"/>
                      <w:sz w:val="20"/>
                      <w:szCs w:val="20"/>
                      <w:lang w:val="en-US"/>
                    </w:rPr>
                    <m:t>+</m:t>
                  </m:r>
                  <m:sSubSup>
                    <m:sSubSupPr>
                      <m:ctrlPr>
                        <w:rPr>
                          <w:rFonts w:ascii="Cambria Math" w:hAnsi="Cambria Math"/>
                          <w:sz w:val="20"/>
                          <w:szCs w:val="20"/>
                          <w:lang w:val="en-US"/>
                        </w:rPr>
                      </m:ctrlPr>
                    </m:sSubSupPr>
                    <m:e>
                      <m:r>
                        <w:rPr>
                          <w:rFonts w:ascii="Cambria Math" w:hAnsi="Cambria Math"/>
                          <w:sz w:val="20"/>
                          <w:szCs w:val="20"/>
                          <w:lang w:val="en-US"/>
                        </w:rPr>
                        <m:t>AOM</m:t>
                      </m:r>
                    </m:e>
                    <m:sub>
                      <m:r>
                        <w:rPr>
                          <w:rFonts w:ascii="Cambria Math" w:hAnsi="Cambria Math"/>
                          <w:sz w:val="20"/>
                          <w:szCs w:val="20"/>
                          <w:lang w:val="en-US"/>
                        </w:rPr>
                        <m:t>II,t</m:t>
                      </m:r>
                    </m:sub>
                    <m:sup>
                      <m:r>
                        <w:rPr>
                          <w:rFonts w:ascii="Cambria Math" w:hAnsi="Cambria Math"/>
                          <w:sz w:val="20"/>
                          <w:szCs w:val="20"/>
                          <w:lang w:val="en-US"/>
                        </w:rPr>
                        <m:t>PNI</m:t>
                      </m:r>
                    </m:sup>
                  </m:sSubSup>
                  <m:r>
                    <w:rPr>
                      <w:rFonts w:ascii="Cambria Math" w:hAnsi="Cambria Math"/>
                      <w:sz w:val="20"/>
                      <w:szCs w:val="20"/>
                      <w:lang w:val="en-US"/>
                    </w:rPr>
                    <m:t>+</m:t>
                  </m:r>
                  <m:sSubSup>
                    <m:sSubSupPr>
                      <m:ctrlPr>
                        <w:rPr>
                          <w:rFonts w:ascii="Cambria Math" w:hAnsi="Cambria Math"/>
                          <w:sz w:val="20"/>
                          <w:szCs w:val="20"/>
                          <w:lang w:val="en-US"/>
                        </w:rPr>
                      </m:ctrlPr>
                    </m:sSubSupPr>
                    <m:e>
                      <m:r>
                        <w:rPr>
                          <w:rFonts w:ascii="Cambria Math" w:hAnsi="Cambria Math"/>
                          <w:sz w:val="20"/>
                          <w:szCs w:val="20"/>
                          <w:lang w:val="en-US"/>
                        </w:rPr>
                        <m:t>AOM</m:t>
                      </m:r>
                    </m:e>
                    <m:sub>
                      <m:r>
                        <w:rPr>
                          <w:rFonts w:ascii="Cambria Math" w:hAnsi="Cambria Math"/>
                          <w:sz w:val="20"/>
                          <w:szCs w:val="20"/>
                          <w:lang w:val="en-US"/>
                        </w:rPr>
                        <m:t>t</m:t>
                      </m:r>
                    </m:sub>
                    <m:sup>
                      <m:r>
                        <w:rPr>
                          <w:rFonts w:ascii="Cambria Math" w:hAnsi="Cambria Math"/>
                          <w:sz w:val="20"/>
                          <w:szCs w:val="20"/>
                          <w:lang w:val="en-US"/>
                        </w:rPr>
                        <m:t>IAC</m:t>
                      </m:r>
                    </m:sup>
                  </m:sSubSup>
                  <m:r>
                    <m:rPr>
                      <m:sty m:val="p"/>
                    </m:rPr>
                    <w:rPr>
                      <w:rFonts w:ascii="Cambria Math" w:hAnsi="Cambria Math"/>
                      <w:sz w:val="20"/>
                      <w:szCs w:val="20"/>
                      <w:lang w:val="en-US"/>
                    </w:rPr>
                    <m:t>,</m:t>
                  </m:r>
                  <m:r>
                    <w:rPr>
                      <w:rFonts w:ascii="Cambria Math" w:hAnsi="Cambria Math"/>
                      <w:sz w:val="20"/>
                      <w:szCs w:val="20"/>
                      <w:lang w:val="en-US"/>
                    </w:rPr>
                    <m:t>Tkc</m:t>
                  </m:r>
                </m:e>
              </m:d>
            </m:num>
            <m:den>
              <m:r>
                <w:rPr>
                  <w:rFonts w:ascii="Cambria Math" w:hAnsi="Cambria Math"/>
                  <w:sz w:val="20"/>
                  <w:szCs w:val="20"/>
                </w:rPr>
                <m:t>VP</m:t>
              </m:r>
              <m:d>
                <m:dPr>
                  <m:ctrlPr>
                    <w:rPr>
                      <w:rFonts w:ascii="Cambria Math" w:hAnsi="Cambria Math"/>
                      <w:sz w:val="20"/>
                      <w:szCs w:val="20"/>
                    </w:rPr>
                  </m:ctrlPr>
                </m:dPr>
                <m:e>
                  <m:sSubSup>
                    <m:sSubSupPr>
                      <m:ctrlPr>
                        <w:rPr>
                          <w:rFonts w:ascii="Cambria Math" w:hAnsi="Cambria Math" w:cs="Arial"/>
                          <w:color w:val="000000"/>
                          <w:sz w:val="20"/>
                          <w:szCs w:val="20"/>
                        </w:rPr>
                      </m:ctrlPr>
                    </m:sSubSupPr>
                    <m:e>
                      <m:sSubSup>
                        <m:sSubSupPr>
                          <m:ctrlPr>
                            <w:rPr>
                              <w:rFonts w:ascii="Cambria Math" w:hAnsi="Cambria Math"/>
                              <w:sz w:val="20"/>
                              <w:szCs w:val="20"/>
                            </w:rPr>
                          </m:ctrlPr>
                        </m:sSubSupPr>
                        <m:e>
                          <m:r>
                            <w:rPr>
                              <w:rFonts w:ascii="Cambria Math" w:hAnsi="Cambria Math"/>
                              <w:sz w:val="20"/>
                              <w:szCs w:val="20"/>
                            </w:rPr>
                            <m:t>DEC</m:t>
                          </m:r>
                        </m:e>
                        <m:sub>
                          <m:r>
                            <w:rPr>
                              <w:rFonts w:ascii="Cambria Math" w:hAnsi="Cambria Math"/>
                              <w:sz w:val="20"/>
                              <w:szCs w:val="20"/>
                            </w:rPr>
                            <m:t>t</m:t>
                          </m:r>
                        </m:sub>
                        <m:sup>
                          <m:r>
                            <w:rPr>
                              <w:rFonts w:ascii="Cambria Math" w:hAnsi="Cambria Math"/>
                              <w:sz w:val="20"/>
                              <w:szCs w:val="20"/>
                            </w:rPr>
                            <m:t>a</m:t>
                          </m:r>
                        </m:sup>
                      </m:sSubSup>
                      <m:r>
                        <m:rPr>
                          <m:sty m:val="p"/>
                        </m:rPr>
                        <w:rPr>
                          <w:rFonts w:ascii="Cambria Math" w:hAnsi="Cambria Math" w:cs="Arial"/>
                          <w:color w:val="000000"/>
                          <w:sz w:val="20"/>
                          <w:szCs w:val="20"/>
                        </w:rPr>
                        <m:t>+</m:t>
                      </m:r>
                      <m:sSubSup>
                        <m:sSubSupPr>
                          <m:ctrlPr>
                            <w:rPr>
                              <w:rFonts w:ascii="Cambria Math" w:hAnsi="Cambria Math"/>
                              <w:i/>
                              <w:sz w:val="20"/>
                              <w:szCs w:val="20"/>
                              <w:lang w:val="en-US"/>
                            </w:rPr>
                          </m:ctrlPr>
                        </m:sSubSupPr>
                        <m:e>
                          <m:r>
                            <w:rPr>
                              <w:rFonts w:ascii="Cambria Math" w:hAnsi="Cambria Math"/>
                              <w:sz w:val="20"/>
                              <w:szCs w:val="20"/>
                              <w:lang w:val="en-US"/>
                            </w:rPr>
                            <m:t>DEC</m:t>
                          </m:r>
                        </m:e>
                        <m:sub>
                          <m:r>
                            <w:rPr>
                              <w:rFonts w:ascii="Cambria Math" w:hAnsi="Cambria Math"/>
                              <w:sz w:val="20"/>
                              <w:szCs w:val="20"/>
                              <w:lang w:val="en-US"/>
                            </w:rPr>
                            <m:t>t</m:t>
                          </m:r>
                        </m:sub>
                        <m:sup>
                          <m:r>
                            <w:rPr>
                              <w:rFonts w:ascii="Cambria Math" w:hAnsi="Cambria Math"/>
                              <w:sz w:val="20"/>
                              <w:szCs w:val="20"/>
                              <w:lang w:val="en-US"/>
                            </w:rPr>
                            <m:t>PN</m:t>
                          </m:r>
                          <m:sSub>
                            <m:sSubPr>
                              <m:ctrlPr>
                                <w:rPr>
                                  <w:rFonts w:ascii="Cambria Math" w:hAnsi="Cambria Math"/>
                                  <w:i/>
                                  <w:sz w:val="20"/>
                                  <w:szCs w:val="20"/>
                                  <w:lang w:val="es-ES"/>
                                </w:rPr>
                              </m:ctrlPr>
                            </m:sSubPr>
                            <m:e>
                              <m:r>
                                <w:rPr>
                                  <w:rFonts w:ascii="Cambria Math" w:hAnsi="Cambria Math"/>
                                  <w:sz w:val="20"/>
                                  <w:szCs w:val="20"/>
                                  <w:lang w:val="en-US"/>
                                </w:rPr>
                                <m:t>I</m:t>
                              </m:r>
                              <m:ctrlPr>
                                <w:rPr>
                                  <w:rFonts w:ascii="Cambria Math" w:hAnsi="Cambria Math"/>
                                  <w:i/>
                                  <w:sz w:val="20"/>
                                  <w:szCs w:val="20"/>
                                  <w:lang w:val="en-US"/>
                                </w:rPr>
                              </m:ctrlPr>
                            </m:e>
                            <m:sub>
                              <m:r>
                                <w:rPr>
                                  <w:rFonts w:ascii="Cambria Math" w:hAnsi="Cambria Math"/>
                                  <w:sz w:val="20"/>
                                  <w:szCs w:val="20"/>
                                  <w:lang w:val="en-US"/>
                                </w:rPr>
                                <m:t>II</m:t>
                              </m:r>
                            </m:sub>
                          </m:sSub>
                        </m:sup>
                      </m:sSubSup>
                      <m:r>
                        <m:rPr>
                          <m:sty m:val="p"/>
                        </m:rPr>
                        <w:rPr>
                          <w:rFonts w:ascii="Cambria Math" w:hAnsi="Cambria Math" w:cs="Arial"/>
                          <w:color w:val="000000"/>
                          <w:sz w:val="20"/>
                          <w:szCs w:val="20"/>
                        </w:rPr>
                        <m:t>+DEC</m:t>
                      </m:r>
                    </m:e>
                    <m:sub>
                      <m:r>
                        <m:rPr>
                          <m:sty m:val="p"/>
                        </m:rPr>
                        <w:rPr>
                          <w:rFonts w:ascii="Cambria Math" w:hAnsi="Cambria Math" w:cs="Arial"/>
                          <w:color w:val="000000"/>
                          <w:sz w:val="20"/>
                          <w:szCs w:val="20"/>
                        </w:rPr>
                        <m:t>t</m:t>
                      </m:r>
                    </m:sub>
                    <m:sup>
                      <m:r>
                        <m:rPr>
                          <m:sty m:val="p"/>
                        </m:rPr>
                        <w:rPr>
                          <w:rFonts w:ascii="Cambria Math" w:hAnsi="Cambria Math" w:cs="Arial"/>
                          <w:color w:val="000000"/>
                          <w:sz w:val="20"/>
                          <w:szCs w:val="20"/>
                        </w:rPr>
                        <m:t>IAC</m:t>
                      </m:r>
                    </m:sup>
                  </m:sSubSup>
                  <m:r>
                    <m:rPr>
                      <m:sty m:val="p"/>
                    </m:rPr>
                    <w:rPr>
                      <w:rFonts w:ascii="Cambria Math" w:hAnsi="Cambria Math"/>
                      <w:sz w:val="20"/>
                      <w:szCs w:val="20"/>
                    </w:rPr>
                    <m:t>,</m:t>
                  </m:r>
                  <m:r>
                    <w:rPr>
                      <w:rFonts w:ascii="Cambria Math" w:hAnsi="Cambria Math"/>
                      <w:sz w:val="20"/>
                      <w:szCs w:val="20"/>
                    </w:rPr>
                    <m:t>Tkc</m:t>
                  </m:r>
                </m:e>
              </m:d>
            </m:den>
          </m:f>
          <m:r>
            <m:rPr>
              <m:sty m:val="p"/>
            </m:rPr>
            <w:rPr>
              <w:rFonts w:ascii="Cambria Math" w:hAnsi="Cambria Math"/>
              <w:sz w:val="20"/>
              <w:szCs w:val="20"/>
              <w:lang w:val="en-US"/>
            </w:rPr>
            <m:t>+</m:t>
          </m:r>
          <m:r>
            <w:rPr>
              <w:rFonts w:ascii="Cambria Math" w:hAnsi="Cambria Math"/>
              <w:sz w:val="20"/>
              <w:szCs w:val="20"/>
              <w:lang w:val="en-US"/>
            </w:rPr>
            <m:t>CUSD</m:t>
          </m:r>
        </m:oMath>
      </m:oMathPara>
    </w:p>
    <w:p w14:paraId="1778C7B2" w14:textId="77777777" w:rsidR="00421B32" w:rsidRDefault="00421B32" w:rsidP="00421B32">
      <w:pPr>
        <w:jc w:val="both"/>
        <w:rPr>
          <w:rFonts w:ascii="Bookman Old Style" w:hAnsi="Bookman Old Style"/>
        </w:rPr>
      </w:pPr>
    </w:p>
    <w:p w14:paraId="5EF3FA23" w14:textId="0817D920" w:rsidR="007A6DC0" w:rsidRDefault="004720A8" w:rsidP="004720A8">
      <w:pPr>
        <w:pStyle w:val="Estilo3"/>
        <w:widowControl w:val="0"/>
        <w:tabs>
          <w:tab w:val="left" w:pos="0"/>
        </w:tabs>
        <w:ind w:left="284"/>
        <w:jc w:val="both"/>
        <w:rPr>
          <w:rFonts w:ascii="Bookman Old Style" w:hAnsi="Bookman Old Style" w:cs="Arial"/>
          <w:bCs/>
          <w:color w:val="000000"/>
          <w:sz w:val="24"/>
          <w:szCs w:val="24"/>
        </w:rPr>
      </w:pPr>
      <w:r>
        <w:rPr>
          <w:rFonts w:ascii="Bookman Old Style" w:hAnsi="Bookman Old Style" w:cs="Arial"/>
          <w:bCs/>
          <w:color w:val="000000"/>
          <w:sz w:val="24"/>
          <w:szCs w:val="24"/>
        </w:rPr>
        <w:t>Si</w:t>
      </w:r>
      <w:r w:rsidRPr="004720A8">
        <w:rPr>
          <w:rFonts w:ascii="Bookman Old Style" w:hAnsi="Bookman Old Style" w:cs="Arial"/>
          <w:bCs/>
          <w:color w:val="000000"/>
          <w:sz w:val="24"/>
          <w:szCs w:val="24"/>
        </w:rPr>
        <w:t xml:space="preserve"> para la empresa de transporte de gas natural</w:t>
      </w:r>
      <w:r>
        <w:rPr>
          <w:rFonts w:ascii="Bookman Old Style" w:hAnsi="Bookman Old Style" w:cs="Arial"/>
          <w:bCs/>
          <w:color w:val="000000"/>
          <w:sz w:val="24"/>
          <w:szCs w:val="24"/>
        </w:rPr>
        <w:t xml:space="preserve"> </w:t>
      </w:r>
      <w:r w:rsidRPr="004720A8">
        <w:rPr>
          <w:rFonts w:ascii="Bookman Old Style" w:hAnsi="Bookman Old Style" w:cs="Arial"/>
          <w:bCs/>
          <w:color w:val="000000"/>
          <w:sz w:val="24"/>
          <w:szCs w:val="24"/>
          <w:u w:val="single"/>
        </w:rPr>
        <w:t>NO</w:t>
      </w:r>
      <w:r w:rsidRPr="004720A8">
        <w:rPr>
          <w:rFonts w:ascii="Bookman Old Style" w:hAnsi="Bookman Old Style" w:cs="Arial"/>
          <w:bCs/>
          <w:color w:val="000000"/>
          <w:sz w:val="24"/>
          <w:szCs w:val="24"/>
        </w:rPr>
        <w:t xml:space="preserve"> hay mérito para incorporarle una remuneración de cubrimiento por deuda en dólares, conforme a las disposiciones del numeral 18.7 del </w:t>
      </w:r>
      <w:r w:rsidR="006F6326">
        <w:rPr>
          <w:rFonts w:ascii="Bookman Old Style" w:hAnsi="Bookman Old Style" w:cs="Arial"/>
          <w:bCs/>
          <w:color w:val="000000"/>
          <w:sz w:val="24"/>
          <w:szCs w:val="24"/>
        </w:rPr>
        <w:t>A</w:t>
      </w:r>
      <w:r w:rsidRPr="004720A8">
        <w:rPr>
          <w:rFonts w:ascii="Bookman Old Style" w:hAnsi="Bookman Old Style" w:cs="Arial"/>
          <w:bCs/>
          <w:color w:val="000000"/>
          <w:sz w:val="24"/>
          <w:szCs w:val="24"/>
        </w:rPr>
        <w:t>rtículo 18 de la presente resolución</w:t>
      </w:r>
      <w:r w:rsidR="00846BA0">
        <w:rPr>
          <w:rFonts w:ascii="Bookman Old Style" w:hAnsi="Bookman Old Style" w:cs="Arial"/>
          <w:bCs/>
          <w:color w:val="000000"/>
          <w:sz w:val="24"/>
          <w:szCs w:val="24"/>
        </w:rPr>
        <w:t>, p</w:t>
      </w:r>
      <w:r w:rsidR="00846BA0" w:rsidRPr="00421B32">
        <w:rPr>
          <w:rFonts w:ascii="Bookman Old Style" w:hAnsi="Bookman Old Style" w:cs="Arial"/>
          <w:bCs/>
          <w:color w:val="000000"/>
          <w:sz w:val="24"/>
          <w:szCs w:val="24"/>
        </w:rPr>
        <w:t xml:space="preserve">ara el cálculo de los cargos fijos que remuneran los gastos de </w:t>
      </w:r>
      <m:oMath>
        <m:r>
          <w:rPr>
            <w:rFonts w:ascii="Cambria Math" w:hAnsi="Cambria Math" w:cs="Arial"/>
            <w:color w:val="000000"/>
            <w:sz w:val="24"/>
            <w:szCs w:val="24"/>
          </w:rPr>
          <m:t>AOM</m:t>
        </m:r>
      </m:oMath>
      <w:r w:rsidR="00846BA0" w:rsidRPr="00421B32">
        <w:rPr>
          <w:rFonts w:ascii="Bookman Old Style" w:hAnsi="Bookman Old Style" w:cs="Arial"/>
          <w:bCs/>
          <w:color w:val="000000"/>
          <w:sz w:val="24"/>
          <w:szCs w:val="24"/>
        </w:rPr>
        <w:t xml:space="preserve"> de inversión existente, se aplicará la siguiente expresión</w:t>
      </w:r>
    </w:p>
    <w:p w14:paraId="1BDC8A66" w14:textId="77777777" w:rsidR="00444901" w:rsidRDefault="00444901" w:rsidP="004720A8">
      <w:pPr>
        <w:pStyle w:val="Estilo3"/>
        <w:widowControl w:val="0"/>
        <w:tabs>
          <w:tab w:val="left" w:pos="0"/>
        </w:tabs>
        <w:ind w:left="284"/>
        <w:jc w:val="both"/>
        <w:rPr>
          <w:rFonts w:ascii="Bookman Old Style" w:hAnsi="Bookman Old Style" w:cs="Arial"/>
          <w:bCs/>
          <w:color w:val="000000"/>
          <w:sz w:val="24"/>
          <w:szCs w:val="24"/>
        </w:rPr>
      </w:pPr>
    </w:p>
    <w:p w14:paraId="43176094" w14:textId="5B58196D" w:rsidR="00444901" w:rsidRPr="004720A8" w:rsidRDefault="00000000" w:rsidP="004720A8">
      <w:pPr>
        <w:pStyle w:val="Estilo3"/>
        <w:widowControl w:val="0"/>
        <w:tabs>
          <w:tab w:val="left" w:pos="0"/>
        </w:tabs>
        <w:ind w:left="284"/>
        <w:jc w:val="both"/>
        <w:rPr>
          <w:rFonts w:ascii="Bookman Old Style" w:hAnsi="Bookman Old Style" w:cs="Arial"/>
          <w:bCs/>
          <w:color w:val="000000"/>
          <w:sz w:val="24"/>
          <w:szCs w:val="24"/>
        </w:rPr>
      </w:pPr>
      <m:oMathPara>
        <m:oMath>
          <m:sSubSup>
            <m:sSubSupPr>
              <m:ctrlPr>
                <w:rPr>
                  <w:rFonts w:ascii="Cambria Math" w:hAnsi="Cambria Math"/>
                  <w:i/>
                  <w:sz w:val="20"/>
                </w:rPr>
              </m:ctrlPr>
            </m:sSubSupPr>
            <m:e>
              <m:r>
                <w:rPr>
                  <w:rFonts w:ascii="Cambria Math" w:hAnsi="Cambria Math"/>
                  <w:sz w:val="20"/>
                </w:rPr>
                <m:t>CFAOM</m:t>
              </m:r>
            </m:e>
            <m:sub>
              <m:r>
                <w:rPr>
                  <w:rFonts w:ascii="Cambria Math" w:hAnsi="Cambria Math"/>
                  <w:sz w:val="20"/>
                </w:rPr>
                <m:t>t</m:t>
              </m:r>
            </m:sub>
            <m:sup>
              <m:r>
                <w:rPr>
                  <w:rFonts w:ascii="Cambria Math" w:hAnsi="Cambria Math"/>
                  <w:sz w:val="20"/>
                </w:rPr>
                <m:t>I</m:t>
              </m:r>
              <m:sSub>
                <m:sSubPr>
                  <m:ctrlPr>
                    <w:rPr>
                      <w:rFonts w:ascii="Cambria Math" w:hAnsi="Cambria Math"/>
                      <w:i/>
                      <w:sz w:val="20"/>
                    </w:rPr>
                  </m:ctrlPr>
                </m:sSubPr>
                <m:e>
                  <m:r>
                    <w:rPr>
                      <w:rFonts w:ascii="Cambria Math" w:hAnsi="Cambria Math"/>
                      <w:sz w:val="20"/>
                    </w:rPr>
                    <m:t>E</m:t>
                  </m:r>
                </m:e>
                <m:sub>
                  <m:r>
                    <w:rPr>
                      <w:rFonts w:ascii="Cambria Math" w:hAnsi="Cambria Math"/>
                      <w:sz w:val="20"/>
                    </w:rPr>
                    <m:t>PN</m:t>
                  </m:r>
                  <m:sSub>
                    <m:sSubPr>
                      <m:ctrlPr>
                        <w:rPr>
                          <w:rFonts w:ascii="Cambria Math" w:hAnsi="Cambria Math"/>
                          <w:i/>
                          <w:sz w:val="20"/>
                        </w:rPr>
                      </m:ctrlPr>
                    </m:sSubPr>
                    <m:e>
                      <m:r>
                        <w:rPr>
                          <w:rFonts w:ascii="Cambria Math" w:hAnsi="Cambria Math"/>
                          <w:sz w:val="20"/>
                        </w:rPr>
                        <m:t>I</m:t>
                      </m:r>
                    </m:e>
                    <m:sub>
                      <m:r>
                        <w:rPr>
                          <w:rFonts w:ascii="Cambria Math" w:hAnsi="Cambria Math"/>
                          <w:sz w:val="20"/>
                        </w:rPr>
                        <m:t>IAC</m:t>
                      </m:r>
                    </m:sub>
                  </m:sSub>
                </m:sub>
              </m:sSub>
            </m:sup>
          </m:sSubSup>
          <m:r>
            <m:rPr>
              <m:sty m:val="p"/>
            </m:rPr>
            <w:rPr>
              <w:rFonts w:ascii="Cambria Math" w:hAnsi="Cambria Math"/>
              <w:sz w:val="20"/>
              <w:lang w:val="en-US"/>
            </w:rPr>
            <m:t>=</m:t>
          </m:r>
          <m:f>
            <m:fPr>
              <m:ctrlPr>
                <w:rPr>
                  <w:rFonts w:ascii="Cambria Math" w:hAnsi="Cambria Math"/>
                  <w:sz w:val="20"/>
                  <w:lang w:val="en-US"/>
                </w:rPr>
              </m:ctrlPr>
            </m:fPr>
            <m:num>
              <m:r>
                <w:rPr>
                  <w:rFonts w:ascii="Cambria Math" w:hAnsi="Cambria Math"/>
                  <w:sz w:val="20"/>
                  <w:lang w:val="en-US"/>
                </w:rPr>
                <m:t>VP</m:t>
              </m:r>
              <m:d>
                <m:dPr>
                  <m:ctrlPr>
                    <w:rPr>
                      <w:rFonts w:ascii="Cambria Math" w:hAnsi="Cambria Math"/>
                      <w:sz w:val="20"/>
                      <w:lang w:val="en-US"/>
                    </w:rPr>
                  </m:ctrlPr>
                </m:dPr>
                <m:e>
                  <m:sSubSup>
                    <m:sSubSupPr>
                      <m:ctrlPr>
                        <w:rPr>
                          <w:rFonts w:ascii="Cambria Math" w:hAnsi="Cambria Math"/>
                          <w:sz w:val="20"/>
                          <w:lang w:val="en-US"/>
                        </w:rPr>
                      </m:ctrlPr>
                    </m:sSubSupPr>
                    <m:e>
                      <m:r>
                        <w:rPr>
                          <w:rFonts w:ascii="Cambria Math" w:hAnsi="Cambria Math"/>
                          <w:sz w:val="20"/>
                          <w:lang w:val="en-US"/>
                        </w:rPr>
                        <m:t>AOM</m:t>
                      </m:r>
                    </m:e>
                    <m:sub>
                      <m:r>
                        <w:rPr>
                          <w:rFonts w:ascii="Cambria Math" w:hAnsi="Cambria Math"/>
                          <w:sz w:val="20"/>
                          <w:lang w:val="en-US"/>
                        </w:rPr>
                        <m:t>t</m:t>
                      </m:r>
                    </m:sub>
                    <m:sup>
                      <m:r>
                        <w:rPr>
                          <w:rFonts w:ascii="Cambria Math" w:hAnsi="Cambria Math"/>
                          <w:sz w:val="20"/>
                          <w:lang w:val="en-US"/>
                        </w:rPr>
                        <m:t>IE</m:t>
                      </m:r>
                    </m:sup>
                  </m:sSubSup>
                  <m:r>
                    <w:rPr>
                      <w:rFonts w:ascii="Cambria Math" w:hAnsi="Cambria Math"/>
                      <w:sz w:val="20"/>
                      <w:lang w:val="en-US"/>
                    </w:rPr>
                    <m:t>+</m:t>
                  </m:r>
                  <m:sSubSup>
                    <m:sSubSupPr>
                      <m:ctrlPr>
                        <w:rPr>
                          <w:rFonts w:ascii="Cambria Math" w:hAnsi="Cambria Math"/>
                          <w:sz w:val="20"/>
                          <w:lang w:val="en-US"/>
                        </w:rPr>
                      </m:ctrlPr>
                    </m:sSubSupPr>
                    <m:e>
                      <m:r>
                        <w:rPr>
                          <w:rFonts w:ascii="Cambria Math" w:hAnsi="Cambria Math"/>
                          <w:sz w:val="20"/>
                          <w:lang w:val="en-US"/>
                        </w:rPr>
                        <m:t>AOM</m:t>
                      </m:r>
                    </m:e>
                    <m:sub>
                      <m:r>
                        <w:rPr>
                          <w:rFonts w:ascii="Cambria Math" w:hAnsi="Cambria Math"/>
                          <w:sz w:val="20"/>
                          <w:lang w:val="en-US"/>
                        </w:rPr>
                        <m:t>II,t</m:t>
                      </m:r>
                    </m:sub>
                    <m:sup>
                      <m:r>
                        <w:rPr>
                          <w:rFonts w:ascii="Cambria Math" w:hAnsi="Cambria Math"/>
                          <w:sz w:val="20"/>
                          <w:lang w:val="en-US"/>
                        </w:rPr>
                        <m:t>PNI</m:t>
                      </m:r>
                    </m:sup>
                  </m:sSubSup>
                  <m:r>
                    <w:rPr>
                      <w:rFonts w:ascii="Cambria Math" w:hAnsi="Cambria Math"/>
                      <w:sz w:val="20"/>
                      <w:lang w:val="en-US"/>
                    </w:rPr>
                    <m:t>+</m:t>
                  </m:r>
                  <m:sSubSup>
                    <m:sSubSupPr>
                      <m:ctrlPr>
                        <w:rPr>
                          <w:rFonts w:ascii="Cambria Math" w:hAnsi="Cambria Math"/>
                          <w:sz w:val="20"/>
                          <w:lang w:val="en-US"/>
                        </w:rPr>
                      </m:ctrlPr>
                    </m:sSubSupPr>
                    <m:e>
                      <m:r>
                        <w:rPr>
                          <w:rFonts w:ascii="Cambria Math" w:hAnsi="Cambria Math"/>
                          <w:sz w:val="20"/>
                          <w:lang w:val="en-US"/>
                        </w:rPr>
                        <m:t>AOM</m:t>
                      </m:r>
                    </m:e>
                    <m:sub>
                      <m:r>
                        <w:rPr>
                          <w:rFonts w:ascii="Cambria Math" w:hAnsi="Cambria Math"/>
                          <w:sz w:val="20"/>
                          <w:lang w:val="en-US"/>
                        </w:rPr>
                        <m:t>t</m:t>
                      </m:r>
                    </m:sub>
                    <m:sup>
                      <m:r>
                        <w:rPr>
                          <w:rFonts w:ascii="Cambria Math" w:hAnsi="Cambria Math"/>
                          <w:sz w:val="20"/>
                          <w:lang w:val="en-US"/>
                        </w:rPr>
                        <m:t>IAC</m:t>
                      </m:r>
                    </m:sup>
                  </m:sSubSup>
                  <m:r>
                    <m:rPr>
                      <m:sty m:val="p"/>
                    </m:rPr>
                    <w:rPr>
                      <w:rFonts w:ascii="Cambria Math" w:hAnsi="Cambria Math"/>
                      <w:sz w:val="20"/>
                      <w:lang w:val="en-US"/>
                    </w:rPr>
                    <m:t>,</m:t>
                  </m:r>
                  <m:r>
                    <w:rPr>
                      <w:rFonts w:ascii="Cambria Math" w:hAnsi="Cambria Math"/>
                      <w:sz w:val="20"/>
                      <w:lang w:val="en-US"/>
                    </w:rPr>
                    <m:t>Tkc</m:t>
                  </m:r>
                </m:e>
              </m:d>
            </m:num>
            <m:den>
              <m:r>
                <w:rPr>
                  <w:rFonts w:ascii="Cambria Math" w:hAnsi="Cambria Math"/>
                  <w:sz w:val="20"/>
                </w:rPr>
                <m:t>VP</m:t>
              </m:r>
              <m:d>
                <m:dPr>
                  <m:ctrlPr>
                    <w:rPr>
                      <w:rFonts w:ascii="Cambria Math" w:hAnsi="Cambria Math"/>
                      <w:sz w:val="20"/>
                    </w:rPr>
                  </m:ctrlPr>
                </m:dPr>
                <m:e>
                  <m:sSubSup>
                    <m:sSubSupPr>
                      <m:ctrlPr>
                        <w:rPr>
                          <w:rFonts w:ascii="Cambria Math" w:hAnsi="Cambria Math" w:cs="Arial"/>
                          <w:color w:val="000000"/>
                          <w:sz w:val="20"/>
                        </w:rPr>
                      </m:ctrlPr>
                    </m:sSubSupPr>
                    <m:e>
                      <m:sSubSup>
                        <m:sSubSupPr>
                          <m:ctrlPr>
                            <w:rPr>
                              <w:rFonts w:ascii="Cambria Math" w:hAnsi="Cambria Math"/>
                              <w:sz w:val="20"/>
                            </w:rPr>
                          </m:ctrlPr>
                        </m:sSubSupPr>
                        <m:e>
                          <m:r>
                            <w:rPr>
                              <w:rFonts w:ascii="Cambria Math" w:hAnsi="Cambria Math"/>
                              <w:sz w:val="20"/>
                            </w:rPr>
                            <m:t>DEC</m:t>
                          </m:r>
                        </m:e>
                        <m:sub>
                          <m:r>
                            <w:rPr>
                              <w:rFonts w:ascii="Cambria Math" w:hAnsi="Cambria Math"/>
                              <w:sz w:val="20"/>
                            </w:rPr>
                            <m:t>t</m:t>
                          </m:r>
                        </m:sub>
                        <m:sup>
                          <m:r>
                            <w:rPr>
                              <w:rFonts w:ascii="Cambria Math" w:hAnsi="Cambria Math"/>
                              <w:sz w:val="20"/>
                            </w:rPr>
                            <m:t>a</m:t>
                          </m:r>
                        </m:sup>
                      </m:sSubSup>
                      <m:r>
                        <m:rPr>
                          <m:sty m:val="p"/>
                        </m:rPr>
                        <w:rPr>
                          <w:rFonts w:ascii="Cambria Math" w:hAnsi="Cambria Math" w:cs="Arial"/>
                          <w:color w:val="000000"/>
                          <w:sz w:val="20"/>
                        </w:rPr>
                        <m:t>+</m:t>
                      </m:r>
                      <m:sSubSup>
                        <m:sSubSupPr>
                          <m:ctrlPr>
                            <w:rPr>
                              <w:rFonts w:ascii="Cambria Math" w:hAnsi="Cambria Math"/>
                              <w:i/>
                              <w:sz w:val="20"/>
                              <w:lang w:val="en-US"/>
                            </w:rPr>
                          </m:ctrlPr>
                        </m:sSubSupPr>
                        <m:e>
                          <m:r>
                            <w:rPr>
                              <w:rFonts w:ascii="Cambria Math" w:hAnsi="Cambria Math"/>
                              <w:sz w:val="20"/>
                              <w:lang w:val="en-US"/>
                            </w:rPr>
                            <m:t>DEC</m:t>
                          </m:r>
                        </m:e>
                        <m:sub>
                          <m:r>
                            <w:rPr>
                              <w:rFonts w:ascii="Cambria Math" w:hAnsi="Cambria Math"/>
                              <w:sz w:val="20"/>
                              <w:lang w:val="en-US"/>
                            </w:rPr>
                            <m:t>t</m:t>
                          </m:r>
                        </m:sub>
                        <m:sup>
                          <m:r>
                            <w:rPr>
                              <w:rFonts w:ascii="Cambria Math" w:hAnsi="Cambria Math"/>
                              <w:sz w:val="20"/>
                              <w:lang w:val="en-US"/>
                            </w:rPr>
                            <m:t>PN</m:t>
                          </m:r>
                          <m:sSub>
                            <m:sSubPr>
                              <m:ctrlPr>
                                <w:rPr>
                                  <w:rFonts w:ascii="Cambria Math" w:hAnsi="Cambria Math"/>
                                  <w:i/>
                                  <w:sz w:val="20"/>
                                  <w:lang w:val="es-ES"/>
                                </w:rPr>
                              </m:ctrlPr>
                            </m:sSubPr>
                            <m:e>
                              <m:r>
                                <w:rPr>
                                  <w:rFonts w:ascii="Cambria Math" w:hAnsi="Cambria Math"/>
                                  <w:sz w:val="20"/>
                                  <w:lang w:val="en-US"/>
                                </w:rPr>
                                <m:t>I</m:t>
                              </m:r>
                              <m:ctrlPr>
                                <w:rPr>
                                  <w:rFonts w:ascii="Cambria Math" w:hAnsi="Cambria Math"/>
                                  <w:i/>
                                  <w:sz w:val="20"/>
                                  <w:lang w:val="en-US"/>
                                </w:rPr>
                              </m:ctrlPr>
                            </m:e>
                            <m:sub>
                              <m:r>
                                <w:rPr>
                                  <w:rFonts w:ascii="Cambria Math" w:hAnsi="Cambria Math"/>
                                  <w:sz w:val="20"/>
                                  <w:lang w:val="en-US"/>
                                </w:rPr>
                                <m:t>II</m:t>
                              </m:r>
                            </m:sub>
                          </m:sSub>
                        </m:sup>
                      </m:sSubSup>
                      <m:r>
                        <m:rPr>
                          <m:sty m:val="p"/>
                        </m:rPr>
                        <w:rPr>
                          <w:rFonts w:ascii="Cambria Math" w:hAnsi="Cambria Math" w:cs="Arial"/>
                          <w:color w:val="000000"/>
                          <w:sz w:val="20"/>
                        </w:rPr>
                        <m:t>+DEC</m:t>
                      </m:r>
                    </m:e>
                    <m:sub>
                      <m:r>
                        <m:rPr>
                          <m:sty m:val="p"/>
                        </m:rPr>
                        <w:rPr>
                          <w:rFonts w:ascii="Cambria Math" w:hAnsi="Cambria Math" w:cs="Arial"/>
                          <w:color w:val="000000"/>
                          <w:sz w:val="20"/>
                        </w:rPr>
                        <m:t>t</m:t>
                      </m:r>
                    </m:sub>
                    <m:sup>
                      <m:r>
                        <m:rPr>
                          <m:sty m:val="p"/>
                        </m:rPr>
                        <w:rPr>
                          <w:rFonts w:ascii="Cambria Math" w:hAnsi="Cambria Math" w:cs="Arial"/>
                          <w:color w:val="000000"/>
                          <w:sz w:val="20"/>
                        </w:rPr>
                        <m:t>IAC</m:t>
                      </m:r>
                    </m:sup>
                  </m:sSubSup>
                  <m:r>
                    <m:rPr>
                      <m:sty m:val="p"/>
                    </m:rPr>
                    <w:rPr>
                      <w:rFonts w:ascii="Cambria Math" w:hAnsi="Cambria Math"/>
                      <w:sz w:val="20"/>
                    </w:rPr>
                    <m:t>,</m:t>
                  </m:r>
                  <m:r>
                    <w:rPr>
                      <w:rFonts w:ascii="Cambria Math" w:hAnsi="Cambria Math"/>
                      <w:sz w:val="20"/>
                    </w:rPr>
                    <m:t>Tkc</m:t>
                  </m:r>
                </m:e>
              </m:d>
            </m:den>
          </m:f>
        </m:oMath>
      </m:oMathPara>
    </w:p>
    <w:p w14:paraId="47EFC388" w14:textId="77777777" w:rsidR="007A6DC0" w:rsidRDefault="007A6DC0" w:rsidP="00421B32">
      <w:pPr>
        <w:jc w:val="both"/>
        <w:rPr>
          <w:rFonts w:ascii="Bookman Old Style" w:hAnsi="Bookman Old Style"/>
        </w:rPr>
      </w:pPr>
    </w:p>
    <w:p w14:paraId="1EF326B2" w14:textId="5ECF336A" w:rsidR="00444901" w:rsidRDefault="00444901" w:rsidP="00444901">
      <w:pPr>
        <w:pStyle w:val="Estilo3"/>
        <w:widowControl w:val="0"/>
        <w:tabs>
          <w:tab w:val="left" w:pos="0"/>
        </w:tabs>
        <w:ind w:left="284"/>
        <w:jc w:val="both"/>
        <w:rPr>
          <w:rFonts w:ascii="Bookman Old Style" w:hAnsi="Bookman Old Style" w:cs="Arial"/>
          <w:bCs/>
          <w:color w:val="000000"/>
          <w:sz w:val="24"/>
          <w:szCs w:val="24"/>
        </w:rPr>
      </w:pPr>
      <w:r>
        <w:rPr>
          <w:rFonts w:ascii="Bookman Old Style" w:hAnsi="Bookman Old Style" w:cs="Arial"/>
          <w:bCs/>
          <w:color w:val="000000"/>
          <w:sz w:val="24"/>
          <w:szCs w:val="24"/>
        </w:rPr>
        <w:t>S</w:t>
      </w:r>
      <w:r w:rsidR="00530F19">
        <w:rPr>
          <w:rFonts w:ascii="Bookman Old Style" w:hAnsi="Bookman Old Style" w:cs="Arial"/>
          <w:bCs/>
          <w:color w:val="000000"/>
          <w:sz w:val="24"/>
          <w:szCs w:val="24"/>
        </w:rPr>
        <w:t xml:space="preserve">i una empresa de transporte de gas natural </w:t>
      </w:r>
      <w:r w:rsidR="00F8759E">
        <w:rPr>
          <w:rFonts w:ascii="Bookman Old Style" w:hAnsi="Bookman Old Style" w:cs="Arial"/>
          <w:bCs/>
          <w:color w:val="000000"/>
          <w:sz w:val="24"/>
          <w:szCs w:val="24"/>
        </w:rPr>
        <w:t>fue objeto de</w:t>
      </w:r>
      <w:r w:rsidR="00C10F0A">
        <w:rPr>
          <w:rFonts w:ascii="Bookman Old Style" w:hAnsi="Bookman Old Style" w:cs="Arial"/>
          <w:bCs/>
          <w:color w:val="000000"/>
          <w:sz w:val="24"/>
          <w:szCs w:val="24"/>
        </w:rPr>
        <w:t xml:space="preserve">l cubrimiento </w:t>
      </w:r>
      <w:r w:rsidR="00286CA5">
        <w:rPr>
          <w:rFonts w:ascii="Bookman Old Style" w:hAnsi="Bookman Old Style" w:cs="Arial"/>
          <w:bCs/>
          <w:color w:val="000000"/>
          <w:sz w:val="24"/>
          <w:szCs w:val="24"/>
        </w:rPr>
        <w:t>por deuda en dólares</w:t>
      </w:r>
      <w:r w:rsidR="00CF209D">
        <w:rPr>
          <w:rFonts w:ascii="Bookman Old Style" w:hAnsi="Bookman Old Style" w:cs="Arial"/>
          <w:bCs/>
          <w:color w:val="000000"/>
          <w:sz w:val="24"/>
          <w:szCs w:val="24"/>
        </w:rPr>
        <w:t xml:space="preserve">, </w:t>
      </w:r>
      <w:r w:rsidR="00C4481A">
        <w:rPr>
          <w:rFonts w:ascii="Bookman Old Style" w:hAnsi="Bookman Old Style" w:cs="Arial"/>
          <w:bCs/>
          <w:color w:val="000000"/>
          <w:sz w:val="24"/>
          <w:szCs w:val="24"/>
        </w:rPr>
        <w:t xml:space="preserve">para </w:t>
      </w:r>
      <w:r w:rsidR="00717EE1">
        <w:rPr>
          <w:rFonts w:ascii="Bookman Old Style" w:hAnsi="Bookman Old Style" w:cs="Arial"/>
          <w:bCs/>
          <w:color w:val="000000"/>
          <w:sz w:val="24"/>
          <w:szCs w:val="24"/>
        </w:rPr>
        <w:t xml:space="preserve">la prestación del servicio </w:t>
      </w:r>
      <w:r w:rsidR="00D042C7">
        <w:rPr>
          <w:rFonts w:ascii="Bookman Old Style" w:hAnsi="Bookman Old Style" w:cs="Arial"/>
          <w:bCs/>
          <w:color w:val="000000"/>
          <w:sz w:val="24"/>
          <w:szCs w:val="24"/>
        </w:rPr>
        <w:t xml:space="preserve">en el mes 61 </w:t>
      </w:r>
      <w:r w:rsidR="00B91FC3">
        <w:rPr>
          <w:rFonts w:ascii="Bookman Old Style" w:hAnsi="Bookman Old Style" w:cs="Arial"/>
          <w:bCs/>
          <w:color w:val="000000"/>
          <w:sz w:val="24"/>
          <w:szCs w:val="24"/>
        </w:rPr>
        <w:t>se aplicará un</w:t>
      </w:r>
      <w:r w:rsidR="001D0449">
        <w:rPr>
          <w:rFonts w:ascii="Bookman Old Style" w:hAnsi="Bookman Old Style" w:cs="Arial"/>
          <w:bCs/>
          <w:color w:val="000000"/>
          <w:sz w:val="24"/>
          <w:szCs w:val="24"/>
        </w:rPr>
        <w:t xml:space="preserve"> cargo</w:t>
      </w:r>
      <w:r w:rsidR="00C80639">
        <w:rPr>
          <w:rFonts w:ascii="Bookman Old Style" w:hAnsi="Bookman Old Style" w:cs="Arial"/>
          <w:bCs/>
          <w:color w:val="000000"/>
          <w:sz w:val="24"/>
          <w:szCs w:val="24"/>
        </w:rPr>
        <w:t xml:space="preserve"> </w:t>
      </w:r>
      <m:oMath>
        <m:sSubSup>
          <m:sSubSupPr>
            <m:ctrlPr>
              <w:rPr>
                <w:rFonts w:ascii="Cambria Math" w:hAnsi="Cambria Math"/>
                <w:i/>
                <w:sz w:val="20"/>
              </w:rPr>
            </m:ctrlPr>
          </m:sSubSupPr>
          <m:e>
            <m:r>
              <w:rPr>
                <w:rFonts w:ascii="Cambria Math" w:hAnsi="Cambria Math"/>
                <w:sz w:val="20"/>
              </w:rPr>
              <m:t>CFAOM</m:t>
            </m:r>
          </m:e>
          <m:sub>
            <m:r>
              <w:rPr>
                <w:rFonts w:ascii="Cambria Math" w:hAnsi="Cambria Math"/>
                <w:sz w:val="20"/>
              </w:rPr>
              <m:t>t</m:t>
            </m:r>
          </m:sub>
          <m:sup>
            <m:r>
              <w:rPr>
                <w:rFonts w:ascii="Cambria Math" w:hAnsi="Cambria Math"/>
                <w:sz w:val="20"/>
              </w:rPr>
              <m:t>I</m:t>
            </m:r>
            <m:sSub>
              <m:sSubPr>
                <m:ctrlPr>
                  <w:rPr>
                    <w:rFonts w:ascii="Cambria Math" w:hAnsi="Cambria Math"/>
                    <w:i/>
                    <w:sz w:val="20"/>
                  </w:rPr>
                </m:ctrlPr>
              </m:sSubPr>
              <m:e>
                <m:r>
                  <w:rPr>
                    <w:rFonts w:ascii="Cambria Math" w:hAnsi="Cambria Math"/>
                    <w:sz w:val="20"/>
                  </w:rPr>
                  <m:t>E</m:t>
                </m:r>
              </m:e>
              <m:sub>
                <m:r>
                  <w:rPr>
                    <w:rFonts w:ascii="Cambria Math" w:hAnsi="Cambria Math"/>
                    <w:sz w:val="20"/>
                  </w:rPr>
                  <m:t>PN</m:t>
                </m:r>
                <m:sSub>
                  <m:sSubPr>
                    <m:ctrlPr>
                      <w:rPr>
                        <w:rFonts w:ascii="Cambria Math" w:hAnsi="Cambria Math"/>
                        <w:i/>
                        <w:sz w:val="20"/>
                      </w:rPr>
                    </m:ctrlPr>
                  </m:sSubPr>
                  <m:e>
                    <m:r>
                      <w:rPr>
                        <w:rFonts w:ascii="Cambria Math" w:hAnsi="Cambria Math"/>
                        <w:sz w:val="20"/>
                      </w:rPr>
                      <m:t>I</m:t>
                    </m:r>
                  </m:e>
                  <m:sub>
                    <m:r>
                      <w:rPr>
                        <w:rFonts w:ascii="Cambria Math" w:hAnsi="Cambria Math"/>
                        <w:sz w:val="20"/>
                      </w:rPr>
                      <m:t>IAC</m:t>
                    </m:r>
                  </m:sub>
                </m:sSub>
              </m:sub>
            </m:sSub>
          </m:sup>
        </m:sSubSup>
      </m:oMath>
      <w:r w:rsidR="001D0449">
        <w:rPr>
          <w:rFonts w:ascii="Bookman Old Style" w:hAnsi="Bookman Old Style" w:cs="Arial"/>
          <w:sz w:val="20"/>
        </w:rPr>
        <w:t xml:space="preserve"> </w:t>
      </w:r>
      <w:r w:rsidR="001D0449">
        <w:rPr>
          <w:rFonts w:ascii="Bookman Old Style" w:hAnsi="Bookman Old Style" w:cs="Arial"/>
          <w:sz w:val="24"/>
          <w:szCs w:val="24"/>
        </w:rPr>
        <w:t>conforme a la expresión anterior. Es decir</w:t>
      </w:r>
      <w:r w:rsidR="00E4609A">
        <w:rPr>
          <w:rFonts w:ascii="Bookman Old Style" w:hAnsi="Bookman Old Style" w:cs="Arial"/>
          <w:sz w:val="24"/>
          <w:szCs w:val="24"/>
        </w:rPr>
        <w:t xml:space="preserve">, sin la componente </w:t>
      </w:r>
      <m:oMath>
        <m:r>
          <w:rPr>
            <w:rFonts w:ascii="Cambria Math" w:hAnsi="Cambria Math"/>
            <w:sz w:val="24"/>
            <w:szCs w:val="24"/>
            <w:lang w:val="es-CO"/>
          </w:rPr>
          <m:t>CUSD</m:t>
        </m:r>
      </m:oMath>
      <w:r w:rsidR="00E4609A">
        <w:rPr>
          <w:rFonts w:ascii="Bookman Old Style" w:hAnsi="Bookman Old Style" w:cs="Arial"/>
          <w:iCs/>
          <w:sz w:val="24"/>
          <w:szCs w:val="24"/>
          <w:lang w:val="es-CO"/>
        </w:rPr>
        <w:t>.</w:t>
      </w:r>
      <w:r w:rsidR="00C80639">
        <w:rPr>
          <w:rFonts w:ascii="Bookman Old Style" w:hAnsi="Bookman Old Style" w:cs="Arial"/>
          <w:sz w:val="20"/>
        </w:rPr>
        <w:t xml:space="preserve"> </w:t>
      </w:r>
    </w:p>
    <w:p w14:paraId="36042F52" w14:textId="77777777" w:rsidR="00444901" w:rsidRPr="00444901" w:rsidRDefault="00444901" w:rsidP="00421B32">
      <w:pPr>
        <w:jc w:val="both"/>
        <w:rPr>
          <w:rFonts w:ascii="Bookman Old Style" w:hAnsi="Bookman Old Style"/>
          <w:lang w:val="es-ES_tradnl"/>
        </w:rPr>
      </w:pPr>
    </w:p>
    <w:p w14:paraId="0F91AF6A" w14:textId="77777777" w:rsidR="00421B32" w:rsidRPr="004416CB" w:rsidRDefault="00421B32" w:rsidP="00444901">
      <w:pPr>
        <w:ind w:firstLine="284"/>
        <w:jc w:val="both"/>
        <w:rPr>
          <w:rFonts w:ascii="Bookman Old Style" w:hAnsi="Bookman Old Style"/>
        </w:rPr>
      </w:pPr>
      <w:r w:rsidRPr="004416CB">
        <w:rPr>
          <w:rFonts w:ascii="Bookman Old Style" w:hAnsi="Bookman Old Style"/>
        </w:rPr>
        <w:t>Donde:</w:t>
      </w:r>
    </w:p>
    <w:p w14:paraId="63032E60" w14:textId="77777777" w:rsidR="00421B32" w:rsidRDefault="00421B32" w:rsidP="00421B32">
      <w:pPr>
        <w:jc w:val="both"/>
        <w:rPr>
          <w:rFonts w:ascii="Bookman Old Style" w:hAnsi="Bookman Old Style"/>
        </w:rPr>
      </w:pPr>
    </w:p>
    <w:tbl>
      <w:tblPr>
        <w:tblStyle w:val="Tablaconcuadrcula"/>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661"/>
      </w:tblGrid>
      <w:tr w:rsidR="001F0587" w:rsidRPr="00AD4CA6" w14:paraId="2BAE8587" w14:textId="77777777" w:rsidTr="0015448D">
        <w:tc>
          <w:tcPr>
            <w:tcW w:w="2127" w:type="dxa"/>
          </w:tcPr>
          <w:p w14:paraId="58290B8A" w14:textId="4117243C" w:rsidR="001F0587" w:rsidRPr="00AD4CA6" w:rsidRDefault="00000000" w:rsidP="00CF5BBA">
            <w:pPr>
              <w:jc w:val="both"/>
              <w:rPr>
                <w:rFonts w:ascii="Bookman Old Style" w:hAnsi="Bookman Old Style"/>
              </w:rPr>
            </w:pPr>
            <m:oMath>
              <m:sSubSup>
                <m:sSubSupPr>
                  <m:ctrlPr>
                    <w:rPr>
                      <w:rFonts w:ascii="Cambria Math" w:hAnsi="Cambria Math"/>
                      <w:i/>
                    </w:rPr>
                  </m:ctrlPr>
                </m:sSubSupPr>
                <m:e>
                  <m:r>
                    <w:rPr>
                      <w:rFonts w:ascii="Cambria Math" w:hAnsi="Cambria Math"/>
                    </w:rPr>
                    <m:t>CFAOM</m:t>
                  </m:r>
                </m:e>
                <m:sub>
                  <m:r>
                    <w:rPr>
                      <w:rFonts w:ascii="Cambria Math" w:hAnsi="Cambria Math"/>
                    </w:rPr>
                    <m:t>t</m:t>
                  </m:r>
                </m:sub>
                <m:sup>
                  <m:r>
                    <w:rPr>
                      <w:rFonts w:ascii="Cambria Math" w:hAnsi="Cambria Math"/>
                    </w:rPr>
                    <m:t>IE_PNI_IAC</m:t>
                  </m:r>
                </m:sup>
              </m:sSubSup>
            </m:oMath>
            <w:r w:rsidR="00EF1CF4" w:rsidRPr="00AD4CA6">
              <w:rPr>
                <w:rFonts w:ascii="Bookman Old Style" w:hAnsi="Bookman Old Style"/>
              </w:rPr>
              <w:t>:</w:t>
            </w:r>
          </w:p>
        </w:tc>
        <w:tc>
          <w:tcPr>
            <w:tcW w:w="6661" w:type="dxa"/>
          </w:tcPr>
          <w:p w14:paraId="35BEFB1C" w14:textId="77777777" w:rsidR="001F0587" w:rsidRPr="00AD4CA6" w:rsidRDefault="00EF1CF4" w:rsidP="00421B32">
            <w:pPr>
              <w:jc w:val="both"/>
              <w:rPr>
                <w:rFonts w:ascii="Bookman Old Style" w:hAnsi="Bookman Old Style"/>
                <w:color w:val="000000"/>
              </w:rPr>
            </w:pPr>
            <w:r w:rsidRPr="00AD4CA6">
              <w:rPr>
                <w:rFonts w:ascii="Bookman Old Style" w:hAnsi="Bookman Old Style"/>
                <w:color w:val="000000"/>
              </w:rPr>
              <w:t xml:space="preserve">Cargos fijos que remuneran los gastos de </w:t>
            </w:r>
            <m:oMath>
              <m:r>
                <w:rPr>
                  <w:rFonts w:ascii="Cambria Math" w:hAnsi="Cambria Math"/>
                  <w:color w:val="000000"/>
                </w:rPr>
                <m:t>AOM</m:t>
              </m:r>
            </m:oMath>
            <w:r w:rsidRPr="00AD4CA6">
              <w:rPr>
                <w:rFonts w:ascii="Bookman Old Style" w:hAnsi="Bookman Old Style"/>
                <w:color w:val="000000"/>
              </w:rPr>
              <w:t xml:space="preserve"> de inversión existente, PNI e IAC para el período tarifario </w:t>
            </w:r>
            <m:oMath>
              <m:r>
                <w:rPr>
                  <w:rFonts w:ascii="Cambria Math" w:hAnsi="Cambria Math"/>
                  <w:color w:val="000000"/>
                </w:rPr>
                <w:lastRenderedPageBreak/>
                <m:t>t</m:t>
              </m:r>
            </m:oMath>
            <w:r w:rsidRPr="00AD4CA6">
              <w:rPr>
                <w:rFonts w:ascii="Bookman Old Style" w:hAnsi="Bookman Old Style"/>
                <w:color w:val="000000"/>
              </w:rPr>
              <w:t xml:space="preserve">, expresados en pesos colombianos de la </w:t>
            </w:r>
            <w:r w:rsidRPr="00AD4CA6">
              <w:rPr>
                <w:rFonts w:ascii="Bookman Old Style" w:hAnsi="Bookman Old Style"/>
              </w:rPr>
              <w:t>fecha base</w:t>
            </w:r>
            <w:r w:rsidRPr="00AD4CA6">
              <w:rPr>
                <w:rFonts w:ascii="Bookman Old Style" w:hAnsi="Bookman Old Style"/>
                <w:color w:val="000000"/>
              </w:rPr>
              <w:t xml:space="preserve"> por </w:t>
            </w:r>
            <w:proofErr w:type="spellStart"/>
            <w:r w:rsidRPr="00AD4CA6">
              <w:rPr>
                <w:rFonts w:ascii="Bookman Old Style" w:hAnsi="Bookman Old Style"/>
                <w:color w:val="000000"/>
              </w:rPr>
              <w:t>kpcd</w:t>
            </w:r>
            <w:proofErr w:type="spellEnd"/>
            <w:r w:rsidRPr="00AD4CA6">
              <w:rPr>
                <w:rFonts w:ascii="Bookman Old Style" w:hAnsi="Bookman Old Style"/>
                <w:color w:val="000000"/>
              </w:rPr>
              <w:t>-año.</w:t>
            </w:r>
          </w:p>
          <w:p w14:paraId="39AC8D1E" w14:textId="5219FBF7" w:rsidR="004423EB" w:rsidRPr="00AD4CA6" w:rsidRDefault="004423EB" w:rsidP="00421B32">
            <w:pPr>
              <w:jc w:val="both"/>
              <w:rPr>
                <w:rFonts w:ascii="Bookman Old Style" w:hAnsi="Bookman Old Style"/>
              </w:rPr>
            </w:pPr>
          </w:p>
        </w:tc>
      </w:tr>
      <w:tr w:rsidR="001F0587" w:rsidRPr="00AD4CA6" w14:paraId="73A1AB3D" w14:textId="77777777" w:rsidTr="0015448D">
        <w:tc>
          <w:tcPr>
            <w:tcW w:w="2127" w:type="dxa"/>
          </w:tcPr>
          <w:p w14:paraId="61454669" w14:textId="22ED18F4" w:rsidR="001F0587" w:rsidRPr="00AD4CA6" w:rsidRDefault="00000000" w:rsidP="00CF5BBA">
            <w:pPr>
              <w:jc w:val="both"/>
              <w:rPr>
                <w:rFonts w:ascii="Bookman Old Style" w:hAnsi="Bookman Old Style"/>
              </w:rPr>
            </w:pPr>
            <m:oMath>
              <m:sSubSup>
                <m:sSubSupPr>
                  <m:ctrlPr>
                    <w:rPr>
                      <w:rFonts w:ascii="Cambria Math" w:hAnsi="Cambria Math" w:cs="Arial"/>
                      <w:i/>
                      <w:color w:val="000000"/>
                      <w:lang w:val="es-ES_tradnl" w:eastAsia="es-CO"/>
                    </w:rPr>
                  </m:ctrlPr>
                </m:sSubSupPr>
                <m:e>
                  <m:r>
                    <w:rPr>
                      <w:rFonts w:ascii="Cambria Math" w:hAnsi="Cambria Math" w:cs="Arial"/>
                      <w:color w:val="000000"/>
                    </w:rPr>
                    <m:t>AOM</m:t>
                  </m:r>
                </m:e>
                <m:sub>
                  <m:r>
                    <w:rPr>
                      <w:rFonts w:ascii="Cambria Math" w:hAnsi="Cambria Math" w:cs="Arial"/>
                      <w:color w:val="000000"/>
                    </w:rPr>
                    <m:t>t</m:t>
                  </m:r>
                </m:sub>
                <m:sup>
                  <m:r>
                    <w:rPr>
                      <w:rFonts w:ascii="Cambria Math" w:hAnsi="Cambria Math" w:cs="Arial"/>
                      <w:color w:val="000000"/>
                    </w:rPr>
                    <m:t>IE</m:t>
                  </m:r>
                </m:sup>
              </m:sSubSup>
              <m:r>
                <m:rPr>
                  <m:sty m:val="p"/>
                </m:rPr>
                <w:rPr>
                  <w:rFonts w:ascii="Cambria Math" w:hAnsi="Cambria Math"/>
                  <w:color w:val="000000"/>
                </w:rPr>
                <m:t xml:space="preserve"> </m:t>
              </m:r>
            </m:oMath>
            <w:r w:rsidR="00CF5BBA" w:rsidRPr="00AD4CA6">
              <w:rPr>
                <w:rFonts w:ascii="Bookman Old Style" w:hAnsi="Bookman Old Style"/>
                <w:color w:val="000000"/>
              </w:rPr>
              <w:t>:</w:t>
            </w:r>
          </w:p>
        </w:tc>
        <w:tc>
          <w:tcPr>
            <w:tcW w:w="6661" w:type="dxa"/>
          </w:tcPr>
          <w:p w14:paraId="46A1D8F2" w14:textId="77777777" w:rsidR="001F0587" w:rsidRPr="00AD4CA6" w:rsidRDefault="00EF1CF4" w:rsidP="00421B32">
            <w:pPr>
              <w:jc w:val="both"/>
              <w:rPr>
                <w:rFonts w:ascii="Bookman Old Style" w:hAnsi="Bookman Old Style"/>
                <w:color w:val="000000"/>
              </w:rPr>
            </w:pPr>
            <w:r w:rsidRPr="00AD4CA6">
              <w:rPr>
                <w:rFonts w:ascii="Bookman Old Style" w:hAnsi="Bookman Old Style"/>
                <w:color w:val="000000"/>
              </w:rPr>
              <w:t xml:space="preserve">Gastos anuales de administración, operación y mantenimiento de inversión existente de las inversiones </w:t>
            </w:r>
            <m:oMath>
              <m:sSub>
                <m:sSubPr>
                  <m:ctrlPr>
                    <w:rPr>
                      <w:rFonts w:ascii="Cambria Math" w:hAnsi="Cambria Math" w:cs="Arial"/>
                      <w:i/>
                    </w:rPr>
                  </m:ctrlPr>
                </m:sSubPr>
                <m:e>
                  <m:r>
                    <w:rPr>
                      <w:rFonts w:ascii="Cambria Math" w:hAnsi="Cambria Math" w:cs="Arial"/>
                    </w:rPr>
                    <m:t>IE</m:t>
                  </m:r>
                </m:e>
                <m:sub>
                  <m:r>
                    <w:rPr>
                      <w:rFonts w:ascii="Cambria Math" w:hAnsi="Cambria Math" w:cs="Arial"/>
                    </w:rPr>
                    <m:t>t</m:t>
                  </m:r>
                </m:sub>
              </m:sSub>
              <m:r>
                <w:rPr>
                  <w:rFonts w:ascii="Cambria Math" w:hAnsi="Cambria Math" w:cs="Arial"/>
                </w:rPr>
                <m:t xml:space="preserve">+ </m:t>
              </m:r>
              <m:sSub>
                <m:sSubPr>
                  <m:ctrlPr>
                    <w:rPr>
                      <w:rFonts w:ascii="Cambria Math" w:hAnsi="Cambria Math" w:cs="Arial"/>
                      <w:i/>
                      <w:color w:val="000000"/>
                      <w:lang w:val="es-ES_tradnl"/>
                    </w:rPr>
                  </m:ctrlPr>
                </m:sSubPr>
                <m:e>
                  <m:r>
                    <w:rPr>
                      <w:rFonts w:ascii="Cambria Math" w:hAnsi="Cambria Math" w:cs="Arial"/>
                      <w:color w:val="000000"/>
                      <w:lang w:val="es-ES_tradnl"/>
                    </w:rPr>
                    <m:t>I</m:t>
                  </m:r>
                </m:e>
                <m:sub>
                  <m:r>
                    <w:rPr>
                      <w:rFonts w:ascii="Cambria Math" w:hAnsi="Cambria Math" w:cs="Arial"/>
                      <w:color w:val="000000"/>
                      <w:lang w:val="es-ES_tradnl"/>
                    </w:rPr>
                    <m:t>t</m:t>
                  </m:r>
                </m:sub>
              </m:sSub>
              <m:r>
                <w:rPr>
                  <w:rFonts w:ascii="Cambria Math" w:hAnsi="Cambria Math" w:cs="Arial"/>
                  <w:color w:val="000000"/>
                  <w:lang w:val="es-ES_tradnl"/>
                </w:rPr>
                <m:t xml:space="preserve"> </m:t>
              </m:r>
            </m:oMath>
            <w:r w:rsidRPr="00AD4CA6">
              <w:rPr>
                <w:rFonts w:ascii="Bookman Old Style" w:hAnsi="Bookman Old Style"/>
                <w:color w:val="000000"/>
              </w:rPr>
              <w:t xml:space="preserve">para el horizonte de proyección, expresados en pesos colombianos de la </w:t>
            </w:r>
            <w:r w:rsidRPr="00AD4CA6">
              <w:rPr>
                <w:rFonts w:ascii="Bookman Old Style" w:hAnsi="Bookman Old Style"/>
              </w:rPr>
              <w:t>fecha base</w:t>
            </w:r>
            <w:r w:rsidRPr="00AD4CA6">
              <w:rPr>
                <w:rFonts w:ascii="Bookman Old Style" w:hAnsi="Bookman Old Style"/>
                <w:color w:val="000000"/>
              </w:rPr>
              <w:t>.</w:t>
            </w:r>
          </w:p>
          <w:p w14:paraId="39AB1717" w14:textId="7C90EF65" w:rsidR="001F0B35" w:rsidRPr="00AD4CA6" w:rsidRDefault="001F0B35" w:rsidP="00421B32">
            <w:pPr>
              <w:jc w:val="both"/>
              <w:rPr>
                <w:rFonts w:ascii="Bookman Old Style" w:hAnsi="Bookman Old Style"/>
              </w:rPr>
            </w:pPr>
          </w:p>
        </w:tc>
      </w:tr>
      <w:tr w:rsidR="001F0587" w:rsidRPr="00AD4CA6" w14:paraId="3B437A87" w14:textId="77777777" w:rsidTr="0015448D">
        <w:tc>
          <w:tcPr>
            <w:tcW w:w="2127" w:type="dxa"/>
          </w:tcPr>
          <w:p w14:paraId="1C3333DB" w14:textId="51B63300" w:rsidR="001F0587" w:rsidRPr="00AD4CA6" w:rsidRDefault="00000000" w:rsidP="00CF5BBA">
            <w:pPr>
              <w:jc w:val="both"/>
              <w:rPr>
                <w:rFonts w:ascii="Bookman Old Style" w:hAnsi="Bookman Old Style"/>
              </w:rPr>
            </w:pPr>
            <m:oMath>
              <m:sSubSup>
                <m:sSubSupPr>
                  <m:ctrlPr>
                    <w:rPr>
                      <w:rFonts w:ascii="Cambria Math" w:hAnsi="Cambria Math"/>
                      <w:lang w:val="en-US"/>
                    </w:rPr>
                  </m:ctrlPr>
                </m:sSubSupPr>
                <m:e>
                  <m:r>
                    <w:rPr>
                      <w:rFonts w:ascii="Cambria Math" w:hAnsi="Cambria Math"/>
                      <w:lang w:val="en-US"/>
                    </w:rPr>
                    <m:t>AOM</m:t>
                  </m:r>
                </m:e>
                <m:sub>
                  <m:r>
                    <w:rPr>
                      <w:rFonts w:ascii="Cambria Math" w:hAnsi="Cambria Math"/>
                      <w:lang w:val="en-US"/>
                    </w:rPr>
                    <m:t>II</m:t>
                  </m:r>
                  <m:r>
                    <w:rPr>
                      <w:rFonts w:ascii="Cambria Math" w:hAnsi="Cambria Math"/>
                      <w:lang w:val="es-ES"/>
                    </w:rPr>
                    <m:t>,</m:t>
                  </m:r>
                  <m:r>
                    <w:rPr>
                      <w:rFonts w:ascii="Cambria Math" w:hAnsi="Cambria Math"/>
                      <w:lang w:val="en-US"/>
                    </w:rPr>
                    <m:t>t</m:t>
                  </m:r>
                </m:sub>
                <m:sup>
                  <m:r>
                    <w:rPr>
                      <w:rFonts w:ascii="Cambria Math" w:hAnsi="Cambria Math"/>
                      <w:lang w:val="en-US"/>
                    </w:rPr>
                    <m:t>PNI</m:t>
                  </m:r>
                </m:sup>
              </m:sSubSup>
              <m:r>
                <m:rPr>
                  <m:sty m:val="p"/>
                </m:rPr>
                <w:rPr>
                  <w:rFonts w:ascii="Cambria Math" w:hAnsi="Cambria Math"/>
                  <w:color w:val="000000"/>
                </w:rPr>
                <m:t xml:space="preserve"> </m:t>
              </m:r>
            </m:oMath>
            <w:r w:rsidR="00CF5BBA" w:rsidRPr="00AD4CA6">
              <w:rPr>
                <w:rFonts w:ascii="Bookman Old Style" w:hAnsi="Bookman Old Style"/>
                <w:color w:val="000000"/>
              </w:rPr>
              <w:t>:</w:t>
            </w:r>
          </w:p>
        </w:tc>
        <w:tc>
          <w:tcPr>
            <w:tcW w:w="6661" w:type="dxa"/>
          </w:tcPr>
          <w:p w14:paraId="4CC137E9" w14:textId="77777777" w:rsidR="001F0587" w:rsidRPr="00AD4CA6" w:rsidRDefault="00C725E4" w:rsidP="00CF5BBA">
            <w:pPr>
              <w:ind w:left="-14"/>
              <w:jc w:val="both"/>
              <w:rPr>
                <w:rFonts w:ascii="Bookman Old Style" w:hAnsi="Bookman Old Style"/>
              </w:rPr>
            </w:pPr>
            <w:r w:rsidRPr="00AD4CA6">
              <w:rPr>
                <w:rFonts w:ascii="Bookman Old Style" w:hAnsi="Bookman Old Style"/>
                <w:color w:val="000000"/>
              </w:rPr>
              <w:t>Gastos anuales de administración, operación y mantenimiento de inversión existente de las inversiones</w:t>
            </w:r>
            <m:oMath>
              <m:sSubSup>
                <m:sSubSupPr>
                  <m:ctrlPr>
                    <w:rPr>
                      <w:rFonts w:ascii="Cambria Math" w:hAnsi="Cambria Math" w:cs="Arial"/>
                      <w:i/>
                      <w:color w:val="000000"/>
                    </w:rPr>
                  </m:ctrlPr>
                </m:sSubSupPr>
                <m:e>
                  <m:r>
                    <w:rPr>
                      <w:rFonts w:ascii="Cambria Math" w:hAnsi="Cambria Math" w:cs="Arial"/>
                      <w:color w:val="000000"/>
                    </w:rPr>
                    <m:t xml:space="preserve"> PNI</m:t>
                  </m:r>
                </m:e>
                <m:sub>
                  <m:r>
                    <w:rPr>
                      <w:rFonts w:ascii="Cambria Math" w:hAnsi="Cambria Math" w:cs="Arial"/>
                      <w:color w:val="000000"/>
                    </w:rPr>
                    <m:t>II,t .</m:t>
                  </m:r>
                </m:sub>
                <m:sup>
                  <m:r>
                    <w:rPr>
                      <w:rFonts w:ascii="Cambria Math" w:hAnsi="Cambria Math" w:cs="Arial"/>
                      <w:color w:val="000000"/>
                    </w:rPr>
                    <m:t>a</m:t>
                  </m:r>
                </m:sup>
              </m:sSubSup>
              <m:r>
                <w:rPr>
                  <w:rFonts w:ascii="Cambria Math" w:hAnsi="Cambria Math" w:cs="Arial"/>
                  <w:color w:val="000000"/>
                </w:rPr>
                <m:t xml:space="preserve"> </m:t>
              </m:r>
            </m:oMath>
            <w:r w:rsidRPr="00AD4CA6">
              <w:rPr>
                <w:rFonts w:ascii="Bookman Old Style" w:hAnsi="Bookman Old Style"/>
              </w:rPr>
              <w:t xml:space="preserve">Cuando la </w:t>
            </w:r>
            <m:oMath>
              <m:sSubSup>
                <m:sSubSupPr>
                  <m:ctrlPr>
                    <w:rPr>
                      <w:rFonts w:ascii="Cambria Math" w:hAnsi="Cambria Math" w:cs="Arial"/>
                      <w:i/>
                      <w:color w:val="000000"/>
                    </w:rPr>
                  </m:ctrlPr>
                </m:sSubSupPr>
                <m:e>
                  <m:r>
                    <w:rPr>
                      <w:rFonts w:ascii="Cambria Math" w:hAnsi="Cambria Math" w:cs="Arial"/>
                      <w:color w:val="000000"/>
                    </w:rPr>
                    <m:t>PNI</m:t>
                  </m:r>
                </m:e>
                <m:sub>
                  <m:r>
                    <w:rPr>
                      <w:rFonts w:ascii="Cambria Math" w:hAnsi="Cambria Math" w:cs="Arial"/>
                      <w:color w:val="000000"/>
                    </w:rPr>
                    <m:t>II,t</m:t>
                  </m:r>
                </m:sub>
                <m:sup>
                  <m:r>
                    <w:rPr>
                      <w:rFonts w:ascii="Cambria Math" w:hAnsi="Cambria Math" w:cs="Arial"/>
                      <w:color w:val="000000"/>
                    </w:rPr>
                    <m:t>a</m:t>
                  </m:r>
                </m:sup>
              </m:sSubSup>
              <m:r>
                <w:rPr>
                  <w:rFonts w:ascii="Cambria Math" w:hAnsi="Cambria Math" w:cs="Arial"/>
                  <w:color w:val="000000"/>
                </w:rPr>
                <m:t xml:space="preserve"> </m:t>
              </m:r>
            </m:oMath>
            <w:r w:rsidRPr="00AD4CA6">
              <w:rPr>
                <w:rFonts w:ascii="Bookman Old Style" w:hAnsi="Bookman Old Style"/>
              </w:rPr>
              <w:t xml:space="preserve">entre en operación, conforme a las disposiciones del </w:t>
            </w:r>
            <w:r w:rsidR="00CF5BBA" w:rsidRPr="00AD4CA6">
              <w:rPr>
                <w:rFonts w:ascii="Bookman Old Style" w:hAnsi="Bookman Old Style"/>
              </w:rPr>
              <w:t xml:space="preserve">Artículo 28 </w:t>
            </w:r>
            <w:r w:rsidRPr="00AD4CA6">
              <w:rPr>
                <w:rFonts w:ascii="Bookman Old Style" w:hAnsi="Bookman Old Style"/>
              </w:rPr>
              <w:t xml:space="preserve">se recalculará el </w:t>
            </w:r>
            <m:oMath>
              <m:sSubSup>
                <m:sSubSupPr>
                  <m:ctrlPr>
                    <w:rPr>
                      <w:rFonts w:ascii="Cambria Math" w:hAnsi="Cambria Math"/>
                      <w:i/>
                    </w:rPr>
                  </m:ctrlPr>
                </m:sSubSupPr>
                <m:e>
                  <m:r>
                    <w:rPr>
                      <w:rFonts w:ascii="Cambria Math" w:hAnsi="Cambria Math"/>
                    </w:rPr>
                    <m:t>CFAOM</m:t>
                  </m:r>
                </m:e>
                <m:sub>
                  <m:r>
                    <w:rPr>
                      <w:rFonts w:ascii="Cambria Math" w:hAnsi="Cambria Math"/>
                    </w:rPr>
                    <m:t>t</m:t>
                  </m:r>
                </m:sub>
                <m:sup>
                  <m:r>
                    <w:rPr>
                      <w:rFonts w:ascii="Cambria Math" w:hAnsi="Cambria Math"/>
                    </w:rPr>
                    <m:t>IE_PNI_IAC</m:t>
                  </m:r>
                </m:sup>
              </m:sSubSup>
            </m:oMath>
            <w:r w:rsidRPr="00AD4CA6">
              <w:rPr>
                <w:rFonts w:ascii="Bookman Old Style" w:hAnsi="Bookman Old Style"/>
              </w:rPr>
              <w:t xml:space="preserve"> teniendo en cuenta los valores de demanda para el horizonte de proyección contados desde ese año.</w:t>
            </w:r>
          </w:p>
          <w:p w14:paraId="7359133A" w14:textId="43E41E4F" w:rsidR="001F0B35" w:rsidRPr="00AD4CA6" w:rsidRDefault="001F0B35" w:rsidP="00CF5BBA">
            <w:pPr>
              <w:ind w:left="-14"/>
              <w:jc w:val="both"/>
              <w:rPr>
                <w:rFonts w:ascii="Bookman Old Style" w:hAnsi="Bookman Old Style"/>
              </w:rPr>
            </w:pPr>
          </w:p>
        </w:tc>
      </w:tr>
      <w:tr w:rsidR="001F0587" w:rsidRPr="00AD4CA6" w14:paraId="565C5840" w14:textId="77777777" w:rsidTr="0015448D">
        <w:tc>
          <w:tcPr>
            <w:tcW w:w="2127" w:type="dxa"/>
          </w:tcPr>
          <w:p w14:paraId="26C05A98" w14:textId="59A7F65E" w:rsidR="001F0587" w:rsidRPr="00AD4CA6" w:rsidRDefault="00000000" w:rsidP="00421B32">
            <w:pPr>
              <w:jc w:val="both"/>
              <w:rPr>
                <w:rFonts w:ascii="Bookman Old Style" w:hAnsi="Bookman Old Style"/>
              </w:rPr>
            </w:pPr>
            <m:oMath>
              <m:sSubSup>
                <m:sSubSupPr>
                  <m:ctrlPr>
                    <w:rPr>
                      <w:rFonts w:ascii="Cambria Math" w:hAnsi="Cambria Math"/>
                      <w:lang w:val="en-US"/>
                    </w:rPr>
                  </m:ctrlPr>
                </m:sSubSupPr>
                <m:e>
                  <m:r>
                    <w:rPr>
                      <w:rFonts w:ascii="Cambria Math" w:hAnsi="Cambria Math"/>
                      <w:lang w:val="en-US"/>
                    </w:rPr>
                    <m:t>AOM</m:t>
                  </m:r>
                </m:e>
                <m:sub>
                  <m:r>
                    <w:rPr>
                      <w:rFonts w:ascii="Cambria Math" w:hAnsi="Cambria Math"/>
                      <w:lang w:val="en-US"/>
                    </w:rPr>
                    <m:t>t</m:t>
                  </m:r>
                </m:sub>
                <m:sup>
                  <m:r>
                    <w:rPr>
                      <w:rFonts w:ascii="Cambria Math" w:hAnsi="Cambria Math"/>
                      <w:lang w:val="en-US"/>
                    </w:rPr>
                    <m:t>IAC</m:t>
                  </m:r>
                </m:sup>
              </m:sSubSup>
            </m:oMath>
            <w:r w:rsidR="007936BF" w:rsidRPr="00AD4CA6">
              <w:rPr>
                <w:rFonts w:ascii="Bookman Old Style" w:hAnsi="Bookman Old Style"/>
                <w:lang w:val="en-US"/>
              </w:rPr>
              <w:t>:</w:t>
            </w:r>
          </w:p>
        </w:tc>
        <w:tc>
          <w:tcPr>
            <w:tcW w:w="6661" w:type="dxa"/>
          </w:tcPr>
          <w:p w14:paraId="31E002EE" w14:textId="77777777" w:rsidR="001F0587" w:rsidRPr="00AD4CA6" w:rsidRDefault="00320729" w:rsidP="00421B32">
            <w:pPr>
              <w:jc w:val="both"/>
              <w:rPr>
                <w:rFonts w:ascii="Bookman Old Style" w:hAnsi="Bookman Old Style"/>
              </w:rPr>
            </w:pPr>
            <w:r w:rsidRPr="00AD4CA6">
              <w:rPr>
                <w:rFonts w:ascii="Bookman Old Style" w:hAnsi="Bookman Old Style"/>
                <w:color w:val="000000"/>
              </w:rPr>
              <w:t xml:space="preserve">Gastos anuales de administración, operación y mantenimiento de inversión existente de las inversiones </w:t>
            </w:r>
            <m:oMath>
              <m:r>
                <w:rPr>
                  <w:rFonts w:ascii="Cambria Math" w:hAnsi="Cambria Math" w:cs="Arial"/>
                  <w:color w:val="000000"/>
                  <w:lang w:val="es-ES_tradnl"/>
                </w:rPr>
                <m:t xml:space="preserve"> </m:t>
              </m:r>
              <m:sSubSup>
                <m:sSubSupPr>
                  <m:ctrlPr>
                    <w:rPr>
                      <w:rFonts w:ascii="Cambria Math" w:hAnsi="Cambria Math" w:cs="Arial"/>
                      <w:i/>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r>
                <w:rPr>
                  <w:rFonts w:ascii="Cambria Math" w:hAnsi="Cambria Math" w:cs="Arial"/>
                  <w:color w:val="000000"/>
                </w:rPr>
                <m:t xml:space="preserve">. </m:t>
              </m:r>
            </m:oMath>
            <w:r w:rsidRPr="00AD4CA6">
              <w:rPr>
                <w:rFonts w:ascii="Bookman Old Style" w:hAnsi="Bookman Old Style"/>
              </w:rPr>
              <w:t xml:space="preserve">Cuando la </w:t>
            </w:r>
            <m:oMath>
              <m:sSubSup>
                <m:sSubSupPr>
                  <m:ctrlPr>
                    <w:rPr>
                      <w:rFonts w:ascii="Cambria Math" w:hAnsi="Cambria Math" w:cs="Arial"/>
                      <w:i/>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r>
                <w:rPr>
                  <w:rFonts w:ascii="Cambria Math" w:hAnsi="Cambria Math" w:cs="Arial"/>
                  <w:color w:val="000000"/>
                </w:rPr>
                <m:t xml:space="preserve"> </m:t>
              </m:r>
            </m:oMath>
            <w:r w:rsidRPr="00AD4CA6">
              <w:rPr>
                <w:rFonts w:ascii="Bookman Old Style" w:hAnsi="Bookman Old Style"/>
              </w:rPr>
              <w:t xml:space="preserve">entre en operación, conforme a las disposiciones del Artículo 28 se recalculará el </w:t>
            </w:r>
            <m:oMath>
              <m:sSubSup>
                <m:sSubSupPr>
                  <m:ctrlPr>
                    <w:rPr>
                      <w:rFonts w:ascii="Cambria Math" w:hAnsi="Cambria Math"/>
                      <w:i/>
                    </w:rPr>
                  </m:ctrlPr>
                </m:sSubSupPr>
                <m:e>
                  <m:r>
                    <w:rPr>
                      <w:rFonts w:ascii="Cambria Math" w:hAnsi="Cambria Math"/>
                    </w:rPr>
                    <m:t>CFAOM</m:t>
                  </m:r>
                </m:e>
                <m:sub>
                  <m:r>
                    <w:rPr>
                      <w:rFonts w:ascii="Cambria Math" w:hAnsi="Cambria Math"/>
                    </w:rPr>
                    <m:t>t</m:t>
                  </m:r>
                </m:sub>
                <m:sup>
                  <m:r>
                    <w:rPr>
                      <w:rFonts w:ascii="Cambria Math" w:hAnsi="Cambria Math"/>
                    </w:rPr>
                    <m:t>IE_PNI_IAC</m:t>
                  </m:r>
                </m:sup>
              </m:sSubSup>
            </m:oMath>
            <w:r w:rsidRPr="00AD4CA6">
              <w:rPr>
                <w:rFonts w:ascii="Bookman Old Style" w:hAnsi="Bookman Old Style"/>
              </w:rPr>
              <w:t xml:space="preserve"> teniendo en cuenta los valores de demanda para el horizonte de proyección contados desde ese año.</w:t>
            </w:r>
          </w:p>
          <w:p w14:paraId="3C6052FC" w14:textId="0671ADEF" w:rsidR="001F0B35" w:rsidRPr="00AD4CA6" w:rsidRDefault="001F0B35" w:rsidP="00421B32">
            <w:pPr>
              <w:jc w:val="both"/>
              <w:rPr>
                <w:rFonts w:ascii="Bookman Old Style" w:hAnsi="Bookman Old Style"/>
              </w:rPr>
            </w:pPr>
          </w:p>
        </w:tc>
      </w:tr>
      <w:tr w:rsidR="00F8191A" w:rsidRPr="00AD4CA6" w14:paraId="78D8E173" w14:textId="77777777" w:rsidTr="0015448D">
        <w:tc>
          <w:tcPr>
            <w:tcW w:w="2127" w:type="dxa"/>
          </w:tcPr>
          <w:p w14:paraId="4B295E83" w14:textId="5058ED52" w:rsidR="00F8191A" w:rsidRPr="00AD4CA6" w:rsidRDefault="00F8191A" w:rsidP="00421B32">
            <w:pPr>
              <w:jc w:val="both"/>
              <w:rPr>
                <w:rFonts w:ascii="Bookman Old Style" w:hAnsi="Bookman Old Style"/>
                <w:lang w:val="en-US"/>
              </w:rPr>
            </w:pPr>
            <m:oMath>
              <m:r>
                <w:rPr>
                  <w:rFonts w:ascii="Cambria Math" w:hAnsi="Cambria Math"/>
                  <w:lang w:val="en-US"/>
                </w:rPr>
                <m:t>CUSD</m:t>
              </m:r>
            </m:oMath>
            <w:r w:rsidRPr="00AD4CA6">
              <w:rPr>
                <w:rFonts w:ascii="Bookman Old Style" w:hAnsi="Bookman Old Style"/>
                <w:lang w:val="en-US"/>
              </w:rPr>
              <w:t>:</w:t>
            </w:r>
          </w:p>
        </w:tc>
        <w:tc>
          <w:tcPr>
            <w:tcW w:w="6661" w:type="dxa"/>
          </w:tcPr>
          <w:p w14:paraId="2891D8A9" w14:textId="0D1F5412" w:rsidR="00F8191A" w:rsidRPr="00AD4CA6" w:rsidRDefault="004960AF" w:rsidP="00421B32">
            <w:pPr>
              <w:jc w:val="both"/>
              <w:rPr>
                <w:rFonts w:ascii="Bookman Old Style" w:hAnsi="Bookman Old Style"/>
                <w:color w:val="000000"/>
              </w:rPr>
            </w:pPr>
            <w:r w:rsidRPr="00AD4CA6">
              <w:rPr>
                <w:rFonts w:ascii="Bookman Old Style" w:hAnsi="Bookman Old Style"/>
                <w:color w:val="000000"/>
              </w:rPr>
              <w:t>Remuneración</w:t>
            </w:r>
            <w:r w:rsidR="00BC1CDC" w:rsidRPr="00AD4CA6">
              <w:rPr>
                <w:rFonts w:ascii="Bookman Old Style" w:hAnsi="Bookman Old Style"/>
                <w:color w:val="000000"/>
              </w:rPr>
              <w:t xml:space="preserve"> de un </w:t>
            </w:r>
            <w:r w:rsidRPr="00AD4CA6">
              <w:rPr>
                <w:rFonts w:ascii="Bookman Old Style" w:hAnsi="Bookman Old Style"/>
                <w:color w:val="000000"/>
              </w:rPr>
              <w:t xml:space="preserve">cubrimiento </w:t>
            </w:r>
            <w:r w:rsidR="00BC1CDC" w:rsidRPr="00AD4CA6">
              <w:rPr>
                <w:rFonts w:ascii="Bookman Old Style" w:hAnsi="Bookman Old Style"/>
                <w:color w:val="000000"/>
              </w:rPr>
              <w:t xml:space="preserve">de </w:t>
            </w:r>
            <w:r w:rsidR="00F432A7" w:rsidRPr="00AD4CA6">
              <w:rPr>
                <w:rFonts w:ascii="Bookman Old Style" w:hAnsi="Bookman Old Style"/>
                <w:color w:val="000000"/>
              </w:rPr>
              <w:t xml:space="preserve">deuda en dólares conforme </w:t>
            </w:r>
            <w:r w:rsidR="00C4739E" w:rsidRPr="00AD4CA6">
              <w:rPr>
                <w:rFonts w:ascii="Bookman Old Style" w:hAnsi="Bookman Old Style"/>
                <w:color w:val="000000"/>
              </w:rPr>
              <w:t xml:space="preserve">al Paso 5 de </w:t>
            </w:r>
            <w:r w:rsidR="00F432A7" w:rsidRPr="00AD4CA6">
              <w:rPr>
                <w:rFonts w:ascii="Bookman Old Style" w:hAnsi="Bookman Old Style"/>
                <w:color w:val="000000"/>
              </w:rPr>
              <w:t xml:space="preserve">las disposiciones del </w:t>
            </w:r>
            <w:r w:rsidR="00762987" w:rsidRPr="00AD4CA6">
              <w:rPr>
                <w:rFonts w:ascii="Bookman Old Style" w:hAnsi="Bookman Old Style"/>
                <w:color w:val="000000"/>
              </w:rPr>
              <w:t xml:space="preserve">ítem </w:t>
            </w:r>
            <w:proofErr w:type="spellStart"/>
            <w:r w:rsidR="00A3660A" w:rsidRPr="00AD4CA6">
              <w:rPr>
                <w:rFonts w:ascii="Bookman Old Style" w:hAnsi="Bookman Old Style"/>
                <w:color w:val="000000"/>
              </w:rPr>
              <w:t>viii</w:t>
            </w:r>
            <w:proofErr w:type="spellEnd"/>
            <w:r w:rsidR="00FD30FA" w:rsidRPr="00AD4CA6">
              <w:rPr>
                <w:rFonts w:ascii="Bookman Old Style" w:hAnsi="Bookman Old Style"/>
                <w:color w:val="000000"/>
              </w:rPr>
              <w:t xml:space="preserve"> del</w:t>
            </w:r>
            <w:r w:rsidR="00A3660A" w:rsidRPr="00AD4CA6">
              <w:rPr>
                <w:rFonts w:ascii="Bookman Old Style" w:hAnsi="Bookman Old Style"/>
                <w:color w:val="000000"/>
              </w:rPr>
              <w:t xml:space="preserve"> </w:t>
            </w:r>
            <w:r w:rsidR="00F432A7" w:rsidRPr="00AD4CA6">
              <w:rPr>
                <w:rFonts w:ascii="Bookman Old Style" w:hAnsi="Bookman Old Style"/>
                <w:color w:val="000000"/>
              </w:rPr>
              <w:t>numeral 18.7 del Artículo 18 de la presente resolución.</w:t>
            </w:r>
          </w:p>
          <w:p w14:paraId="0D1BA6C1" w14:textId="53866ED4" w:rsidR="001F0B35" w:rsidRPr="00AD4CA6" w:rsidRDefault="001F0B35" w:rsidP="00421B32">
            <w:pPr>
              <w:jc w:val="both"/>
              <w:rPr>
                <w:rFonts w:ascii="Bookman Old Style" w:hAnsi="Bookman Old Style"/>
                <w:color w:val="000000"/>
              </w:rPr>
            </w:pPr>
          </w:p>
        </w:tc>
      </w:tr>
      <w:tr w:rsidR="001F0587" w:rsidRPr="00AD4CA6" w14:paraId="77224F92" w14:textId="77777777" w:rsidTr="0015448D">
        <w:tc>
          <w:tcPr>
            <w:tcW w:w="2127" w:type="dxa"/>
          </w:tcPr>
          <w:p w14:paraId="2FB26CC3" w14:textId="48A0AF1A" w:rsidR="001F0587" w:rsidRPr="00AD4CA6" w:rsidRDefault="00000000" w:rsidP="00421B32">
            <w:pPr>
              <w:jc w:val="both"/>
              <w:rPr>
                <w:rFonts w:ascii="Bookman Old Style" w:hAnsi="Bookman Old Style"/>
              </w:rPr>
            </w:pPr>
            <m:oMath>
              <m:sSubSup>
                <m:sSubSupPr>
                  <m:ctrlPr>
                    <w:rPr>
                      <w:rFonts w:ascii="Cambria Math" w:hAnsi="Cambria Math"/>
                      <w:i/>
                      <w:color w:val="000000"/>
                    </w:rPr>
                  </m:ctrlPr>
                </m:sSubSupPr>
                <m:e>
                  <m:r>
                    <w:rPr>
                      <w:rFonts w:ascii="Cambria Math" w:hAnsi="Cambria Math"/>
                    </w:rPr>
                    <m:t>DEC</m:t>
                  </m:r>
                </m:e>
                <m:sub>
                  <m:r>
                    <w:rPr>
                      <w:rFonts w:ascii="Cambria Math" w:hAnsi="Cambria Math"/>
                      <w:color w:val="000000"/>
                    </w:rPr>
                    <m:t>t</m:t>
                  </m:r>
                </m:sub>
                <m:sup>
                  <m:r>
                    <w:rPr>
                      <w:rFonts w:ascii="Cambria Math" w:hAnsi="Cambria Math"/>
                      <w:color w:val="000000"/>
                    </w:rPr>
                    <m:t>a</m:t>
                  </m:r>
                </m:sup>
              </m:sSubSup>
            </m:oMath>
            <w:r w:rsidR="00923B60" w:rsidRPr="00AD4CA6">
              <w:rPr>
                <w:rFonts w:ascii="Bookman Old Style" w:hAnsi="Bookman Old Style"/>
                <w:color w:val="000000"/>
              </w:rPr>
              <w:t>:</w:t>
            </w:r>
          </w:p>
        </w:tc>
        <w:tc>
          <w:tcPr>
            <w:tcW w:w="6661" w:type="dxa"/>
          </w:tcPr>
          <w:p w14:paraId="295E7E80" w14:textId="13ECC3DB" w:rsidR="00C37675" w:rsidRPr="00AD4CA6" w:rsidRDefault="00C37675" w:rsidP="00C37675">
            <w:pPr>
              <w:ind w:left="-14"/>
              <w:jc w:val="both"/>
              <w:rPr>
                <w:rFonts w:ascii="Bookman Old Style" w:hAnsi="Bookman Old Style"/>
                <w:color w:val="000000"/>
              </w:rPr>
            </w:pPr>
            <w:r w:rsidRPr="00AD4CA6">
              <w:rPr>
                <w:rFonts w:ascii="Bookman Old Style" w:hAnsi="Bookman Old Style"/>
                <w:color w:val="000000"/>
              </w:rPr>
              <w:t xml:space="preserve">Demanda esperada de capacidad asociada a la inversión existente, expresada en </w:t>
            </w:r>
            <w:proofErr w:type="spellStart"/>
            <w:r w:rsidRPr="00AD4CA6">
              <w:rPr>
                <w:rFonts w:ascii="Bookman Old Style" w:hAnsi="Bookman Old Style"/>
                <w:color w:val="000000"/>
              </w:rPr>
              <w:t>kpcd</w:t>
            </w:r>
            <w:proofErr w:type="spellEnd"/>
            <w:r w:rsidRPr="00AD4CA6">
              <w:rPr>
                <w:rFonts w:ascii="Bookman Old Style" w:hAnsi="Bookman Old Style"/>
                <w:color w:val="000000"/>
              </w:rPr>
              <w:t xml:space="preserve">-año. Cuando, conforme a las disposiciones del Artículo 28 se incluya alguna inversión </w:t>
            </w:r>
            <m:oMath>
              <m:sSubSup>
                <m:sSubSupPr>
                  <m:ctrlPr>
                    <w:rPr>
                      <w:rFonts w:ascii="Cambria Math" w:hAnsi="Cambria Math"/>
                      <w:color w:val="000000"/>
                    </w:rPr>
                  </m:ctrlPr>
                </m:sSubSupPr>
                <m:e>
                  <m:r>
                    <w:rPr>
                      <w:rFonts w:ascii="Cambria Math" w:hAnsi="Cambria Math"/>
                      <w:color w:val="000000"/>
                    </w:rPr>
                    <m:t>PNI</m:t>
                  </m:r>
                </m:e>
                <m:sub>
                  <m:r>
                    <w:rPr>
                      <w:rFonts w:ascii="Cambria Math" w:hAnsi="Cambria Math"/>
                      <w:color w:val="000000"/>
                    </w:rPr>
                    <m:t xml:space="preserve">II,t </m:t>
                  </m:r>
                </m:sub>
                <m:sup>
                  <m:r>
                    <w:rPr>
                      <w:rFonts w:ascii="Cambria Math" w:hAnsi="Cambria Math"/>
                      <w:color w:val="000000"/>
                    </w:rPr>
                    <m:t>a</m:t>
                  </m:r>
                </m:sup>
              </m:sSubSup>
              <m:r>
                <w:rPr>
                  <w:rFonts w:ascii="Cambria Math" w:hAnsi="Cambria Math"/>
                  <w:color w:val="000000"/>
                </w:rPr>
                <m:t xml:space="preserve">ó </m:t>
              </m:r>
              <m:sSubSup>
                <m:sSubSupPr>
                  <m:ctrlPr>
                    <w:rPr>
                      <w:rFonts w:ascii="Cambria Math" w:hAnsi="Cambria Math"/>
                      <w:color w:val="000000"/>
                    </w:rPr>
                  </m:ctrlPr>
                </m:sSubSupPr>
                <m:e>
                  <m:r>
                    <w:rPr>
                      <w:rFonts w:ascii="Cambria Math" w:hAnsi="Cambria Math"/>
                      <w:color w:val="000000"/>
                    </w:rPr>
                    <m:t>IAC</m:t>
                  </m:r>
                </m:e>
                <m:sub>
                  <m:r>
                    <w:rPr>
                      <w:rFonts w:ascii="Cambria Math" w:hAnsi="Cambria Math"/>
                      <w:color w:val="000000"/>
                    </w:rPr>
                    <m:t>t</m:t>
                  </m:r>
                </m:sub>
                <m:sup>
                  <m:r>
                    <w:rPr>
                      <w:rFonts w:ascii="Cambria Math" w:hAnsi="Cambria Math"/>
                      <w:color w:val="000000"/>
                    </w:rPr>
                    <m:t>a</m:t>
                  </m:r>
                </m:sup>
              </m:sSubSup>
            </m:oMath>
            <w:r w:rsidRPr="00AD4CA6">
              <w:rPr>
                <w:rFonts w:ascii="Bookman Old Style" w:hAnsi="Bookman Old Style"/>
                <w:color w:val="000000"/>
              </w:rPr>
              <w:t xml:space="preserve">  en los cargos los valores de demanda se deberán actualizar para el horizonte de proyección aplicando las disposiciones Artículo 21.</w:t>
            </w:r>
          </w:p>
          <w:p w14:paraId="6B0342B0" w14:textId="77777777" w:rsidR="001F0587" w:rsidRPr="00AD4CA6" w:rsidRDefault="001F0587" w:rsidP="00421B32">
            <w:pPr>
              <w:jc w:val="both"/>
              <w:rPr>
                <w:rFonts w:ascii="Bookman Old Style" w:hAnsi="Bookman Old Style"/>
              </w:rPr>
            </w:pPr>
          </w:p>
        </w:tc>
      </w:tr>
      <w:tr w:rsidR="001F0587" w:rsidRPr="00AD4CA6" w14:paraId="0778A572" w14:textId="77777777" w:rsidTr="0015448D">
        <w:tc>
          <w:tcPr>
            <w:tcW w:w="2127" w:type="dxa"/>
          </w:tcPr>
          <w:p w14:paraId="7A539B22" w14:textId="7E22D0E8" w:rsidR="001F0587" w:rsidRPr="00AD4CA6" w:rsidRDefault="00000000" w:rsidP="00421B32">
            <w:pPr>
              <w:jc w:val="both"/>
              <w:rPr>
                <w:rFonts w:ascii="Bookman Old Style" w:hAnsi="Bookman Old Style"/>
              </w:rPr>
            </w:pPr>
            <m:oMath>
              <m:sSubSup>
                <m:sSubSupPr>
                  <m:ctrlPr>
                    <w:rPr>
                      <w:rFonts w:ascii="Cambria Math" w:hAnsi="Cambria Math"/>
                      <w:i/>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PNI</m:t>
                  </m:r>
                  <m:r>
                    <w:rPr>
                      <w:rFonts w:ascii="Cambria Math" w:hAnsi="Cambria Math"/>
                      <w:lang w:val="es-ES"/>
                    </w:rPr>
                    <m:t>_</m:t>
                  </m:r>
                  <m:r>
                    <w:rPr>
                      <w:rFonts w:ascii="Cambria Math" w:hAnsi="Cambria Math"/>
                      <w:lang w:val="en-US"/>
                    </w:rPr>
                    <m:t>II</m:t>
                  </m:r>
                </m:sup>
              </m:sSubSup>
            </m:oMath>
            <w:r w:rsidR="00C37675" w:rsidRPr="00AD4CA6">
              <w:rPr>
                <w:rFonts w:ascii="Bookman Old Style" w:hAnsi="Bookman Old Style"/>
                <w:lang w:val="en-US"/>
              </w:rPr>
              <w:t>:</w:t>
            </w:r>
          </w:p>
        </w:tc>
        <w:tc>
          <w:tcPr>
            <w:tcW w:w="6661" w:type="dxa"/>
          </w:tcPr>
          <w:p w14:paraId="7BD99DD7" w14:textId="5A88DEA1" w:rsidR="00C37675" w:rsidRPr="00AD4CA6" w:rsidRDefault="00C37675" w:rsidP="007A7883">
            <w:pPr>
              <w:ind w:left="-14"/>
              <w:jc w:val="both"/>
              <w:rPr>
                <w:rFonts w:ascii="Bookman Old Style" w:hAnsi="Bookman Old Style"/>
                <w:color w:val="000000"/>
              </w:rPr>
            </w:pPr>
            <w:r w:rsidRPr="00AD4CA6">
              <w:rPr>
                <w:rFonts w:ascii="Bookman Old Style" w:hAnsi="Bookman Old Style"/>
                <w:color w:val="000000"/>
              </w:rPr>
              <w:t xml:space="preserve">Demanda anual esperada de capacidad asociada a la </w:t>
            </w:r>
            <w:r w:rsidRPr="00AD4CA6" w:rsidDel="002B4D0D">
              <w:rPr>
                <w:rFonts w:ascii="Bookman Old Style" w:hAnsi="Bookman Old Style"/>
                <w:color w:val="000000"/>
              </w:rPr>
              <w:t>inversión</w:t>
            </w:r>
            <w:r w:rsidRPr="00AD4CA6">
              <w:rPr>
                <w:rFonts w:ascii="Bookman Old Style" w:hAnsi="Bookman Old Style"/>
                <w:color w:val="000000"/>
              </w:rPr>
              <w:t xml:space="preserve"> tipo II, </w:t>
            </w:r>
            <m:oMath>
              <m:sSub>
                <m:sSubPr>
                  <m:ctrlPr>
                    <w:rPr>
                      <w:rFonts w:ascii="Cambria Math" w:hAnsi="Cambria Math"/>
                      <w:color w:val="000000"/>
                    </w:rPr>
                  </m:ctrlPr>
                </m:sSubPr>
                <m:e>
                  <m:r>
                    <w:rPr>
                      <w:rFonts w:ascii="Cambria Math" w:hAnsi="Cambria Math"/>
                      <w:color w:val="000000"/>
                    </w:rPr>
                    <m:t>PNI_II</m:t>
                  </m:r>
                </m:e>
                <m:sub>
                  <m:r>
                    <w:rPr>
                      <w:rFonts w:ascii="Cambria Math" w:hAnsi="Cambria Math"/>
                      <w:color w:val="000000"/>
                    </w:rPr>
                    <m:t>t</m:t>
                  </m:r>
                </m:sub>
              </m:sSub>
            </m:oMath>
            <w:r w:rsidRPr="00AD4CA6">
              <w:rPr>
                <w:rFonts w:ascii="Bookman Old Style" w:hAnsi="Bookman Old Style"/>
                <w:color w:val="000000"/>
              </w:rPr>
              <w:t xml:space="preserve">, para el horizonte de proyección, expresada en kpcd-año. Cuando, conforme a las disposiciones del Artículo 28 se incluya alguna inversión </w:t>
            </w:r>
            <m:oMath>
              <m:sSubSup>
                <m:sSubSupPr>
                  <m:ctrlPr>
                    <w:rPr>
                      <w:rFonts w:ascii="Cambria Math" w:hAnsi="Cambria Math"/>
                      <w:color w:val="000000"/>
                    </w:rPr>
                  </m:ctrlPr>
                </m:sSubSupPr>
                <m:e>
                  <m:r>
                    <w:rPr>
                      <w:rFonts w:ascii="Cambria Math" w:hAnsi="Cambria Math"/>
                      <w:color w:val="000000"/>
                    </w:rPr>
                    <m:t>PNI</m:t>
                  </m:r>
                </m:e>
                <m:sub>
                  <m:r>
                    <w:rPr>
                      <w:rFonts w:ascii="Cambria Math" w:hAnsi="Cambria Math"/>
                      <w:color w:val="000000"/>
                    </w:rPr>
                    <m:t xml:space="preserve">II,t </m:t>
                  </m:r>
                </m:sub>
                <m:sup>
                  <m:r>
                    <w:rPr>
                      <w:rFonts w:ascii="Cambria Math" w:hAnsi="Cambria Math"/>
                      <w:color w:val="000000"/>
                    </w:rPr>
                    <m:t>a</m:t>
                  </m:r>
                </m:sup>
              </m:sSubSup>
              <m:r>
                <w:rPr>
                  <w:rFonts w:ascii="Cambria Math" w:hAnsi="Cambria Math"/>
                  <w:color w:val="000000"/>
                </w:rPr>
                <m:t xml:space="preserve">ó </m:t>
              </m:r>
              <m:sSubSup>
                <m:sSubSupPr>
                  <m:ctrlPr>
                    <w:rPr>
                      <w:rFonts w:ascii="Cambria Math" w:hAnsi="Cambria Math"/>
                      <w:color w:val="000000"/>
                    </w:rPr>
                  </m:ctrlPr>
                </m:sSubSupPr>
                <m:e>
                  <m:r>
                    <w:rPr>
                      <w:rFonts w:ascii="Cambria Math" w:hAnsi="Cambria Math"/>
                      <w:color w:val="000000"/>
                    </w:rPr>
                    <m:t>IAC</m:t>
                  </m:r>
                </m:e>
                <m:sub>
                  <m:r>
                    <w:rPr>
                      <w:rFonts w:ascii="Cambria Math" w:hAnsi="Cambria Math"/>
                      <w:color w:val="000000"/>
                    </w:rPr>
                    <m:t>t</m:t>
                  </m:r>
                </m:sub>
                <m:sup>
                  <m:r>
                    <w:rPr>
                      <w:rFonts w:ascii="Cambria Math" w:hAnsi="Cambria Math"/>
                      <w:color w:val="000000"/>
                    </w:rPr>
                    <m:t>a</m:t>
                  </m:r>
                </m:sup>
              </m:sSubSup>
            </m:oMath>
            <w:r w:rsidRPr="00AD4CA6">
              <w:rPr>
                <w:rFonts w:ascii="Bookman Old Style" w:hAnsi="Bookman Old Style"/>
                <w:color w:val="000000"/>
              </w:rPr>
              <w:t xml:space="preserve"> en los cargos los valores de demanda se deberán actualizar para el horizonte de proyección aplicando las disposiciones</w:t>
            </w:r>
            <w:r w:rsidR="007A7883" w:rsidRPr="00AD4CA6">
              <w:rPr>
                <w:rFonts w:ascii="Bookman Old Style" w:hAnsi="Bookman Old Style"/>
                <w:color w:val="000000"/>
              </w:rPr>
              <w:t xml:space="preserve"> Artículo 21</w:t>
            </w:r>
            <w:r w:rsidRPr="00AD4CA6">
              <w:rPr>
                <w:rFonts w:ascii="Bookman Old Style" w:hAnsi="Bookman Old Style"/>
                <w:color w:val="000000"/>
              </w:rPr>
              <w:t>.</w:t>
            </w:r>
          </w:p>
          <w:p w14:paraId="7473545F" w14:textId="77777777" w:rsidR="001F0587" w:rsidRPr="00AD4CA6" w:rsidRDefault="001F0587" w:rsidP="00421B32">
            <w:pPr>
              <w:jc w:val="both"/>
              <w:rPr>
                <w:rFonts w:ascii="Bookman Old Style" w:hAnsi="Bookman Old Style"/>
              </w:rPr>
            </w:pPr>
          </w:p>
        </w:tc>
      </w:tr>
      <w:tr w:rsidR="001F0587" w:rsidRPr="00AD4CA6" w14:paraId="7AB15741" w14:textId="77777777" w:rsidTr="0015448D">
        <w:tc>
          <w:tcPr>
            <w:tcW w:w="2127" w:type="dxa"/>
          </w:tcPr>
          <w:p w14:paraId="3A6FAD4D" w14:textId="26D0E36D" w:rsidR="001F0587" w:rsidRPr="00AD4CA6" w:rsidRDefault="00000000" w:rsidP="00421B32">
            <w:pPr>
              <w:jc w:val="both"/>
              <w:rPr>
                <w:rFonts w:ascii="Bookman Old Style" w:hAnsi="Bookman Old Style"/>
              </w:rPr>
            </w:pPr>
            <m:oMath>
              <m:sSubSup>
                <m:sSubSupPr>
                  <m:ctrlPr>
                    <w:rPr>
                      <w:rFonts w:ascii="Cambria Math" w:hAnsi="Cambria Math" w:cs="Arial"/>
                      <w:i/>
                      <w:color w:val="000000"/>
                    </w:rPr>
                  </m:ctrlPr>
                </m:sSubSupPr>
                <m:e>
                  <m:r>
                    <w:rPr>
                      <w:rFonts w:ascii="Cambria Math" w:hAnsi="Cambria Math" w:cs="Arial"/>
                      <w:color w:val="000000"/>
                    </w:rPr>
                    <m:t>DEC</m:t>
                  </m:r>
                </m:e>
                <m:sub>
                  <m:r>
                    <w:rPr>
                      <w:rFonts w:ascii="Cambria Math" w:hAnsi="Cambria Math" w:cs="Arial"/>
                      <w:color w:val="000000"/>
                    </w:rPr>
                    <m:t>t</m:t>
                  </m:r>
                </m:sub>
                <m:sup>
                  <m:r>
                    <w:rPr>
                      <w:rFonts w:ascii="Cambria Math" w:hAnsi="Cambria Math" w:cs="Arial"/>
                      <w:color w:val="000000"/>
                    </w:rPr>
                    <m:t>IAC</m:t>
                  </m:r>
                </m:sup>
              </m:sSubSup>
            </m:oMath>
            <w:r w:rsidR="00EE5860" w:rsidRPr="00AD4CA6">
              <w:rPr>
                <w:rFonts w:ascii="Bookman Old Style" w:hAnsi="Bookman Old Style"/>
                <w:color w:val="000000"/>
              </w:rPr>
              <w:t>:</w:t>
            </w:r>
          </w:p>
        </w:tc>
        <w:tc>
          <w:tcPr>
            <w:tcW w:w="6661" w:type="dxa"/>
          </w:tcPr>
          <w:p w14:paraId="2FBB4017" w14:textId="77777777" w:rsidR="001F0587" w:rsidRPr="00AD4CA6" w:rsidRDefault="00EE5860" w:rsidP="00421B32">
            <w:pPr>
              <w:jc w:val="both"/>
              <w:rPr>
                <w:rFonts w:ascii="Bookman Old Style" w:hAnsi="Bookman Old Style"/>
              </w:rPr>
            </w:pPr>
            <w:r w:rsidRPr="00AD4CA6">
              <w:rPr>
                <w:rFonts w:ascii="Bookman Old Style" w:hAnsi="Bookman Old Style"/>
                <w:color w:val="000000"/>
              </w:rPr>
              <w:t xml:space="preserve">Demanda esperada de capacidad asociada a proyectos </w:t>
            </w:r>
            <w:proofErr w:type="spellStart"/>
            <w:r w:rsidRPr="00AD4CA6">
              <w:rPr>
                <w:rFonts w:ascii="Bookman Old Style" w:hAnsi="Bookman Old Style"/>
                <w:color w:val="000000"/>
              </w:rPr>
              <w:t>IAC</w:t>
            </w:r>
            <w:proofErr w:type="spellEnd"/>
            <w:r w:rsidRPr="00AD4CA6">
              <w:rPr>
                <w:rFonts w:ascii="Bookman Old Style" w:hAnsi="Bookman Old Style"/>
                <w:color w:val="000000"/>
              </w:rPr>
              <w:t xml:space="preserve">, </w:t>
            </w:r>
            <w:r w:rsidRPr="00AD4CA6">
              <w:rPr>
                <w:rFonts w:ascii="Bookman Old Style" w:hAnsi="Bookman Old Style"/>
              </w:rPr>
              <w:t>para el horizonte de proyección,</w:t>
            </w:r>
            <w:r w:rsidRPr="00AD4CA6">
              <w:rPr>
                <w:rFonts w:ascii="Bookman Old Style" w:hAnsi="Bookman Old Style"/>
                <w:color w:val="000000"/>
              </w:rPr>
              <w:t xml:space="preserve"> </w:t>
            </w:r>
            <w:r w:rsidRPr="00AD4CA6">
              <w:rPr>
                <w:rFonts w:ascii="Bookman Old Style" w:hAnsi="Bookman Old Style"/>
              </w:rPr>
              <w:t xml:space="preserve">expresada en </w:t>
            </w:r>
            <w:proofErr w:type="spellStart"/>
            <w:r w:rsidRPr="00AD4CA6">
              <w:rPr>
                <w:rFonts w:ascii="Bookman Old Style" w:hAnsi="Bookman Old Style"/>
              </w:rPr>
              <w:t>kpcd</w:t>
            </w:r>
            <w:proofErr w:type="spellEnd"/>
            <w:r w:rsidRPr="00AD4CA6">
              <w:rPr>
                <w:rFonts w:ascii="Bookman Old Style" w:hAnsi="Bookman Old Style"/>
              </w:rPr>
              <w:t xml:space="preserve">-año. Cuando, conforme a las disposiciones del Artículo 28 se incluya alguna inversión </w:t>
            </w:r>
            <m:oMath>
              <m:sSubSup>
                <m:sSubSupPr>
                  <m:ctrlPr>
                    <w:rPr>
                      <w:rFonts w:ascii="Cambria Math" w:hAnsi="Cambria Math" w:cs="Arial"/>
                      <w:i/>
                      <w:color w:val="000000"/>
                    </w:rPr>
                  </m:ctrlPr>
                </m:sSubSupPr>
                <m:e>
                  <m:r>
                    <w:rPr>
                      <w:rFonts w:ascii="Cambria Math" w:hAnsi="Cambria Math" w:cs="Arial"/>
                      <w:color w:val="000000"/>
                    </w:rPr>
                    <m:t>PNI</m:t>
                  </m:r>
                </m:e>
                <m:sub>
                  <m:r>
                    <w:rPr>
                      <w:rFonts w:ascii="Cambria Math" w:hAnsi="Cambria Math" w:cs="Arial"/>
                      <w:color w:val="000000"/>
                    </w:rPr>
                    <m:t xml:space="preserve">II,t </m:t>
                  </m:r>
                </m:sub>
                <m:sup>
                  <m:r>
                    <w:rPr>
                      <w:rFonts w:ascii="Cambria Math" w:hAnsi="Cambria Math" w:cs="Arial"/>
                      <w:color w:val="000000"/>
                    </w:rPr>
                    <m:t>a</m:t>
                  </m:r>
                </m:sup>
              </m:sSubSup>
              <m:r>
                <w:rPr>
                  <w:rFonts w:ascii="Cambria Math" w:hAnsi="Cambria Math" w:cs="Arial"/>
                  <w:color w:val="000000"/>
                  <w:lang w:val="es-ES_tradnl"/>
                </w:rPr>
                <m:t xml:space="preserve">ó </m:t>
              </m:r>
              <m:sSubSup>
                <m:sSubSupPr>
                  <m:ctrlPr>
                    <w:rPr>
                      <w:rFonts w:ascii="Cambria Math" w:hAnsi="Cambria Math" w:cs="Arial"/>
                      <w:i/>
                      <w:color w:val="000000"/>
                    </w:rPr>
                  </m:ctrlPr>
                </m:sSubSupPr>
                <m:e>
                  <m:r>
                    <w:rPr>
                      <w:rFonts w:ascii="Cambria Math" w:hAnsi="Cambria Math" w:cs="Arial"/>
                      <w:color w:val="000000"/>
                    </w:rPr>
                    <m:t>IAC</m:t>
                  </m:r>
                </m:e>
                <m:sub>
                  <m:r>
                    <w:rPr>
                      <w:rFonts w:ascii="Cambria Math" w:hAnsi="Cambria Math" w:cs="Arial"/>
                      <w:color w:val="000000"/>
                    </w:rPr>
                    <m:t>t</m:t>
                  </m:r>
                </m:sub>
                <m:sup>
                  <m:r>
                    <w:rPr>
                      <w:rFonts w:ascii="Cambria Math" w:hAnsi="Cambria Math" w:cs="Arial"/>
                      <w:color w:val="000000"/>
                    </w:rPr>
                    <m:t>a</m:t>
                  </m:r>
                </m:sup>
              </m:sSubSup>
            </m:oMath>
            <w:r w:rsidRPr="00AD4CA6">
              <w:rPr>
                <w:rFonts w:ascii="Bookman Old Style" w:hAnsi="Bookman Old Style"/>
              </w:rPr>
              <w:t xml:space="preserve">  en los cargos los valores de demanda se deberán actualizar para el horizonte de proyección aplicando las disposiciones Artículo 21.</w:t>
            </w:r>
          </w:p>
          <w:p w14:paraId="69584739" w14:textId="25011CE4" w:rsidR="001F0B35" w:rsidRPr="00AD4CA6" w:rsidRDefault="001F0B35" w:rsidP="00421B32">
            <w:pPr>
              <w:jc w:val="both"/>
              <w:rPr>
                <w:rFonts w:ascii="Bookman Old Style" w:hAnsi="Bookman Old Style"/>
              </w:rPr>
            </w:pPr>
          </w:p>
        </w:tc>
      </w:tr>
      <w:tr w:rsidR="001F0587" w:rsidRPr="00AD4CA6" w14:paraId="3D2A94CD" w14:textId="77777777" w:rsidTr="0015448D">
        <w:tc>
          <w:tcPr>
            <w:tcW w:w="2127" w:type="dxa"/>
          </w:tcPr>
          <w:p w14:paraId="006D5AFE" w14:textId="6FE4D79B" w:rsidR="001F0587" w:rsidRPr="00AD4CA6" w:rsidRDefault="00EE5860" w:rsidP="00421B32">
            <w:pPr>
              <w:jc w:val="both"/>
              <w:rPr>
                <w:rFonts w:ascii="Bookman Old Style" w:hAnsi="Bookman Old Style"/>
              </w:rPr>
            </w:pPr>
            <m:oMath>
              <m:r>
                <w:rPr>
                  <w:rFonts w:ascii="Cambria Math" w:hAnsi="Cambria Math" w:cs="Arial"/>
                  <w:lang w:val="es-ES_tradnl"/>
                </w:rPr>
                <w:lastRenderedPageBreak/>
                <m:t>Tkc</m:t>
              </m:r>
            </m:oMath>
            <w:r w:rsidRPr="00AD4CA6">
              <w:rPr>
                <w:rFonts w:ascii="Bookman Old Style" w:hAnsi="Bookman Old Style"/>
                <w:lang w:val="es-ES_tradnl"/>
              </w:rPr>
              <w:t>:</w:t>
            </w:r>
          </w:p>
        </w:tc>
        <w:tc>
          <w:tcPr>
            <w:tcW w:w="6661" w:type="dxa"/>
          </w:tcPr>
          <w:p w14:paraId="608F2CE1" w14:textId="77777777" w:rsidR="001F0587" w:rsidRPr="00AD4CA6" w:rsidRDefault="00EE5860" w:rsidP="00421B32">
            <w:pPr>
              <w:jc w:val="both"/>
              <w:rPr>
                <w:rFonts w:ascii="Bookman Old Style" w:hAnsi="Bookman Old Style"/>
                <w:color w:val="000000"/>
              </w:rPr>
            </w:pPr>
            <w:r w:rsidRPr="00AD4CA6">
              <w:rPr>
                <w:rFonts w:ascii="Bookman Old Style" w:hAnsi="Bookman Old Style"/>
                <w:color w:val="000000"/>
              </w:rPr>
              <w:t>Tasa promedio de costo de capital, real antes de impuestos, remunerado por servicios de capacidad a través de cargos fijos expresados en pesos colombianos.</w:t>
            </w:r>
          </w:p>
          <w:p w14:paraId="7E4877D8" w14:textId="3798FECD" w:rsidR="001F0B35" w:rsidRPr="00AD4CA6" w:rsidRDefault="001F0B35" w:rsidP="00421B32">
            <w:pPr>
              <w:jc w:val="both"/>
              <w:rPr>
                <w:rFonts w:ascii="Bookman Old Style" w:hAnsi="Bookman Old Style"/>
              </w:rPr>
            </w:pPr>
          </w:p>
        </w:tc>
      </w:tr>
      <w:tr w:rsidR="00C37675" w:rsidRPr="00AD4CA6" w14:paraId="61EA4321" w14:textId="77777777" w:rsidTr="0015448D">
        <w:tc>
          <w:tcPr>
            <w:tcW w:w="2127" w:type="dxa"/>
          </w:tcPr>
          <w:p w14:paraId="330B303E" w14:textId="6DD3AF71" w:rsidR="00C37675" w:rsidRPr="00AD4CA6" w:rsidRDefault="00EE5860" w:rsidP="00421B32">
            <w:pPr>
              <w:jc w:val="both"/>
              <w:rPr>
                <w:rFonts w:ascii="Bookman Old Style" w:hAnsi="Bookman Old Style"/>
              </w:rPr>
            </w:pPr>
            <m:oMathPara>
              <m:oMath>
                <m:r>
                  <w:rPr>
                    <w:rFonts w:ascii="Cambria Math" w:hAnsi="Cambria Math"/>
                    <w:lang w:val="en-US"/>
                  </w:rPr>
                  <m:t>VP</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AOM</m:t>
                        </m:r>
                      </m:e>
                      <m:sub>
                        <m:r>
                          <w:rPr>
                            <w:rFonts w:ascii="Cambria Math" w:hAnsi="Cambria Math"/>
                            <w:lang w:val="en-US"/>
                          </w:rPr>
                          <m:t>t</m:t>
                        </m:r>
                      </m:sub>
                      <m:sup>
                        <m:r>
                          <w:rPr>
                            <w:rFonts w:ascii="Cambria Math" w:hAnsi="Cambria Math"/>
                            <w:lang w:val="en-US"/>
                          </w:rPr>
                          <m:t>IE</m:t>
                        </m:r>
                      </m:sup>
                    </m:sSubSup>
                    <m:r>
                      <w:rPr>
                        <w:rFonts w:ascii="Cambria Math" w:hAnsi="Cambria Math"/>
                        <w:lang w:val="es-ES"/>
                      </w:rPr>
                      <m:t>+</m:t>
                    </m:r>
                    <m:sSubSup>
                      <m:sSubSupPr>
                        <m:ctrlPr>
                          <w:rPr>
                            <w:rFonts w:ascii="Cambria Math" w:hAnsi="Cambria Math"/>
                            <w:lang w:val="en-US"/>
                          </w:rPr>
                        </m:ctrlPr>
                      </m:sSubSupPr>
                      <m:e>
                        <m:r>
                          <w:rPr>
                            <w:rFonts w:ascii="Cambria Math" w:hAnsi="Cambria Math"/>
                            <w:lang w:val="en-US"/>
                          </w:rPr>
                          <m:t>AOM</m:t>
                        </m:r>
                      </m:e>
                      <m:sub>
                        <m:r>
                          <w:rPr>
                            <w:rFonts w:ascii="Cambria Math" w:hAnsi="Cambria Math"/>
                            <w:lang w:val="en-US"/>
                          </w:rPr>
                          <m:t>II</m:t>
                        </m:r>
                        <m:r>
                          <w:rPr>
                            <w:rFonts w:ascii="Cambria Math" w:hAnsi="Cambria Math"/>
                            <w:lang w:val="es-ES"/>
                          </w:rPr>
                          <m:t>,</m:t>
                        </m:r>
                        <m:r>
                          <w:rPr>
                            <w:rFonts w:ascii="Cambria Math" w:hAnsi="Cambria Math"/>
                            <w:lang w:val="en-US"/>
                          </w:rPr>
                          <m:t>t</m:t>
                        </m:r>
                      </m:sub>
                      <m:sup>
                        <m:r>
                          <w:rPr>
                            <w:rFonts w:ascii="Cambria Math" w:hAnsi="Cambria Math"/>
                            <w:lang w:val="en-US"/>
                          </w:rPr>
                          <m:t>PNI</m:t>
                        </m:r>
                      </m:sup>
                    </m:sSubSup>
                    <m:r>
                      <w:rPr>
                        <w:rFonts w:ascii="Cambria Math" w:hAnsi="Cambria Math"/>
                        <w:lang w:val="es-ES"/>
                      </w:rPr>
                      <m:t>+</m:t>
                    </m:r>
                    <m:sSubSup>
                      <m:sSubSupPr>
                        <m:ctrlPr>
                          <w:rPr>
                            <w:rFonts w:ascii="Cambria Math" w:hAnsi="Cambria Math"/>
                            <w:lang w:val="en-US"/>
                          </w:rPr>
                        </m:ctrlPr>
                      </m:sSubSupPr>
                      <m:e>
                        <m:r>
                          <w:rPr>
                            <w:rFonts w:ascii="Cambria Math" w:hAnsi="Cambria Math"/>
                            <w:lang w:val="en-US"/>
                          </w:rPr>
                          <m:t>AOM</m:t>
                        </m:r>
                      </m:e>
                      <m:sub>
                        <m:r>
                          <w:rPr>
                            <w:rFonts w:ascii="Cambria Math" w:hAnsi="Cambria Math"/>
                            <w:lang w:val="en-US"/>
                          </w:rPr>
                          <m:t>t</m:t>
                        </m:r>
                      </m:sub>
                      <m:sup>
                        <m:r>
                          <w:rPr>
                            <w:rFonts w:ascii="Cambria Math" w:hAnsi="Cambria Math"/>
                            <w:lang w:val="en-US"/>
                          </w:rPr>
                          <m:t>IAC</m:t>
                        </m:r>
                      </m:sup>
                    </m:sSubSup>
                    <m:r>
                      <m:rPr>
                        <m:sty m:val="p"/>
                      </m:rPr>
                      <w:rPr>
                        <w:rFonts w:ascii="Cambria Math" w:hAnsi="Cambria Math"/>
                        <w:lang w:val="es-ES"/>
                      </w:rPr>
                      <m:t>,</m:t>
                    </m:r>
                    <m:r>
                      <w:rPr>
                        <w:rFonts w:ascii="Cambria Math" w:hAnsi="Cambria Math"/>
                        <w:lang w:val="en-US"/>
                      </w:rPr>
                      <m:t>Tkc</m:t>
                    </m:r>
                  </m:e>
                </m:d>
                <m:r>
                  <w:rPr>
                    <w:rFonts w:ascii="Cambria Math" w:hAnsi="Cambria Math"/>
                    <w:lang w:val="en-US"/>
                  </w:rPr>
                  <m:t>:</m:t>
                </m:r>
              </m:oMath>
            </m:oMathPara>
          </w:p>
        </w:tc>
        <w:tc>
          <w:tcPr>
            <w:tcW w:w="6661" w:type="dxa"/>
          </w:tcPr>
          <w:p w14:paraId="5326BE8E" w14:textId="77777777" w:rsidR="00C37675" w:rsidRPr="00AD4CA6" w:rsidRDefault="00EE5860" w:rsidP="00421B32">
            <w:pPr>
              <w:jc w:val="both"/>
              <w:rPr>
                <w:rFonts w:ascii="Bookman Old Style" w:hAnsi="Bookman Old Style"/>
                <w:lang w:val="es-ES"/>
              </w:rPr>
            </w:pPr>
            <w:r w:rsidRPr="00AD4CA6">
              <w:rPr>
                <w:rFonts w:ascii="Bookman Old Style" w:hAnsi="Bookman Old Style"/>
                <w:lang w:val="es-ES"/>
              </w:rPr>
              <w:t>Valor presente de los g</w:t>
            </w:r>
            <w:proofErr w:type="spellStart"/>
            <w:r w:rsidRPr="00AD4CA6">
              <w:rPr>
                <w:rFonts w:ascii="Bookman Old Style" w:hAnsi="Bookman Old Style"/>
              </w:rPr>
              <w:t>astos</w:t>
            </w:r>
            <w:proofErr w:type="spellEnd"/>
            <w:r w:rsidRPr="00AD4CA6">
              <w:rPr>
                <w:rFonts w:ascii="Bookman Old Style" w:hAnsi="Bookman Old Style"/>
              </w:rPr>
              <w:t xml:space="preserve"> de administración, operación y mantenimiento para </w:t>
            </w:r>
            <m:oMath>
              <m:sSubSup>
                <m:sSubSupPr>
                  <m:ctrlPr>
                    <w:rPr>
                      <w:rFonts w:ascii="Cambria Math" w:hAnsi="Cambria Math"/>
                      <w:lang w:val="en-US"/>
                    </w:rPr>
                  </m:ctrlPr>
                </m:sSubSupPr>
                <m:e>
                  <m:r>
                    <w:rPr>
                      <w:rFonts w:ascii="Cambria Math" w:hAnsi="Cambria Math"/>
                      <w:lang w:val="en-US"/>
                    </w:rPr>
                    <m:t>AOM</m:t>
                  </m:r>
                </m:e>
                <m:sub>
                  <m:r>
                    <w:rPr>
                      <w:rFonts w:ascii="Cambria Math" w:hAnsi="Cambria Math"/>
                      <w:lang w:val="en-US"/>
                    </w:rPr>
                    <m:t>t</m:t>
                  </m:r>
                </m:sub>
                <m:sup>
                  <m:r>
                    <w:rPr>
                      <w:rFonts w:ascii="Cambria Math" w:hAnsi="Cambria Math"/>
                      <w:lang w:val="en-US"/>
                    </w:rPr>
                    <m:t>IE</m:t>
                  </m:r>
                </m:sup>
              </m:sSubSup>
              <m:r>
                <w:rPr>
                  <w:rFonts w:ascii="Cambria Math" w:hAnsi="Cambria Math"/>
                  <w:lang w:val="es-ES"/>
                </w:rPr>
                <m:t>+</m:t>
              </m:r>
              <m:sSubSup>
                <m:sSubSupPr>
                  <m:ctrlPr>
                    <w:rPr>
                      <w:rFonts w:ascii="Cambria Math" w:hAnsi="Cambria Math"/>
                      <w:lang w:val="en-US"/>
                    </w:rPr>
                  </m:ctrlPr>
                </m:sSubSupPr>
                <m:e>
                  <m:r>
                    <w:rPr>
                      <w:rFonts w:ascii="Cambria Math" w:hAnsi="Cambria Math"/>
                      <w:lang w:val="en-US"/>
                    </w:rPr>
                    <m:t>AOM</m:t>
                  </m:r>
                </m:e>
                <m:sub>
                  <m:r>
                    <w:rPr>
                      <w:rFonts w:ascii="Cambria Math" w:hAnsi="Cambria Math"/>
                      <w:lang w:val="en-US"/>
                    </w:rPr>
                    <m:t>II</m:t>
                  </m:r>
                  <m:r>
                    <w:rPr>
                      <w:rFonts w:ascii="Cambria Math" w:hAnsi="Cambria Math"/>
                      <w:lang w:val="es-ES"/>
                    </w:rPr>
                    <m:t>,</m:t>
                  </m:r>
                  <m:r>
                    <w:rPr>
                      <w:rFonts w:ascii="Cambria Math" w:hAnsi="Cambria Math"/>
                      <w:lang w:val="en-US"/>
                    </w:rPr>
                    <m:t>t</m:t>
                  </m:r>
                </m:sub>
                <m:sup>
                  <m:r>
                    <w:rPr>
                      <w:rFonts w:ascii="Cambria Math" w:hAnsi="Cambria Math"/>
                      <w:lang w:val="en-US"/>
                    </w:rPr>
                    <m:t>PNI</m:t>
                  </m:r>
                </m:sup>
              </m:sSubSup>
              <m:r>
                <w:rPr>
                  <w:rFonts w:ascii="Cambria Math" w:hAnsi="Cambria Math"/>
                  <w:lang w:val="es-ES"/>
                </w:rPr>
                <m:t>+</m:t>
              </m:r>
              <m:sSubSup>
                <m:sSubSupPr>
                  <m:ctrlPr>
                    <w:rPr>
                      <w:rFonts w:ascii="Cambria Math" w:hAnsi="Cambria Math"/>
                      <w:lang w:val="en-US"/>
                    </w:rPr>
                  </m:ctrlPr>
                </m:sSubSupPr>
                <m:e>
                  <m:r>
                    <w:rPr>
                      <w:rFonts w:ascii="Cambria Math" w:hAnsi="Cambria Math"/>
                      <w:lang w:val="en-US"/>
                    </w:rPr>
                    <m:t>AOM</m:t>
                  </m:r>
                </m:e>
                <m:sub>
                  <m:r>
                    <w:rPr>
                      <w:rFonts w:ascii="Cambria Math" w:hAnsi="Cambria Math"/>
                      <w:lang w:val="en-US"/>
                    </w:rPr>
                    <m:t>t</m:t>
                  </m:r>
                </m:sub>
                <m:sup>
                  <m:r>
                    <w:rPr>
                      <w:rFonts w:ascii="Cambria Math" w:hAnsi="Cambria Math"/>
                      <w:lang w:val="en-US"/>
                    </w:rPr>
                    <m:t>IAC</m:t>
                  </m:r>
                </m:sup>
              </m:sSubSup>
            </m:oMath>
            <w:r w:rsidRPr="00AD4CA6">
              <w:rPr>
                <w:rFonts w:ascii="Bookman Old Style" w:hAnsi="Bookman Old Style"/>
              </w:rPr>
              <w:t xml:space="preserve">, descontados a la tasa </w:t>
            </w:r>
            <m:oMath>
              <m:r>
                <w:rPr>
                  <w:rFonts w:ascii="Cambria Math" w:hAnsi="Cambria Math"/>
                  <w:lang w:val="en-US"/>
                </w:rPr>
                <m:t>Tkc</m:t>
              </m:r>
            </m:oMath>
            <w:r w:rsidRPr="00AD4CA6">
              <w:rPr>
                <w:rFonts w:ascii="Bookman Old Style" w:hAnsi="Bookman Old Style"/>
                <w:lang w:val="es-ES"/>
              </w:rPr>
              <w:t>.</w:t>
            </w:r>
          </w:p>
          <w:p w14:paraId="4F4695B6" w14:textId="43C9C6E8" w:rsidR="001F0B35" w:rsidRPr="00AD4CA6" w:rsidRDefault="001F0B35" w:rsidP="00421B32">
            <w:pPr>
              <w:jc w:val="both"/>
              <w:rPr>
                <w:rFonts w:ascii="Bookman Old Style" w:hAnsi="Bookman Old Style"/>
              </w:rPr>
            </w:pPr>
          </w:p>
        </w:tc>
      </w:tr>
      <w:tr w:rsidR="00C37675" w:rsidRPr="00AD4CA6" w14:paraId="2813FE6B" w14:textId="77777777" w:rsidTr="0015448D">
        <w:tc>
          <w:tcPr>
            <w:tcW w:w="2127" w:type="dxa"/>
          </w:tcPr>
          <w:p w14:paraId="731E24EC" w14:textId="4EA9B008" w:rsidR="00C37675" w:rsidRPr="00AD4CA6" w:rsidRDefault="00EE5860" w:rsidP="00421B32">
            <w:pPr>
              <w:jc w:val="both"/>
              <w:rPr>
                <w:rFonts w:ascii="Bookman Old Style" w:hAnsi="Bookman Old Style"/>
              </w:rPr>
            </w:pPr>
            <m:oMathPara>
              <m:oMath>
                <m:r>
                  <w:rPr>
                    <w:rFonts w:ascii="Cambria Math" w:hAnsi="Cambria Math"/>
                  </w:rPr>
                  <m:t>VP</m:t>
                </m:r>
                <m:d>
                  <m:dPr>
                    <m:ctrlPr>
                      <w:rPr>
                        <w:rFonts w:ascii="Cambria Math" w:hAnsi="Cambria Math"/>
                      </w:rPr>
                    </m:ctrlPr>
                  </m:dPr>
                  <m:e>
                    <m:sSubSup>
                      <m:sSubSupPr>
                        <m:ctrlPr>
                          <w:rPr>
                            <w:rFonts w:ascii="Cambria Math" w:hAnsi="Cambria Math" w:cs="Arial"/>
                            <w:color w:val="000000"/>
                          </w:rPr>
                        </m:ctrlPr>
                      </m:sSubSupPr>
                      <m:e>
                        <m:sSubSup>
                          <m:sSubSupPr>
                            <m:ctrlPr>
                              <w:rPr>
                                <w:rFonts w:ascii="Cambria Math" w:hAnsi="Cambria Math"/>
                              </w:rPr>
                            </m:ctrlPr>
                          </m:sSubSupPr>
                          <m:e>
                            <m:r>
                              <w:rPr>
                                <w:rFonts w:ascii="Cambria Math" w:hAnsi="Cambria Math"/>
                              </w:rPr>
                              <m:t>DEC</m:t>
                            </m:r>
                          </m:e>
                          <m:sub>
                            <m:r>
                              <w:rPr>
                                <w:rFonts w:ascii="Cambria Math" w:hAnsi="Cambria Math"/>
                              </w:rPr>
                              <m:t>t</m:t>
                            </m:r>
                          </m:sub>
                          <m:sup>
                            <m:r>
                              <w:rPr>
                                <w:rFonts w:ascii="Cambria Math" w:hAnsi="Cambria Math"/>
                              </w:rPr>
                              <m:t>a</m:t>
                            </m:r>
                          </m:sup>
                        </m:sSubSup>
                        <m:r>
                          <m:rPr>
                            <m:sty m:val="p"/>
                          </m:rPr>
                          <w:rPr>
                            <w:rFonts w:ascii="Cambria Math" w:hAnsi="Cambria Math" w:cs="Arial"/>
                            <w:color w:val="000000"/>
                          </w:rPr>
                          <m:t>+</m:t>
                        </m:r>
                        <m:sSubSup>
                          <m:sSubSupPr>
                            <m:ctrlPr>
                              <w:rPr>
                                <w:rFonts w:ascii="Cambria Math" w:hAnsi="Cambria Math"/>
                                <w:i/>
                                <w:lang w:val="en-US"/>
                              </w:rPr>
                            </m:ctrlPr>
                          </m:sSubSupPr>
                          <m:e>
                            <m:r>
                              <w:rPr>
                                <w:rFonts w:ascii="Cambria Math" w:hAnsi="Cambria Math"/>
                                <w:lang w:val="en-US"/>
                              </w:rPr>
                              <m:t>DEC</m:t>
                            </m:r>
                          </m:e>
                          <m:sub>
                            <m:r>
                              <w:rPr>
                                <w:rFonts w:ascii="Cambria Math" w:hAnsi="Cambria Math"/>
                                <w:lang w:val="en-US"/>
                              </w:rPr>
                              <m:t>t</m:t>
                            </m:r>
                          </m:sub>
                          <m:sup>
                            <m:r>
                              <w:rPr>
                                <w:rFonts w:ascii="Cambria Math" w:hAnsi="Cambria Math"/>
                                <w:lang w:val="en-US"/>
                              </w:rPr>
                              <m:t>PNI</m:t>
                            </m:r>
                            <m:r>
                              <w:rPr>
                                <w:rFonts w:ascii="Cambria Math" w:hAnsi="Cambria Math"/>
                                <w:lang w:val="es-ES"/>
                              </w:rPr>
                              <m:t>_</m:t>
                            </m:r>
                            <m:r>
                              <w:rPr>
                                <w:rFonts w:ascii="Cambria Math" w:hAnsi="Cambria Math"/>
                                <w:lang w:val="en-US"/>
                              </w:rPr>
                              <m:t>II</m:t>
                            </m:r>
                          </m:sup>
                        </m:sSubSup>
                        <m:r>
                          <m:rPr>
                            <m:sty m:val="p"/>
                          </m:rPr>
                          <w:rPr>
                            <w:rFonts w:ascii="Cambria Math" w:hAnsi="Cambria Math" w:cs="Arial"/>
                            <w:color w:val="000000"/>
                          </w:rPr>
                          <m:t>+DEC</m:t>
                        </m:r>
                      </m:e>
                      <m:sub>
                        <m:r>
                          <m:rPr>
                            <m:sty m:val="p"/>
                          </m:rPr>
                          <w:rPr>
                            <w:rFonts w:ascii="Cambria Math" w:hAnsi="Cambria Math" w:cs="Arial"/>
                            <w:color w:val="000000"/>
                          </w:rPr>
                          <m:t>t</m:t>
                        </m:r>
                      </m:sub>
                      <m:sup>
                        <m:r>
                          <m:rPr>
                            <m:sty m:val="p"/>
                          </m:rPr>
                          <w:rPr>
                            <w:rFonts w:ascii="Cambria Math" w:hAnsi="Cambria Math" w:cs="Arial"/>
                            <w:color w:val="000000"/>
                          </w:rPr>
                          <m:t>IAC</m:t>
                        </m:r>
                      </m:sup>
                    </m:sSubSup>
                    <m:r>
                      <m:rPr>
                        <m:sty m:val="p"/>
                      </m:rPr>
                      <w:rPr>
                        <w:rFonts w:ascii="Cambria Math" w:hAnsi="Cambria Math"/>
                      </w:rPr>
                      <m:t>,</m:t>
                    </m:r>
                    <m:r>
                      <w:rPr>
                        <w:rFonts w:ascii="Cambria Math" w:hAnsi="Cambria Math"/>
                      </w:rPr>
                      <m:t>Tkc</m:t>
                    </m:r>
                  </m:e>
                </m:d>
                <m:r>
                  <w:rPr>
                    <w:rFonts w:ascii="Cambria Math" w:hAnsi="Cambria Math"/>
                  </w:rPr>
                  <m:t>:</m:t>
                </m:r>
              </m:oMath>
            </m:oMathPara>
          </w:p>
        </w:tc>
        <w:tc>
          <w:tcPr>
            <w:tcW w:w="6661" w:type="dxa"/>
          </w:tcPr>
          <w:p w14:paraId="5E97C43D" w14:textId="095D6A3F" w:rsidR="00EE5860" w:rsidRPr="00AD4CA6" w:rsidRDefault="00EE5860" w:rsidP="00EE5860">
            <w:pPr>
              <w:jc w:val="both"/>
              <w:rPr>
                <w:rFonts w:ascii="Bookman Old Style" w:hAnsi="Bookman Old Style"/>
                <w:color w:val="000000"/>
              </w:rPr>
            </w:pPr>
            <w:r w:rsidRPr="00AD4CA6">
              <w:rPr>
                <w:rFonts w:ascii="Bookman Old Style" w:hAnsi="Bookman Old Style"/>
                <w:color w:val="000000"/>
              </w:rPr>
              <w:t xml:space="preserve">Valor presente de la demanda esperada de capacidad </w:t>
            </w:r>
            <m:oMath>
              <m:sSubSup>
                <m:sSubSupPr>
                  <m:ctrlPr>
                    <w:rPr>
                      <w:rFonts w:ascii="Cambria Math" w:hAnsi="Cambria Math"/>
                      <w:color w:val="000000"/>
                    </w:rPr>
                  </m:ctrlPr>
                </m:sSubSupPr>
                <m:e>
                  <m:sSubSup>
                    <m:sSubSupPr>
                      <m:ctrlPr>
                        <w:rPr>
                          <w:rFonts w:ascii="Cambria Math" w:hAnsi="Cambria Math"/>
                          <w:color w:val="000000"/>
                        </w:rPr>
                      </m:ctrlPr>
                    </m:sSubSupPr>
                    <m:e>
                      <m:r>
                        <w:rPr>
                          <w:rFonts w:ascii="Cambria Math" w:hAnsi="Cambria Math"/>
                          <w:color w:val="000000"/>
                        </w:rPr>
                        <m:t>DEC</m:t>
                      </m:r>
                    </m:e>
                    <m:sub>
                      <m:r>
                        <w:rPr>
                          <w:rFonts w:ascii="Cambria Math" w:hAnsi="Cambria Math"/>
                          <w:color w:val="000000"/>
                        </w:rPr>
                        <m:t>t</m:t>
                      </m:r>
                    </m:sub>
                    <m:sup>
                      <m:r>
                        <w:rPr>
                          <w:rFonts w:ascii="Cambria Math" w:hAnsi="Cambria Math"/>
                          <w:color w:val="000000"/>
                        </w:rPr>
                        <m:t>a</m:t>
                      </m:r>
                    </m:sup>
                  </m:sSubSup>
                  <m:r>
                    <m:rPr>
                      <m:sty m:val="p"/>
                    </m:rPr>
                    <w:rPr>
                      <w:rFonts w:ascii="Cambria Math" w:hAnsi="Cambria Math"/>
                      <w:color w:val="000000"/>
                    </w:rPr>
                    <m:t>+</m:t>
                  </m:r>
                  <m:sSubSup>
                    <m:sSubSupPr>
                      <m:ctrlPr>
                        <w:rPr>
                          <w:rFonts w:ascii="Cambria Math" w:hAnsi="Cambria Math"/>
                          <w:color w:val="000000"/>
                        </w:rPr>
                      </m:ctrlPr>
                    </m:sSubSupPr>
                    <m:e>
                      <m:r>
                        <w:rPr>
                          <w:rFonts w:ascii="Cambria Math" w:hAnsi="Cambria Math"/>
                          <w:color w:val="000000"/>
                        </w:rPr>
                        <m:t>DEC</m:t>
                      </m:r>
                    </m:e>
                    <m:sub>
                      <m:r>
                        <w:rPr>
                          <w:rFonts w:ascii="Cambria Math" w:hAnsi="Cambria Math"/>
                          <w:color w:val="000000"/>
                        </w:rPr>
                        <m:t>t</m:t>
                      </m:r>
                    </m:sub>
                    <m:sup>
                      <m:r>
                        <w:rPr>
                          <w:rFonts w:ascii="Cambria Math" w:hAnsi="Cambria Math"/>
                          <w:color w:val="000000"/>
                        </w:rPr>
                        <m:t>PNI_II</m:t>
                      </m:r>
                    </m:sup>
                  </m:sSubSup>
                  <m:r>
                    <m:rPr>
                      <m:sty m:val="p"/>
                    </m:rPr>
                    <w:rPr>
                      <w:rFonts w:ascii="Cambria Math" w:hAnsi="Cambria Math"/>
                      <w:color w:val="000000"/>
                    </w:rPr>
                    <m:t>+DEC</m:t>
                  </m:r>
                </m:e>
                <m:sub>
                  <m:r>
                    <m:rPr>
                      <m:sty m:val="p"/>
                    </m:rPr>
                    <w:rPr>
                      <w:rFonts w:ascii="Cambria Math" w:hAnsi="Cambria Math"/>
                      <w:color w:val="000000"/>
                    </w:rPr>
                    <m:t>t</m:t>
                  </m:r>
                </m:sub>
                <m:sup>
                  <m:r>
                    <m:rPr>
                      <m:sty m:val="p"/>
                    </m:rPr>
                    <w:rPr>
                      <w:rFonts w:ascii="Cambria Math" w:hAnsi="Cambria Math"/>
                      <w:color w:val="000000"/>
                    </w:rPr>
                    <m:t>IAC</m:t>
                  </m:r>
                </m:sup>
              </m:sSubSup>
            </m:oMath>
            <w:r w:rsidRPr="00AD4CA6">
              <w:rPr>
                <w:rFonts w:ascii="Bookman Old Style" w:hAnsi="Bookman Old Style"/>
                <w:color w:val="000000"/>
              </w:rPr>
              <w:t xml:space="preserve"> , descontadas a la tasa </w:t>
            </w:r>
            <m:oMath>
              <m:r>
                <w:rPr>
                  <w:rFonts w:ascii="Cambria Math" w:hAnsi="Cambria Math"/>
                  <w:color w:val="000000"/>
                </w:rPr>
                <m:t>Tkc</m:t>
              </m:r>
            </m:oMath>
            <w:r w:rsidR="006E6B03" w:rsidRPr="00AD4CA6">
              <w:rPr>
                <w:rFonts w:ascii="Bookman Old Style" w:hAnsi="Bookman Old Style"/>
                <w:color w:val="000000"/>
              </w:rPr>
              <w:t>”</w:t>
            </w:r>
            <w:r w:rsidRPr="00AD4CA6">
              <w:rPr>
                <w:rFonts w:ascii="Bookman Old Style" w:hAnsi="Bookman Old Style"/>
                <w:color w:val="000000"/>
              </w:rPr>
              <w:t>.</w:t>
            </w:r>
          </w:p>
          <w:p w14:paraId="667B6D10" w14:textId="77777777" w:rsidR="00C37675" w:rsidRPr="00AD4CA6" w:rsidRDefault="00C37675" w:rsidP="00421B32">
            <w:pPr>
              <w:jc w:val="both"/>
              <w:rPr>
                <w:rFonts w:ascii="Bookman Old Style" w:hAnsi="Bookman Old Style"/>
              </w:rPr>
            </w:pPr>
          </w:p>
        </w:tc>
      </w:tr>
    </w:tbl>
    <w:p w14:paraId="3F61C9EE" w14:textId="77777777" w:rsidR="008F1A2A" w:rsidRDefault="008F1A2A" w:rsidP="00AF44B9"/>
    <w:p w14:paraId="3092D4CA" w14:textId="3AAF99A5" w:rsidR="00FC79BB" w:rsidRDefault="0044666F" w:rsidP="0044666F">
      <w:pPr>
        <w:pStyle w:val="Estilo5"/>
        <w:keepNext w:val="0"/>
        <w:widowControl w:val="0"/>
        <w:numPr>
          <w:ilvl w:val="0"/>
          <w:numId w:val="0"/>
        </w:numPr>
        <w:tabs>
          <w:tab w:val="left" w:pos="1560"/>
        </w:tabs>
        <w:spacing w:before="0" w:after="0"/>
        <w:rPr>
          <w:rFonts w:ascii="Bookman Old Style" w:hAnsi="Bookman Old Style"/>
          <w:b w:val="0"/>
          <w:color w:val="000000"/>
          <w:sz w:val="24"/>
          <w:szCs w:val="24"/>
        </w:rPr>
      </w:pPr>
      <w:r w:rsidRPr="0044666F">
        <w:rPr>
          <w:rFonts w:ascii="Bookman Old Style" w:hAnsi="Bookman Old Style"/>
          <w:bCs/>
          <w:color w:val="000000"/>
          <w:sz w:val="24"/>
          <w:szCs w:val="24"/>
        </w:rPr>
        <w:t>Artículo 8.</w:t>
      </w:r>
      <w:r>
        <w:rPr>
          <w:rFonts w:ascii="Bookman Old Style" w:hAnsi="Bookman Old Style"/>
          <w:b w:val="0"/>
          <w:color w:val="000000"/>
          <w:sz w:val="24"/>
          <w:szCs w:val="24"/>
        </w:rPr>
        <w:t xml:space="preserve"> </w:t>
      </w:r>
      <w:r w:rsidR="00203598">
        <w:rPr>
          <w:rFonts w:ascii="Bookman Old Style" w:hAnsi="Bookman Old Style"/>
          <w:b w:val="0"/>
          <w:color w:val="000000"/>
          <w:sz w:val="24"/>
          <w:szCs w:val="24"/>
        </w:rPr>
        <w:t xml:space="preserve">Modifíquese </w:t>
      </w:r>
      <w:r w:rsidR="002D2DCD">
        <w:rPr>
          <w:rFonts w:ascii="Bookman Old Style" w:hAnsi="Bookman Old Style"/>
          <w:b w:val="0"/>
          <w:color w:val="000000"/>
          <w:sz w:val="24"/>
          <w:szCs w:val="24"/>
        </w:rPr>
        <w:t xml:space="preserve">los literales </w:t>
      </w:r>
      <w:r w:rsidR="007111F1">
        <w:rPr>
          <w:rFonts w:ascii="Bookman Old Style" w:hAnsi="Bookman Old Style"/>
          <w:b w:val="0"/>
          <w:color w:val="000000"/>
          <w:sz w:val="24"/>
          <w:szCs w:val="24"/>
        </w:rPr>
        <w:t>e)</w:t>
      </w:r>
      <w:r w:rsidR="002D2DCD">
        <w:rPr>
          <w:rFonts w:ascii="Bookman Old Style" w:hAnsi="Bookman Old Style"/>
          <w:b w:val="0"/>
          <w:color w:val="000000"/>
          <w:sz w:val="24"/>
          <w:szCs w:val="24"/>
        </w:rPr>
        <w:t xml:space="preserve"> y f)</w:t>
      </w:r>
      <w:r w:rsidR="007111F1">
        <w:rPr>
          <w:rFonts w:ascii="Bookman Old Style" w:hAnsi="Bookman Old Style"/>
          <w:b w:val="0"/>
          <w:color w:val="000000"/>
          <w:sz w:val="24"/>
          <w:szCs w:val="24"/>
        </w:rPr>
        <w:t xml:space="preserve"> del </w:t>
      </w:r>
      <w:r w:rsidR="00086C78">
        <w:rPr>
          <w:rFonts w:ascii="Bookman Old Style" w:hAnsi="Bookman Old Style"/>
          <w:b w:val="0"/>
          <w:color w:val="000000"/>
          <w:sz w:val="24"/>
          <w:szCs w:val="24"/>
        </w:rPr>
        <w:t>A</w:t>
      </w:r>
      <w:r w:rsidR="007111F1">
        <w:rPr>
          <w:rFonts w:ascii="Bookman Old Style" w:hAnsi="Bookman Old Style"/>
          <w:b w:val="0"/>
          <w:color w:val="000000"/>
          <w:sz w:val="24"/>
          <w:szCs w:val="24"/>
        </w:rPr>
        <w:t xml:space="preserve">rtículo 27 de la Resolución </w:t>
      </w:r>
      <w:proofErr w:type="spellStart"/>
      <w:r w:rsidR="007111F1">
        <w:rPr>
          <w:rFonts w:ascii="Bookman Old Style" w:hAnsi="Bookman Old Style"/>
          <w:b w:val="0"/>
          <w:color w:val="000000"/>
          <w:sz w:val="24"/>
          <w:szCs w:val="24"/>
        </w:rPr>
        <w:t>CREG</w:t>
      </w:r>
      <w:proofErr w:type="spellEnd"/>
      <w:r w:rsidR="007111F1">
        <w:rPr>
          <w:rFonts w:ascii="Bookman Old Style" w:hAnsi="Bookman Old Style"/>
          <w:b w:val="0"/>
          <w:color w:val="000000"/>
          <w:sz w:val="24"/>
          <w:szCs w:val="24"/>
        </w:rPr>
        <w:t xml:space="preserve"> 175 de 202</w:t>
      </w:r>
      <w:r w:rsidR="00B10E0D">
        <w:rPr>
          <w:rFonts w:ascii="Bookman Old Style" w:hAnsi="Bookman Old Style"/>
          <w:b w:val="0"/>
          <w:color w:val="000000"/>
          <w:sz w:val="24"/>
          <w:szCs w:val="24"/>
        </w:rPr>
        <w:t>1</w:t>
      </w:r>
      <w:r w:rsidR="00CD4A9B">
        <w:rPr>
          <w:rFonts w:ascii="Bookman Old Style" w:hAnsi="Bookman Old Style"/>
          <w:b w:val="0"/>
          <w:color w:val="000000"/>
          <w:sz w:val="24"/>
          <w:szCs w:val="24"/>
        </w:rPr>
        <w:t xml:space="preserve"> así</w:t>
      </w:r>
      <w:r w:rsidR="00B10E0D">
        <w:rPr>
          <w:rFonts w:ascii="Bookman Old Style" w:hAnsi="Bookman Old Style"/>
          <w:b w:val="0"/>
          <w:color w:val="000000"/>
          <w:sz w:val="24"/>
          <w:szCs w:val="24"/>
        </w:rPr>
        <w:t>.</w:t>
      </w:r>
    </w:p>
    <w:p w14:paraId="669EAAF8" w14:textId="77777777" w:rsidR="00B10E0D" w:rsidRDefault="00B10E0D" w:rsidP="00AF44B9"/>
    <w:p w14:paraId="45CA12BC" w14:textId="4961B080" w:rsidR="002D2DCD" w:rsidRPr="004416CB" w:rsidRDefault="00E877AA" w:rsidP="00A85503">
      <w:pPr>
        <w:pStyle w:val="Prrafodelista"/>
        <w:widowControl w:val="0"/>
        <w:tabs>
          <w:tab w:val="num" w:pos="284"/>
        </w:tabs>
        <w:ind w:left="284"/>
        <w:rPr>
          <w:rFonts w:cs="Arial"/>
          <w:color w:val="000000"/>
        </w:rPr>
      </w:pPr>
      <w:bookmarkStart w:id="10" w:name="_Ref51230783"/>
      <w:r>
        <w:rPr>
          <w:rFonts w:cs="Arial"/>
          <w:color w:val="000000"/>
        </w:rPr>
        <w:t xml:space="preserve">“e) </w:t>
      </w:r>
      <w:r w:rsidR="002D2DCD" w:rsidRPr="004416CB">
        <w:rPr>
          <w:rFonts w:cs="Arial"/>
          <w:color w:val="000000"/>
        </w:rPr>
        <w:t xml:space="preserve">Si la decisión del transportador es continuar operando el activo existente, </w:t>
      </w:r>
      <w:r w:rsidR="00524AD4">
        <w:rPr>
          <w:rFonts w:cs="Arial"/>
          <w:color w:val="000000"/>
        </w:rPr>
        <w:t xml:space="preserve">se </w:t>
      </w:r>
      <w:r w:rsidR="002D2DCD" w:rsidRPr="004416CB">
        <w:rPr>
          <w:rFonts w:cs="Arial"/>
          <w:color w:val="000000"/>
        </w:rPr>
        <w:t>deberá seguir el siguiente procedimiento:</w:t>
      </w:r>
      <w:bookmarkEnd w:id="10"/>
      <w:r w:rsidR="002D2DCD" w:rsidRPr="004416CB">
        <w:rPr>
          <w:rFonts w:cs="Arial"/>
          <w:color w:val="000000"/>
        </w:rPr>
        <w:t xml:space="preserve"> </w:t>
      </w:r>
    </w:p>
    <w:p w14:paraId="743D936E" w14:textId="77777777" w:rsidR="002D2DCD" w:rsidRPr="004416CB" w:rsidRDefault="002D2DCD" w:rsidP="0089508C">
      <w:pPr>
        <w:pStyle w:val="Prrafodelista"/>
        <w:widowControl w:val="0"/>
        <w:ind w:left="1702" w:hanging="425"/>
        <w:rPr>
          <w:rFonts w:cs="Arial"/>
          <w:color w:val="000000"/>
          <w:szCs w:val="24"/>
        </w:rPr>
      </w:pPr>
    </w:p>
    <w:p w14:paraId="794DDAB1" w14:textId="6B00E4A8" w:rsidR="002D2DCD" w:rsidRPr="004416CB" w:rsidRDefault="002D2DCD" w:rsidP="00950D74">
      <w:pPr>
        <w:pStyle w:val="Prrafodelista"/>
        <w:widowControl w:val="0"/>
        <w:numPr>
          <w:ilvl w:val="8"/>
          <w:numId w:val="23"/>
        </w:numPr>
        <w:ind w:left="993" w:hanging="284"/>
        <w:rPr>
          <w:rFonts w:cs="Arial"/>
          <w:color w:val="000000"/>
          <w:szCs w:val="24"/>
        </w:rPr>
      </w:pPr>
      <w:bookmarkStart w:id="11" w:name="_Ref51230764"/>
      <w:r w:rsidRPr="004416CB">
        <w:rPr>
          <w:rFonts w:cs="Arial"/>
          <w:color w:val="000000"/>
          <w:szCs w:val="24"/>
        </w:rPr>
        <w:t>El transportador declarará el tipo de inversión y su valor, para los siguientes cinco años, que requiere el activo para continuar operando durante su vida útil normativa, con el suficiente detalle y justificación. Esta información deberá ser declarada de acuerdo con</w:t>
      </w:r>
      <w:r w:rsidR="00B666E8">
        <w:rPr>
          <w:rFonts w:cs="Arial"/>
          <w:color w:val="000000"/>
          <w:szCs w:val="24"/>
        </w:rPr>
        <w:t xml:space="preserve"> </w:t>
      </w:r>
      <w:r w:rsidR="00D52493">
        <w:rPr>
          <w:rFonts w:cs="Arial"/>
          <w:color w:val="000000"/>
          <w:szCs w:val="24"/>
        </w:rPr>
        <w:t xml:space="preserve">el </w:t>
      </w:r>
      <w:r w:rsidR="00B666E8">
        <w:rPr>
          <w:rFonts w:cs="Arial"/>
          <w:color w:val="000000"/>
          <w:szCs w:val="24"/>
        </w:rPr>
        <w:t>Anexo 2</w:t>
      </w:r>
      <w:r w:rsidRPr="004416CB">
        <w:rPr>
          <w:rFonts w:cs="Arial"/>
          <w:iCs/>
          <w:color w:val="000000"/>
        </w:rPr>
        <w:t xml:space="preserve"> de la presente resolución</w:t>
      </w:r>
      <w:r w:rsidRPr="004416CB">
        <w:rPr>
          <w:rFonts w:cs="Arial"/>
          <w:color w:val="000000"/>
          <w:szCs w:val="24"/>
        </w:rPr>
        <w:t>.</w:t>
      </w:r>
      <w:bookmarkEnd w:id="11"/>
    </w:p>
    <w:p w14:paraId="3ACBC28B" w14:textId="77777777" w:rsidR="002D2DCD" w:rsidRPr="004416CB" w:rsidRDefault="002D2DCD" w:rsidP="00437617">
      <w:pPr>
        <w:pStyle w:val="Prrafodelista"/>
        <w:widowControl w:val="0"/>
        <w:ind w:left="993" w:hanging="284"/>
        <w:rPr>
          <w:rFonts w:cs="Arial"/>
          <w:color w:val="000000"/>
          <w:szCs w:val="24"/>
        </w:rPr>
      </w:pPr>
    </w:p>
    <w:p w14:paraId="35F32D48" w14:textId="77777777" w:rsidR="002D2DCD" w:rsidRPr="004416CB" w:rsidRDefault="002D2DCD" w:rsidP="00950D74">
      <w:pPr>
        <w:pStyle w:val="Prrafodelista"/>
        <w:widowControl w:val="0"/>
        <w:numPr>
          <w:ilvl w:val="8"/>
          <w:numId w:val="23"/>
        </w:numPr>
        <w:ind w:left="993" w:hanging="284"/>
        <w:rPr>
          <w:rFonts w:cs="Arial"/>
          <w:color w:val="000000"/>
          <w:szCs w:val="24"/>
        </w:rPr>
      </w:pPr>
      <w:r w:rsidRPr="004416CB">
        <w:rPr>
          <w:rFonts w:cs="Arial"/>
          <w:color w:val="000000"/>
          <w:szCs w:val="24"/>
        </w:rPr>
        <w:t>Según el tipo de inversión y el valor de la inversión, la CREG podrá contratar un auditor para: (i) verificar la necesidad de la inversión, y (</w:t>
      </w:r>
      <w:proofErr w:type="spellStart"/>
      <w:r w:rsidRPr="004416CB">
        <w:rPr>
          <w:rFonts w:cs="Arial"/>
          <w:color w:val="000000"/>
          <w:szCs w:val="24"/>
        </w:rPr>
        <w:t>ii</w:t>
      </w:r>
      <w:proofErr w:type="spellEnd"/>
      <w:r w:rsidRPr="004416CB">
        <w:rPr>
          <w:rFonts w:cs="Arial"/>
          <w:color w:val="000000"/>
          <w:szCs w:val="24"/>
        </w:rPr>
        <w:t>) establecer un valor eficiente de referencia de la inversión.</w:t>
      </w:r>
    </w:p>
    <w:p w14:paraId="4D1CF461" w14:textId="77777777" w:rsidR="002D2DCD" w:rsidRPr="004416CB" w:rsidRDefault="002D2DCD" w:rsidP="00437617">
      <w:pPr>
        <w:pStyle w:val="Prrafodelista"/>
        <w:widowControl w:val="0"/>
        <w:ind w:left="993" w:hanging="284"/>
        <w:rPr>
          <w:rFonts w:cs="Arial"/>
          <w:color w:val="000000"/>
          <w:szCs w:val="24"/>
        </w:rPr>
      </w:pPr>
    </w:p>
    <w:p w14:paraId="7A62A832" w14:textId="128C0650" w:rsidR="002214F5" w:rsidRDefault="002D2DCD" w:rsidP="00950D74">
      <w:pPr>
        <w:pStyle w:val="Prrafodelista"/>
        <w:widowControl w:val="0"/>
        <w:numPr>
          <w:ilvl w:val="8"/>
          <w:numId w:val="23"/>
        </w:numPr>
        <w:ind w:left="993" w:hanging="284"/>
        <w:rPr>
          <w:rFonts w:cs="Arial"/>
          <w:color w:val="000000"/>
          <w:szCs w:val="24"/>
        </w:rPr>
      </w:pPr>
      <w:r w:rsidRPr="004416CB">
        <w:rPr>
          <w:rFonts w:cs="Arial"/>
          <w:color w:val="000000"/>
          <w:szCs w:val="24"/>
        </w:rPr>
        <w:t>En la determinación de los cargos tarifarios, la CREG incluirá</w:t>
      </w:r>
      <w:r w:rsidR="001C34DE">
        <w:rPr>
          <w:rFonts w:cs="Arial"/>
          <w:color w:val="000000"/>
          <w:szCs w:val="24"/>
        </w:rPr>
        <w:t>:</w:t>
      </w:r>
    </w:p>
    <w:p w14:paraId="3580BDA4" w14:textId="77777777" w:rsidR="004445BF" w:rsidRPr="00396483" w:rsidRDefault="004445BF" w:rsidP="003B28B6">
      <w:pPr>
        <w:pStyle w:val="NormalWeb"/>
        <w:spacing w:before="0" w:beforeAutospacing="0" w:after="0" w:afterAutospacing="0" w:line="0" w:lineRule="atLeast"/>
      </w:pPr>
    </w:p>
    <w:p w14:paraId="3EA600FB" w14:textId="77777777" w:rsidR="006825AE" w:rsidRDefault="00C11A15" w:rsidP="00950D74">
      <w:pPr>
        <w:pStyle w:val="Prrafodelista"/>
        <w:widowControl w:val="0"/>
        <w:numPr>
          <w:ilvl w:val="0"/>
          <w:numId w:val="24"/>
        </w:numPr>
        <w:ind w:left="1418" w:hanging="425"/>
        <w:contextualSpacing/>
        <w:rPr>
          <w:rFonts w:cs="Arial"/>
          <w:color w:val="000000"/>
        </w:rPr>
      </w:pPr>
      <w:r>
        <w:rPr>
          <w:rFonts w:cs="Arial"/>
          <w:color w:val="000000"/>
        </w:rPr>
        <w:t>E</w:t>
      </w:r>
      <w:r w:rsidR="002D2DCD" w:rsidRPr="0089508C">
        <w:rPr>
          <w:rFonts w:cs="Arial"/>
          <w:color w:val="000000"/>
        </w:rPr>
        <w:t>l valor de las inversiones eficientes calculadas en el liter</w:t>
      </w:r>
      <w:r w:rsidR="002D2DCD" w:rsidRPr="009813C4">
        <w:rPr>
          <w:rFonts w:cs="Arial"/>
          <w:color w:val="000000"/>
        </w:rPr>
        <w:t xml:space="preserve">al </w:t>
      </w:r>
      <w:r w:rsidR="00AF1CC9" w:rsidRPr="009813C4">
        <w:rPr>
          <w:rFonts w:cs="Arial"/>
          <w:color w:val="000000"/>
        </w:rPr>
        <w:t>vi)</w:t>
      </w:r>
      <w:r w:rsidR="002D2DCD" w:rsidRPr="009813C4">
        <w:rPr>
          <w:rFonts w:cs="Arial"/>
          <w:color w:val="000000"/>
        </w:rPr>
        <w:t xml:space="preserve"> qu</w:t>
      </w:r>
      <w:r w:rsidR="002D2DCD" w:rsidRPr="0089508C">
        <w:rPr>
          <w:rFonts w:cs="Arial"/>
          <w:color w:val="000000"/>
        </w:rPr>
        <w:t xml:space="preserve">e requiere el transportador para mantener en operación el activo. En este caso, el </w:t>
      </w:r>
      <w:proofErr w:type="spellStart"/>
      <w:r w:rsidR="002D2DCD" w:rsidRPr="0089508C">
        <w:rPr>
          <w:rFonts w:cs="Arial"/>
          <w:color w:val="000000"/>
        </w:rPr>
        <w:t>AOM</w:t>
      </w:r>
      <w:proofErr w:type="spellEnd"/>
      <w:r w:rsidR="002D2DCD" w:rsidRPr="0089508C">
        <w:rPr>
          <w:rFonts w:cs="Arial"/>
          <w:color w:val="000000"/>
        </w:rPr>
        <w:t xml:space="preserve"> y la demanda de capacidad y de volumen serán los previstos para el respectivo tramo, antes de su reemplazo.</w:t>
      </w:r>
    </w:p>
    <w:p w14:paraId="2F7F06BE" w14:textId="77777777" w:rsidR="00774844" w:rsidRPr="00774844" w:rsidRDefault="00774844" w:rsidP="00723AB0">
      <w:pPr>
        <w:contextualSpacing/>
      </w:pPr>
    </w:p>
    <w:p w14:paraId="2D9859C5" w14:textId="70011423" w:rsidR="003C64CA" w:rsidRDefault="00774844" w:rsidP="00950D74">
      <w:pPr>
        <w:pStyle w:val="Prrafodelista"/>
        <w:widowControl w:val="0"/>
        <w:numPr>
          <w:ilvl w:val="0"/>
          <w:numId w:val="24"/>
        </w:numPr>
        <w:ind w:left="1418" w:hanging="425"/>
        <w:contextualSpacing/>
      </w:pPr>
      <w:r>
        <w:t xml:space="preserve">El costo de </w:t>
      </w:r>
      <w:r w:rsidR="000435E3">
        <w:t>oportunidad</w:t>
      </w:r>
      <w:r w:rsidR="004441AC">
        <w:t xml:space="preserve"> para los activos que cump</w:t>
      </w:r>
      <w:r w:rsidR="00FF5785">
        <w:t>lan</w:t>
      </w:r>
      <w:r w:rsidR="004441AC">
        <w:t xml:space="preserve"> las siguientes condiciones:</w:t>
      </w:r>
    </w:p>
    <w:p w14:paraId="319337CA" w14:textId="77777777" w:rsidR="00723AB0" w:rsidRPr="00723AB0" w:rsidRDefault="00723AB0" w:rsidP="00723AB0"/>
    <w:p w14:paraId="477A8621" w14:textId="07E1087E" w:rsidR="003C64CA" w:rsidRPr="003C64CA" w:rsidRDefault="003C64CA" w:rsidP="00950D74">
      <w:pPr>
        <w:pStyle w:val="Prrafodelista"/>
        <w:numPr>
          <w:ilvl w:val="0"/>
          <w:numId w:val="43"/>
        </w:numPr>
        <w:ind w:left="2127"/>
      </w:pPr>
      <w:r w:rsidRPr="003C64CA">
        <w:t xml:space="preserve">El activo </w:t>
      </w:r>
      <w:r w:rsidR="00FF5785">
        <w:t xml:space="preserve">cumple </w:t>
      </w:r>
      <w:r w:rsidRPr="003C64CA">
        <w:t>periodo de vida útil normativo</w:t>
      </w:r>
      <w:r w:rsidR="00FF5785">
        <w:t xml:space="preserve"> </w:t>
      </w:r>
      <w:bookmarkStart w:id="12" w:name="_Hlk139969789"/>
      <w:r w:rsidR="00FF5785">
        <w:t>durante el periodo tarifario t.</w:t>
      </w:r>
      <w:r w:rsidRPr="003C64CA">
        <w:t xml:space="preserve"> </w:t>
      </w:r>
      <w:bookmarkEnd w:id="12"/>
    </w:p>
    <w:p w14:paraId="42787721" w14:textId="77777777" w:rsidR="003C64CA" w:rsidRPr="003C64CA" w:rsidRDefault="003C64CA" w:rsidP="00947662">
      <w:pPr>
        <w:ind w:left="2127"/>
      </w:pPr>
    </w:p>
    <w:p w14:paraId="227F1058" w14:textId="5F0F9048" w:rsidR="003C64CA" w:rsidRPr="003C64CA" w:rsidRDefault="003C64CA" w:rsidP="00950D74">
      <w:pPr>
        <w:pStyle w:val="Prrafodelista"/>
        <w:numPr>
          <w:ilvl w:val="0"/>
          <w:numId w:val="43"/>
        </w:numPr>
        <w:ind w:left="2127"/>
      </w:pPr>
      <w:r w:rsidRPr="003C64CA">
        <w:t>El activo está en operación y puede seguir en operación comercial</w:t>
      </w:r>
      <w:r w:rsidR="004A567A">
        <w:t xml:space="preserve"> durante el periodo tarifario t.</w:t>
      </w:r>
    </w:p>
    <w:p w14:paraId="7FA2D442" w14:textId="77777777" w:rsidR="003C64CA" w:rsidRPr="003C64CA" w:rsidRDefault="003C64CA" w:rsidP="00947662">
      <w:pPr>
        <w:ind w:left="2127"/>
      </w:pPr>
    </w:p>
    <w:p w14:paraId="24B5F571" w14:textId="731F0810" w:rsidR="003C64CA" w:rsidRPr="003C64CA" w:rsidRDefault="003C64CA" w:rsidP="00950D74">
      <w:pPr>
        <w:pStyle w:val="Prrafodelista"/>
        <w:numPr>
          <w:ilvl w:val="0"/>
          <w:numId w:val="43"/>
        </w:numPr>
        <w:ind w:left="2127"/>
      </w:pPr>
      <w:r w:rsidRPr="003C64CA">
        <w:t>El activo se necesita para la prestación del servicio</w:t>
      </w:r>
      <w:r w:rsidR="004A567A">
        <w:t xml:space="preserve"> durante el periodo tarifario t.</w:t>
      </w:r>
    </w:p>
    <w:p w14:paraId="7395C77D" w14:textId="77777777" w:rsidR="003C64CA" w:rsidRPr="003C64CA" w:rsidRDefault="003C64CA" w:rsidP="00947662">
      <w:pPr>
        <w:ind w:left="2127"/>
      </w:pPr>
    </w:p>
    <w:p w14:paraId="2F01E7B4" w14:textId="088550A4" w:rsidR="003C64CA" w:rsidRPr="003C64CA" w:rsidRDefault="003C64CA" w:rsidP="00950D74">
      <w:pPr>
        <w:pStyle w:val="Prrafodelista"/>
        <w:numPr>
          <w:ilvl w:val="0"/>
          <w:numId w:val="43"/>
        </w:numPr>
        <w:ind w:left="2127"/>
      </w:pPr>
      <w:r w:rsidRPr="003C64CA">
        <w:t>El activo no es objeto de remuneración en alguno de los proyectos de los planes de abastecimiento de gas natural.</w:t>
      </w:r>
    </w:p>
    <w:p w14:paraId="3B00CDB7" w14:textId="77777777" w:rsidR="00081AFF" w:rsidRPr="00081AFF" w:rsidRDefault="00081AFF" w:rsidP="00723AB0">
      <w:pPr>
        <w:pStyle w:val="NormalWeb"/>
        <w:spacing w:before="0" w:beforeAutospacing="0" w:after="0" w:afterAutospacing="0" w:line="240" w:lineRule="auto"/>
        <w:ind w:left="1418" w:hanging="425"/>
        <w:contextualSpacing/>
        <w:rPr>
          <w:lang w:val="es-CO"/>
        </w:rPr>
      </w:pPr>
    </w:p>
    <w:p w14:paraId="0EB2AE5B" w14:textId="256EE619" w:rsidR="00F5698A" w:rsidRPr="00AD4CA6" w:rsidRDefault="00C062DC" w:rsidP="00396483">
      <w:pPr>
        <w:pStyle w:val="Prrafodelista"/>
        <w:widowControl w:val="0"/>
        <w:numPr>
          <w:ilvl w:val="0"/>
          <w:numId w:val="24"/>
        </w:numPr>
        <w:ind w:left="1418" w:hanging="425"/>
        <w:contextualSpacing/>
        <w:rPr>
          <w:rFonts w:cs="Arial"/>
          <w:color w:val="000000"/>
          <w:szCs w:val="24"/>
        </w:rPr>
      </w:pPr>
      <w:r>
        <w:rPr>
          <w:rFonts w:cs="Arial"/>
          <w:color w:val="000000"/>
          <w:szCs w:val="24"/>
        </w:rPr>
        <w:lastRenderedPageBreak/>
        <w:t>La estimació</w:t>
      </w:r>
      <w:r w:rsidR="0044086D">
        <w:rPr>
          <w:rFonts w:cs="Arial"/>
          <w:color w:val="000000"/>
          <w:szCs w:val="24"/>
        </w:rPr>
        <w:t>n del</w:t>
      </w:r>
      <w:r w:rsidR="00CA65FB" w:rsidRPr="00AD4CA6">
        <w:rPr>
          <w:rFonts w:cs="Arial"/>
          <w:color w:val="000000"/>
          <w:szCs w:val="24"/>
        </w:rPr>
        <w:t xml:space="preserve"> c</w:t>
      </w:r>
      <w:r w:rsidR="00CF4265" w:rsidRPr="00AD4CA6">
        <w:rPr>
          <w:rFonts w:cs="Arial"/>
          <w:color w:val="000000"/>
          <w:szCs w:val="24"/>
        </w:rPr>
        <w:t xml:space="preserve">osto de oportunidad </w:t>
      </w:r>
      <w:r w:rsidR="006E39D6" w:rsidRPr="00AD4CA6">
        <w:rPr>
          <w:rFonts w:cs="Arial"/>
          <w:color w:val="000000"/>
          <w:szCs w:val="24"/>
        </w:rPr>
        <w:t>por</w:t>
      </w:r>
      <w:r w:rsidR="00CF4265" w:rsidRPr="00AD4CA6">
        <w:rPr>
          <w:rFonts w:cs="Arial"/>
          <w:color w:val="000000"/>
          <w:szCs w:val="24"/>
        </w:rPr>
        <w:t xml:space="preserve"> mantener </w:t>
      </w:r>
      <w:r w:rsidR="00DA29C8" w:rsidRPr="00AD4CA6">
        <w:rPr>
          <w:rFonts w:cs="Arial"/>
          <w:color w:val="000000"/>
          <w:szCs w:val="24"/>
        </w:rPr>
        <w:t xml:space="preserve">en operación </w:t>
      </w:r>
      <w:r w:rsidR="00CF4265" w:rsidRPr="00AD4CA6">
        <w:rPr>
          <w:rFonts w:cs="Arial"/>
          <w:color w:val="000000"/>
          <w:szCs w:val="24"/>
        </w:rPr>
        <w:t xml:space="preserve">los activos que </w:t>
      </w:r>
      <w:r w:rsidR="00AE2E96" w:rsidRPr="00AD4CA6">
        <w:rPr>
          <w:rFonts w:cs="Arial"/>
          <w:color w:val="000000"/>
          <w:szCs w:val="24"/>
        </w:rPr>
        <w:t>cumplen</w:t>
      </w:r>
      <w:r w:rsidR="00BF29D3" w:rsidRPr="00AD4CA6">
        <w:rPr>
          <w:rFonts w:cs="Arial"/>
          <w:color w:val="000000"/>
          <w:szCs w:val="24"/>
        </w:rPr>
        <w:t xml:space="preserve"> el periodo de vida útil normativa,</w:t>
      </w:r>
      <w:r w:rsidR="00BD3E8B" w:rsidRPr="00AD4CA6">
        <w:rPr>
          <w:rFonts w:cs="Arial"/>
          <w:color w:val="000000"/>
          <w:szCs w:val="24"/>
        </w:rPr>
        <w:t xml:space="preserve"> </w:t>
      </w:r>
      <m:oMath>
        <m:r>
          <w:rPr>
            <w:rFonts w:ascii="Cambria Math" w:hAnsi="Cambria Math"/>
            <w:szCs w:val="24"/>
          </w:rPr>
          <m:t>RVUN</m:t>
        </m:r>
      </m:oMath>
      <w:r w:rsidR="00E62AD8" w:rsidRPr="00AD4CA6">
        <w:rPr>
          <w:rFonts w:cs="Arial"/>
          <w:color w:val="000000"/>
          <w:szCs w:val="24"/>
        </w:rPr>
        <w:t xml:space="preserve">, </w:t>
      </w:r>
      <w:r w:rsidR="001768A2" w:rsidRPr="00AD4CA6">
        <w:rPr>
          <w:rFonts w:cs="Arial"/>
          <w:color w:val="000000"/>
          <w:szCs w:val="24"/>
        </w:rPr>
        <w:t>en el periodo tarifario t</w:t>
      </w:r>
      <w:r w:rsidR="0044086D">
        <w:rPr>
          <w:rFonts w:cs="Arial"/>
          <w:color w:val="000000"/>
          <w:szCs w:val="24"/>
        </w:rPr>
        <w:t>, se realizará</w:t>
      </w:r>
      <w:r w:rsidR="00377FFE" w:rsidRPr="00AD4CA6">
        <w:rPr>
          <w:rFonts w:cs="Arial"/>
          <w:color w:val="000000"/>
          <w:szCs w:val="24"/>
        </w:rPr>
        <w:t xml:space="preserve"> conforme a los siguientes pasos</w:t>
      </w:r>
      <w:r w:rsidR="0068475E" w:rsidRPr="00AD4CA6">
        <w:rPr>
          <w:rFonts w:cs="Arial"/>
          <w:color w:val="000000"/>
          <w:szCs w:val="24"/>
        </w:rPr>
        <w:t>:</w:t>
      </w:r>
    </w:p>
    <w:p w14:paraId="6F94AC53" w14:textId="77777777" w:rsidR="004C279B" w:rsidRPr="004C279B" w:rsidRDefault="004C279B" w:rsidP="00723AB0">
      <w:pPr>
        <w:contextualSpacing/>
      </w:pPr>
    </w:p>
    <w:p w14:paraId="00A4A270" w14:textId="2CABB573" w:rsidR="0068475E" w:rsidRDefault="0068475E" w:rsidP="00723AB0">
      <w:pPr>
        <w:pStyle w:val="NormalWeb"/>
        <w:spacing w:before="0" w:beforeAutospacing="0" w:after="0" w:afterAutospacing="0" w:line="240" w:lineRule="auto"/>
        <w:ind w:left="1418"/>
        <w:contextualSpacing/>
        <w:rPr>
          <w:lang w:val="es-CO"/>
        </w:rPr>
      </w:pPr>
      <w:r>
        <w:rPr>
          <w:lang w:val="es-CO"/>
        </w:rPr>
        <w:t>Paso 1</w:t>
      </w:r>
      <w:r w:rsidR="00805065">
        <w:rPr>
          <w:lang w:val="es-CO"/>
        </w:rPr>
        <w:t>:</w:t>
      </w:r>
    </w:p>
    <w:p w14:paraId="60B0D2AA" w14:textId="77777777" w:rsidR="00EA2EA8" w:rsidRDefault="00EA2EA8" w:rsidP="00723AB0">
      <w:pPr>
        <w:pStyle w:val="NormalWeb"/>
        <w:spacing w:before="0" w:beforeAutospacing="0" w:after="0" w:afterAutospacing="0" w:line="240" w:lineRule="auto"/>
        <w:ind w:left="1418"/>
        <w:contextualSpacing/>
        <w:rPr>
          <w:lang w:val="es-CO"/>
        </w:rPr>
      </w:pPr>
    </w:p>
    <w:p w14:paraId="39F6437B" w14:textId="58E3DE5A" w:rsidR="006D4EE9" w:rsidRDefault="006D4EE9" w:rsidP="006D4EE9">
      <w:pPr>
        <w:pStyle w:val="NormalWeb"/>
        <w:spacing w:before="0" w:beforeAutospacing="0" w:after="0" w:afterAutospacing="0" w:line="240" w:lineRule="auto"/>
        <w:ind w:left="1418"/>
        <w:contextualSpacing/>
        <w:rPr>
          <w:lang w:val="es-CO"/>
        </w:rPr>
      </w:pPr>
      <w:r>
        <w:rPr>
          <w:lang w:val="es-CO"/>
        </w:rPr>
        <w:t xml:space="preserve">Aplicar la siguiente ecuación a cada uno de los activos que cumplen vida útil normativa </w:t>
      </w:r>
      <w:proofErr w:type="spellStart"/>
      <w:r>
        <w:rPr>
          <w:lang w:val="es-CO"/>
        </w:rPr>
        <w:t>VUN</w:t>
      </w:r>
      <w:proofErr w:type="spellEnd"/>
      <w:r w:rsidR="00934925">
        <w:rPr>
          <w:lang w:val="es-CO"/>
        </w:rPr>
        <w:t xml:space="preserve"> para cada tramo regulatorio</w:t>
      </w:r>
      <w:r w:rsidR="00EE6DAF">
        <w:rPr>
          <w:lang w:val="es-CO"/>
        </w:rPr>
        <w:t xml:space="preserve"> y grupo de gasoductos</w:t>
      </w:r>
      <w:r w:rsidR="006458D4">
        <w:rPr>
          <w:lang w:val="es-CO"/>
        </w:rPr>
        <w:t>,</w:t>
      </w:r>
      <w:r>
        <w:rPr>
          <w:lang w:val="es-CO"/>
        </w:rPr>
        <w:t xml:space="preserve"> y actualizarlos acorde a lo dispuesto en el artículo </w:t>
      </w:r>
      <w:r w:rsidR="002A264B">
        <w:rPr>
          <w:lang w:val="es-CO"/>
        </w:rPr>
        <w:t>28 de la presente resolución</w:t>
      </w:r>
      <w:r w:rsidR="00175FA1">
        <w:rPr>
          <w:lang w:val="es-CO"/>
        </w:rPr>
        <w:t>:</w:t>
      </w:r>
    </w:p>
    <w:p w14:paraId="3787958F" w14:textId="77777777" w:rsidR="006D4EE9" w:rsidRDefault="006D4EE9" w:rsidP="006D4EE9">
      <w:pPr>
        <w:pStyle w:val="NormalWeb"/>
        <w:spacing w:before="0" w:beforeAutospacing="0" w:after="0" w:afterAutospacing="0" w:line="240" w:lineRule="auto"/>
        <w:ind w:left="1418"/>
        <w:contextualSpacing/>
        <w:rPr>
          <w:lang w:val="es-CO"/>
        </w:rPr>
      </w:pPr>
    </w:p>
    <w:p w14:paraId="67815A8D" w14:textId="0AB8382E" w:rsidR="006D4EE9" w:rsidRPr="00947662" w:rsidRDefault="00EA2EA8" w:rsidP="006D4EE9">
      <w:pPr>
        <w:pStyle w:val="Estilo3"/>
        <w:widowControl w:val="0"/>
        <w:tabs>
          <w:tab w:val="left" w:pos="0"/>
        </w:tabs>
        <w:ind w:left="284"/>
        <w:jc w:val="both"/>
        <w:rPr>
          <w:rFonts w:ascii="Bookman Old Style" w:hAnsi="Bookman Old Style" w:cs="Arial"/>
          <w:bCs/>
          <w:color w:val="000000"/>
          <w:sz w:val="32"/>
          <w:szCs w:val="32"/>
        </w:rPr>
      </w:pPr>
      <m:oMathPara>
        <m:oMath>
          <m:r>
            <w:rPr>
              <w:rFonts w:ascii="Cambria Math" w:hAnsi="Cambria Math"/>
              <w:sz w:val="24"/>
              <w:szCs w:val="24"/>
            </w:rPr>
            <m:t>RVUN</m:t>
          </m:r>
          <m:r>
            <m:rPr>
              <m:sty m:val="p"/>
            </m:rPr>
            <w:rPr>
              <w:rFonts w:ascii="Cambria Math" w:hAnsi="Cambria Math"/>
              <w:sz w:val="24"/>
              <w:szCs w:val="24"/>
              <w:lang w:val="en-US"/>
            </w:rPr>
            <m:t>=</m:t>
          </m:r>
          <m:r>
            <w:rPr>
              <w:rFonts w:ascii="Cambria Math" w:hAnsi="Cambria Math"/>
              <w:sz w:val="24"/>
              <w:szCs w:val="24"/>
              <w:lang w:val="en-US"/>
            </w:rPr>
            <m:t>VP</m:t>
          </m:r>
          <m:d>
            <m:dPr>
              <m:ctrlPr>
                <w:rPr>
                  <w:rFonts w:ascii="Cambria Math" w:hAnsi="Cambria Math"/>
                  <w:sz w:val="24"/>
                  <w:szCs w:val="24"/>
                  <w:lang w:val="en-US"/>
                </w:rPr>
              </m:ctrlPr>
            </m:dPr>
            <m:e>
              <m:d>
                <m:dPr>
                  <m:ctrlPr>
                    <w:rPr>
                      <w:rFonts w:ascii="Cambria Math" w:hAnsi="Cambria Math"/>
                      <w:i/>
                      <w:iCs/>
                      <w:sz w:val="24"/>
                      <w:szCs w:val="24"/>
                      <w:lang w:val="es-CO"/>
                    </w:rPr>
                  </m:ctrlPr>
                </m:dPr>
                <m:e>
                  <m:sSub>
                    <m:sSubPr>
                      <m:ctrlPr>
                        <w:rPr>
                          <w:rFonts w:ascii="Cambria Math" w:hAnsi="Cambria Math"/>
                          <w:i/>
                          <w:sz w:val="24"/>
                          <w:szCs w:val="24"/>
                          <w:lang w:val="es-ES"/>
                        </w:rPr>
                      </m:ctrlPr>
                    </m:sSubPr>
                    <m:e>
                      <m:r>
                        <w:rPr>
                          <w:rFonts w:ascii="Cambria Math" w:hAnsi="Cambria Math"/>
                          <w:sz w:val="24"/>
                          <w:szCs w:val="24"/>
                          <w:lang w:val="es-ES"/>
                        </w:rPr>
                        <m:t>IE</m:t>
                      </m:r>
                    </m:e>
                    <m:sub>
                      <m:r>
                        <w:rPr>
                          <w:rFonts w:ascii="Cambria Math" w:hAnsi="Cambria Math"/>
                          <w:sz w:val="24"/>
                          <w:szCs w:val="24"/>
                          <w:lang w:val="es-ES"/>
                        </w:rPr>
                        <m:t>t</m:t>
                      </m:r>
                    </m:sub>
                  </m:sSub>
                  <m:r>
                    <w:rPr>
                      <w:rFonts w:ascii="Cambria Math" w:hAnsi="Cambria Math"/>
                      <w:sz w:val="24"/>
                      <w:szCs w:val="24"/>
                      <w:lang w:val="es-CO"/>
                    </w:rPr>
                    <m:t>×PA</m:t>
                  </m:r>
                </m:e>
              </m:d>
              <m:r>
                <w:rPr>
                  <w:rFonts w:ascii="Cambria Math" w:hAnsi="Cambria Math"/>
                  <w:sz w:val="24"/>
                  <w:szCs w:val="24"/>
                  <w:lang w:val="es-ES"/>
                </w:rPr>
                <m:t>×T</m:t>
              </m:r>
              <m:r>
                <w:rPr>
                  <w:rFonts w:ascii="Cambria Math" w:hAnsi="Cambria Math"/>
                  <w:sz w:val="24"/>
                  <w:szCs w:val="24"/>
                  <w:lang w:val="es-CO"/>
                </w:rPr>
                <m:t>AD</m:t>
              </m:r>
              <m:r>
                <m:rPr>
                  <m:sty m:val="p"/>
                </m:rPr>
                <w:rPr>
                  <w:rFonts w:ascii="Cambria Math" w:hAnsi="Cambria Math"/>
                  <w:sz w:val="24"/>
                  <w:szCs w:val="24"/>
                  <w:lang w:val="en-US"/>
                </w:rPr>
                <m:t>,</m:t>
              </m:r>
              <m:r>
                <w:rPr>
                  <w:rFonts w:ascii="Cambria Math" w:hAnsi="Cambria Math"/>
                  <w:sz w:val="24"/>
                  <w:szCs w:val="24"/>
                  <w:lang w:val="en-US"/>
                </w:rPr>
                <m:t>Tkc,n</m:t>
              </m:r>
            </m:e>
          </m:d>
        </m:oMath>
      </m:oMathPara>
    </w:p>
    <w:p w14:paraId="687BB7A0" w14:textId="77777777" w:rsidR="006D4EE9" w:rsidRPr="00444901" w:rsidRDefault="006D4EE9" w:rsidP="006D4EE9">
      <w:pPr>
        <w:jc w:val="both"/>
        <w:rPr>
          <w:rFonts w:ascii="Bookman Old Style" w:hAnsi="Bookman Old Style"/>
          <w:lang w:val="es-ES_tradnl"/>
        </w:rPr>
      </w:pPr>
    </w:p>
    <w:p w14:paraId="6D405E3F" w14:textId="77777777" w:rsidR="006D4EE9" w:rsidRPr="004416CB" w:rsidRDefault="006D4EE9" w:rsidP="00396483">
      <w:pPr>
        <w:ind w:left="851" w:firstLine="425"/>
        <w:jc w:val="both"/>
        <w:rPr>
          <w:rFonts w:ascii="Bookman Old Style" w:hAnsi="Bookman Old Style"/>
        </w:rPr>
      </w:pPr>
      <w:r w:rsidRPr="004416CB">
        <w:rPr>
          <w:rFonts w:ascii="Bookman Old Style" w:hAnsi="Bookman Old Style"/>
        </w:rPr>
        <w:t>Donde:</w:t>
      </w:r>
    </w:p>
    <w:p w14:paraId="596C9105" w14:textId="77777777" w:rsidR="006D4EE9" w:rsidRDefault="006D4EE9" w:rsidP="006D4EE9">
      <w:pPr>
        <w:jc w:val="both"/>
        <w:rPr>
          <w:rFonts w:ascii="Bookman Old Style" w:hAnsi="Bookman Old Style"/>
        </w:rPr>
      </w:pPr>
    </w:p>
    <w:tbl>
      <w:tblPr>
        <w:tblStyle w:val="Tablaconcuadrcula"/>
        <w:tblW w:w="673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4873"/>
      </w:tblGrid>
      <w:tr w:rsidR="00AE6F9C" w:rsidRPr="00AD4CA6" w14:paraId="3BCB42C8" w14:textId="77777777" w:rsidTr="00947662">
        <w:tc>
          <w:tcPr>
            <w:tcW w:w="1863" w:type="dxa"/>
          </w:tcPr>
          <w:p w14:paraId="6E25B3DF" w14:textId="591C6C5B" w:rsidR="00AE6F9C" w:rsidRPr="00AD4CA6" w:rsidRDefault="000174B2" w:rsidP="00AE6F9C">
            <w:pPr>
              <w:ind w:left="-113"/>
              <w:jc w:val="both"/>
              <w:rPr>
                <w:rFonts w:ascii="Bookman Old Style" w:hAnsi="Bookman Old Style"/>
              </w:rPr>
            </w:pPr>
            <m:oMath>
              <m:r>
                <w:rPr>
                  <w:rFonts w:ascii="Cambria Math" w:hAnsi="Cambria Math" w:cs="Arial"/>
                  <w:color w:val="000000"/>
                </w:rPr>
                <m:t>RVUN</m:t>
              </m:r>
            </m:oMath>
            <w:r w:rsidR="00AE6F9C" w:rsidRPr="00AD4CA6">
              <w:rPr>
                <w:rFonts w:ascii="Bookman Old Style" w:hAnsi="Bookman Old Style"/>
                <w:color w:val="000000"/>
              </w:rPr>
              <w:t>:</w:t>
            </w:r>
          </w:p>
        </w:tc>
        <w:tc>
          <w:tcPr>
            <w:tcW w:w="4873" w:type="dxa"/>
          </w:tcPr>
          <w:p w14:paraId="3FA7F617" w14:textId="778353AD" w:rsidR="00AE6F9C" w:rsidRDefault="00AE6F9C" w:rsidP="00AE6F9C">
            <w:pPr>
              <w:jc w:val="both"/>
              <w:rPr>
                <w:rFonts w:ascii="Bookman Old Style" w:hAnsi="Bookman Old Style" w:cs="Arial"/>
              </w:rPr>
            </w:pPr>
            <w:r w:rsidRPr="00AD4CA6">
              <w:rPr>
                <w:rFonts w:ascii="Bookman Old Style" w:hAnsi="Bookman Old Style" w:cs="Arial"/>
                <w:color w:val="000000"/>
              </w:rPr>
              <w:t xml:space="preserve">Costo de oportunidad por mantener en operación los activos que cumplen el periodo de vida útil normativa, </w:t>
            </w:r>
            <m:oMath>
              <m:r>
                <w:rPr>
                  <w:rFonts w:ascii="Cambria Math" w:hAnsi="Cambria Math"/>
                </w:rPr>
                <m:t>RVUN</m:t>
              </m:r>
            </m:oMath>
            <w:r w:rsidRPr="00AD4CA6">
              <w:rPr>
                <w:rFonts w:ascii="Bookman Old Style" w:hAnsi="Bookman Old Style" w:cs="Arial"/>
              </w:rPr>
              <w:t xml:space="preserve">, conforme a las disposiciones del literal </w:t>
            </w:r>
            <w:r w:rsidR="00C97887">
              <w:rPr>
                <w:rFonts w:ascii="Bookman Old Style" w:hAnsi="Bookman Old Style" w:cs="Arial"/>
              </w:rPr>
              <w:t>b</w:t>
            </w:r>
            <w:r w:rsidRPr="00AD4CA6">
              <w:rPr>
                <w:rFonts w:ascii="Bookman Old Style" w:hAnsi="Bookman Old Style" w:cs="Arial"/>
              </w:rPr>
              <w:t xml:space="preserve">) del </w:t>
            </w:r>
            <w:r>
              <w:rPr>
                <w:rFonts w:ascii="Bookman Old Style" w:hAnsi="Bookman Old Style" w:cs="Arial"/>
              </w:rPr>
              <w:t>A</w:t>
            </w:r>
            <w:r w:rsidRPr="00AD4CA6">
              <w:rPr>
                <w:rFonts w:ascii="Bookman Old Style" w:hAnsi="Bookman Old Style" w:cs="Arial"/>
              </w:rPr>
              <w:t>rtículo 27 de la presente resolución</w:t>
            </w:r>
            <w:r w:rsidR="00E658A2">
              <w:rPr>
                <w:rFonts w:ascii="Bookman Old Style" w:hAnsi="Bookman Old Style" w:cs="Arial"/>
              </w:rPr>
              <w:t xml:space="preserve"> expresado en pesos colombianos de la fecha base</w:t>
            </w:r>
            <w:r w:rsidRPr="00AD4CA6">
              <w:rPr>
                <w:rFonts w:ascii="Bookman Old Style" w:hAnsi="Bookman Old Style" w:cs="Arial"/>
              </w:rPr>
              <w:t>.</w:t>
            </w:r>
          </w:p>
          <w:p w14:paraId="37726CF8" w14:textId="5718C2E7" w:rsidR="00C97887" w:rsidRPr="00AD4CA6" w:rsidRDefault="00C97887" w:rsidP="00AE6F9C">
            <w:pPr>
              <w:jc w:val="both"/>
              <w:rPr>
                <w:rFonts w:ascii="Bookman Old Style" w:hAnsi="Bookman Old Style"/>
              </w:rPr>
            </w:pPr>
          </w:p>
        </w:tc>
      </w:tr>
      <w:tr w:rsidR="00AE6F9C" w:rsidRPr="00AD4CA6" w14:paraId="113F81B7" w14:textId="77777777" w:rsidTr="00947662">
        <w:tc>
          <w:tcPr>
            <w:tcW w:w="1863" w:type="dxa"/>
          </w:tcPr>
          <w:p w14:paraId="7FCDC094" w14:textId="77777777" w:rsidR="00AE6F9C" w:rsidRPr="00AD4CA6" w:rsidRDefault="00000000">
            <w:pPr>
              <w:jc w:val="both"/>
              <w:rPr>
                <w:rFonts w:ascii="Bookman Old Style" w:hAnsi="Bookman Old Style"/>
              </w:rPr>
            </w:pPr>
            <m:oMath>
              <m:sSub>
                <m:sSubPr>
                  <m:ctrlPr>
                    <w:rPr>
                      <w:rFonts w:ascii="Cambria Math" w:hAnsi="Cambria Math"/>
                      <w:i/>
                    </w:rPr>
                  </m:ctrlPr>
                </m:sSubPr>
                <m:e>
                  <m:r>
                    <w:rPr>
                      <w:rFonts w:ascii="Cambria Math" w:hAnsi="Cambria Math"/>
                    </w:rPr>
                    <m:t>IE</m:t>
                  </m:r>
                </m:e>
                <m:sub>
                  <m:r>
                    <w:rPr>
                      <w:rFonts w:ascii="Cambria Math" w:hAnsi="Cambria Math"/>
                    </w:rPr>
                    <m:t>t</m:t>
                  </m:r>
                </m:sub>
              </m:sSub>
            </m:oMath>
            <w:r w:rsidR="00AE6F9C" w:rsidRPr="00AD4CA6">
              <w:rPr>
                <w:rFonts w:ascii="Bookman Old Style" w:hAnsi="Bookman Old Style"/>
              </w:rPr>
              <w:t>:</w:t>
            </w:r>
          </w:p>
        </w:tc>
        <w:tc>
          <w:tcPr>
            <w:tcW w:w="4873" w:type="dxa"/>
          </w:tcPr>
          <w:p w14:paraId="1361EA60" w14:textId="6D52A274" w:rsidR="00AE6F9C" w:rsidRPr="00AD4CA6" w:rsidRDefault="00AE6F9C">
            <w:pPr>
              <w:jc w:val="both"/>
              <w:rPr>
                <w:rFonts w:ascii="Bookman Old Style" w:hAnsi="Bookman Old Style"/>
              </w:rPr>
            </w:pPr>
            <w:r w:rsidRPr="00AD4CA6">
              <w:rPr>
                <w:rFonts w:ascii="Bookman Old Style" w:hAnsi="Bookman Old Style"/>
              </w:rPr>
              <w:t>Valor de la inversión existente</w:t>
            </w:r>
            <w:r w:rsidR="00B17667">
              <w:rPr>
                <w:rFonts w:ascii="Bookman Old Style" w:hAnsi="Bookman Old Style"/>
              </w:rPr>
              <w:t xml:space="preserve"> que es objeto del reconocimiento de un costo de oportunidad</w:t>
            </w:r>
            <w:r w:rsidRPr="00AD4CA6">
              <w:rPr>
                <w:rFonts w:ascii="Bookman Old Style" w:hAnsi="Bookman Old Style"/>
              </w:rPr>
              <w:t>, expresado en pesos colombianos de la fecha base.</w:t>
            </w:r>
          </w:p>
          <w:p w14:paraId="2E691B0D" w14:textId="77777777" w:rsidR="00AE6F9C" w:rsidRPr="00AD4CA6" w:rsidRDefault="00AE6F9C">
            <w:pPr>
              <w:jc w:val="both"/>
              <w:rPr>
                <w:rFonts w:ascii="Bookman Old Style" w:hAnsi="Bookman Old Style"/>
              </w:rPr>
            </w:pPr>
          </w:p>
        </w:tc>
      </w:tr>
      <w:tr w:rsidR="00AE6F9C" w:rsidRPr="00AD4CA6" w14:paraId="63CBAF75" w14:textId="77777777" w:rsidTr="00947662">
        <w:tc>
          <w:tcPr>
            <w:tcW w:w="1863" w:type="dxa"/>
          </w:tcPr>
          <w:p w14:paraId="4C60019A" w14:textId="709DCBDB" w:rsidR="00AE6F9C" w:rsidRPr="00846C6C" w:rsidRDefault="004F1135">
            <w:pPr>
              <w:jc w:val="both"/>
              <w:rPr>
                <w:rFonts w:ascii="Bookman Old Style" w:hAnsi="Bookman Old Style"/>
              </w:rPr>
            </w:pPr>
            <m:oMathPara>
              <m:oMathParaPr>
                <m:jc m:val="left"/>
              </m:oMathParaPr>
              <m:oMath>
                <m:r>
                  <w:rPr>
                    <w:rFonts w:ascii="Cambria Math" w:hAnsi="Cambria Math"/>
                    <w:sz w:val="20"/>
                  </w:rPr>
                  <m:t>PA</m:t>
                </m:r>
              </m:oMath>
            </m:oMathPara>
          </w:p>
        </w:tc>
        <w:tc>
          <w:tcPr>
            <w:tcW w:w="4873" w:type="dxa"/>
          </w:tcPr>
          <w:p w14:paraId="1A2A4CA9" w14:textId="54121044" w:rsidR="00AE6F9C" w:rsidRPr="00AD4CA6" w:rsidRDefault="00A85E36">
            <w:pPr>
              <w:jc w:val="both"/>
              <w:rPr>
                <w:rFonts w:ascii="Bookman Old Style" w:hAnsi="Bookman Old Style"/>
              </w:rPr>
            </w:pPr>
            <w:r>
              <w:rPr>
                <w:rFonts w:ascii="Bookman Old Style" w:hAnsi="Bookman Old Style"/>
              </w:rPr>
              <w:t xml:space="preserve">Constante de </w:t>
            </w:r>
            <w:r w:rsidR="00090B59">
              <w:rPr>
                <w:rFonts w:ascii="Bookman Old Style" w:hAnsi="Bookman Old Style"/>
              </w:rPr>
              <w:t xml:space="preserve">ponderación </w:t>
            </w:r>
            <w:r w:rsidR="000C45B1">
              <w:rPr>
                <w:rFonts w:ascii="Bookman Old Style" w:hAnsi="Bookman Old Style"/>
              </w:rPr>
              <w:t>correspondiente al valor de 69.8%</w:t>
            </w:r>
          </w:p>
        </w:tc>
      </w:tr>
      <w:tr w:rsidR="00AE6F9C" w:rsidRPr="00AD4CA6" w14:paraId="3C474405" w14:textId="77777777" w:rsidTr="00947662">
        <w:tc>
          <w:tcPr>
            <w:tcW w:w="1863" w:type="dxa"/>
          </w:tcPr>
          <w:p w14:paraId="181700F6" w14:textId="5C3C7FB2" w:rsidR="00AE6F9C" w:rsidRPr="00AD4CA6" w:rsidRDefault="00AE6F9C">
            <w:pPr>
              <w:jc w:val="both"/>
              <w:rPr>
                <w:rFonts w:ascii="Bookman Old Style" w:hAnsi="Bookman Old Style"/>
              </w:rPr>
            </w:pPr>
          </w:p>
        </w:tc>
        <w:tc>
          <w:tcPr>
            <w:tcW w:w="4873" w:type="dxa"/>
          </w:tcPr>
          <w:p w14:paraId="458C8E98" w14:textId="6AA34A2D" w:rsidR="00AE6F9C" w:rsidRPr="00AD4CA6" w:rsidRDefault="00AE6F9C">
            <w:pPr>
              <w:jc w:val="both"/>
              <w:rPr>
                <w:rFonts w:ascii="Bookman Old Style" w:hAnsi="Bookman Old Style"/>
              </w:rPr>
            </w:pPr>
          </w:p>
        </w:tc>
      </w:tr>
      <w:tr w:rsidR="00AE6F9C" w:rsidRPr="00AD4CA6" w14:paraId="49B0D5C8" w14:textId="77777777" w:rsidTr="00947662">
        <w:tc>
          <w:tcPr>
            <w:tcW w:w="1863" w:type="dxa"/>
          </w:tcPr>
          <w:p w14:paraId="150955C0" w14:textId="19BC6667" w:rsidR="00AE6F9C" w:rsidRPr="00AD4CA6" w:rsidRDefault="000E5283">
            <w:pPr>
              <w:jc w:val="both"/>
              <w:rPr>
                <w:rFonts w:ascii="Bookman Old Style" w:hAnsi="Bookman Old Style"/>
              </w:rPr>
            </w:pPr>
            <w:proofErr w:type="spellStart"/>
            <w:r>
              <w:rPr>
                <w:rFonts w:ascii="Bookman Old Style" w:hAnsi="Bookman Old Style"/>
              </w:rPr>
              <w:t>TAD</w:t>
            </w:r>
            <w:proofErr w:type="spellEnd"/>
          </w:p>
        </w:tc>
        <w:tc>
          <w:tcPr>
            <w:tcW w:w="4873" w:type="dxa"/>
          </w:tcPr>
          <w:p w14:paraId="59535E29" w14:textId="27A33B63" w:rsidR="00F57475" w:rsidRPr="003074EC" w:rsidRDefault="003074EC" w:rsidP="003074EC">
            <w:pPr>
              <w:jc w:val="both"/>
              <w:rPr>
                <w:rFonts w:ascii="Bookman Old Style" w:hAnsi="Bookman Old Style"/>
              </w:rPr>
            </w:pPr>
            <w:r w:rsidRPr="003074EC">
              <w:rPr>
                <w:rFonts w:ascii="Bookman Old Style" w:hAnsi="Bookman Old Style"/>
              </w:rPr>
              <w:t xml:space="preserve">Costo de oportunidad asociado al riesgo del activo en el negocio para un activo que ya </w:t>
            </w:r>
            <w:r w:rsidR="00EA2EA8">
              <w:rPr>
                <w:rFonts w:ascii="Bookman Old Style" w:hAnsi="Bookman Old Style"/>
              </w:rPr>
              <w:t>cumplió su vida útil normativa</w:t>
            </w:r>
          </w:p>
          <w:p w14:paraId="768439F8" w14:textId="77777777" w:rsidR="00AE6F9C" w:rsidRPr="00AD4CA6" w:rsidRDefault="00AE6F9C">
            <w:pPr>
              <w:jc w:val="both"/>
              <w:rPr>
                <w:rFonts w:ascii="Bookman Old Style" w:hAnsi="Bookman Old Style"/>
              </w:rPr>
            </w:pPr>
          </w:p>
        </w:tc>
      </w:tr>
      <w:tr w:rsidR="002E280D" w:rsidRPr="00AD4CA6" w14:paraId="6DDD2E55" w14:textId="77777777" w:rsidTr="00947662">
        <w:tc>
          <w:tcPr>
            <w:tcW w:w="1863" w:type="dxa"/>
          </w:tcPr>
          <w:p w14:paraId="200628B5" w14:textId="0D004BA3" w:rsidR="002E280D" w:rsidRPr="00AD4CA6" w:rsidRDefault="002E280D" w:rsidP="002E280D">
            <w:pPr>
              <w:jc w:val="both"/>
              <w:rPr>
                <w:rFonts w:ascii="Bookman Old Style" w:hAnsi="Bookman Old Style"/>
              </w:rPr>
            </w:pPr>
            <m:oMath>
              <m:r>
                <w:rPr>
                  <w:rFonts w:ascii="Cambria Math" w:hAnsi="Cambria Math" w:cs="Arial"/>
                  <w:lang w:val="es-ES_tradnl"/>
                </w:rPr>
                <m:t>Tkc</m:t>
              </m:r>
            </m:oMath>
            <w:r w:rsidRPr="00AD4CA6">
              <w:rPr>
                <w:rFonts w:ascii="Bookman Old Style" w:hAnsi="Bookman Old Style"/>
                <w:lang w:val="es-ES_tradnl"/>
              </w:rPr>
              <w:t>:</w:t>
            </w:r>
          </w:p>
        </w:tc>
        <w:tc>
          <w:tcPr>
            <w:tcW w:w="4873" w:type="dxa"/>
          </w:tcPr>
          <w:p w14:paraId="5F626BE7" w14:textId="77777777" w:rsidR="002E280D" w:rsidRPr="00AD4CA6" w:rsidRDefault="002E280D" w:rsidP="002E280D">
            <w:pPr>
              <w:jc w:val="both"/>
              <w:rPr>
                <w:rFonts w:ascii="Bookman Old Style" w:hAnsi="Bookman Old Style"/>
                <w:color w:val="000000"/>
              </w:rPr>
            </w:pPr>
            <w:r w:rsidRPr="00AD4CA6">
              <w:rPr>
                <w:rFonts w:ascii="Bookman Old Style" w:hAnsi="Bookman Old Style"/>
                <w:color w:val="000000"/>
              </w:rPr>
              <w:t>Tasa promedio de costo de capital, real antes de impuestos, remunerado por servicios de capacidad a través de cargos fijos expresados en pesos colombianos.</w:t>
            </w:r>
          </w:p>
          <w:p w14:paraId="2754736F" w14:textId="0C572798" w:rsidR="002E280D" w:rsidRPr="00AD4CA6" w:rsidRDefault="002E280D" w:rsidP="002E280D">
            <w:pPr>
              <w:jc w:val="both"/>
              <w:rPr>
                <w:rFonts w:ascii="Bookman Old Style" w:hAnsi="Bookman Old Style"/>
              </w:rPr>
            </w:pPr>
          </w:p>
        </w:tc>
      </w:tr>
      <w:tr w:rsidR="00AE6F9C" w:rsidRPr="00AD4CA6" w14:paraId="16B7430E" w14:textId="77777777" w:rsidTr="00947662">
        <w:tc>
          <w:tcPr>
            <w:tcW w:w="1863" w:type="dxa"/>
          </w:tcPr>
          <w:p w14:paraId="594757E2" w14:textId="58AF0D9C" w:rsidR="00AE6F9C" w:rsidRPr="00AD4CA6" w:rsidRDefault="002E280D">
            <w:pPr>
              <w:jc w:val="both"/>
              <w:rPr>
                <w:rFonts w:ascii="Bookman Old Style" w:hAnsi="Bookman Old Style"/>
              </w:rPr>
            </w:pPr>
            <w:r>
              <w:rPr>
                <w:rFonts w:ascii="Bookman Old Style" w:hAnsi="Bookman Old Style"/>
              </w:rPr>
              <w:t>n</w:t>
            </w:r>
          </w:p>
        </w:tc>
        <w:tc>
          <w:tcPr>
            <w:tcW w:w="4873" w:type="dxa"/>
          </w:tcPr>
          <w:p w14:paraId="21034D40" w14:textId="08F2916F" w:rsidR="00AE6F9C" w:rsidRPr="00AD4CA6" w:rsidRDefault="002E280D">
            <w:pPr>
              <w:jc w:val="both"/>
              <w:rPr>
                <w:rFonts w:ascii="Bookman Old Style" w:hAnsi="Bookman Old Style"/>
              </w:rPr>
            </w:pPr>
            <w:r>
              <w:rPr>
                <w:rFonts w:ascii="Bookman Old Style" w:hAnsi="Bookman Old Style"/>
              </w:rPr>
              <w:t>Periodo para descontar el flujo: 20 años</w:t>
            </w:r>
          </w:p>
        </w:tc>
      </w:tr>
      <w:tr w:rsidR="00F220DF" w:rsidRPr="00AD4CA6" w14:paraId="22AF73CB" w14:textId="77777777" w:rsidTr="003A6019">
        <w:tc>
          <w:tcPr>
            <w:tcW w:w="1863" w:type="dxa"/>
          </w:tcPr>
          <w:p w14:paraId="3C272C94" w14:textId="77777777" w:rsidR="00F220DF" w:rsidRDefault="00F220DF">
            <w:pPr>
              <w:jc w:val="both"/>
              <w:rPr>
                <w:rFonts w:ascii="Bookman Old Style" w:hAnsi="Bookman Old Style"/>
              </w:rPr>
            </w:pPr>
          </w:p>
        </w:tc>
        <w:tc>
          <w:tcPr>
            <w:tcW w:w="4873" w:type="dxa"/>
          </w:tcPr>
          <w:p w14:paraId="45E5F9DD" w14:textId="77777777" w:rsidR="00F220DF" w:rsidRDefault="00F220DF">
            <w:pPr>
              <w:jc w:val="both"/>
              <w:rPr>
                <w:rFonts w:ascii="Bookman Old Style" w:hAnsi="Bookman Old Style"/>
              </w:rPr>
            </w:pPr>
          </w:p>
        </w:tc>
      </w:tr>
      <w:tr w:rsidR="00AE6F9C" w:rsidRPr="00AD4CA6" w14:paraId="3E9D35C8" w14:textId="77777777" w:rsidTr="00947662">
        <w:tc>
          <w:tcPr>
            <w:tcW w:w="1863" w:type="dxa"/>
          </w:tcPr>
          <w:p w14:paraId="320FCB16" w14:textId="25A9F0D5" w:rsidR="00AE6F9C" w:rsidRPr="00AD4CA6" w:rsidRDefault="00801D18">
            <w:pPr>
              <w:jc w:val="both"/>
              <w:rPr>
                <w:rFonts w:ascii="Bookman Old Style" w:hAnsi="Bookman Old Style"/>
              </w:rPr>
            </w:pPr>
            <m:oMathPara>
              <m:oMath>
                <m:r>
                  <w:rPr>
                    <w:rFonts w:ascii="Cambria Math" w:hAnsi="Cambria Math"/>
                    <w:sz w:val="20"/>
                    <w:lang w:val="en-US"/>
                  </w:rPr>
                  <m:t>VP</m:t>
                </m:r>
                <m:d>
                  <m:dPr>
                    <m:ctrlPr>
                      <w:rPr>
                        <w:rFonts w:ascii="Cambria Math" w:hAnsi="Cambria Math"/>
                        <w:sz w:val="20"/>
                        <w:lang w:val="en-US"/>
                      </w:rPr>
                    </m:ctrlPr>
                  </m:dPr>
                  <m:e>
                    <m:d>
                      <m:dPr>
                        <m:ctrlPr>
                          <w:rPr>
                            <w:rFonts w:ascii="Cambria Math" w:hAnsi="Cambria Math"/>
                            <w:i/>
                            <w:iCs/>
                            <w:sz w:val="20"/>
                          </w:rPr>
                        </m:ctrlPr>
                      </m:dPr>
                      <m:e>
                        <m:r>
                          <w:rPr>
                            <w:rFonts w:ascii="Cambria Math" w:hAnsi="Cambria Math"/>
                            <w:sz w:val="20"/>
                            <w:lang w:val="es-ES"/>
                          </w:rPr>
                          <m:t>IE</m:t>
                        </m:r>
                        <m:r>
                          <w:rPr>
                            <w:rFonts w:ascii="Cambria Math" w:hAnsi="Cambria Math"/>
                            <w:sz w:val="20"/>
                          </w:rPr>
                          <m:t>×PA</m:t>
                        </m:r>
                      </m:e>
                    </m:d>
                    <m:r>
                      <w:rPr>
                        <w:rFonts w:ascii="Cambria Math" w:hAnsi="Cambria Math"/>
                        <w:sz w:val="20"/>
                        <w:lang w:val="es-ES"/>
                      </w:rPr>
                      <m:t>×T</m:t>
                    </m:r>
                    <m:r>
                      <w:rPr>
                        <w:rFonts w:ascii="Cambria Math" w:hAnsi="Cambria Math"/>
                        <w:sz w:val="20"/>
                      </w:rPr>
                      <m:t>AD</m:t>
                    </m:r>
                    <m:r>
                      <m:rPr>
                        <m:sty m:val="p"/>
                      </m:rPr>
                      <w:rPr>
                        <w:rFonts w:ascii="Cambria Math" w:hAnsi="Cambria Math"/>
                        <w:sz w:val="20"/>
                        <w:lang w:val="en-US"/>
                      </w:rPr>
                      <m:t>,</m:t>
                    </m:r>
                    <m:r>
                      <w:rPr>
                        <w:rFonts w:ascii="Cambria Math" w:hAnsi="Cambria Math"/>
                        <w:sz w:val="20"/>
                        <w:lang w:val="en-US"/>
                      </w:rPr>
                      <m:t>Tkc,n</m:t>
                    </m:r>
                  </m:e>
                </m:d>
              </m:oMath>
            </m:oMathPara>
          </w:p>
        </w:tc>
        <w:tc>
          <w:tcPr>
            <w:tcW w:w="4873" w:type="dxa"/>
          </w:tcPr>
          <w:p w14:paraId="22EECF8E" w14:textId="2556B704" w:rsidR="00AE6F9C" w:rsidRPr="00AD4CA6" w:rsidRDefault="00AE6F9C">
            <w:pPr>
              <w:jc w:val="both"/>
              <w:rPr>
                <w:rFonts w:ascii="Bookman Old Style" w:hAnsi="Bookman Old Style"/>
              </w:rPr>
            </w:pPr>
            <w:r w:rsidRPr="00AD4CA6">
              <w:rPr>
                <w:rFonts w:ascii="Bookman Old Style" w:hAnsi="Bookman Old Style"/>
              </w:rPr>
              <w:t xml:space="preserve">Valor presente </w:t>
            </w:r>
            <w:r w:rsidR="00801D18">
              <w:rPr>
                <w:rFonts w:ascii="Bookman Old Style" w:hAnsi="Bookman Old Style"/>
              </w:rPr>
              <w:t>de</w:t>
            </w:r>
            <w:r w:rsidR="00F15FD9">
              <w:rPr>
                <w:rFonts w:ascii="Bookman Old Style" w:hAnsi="Bookman Old Style"/>
              </w:rPr>
              <w:t xml:space="preserve"> </w:t>
            </w:r>
            <w:r w:rsidR="00F15FD9" w:rsidRPr="00AD4CA6">
              <w:rPr>
                <w:rFonts w:ascii="Bookman Old Style" w:hAnsi="Bookman Old Style" w:cs="Arial"/>
                <w:color w:val="000000"/>
              </w:rPr>
              <w:t xml:space="preserve">Costo de oportunidad por mantener en operación los activos que cumplen el periodo de vida útil normativa, </w:t>
            </w:r>
            <m:oMath>
              <m:r>
                <w:rPr>
                  <w:rFonts w:ascii="Cambria Math" w:hAnsi="Cambria Math"/>
                </w:rPr>
                <m:t>RVUN</m:t>
              </m:r>
            </m:oMath>
            <w:r w:rsidR="00F15FD9" w:rsidRPr="00AD4CA6">
              <w:rPr>
                <w:rFonts w:ascii="Bookman Old Style" w:hAnsi="Bookman Old Style" w:cs="Arial"/>
              </w:rPr>
              <w:t>,</w:t>
            </w:r>
            <w:r w:rsidR="00F220DF">
              <w:rPr>
                <w:rFonts w:ascii="Bookman Old Style" w:hAnsi="Bookman Old Style" w:cs="Arial"/>
              </w:rPr>
              <w:t>desde el año 1 hasta el año n</w:t>
            </w:r>
          </w:p>
        </w:tc>
      </w:tr>
    </w:tbl>
    <w:p w14:paraId="476FECB4" w14:textId="77777777" w:rsidR="004C279B" w:rsidRDefault="004C279B" w:rsidP="00723AB0">
      <w:pPr>
        <w:pStyle w:val="NormalWeb"/>
        <w:spacing w:before="0" w:beforeAutospacing="0" w:after="0" w:afterAutospacing="0" w:line="240" w:lineRule="auto"/>
        <w:ind w:left="1418"/>
        <w:contextualSpacing/>
        <w:rPr>
          <w:lang w:val="es-CO"/>
        </w:rPr>
      </w:pPr>
    </w:p>
    <w:p w14:paraId="56DBAFB8" w14:textId="77777777" w:rsidR="00537720" w:rsidRDefault="00537720" w:rsidP="00723AB0">
      <w:pPr>
        <w:pStyle w:val="NormalWeb"/>
        <w:spacing w:before="0" w:beforeAutospacing="0" w:after="0" w:afterAutospacing="0" w:line="240" w:lineRule="auto"/>
        <w:ind w:left="1418"/>
        <w:contextualSpacing/>
        <w:rPr>
          <w:lang w:val="es-CO"/>
        </w:rPr>
      </w:pPr>
    </w:p>
    <w:p w14:paraId="6B881A03" w14:textId="022F0F5D" w:rsidR="00537720" w:rsidRDefault="00537720" w:rsidP="00947662">
      <w:pPr>
        <w:pStyle w:val="NormalWeb"/>
        <w:spacing w:before="0" w:beforeAutospacing="0" w:after="0" w:afterAutospacing="0" w:line="240" w:lineRule="auto"/>
        <w:ind w:left="284"/>
        <w:contextualSpacing/>
        <w:rPr>
          <w:lang w:val="es-CO"/>
        </w:rPr>
      </w:pPr>
      <w:r>
        <w:rPr>
          <w:lang w:val="es-CO"/>
        </w:rPr>
        <w:t xml:space="preserve">Donde </w:t>
      </w:r>
      <w:proofErr w:type="spellStart"/>
      <w:r>
        <w:rPr>
          <w:lang w:val="es-CO"/>
        </w:rPr>
        <w:t>TAD</w:t>
      </w:r>
      <w:proofErr w:type="spellEnd"/>
      <w:r w:rsidR="00446E56">
        <w:rPr>
          <w:lang w:val="es-CO"/>
        </w:rPr>
        <w:t xml:space="preserve"> considera las variables para </w:t>
      </w:r>
      <w:r w:rsidR="003B217E">
        <w:rPr>
          <w:lang w:val="es-CO"/>
        </w:rPr>
        <w:t>cálculo</w:t>
      </w:r>
      <w:r w:rsidR="00446E56">
        <w:rPr>
          <w:lang w:val="es-CO"/>
        </w:rPr>
        <w:t xml:space="preserve"> de la tasa de descuento </w:t>
      </w:r>
      <w:proofErr w:type="spellStart"/>
      <w:r w:rsidR="003B217E" w:rsidRPr="000817A4">
        <w:t>Tkc</w:t>
      </w:r>
      <w:proofErr w:type="spellEnd"/>
    </w:p>
    <w:p w14:paraId="3D8462CD" w14:textId="77777777" w:rsidR="00537720" w:rsidRDefault="00537720" w:rsidP="00723AB0">
      <w:pPr>
        <w:pStyle w:val="NormalWeb"/>
        <w:spacing w:before="0" w:beforeAutospacing="0" w:after="0" w:afterAutospacing="0" w:line="240" w:lineRule="auto"/>
        <w:ind w:left="1418"/>
        <w:contextualSpacing/>
        <w:rPr>
          <w:lang w:val="es-CO"/>
        </w:rPr>
      </w:pPr>
    </w:p>
    <w:p w14:paraId="5A5C07CE" w14:textId="6BF8CC53" w:rsidR="00537720" w:rsidRPr="00537720" w:rsidRDefault="00537720" w:rsidP="00537720">
      <w:pPr>
        <w:pStyle w:val="NormalWeb"/>
        <w:ind w:left="1418"/>
        <w:contextualSpacing/>
      </w:pPr>
      <m:oMathPara>
        <m:oMathParaPr>
          <m:jc m:val="centerGroup"/>
        </m:oMathParaPr>
        <m:oMath>
          <m:r>
            <w:rPr>
              <w:rFonts w:ascii="Cambria Math" w:hAnsi="Cambria Math"/>
            </w:rPr>
            <m:t>TAD=</m:t>
          </m:r>
          <m:d>
            <m:dPr>
              <m:ctrlPr>
                <w:rPr>
                  <w:rFonts w:ascii="Cambria Math" w:hAnsi="Cambria Math"/>
                  <w:i/>
                  <w:iCs/>
                </w:rPr>
              </m:ctrlPr>
            </m:dPr>
            <m:e>
              <m:f>
                <m:fPr>
                  <m:ctrlPr>
                    <w:rPr>
                      <w:rFonts w:ascii="Cambria Math" w:hAnsi="Cambria Math"/>
                      <w:i/>
                      <w:iCs/>
                    </w:rPr>
                  </m:ctrlPr>
                </m:fPr>
                <m:num>
                  <m:f>
                    <m:fPr>
                      <m:ctrlPr>
                        <w:rPr>
                          <w:rFonts w:ascii="Cambria Math" w:hAnsi="Cambria Math"/>
                          <w:i/>
                          <w:iCs/>
                        </w:rPr>
                      </m:ctrlPr>
                    </m:fPr>
                    <m:num>
                      <m:sSub>
                        <m:sSubPr>
                          <m:ctrlPr>
                            <w:rPr>
                              <w:rFonts w:ascii="Cambria Math" w:hAnsi="Cambria Math"/>
                              <w:i/>
                              <w:iCs/>
                            </w:rPr>
                          </m:ctrlPr>
                        </m:sSubPr>
                        <m:e>
                          <m:r>
                            <w:rPr>
                              <w:rFonts w:ascii="Cambria Math" w:hAnsi="Cambria Math"/>
                            </w:rPr>
                            <m:t>ke_cop</m:t>
                          </m:r>
                        </m:e>
                        <m:sub>
                          <m:r>
                            <w:rPr>
                              <w:rFonts w:ascii="Cambria Math" w:hAnsi="Cambria Math"/>
                            </w:rPr>
                            <m:t>τ</m:t>
                          </m:r>
                        </m:sub>
                      </m:sSub>
                      <m:r>
                        <m:rPr>
                          <m:nor/>
                        </m:rPr>
                        <m:t>  </m:t>
                      </m:r>
                    </m:num>
                    <m:den>
                      <m:r>
                        <w:rPr>
                          <w:rFonts w:ascii="Cambria Math" w:hAnsi="Cambria Math"/>
                        </w:rPr>
                        <m:t>1-Tx</m:t>
                      </m:r>
                    </m:den>
                  </m:f>
                  <m:r>
                    <w:rPr>
                      <w:rFonts w:ascii="Cambria Math" w:hAnsi="Cambria Math"/>
                    </w:rPr>
                    <m:t>+1</m:t>
                  </m:r>
                </m:num>
                <m:den>
                  <m:sSub>
                    <m:sSubPr>
                      <m:ctrlPr>
                        <w:rPr>
                          <w:rFonts w:ascii="Cambria Math" w:hAnsi="Cambria Math"/>
                          <w:i/>
                          <w:iCs/>
                        </w:rPr>
                      </m:ctrlPr>
                    </m:sSubPr>
                    <m:e>
                      <m:r>
                        <w:rPr>
                          <w:rFonts w:ascii="Cambria Math" w:hAnsi="Cambria Math"/>
                        </w:rPr>
                        <m:t>π_cop</m:t>
                      </m:r>
                    </m:e>
                    <m:sub>
                      <m:r>
                        <w:rPr>
                          <w:rFonts w:ascii="Cambria Math" w:hAnsi="Cambria Math"/>
                        </w:rPr>
                        <m:t>τ</m:t>
                      </m:r>
                    </m:sub>
                  </m:sSub>
                  <m:r>
                    <w:rPr>
                      <w:rFonts w:ascii="Cambria Math" w:hAnsi="Cambria Math"/>
                    </w:rPr>
                    <m:t>+1</m:t>
                  </m:r>
                </m:den>
              </m:f>
              <m:r>
                <w:rPr>
                  <w:rFonts w:ascii="Cambria Math" w:hAnsi="Cambria Math"/>
                </w:rPr>
                <m:t>-1</m:t>
              </m:r>
            </m:e>
          </m:d>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We</m:t>
                  </m:r>
                </m:e>
                <m:sub>
                  <m:r>
                    <w:rPr>
                      <w:rFonts w:ascii="Cambria Math" w:hAnsi="Cambria Math"/>
                    </w:rPr>
                    <m:t>α,τ</m:t>
                  </m:r>
                </m:sub>
              </m:sSub>
            </m:num>
            <m:den>
              <m:sSub>
                <m:sSubPr>
                  <m:ctrlPr>
                    <w:rPr>
                      <w:rFonts w:ascii="Cambria Math" w:hAnsi="Cambria Math"/>
                      <w:i/>
                      <w:iCs/>
                    </w:rPr>
                  </m:ctrlPr>
                </m:sSubPr>
                <m:e>
                  <m:r>
                    <w:rPr>
                      <w:rFonts w:ascii="Cambria Math" w:hAnsi="Cambria Math"/>
                    </w:rPr>
                    <m:t>We</m:t>
                  </m:r>
                </m:e>
                <m:sub>
                  <m:r>
                    <w:rPr>
                      <w:rFonts w:ascii="Cambria Math" w:hAnsi="Cambria Math"/>
                    </w:rPr>
                    <m:t>α,τ</m:t>
                  </m:r>
                </m:sub>
              </m:sSub>
              <m:r>
                <w:rPr>
                  <w:rFonts w:ascii="Cambria Math" w:hAnsi="Cambria Math"/>
                </w:rPr>
                <m:t>+</m:t>
              </m:r>
              <m:sSub>
                <m:sSubPr>
                  <m:ctrlPr>
                    <w:rPr>
                      <w:rFonts w:ascii="Cambria Math" w:hAnsi="Cambria Math"/>
                      <w:i/>
                      <w:iCs/>
                    </w:rPr>
                  </m:ctrlPr>
                </m:sSubPr>
                <m:e>
                  <m:r>
                    <w:rPr>
                      <w:rFonts w:ascii="Cambria Math" w:hAnsi="Cambria Math"/>
                    </w:rPr>
                    <m:t>Wd</m:t>
                  </m:r>
                </m:e>
                <m:sub>
                  <m:r>
                    <w:rPr>
                      <w:rFonts w:ascii="Cambria Math" w:hAnsi="Cambria Math"/>
                    </w:rPr>
                    <m:t>α,τ</m:t>
                  </m:r>
                </m:sub>
              </m:sSub>
            </m:den>
          </m:f>
        </m:oMath>
      </m:oMathPara>
    </w:p>
    <w:p w14:paraId="15FB4C3C" w14:textId="77777777" w:rsidR="00537720" w:rsidRPr="00947662" w:rsidRDefault="00537720" w:rsidP="00723AB0">
      <w:pPr>
        <w:pStyle w:val="NormalWeb"/>
        <w:spacing w:before="0" w:beforeAutospacing="0" w:after="0" w:afterAutospacing="0" w:line="240" w:lineRule="auto"/>
        <w:ind w:left="1418"/>
        <w:contextualSpacing/>
      </w:pPr>
    </w:p>
    <w:tbl>
      <w:tblPr>
        <w:tblW w:w="5000" w:type="pct"/>
        <w:tblCellMar>
          <w:left w:w="0" w:type="dxa"/>
          <w:right w:w="0" w:type="dxa"/>
        </w:tblCellMar>
        <w:tblLook w:val="0420" w:firstRow="1" w:lastRow="0" w:firstColumn="0" w:lastColumn="0" w:noHBand="0" w:noVBand="1"/>
      </w:tblPr>
      <w:tblGrid>
        <w:gridCol w:w="2931"/>
        <w:gridCol w:w="6141"/>
      </w:tblGrid>
      <w:tr w:rsidR="00D57A39" w:rsidRPr="002E280D" w14:paraId="7C86C86D" w14:textId="77777777" w:rsidTr="00D57A39">
        <w:trPr>
          <w:trHeight w:val="353"/>
        </w:trPr>
        <w:tc>
          <w:tcPr>
            <w:tcW w:w="5000" w:type="pct"/>
            <w:gridSpan w:val="2"/>
            <w:tcBorders>
              <w:top w:val="nil"/>
              <w:left w:val="nil"/>
              <w:bottom w:val="nil"/>
              <w:right w:val="nil"/>
            </w:tcBorders>
            <w:shd w:val="clear" w:color="auto" w:fill="auto"/>
            <w:tcMar>
              <w:top w:w="72" w:type="dxa"/>
              <w:left w:w="144" w:type="dxa"/>
              <w:bottom w:w="72" w:type="dxa"/>
              <w:right w:w="144" w:type="dxa"/>
            </w:tcMar>
            <w:hideMark/>
          </w:tcPr>
          <w:p w14:paraId="0CF70BA7" w14:textId="29D1F17C" w:rsidR="00D57A39" w:rsidRPr="002E280D" w:rsidRDefault="00D57A39" w:rsidP="002E280D">
            <w:pPr>
              <w:pStyle w:val="NormalWeb"/>
              <w:ind w:left="1418"/>
              <w:contextualSpacing/>
            </w:pPr>
            <w:r w:rsidRPr="002E280D">
              <w:t>Donde</w:t>
            </w:r>
            <w:r>
              <w:t xml:space="preserve"> </w:t>
            </w:r>
          </w:p>
        </w:tc>
      </w:tr>
      <w:tr w:rsidR="00EA2EA8" w:rsidRPr="002E280D" w14:paraId="78D09726" w14:textId="77777777" w:rsidTr="00D57A39">
        <w:trPr>
          <w:trHeight w:val="363"/>
        </w:trPr>
        <w:tc>
          <w:tcPr>
            <w:tcW w:w="1615" w:type="pct"/>
            <w:tcBorders>
              <w:top w:val="nil"/>
              <w:left w:val="nil"/>
              <w:bottom w:val="nil"/>
              <w:right w:val="nil"/>
            </w:tcBorders>
            <w:shd w:val="clear" w:color="auto" w:fill="auto"/>
            <w:tcMar>
              <w:top w:w="72" w:type="dxa"/>
              <w:left w:w="144" w:type="dxa"/>
              <w:bottom w:w="72" w:type="dxa"/>
              <w:right w:w="144" w:type="dxa"/>
            </w:tcMar>
          </w:tcPr>
          <w:p w14:paraId="79D0789D" w14:textId="4D5F4F87" w:rsidR="00EA2EA8" w:rsidRPr="002E280D" w:rsidRDefault="00EA2EA8" w:rsidP="00EA2EA8">
            <w:pPr>
              <w:pStyle w:val="NormalWeb"/>
              <w:ind w:left="1418"/>
              <w:contextualSpacing/>
              <w:rPr>
                <w:iCs/>
              </w:rPr>
            </w:pPr>
            <w:proofErr w:type="spellStart"/>
            <w:r>
              <w:t>TAD</w:t>
            </w:r>
            <w:proofErr w:type="spellEnd"/>
          </w:p>
        </w:tc>
        <w:tc>
          <w:tcPr>
            <w:tcW w:w="3385" w:type="pct"/>
            <w:tcBorders>
              <w:top w:val="nil"/>
              <w:left w:val="nil"/>
              <w:bottom w:val="nil"/>
              <w:right w:val="nil"/>
            </w:tcBorders>
            <w:shd w:val="clear" w:color="auto" w:fill="auto"/>
            <w:tcMar>
              <w:top w:w="72" w:type="dxa"/>
              <w:left w:w="144" w:type="dxa"/>
              <w:bottom w:w="72" w:type="dxa"/>
              <w:right w:w="144" w:type="dxa"/>
            </w:tcMar>
          </w:tcPr>
          <w:p w14:paraId="4DB02036" w14:textId="0ED4A606" w:rsidR="00EA2EA8" w:rsidRPr="00947662" w:rsidRDefault="00EA2EA8" w:rsidP="00396483">
            <w:pPr>
              <w:ind w:left="335" w:hanging="6"/>
              <w:contextualSpacing/>
              <w:jc w:val="both"/>
              <w:rPr>
                <w:rFonts w:ascii="Bookman Old Style" w:hAnsi="Bookman Old Style"/>
              </w:rPr>
            </w:pPr>
            <w:r w:rsidRPr="003074EC">
              <w:rPr>
                <w:rFonts w:ascii="Bookman Old Style" w:hAnsi="Bookman Old Style"/>
              </w:rPr>
              <w:t xml:space="preserve">Costo de oportunidad asociado al riesgo del activo en el negocio para un activo que ya </w:t>
            </w:r>
            <w:r>
              <w:rPr>
                <w:rFonts w:ascii="Bookman Old Style" w:hAnsi="Bookman Old Style"/>
              </w:rPr>
              <w:t>cumplió su vida útil normativa.</w:t>
            </w:r>
          </w:p>
        </w:tc>
      </w:tr>
      <w:tr w:rsidR="002E280D" w:rsidRPr="002E280D" w14:paraId="7BC86A6D" w14:textId="77777777" w:rsidTr="00947662">
        <w:trPr>
          <w:trHeight w:val="363"/>
        </w:trPr>
        <w:tc>
          <w:tcPr>
            <w:tcW w:w="1615" w:type="pct"/>
            <w:tcBorders>
              <w:top w:val="nil"/>
              <w:left w:val="nil"/>
              <w:bottom w:val="nil"/>
              <w:right w:val="nil"/>
            </w:tcBorders>
            <w:shd w:val="clear" w:color="auto" w:fill="auto"/>
            <w:tcMar>
              <w:top w:w="72" w:type="dxa"/>
              <w:left w:w="144" w:type="dxa"/>
              <w:bottom w:w="72" w:type="dxa"/>
              <w:right w:w="144" w:type="dxa"/>
            </w:tcMar>
            <w:hideMark/>
          </w:tcPr>
          <w:p w14:paraId="59C3F7BB" w14:textId="22E14723" w:rsidR="002E280D" w:rsidRPr="002E280D" w:rsidRDefault="00000000" w:rsidP="002E280D">
            <w:pPr>
              <w:pStyle w:val="NormalWeb"/>
              <w:ind w:left="1418"/>
              <w:contextualSpacing/>
            </w:pPr>
            <m:oMath>
              <m:sSub>
                <m:sSubPr>
                  <m:ctrlPr>
                    <w:rPr>
                      <w:rFonts w:ascii="Cambria Math" w:hAnsi="Cambria Math"/>
                      <w:i/>
                      <w:iCs/>
                    </w:rPr>
                  </m:ctrlPr>
                </m:sSubPr>
                <m:e>
                  <m:r>
                    <w:rPr>
                      <w:rFonts w:ascii="Cambria Math" w:hAnsi="Cambria Math"/>
                    </w:rPr>
                    <m:t>We</m:t>
                  </m:r>
                </m:e>
                <m:sub>
                  <m:r>
                    <w:rPr>
                      <w:rFonts w:ascii="Cambria Math" w:hAnsi="Cambria Math"/>
                    </w:rPr>
                    <m:t>α,τ</m:t>
                  </m:r>
                </m:sub>
              </m:sSub>
            </m:oMath>
            <w:r w:rsidR="002E280D" w:rsidRPr="002E280D">
              <w:t>:</w:t>
            </w:r>
          </w:p>
        </w:tc>
        <w:tc>
          <w:tcPr>
            <w:tcW w:w="3385" w:type="pct"/>
            <w:tcBorders>
              <w:top w:val="nil"/>
              <w:left w:val="nil"/>
              <w:bottom w:val="nil"/>
              <w:right w:val="nil"/>
            </w:tcBorders>
            <w:shd w:val="clear" w:color="auto" w:fill="auto"/>
            <w:tcMar>
              <w:top w:w="72" w:type="dxa"/>
              <w:left w:w="144" w:type="dxa"/>
              <w:bottom w:w="72" w:type="dxa"/>
              <w:right w:w="144" w:type="dxa"/>
            </w:tcMar>
            <w:hideMark/>
          </w:tcPr>
          <w:p w14:paraId="4E039DC5" w14:textId="4A6BB478" w:rsidR="002E280D" w:rsidRPr="002E280D" w:rsidRDefault="002E280D" w:rsidP="00396483">
            <w:pPr>
              <w:pStyle w:val="NormalWeb"/>
              <w:spacing w:before="0" w:beforeAutospacing="0" w:after="0" w:afterAutospacing="0" w:line="240" w:lineRule="auto"/>
              <w:ind w:left="335" w:hanging="6"/>
              <w:contextualSpacing/>
            </w:pPr>
            <w:r w:rsidRPr="002E280D">
              <w:t>Ponderador para el costo del capital propio (</w:t>
            </w:r>
            <w:proofErr w:type="spellStart"/>
            <w:r w:rsidRPr="002E280D">
              <w:t>equity</w:t>
            </w:r>
            <w:proofErr w:type="spellEnd"/>
            <w:r w:rsidRPr="002E280D">
              <w:t xml:space="preserve">) de la actividad a, en el momento </w:t>
            </w:r>
            <m:oMath>
              <m:r>
                <w:rPr>
                  <w:rFonts w:ascii="Cambria Math" w:hAnsi="Cambria Math"/>
                </w:rPr>
                <m:t>τ</m:t>
              </m:r>
            </m:oMath>
            <w:r w:rsidRPr="002E280D">
              <w:t xml:space="preserve"> </w:t>
            </w:r>
          </w:p>
        </w:tc>
      </w:tr>
      <w:tr w:rsidR="002E280D" w:rsidRPr="002E280D" w14:paraId="196FDAFB" w14:textId="77777777" w:rsidTr="00947662">
        <w:trPr>
          <w:trHeight w:val="353"/>
        </w:trPr>
        <w:tc>
          <w:tcPr>
            <w:tcW w:w="1615" w:type="pct"/>
            <w:tcBorders>
              <w:top w:val="nil"/>
              <w:left w:val="nil"/>
              <w:bottom w:val="nil"/>
              <w:right w:val="nil"/>
            </w:tcBorders>
            <w:shd w:val="clear" w:color="auto" w:fill="auto"/>
            <w:tcMar>
              <w:top w:w="72" w:type="dxa"/>
              <w:left w:w="144" w:type="dxa"/>
              <w:bottom w:w="72" w:type="dxa"/>
              <w:right w:w="144" w:type="dxa"/>
            </w:tcMar>
            <w:hideMark/>
          </w:tcPr>
          <w:p w14:paraId="52A7CBF6" w14:textId="4F861BE5" w:rsidR="002E280D" w:rsidRPr="002E280D" w:rsidRDefault="00000000" w:rsidP="002E280D">
            <w:pPr>
              <w:pStyle w:val="NormalWeb"/>
              <w:ind w:left="1418"/>
              <w:contextualSpacing/>
            </w:pPr>
            <m:oMath>
              <m:sSub>
                <m:sSubPr>
                  <m:ctrlPr>
                    <w:rPr>
                      <w:rFonts w:ascii="Cambria Math" w:hAnsi="Cambria Math"/>
                      <w:i/>
                      <w:iCs/>
                    </w:rPr>
                  </m:ctrlPr>
                </m:sSubPr>
                <m:e>
                  <m:r>
                    <w:rPr>
                      <w:rFonts w:ascii="Cambria Math" w:hAnsi="Cambria Math"/>
                    </w:rPr>
                    <m:t>ke_cop</m:t>
                  </m:r>
                </m:e>
                <m:sub>
                  <m:r>
                    <w:rPr>
                      <w:rFonts w:ascii="Cambria Math" w:hAnsi="Cambria Math"/>
                    </w:rPr>
                    <m:t>τ</m:t>
                  </m:r>
                </m:sub>
              </m:sSub>
            </m:oMath>
            <w:r w:rsidR="002E280D" w:rsidRPr="002E280D">
              <w:t>:</w:t>
            </w:r>
          </w:p>
        </w:tc>
        <w:tc>
          <w:tcPr>
            <w:tcW w:w="3385" w:type="pct"/>
            <w:tcBorders>
              <w:top w:val="nil"/>
              <w:left w:val="nil"/>
              <w:bottom w:val="nil"/>
              <w:right w:val="nil"/>
            </w:tcBorders>
            <w:shd w:val="clear" w:color="auto" w:fill="auto"/>
            <w:tcMar>
              <w:top w:w="72" w:type="dxa"/>
              <w:left w:w="144" w:type="dxa"/>
              <w:bottom w:w="72" w:type="dxa"/>
              <w:right w:w="144" w:type="dxa"/>
            </w:tcMar>
            <w:hideMark/>
          </w:tcPr>
          <w:p w14:paraId="0A4879A8" w14:textId="1625700B" w:rsidR="002E280D" w:rsidRPr="002E280D" w:rsidRDefault="002E280D" w:rsidP="00396483">
            <w:pPr>
              <w:pStyle w:val="NormalWeb"/>
              <w:spacing w:before="0" w:beforeAutospacing="0" w:after="0" w:afterAutospacing="0" w:line="240" w:lineRule="auto"/>
              <w:ind w:left="335" w:hanging="6"/>
              <w:contextualSpacing/>
            </w:pPr>
            <w:r w:rsidRPr="002E280D">
              <w:t xml:space="preserve">Costo del capital propio en pesos corrientes de la actividad a, en el momento </w:t>
            </w:r>
            <m:oMath>
              <m:r>
                <w:rPr>
                  <w:rFonts w:ascii="Cambria Math" w:hAnsi="Cambria Math"/>
                </w:rPr>
                <m:t>τ</m:t>
              </m:r>
            </m:oMath>
            <w:r w:rsidRPr="002E280D">
              <w:t xml:space="preserve"> </w:t>
            </w:r>
          </w:p>
        </w:tc>
      </w:tr>
      <w:tr w:rsidR="002E280D" w:rsidRPr="002E280D" w14:paraId="3712D618" w14:textId="77777777" w:rsidTr="00947662">
        <w:trPr>
          <w:trHeight w:val="372"/>
        </w:trPr>
        <w:tc>
          <w:tcPr>
            <w:tcW w:w="1615" w:type="pct"/>
            <w:tcBorders>
              <w:top w:val="nil"/>
              <w:left w:val="nil"/>
              <w:bottom w:val="nil"/>
              <w:right w:val="nil"/>
            </w:tcBorders>
            <w:shd w:val="clear" w:color="auto" w:fill="auto"/>
            <w:tcMar>
              <w:top w:w="72" w:type="dxa"/>
              <w:left w:w="144" w:type="dxa"/>
              <w:bottom w:w="72" w:type="dxa"/>
              <w:right w:w="144" w:type="dxa"/>
            </w:tcMar>
            <w:hideMark/>
          </w:tcPr>
          <w:p w14:paraId="73308474" w14:textId="7ACF9A24" w:rsidR="002E280D" w:rsidRPr="002E280D" w:rsidRDefault="00000000" w:rsidP="002E280D">
            <w:pPr>
              <w:pStyle w:val="NormalWeb"/>
              <w:ind w:left="1418"/>
              <w:contextualSpacing/>
            </w:pPr>
            <m:oMath>
              <m:sSub>
                <m:sSubPr>
                  <m:ctrlPr>
                    <w:rPr>
                      <w:rFonts w:ascii="Cambria Math" w:hAnsi="Cambria Math"/>
                      <w:i/>
                      <w:iCs/>
                    </w:rPr>
                  </m:ctrlPr>
                </m:sSubPr>
                <m:e>
                  <m:r>
                    <w:rPr>
                      <w:rFonts w:ascii="Cambria Math" w:hAnsi="Cambria Math"/>
                    </w:rPr>
                    <m:t>ke_cop</m:t>
                  </m:r>
                </m:e>
                <m:sub>
                  <m:r>
                    <w:rPr>
                      <w:rFonts w:ascii="Cambria Math" w:hAnsi="Cambria Math"/>
                    </w:rPr>
                    <m:t>τ</m:t>
                  </m:r>
                </m:sub>
              </m:sSub>
            </m:oMath>
            <w:r w:rsidR="002E280D" w:rsidRPr="002E280D">
              <w:t xml:space="preserve">  constante:</w:t>
            </w:r>
          </w:p>
        </w:tc>
        <w:tc>
          <w:tcPr>
            <w:tcW w:w="3385" w:type="pct"/>
            <w:tcBorders>
              <w:top w:val="nil"/>
              <w:left w:val="nil"/>
              <w:bottom w:val="nil"/>
              <w:right w:val="nil"/>
            </w:tcBorders>
            <w:shd w:val="clear" w:color="auto" w:fill="auto"/>
            <w:tcMar>
              <w:top w:w="72" w:type="dxa"/>
              <w:left w:w="144" w:type="dxa"/>
              <w:bottom w:w="72" w:type="dxa"/>
              <w:right w:w="144" w:type="dxa"/>
            </w:tcMar>
            <w:hideMark/>
          </w:tcPr>
          <w:p w14:paraId="27565BF7" w14:textId="11EF70D1" w:rsidR="002E280D" w:rsidRPr="002E280D" w:rsidRDefault="002E280D" w:rsidP="00396483">
            <w:pPr>
              <w:pStyle w:val="NormalWeb"/>
              <w:spacing w:before="0" w:beforeAutospacing="0" w:after="0" w:afterAutospacing="0" w:line="240" w:lineRule="auto"/>
              <w:ind w:left="335" w:hanging="6"/>
              <w:contextualSpacing/>
            </w:pPr>
            <w:r w:rsidRPr="002E280D">
              <w:t xml:space="preserve">Costo del capital propio en pesos </w:t>
            </w:r>
            <w:r w:rsidR="00C97887" w:rsidRPr="002E280D">
              <w:t>constantes de</w:t>
            </w:r>
            <w:r w:rsidRPr="002E280D">
              <w:t xml:space="preserve"> la actividad a, en el momento </w:t>
            </w:r>
            <m:oMath>
              <m:r>
                <w:rPr>
                  <w:rFonts w:ascii="Cambria Math" w:hAnsi="Cambria Math"/>
                </w:rPr>
                <m:t>τ</m:t>
              </m:r>
            </m:oMath>
            <w:r w:rsidRPr="002E280D">
              <w:t xml:space="preserve"> </w:t>
            </w:r>
          </w:p>
        </w:tc>
      </w:tr>
      <w:tr w:rsidR="002E280D" w:rsidRPr="002E280D" w14:paraId="2945EDA0" w14:textId="77777777" w:rsidTr="00947662">
        <w:trPr>
          <w:trHeight w:val="363"/>
        </w:trPr>
        <w:tc>
          <w:tcPr>
            <w:tcW w:w="1615" w:type="pct"/>
            <w:tcBorders>
              <w:top w:val="nil"/>
              <w:left w:val="nil"/>
              <w:bottom w:val="nil"/>
              <w:right w:val="nil"/>
            </w:tcBorders>
            <w:shd w:val="clear" w:color="auto" w:fill="auto"/>
            <w:tcMar>
              <w:top w:w="72" w:type="dxa"/>
              <w:left w:w="144" w:type="dxa"/>
              <w:bottom w:w="72" w:type="dxa"/>
              <w:right w:w="144" w:type="dxa"/>
            </w:tcMar>
            <w:hideMark/>
          </w:tcPr>
          <w:p w14:paraId="68AC1582" w14:textId="5FB05001" w:rsidR="002E280D" w:rsidRPr="002E280D" w:rsidRDefault="00000000" w:rsidP="002E280D">
            <w:pPr>
              <w:pStyle w:val="NormalWeb"/>
              <w:ind w:left="1418"/>
              <w:contextualSpacing/>
            </w:pPr>
            <m:oMath>
              <m:sSub>
                <m:sSubPr>
                  <m:ctrlPr>
                    <w:rPr>
                      <w:rFonts w:ascii="Cambria Math" w:hAnsi="Cambria Math"/>
                      <w:i/>
                      <w:iCs/>
                    </w:rPr>
                  </m:ctrlPr>
                </m:sSubPr>
                <m:e>
                  <m:r>
                    <w:rPr>
                      <w:rFonts w:ascii="Cambria Math" w:hAnsi="Cambria Math"/>
                    </w:rPr>
                    <m:t>We</m:t>
                  </m:r>
                </m:e>
                <m:sub>
                  <m:r>
                    <w:rPr>
                      <w:rFonts w:ascii="Cambria Math" w:hAnsi="Cambria Math"/>
                    </w:rPr>
                    <m:t>α,τ</m:t>
                  </m:r>
                </m:sub>
              </m:sSub>
            </m:oMath>
            <w:r w:rsidR="002E280D" w:rsidRPr="002E280D">
              <w:t>:</w:t>
            </w:r>
          </w:p>
        </w:tc>
        <w:tc>
          <w:tcPr>
            <w:tcW w:w="3385" w:type="pct"/>
            <w:tcBorders>
              <w:top w:val="nil"/>
              <w:left w:val="nil"/>
              <w:bottom w:val="nil"/>
              <w:right w:val="nil"/>
            </w:tcBorders>
            <w:shd w:val="clear" w:color="auto" w:fill="auto"/>
            <w:tcMar>
              <w:top w:w="72" w:type="dxa"/>
              <w:left w:w="144" w:type="dxa"/>
              <w:bottom w:w="72" w:type="dxa"/>
              <w:right w:w="144" w:type="dxa"/>
            </w:tcMar>
            <w:hideMark/>
          </w:tcPr>
          <w:p w14:paraId="2CC1FE4F" w14:textId="77777777" w:rsidR="002E280D" w:rsidRPr="002E280D" w:rsidRDefault="002E280D" w:rsidP="00396483">
            <w:pPr>
              <w:pStyle w:val="NormalWeb"/>
              <w:spacing w:before="0" w:beforeAutospacing="0" w:after="0" w:afterAutospacing="0" w:line="240" w:lineRule="auto"/>
              <w:ind w:left="335" w:hanging="6"/>
              <w:contextualSpacing/>
            </w:pPr>
            <w:r w:rsidRPr="002E280D">
              <w:t>Ponderador para el costo del capital propio (</w:t>
            </w:r>
            <w:proofErr w:type="spellStart"/>
            <w:r w:rsidRPr="002E280D">
              <w:t>equity</w:t>
            </w:r>
            <w:proofErr w:type="spellEnd"/>
            <w:r w:rsidRPr="002E280D">
              <w:t>) de la actividad a</w:t>
            </w:r>
          </w:p>
        </w:tc>
      </w:tr>
      <w:tr w:rsidR="002E280D" w:rsidRPr="002E280D" w14:paraId="706B9450" w14:textId="77777777" w:rsidTr="00947662">
        <w:trPr>
          <w:trHeight w:val="353"/>
        </w:trPr>
        <w:tc>
          <w:tcPr>
            <w:tcW w:w="1615" w:type="pct"/>
            <w:tcBorders>
              <w:top w:val="nil"/>
              <w:left w:val="nil"/>
              <w:bottom w:val="nil"/>
              <w:right w:val="nil"/>
            </w:tcBorders>
            <w:shd w:val="clear" w:color="auto" w:fill="auto"/>
            <w:tcMar>
              <w:top w:w="72" w:type="dxa"/>
              <w:left w:w="144" w:type="dxa"/>
              <w:bottom w:w="72" w:type="dxa"/>
              <w:right w:w="144" w:type="dxa"/>
            </w:tcMar>
            <w:hideMark/>
          </w:tcPr>
          <w:p w14:paraId="7AB9CD31" w14:textId="5A1DCDED" w:rsidR="002E280D" w:rsidRPr="002E280D" w:rsidRDefault="002E280D" w:rsidP="002E280D">
            <w:pPr>
              <w:pStyle w:val="NormalWeb"/>
              <w:ind w:left="1418"/>
              <w:contextualSpacing/>
            </w:pPr>
            <m:oMathPara>
              <m:oMathParaPr>
                <m:jc m:val="centerGroup"/>
              </m:oMathParaPr>
              <m:oMath>
                <m:r>
                  <w:rPr>
                    <w:rFonts w:ascii="Cambria Math" w:hAnsi="Cambria Math"/>
                  </w:rPr>
                  <m:t>Tx:</m:t>
                </m:r>
              </m:oMath>
            </m:oMathPara>
          </w:p>
        </w:tc>
        <w:tc>
          <w:tcPr>
            <w:tcW w:w="3385" w:type="pct"/>
            <w:tcBorders>
              <w:top w:val="nil"/>
              <w:left w:val="nil"/>
              <w:bottom w:val="nil"/>
              <w:right w:val="nil"/>
            </w:tcBorders>
            <w:shd w:val="clear" w:color="auto" w:fill="auto"/>
            <w:tcMar>
              <w:top w:w="72" w:type="dxa"/>
              <w:left w:w="144" w:type="dxa"/>
              <w:bottom w:w="72" w:type="dxa"/>
              <w:right w:w="144" w:type="dxa"/>
            </w:tcMar>
            <w:hideMark/>
          </w:tcPr>
          <w:p w14:paraId="4501C83D" w14:textId="5D49F2A0" w:rsidR="002E280D" w:rsidRPr="002E280D" w:rsidRDefault="002E280D" w:rsidP="00396483">
            <w:pPr>
              <w:pStyle w:val="NormalWeb"/>
              <w:spacing w:before="0" w:beforeAutospacing="0" w:after="0" w:afterAutospacing="0" w:line="240" w:lineRule="auto"/>
              <w:ind w:left="335" w:hanging="6"/>
              <w:contextualSpacing/>
            </w:pPr>
            <w:r w:rsidRPr="002E280D">
              <w:t xml:space="preserve">Tarifa general del impuesto sobre la renta de las personas jurídicas, vigente al momento </w:t>
            </w:r>
            <m:oMath>
              <m:r>
                <w:rPr>
                  <w:rFonts w:ascii="Cambria Math" w:hAnsi="Cambria Math"/>
                </w:rPr>
                <m:t>τ</m:t>
              </m:r>
            </m:oMath>
            <w:r w:rsidRPr="002E280D">
              <w:t xml:space="preserve"> </w:t>
            </w:r>
          </w:p>
        </w:tc>
      </w:tr>
      <w:tr w:rsidR="002E280D" w:rsidRPr="002E280D" w14:paraId="69A3497D" w14:textId="77777777" w:rsidTr="00947662">
        <w:trPr>
          <w:trHeight w:val="565"/>
        </w:trPr>
        <w:tc>
          <w:tcPr>
            <w:tcW w:w="1615" w:type="pct"/>
            <w:tcBorders>
              <w:top w:val="nil"/>
              <w:left w:val="nil"/>
              <w:bottom w:val="nil"/>
              <w:right w:val="nil"/>
            </w:tcBorders>
            <w:shd w:val="clear" w:color="auto" w:fill="auto"/>
            <w:tcMar>
              <w:top w:w="72" w:type="dxa"/>
              <w:left w:w="144" w:type="dxa"/>
              <w:bottom w:w="72" w:type="dxa"/>
              <w:right w:w="144" w:type="dxa"/>
            </w:tcMar>
            <w:hideMark/>
          </w:tcPr>
          <w:p w14:paraId="6A25BE31" w14:textId="1AED1B40" w:rsidR="002E280D" w:rsidRPr="002E280D" w:rsidRDefault="00000000" w:rsidP="002E280D">
            <w:pPr>
              <w:pStyle w:val="NormalWeb"/>
              <w:ind w:left="1418"/>
              <w:contextualSpacing/>
            </w:pPr>
            <m:oMath>
              <m:sSub>
                <m:sSubPr>
                  <m:ctrlPr>
                    <w:rPr>
                      <w:rFonts w:ascii="Cambria Math" w:hAnsi="Cambria Math"/>
                      <w:i/>
                      <w:iCs/>
                    </w:rPr>
                  </m:ctrlPr>
                </m:sSubPr>
                <m:e>
                  <m:r>
                    <w:rPr>
                      <w:rFonts w:ascii="Cambria Math" w:hAnsi="Cambria Math"/>
                    </w:rPr>
                    <m:t>Wd</m:t>
                  </m:r>
                </m:e>
                <m:sub>
                  <m:r>
                    <w:rPr>
                      <w:rFonts w:ascii="Cambria Math" w:hAnsi="Cambria Math"/>
                    </w:rPr>
                    <m:t>α,τ</m:t>
                  </m:r>
                </m:sub>
              </m:sSub>
            </m:oMath>
            <w:r w:rsidR="002E280D" w:rsidRPr="002E280D">
              <w:t xml:space="preserve">: </w:t>
            </w:r>
          </w:p>
        </w:tc>
        <w:tc>
          <w:tcPr>
            <w:tcW w:w="3385" w:type="pct"/>
            <w:tcBorders>
              <w:top w:val="nil"/>
              <w:left w:val="nil"/>
              <w:bottom w:val="nil"/>
              <w:right w:val="nil"/>
            </w:tcBorders>
            <w:shd w:val="clear" w:color="auto" w:fill="auto"/>
            <w:tcMar>
              <w:top w:w="72" w:type="dxa"/>
              <w:left w:w="144" w:type="dxa"/>
              <w:bottom w:w="72" w:type="dxa"/>
              <w:right w:w="144" w:type="dxa"/>
            </w:tcMar>
            <w:hideMark/>
          </w:tcPr>
          <w:p w14:paraId="44FE44D4" w14:textId="273C44A9" w:rsidR="002E280D" w:rsidRPr="002E280D" w:rsidRDefault="002E280D" w:rsidP="00396483">
            <w:pPr>
              <w:pStyle w:val="NormalWeb"/>
              <w:spacing w:before="0" w:beforeAutospacing="0" w:after="0" w:afterAutospacing="0" w:line="240" w:lineRule="auto"/>
              <w:ind w:left="335" w:hanging="6"/>
              <w:contextualSpacing/>
            </w:pPr>
            <w:r w:rsidRPr="002E280D">
              <w:t>Ponderador para el costo de la deuda de la actividad a, expresado como la</w:t>
            </w:r>
            <w:r w:rsidRPr="002E280D" w:rsidDel="00462499">
              <w:t xml:space="preserve"> </w:t>
            </w:r>
            <w:r w:rsidRPr="002E280D">
              <w:t xml:space="preserve">relación de la deuda sobre el capital total, en el momento </w:t>
            </w:r>
            <m:oMath>
              <m:r>
                <w:rPr>
                  <w:rFonts w:ascii="Cambria Math" w:hAnsi="Cambria Math"/>
                </w:rPr>
                <m:t>τ</m:t>
              </m:r>
            </m:oMath>
            <w:r w:rsidRPr="002E280D">
              <w:t xml:space="preserve"> </w:t>
            </w:r>
          </w:p>
        </w:tc>
      </w:tr>
      <w:tr w:rsidR="002E280D" w:rsidRPr="002E280D" w14:paraId="7156C887" w14:textId="77777777" w:rsidTr="00947662">
        <w:trPr>
          <w:trHeight w:val="353"/>
        </w:trPr>
        <w:tc>
          <w:tcPr>
            <w:tcW w:w="1615" w:type="pct"/>
            <w:tcBorders>
              <w:top w:val="nil"/>
              <w:left w:val="nil"/>
              <w:bottom w:val="nil"/>
              <w:right w:val="nil"/>
            </w:tcBorders>
            <w:shd w:val="clear" w:color="auto" w:fill="auto"/>
            <w:tcMar>
              <w:top w:w="72" w:type="dxa"/>
              <w:left w:w="144" w:type="dxa"/>
              <w:bottom w:w="72" w:type="dxa"/>
              <w:right w:w="144" w:type="dxa"/>
            </w:tcMar>
            <w:hideMark/>
          </w:tcPr>
          <w:p w14:paraId="38471D66" w14:textId="3A3FCB0D" w:rsidR="002E280D" w:rsidRPr="002E280D" w:rsidRDefault="00000000" w:rsidP="002E280D">
            <w:pPr>
              <w:pStyle w:val="NormalWeb"/>
              <w:ind w:left="1418"/>
              <w:contextualSpacing/>
            </w:pPr>
            <m:oMath>
              <m:sSub>
                <m:sSubPr>
                  <m:ctrlPr>
                    <w:rPr>
                      <w:rFonts w:ascii="Cambria Math" w:hAnsi="Cambria Math"/>
                      <w:i/>
                      <w:iCs/>
                    </w:rPr>
                  </m:ctrlPr>
                </m:sSubPr>
                <m:e>
                  <m:r>
                    <w:rPr>
                      <w:rFonts w:ascii="Cambria Math" w:hAnsi="Cambria Math"/>
                    </w:rPr>
                    <m:t>π_cop</m:t>
                  </m:r>
                </m:e>
                <m:sub>
                  <m:r>
                    <w:rPr>
                      <w:rFonts w:ascii="Cambria Math" w:hAnsi="Cambria Math"/>
                    </w:rPr>
                    <m:t>τ</m:t>
                  </m:r>
                </m:sub>
              </m:sSub>
            </m:oMath>
            <w:r w:rsidR="002E280D" w:rsidRPr="002E280D">
              <w:t xml:space="preserve">: </w:t>
            </w:r>
          </w:p>
        </w:tc>
        <w:tc>
          <w:tcPr>
            <w:tcW w:w="3385" w:type="pct"/>
            <w:tcBorders>
              <w:top w:val="nil"/>
              <w:left w:val="nil"/>
              <w:bottom w:val="nil"/>
              <w:right w:val="nil"/>
            </w:tcBorders>
            <w:shd w:val="clear" w:color="auto" w:fill="auto"/>
            <w:tcMar>
              <w:top w:w="72" w:type="dxa"/>
              <w:left w:w="144" w:type="dxa"/>
              <w:bottom w:w="72" w:type="dxa"/>
              <w:right w:w="144" w:type="dxa"/>
            </w:tcMar>
            <w:hideMark/>
          </w:tcPr>
          <w:p w14:paraId="1B3F957E" w14:textId="6C441F08" w:rsidR="002E280D" w:rsidRPr="002E280D" w:rsidRDefault="002E280D" w:rsidP="00396483">
            <w:pPr>
              <w:pStyle w:val="NormalWeb"/>
              <w:spacing w:before="0" w:beforeAutospacing="0" w:after="0" w:afterAutospacing="0" w:line="240" w:lineRule="auto"/>
              <w:ind w:left="335" w:hanging="6"/>
              <w:contextualSpacing/>
            </w:pPr>
            <w:r w:rsidRPr="002E280D">
              <w:t xml:space="preserve">Expectativa de inflación en el momento  </w:t>
            </w:r>
            <m:oMath>
              <m:r>
                <w:rPr>
                  <w:rFonts w:ascii="Cambria Math" w:hAnsi="Cambria Math"/>
                </w:rPr>
                <m:t>τ</m:t>
              </m:r>
            </m:oMath>
            <w:r w:rsidRPr="002E280D">
              <w:t xml:space="preserve">    </w:t>
            </w:r>
          </w:p>
        </w:tc>
      </w:tr>
    </w:tbl>
    <w:p w14:paraId="67B71BB1" w14:textId="68613CE5" w:rsidR="00537720" w:rsidRDefault="00537720" w:rsidP="00723AB0">
      <w:pPr>
        <w:pStyle w:val="NormalWeb"/>
        <w:spacing w:before="0" w:beforeAutospacing="0" w:after="0" w:afterAutospacing="0" w:line="240" w:lineRule="auto"/>
        <w:ind w:left="1418"/>
        <w:contextualSpacing/>
      </w:pPr>
    </w:p>
    <w:p w14:paraId="14120490" w14:textId="77777777" w:rsidR="00D57A39" w:rsidRDefault="00D57A39" w:rsidP="00723AB0">
      <w:pPr>
        <w:pStyle w:val="NormalWeb"/>
        <w:spacing w:before="0" w:beforeAutospacing="0" w:after="0" w:afterAutospacing="0" w:line="240" w:lineRule="auto"/>
        <w:ind w:left="1418"/>
        <w:contextualSpacing/>
      </w:pPr>
    </w:p>
    <w:p w14:paraId="1875C3BB" w14:textId="6B0C2E75" w:rsidR="00D57A39" w:rsidRDefault="002F532F" w:rsidP="00723AB0">
      <w:pPr>
        <w:pStyle w:val="NormalWeb"/>
        <w:spacing w:before="0" w:beforeAutospacing="0" w:after="0" w:afterAutospacing="0" w:line="240" w:lineRule="auto"/>
        <w:ind w:left="1418"/>
        <w:contextualSpacing/>
      </w:pPr>
      <w:r>
        <w:t xml:space="preserve">La </w:t>
      </w:r>
      <w:proofErr w:type="spellStart"/>
      <w:r>
        <w:t>TAD</w:t>
      </w:r>
      <w:proofErr w:type="spellEnd"/>
      <w:r w:rsidR="000817A4">
        <w:t xml:space="preserve"> se podrá actualizar cuando se actualice la variable </w:t>
      </w:r>
      <w:proofErr w:type="spellStart"/>
      <w:r w:rsidR="000817A4" w:rsidRPr="000817A4">
        <w:t>Tkc</w:t>
      </w:r>
      <w:proofErr w:type="spellEnd"/>
      <w:r w:rsidR="000817A4">
        <w:t xml:space="preserve"> acorde a </w:t>
      </w:r>
      <w:r w:rsidR="00E2181E">
        <w:t>decisión de la comisión.</w:t>
      </w:r>
    </w:p>
    <w:p w14:paraId="2DB2D2C0" w14:textId="6B892AA6" w:rsidR="00F33AB9" w:rsidRDefault="00B66611" w:rsidP="007B5D72">
      <w:pPr>
        <w:pStyle w:val="NormalWeb"/>
        <w:spacing w:line="240" w:lineRule="auto"/>
        <w:ind w:left="1418"/>
        <w:rPr>
          <w:lang w:val="es-CO"/>
        </w:rPr>
      </w:pPr>
      <w:r>
        <w:rPr>
          <w:lang w:val="es-CO"/>
        </w:rPr>
        <w:t>Paso 2</w:t>
      </w:r>
    </w:p>
    <w:p w14:paraId="3080191C" w14:textId="4CB38662" w:rsidR="00F33AB9" w:rsidRDefault="00BA4D87" w:rsidP="007B5D72">
      <w:pPr>
        <w:pStyle w:val="NormalWeb"/>
        <w:spacing w:line="240" w:lineRule="auto"/>
        <w:ind w:left="1418"/>
        <w:rPr>
          <w:lang w:val="es-CO"/>
        </w:rPr>
      </w:pPr>
      <w:r>
        <w:rPr>
          <w:lang w:val="es-CO"/>
        </w:rPr>
        <w:t>Teniendo en cuenta los valores estimados en el Paso 1, e</w:t>
      </w:r>
      <w:r w:rsidR="00E40F94">
        <w:rPr>
          <w:lang w:val="es-CO"/>
        </w:rPr>
        <w:t xml:space="preserve">l </w:t>
      </w:r>
      <w:r w:rsidR="00FE5EF5">
        <w:rPr>
          <w:lang w:val="es-CO"/>
        </w:rPr>
        <w:t>va</w:t>
      </w:r>
      <w:r w:rsidR="005A3087">
        <w:rPr>
          <w:lang w:val="es-CO"/>
        </w:rPr>
        <w:t xml:space="preserve">lor </w:t>
      </w:r>
      <m:oMath>
        <m:r>
          <w:rPr>
            <w:rFonts w:ascii="Cambria Math" w:hAnsi="Cambria Math"/>
          </w:rPr>
          <m:t>RVUN</m:t>
        </m:r>
      </m:oMath>
      <w:r w:rsidR="008D2337">
        <w:rPr>
          <w:iCs/>
        </w:rPr>
        <w:t>, para cada tramo regul</w:t>
      </w:r>
      <w:proofErr w:type="spellStart"/>
      <w:r w:rsidR="00CB4A91">
        <w:rPr>
          <w:iCs/>
        </w:rPr>
        <w:t>atori</w:t>
      </w:r>
      <w:r w:rsidR="005F74A2">
        <w:rPr>
          <w:iCs/>
        </w:rPr>
        <w:t>o</w:t>
      </w:r>
      <w:proofErr w:type="spellEnd"/>
      <w:r w:rsidR="005F74A2">
        <w:rPr>
          <w:iCs/>
        </w:rPr>
        <w:t xml:space="preserve"> o grupo de gasoductos,</w:t>
      </w:r>
      <w:r w:rsidR="005A3087" w:rsidRPr="00F33AB9">
        <w:rPr>
          <w:lang w:val="es-CO"/>
        </w:rPr>
        <w:t xml:space="preserve"> </w:t>
      </w:r>
      <w:r w:rsidR="005A3087">
        <w:rPr>
          <w:lang w:val="es-CO"/>
        </w:rPr>
        <w:t xml:space="preserve">se </w:t>
      </w:r>
      <w:r w:rsidR="00E658A2">
        <w:rPr>
          <w:lang w:val="es-CO"/>
        </w:rPr>
        <w:t>adicionar</w:t>
      </w:r>
      <w:r w:rsidR="007B14B1">
        <w:rPr>
          <w:lang w:val="es-CO"/>
        </w:rPr>
        <w:t>á</w:t>
      </w:r>
      <w:r w:rsidR="00E658A2">
        <w:rPr>
          <w:lang w:val="es-CO"/>
        </w:rPr>
        <w:t xml:space="preserve"> a la base de activos.</w:t>
      </w:r>
    </w:p>
    <w:p w14:paraId="0FA176BF" w14:textId="3DEE336C" w:rsidR="00D115E1" w:rsidRDefault="00176952" w:rsidP="007B5D72">
      <w:pPr>
        <w:pStyle w:val="NormalWeb"/>
        <w:spacing w:line="240" w:lineRule="auto"/>
        <w:ind w:left="1418"/>
        <w:rPr>
          <w:lang w:val="es-CO"/>
        </w:rPr>
      </w:pPr>
      <w:r>
        <w:rPr>
          <w:lang w:val="es-CO"/>
        </w:rPr>
        <w:t xml:space="preserve">Las disposiciones del cálculo </w:t>
      </w:r>
      <m:oMath>
        <m:r>
          <w:rPr>
            <w:rFonts w:ascii="Cambria Math" w:hAnsi="Cambria Math"/>
          </w:rPr>
          <m:t>RVUN</m:t>
        </m:r>
      </m:oMath>
      <w:r>
        <w:t xml:space="preserve"> tendrán </w:t>
      </w:r>
      <w:r w:rsidR="00231C83">
        <w:t>la vigencia de la presente metodología</w:t>
      </w:r>
      <w:r w:rsidR="008A7213">
        <w:t>,</w:t>
      </w:r>
      <w:r w:rsidR="00231C83">
        <w:t xml:space="preserve"> y la </w:t>
      </w:r>
      <w:proofErr w:type="spellStart"/>
      <w:r w:rsidR="00231C83">
        <w:t>CREG</w:t>
      </w:r>
      <w:proofErr w:type="spellEnd"/>
      <w:r w:rsidR="00231C83">
        <w:t xml:space="preserve">, </w:t>
      </w:r>
      <w:r w:rsidR="008A7213">
        <w:t>para</w:t>
      </w:r>
      <w:r w:rsidR="00231C83">
        <w:t xml:space="preserve"> el siguiente periodo tarifario,</w:t>
      </w:r>
      <w:r w:rsidR="00387AF0">
        <w:t xml:space="preserve"> </w:t>
      </w:r>
      <w:r w:rsidR="008A7213">
        <w:t xml:space="preserve">cuando se establezca una nueva metodología, </w:t>
      </w:r>
      <w:r w:rsidR="00387AF0">
        <w:t>determinará los criterios para continuar o no remunerando un costo de oportunidad</w:t>
      </w:r>
      <w:r w:rsidR="00795493">
        <w:t xml:space="preserve">, </w:t>
      </w:r>
      <w:r w:rsidR="00E10DE2">
        <w:t xml:space="preserve">considerando elementos </w:t>
      </w:r>
      <w:r w:rsidR="00266E91">
        <w:t xml:space="preserve">de </w:t>
      </w:r>
      <w:r w:rsidR="00E10DE2">
        <w:t xml:space="preserve">eficiencia </w:t>
      </w:r>
      <w:r w:rsidR="009334DC">
        <w:t>y el análisis de impacto de la aplicación de este concepto de costo de oportunidad en la presente metodología</w:t>
      </w:r>
      <w:r w:rsidR="004F10C0">
        <w:t xml:space="preserve">. </w:t>
      </w:r>
    </w:p>
    <w:p w14:paraId="7C4A5D42" w14:textId="3B77E41E" w:rsidR="002D2DCD" w:rsidRPr="004416CB" w:rsidRDefault="002D2DCD" w:rsidP="00950D74">
      <w:pPr>
        <w:pStyle w:val="Prrafodelista"/>
        <w:widowControl w:val="0"/>
        <w:numPr>
          <w:ilvl w:val="8"/>
          <w:numId w:val="23"/>
        </w:numPr>
        <w:ind w:left="993" w:hanging="284"/>
        <w:rPr>
          <w:rFonts w:cs="Arial"/>
          <w:color w:val="000000"/>
        </w:rPr>
      </w:pPr>
      <w:r w:rsidRPr="004416CB">
        <w:rPr>
          <w:rFonts w:cs="Arial"/>
          <w:color w:val="000000"/>
          <w:szCs w:val="24"/>
        </w:rPr>
        <w:t>Mientras el transportador ejecuta el 100% de las inversiones que requiere para mantener en operación el activo, se retirará de la base de activos el valor correspondiente al activo que ha cumplido período de vida útil normativa, y en la base tarifaria se reconocerá el</w:t>
      </w:r>
      <w:r w:rsidR="005D57FA">
        <w:rPr>
          <w:rFonts w:cs="Arial"/>
          <w:color w:val="000000"/>
          <w:szCs w:val="24"/>
        </w:rPr>
        <w:t xml:space="preserve"> (i)</w:t>
      </w:r>
      <w:r w:rsidRPr="004416CB">
        <w:rPr>
          <w:rFonts w:cs="Arial"/>
          <w:color w:val="000000"/>
          <w:szCs w:val="24"/>
        </w:rPr>
        <w:t xml:space="preserve"> valor </w:t>
      </w:r>
      <w:r w:rsidRPr="004416CB">
        <w:rPr>
          <w:rFonts w:cs="Arial"/>
          <w:color w:val="000000"/>
          <w:szCs w:val="24"/>
        </w:rPr>
        <w:lastRenderedPageBreak/>
        <w:t>eficiente determinado por la CREG del valor presente de las inversiones para mantener en operación el activo</w:t>
      </w:r>
      <w:r w:rsidR="00B665C0">
        <w:rPr>
          <w:rFonts w:cs="Arial"/>
          <w:color w:val="000000"/>
          <w:szCs w:val="24"/>
        </w:rPr>
        <w:t xml:space="preserve">, </w:t>
      </w:r>
      <w:r w:rsidR="002E63BC">
        <w:rPr>
          <w:rFonts w:cs="Arial"/>
          <w:color w:val="000000"/>
          <w:szCs w:val="24"/>
        </w:rPr>
        <w:t>y, (</w:t>
      </w:r>
      <w:proofErr w:type="spellStart"/>
      <w:r w:rsidR="002E63BC">
        <w:rPr>
          <w:rFonts w:cs="Arial"/>
          <w:color w:val="000000"/>
          <w:szCs w:val="24"/>
        </w:rPr>
        <w:t>ii</w:t>
      </w:r>
      <w:proofErr w:type="spellEnd"/>
      <w:r w:rsidR="002E63BC">
        <w:rPr>
          <w:rFonts w:cs="Arial"/>
          <w:color w:val="000000"/>
          <w:szCs w:val="24"/>
        </w:rPr>
        <w:t xml:space="preserve">) el valor </w:t>
      </w:r>
      <m:oMath>
        <m:r>
          <w:rPr>
            <w:rFonts w:ascii="Cambria Math" w:hAnsi="Cambria Math"/>
            <w:szCs w:val="24"/>
          </w:rPr>
          <m:t>RVUN</m:t>
        </m:r>
      </m:oMath>
      <w:r w:rsidRPr="004416CB">
        <w:rPr>
          <w:rFonts w:cs="Arial"/>
          <w:color w:val="000000"/>
          <w:szCs w:val="24"/>
        </w:rPr>
        <w:t xml:space="preserve">. </w:t>
      </w:r>
      <w:r w:rsidRPr="004416CB">
        <w:rPr>
          <w:rFonts w:cs="Arial"/>
          <w:color w:val="000000"/>
        </w:rPr>
        <w:t>En las resoluciones de cargos particulares se reconocerán las inversiones declaradas para los siguientes cinco años con el valor eficiente determinado por la CREG.</w:t>
      </w:r>
    </w:p>
    <w:p w14:paraId="4BE8B485" w14:textId="77777777" w:rsidR="002D2DCD" w:rsidRPr="004416CB" w:rsidRDefault="002D2DCD" w:rsidP="00311011">
      <w:pPr>
        <w:pStyle w:val="Prrafodelista"/>
        <w:widowControl w:val="0"/>
        <w:ind w:left="993" w:hanging="284"/>
        <w:rPr>
          <w:rFonts w:cs="Arial"/>
          <w:color w:val="000000"/>
        </w:rPr>
      </w:pPr>
    </w:p>
    <w:p w14:paraId="396242C9" w14:textId="77777777" w:rsidR="002D2DCD" w:rsidRPr="004416CB" w:rsidRDefault="002D2DCD" w:rsidP="00950D74">
      <w:pPr>
        <w:pStyle w:val="Estilo3"/>
        <w:widowControl w:val="0"/>
        <w:numPr>
          <w:ilvl w:val="8"/>
          <w:numId w:val="23"/>
        </w:numPr>
        <w:ind w:left="993" w:hanging="284"/>
        <w:jc w:val="both"/>
        <w:rPr>
          <w:rFonts w:ascii="Bookman Old Style" w:hAnsi="Bookman Old Style"/>
          <w:lang w:val="es-CO"/>
        </w:rPr>
      </w:pPr>
      <w:r w:rsidRPr="004416CB">
        <w:rPr>
          <w:rFonts w:ascii="Bookman Old Style" w:hAnsi="Bookman Old Style" w:cs="Arial"/>
          <w:color w:val="000000"/>
          <w:sz w:val="24"/>
          <w:szCs w:val="24"/>
          <w:lang w:val="es-ES" w:eastAsia="es-ES"/>
        </w:rPr>
        <w:t>Los valores de inversión aprobados en el presente literal remunerarán todas las inversiones eficientes requeridas, tales como inversiones en reparaciones, variantes y reposiciones parciales, para mantener la integridad y seguridad de los activos correspondientes durante su nuevo período de vida útil normativa.</w:t>
      </w:r>
    </w:p>
    <w:p w14:paraId="09A8E526" w14:textId="77777777" w:rsidR="002D2DCD" w:rsidRPr="004416CB" w:rsidRDefault="002D2DCD" w:rsidP="00311011">
      <w:pPr>
        <w:pStyle w:val="Prrafodelista"/>
        <w:ind w:left="993" w:hanging="284"/>
      </w:pPr>
    </w:p>
    <w:p w14:paraId="2F6BAB43" w14:textId="3F135C93" w:rsidR="002D2DCD" w:rsidRPr="002A1397" w:rsidRDefault="002D2DCD" w:rsidP="00950D74">
      <w:pPr>
        <w:pStyle w:val="Prrafodelista"/>
        <w:widowControl w:val="0"/>
        <w:numPr>
          <w:ilvl w:val="8"/>
          <w:numId w:val="23"/>
        </w:numPr>
        <w:ind w:left="993" w:hanging="284"/>
        <w:rPr>
          <w:rFonts w:cs="Arial"/>
          <w:color w:val="000000"/>
          <w:szCs w:val="24"/>
        </w:rPr>
      </w:pPr>
      <w:bookmarkStart w:id="13" w:name="_Ref51920861"/>
      <w:r w:rsidRPr="004416CB">
        <w:rPr>
          <w:rFonts w:cs="Arial"/>
          <w:color w:val="000000"/>
          <w:szCs w:val="24"/>
        </w:rPr>
        <w:t xml:space="preserve">Cuando el transportador ejecute el 100% de cada una de las inversiones que requiere para mantener en operación el activo, en la base tarifaria solo se reconocerá el valor eficiente de las </w:t>
      </w:r>
      <w:r w:rsidRPr="002A1397">
        <w:rPr>
          <w:rFonts w:cs="Arial"/>
          <w:color w:val="000000"/>
          <w:szCs w:val="24"/>
        </w:rPr>
        <w:t>inversiones ejecutadas, las cuales se incluirán en cargos de acuerdo con lo establecido en el</w:t>
      </w:r>
      <w:r w:rsidR="00336BEE">
        <w:rPr>
          <w:rFonts w:cs="Arial"/>
          <w:color w:val="000000"/>
          <w:szCs w:val="24"/>
        </w:rPr>
        <w:t xml:space="preserve"> Artículo 28</w:t>
      </w:r>
      <w:r w:rsidRPr="002A1397">
        <w:rPr>
          <w:rFonts w:cs="Arial"/>
          <w:color w:val="000000"/>
          <w:szCs w:val="24"/>
        </w:rPr>
        <w:t xml:space="preserve"> de la presente resolución. El valor eficiente, </w:t>
      </w:r>
      <m:oMath>
        <m:r>
          <w:rPr>
            <w:rFonts w:ascii="Cambria Math" w:hAnsi="Cambria Math" w:cs="Arial"/>
            <w:color w:val="000000"/>
          </w:rPr>
          <m:t>VAO,</m:t>
        </m:r>
      </m:oMath>
      <w:r w:rsidRPr="002A1397">
        <w:rPr>
          <w:rFonts w:cs="Arial"/>
          <w:color w:val="000000"/>
          <w:szCs w:val="24"/>
        </w:rPr>
        <w:t xml:space="preserve"> se determinará siguiendo las siguientes fórmulas:</w:t>
      </w:r>
      <w:bookmarkEnd w:id="13"/>
    </w:p>
    <w:p w14:paraId="5095F59E" w14:textId="77777777" w:rsidR="002D2DCD" w:rsidRPr="004416CB" w:rsidRDefault="002D2DCD" w:rsidP="00311011">
      <w:pPr>
        <w:pStyle w:val="NormalWeb"/>
        <w:spacing w:before="0" w:beforeAutospacing="0" w:after="0" w:afterAutospacing="0"/>
        <w:ind w:left="993" w:hanging="284"/>
        <w:rPr>
          <w:lang w:val="es-CO"/>
        </w:rPr>
      </w:pPr>
    </w:p>
    <w:p w14:paraId="23FC84CB" w14:textId="77777777" w:rsidR="002D2DCD" w:rsidRPr="004416CB" w:rsidRDefault="002D2DCD" w:rsidP="00311011">
      <w:pPr>
        <w:tabs>
          <w:tab w:val="left" w:pos="426"/>
        </w:tabs>
        <w:ind w:left="993" w:hanging="284"/>
        <w:jc w:val="both"/>
        <w:rPr>
          <w:rFonts w:ascii="Bookman Old Style" w:hAnsi="Bookman Old Style" w:cs="Arial"/>
          <w:color w:val="000000"/>
        </w:rPr>
      </w:pPr>
      <m:oMathPara>
        <m:oMath>
          <m:r>
            <w:rPr>
              <w:rFonts w:ascii="Cambria Math" w:hAnsi="Cambria Math" w:cs="Arial"/>
              <w:color w:val="000000"/>
            </w:rPr>
            <m:t>VAO</m:t>
          </m:r>
          <m:r>
            <w:rPr>
              <w:rFonts w:ascii="Cambria Math" w:hAnsi="Cambria Math" w:cs="Arial"/>
              <w:color w:val="000000"/>
              <w:lang w:val="es-ES_tradnl"/>
            </w:rPr>
            <m:t xml:space="preserve"> = </m:t>
          </m:r>
          <m:d>
            <m:dPr>
              <m:begChr m:val="{"/>
              <m:endChr m:val=""/>
              <m:ctrlPr>
                <w:rPr>
                  <w:rFonts w:ascii="Cambria Math" w:hAnsi="Cambria Math" w:cs="Arial"/>
                  <w:i/>
                  <w:color w:val="000000"/>
                  <w:lang w:val="es-ES_tradnl"/>
                </w:rPr>
              </m:ctrlPr>
            </m:dPr>
            <m:e>
              <m:eqArr>
                <m:eqArrPr>
                  <m:ctrlPr>
                    <w:rPr>
                      <w:rFonts w:ascii="Cambria Math" w:hAnsi="Cambria Math" w:cs="Arial"/>
                      <w:i/>
                      <w:color w:val="000000"/>
                      <w:lang w:val="es-ES_tradnl"/>
                    </w:rPr>
                  </m:ctrlPr>
                </m:eqArrPr>
                <m:e>
                  <m:r>
                    <w:rPr>
                      <w:rFonts w:ascii="Cambria Math" w:hAnsi="Cambria Math" w:cs="Arial"/>
                      <w:color w:val="000000"/>
                      <w:lang w:val="es-ES_tradnl"/>
                    </w:rPr>
                    <m:t xml:space="preserve">Apr- </m:t>
                  </m:r>
                  <m:f>
                    <m:fPr>
                      <m:ctrlPr>
                        <w:rPr>
                          <w:rFonts w:ascii="Cambria Math" w:hAnsi="Cambria Math" w:cs="Arial"/>
                          <w:i/>
                          <w:color w:val="000000"/>
                          <w:lang w:val="es-ES_tradnl"/>
                        </w:rPr>
                      </m:ctrlPr>
                    </m:fPr>
                    <m:num>
                      <m:r>
                        <w:rPr>
                          <w:rFonts w:ascii="Cambria Math" w:hAnsi="Cambria Math" w:cs="Arial"/>
                          <w:color w:val="000000"/>
                          <w:lang w:val="es-ES_tradnl"/>
                        </w:rPr>
                        <m:t>Apr-Real</m:t>
                      </m:r>
                    </m:num>
                    <m:den>
                      <m:r>
                        <w:rPr>
                          <w:rFonts w:ascii="Cambria Math" w:hAnsi="Cambria Math" w:cs="Arial"/>
                          <w:color w:val="000000"/>
                          <w:lang w:val="es-ES_tradnl"/>
                        </w:rPr>
                        <m:t>2</m:t>
                      </m:r>
                    </m:den>
                  </m:f>
                  <m:r>
                    <w:rPr>
                      <w:rFonts w:ascii="Cambria Math" w:hAnsi="Cambria Math" w:cs="Arial"/>
                      <w:color w:val="000000"/>
                      <w:lang w:val="es-ES_tradnl"/>
                    </w:rPr>
                    <m:t xml:space="preserve"> si Real ≤Apr </m:t>
                  </m:r>
                </m:e>
                <m:e>
                  <m:r>
                    <w:rPr>
                      <w:rFonts w:ascii="Cambria Math" w:hAnsi="Cambria Math" w:cs="Arial"/>
                      <w:color w:val="000000"/>
                      <w:lang w:val="es-ES_tradnl"/>
                    </w:rPr>
                    <m:t xml:space="preserve"> </m:t>
                  </m:r>
                </m:e>
                <m:e>
                  <m:r>
                    <w:rPr>
                      <w:rFonts w:ascii="Cambria Math" w:hAnsi="Cambria Math" w:cs="Arial"/>
                      <w:color w:val="000000"/>
                      <w:lang w:val="es-ES_tradnl"/>
                    </w:rPr>
                    <m:t xml:space="preserve">Apr+ </m:t>
                  </m:r>
                  <m:f>
                    <m:fPr>
                      <m:ctrlPr>
                        <w:rPr>
                          <w:rFonts w:ascii="Cambria Math" w:hAnsi="Cambria Math" w:cs="Arial"/>
                          <w:i/>
                          <w:color w:val="000000"/>
                          <w:lang w:val="es-ES_tradnl"/>
                        </w:rPr>
                      </m:ctrlPr>
                    </m:fPr>
                    <m:num>
                      <m:r>
                        <w:rPr>
                          <w:rFonts w:ascii="Cambria Math" w:hAnsi="Cambria Math" w:cs="Arial"/>
                          <w:color w:val="000000"/>
                          <w:lang w:val="es-ES_tradnl"/>
                        </w:rPr>
                        <m:t>Real-Apr</m:t>
                      </m:r>
                    </m:num>
                    <m:den>
                      <m:r>
                        <w:rPr>
                          <w:rFonts w:ascii="Cambria Math" w:hAnsi="Cambria Math" w:cs="Arial"/>
                          <w:color w:val="000000"/>
                          <w:lang w:val="es-ES_tradnl"/>
                        </w:rPr>
                        <m:t>2</m:t>
                      </m:r>
                    </m:den>
                  </m:f>
                  <m:r>
                    <w:rPr>
                      <w:rFonts w:ascii="Cambria Math" w:hAnsi="Cambria Math" w:cs="Arial"/>
                      <w:color w:val="000000"/>
                      <w:lang w:val="es-ES_tradnl"/>
                    </w:rPr>
                    <m:t xml:space="preserve"> si Apr&lt; Real ≤1,3×Apr </m:t>
                  </m:r>
                  <m:ctrlPr>
                    <w:rPr>
                      <w:rFonts w:ascii="Cambria Math" w:eastAsia="Cambria Math" w:hAnsi="Cambria Math" w:cs="Cambria Math"/>
                      <w:i/>
                      <w:color w:val="000000"/>
                      <w:lang w:val="es-ES_tradnl"/>
                    </w:rPr>
                  </m:ctrlPr>
                </m:e>
                <m:e>
                  <m:r>
                    <w:rPr>
                      <w:rFonts w:ascii="Cambria Math" w:eastAsia="Cambria Math" w:hAnsi="Cambria Math" w:cs="Cambria Math"/>
                      <w:color w:val="000000"/>
                      <w:lang w:val="es-ES_tradnl"/>
                    </w:rPr>
                    <m:t xml:space="preserve"> </m:t>
                  </m:r>
                  <m:ctrlPr>
                    <w:rPr>
                      <w:rFonts w:ascii="Cambria Math" w:eastAsia="Cambria Math" w:hAnsi="Cambria Math" w:cs="Cambria Math"/>
                      <w:i/>
                      <w:color w:val="000000"/>
                      <w:lang w:val="es-ES_tradnl"/>
                    </w:rPr>
                  </m:ctrlPr>
                </m:e>
                <m:e>
                  <m:r>
                    <w:rPr>
                      <w:rFonts w:ascii="Cambria Math" w:hAnsi="Cambria Math" w:cs="Arial"/>
                      <w:color w:val="000000"/>
                      <w:lang w:val="es-ES_tradnl"/>
                    </w:rPr>
                    <m:t>1,15*Apr    si Real &gt;1,3× Apr</m:t>
                  </m:r>
                  <m:ctrlPr>
                    <w:rPr>
                      <w:rFonts w:ascii="Cambria Math" w:eastAsia="Cambria Math" w:hAnsi="Cambria Math" w:cs="Cambria Math"/>
                      <w:i/>
                      <w:color w:val="000000"/>
                      <w:lang w:val="es-ES_tradnl"/>
                    </w:rPr>
                  </m:ctrlPr>
                </m:e>
                <m:e>
                  <m:r>
                    <w:rPr>
                      <w:rFonts w:ascii="Cambria Math" w:eastAsia="Cambria Math" w:hAnsi="Cambria Math" w:cs="Cambria Math"/>
                      <w:color w:val="000000"/>
                      <w:lang w:val="es-ES_tradnl"/>
                    </w:rPr>
                    <m:t xml:space="preserve"> </m:t>
                  </m:r>
                  <m:ctrlPr>
                    <w:rPr>
                      <w:rFonts w:ascii="Cambria Math" w:eastAsia="Cambria Math" w:hAnsi="Cambria Math" w:cs="Cambria Math"/>
                      <w:i/>
                      <w:color w:val="000000"/>
                      <w:lang w:val="es-ES_tradnl"/>
                    </w:rPr>
                  </m:ctrlPr>
                </m:e>
                <m:e>
                  <m:r>
                    <w:rPr>
                      <w:rFonts w:ascii="Cambria Math" w:hAnsi="Cambria Math"/>
                    </w:rPr>
                    <m:t>Real=Real_opr×</m:t>
                  </m:r>
                  <m:f>
                    <m:fPr>
                      <m:ctrlPr>
                        <w:rPr>
                          <w:rFonts w:ascii="Cambria Math" w:hAnsi="Cambria Math"/>
                        </w:rPr>
                      </m:ctrlPr>
                    </m:fPr>
                    <m:num>
                      <m:sSub>
                        <m:sSubPr>
                          <m:ctrlPr>
                            <w:rPr>
                              <w:rFonts w:ascii="Cambria Math" w:hAnsi="Cambria Math"/>
                            </w:rPr>
                          </m:ctrlPr>
                        </m:sSubPr>
                        <m:e>
                          <m:r>
                            <w:rPr>
                              <w:rFonts w:ascii="Cambria Math" w:hAnsi="Cambria Math"/>
                            </w:rPr>
                            <m:t>IPP</m:t>
                          </m:r>
                        </m:e>
                        <m:sub>
                          <m:r>
                            <w:rPr>
                              <w:rFonts w:ascii="Cambria Math" w:hAnsi="Cambria Math"/>
                            </w:rPr>
                            <m:t>fb</m:t>
                          </m:r>
                        </m:sub>
                      </m:sSub>
                    </m:num>
                    <m:den>
                      <m:sSub>
                        <m:sSubPr>
                          <m:ctrlPr>
                            <w:rPr>
                              <w:rFonts w:ascii="Cambria Math" w:hAnsi="Cambria Math"/>
                            </w:rPr>
                          </m:ctrlPr>
                        </m:sSubPr>
                        <m:e>
                          <m:r>
                            <w:rPr>
                              <w:rFonts w:ascii="Cambria Math" w:hAnsi="Cambria Math"/>
                            </w:rPr>
                            <m:t>IPP</m:t>
                          </m:r>
                        </m:e>
                        <m:sub>
                          <m:r>
                            <w:rPr>
                              <w:rFonts w:ascii="Cambria Math" w:hAnsi="Cambria Math"/>
                            </w:rPr>
                            <m:t>opr</m:t>
                          </m:r>
                        </m:sub>
                      </m:sSub>
                    </m:den>
                  </m:f>
                </m:e>
              </m:eqArr>
            </m:e>
          </m:d>
        </m:oMath>
      </m:oMathPara>
    </w:p>
    <w:p w14:paraId="297F23C8" w14:textId="77777777" w:rsidR="002D2DCD" w:rsidRPr="004416CB" w:rsidRDefault="002D2DCD" w:rsidP="00311011">
      <w:pPr>
        <w:tabs>
          <w:tab w:val="left" w:pos="426"/>
        </w:tabs>
        <w:ind w:left="993" w:hanging="284"/>
        <w:jc w:val="both"/>
        <w:rPr>
          <w:rFonts w:ascii="Bookman Old Style" w:hAnsi="Bookman Old Style" w:cs="Arial"/>
          <w:color w:val="000000"/>
        </w:rPr>
      </w:pPr>
      <w:r w:rsidRPr="004416CB">
        <w:rPr>
          <w:rFonts w:ascii="Bookman Old Style" w:hAnsi="Bookman Old Style" w:cs="Arial"/>
          <w:color w:val="000000"/>
        </w:rPr>
        <w:t>Donde:</w:t>
      </w:r>
    </w:p>
    <w:p w14:paraId="0D8C86CD" w14:textId="77777777" w:rsidR="002D2DCD" w:rsidRPr="004416CB" w:rsidRDefault="002D2DCD" w:rsidP="00311011">
      <w:pPr>
        <w:tabs>
          <w:tab w:val="left" w:pos="426"/>
        </w:tabs>
        <w:ind w:left="993" w:hanging="284"/>
        <w:jc w:val="both"/>
        <w:rPr>
          <w:rFonts w:ascii="Bookman Old Style" w:hAnsi="Bookman Old Style" w:cs="Arial"/>
          <w:color w:val="000000"/>
        </w:rPr>
      </w:pPr>
    </w:p>
    <w:p w14:paraId="631C2376" w14:textId="77777777" w:rsidR="002D2DCD" w:rsidRPr="004416CB" w:rsidRDefault="002D2DCD" w:rsidP="00311011">
      <w:pPr>
        <w:tabs>
          <w:tab w:val="left" w:pos="1418"/>
        </w:tabs>
        <w:ind w:left="993" w:hanging="284"/>
        <w:jc w:val="both"/>
        <w:rPr>
          <w:rFonts w:ascii="Bookman Old Style" w:hAnsi="Bookman Old Style" w:cs="Arial"/>
          <w:color w:val="000000"/>
        </w:rPr>
      </w:pPr>
      <m:oMath>
        <m:r>
          <w:rPr>
            <w:rFonts w:ascii="Cambria Math" w:hAnsi="Cambria Math" w:cs="Arial"/>
            <w:color w:val="000000"/>
          </w:rPr>
          <m:t>VAO:</m:t>
        </m:r>
      </m:oMath>
      <w:r w:rsidRPr="004416CB">
        <w:rPr>
          <w:rFonts w:ascii="Bookman Old Style" w:hAnsi="Bookman Old Style" w:cs="Arial"/>
          <w:i/>
          <w:color w:val="000000"/>
        </w:rPr>
        <w:tab/>
      </w:r>
      <w:r w:rsidRPr="004416CB">
        <w:rPr>
          <w:rFonts w:ascii="Bookman Old Style" w:hAnsi="Bookman Old Style" w:cs="Arial"/>
          <w:color w:val="000000"/>
        </w:rPr>
        <w:t xml:space="preserve">Valor eficiente de la inversión en caso de que el transportador decida continuar operando el activo durante el siguiente período de vida útil normativa. Este valor estará expresado en pesos colombianos de la </w:t>
      </w:r>
      <w:r w:rsidRPr="004416CB">
        <w:rPr>
          <w:rFonts w:ascii="Bookman Old Style" w:hAnsi="Bookman Old Style"/>
        </w:rPr>
        <w:t>fecha base</w:t>
      </w:r>
      <w:r w:rsidRPr="004416CB">
        <w:rPr>
          <w:rFonts w:ascii="Bookman Old Style" w:hAnsi="Bookman Old Style" w:cs="Arial"/>
          <w:color w:val="000000"/>
        </w:rPr>
        <w:t>.</w:t>
      </w:r>
    </w:p>
    <w:p w14:paraId="49896086" w14:textId="77777777" w:rsidR="002D2DCD" w:rsidRPr="004416CB" w:rsidRDefault="002D2DCD" w:rsidP="00311011">
      <w:pPr>
        <w:tabs>
          <w:tab w:val="left" w:pos="1418"/>
        </w:tabs>
        <w:ind w:left="993" w:hanging="284"/>
        <w:rPr>
          <w:rFonts w:ascii="Bookman Old Style" w:hAnsi="Bookman Old Style" w:cs="Arial"/>
          <w:i/>
          <w:color w:val="000000"/>
        </w:rPr>
      </w:pPr>
    </w:p>
    <w:p w14:paraId="3648DBC8" w14:textId="62FA6E47" w:rsidR="002D2DCD" w:rsidRPr="004416CB" w:rsidRDefault="002D2DCD" w:rsidP="00311011">
      <w:pPr>
        <w:tabs>
          <w:tab w:val="left" w:pos="1418"/>
        </w:tabs>
        <w:ind w:left="993" w:hanging="284"/>
        <w:jc w:val="both"/>
        <w:rPr>
          <w:rFonts w:ascii="Bookman Old Style" w:hAnsi="Bookman Old Style"/>
        </w:rPr>
      </w:pPr>
      <m:oMath>
        <m:r>
          <w:rPr>
            <w:rFonts w:ascii="Cambria Math" w:hAnsi="Cambria Math" w:cs="Arial"/>
            <w:color w:val="000000"/>
          </w:rPr>
          <m:t>Apr:</m:t>
        </m:r>
      </m:oMath>
      <w:r w:rsidRPr="004416CB">
        <w:rPr>
          <w:rFonts w:ascii="Bookman Old Style" w:hAnsi="Bookman Old Style" w:cs="Arial"/>
          <w:color w:val="000000"/>
        </w:rPr>
        <w:tab/>
        <w:t xml:space="preserve">Valor aprobado de las inversiones para mantener el activo en operación, determinado con base en lo establecido en el </w:t>
      </w:r>
      <w:r w:rsidR="00E47E8F">
        <w:rPr>
          <w:rFonts w:ascii="Bookman Old Style" w:hAnsi="Bookman Old Style" w:cs="Arial"/>
          <w:color w:val="000000"/>
        </w:rPr>
        <w:t>Anexo 1</w:t>
      </w:r>
      <w:r w:rsidRPr="004416CB">
        <w:rPr>
          <w:rFonts w:ascii="Bookman Old Style" w:hAnsi="Bookman Old Style" w:cs="Arial"/>
          <w:color w:val="000000"/>
        </w:rPr>
        <w:t xml:space="preserve"> y en la información reportada según el </w:t>
      </w:r>
      <w:r w:rsidR="00E47E8F">
        <w:rPr>
          <w:rFonts w:ascii="Bookman Old Style" w:hAnsi="Bookman Old Style" w:cs="Arial"/>
          <w:color w:val="000000"/>
        </w:rPr>
        <w:t>Anexo 2</w:t>
      </w:r>
      <w:r w:rsidRPr="004416CB">
        <w:rPr>
          <w:rFonts w:ascii="Bookman Old Style" w:hAnsi="Bookman Old Style" w:cs="Arial"/>
          <w:color w:val="000000"/>
        </w:rPr>
        <w:t xml:space="preserve"> de la presente resolución. Este valor estará expresado en pesos colombianos de la </w:t>
      </w:r>
      <w:r w:rsidRPr="004416CB">
        <w:rPr>
          <w:rFonts w:ascii="Bookman Old Style" w:hAnsi="Bookman Old Style"/>
        </w:rPr>
        <w:t>fecha base</w:t>
      </w:r>
      <w:r w:rsidRPr="004416CB">
        <w:rPr>
          <w:rFonts w:ascii="Bookman Old Style" w:hAnsi="Bookman Old Style" w:cs="Arial"/>
          <w:color w:val="000000"/>
        </w:rPr>
        <w:t>.</w:t>
      </w:r>
    </w:p>
    <w:p w14:paraId="24245F19" w14:textId="77777777" w:rsidR="002D2DCD" w:rsidRPr="004416CB" w:rsidRDefault="002D2DCD" w:rsidP="00311011">
      <w:pPr>
        <w:tabs>
          <w:tab w:val="left" w:pos="426"/>
          <w:tab w:val="left" w:pos="1418"/>
        </w:tabs>
        <w:ind w:left="993" w:hanging="284"/>
        <w:jc w:val="both"/>
        <w:rPr>
          <w:rFonts w:ascii="Bookman Old Style" w:hAnsi="Bookman Old Style" w:cs="Arial"/>
          <w:color w:val="000000"/>
        </w:rPr>
      </w:pPr>
    </w:p>
    <w:p w14:paraId="22611AF3" w14:textId="5DE522F4" w:rsidR="002D2DCD" w:rsidRPr="004416CB" w:rsidRDefault="002D2DCD" w:rsidP="00311011">
      <w:pPr>
        <w:tabs>
          <w:tab w:val="left" w:pos="1418"/>
        </w:tabs>
        <w:ind w:left="993" w:hanging="284"/>
        <w:jc w:val="both"/>
        <w:rPr>
          <w:rFonts w:ascii="Bookman Old Style" w:hAnsi="Bookman Old Style" w:cs="Arial"/>
          <w:color w:val="000000"/>
        </w:rPr>
      </w:pPr>
      <m:oMath>
        <m:r>
          <w:rPr>
            <w:rFonts w:ascii="Cambria Math" w:hAnsi="Cambria Math" w:cs="Arial"/>
            <w:color w:val="000000"/>
          </w:rPr>
          <m:t>Real</m:t>
        </m:r>
      </m:oMath>
      <w:r w:rsidRPr="004416CB">
        <w:rPr>
          <w:rFonts w:ascii="Bookman Old Style" w:hAnsi="Bookman Old Style" w:cs="Arial"/>
          <w:color w:val="000000"/>
        </w:rPr>
        <w:t xml:space="preserve">: </w:t>
      </w:r>
      <w:r w:rsidRPr="004416CB">
        <w:rPr>
          <w:rFonts w:ascii="Bookman Old Style" w:hAnsi="Bookman Old Style" w:cs="Arial"/>
          <w:color w:val="000000"/>
        </w:rPr>
        <w:tab/>
        <w:t xml:space="preserve">Valor real de las inversiones para mantener el activo en operación determinado con base en la información reportada por el transportador en el formato del </w:t>
      </w:r>
      <w:r w:rsidR="00E47E8F">
        <w:rPr>
          <w:rFonts w:ascii="Bookman Old Style" w:hAnsi="Bookman Old Style" w:cs="Arial"/>
          <w:color w:val="000000"/>
        </w:rPr>
        <w:t>Anexo 3</w:t>
      </w:r>
      <w:r w:rsidRPr="004416CB">
        <w:rPr>
          <w:rFonts w:ascii="Bookman Old Style" w:hAnsi="Bookman Old Style" w:cs="Arial"/>
          <w:color w:val="000000"/>
        </w:rPr>
        <w:t xml:space="preserve"> de la presente resolución. Este valor estará expresado en pesos </w:t>
      </w:r>
      <w:r w:rsidRPr="004416CB">
        <w:rPr>
          <w:rFonts w:ascii="Bookman Old Style" w:hAnsi="Bookman Old Style" w:cs="Arial"/>
          <w:color w:val="000000"/>
          <w:lang w:val="es-ES_tradnl"/>
        </w:rPr>
        <w:t>colombianos</w:t>
      </w:r>
      <w:r w:rsidRPr="004416CB">
        <w:rPr>
          <w:rFonts w:ascii="Bookman Old Style" w:hAnsi="Bookman Old Style" w:cs="Arial"/>
          <w:color w:val="000000"/>
        </w:rPr>
        <w:t xml:space="preserve"> de la </w:t>
      </w:r>
      <w:r w:rsidRPr="004416CB">
        <w:rPr>
          <w:rFonts w:ascii="Bookman Old Style" w:hAnsi="Bookman Old Style"/>
        </w:rPr>
        <w:t>fecha base</w:t>
      </w:r>
      <w:r w:rsidRPr="004416CB">
        <w:rPr>
          <w:rFonts w:ascii="Bookman Old Style" w:hAnsi="Bookman Old Style" w:cs="Arial"/>
          <w:color w:val="000000"/>
        </w:rPr>
        <w:t>.</w:t>
      </w:r>
    </w:p>
    <w:p w14:paraId="0253A017" w14:textId="77777777" w:rsidR="002D2DCD" w:rsidRPr="004416CB" w:rsidRDefault="002D2DCD" w:rsidP="00311011">
      <w:pPr>
        <w:widowControl w:val="0"/>
        <w:tabs>
          <w:tab w:val="left" w:pos="426"/>
          <w:tab w:val="left" w:pos="1418"/>
          <w:tab w:val="left" w:pos="6804"/>
        </w:tabs>
        <w:spacing w:line="120" w:lineRule="auto"/>
        <w:ind w:left="993" w:hanging="284"/>
        <w:jc w:val="both"/>
        <w:rPr>
          <w:rFonts w:ascii="Bookman Old Style" w:hAnsi="Bookman Old Style"/>
          <w:color w:val="000000"/>
        </w:rPr>
      </w:pPr>
    </w:p>
    <w:p w14:paraId="5D315497" w14:textId="6A230E36" w:rsidR="002D2DCD" w:rsidRPr="004416CB" w:rsidRDefault="002D2DCD" w:rsidP="00311011">
      <w:pPr>
        <w:tabs>
          <w:tab w:val="left" w:pos="1418"/>
        </w:tabs>
        <w:ind w:left="993" w:hanging="284"/>
        <w:jc w:val="both"/>
        <w:rPr>
          <w:rFonts w:ascii="Bookman Old Style" w:hAnsi="Bookman Old Style" w:cs="Arial"/>
          <w:color w:val="000000"/>
        </w:rPr>
      </w:pPr>
      <m:oMath>
        <m:r>
          <w:rPr>
            <w:rFonts w:ascii="Cambria Math" w:hAnsi="Cambria Math" w:cs="Arial"/>
            <w:color w:val="000000"/>
          </w:rPr>
          <m:t>Real_opr</m:t>
        </m:r>
      </m:oMath>
      <w:r w:rsidRPr="004416CB">
        <w:rPr>
          <w:rFonts w:ascii="Bookman Old Style" w:hAnsi="Bookman Old Style" w:cs="Arial"/>
          <w:color w:val="000000"/>
        </w:rPr>
        <w:t xml:space="preserve">: </w:t>
      </w:r>
      <w:r w:rsidRPr="004416CB">
        <w:rPr>
          <w:rFonts w:ascii="Bookman Old Style" w:hAnsi="Bookman Old Style" w:cs="Arial"/>
          <w:color w:val="000000"/>
        </w:rPr>
        <w:tab/>
        <w:t xml:space="preserve">Valor real de las inversiones para mantener el activo en operación, determinado con base en la información reportada por el transportador en el formato del </w:t>
      </w:r>
      <w:r w:rsidR="00E47E8F">
        <w:rPr>
          <w:rFonts w:ascii="Bookman Old Style" w:hAnsi="Bookman Old Style" w:cs="Arial"/>
          <w:color w:val="000000"/>
        </w:rPr>
        <w:t>Anexo 3</w:t>
      </w:r>
      <w:r w:rsidRPr="004416CB">
        <w:rPr>
          <w:rFonts w:ascii="Bookman Old Style" w:hAnsi="Bookman Old Style" w:cs="Arial"/>
          <w:color w:val="000000"/>
        </w:rPr>
        <w:t xml:space="preserve"> de la presente resolución. Este valor estará expresado en pesos </w:t>
      </w:r>
      <w:r w:rsidRPr="004416CB">
        <w:rPr>
          <w:rFonts w:ascii="Bookman Old Style" w:hAnsi="Bookman Old Style" w:cs="Arial"/>
          <w:color w:val="000000"/>
          <w:lang w:val="es-ES_tradnl"/>
        </w:rPr>
        <w:t>colombianos</w:t>
      </w:r>
      <w:r w:rsidRPr="004416CB">
        <w:rPr>
          <w:rFonts w:ascii="Bookman Old Style" w:hAnsi="Bookman Old Style" w:cs="Arial"/>
          <w:color w:val="000000"/>
        </w:rPr>
        <w:t xml:space="preserve"> de la fecha de puesta en operación comercial. Los valores en dólares americanos se convertirán a pesos </w:t>
      </w:r>
      <w:r w:rsidRPr="004416CB">
        <w:rPr>
          <w:rFonts w:ascii="Bookman Old Style" w:hAnsi="Bookman Old Style" w:cs="Arial"/>
          <w:color w:val="000000"/>
          <w:lang w:val="es-ES_tradnl"/>
        </w:rPr>
        <w:t>colombianos</w:t>
      </w:r>
      <w:r w:rsidRPr="004416CB">
        <w:rPr>
          <w:rFonts w:ascii="Bookman Old Style" w:hAnsi="Bookman Old Style" w:cs="Arial"/>
          <w:color w:val="000000"/>
        </w:rPr>
        <w:t xml:space="preserve"> utilizando la </w:t>
      </w:r>
      <w:proofErr w:type="spellStart"/>
      <w:r w:rsidRPr="004416CB">
        <w:rPr>
          <w:rFonts w:ascii="Bookman Old Style" w:hAnsi="Bookman Old Style" w:cs="Arial"/>
          <w:color w:val="000000"/>
        </w:rPr>
        <w:t>TRM</w:t>
      </w:r>
      <w:proofErr w:type="spellEnd"/>
      <w:r w:rsidRPr="004416CB">
        <w:rPr>
          <w:rFonts w:ascii="Bookman Old Style" w:hAnsi="Bookman Old Style" w:cs="Arial"/>
          <w:color w:val="000000"/>
        </w:rPr>
        <w:t xml:space="preserve"> de la fecha de puesta en operación comercial.</w:t>
      </w:r>
    </w:p>
    <w:p w14:paraId="48871493" w14:textId="77777777" w:rsidR="002D2DCD" w:rsidRPr="004416CB" w:rsidRDefault="002D2DCD" w:rsidP="00311011">
      <w:pPr>
        <w:tabs>
          <w:tab w:val="left" w:pos="1418"/>
        </w:tabs>
        <w:ind w:left="993" w:hanging="284"/>
        <w:jc w:val="both"/>
        <w:rPr>
          <w:rFonts w:ascii="Bookman Old Style" w:hAnsi="Bookman Old Style" w:cs="Arial"/>
          <w:color w:val="000000"/>
        </w:rPr>
      </w:pPr>
    </w:p>
    <w:p w14:paraId="012D3594" w14:textId="77777777" w:rsidR="002D2DCD" w:rsidRPr="004416CB" w:rsidRDefault="00000000" w:rsidP="00311011">
      <w:pPr>
        <w:tabs>
          <w:tab w:val="left" w:pos="858"/>
        </w:tabs>
        <w:ind w:left="993" w:hanging="284"/>
        <w:jc w:val="both"/>
        <w:rPr>
          <w:rFonts w:ascii="Bookman Old Style" w:hAnsi="Bookman Old Style"/>
        </w:rPr>
      </w:pPr>
      <m:oMath>
        <m:sSub>
          <m:sSubPr>
            <m:ctrlPr>
              <w:rPr>
                <w:rFonts w:ascii="Cambria Math" w:hAnsi="Cambria Math"/>
                <w:i/>
                <w:color w:val="000000"/>
                <w:kern w:val="28"/>
                <w:lang w:val="es-ES_tradnl" w:eastAsia="es-CO"/>
              </w:rPr>
            </m:ctrlPr>
          </m:sSubPr>
          <m:e>
            <m:r>
              <w:rPr>
                <w:rFonts w:ascii="Cambria Math" w:hAnsi="Cambria Math"/>
                <w:color w:val="000000"/>
              </w:rPr>
              <m:t>IPP</m:t>
            </m:r>
          </m:e>
          <m:sub>
            <m:r>
              <w:rPr>
                <w:rFonts w:ascii="Cambria Math" w:hAnsi="Cambria Math"/>
                <w:color w:val="000000"/>
              </w:rPr>
              <m:t>fb</m:t>
            </m:r>
          </m:sub>
        </m:sSub>
        <m:r>
          <w:rPr>
            <w:rFonts w:ascii="Cambria Math" w:hAnsi="Cambria Math"/>
            <w:color w:val="000000"/>
            <w:kern w:val="28"/>
            <w:lang w:eastAsia="es-CO"/>
          </w:rPr>
          <m:t>:</m:t>
        </m:r>
      </m:oMath>
      <w:r w:rsidR="002D2DCD" w:rsidRPr="004416CB">
        <w:rPr>
          <w:rFonts w:ascii="Bookman Old Style" w:hAnsi="Bookman Old Style" w:cs="Arial"/>
          <w:color w:val="000000"/>
        </w:rPr>
        <w:tab/>
      </w:r>
      <w:r w:rsidR="002D2DCD" w:rsidRPr="004416CB">
        <w:rPr>
          <w:rFonts w:ascii="Bookman Old Style" w:hAnsi="Bookman Old Style" w:cs="Arial"/>
          <w:color w:val="000000"/>
        </w:rPr>
        <w:tab/>
      </w:r>
      <w:r w:rsidR="002D2DCD" w:rsidRPr="004416CB">
        <w:rPr>
          <w:rFonts w:ascii="Bookman Old Style" w:hAnsi="Bookman Old Style"/>
        </w:rPr>
        <w:t xml:space="preserve">Índice de Precios al Productor Oferta Interna, reportado por el DANE </w:t>
      </w:r>
      <w:r w:rsidR="002D2DCD" w:rsidRPr="004416CB">
        <w:rPr>
          <w:rFonts w:ascii="Bookman Old Style" w:hAnsi="Bookman Old Style" w:cs="Arial"/>
          <w:color w:val="000000"/>
        </w:rPr>
        <w:t xml:space="preserve">para la </w:t>
      </w:r>
      <w:r w:rsidR="002D2DCD" w:rsidRPr="004416CB">
        <w:rPr>
          <w:rFonts w:ascii="Bookman Old Style" w:hAnsi="Bookman Old Style"/>
        </w:rPr>
        <w:t>fecha base</w:t>
      </w:r>
      <w:r w:rsidR="002D2DCD" w:rsidRPr="004416CB">
        <w:rPr>
          <w:rFonts w:ascii="Bookman Old Style" w:hAnsi="Bookman Old Style" w:cs="Arial"/>
          <w:color w:val="000000"/>
          <w:kern w:val="28"/>
          <w:lang w:val="es-ES_tradnl" w:eastAsia="es-CO"/>
        </w:rPr>
        <w:t>.</w:t>
      </w:r>
    </w:p>
    <w:p w14:paraId="3E6D3101" w14:textId="77777777" w:rsidR="002D2DCD" w:rsidRPr="004416CB" w:rsidRDefault="002D2DCD" w:rsidP="00311011">
      <w:pPr>
        <w:ind w:left="993" w:hanging="284"/>
        <w:jc w:val="both"/>
        <w:rPr>
          <w:rFonts w:ascii="Bookman Old Style" w:hAnsi="Bookman Old Style" w:cs="Arial"/>
          <w:color w:val="000000"/>
        </w:rPr>
      </w:pPr>
    </w:p>
    <w:p w14:paraId="7DFDBCB7" w14:textId="77777777" w:rsidR="002D2DCD" w:rsidRPr="004416CB" w:rsidRDefault="00000000" w:rsidP="00311011">
      <w:pPr>
        <w:ind w:left="993" w:hanging="284"/>
        <w:jc w:val="both"/>
        <w:rPr>
          <w:rFonts w:ascii="Bookman Old Style" w:hAnsi="Bookman Old Style" w:cs="Arial"/>
          <w:color w:val="000000"/>
        </w:rPr>
      </w:pPr>
      <m:oMath>
        <m:sSub>
          <m:sSubPr>
            <m:ctrlPr>
              <w:rPr>
                <w:rFonts w:ascii="Cambria Math" w:hAnsi="Cambria Math"/>
                <w:i/>
                <w:color w:val="000000"/>
                <w:kern w:val="28"/>
                <w:lang w:val="es-ES_tradnl" w:eastAsia="es-CO"/>
              </w:rPr>
            </m:ctrlPr>
          </m:sSubPr>
          <m:e>
            <m:r>
              <w:rPr>
                <w:rFonts w:ascii="Cambria Math" w:hAnsi="Cambria Math"/>
                <w:color w:val="000000"/>
              </w:rPr>
              <m:t>IPP</m:t>
            </m:r>
          </m:e>
          <m:sub>
            <m:r>
              <w:rPr>
                <w:rFonts w:ascii="Cambria Math" w:hAnsi="Cambria Math"/>
                <w:color w:val="000000"/>
              </w:rPr>
              <m:t>opr</m:t>
            </m:r>
          </m:sub>
        </m:sSub>
        <m:r>
          <w:rPr>
            <w:rFonts w:ascii="Cambria Math" w:hAnsi="Cambria Math"/>
            <w:color w:val="000000"/>
            <w:kern w:val="28"/>
            <w:lang w:eastAsia="es-CO"/>
          </w:rPr>
          <m:t>:</m:t>
        </m:r>
      </m:oMath>
      <w:r w:rsidR="002D2DCD" w:rsidRPr="004416CB">
        <w:rPr>
          <w:rFonts w:ascii="Bookman Old Style" w:hAnsi="Bookman Old Style" w:cs="Arial"/>
          <w:color w:val="000000"/>
        </w:rPr>
        <w:tab/>
      </w:r>
      <w:r w:rsidR="002D2DCD" w:rsidRPr="004416CB">
        <w:rPr>
          <w:rFonts w:ascii="Bookman Old Style" w:hAnsi="Bookman Old Style"/>
        </w:rPr>
        <w:t xml:space="preserve">Índice de Precios al Productor Oferta Interna, reportado por el DANE </w:t>
      </w:r>
      <w:r w:rsidR="002D2DCD" w:rsidRPr="004416CB">
        <w:rPr>
          <w:rFonts w:ascii="Bookman Old Style" w:hAnsi="Bookman Old Style" w:cs="Arial"/>
          <w:color w:val="000000"/>
        </w:rPr>
        <w:t>para el mes en que entró en operación comercial.</w:t>
      </w:r>
    </w:p>
    <w:p w14:paraId="0A3DBD7B" w14:textId="77777777" w:rsidR="002D2DCD" w:rsidRPr="004416CB" w:rsidRDefault="002D2DCD" w:rsidP="00311011">
      <w:pPr>
        <w:ind w:left="993" w:hanging="284"/>
        <w:jc w:val="both"/>
        <w:rPr>
          <w:rFonts w:ascii="Bookman Old Style" w:hAnsi="Bookman Old Style" w:cs="Arial"/>
          <w:color w:val="000000"/>
        </w:rPr>
      </w:pPr>
    </w:p>
    <w:p w14:paraId="7D9ADB0A" w14:textId="36579647" w:rsidR="002D2DCD" w:rsidRPr="00E86318" w:rsidRDefault="00E86318" w:rsidP="00311011">
      <w:pPr>
        <w:pStyle w:val="Prrafodelista"/>
        <w:widowControl w:val="0"/>
        <w:tabs>
          <w:tab w:val="num" w:pos="284"/>
        </w:tabs>
        <w:ind w:left="284"/>
        <w:rPr>
          <w:rFonts w:cs="Arial"/>
          <w:color w:val="000000"/>
        </w:rPr>
      </w:pPr>
      <w:r w:rsidRPr="00E86318">
        <w:rPr>
          <w:rFonts w:cs="Arial"/>
          <w:color w:val="000000"/>
        </w:rPr>
        <w:t xml:space="preserve">f) </w:t>
      </w:r>
      <w:r w:rsidR="002D2DCD" w:rsidRPr="00E86318">
        <w:rPr>
          <w:rFonts w:cs="Arial"/>
          <w:color w:val="000000"/>
        </w:rPr>
        <w:t>Si la decisión del transportador es reemplazar el activo existente,</w:t>
      </w:r>
      <w:r w:rsidR="00E6520C">
        <w:rPr>
          <w:rFonts w:cs="Arial"/>
          <w:color w:val="000000"/>
        </w:rPr>
        <w:t xml:space="preserve"> se</w:t>
      </w:r>
      <w:r w:rsidR="002D2DCD" w:rsidRPr="00E86318">
        <w:rPr>
          <w:rFonts w:cs="Arial"/>
          <w:color w:val="000000"/>
        </w:rPr>
        <w:t xml:space="preserve"> deberá seguir el siguiente procedimiento: </w:t>
      </w:r>
    </w:p>
    <w:p w14:paraId="38D21A26" w14:textId="77777777" w:rsidR="002D2DCD" w:rsidRPr="008B18C8" w:rsidRDefault="002D2DCD" w:rsidP="0089508C">
      <w:pPr>
        <w:ind w:left="2411" w:hanging="1418"/>
        <w:jc w:val="both"/>
      </w:pPr>
    </w:p>
    <w:p w14:paraId="6F4205E2" w14:textId="2EFC8A4A" w:rsidR="002D2DCD" w:rsidRPr="004416CB" w:rsidRDefault="002D2DCD" w:rsidP="00950D74">
      <w:pPr>
        <w:pStyle w:val="Prrafodelista"/>
        <w:widowControl w:val="0"/>
        <w:numPr>
          <w:ilvl w:val="8"/>
          <w:numId w:val="21"/>
        </w:numPr>
        <w:ind w:left="993" w:hanging="284"/>
        <w:rPr>
          <w:rFonts w:cs="Arial"/>
          <w:color w:val="000000"/>
          <w:szCs w:val="24"/>
          <w:lang w:val="es-ES"/>
        </w:rPr>
      </w:pPr>
      <w:r w:rsidRPr="004416CB">
        <w:rPr>
          <w:rFonts w:cs="Arial"/>
          <w:color w:val="000000"/>
          <w:szCs w:val="24"/>
          <w:lang w:val="es-ES"/>
        </w:rPr>
        <w:t xml:space="preserve">Cuando el transportador decida reemplazar un activo que cumple vida útil normativa por otro de distintas características de longitud y diámetro, </w:t>
      </w:r>
      <w:r w:rsidRPr="004416CB">
        <w:rPr>
          <w:rFonts w:cs="Arial"/>
          <w:color w:val="000000"/>
        </w:rPr>
        <w:t xml:space="preserve">se considerará para el trámite de cargos con un tratamiento similar al de los activos que hacen </w:t>
      </w:r>
      <w:r w:rsidRPr="004416CB">
        <w:t>parte del programa de nuevas inversiones, PNI. Para el cálculo de cargos para este tipo de inversiones se deberá aplicar lo dispuesto en el</w:t>
      </w:r>
      <w:r w:rsidR="00B024D5">
        <w:t xml:space="preserve"> Artículo 22</w:t>
      </w:r>
      <w:r w:rsidRPr="004416CB">
        <w:t xml:space="preserve"> de la presente resolución, siguiendo los procedimientos establecidos para </w:t>
      </w:r>
      <m:oMath>
        <m:sSub>
          <m:sSubPr>
            <m:ctrlPr>
              <w:rPr>
                <w:rFonts w:ascii="Cambria Math" w:hAnsi="Cambria Math"/>
              </w:rPr>
            </m:ctrlPr>
          </m:sSubPr>
          <m:e>
            <m:r>
              <w:rPr>
                <w:rFonts w:ascii="Cambria Math" w:hAnsi="Cambria Math"/>
              </w:rPr>
              <m:t>CFI_PNI_II</m:t>
            </m:r>
          </m:e>
          <m: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f</m:t>
                </m:r>
              </m:sub>
            </m:sSub>
          </m:sub>
        </m:sSub>
      </m:oMath>
      <w:r w:rsidRPr="004416CB">
        <w:t xml:space="preserve"> y </w:t>
      </w:r>
      <m:oMath>
        <m:sSub>
          <m:sSubPr>
            <m:ctrlPr>
              <w:rPr>
                <w:rFonts w:ascii="Cambria Math" w:hAnsi="Cambria Math"/>
              </w:rPr>
            </m:ctrlPr>
          </m:sSubPr>
          <m:e>
            <m:r>
              <w:rPr>
                <w:rFonts w:ascii="Cambria Math" w:hAnsi="Cambria Math"/>
              </w:rPr>
              <m:t>CVI_PNI_II</m:t>
            </m:r>
          </m:e>
          <m: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v</m:t>
                </m:r>
              </m:sub>
            </m:sSub>
          </m:sub>
        </m:sSub>
      </m:oMath>
      <w:r w:rsidRPr="004416CB">
        <w:t>.</w:t>
      </w:r>
      <w:r w:rsidRPr="004416CB">
        <w:rPr>
          <w:rFonts w:cs="Arial"/>
          <w:color w:val="000000"/>
          <w:szCs w:val="24"/>
        </w:rPr>
        <w:t xml:space="preserve"> </w:t>
      </w:r>
      <w:r w:rsidRPr="004416CB">
        <w:rPr>
          <w:rFonts w:cs="Arial"/>
          <w:color w:val="000000"/>
          <w:szCs w:val="24"/>
          <w:lang w:val="es-ES"/>
        </w:rPr>
        <w:t>en los siguientes casos:</w:t>
      </w:r>
    </w:p>
    <w:p w14:paraId="52E8A663" w14:textId="77777777" w:rsidR="002D2DCD" w:rsidRPr="004416CB" w:rsidRDefault="002D2DCD" w:rsidP="00176B0C">
      <w:pPr>
        <w:pStyle w:val="Estilo3"/>
        <w:widowControl w:val="0"/>
        <w:ind w:left="993" w:hanging="284"/>
        <w:jc w:val="both"/>
        <w:rPr>
          <w:rFonts w:ascii="Bookman Old Style" w:hAnsi="Bookman Old Style" w:cs="Arial"/>
          <w:color w:val="000000"/>
          <w:sz w:val="24"/>
          <w:szCs w:val="24"/>
          <w:lang w:val="es-ES" w:eastAsia="es-ES"/>
        </w:rPr>
      </w:pPr>
    </w:p>
    <w:p w14:paraId="42440466" w14:textId="77777777" w:rsidR="002D2DCD" w:rsidRPr="004416CB" w:rsidRDefault="002D2DCD" w:rsidP="00950D74">
      <w:pPr>
        <w:pStyle w:val="Estilo3"/>
        <w:widowControl w:val="0"/>
        <w:numPr>
          <w:ilvl w:val="1"/>
          <w:numId w:val="22"/>
        </w:numPr>
        <w:ind w:left="993" w:hanging="284"/>
        <w:jc w:val="both"/>
        <w:rPr>
          <w:rFonts w:ascii="Bookman Old Style" w:hAnsi="Bookman Old Style" w:cs="Arial"/>
          <w:color w:val="000000"/>
          <w:sz w:val="24"/>
          <w:szCs w:val="24"/>
          <w:lang w:val="es-ES" w:eastAsia="es-ES"/>
        </w:rPr>
      </w:pPr>
      <w:r w:rsidRPr="004416CB">
        <w:rPr>
          <w:rFonts w:ascii="Bookman Old Style" w:hAnsi="Bookman Old Style" w:cs="Arial"/>
          <w:color w:val="000000"/>
          <w:sz w:val="24"/>
          <w:szCs w:val="24"/>
          <w:lang w:val="es-ES" w:eastAsia="es-ES"/>
        </w:rPr>
        <w:t>Cuando sea un diámetro diferente al existente.</w:t>
      </w:r>
    </w:p>
    <w:p w14:paraId="46698E21" w14:textId="77777777" w:rsidR="002D2DCD" w:rsidRPr="004416CB" w:rsidRDefault="002D2DCD" w:rsidP="00950D74">
      <w:pPr>
        <w:pStyle w:val="Estilo3"/>
        <w:widowControl w:val="0"/>
        <w:numPr>
          <w:ilvl w:val="1"/>
          <w:numId w:val="22"/>
        </w:numPr>
        <w:ind w:left="993" w:hanging="284"/>
        <w:jc w:val="both"/>
        <w:rPr>
          <w:rFonts w:ascii="Bookman Old Style" w:hAnsi="Bookman Old Style" w:cs="Arial"/>
          <w:color w:val="000000"/>
          <w:sz w:val="24"/>
          <w:szCs w:val="24"/>
          <w:lang w:val="es-ES" w:eastAsia="es-ES"/>
        </w:rPr>
      </w:pPr>
      <w:r w:rsidRPr="004416CB">
        <w:rPr>
          <w:rFonts w:ascii="Bookman Old Style" w:hAnsi="Bookman Old Style" w:cs="Arial"/>
          <w:color w:val="000000"/>
          <w:sz w:val="24"/>
          <w:szCs w:val="24"/>
          <w:lang w:val="es-ES" w:eastAsia="es-ES"/>
        </w:rPr>
        <w:t xml:space="preserve">Cuando la longitud tenga una diferencia de +/- 10% a la del trazado original. </w:t>
      </w:r>
    </w:p>
    <w:p w14:paraId="5A7E4FFE" w14:textId="77777777" w:rsidR="002D2DCD" w:rsidRPr="004416CB" w:rsidRDefault="002D2DCD" w:rsidP="00176B0C">
      <w:pPr>
        <w:pStyle w:val="Estilo3"/>
        <w:widowControl w:val="0"/>
        <w:ind w:left="993" w:hanging="284"/>
        <w:jc w:val="both"/>
        <w:rPr>
          <w:rFonts w:ascii="Bookman Old Style" w:hAnsi="Bookman Old Style" w:cs="Arial"/>
          <w:color w:val="000000"/>
          <w:sz w:val="24"/>
          <w:szCs w:val="24"/>
          <w:lang w:val="es-ES" w:eastAsia="es-ES"/>
        </w:rPr>
      </w:pPr>
    </w:p>
    <w:p w14:paraId="35BA856F" w14:textId="77777777" w:rsidR="00BB4515" w:rsidRDefault="002D2DCD" w:rsidP="003649AA">
      <w:pPr>
        <w:pStyle w:val="Estilo3"/>
        <w:widowControl w:val="0"/>
        <w:ind w:left="993"/>
        <w:jc w:val="both"/>
        <w:rPr>
          <w:rFonts w:ascii="Bookman Old Style" w:hAnsi="Bookman Old Style" w:cs="Arial"/>
          <w:color w:val="000000"/>
          <w:sz w:val="24"/>
          <w:szCs w:val="24"/>
          <w:lang w:val="es-ES" w:eastAsia="es-ES"/>
        </w:rPr>
      </w:pPr>
      <w:r w:rsidRPr="004416CB">
        <w:rPr>
          <w:rFonts w:ascii="Bookman Old Style" w:hAnsi="Bookman Old Style" w:cs="Arial"/>
          <w:color w:val="000000"/>
          <w:sz w:val="24"/>
          <w:szCs w:val="24"/>
          <w:lang w:val="es-ES" w:eastAsia="es-ES"/>
        </w:rPr>
        <w:t>En caso de aplicarse cualquiera de los literales a. o b. el transportador deberá justificar el cambio en su solicitud.</w:t>
      </w:r>
    </w:p>
    <w:p w14:paraId="6BA8D2C5" w14:textId="77777777" w:rsidR="00BB4515" w:rsidRDefault="00BB4515" w:rsidP="00176B0C">
      <w:pPr>
        <w:pStyle w:val="Estilo3"/>
        <w:widowControl w:val="0"/>
        <w:ind w:left="993" w:hanging="284"/>
        <w:jc w:val="both"/>
        <w:rPr>
          <w:rFonts w:ascii="Bookman Old Style" w:hAnsi="Bookman Old Style" w:cs="Arial"/>
          <w:color w:val="000000"/>
          <w:sz w:val="24"/>
          <w:szCs w:val="24"/>
          <w:lang w:val="es-ES" w:eastAsia="es-ES"/>
        </w:rPr>
      </w:pPr>
    </w:p>
    <w:p w14:paraId="027226C6" w14:textId="4A2EB1E8" w:rsidR="00BB4515" w:rsidRPr="0089508C" w:rsidRDefault="00081A70" w:rsidP="00950D74">
      <w:pPr>
        <w:pStyle w:val="Prrafodelista"/>
        <w:widowControl w:val="0"/>
        <w:numPr>
          <w:ilvl w:val="8"/>
          <w:numId w:val="21"/>
        </w:numPr>
        <w:ind w:left="993" w:hanging="284"/>
        <w:rPr>
          <w:rFonts w:cs="Arial"/>
          <w:color w:val="000000"/>
          <w:szCs w:val="24"/>
          <w:lang w:val="es-ES"/>
        </w:rPr>
      </w:pPr>
      <w:r w:rsidRPr="0072123F">
        <w:rPr>
          <w:rFonts w:cs="Arial"/>
          <w:color w:val="000000"/>
          <w:szCs w:val="24"/>
          <w:lang w:val="es-ES"/>
        </w:rPr>
        <w:t xml:space="preserve">Mientras el transportador repone el activo, se </w:t>
      </w:r>
      <w:r w:rsidR="0072123F" w:rsidRPr="0072123F">
        <w:rPr>
          <w:rFonts w:cs="Arial"/>
          <w:color w:val="000000"/>
          <w:szCs w:val="24"/>
          <w:lang w:val="es-ES"/>
        </w:rPr>
        <w:t>reconocerá</w:t>
      </w:r>
      <w:r w:rsidR="00BB4515" w:rsidRPr="0089508C">
        <w:rPr>
          <w:rFonts w:cs="Arial"/>
          <w:color w:val="000000"/>
          <w:szCs w:val="24"/>
          <w:lang w:val="es-ES"/>
        </w:rPr>
        <w:t xml:space="preserve"> el costo de oportunidad </w:t>
      </w:r>
      <w:r w:rsidR="005F79FA">
        <w:rPr>
          <w:rFonts w:cs="Arial"/>
          <w:color w:val="000000"/>
          <w:szCs w:val="24"/>
          <w:lang w:val="es-ES"/>
        </w:rPr>
        <w:t xml:space="preserve">conforme al procedimiento </w:t>
      </w:r>
      <w:r w:rsidR="00947BE8">
        <w:rPr>
          <w:rFonts w:cs="Arial"/>
          <w:color w:val="000000"/>
          <w:szCs w:val="24"/>
          <w:lang w:val="es-ES"/>
        </w:rPr>
        <w:t xml:space="preserve">previsto en el numeral </w:t>
      </w:r>
      <w:proofErr w:type="spellStart"/>
      <w:r w:rsidR="00947BE8">
        <w:rPr>
          <w:rFonts w:cs="Arial"/>
          <w:color w:val="000000"/>
          <w:szCs w:val="24"/>
          <w:lang w:val="es-ES"/>
        </w:rPr>
        <w:t>iii</w:t>
      </w:r>
      <w:proofErr w:type="spellEnd"/>
      <w:r w:rsidR="00C0613B">
        <w:rPr>
          <w:rFonts w:cs="Arial"/>
          <w:color w:val="000000"/>
          <w:szCs w:val="24"/>
          <w:lang w:val="es-ES"/>
        </w:rPr>
        <w:t xml:space="preserve"> del literal e) del presente artículo.</w:t>
      </w:r>
    </w:p>
    <w:p w14:paraId="35D63EF5" w14:textId="77777777" w:rsidR="002D2DCD" w:rsidRPr="004416CB" w:rsidRDefault="002D2DCD" w:rsidP="00176B0C">
      <w:pPr>
        <w:pStyle w:val="NormalWeb"/>
        <w:spacing w:before="0" w:beforeAutospacing="0" w:after="0" w:afterAutospacing="0"/>
        <w:ind w:left="993" w:hanging="284"/>
        <w:rPr>
          <w:lang w:val="es-CO"/>
        </w:rPr>
      </w:pPr>
    </w:p>
    <w:p w14:paraId="773A0289" w14:textId="77777777" w:rsidR="002D2DCD" w:rsidRPr="004416CB" w:rsidRDefault="002D2DCD" w:rsidP="00950D74">
      <w:pPr>
        <w:pStyle w:val="Prrafodelista"/>
        <w:widowControl w:val="0"/>
        <w:numPr>
          <w:ilvl w:val="8"/>
          <w:numId w:val="21"/>
        </w:numPr>
        <w:ind w:left="993" w:hanging="284"/>
        <w:rPr>
          <w:rFonts w:cs="Arial"/>
          <w:color w:val="000000"/>
        </w:rPr>
      </w:pPr>
      <w:r w:rsidRPr="004416CB">
        <w:rPr>
          <w:rFonts w:cs="Arial"/>
          <w:color w:val="000000"/>
          <w:szCs w:val="24"/>
        </w:rPr>
        <w:t xml:space="preserve">Cuando el transportador remplace el 100% del activo, el </w:t>
      </w:r>
      <w:r w:rsidRPr="004416CB">
        <w:rPr>
          <w:rFonts w:cs="Arial"/>
          <w:color w:val="000000"/>
        </w:rPr>
        <w:t xml:space="preserve">valor eficiente, </w:t>
      </w:r>
      <m:oMath>
        <m:r>
          <w:rPr>
            <w:rFonts w:ascii="Cambria Math" w:hAnsi="Cambria Math" w:cs="Arial"/>
            <w:color w:val="000000"/>
          </w:rPr>
          <m:t>VRAN,</m:t>
        </m:r>
      </m:oMath>
      <w:r w:rsidRPr="004416CB">
        <w:rPr>
          <w:rFonts w:cs="Arial"/>
          <w:color w:val="000000"/>
        </w:rPr>
        <w:t xml:space="preserve"> se determinará siguiendo las siguientes fórmulas:</w:t>
      </w:r>
    </w:p>
    <w:p w14:paraId="07803131" w14:textId="77777777" w:rsidR="002D2DCD" w:rsidRPr="004416CB" w:rsidRDefault="002D2DCD" w:rsidP="00176B0C">
      <w:pPr>
        <w:pStyle w:val="NormalWeb"/>
        <w:spacing w:before="0" w:beforeAutospacing="0" w:after="0" w:afterAutospacing="0"/>
        <w:ind w:left="993" w:hanging="284"/>
        <w:rPr>
          <w:lang w:val="es-CO"/>
        </w:rPr>
      </w:pPr>
    </w:p>
    <w:p w14:paraId="5BEBDC2C" w14:textId="4CD3E89A" w:rsidR="002D2DCD" w:rsidRPr="004416CB" w:rsidRDefault="002D2DCD" w:rsidP="00176B0C">
      <w:pPr>
        <w:tabs>
          <w:tab w:val="left" w:pos="426"/>
        </w:tabs>
        <w:ind w:left="993" w:hanging="284"/>
        <w:rPr>
          <w:rFonts w:ascii="Bookman Old Style" w:hAnsi="Bookman Old Style" w:cs="Arial"/>
          <w:iCs/>
          <w:color w:val="000000"/>
        </w:rPr>
      </w:pPr>
      <m:oMathPara>
        <m:oMath>
          <m:r>
            <w:rPr>
              <w:rFonts w:ascii="Cambria Math" w:hAnsi="Cambria Math" w:cs="Arial"/>
              <w:color w:val="000000"/>
            </w:rPr>
            <m:t>VRAN</m:t>
          </m:r>
          <m:r>
            <w:rPr>
              <w:rFonts w:ascii="Cambria Math" w:hAnsi="Cambria Math" w:cs="Arial"/>
              <w:color w:val="000000"/>
              <w:lang w:val="es-ES_tradnl"/>
            </w:rPr>
            <m:t xml:space="preserve"> = </m:t>
          </m:r>
          <m:d>
            <m:dPr>
              <m:begChr m:val="{"/>
              <m:endChr m:val=""/>
              <m:ctrlPr>
                <w:rPr>
                  <w:rFonts w:ascii="Cambria Math" w:hAnsi="Cambria Math" w:cs="Arial"/>
                  <w:i/>
                  <w:color w:val="000000"/>
                  <w:lang w:val="es-ES_tradnl"/>
                </w:rPr>
              </m:ctrlPr>
            </m:dPr>
            <m:e>
              <m:eqArr>
                <m:eqArrPr>
                  <m:ctrlPr>
                    <w:rPr>
                      <w:rFonts w:ascii="Cambria Math" w:hAnsi="Cambria Math" w:cs="Arial"/>
                      <w:i/>
                      <w:color w:val="000000"/>
                      <w:lang w:val="es-ES_tradnl"/>
                    </w:rPr>
                  </m:ctrlPr>
                </m:eqArrPr>
                <m:e>
                  <m:r>
                    <w:rPr>
                      <w:rFonts w:ascii="Cambria Math" w:hAnsi="Cambria Math" w:cs="Arial"/>
                      <w:color w:val="000000"/>
                      <w:lang w:val="es-ES_tradnl"/>
                    </w:rPr>
                    <m:t xml:space="preserve">Apr- </m:t>
                  </m:r>
                  <m:f>
                    <m:fPr>
                      <m:ctrlPr>
                        <w:rPr>
                          <w:rFonts w:ascii="Cambria Math" w:hAnsi="Cambria Math" w:cs="Arial"/>
                          <w:i/>
                          <w:color w:val="000000"/>
                          <w:lang w:val="es-ES_tradnl"/>
                        </w:rPr>
                      </m:ctrlPr>
                    </m:fPr>
                    <m:num>
                      <m:r>
                        <w:rPr>
                          <w:rFonts w:ascii="Cambria Math" w:hAnsi="Cambria Math" w:cs="Arial"/>
                          <w:color w:val="000000"/>
                          <w:lang w:val="es-ES_tradnl"/>
                        </w:rPr>
                        <m:t>Apr-Real</m:t>
                      </m:r>
                    </m:num>
                    <m:den>
                      <m:r>
                        <w:rPr>
                          <w:rFonts w:ascii="Cambria Math" w:hAnsi="Cambria Math" w:cs="Arial"/>
                          <w:color w:val="000000"/>
                          <w:lang w:val="es-ES_tradnl"/>
                        </w:rPr>
                        <m:t>2</m:t>
                      </m:r>
                    </m:den>
                  </m:f>
                  <m:r>
                    <w:rPr>
                      <w:rFonts w:ascii="Cambria Math" w:hAnsi="Cambria Math" w:cs="Arial"/>
                      <w:color w:val="000000"/>
                      <w:lang w:val="es-ES_tradnl"/>
                    </w:rPr>
                    <m:t xml:space="preserve"> si Real ≤Apr </m:t>
                  </m:r>
                </m:e>
                <m:e>
                  <m:r>
                    <w:rPr>
                      <w:rFonts w:ascii="Cambria Math" w:hAnsi="Cambria Math" w:cs="Arial"/>
                      <w:color w:val="000000"/>
                      <w:lang w:val="es-ES_tradnl"/>
                    </w:rPr>
                    <m:t xml:space="preserve"> </m:t>
                  </m:r>
                </m:e>
                <m:e>
                  <m:r>
                    <w:rPr>
                      <w:rFonts w:ascii="Cambria Math" w:hAnsi="Cambria Math" w:cs="Arial"/>
                      <w:color w:val="000000"/>
                      <w:lang w:val="es-ES_tradnl"/>
                    </w:rPr>
                    <m:t xml:space="preserve">Apr+ </m:t>
                  </m:r>
                  <m:f>
                    <m:fPr>
                      <m:ctrlPr>
                        <w:rPr>
                          <w:rFonts w:ascii="Cambria Math" w:hAnsi="Cambria Math" w:cs="Arial"/>
                          <w:i/>
                          <w:color w:val="000000"/>
                          <w:lang w:val="es-ES_tradnl"/>
                        </w:rPr>
                      </m:ctrlPr>
                    </m:fPr>
                    <m:num>
                      <m:r>
                        <w:rPr>
                          <w:rFonts w:ascii="Cambria Math" w:hAnsi="Cambria Math" w:cs="Arial"/>
                          <w:color w:val="000000"/>
                          <w:lang w:val="es-ES_tradnl"/>
                        </w:rPr>
                        <m:t>Real-Apr</m:t>
                      </m:r>
                    </m:num>
                    <m:den>
                      <m:r>
                        <w:rPr>
                          <w:rFonts w:ascii="Cambria Math" w:hAnsi="Cambria Math" w:cs="Arial"/>
                          <w:color w:val="000000"/>
                          <w:lang w:val="es-ES_tradnl"/>
                        </w:rPr>
                        <m:t>2</m:t>
                      </m:r>
                    </m:den>
                  </m:f>
                  <m:r>
                    <w:rPr>
                      <w:rFonts w:ascii="Cambria Math" w:hAnsi="Cambria Math" w:cs="Arial"/>
                      <w:color w:val="000000"/>
                      <w:lang w:val="es-ES_tradnl"/>
                    </w:rPr>
                    <m:t xml:space="preserve"> si Apr&lt; Real ≤1,3×Apr </m:t>
                  </m:r>
                  <m:ctrlPr>
                    <w:rPr>
                      <w:rFonts w:ascii="Cambria Math" w:eastAsia="Cambria Math" w:hAnsi="Cambria Math" w:cs="Cambria Math"/>
                      <w:i/>
                      <w:color w:val="000000"/>
                      <w:lang w:val="es-ES_tradnl"/>
                    </w:rPr>
                  </m:ctrlPr>
                </m:e>
                <m:e>
                  <m:r>
                    <w:rPr>
                      <w:rFonts w:ascii="Cambria Math" w:eastAsia="Cambria Math" w:hAnsi="Cambria Math" w:cs="Cambria Math"/>
                      <w:color w:val="000000"/>
                      <w:lang w:val="es-ES_tradnl"/>
                    </w:rPr>
                    <m:t xml:space="preserve"> </m:t>
                  </m:r>
                  <m:ctrlPr>
                    <w:rPr>
                      <w:rFonts w:ascii="Cambria Math" w:eastAsia="Cambria Math" w:hAnsi="Cambria Math" w:cs="Cambria Math"/>
                      <w:i/>
                      <w:color w:val="000000"/>
                      <w:lang w:val="es-ES_tradnl"/>
                    </w:rPr>
                  </m:ctrlPr>
                </m:e>
                <m:e>
                  <m:r>
                    <w:rPr>
                      <w:rFonts w:ascii="Cambria Math" w:hAnsi="Cambria Math" w:cs="Arial"/>
                      <w:color w:val="000000"/>
                      <w:lang w:val="es-ES_tradnl"/>
                    </w:rPr>
                    <m:t>1,15*Apr    si Real &gt;1,3× Apr</m:t>
                  </m:r>
                  <m:ctrlPr>
                    <w:rPr>
                      <w:rFonts w:ascii="Cambria Math" w:eastAsia="Cambria Math" w:hAnsi="Cambria Math" w:cs="Cambria Math"/>
                      <w:i/>
                      <w:color w:val="000000"/>
                      <w:lang w:val="es-ES_tradnl"/>
                    </w:rPr>
                  </m:ctrlPr>
                </m:e>
                <m:e>
                  <m:r>
                    <w:rPr>
                      <w:rFonts w:ascii="Cambria Math" w:eastAsia="Cambria Math" w:hAnsi="Cambria Math" w:cs="Cambria Math"/>
                      <w:color w:val="000000"/>
                      <w:lang w:val="es-ES_tradnl"/>
                    </w:rPr>
                    <m:t xml:space="preserve"> </m:t>
                  </m:r>
                  <m:ctrlPr>
                    <w:rPr>
                      <w:rFonts w:ascii="Cambria Math" w:eastAsia="Cambria Math" w:hAnsi="Cambria Math" w:cs="Cambria Math"/>
                      <w:i/>
                      <w:color w:val="000000"/>
                      <w:lang w:val="es-ES_tradnl"/>
                    </w:rPr>
                  </m:ctrlPr>
                </m:e>
                <m:e>
                  <m:r>
                    <w:rPr>
                      <w:rFonts w:ascii="Cambria Math" w:hAnsi="Cambria Math"/>
                    </w:rPr>
                    <m:t>Real=Real_opr×</m:t>
                  </m:r>
                  <m:f>
                    <m:fPr>
                      <m:ctrlPr>
                        <w:rPr>
                          <w:rFonts w:ascii="Cambria Math" w:hAnsi="Cambria Math"/>
                        </w:rPr>
                      </m:ctrlPr>
                    </m:fPr>
                    <m:num>
                      <m:sSub>
                        <m:sSubPr>
                          <m:ctrlPr>
                            <w:rPr>
                              <w:rFonts w:ascii="Cambria Math" w:hAnsi="Cambria Math"/>
                            </w:rPr>
                          </m:ctrlPr>
                        </m:sSubPr>
                        <m:e>
                          <m:r>
                            <w:rPr>
                              <w:rFonts w:ascii="Cambria Math" w:hAnsi="Cambria Math"/>
                            </w:rPr>
                            <m:t>IPP</m:t>
                          </m:r>
                        </m:e>
                        <m:sub>
                          <m:r>
                            <w:rPr>
                              <w:rFonts w:ascii="Cambria Math" w:hAnsi="Cambria Math"/>
                            </w:rPr>
                            <m:t>fb</m:t>
                          </m:r>
                        </m:sub>
                      </m:sSub>
                    </m:num>
                    <m:den>
                      <m:sSub>
                        <m:sSubPr>
                          <m:ctrlPr>
                            <w:rPr>
                              <w:rFonts w:ascii="Cambria Math" w:hAnsi="Cambria Math"/>
                            </w:rPr>
                          </m:ctrlPr>
                        </m:sSubPr>
                        <m:e>
                          <m:r>
                            <w:rPr>
                              <w:rFonts w:ascii="Cambria Math" w:hAnsi="Cambria Math"/>
                            </w:rPr>
                            <m:t>IPP</m:t>
                          </m:r>
                        </m:e>
                        <m:sub>
                          <m:r>
                            <m:rPr>
                              <m:sty m:val="p"/>
                            </m:rPr>
                            <w:rPr>
                              <w:rFonts w:ascii="Cambria Math" w:hAnsi="Cambria Math"/>
                            </w:rPr>
                            <m:t>opr</m:t>
                          </m:r>
                        </m:sub>
                      </m:sSub>
                    </m:den>
                  </m:f>
                </m:e>
              </m:eqArr>
            </m:e>
          </m:d>
        </m:oMath>
      </m:oMathPara>
    </w:p>
    <w:p w14:paraId="026A66BE" w14:textId="77777777" w:rsidR="002D2DCD" w:rsidRPr="004416CB" w:rsidRDefault="002D2DCD" w:rsidP="00176B0C">
      <w:pPr>
        <w:tabs>
          <w:tab w:val="left" w:pos="426"/>
        </w:tabs>
        <w:ind w:left="993" w:hanging="284"/>
        <w:rPr>
          <w:rFonts w:ascii="Bookman Old Style" w:hAnsi="Bookman Old Style" w:cs="Arial"/>
          <w:color w:val="000000"/>
        </w:rPr>
      </w:pPr>
      <w:r w:rsidRPr="004416CB">
        <w:rPr>
          <w:rFonts w:ascii="Bookman Old Style" w:hAnsi="Bookman Old Style" w:cs="Arial"/>
          <w:color w:val="000000"/>
        </w:rPr>
        <w:t>Donde:</w:t>
      </w:r>
    </w:p>
    <w:p w14:paraId="46F449EF" w14:textId="77777777" w:rsidR="002D2DCD" w:rsidRPr="004416CB" w:rsidRDefault="002D2DCD" w:rsidP="00176B0C">
      <w:pPr>
        <w:tabs>
          <w:tab w:val="left" w:pos="426"/>
        </w:tabs>
        <w:ind w:left="993" w:hanging="284"/>
        <w:rPr>
          <w:rFonts w:ascii="Bookman Old Style" w:hAnsi="Bookman Old Style" w:cs="Arial"/>
          <w:color w:val="000000"/>
        </w:rPr>
      </w:pPr>
    </w:p>
    <w:p w14:paraId="24C53789" w14:textId="77777777" w:rsidR="002D2DCD" w:rsidRPr="004416CB" w:rsidRDefault="002D2DCD" w:rsidP="00176B0C">
      <w:pPr>
        <w:tabs>
          <w:tab w:val="left" w:pos="1418"/>
        </w:tabs>
        <w:ind w:left="993" w:hanging="284"/>
        <w:jc w:val="both"/>
        <w:rPr>
          <w:rFonts w:ascii="Bookman Old Style" w:hAnsi="Bookman Old Style" w:cs="Arial"/>
          <w:color w:val="000000"/>
        </w:rPr>
      </w:pPr>
      <m:oMath>
        <m:r>
          <w:rPr>
            <w:rFonts w:ascii="Cambria Math" w:hAnsi="Cambria Math" w:cs="Arial"/>
            <w:color w:val="000000"/>
          </w:rPr>
          <m:t>VRAN:</m:t>
        </m:r>
      </m:oMath>
      <w:r w:rsidRPr="004416CB">
        <w:rPr>
          <w:rFonts w:ascii="Bookman Old Style" w:hAnsi="Bookman Old Style" w:cs="Arial"/>
          <w:i/>
          <w:color w:val="000000"/>
        </w:rPr>
        <w:tab/>
      </w:r>
      <w:r w:rsidRPr="004416CB">
        <w:rPr>
          <w:rFonts w:ascii="Bookman Old Style" w:hAnsi="Bookman Old Style" w:cs="Arial"/>
          <w:color w:val="000000"/>
        </w:rPr>
        <w:t xml:space="preserve">Valor eficiente de la inversión del nuevo activo. Este valor estará expresado en pesos colombianos de la </w:t>
      </w:r>
      <w:r w:rsidRPr="004416CB">
        <w:rPr>
          <w:rFonts w:ascii="Bookman Old Style" w:hAnsi="Bookman Old Style"/>
        </w:rPr>
        <w:t>fecha base</w:t>
      </w:r>
      <w:r w:rsidRPr="004416CB">
        <w:rPr>
          <w:rFonts w:ascii="Bookman Old Style" w:hAnsi="Bookman Old Style" w:cs="Arial"/>
          <w:color w:val="000000"/>
        </w:rPr>
        <w:t>.</w:t>
      </w:r>
    </w:p>
    <w:p w14:paraId="3CF047DB" w14:textId="77777777" w:rsidR="002D2DCD" w:rsidRPr="004416CB" w:rsidRDefault="002D2DCD" w:rsidP="00176B0C">
      <w:pPr>
        <w:tabs>
          <w:tab w:val="left" w:pos="1418"/>
        </w:tabs>
        <w:ind w:left="993" w:hanging="284"/>
        <w:jc w:val="both"/>
        <w:rPr>
          <w:rFonts w:ascii="Bookman Old Style" w:hAnsi="Bookman Old Style" w:cs="Arial"/>
          <w:i/>
          <w:color w:val="000000"/>
        </w:rPr>
      </w:pPr>
    </w:p>
    <w:p w14:paraId="6901622A" w14:textId="05C19F10" w:rsidR="002D2DCD" w:rsidRPr="004416CB" w:rsidRDefault="002D2DCD" w:rsidP="00176B0C">
      <w:pPr>
        <w:tabs>
          <w:tab w:val="left" w:pos="426"/>
          <w:tab w:val="left" w:pos="1418"/>
        </w:tabs>
        <w:ind w:left="993" w:hanging="284"/>
        <w:jc w:val="both"/>
        <w:rPr>
          <w:rFonts w:ascii="Bookman Old Style" w:hAnsi="Bookman Old Style" w:cs="Arial"/>
          <w:color w:val="000000"/>
        </w:rPr>
      </w:pPr>
      <m:oMath>
        <m:r>
          <w:rPr>
            <w:rFonts w:ascii="Cambria Math" w:hAnsi="Cambria Math" w:cs="Arial"/>
            <w:color w:val="000000"/>
          </w:rPr>
          <m:t>Apr:</m:t>
        </m:r>
      </m:oMath>
      <w:r w:rsidRPr="004416CB">
        <w:rPr>
          <w:rFonts w:ascii="Bookman Old Style" w:hAnsi="Bookman Old Style" w:cs="Arial"/>
          <w:color w:val="000000"/>
        </w:rPr>
        <w:tab/>
        <w:t xml:space="preserve">Valor aprobado para el nuevo activo, determinado con base en lo establecido en el </w:t>
      </w:r>
      <w:r w:rsidR="00E47E8F">
        <w:rPr>
          <w:rFonts w:ascii="Bookman Old Style" w:hAnsi="Bookman Old Style" w:cs="Arial"/>
          <w:color w:val="000000"/>
        </w:rPr>
        <w:t>Anexo 1</w:t>
      </w:r>
      <w:r w:rsidRPr="004416CB">
        <w:rPr>
          <w:rFonts w:ascii="Bookman Old Style" w:hAnsi="Bookman Old Style" w:cs="Arial"/>
          <w:color w:val="000000"/>
        </w:rPr>
        <w:t xml:space="preserve">, en la información reportada según el </w:t>
      </w:r>
      <w:r w:rsidR="00E47E8F">
        <w:rPr>
          <w:rFonts w:ascii="Bookman Old Style" w:hAnsi="Bookman Old Style" w:cs="Arial"/>
          <w:color w:val="000000"/>
        </w:rPr>
        <w:t xml:space="preserve">Anexo </w:t>
      </w:r>
      <w:r w:rsidR="00E47E8F">
        <w:rPr>
          <w:rFonts w:ascii="Bookman Old Style" w:hAnsi="Bookman Old Style" w:cs="Arial"/>
          <w:color w:val="000000"/>
        </w:rPr>
        <w:lastRenderedPageBreak/>
        <w:t>2</w:t>
      </w:r>
      <w:r w:rsidRPr="004416CB">
        <w:rPr>
          <w:rFonts w:ascii="Bookman Old Style" w:hAnsi="Bookman Old Style" w:cs="Arial"/>
          <w:color w:val="000000"/>
        </w:rPr>
        <w:t xml:space="preserve"> de la presente resolución. Este valor estará expresado en pesos </w:t>
      </w:r>
      <w:r w:rsidRPr="004416CB">
        <w:rPr>
          <w:rFonts w:ascii="Bookman Old Style" w:hAnsi="Bookman Old Style" w:cs="Arial"/>
          <w:color w:val="000000"/>
          <w:lang w:val="es-ES_tradnl"/>
        </w:rPr>
        <w:t>colombianos</w:t>
      </w:r>
      <w:r w:rsidRPr="004416CB">
        <w:rPr>
          <w:rFonts w:ascii="Bookman Old Style" w:hAnsi="Bookman Old Style" w:cs="Arial"/>
          <w:color w:val="000000"/>
        </w:rPr>
        <w:t xml:space="preserve"> de la </w:t>
      </w:r>
      <w:r w:rsidRPr="004416CB">
        <w:rPr>
          <w:rFonts w:ascii="Bookman Old Style" w:hAnsi="Bookman Old Style"/>
        </w:rPr>
        <w:t>fecha base</w:t>
      </w:r>
      <w:r w:rsidRPr="004416CB">
        <w:rPr>
          <w:rFonts w:ascii="Bookman Old Style" w:hAnsi="Bookman Old Style" w:cs="Arial"/>
          <w:color w:val="000000"/>
        </w:rPr>
        <w:t>.</w:t>
      </w:r>
    </w:p>
    <w:p w14:paraId="751FDBA4" w14:textId="77777777" w:rsidR="002D2DCD" w:rsidRPr="004416CB" w:rsidRDefault="002D2DCD" w:rsidP="00176B0C">
      <w:pPr>
        <w:tabs>
          <w:tab w:val="left" w:pos="1418"/>
        </w:tabs>
        <w:ind w:left="993" w:hanging="284"/>
        <w:jc w:val="both"/>
        <w:rPr>
          <w:rFonts w:ascii="Bookman Old Style" w:hAnsi="Bookman Old Style" w:cs="Arial"/>
          <w:color w:val="000000"/>
        </w:rPr>
      </w:pPr>
    </w:p>
    <w:p w14:paraId="623A227B" w14:textId="276F1716" w:rsidR="002D2DCD" w:rsidRPr="004416CB" w:rsidRDefault="002D2DCD" w:rsidP="00176B0C">
      <w:pPr>
        <w:tabs>
          <w:tab w:val="left" w:pos="1418"/>
        </w:tabs>
        <w:ind w:left="993" w:hanging="284"/>
        <w:jc w:val="both"/>
        <w:rPr>
          <w:rFonts w:ascii="Bookman Old Style" w:hAnsi="Bookman Old Style" w:cs="Arial"/>
          <w:color w:val="000000"/>
        </w:rPr>
      </w:pPr>
      <m:oMath>
        <m:r>
          <w:rPr>
            <w:rFonts w:ascii="Cambria Math" w:hAnsi="Cambria Math" w:cs="Arial"/>
            <w:color w:val="000000"/>
          </w:rPr>
          <m:t>Real</m:t>
        </m:r>
      </m:oMath>
      <w:r w:rsidRPr="004416CB">
        <w:rPr>
          <w:rFonts w:ascii="Bookman Old Style" w:hAnsi="Bookman Old Style" w:cs="Arial"/>
          <w:color w:val="000000"/>
        </w:rPr>
        <w:t xml:space="preserve">: </w:t>
      </w:r>
      <w:r w:rsidRPr="004416CB">
        <w:rPr>
          <w:rFonts w:ascii="Bookman Old Style" w:hAnsi="Bookman Old Style" w:cs="Arial"/>
          <w:color w:val="000000"/>
        </w:rPr>
        <w:tab/>
        <w:t xml:space="preserve">Valor real del nuevo activo, determinado con base en la información reportada por el transportador en el formato del </w:t>
      </w:r>
      <w:r w:rsidR="00E47E8F">
        <w:rPr>
          <w:rFonts w:ascii="Bookman Old Style" w:hAnsi="Bookman Old Style" w:cs="Arial"/>
          <w:color w:val="000000"/>
        </w:rPr>
        <w:t>Anexo 3</w:t>
      </w:r>
      <w:r w:rsidRPr="004416CB">
        <w:rPr>
          <w:rFonts w:ascii="Bookman Old Style" w:hAnsi="Bookman Old Style" w:cs="Arial"/>
          <w:color w:val="000000"/>
        </w:rPr>
        <w:t xml:space="preserve"> de la presente resolución. Este valor estará expresado en pesos </w:t>
      </w:r>
      <w:r w:rsidRPr="004416CB">
        <w:rPr>
          <w:rFonts w:ascii="Bookman Old Style" w:hAnsi="Bookman Old Style" w:cs="Arial"/>
          <w:color w:val="000000"/>
          <w:lang w:val="es-ES_tradnl"/>
        </w:rPr>
        <w:t>colombianos</w:t>
      </w:r>
      <w:r w:rsidRPr="004416CB">
        <w:rPr>
          <w:rFonts w:ascii="Bookman Old Style" w:hAnsi="Bookman Old Style" w:cs="Arial"/>
          <w:color w:val="000000"/>
        </w:rPr>
        <w:t xml:space="preserve"> de la </w:t>
      </w:r>
      <w:r w:rsidRPr="004416CB">
        <w:rPr>
          <w:rFonts w:ascii="Bookman Old Style" w:hAnsi="Bookman Old Style"/>
        </w:rPr>
        <w:t>fecha base</w:t>
      </w:r>
      <w:r w:rsidRPr="004416CB">
        <w:rPr>
          <w:rFonts w:ascii="Bookman Old Style" w:hAnsi="Bookman Old Style" w:cs="Arial"/>
          <w:color w:val="000000"/>
        </w:rPr>
        <w:t>.</w:t>
      </w:r>
    </w:p>
    <w:p w14:paraId="6B49A4EB" w14:textId="77777777" w:rsidR="002D2DCD" w:rsidRPr="004416CB" w:rsidRDefault="002D2DCD" w:rsidP="00176B0C">
      <w:pPr>
        <w:widowControl w:val="0"/>
        <w:tabs>
          <w:tab w:val="left" w:pos="426"/>
          <w:tab w:val="left" w:pos="1418"/>
          <w:tab w:val="left" w:pos="6804"/>
        </w:tabs>
        <w:ind w:left="993" w:hanging="284"/>
        <w:jc w:val="both"/>
        <w:rPr>
          <w:rFonts w:ascii="Bookman Old Style" w:hAnsi="Bookman Old Style"/>
          <w:color w:val="000000"/>
        </w:rPr>
      </w:pPr>
    </w:p>
    <w:p w14:paraId="0348BC38" w14:textId="6BD57597" w:rsidR="002D2DCD" w:rsidRDefault="002D2DCD" w:rsidP="00176B0C">
      <w:pPr>
        <w:tabs>
          <w:tab w:val="left" w:pos="1418"/>
        </w:tabs>
        <w:ind w:left="993" w:hanging="284"/>
        <w:jc w:val="both"/>
        <w:rPr>
          <w:rFonts w:ascii="Bookman Old Style" w:hAnsi="Bookman Old Style" w:cs="Arial"/>
          <w:color w:val="000000"/>
        </w:rPr>
      </w:pPr>
      <m:oMath>
        <m:r>
          <w:rPr>
            <w:rFonts w:ascii="Cambria Math" w:hAnsi="Cambria Math" w:cs="Arial"/>
            <w:color w:val="000000"/>
          </w:rPr>
          <m:t>Real_opr</m:t>
        </m:r>
      </m:oMath>
      <w:r w:rsidRPr="004416CB">
        <w:rPr>
          <w:rFonts w:ascii="Bookman Old Style" w:hAnsi="Bookman Old Style" w:cs="Arial"/>
          <w:color w:val="000000"/>
        </w:rPr>
        <w:t xml:space="preserve">: </w:t>
      </w:r>
      <w:r w:rsidRPr="004416CB">
        <w:rPr>
          <w:rFonts w:ascii="Bookman Old Style" w:hAnsi="Bookman Old Style" w:cs="Arial"/>
          <w:color w:val="000000"/>
        </w:rPr>
        <w:tab/>
        <w:t xml:space="preserve">Valor real del nuevo activo, determinado con base en la información reportada por el transportador en el formato del </w:t>
      </w:r>
      <w:r w:rsidR="00E47E8F">
        <w:rPr>
          <w:rFonts w:ascii="Bookman Old Style" w:hAnsi="Bookman Old Style" w:cs="Arial"/>
          <w:color w:val="000000"/>
        </w:rPr>
        <w:t>Anexo 3</w:t>
      </w:r>
      <w:r w:rsidRPr="004416CB">
        <w:rPr>
          <w:rFonts w:ascii="Bookman Old Style" w:hAnsi="Bookman Old Style" w:cs="Arial"/>
          <w:color w:val="000000"/>
        </w:rPr>
        <w:t xml:space="preserve"> de la presente resolución. Este valor estará expresado en pesos </w:t>
      </w:r>
      <w:r w:rsidRPr="004416CB">
        <w:rPr>
          <w:rFonts w:ascii="Bookman Old Style" w:hAnsi="Bookman Old Style" w:cs="Arial"/>
          <w:color w:val="000000"/>
          <w:lang w:val="es-ES_tradnl"/>
        </w:rPr>
        <w:t>colombianos</w:t>
      </w:r>
      <w:r w:rsidRPr="004416CB">
        <w:rPr>
          <w:rFonts w:ascii="Bookman Old Style" w:hAnsi="Bookman Old Style" w:cs="Arial"/>
          <w:color w:val="000000"/>
        </w:rPr>
        <w:t xml:space="preserve"> de la fecha de puesta en operación comercial. Los valores en dólares americanos se convertirán a pesos </w:t>
      </w:r>
      <w:r w:rsidRPr="004416CB">
        <w:rPr>
          <w:rFonts w:ascii="Bookman Old Style" w:hAnsi="Bookman Old Style" w:cs="Arial"/>
          <w:color w:val="000000"/>
          <w:lang w:val="es-ES_tradnl"/>
        </w:rPr>
        <w:t>colombianos</w:t>
      </w:r>
      <w:r w:rsidRPr="004416CB">
        <w:rPr>
          <w:rFonts w:ascii="Bookman Old Style" w:hAnsi="Bookman Old Style" w:cs="Arial"/>
          <w:color w:val="000000"/>
        </w:rPr>
        <w:t xml:space="preserve"> utilizando la </w:t>
      </w:r>
      <w:proofErr w:type="spellStart"/>
      <w:r w:rsidRPr="004416CB">
        <w:rPr>
          <w:rFonts w:ascii="Bookman Old Style" w:hAnsi="Bookman Old Style" w:cs="Arial"/>
          <w:color w:val="000000"/>
        </w:rPr>
        <w:t>TRM</w:t>
      </w:r>
      <w:proofErr w:type="spellEnd"/>
      <w:r w:rsidRPr="004416CB">
        <w:rPr>
          <w:rFonts w:ascii="Bookman Old Style" w:hAnsi="Bookman Old Style" w:cs="Arial"/>
          <w:color w:val="000000"/>
        </w:rPr>
        <w:t xml:space="preserve"> de la fecha de puesta en operación comercial.</w:t>
      </w:r>
    </w:p>
    <w:p w14:paraId="18695297" w14:textId="77777777" w:rsidR="002D2DCD" w:rsidRPr="004416CB" w:rsidRDefault="002D2DCD" w:rsidP="00176B0C">
      <w:pPr>
        <w:tabs>
          <w:tab w:val="left" w:pos="1418"/>
        </w:tabs>
        <w:ind w:left="993" w:hanging="284"/>
        <w:jc w:val="both"/>
        <w:rPr>
          <w:rFonts w:ascii="Bookman Old Style" w:hAnsi="Bookman Old Style" w:cs="Arial"/>
          <w:color w:val="000000"/>
        </w:rPr>
      </w:pPr>
    </w:p>
    <w:p w14:paraId="1B921EB6" w14:textId="22CBEAC1" w:rsidR="002D2DCD" w:rsidRPr="004416CB" w:rsidRDefault="00000000" w:rsidP="00176B0C">
      <w:pPr>
        <w:tabs>
          <w:tab w:val="left" w:pos="858"/>
        </w:tabs>
        <w:ind w:left="993" w:hanging="284"/>
        <w:jc w:val="both"/>
        <w:rPr>
          <w:rFonts w:ascii="Bookman Old Style" w:hAnsi="Bookman Old Style"/>
        </w:rPr>
      </w:pPr>
      <m:oMath>
        <m:sSub>
          <m:sSubPr>
            <m:ctrlPr>
              <w:rPr>
                <w:rFonts w:ascii="Cambria Math" w:hAnsi="Cambria Math"/>
                <w:i/>
                <w:color w:val="000000"/>
                <w:kern w:val="28"/>
                <w:lang w:val="es-ES_tradnl" w:eastAsia="es-CO"/>
              </w:rPr>
            </m:ctrlPr>
          </m:sSubPr>
          <m:e>
            <m:r>
              <w:rPr>
                <w:rFonts w:ascii="Cambria Math" w:hAnsi="Cambria Math"/>
                <w:color w:val="000000"/>
              </w:rPr>
              <m:t>IPP</m:t>
            </m:r>
          </m:e>
          <m:sub>
            <m:r>
              <w:rPr>
                <w:rFonts w:ascii="Cambria Math" w:hAnsi="Cambria Math"/>
                <w:color w:val="000000"/>
              </w:rPr>
              <m:t>fb</m:t>
            </m:r>
          </m:sub>
        </m:sSub>
        <m:r>
          <w:rPr>
            <w:rFonts w:ascii="Cambria Math" w:hAnsi="Cambria Math"/>
            <w:color w:val="000000"/>
            <w:kern w:val="28"/>
            <w:lang w:eastAsia="es-CO"/>
          </w:rPr>
          <m:t>:</m:t>
        </m:r>
      </m:oMath>
      <w:r w:rsidR="002D2DCD" w:rsidRPr="004416CB">
        <w:rPr>
          <w:rFonts w:ascii="Bookman Old Style" w:hAnsi="Bookman Old Style" w:cs="Arial"/>
          <w:color w:val="000000"/>
        </w:rPr>
        <w:tab/>
      </w:r>
      <w:r w:rsidR="002D2DCD" w:rsidRPr="004416CB">
        <w:rPr>
          <w:rFonts w:ascii="Bookman Old Style" w:hAnsi="Bookman Old Style"/>
        </w:rPr>
        <w:t xml:space="preserve">Índice de Precios al Productor Oferta Interna, reportado por el DANE </w:t>
      </w:r>
      <w:r w:rsidR="002D2DCD" w:rsidRPr="004416CB">
        <w:rPr>
          <w:rFonts w:ascii="Bookman Old Style" w:hAnsi="Bookman Old Style" w:cs="Arial"/>
          <w:color w:val="000000"/>
        </w:rPr>
        <w:t xml:space="preserve">para la </w:t>
      </w:r>
      <w:r w:rsidR="002D2DCD" w:rsidRPr="004416CB">
        <w:rPr>
          <w:rFonts w:ascii="Bookman Old Style" w:hAnsi="Bookman Old Style"/>
        </w:rPr>
        <w:t>fecha base</w:t>
      </w:r>
      <w:r w:rsidR="002D2DCD" w:rsidRPr="004416CB">
        <w:rPr>
          <w:rFonts w:ascii="Bookman Old Style" w:hAnsi="Bookman Old Style" w:cs="Arial"/>
          <w:color w:val="000000"/>
          <w:kern w:val="28"/>
          <w:lang w:val="es-ES_tradnl" w:eastAsia="es-CO"/>
        </w:rPr>
        <w:t>.</w:t>
      </w:r>
    </w:p>
    <w:p w14:paraId="4FB0EAE8" w14:textId="77777777" w:rsidR="002D2DCD" w:rsidRPr="004416CB" w:rsidRDefault="002D2DCD" w:rsidP="00176B0C">
      <w:pPr>
        <w:ind w:left="993" w:hanging="284"/>
        <w:jc w:val="both"/>
        <w:rPr>
          <w:rFonts w:ascii="Bookman Old Style" w:hAnsi="Bookman Old Style" w:cs="Arial"/>
          <w:color w:val="000000"/>
        </w:rPr>
      </w:pPr>
    </w:p>
    <w:p w14:paraId="7D4038C6" w14:textId="1059EAC5" w:rsidR="00D6217D" w:rsidRDefault="00000000" w:rsidP="00176B0C">
      <w:pPr>
        <w:ind w:left="993" w:hanging="284"/>
        <w:jc w:val="both"/>
        <w:rPr>
          <w:rFonts w:ascii="Bookman Old Style" w:hAnsi="Bookman Old Style" w:cs="Arial"/>
          <w:color w:val="000000"/>
        </w:rPr>
      </w:pPr>
      <m:oMath>
        <m:sSub>
          <m:sSubPr>
            <m:ctrlPr>
              <w:rPr>
                <w:rFonts w:ascii="Cambria Math" w:hAnsi="Cambria Math"/>
                <w:i/>
                <w:color w:val="000000"/>
                <w:kern w:val="28"/>
                <w:lang w:val="es-ES_tradnl" w:eastAsia="es-CO"/>
              </w:rPr>
            </m:ctrlPr>
          </m:sSubPr>
          <m:e>
            <m:r>
              <w:rPr>
                <w:rFonts w:ascii="Cambria Math" w:hAnsi="Cambria Math"/>
                <w:color w:val="000000"/>
              </w:rPr>
              <m:t>IPP</m:t>
            </m:r>
          </m:e>
          <m:sub>
            <m:r>
              <w:rPr>
                <w:rFonts w:ascii="Cambria Math" w:hAnsi="Cambria Math"/>
                <w:color w:val="000000"/>
              </w:rPr>
              <m:t>oper</m:t>
            </m:r>
          </m:sub>
        </m:sSub>
        <m:r>
          <w:rPr>
            <w:rFonts w:ascii="Cambria Math" w:hAnsi="Cambria Math"/>
            <w:color w:val="000000"/>
            <w:kern w:val="28"/>
            <w:lang w:eastAsia="es-CO"/>
          </w:rPr>
          <m:t>:</m:t>
        </m:r>
      </m:oMath>
      <w:r w:rsidR="002D2DCD" w:rsidRPr="004416CB">
        <w:rPr>
          <w:rFonts w:ascii="Bookman Old Style" w:hAnsi="Bookman Old Style" w:cs="Arial"/>
          <w:color w:val="000000"/>
        </w:rPr>
        <w:tab/>
      </w:r>
      <w:r w:rsidR="002D2DCD" w:rsidRPr="004416CB">
        <w:rPr>
          <w:rFonts w:ascii="Bookman Old Style" w:hAnsi="Bookman Old Style"/>
        </w:rPr>
        <w:t xml:space="preserve">Índice de Precios al Productor Oferta Interna, reportado por el DANE </w:t>
      </w:r>
      <w:r w:rsidR="002D2DCD" w:rsidRPr="004416CB">
        <w:rPr>
          <w:rFonts w:ascii="Bookman Old Style" w:hAnsi="Bookman Old Style" w:cs="Arial"/>
          <w:color w:val="000000"/>
        </w:rPr>
        <w:t>para el mes de diciembre del año en que entró en operación comercial el nuevo activo</w:t>
      </w:r>
      <w:r w:rsidR="00CE7230">
        <w:rPr>
          <w:rFonts w:ascii="Bookman Old Style" w:hAnsi="Bookman Old Style" w:cs="Arial"/>
          <w:color w:val="000000"/>
        </w:rPr>
        <w:t>”</w:t>
      </w:r>
      <w:r w:rsidR="00D6217D">
        <w:rPr>
          <w:rFonts w:ascii="Bookman Old Style" w:hAnsi="Bookman Old Style" w:cs="Arial"/>
          <w:color w:val="000000"/>
        </w:rPr>
        <w:t>.</w:t>
      </w:r>
    </w:p>
    <w:p w14:paraId="0AE636CE" w14:textId="77777777" w:rsidR="0064644C" w:rsidRPr="00816215" w:rsidRDefault="0064644C" w:rsidP="001821C1">
      <w:pPr>
        <w:pStyle w:val="Textoindependiente2"/>
        <w:spacing w:after="0" w:line="240" w:lineRule="auto"/>
        <w:ind w:left="709"/>
        <w:rPr>
          <w:color w:val="000000"/>
          <w:lang w:val="es-ES_tradnl"/>
        </w:rPr>
      </w:pPr>
    </w:p>
    <w:p w14:paraId="53D01C91" w14:textId="65447040" w:rsidR="00BE6E56" w:rsidRDefault="0044666F" w:rsidP="0044666F">
      <w:pPr>
        <w:pStyle w:val="Estilo5"/>
        <w:widowControl w:val="0"/>
        <w:numPr>
          <w:ilvl w:val="0"/>
          <w:numId w:val="0"/>
        </w:numPr>
        <w:tabs>
          <w:tab w:val="left" w:pos="1134"/>
        </w:tabs>
        <w:spacing w:before="0" w:after="0"/>
        <w:rPr>
          <w:rFonts w:ascii="Bookman Old Style" w:hAnsi="Bookman Old Style" w:cs="Arial"/>
          <w:b w:val="0"/>
          <w:bCs/>
          <w:color w:val="000000"/>
          <w:spacing w:val="-4"/>
          <w:sz w:val="24"/>
          <w:szCs w:val="24"/>
        </w:rPr>
      </w:pPr>
      <w:r w:rsidRPr="0044666F">
        <w:rPr>
          <w:rFonts w:ascii="Bookman Old Style" w:hAnsi="Bookman Old Style" w:cs="Arial"/>
          <w:color w:val="000000"/>
          <w:spacing w:val="-4"/>
          <w:sz w:val="24"/>
          <w:szCs w:val="24"/>
        </w:rPr>
        <w:t>Artículo 9.</w:t>
      </w:r>
      <w:r>
        <w:rPr>
          <w:rFonts w:ascii="Bookman Old Style" w:hAnsi="Bookman Old Style" w:cs="Arial"/>
          <w:b w:val="0"/>
          <w:bCs/>
          <w:color w:val="000000"/>
          <w:spacing w:val="-4"/>
          <w:sz w:val="24"/>
          <w:szCs w:val="24"/>
        </w:rPr>
        <w:t xml:space="preserve"> </w:t>
      </w:r>
      <w:r w:rsidR="00BE6E56">
        <w:rPr>
          <w:rFonts w:ascii="Bookman Old Style" w:hAnsi="Bookman Old Style" w:cs="Arial"/>
          <w:b w:val="0"/>
          <w:bCs/>
          <w:color w:val="000000"/>
          <w:spacing w:val="-4"/>
          <w:sz w:val="24"/>
          <w:szCs w:val="24"/>
        </w:rPr>
        <w:t xml:space="preserve">Modifíquese el </w:t>
      </w:r>
      <w:r w:rsidR="006C76F1">
        <w:rPr>
          <w:rFonts w:ascii="Bookman Old Style" w:hAnsi="Bookman Old Style" w:cs="Arial"/>
          <w:b w:val="0"/>
          <w:bCs/>
          <w:color w:val="000000"/>
          <w:spacing w:val="-4"/>
          <w:sz w:val="24"/>
          <w:szCs w:val="24"/>
        </w:rPr>
        <w:t xml:space="preserve">literal d) del </w:t>
      </w:r>
      <w:r w:rsidR="00086C78">
        <w:rPr>
          <w:rFonts w:ascii="Bookman Old Style" w:hAnsi="Bookman Old Style" w:cs="Arial"/>
          <w:b w:val="0"/>
          <w:bCs/>
          <w:color w:val="000000"/>
          <w:spacing w:val="-4"/>
          <w:sz w:val="24"/>
          <w:szCs w:val="24"/>
        </w:rPr>
        <w:t>A</w:t>
      </w:r>
      <w:r w:rsidR="00BE6E56">
        <w:rPr>
          <w:rFonts w:ascii="Bookman Old Style" w:hAnsi="Bookman Old Style" w:cs="Arial"/>
          <w:b w:val="0"/>
          <w:bCs/>
          <w:color w:val="000000"/>
          <w:spacing w:val="-4"/>
          <w:sz w:val="24"/>
          <w:szCs w:val="24"/>
        </w:rPr>
        <w:t xml:space="preserve">rtículo 40 de la Resolución </w:t>
      </w:r>
      <w:proofErr w:type="spellStart"/>
      <w:r w:rsidR="00BE6E56">
        <w:rPr>
          <w:rFonts w:ascii="Bookman Old Style" w:hAnsi="Bookman Old Style" w:cs="Arial"/>
          <w:b w:val="0"/>
          <w:bCs/>
          <w:color w:val="000000"/>
          <w:spacing w:val="-4"/>
          <w:sz w:val="24"/>
          <w:szCs w:val="24"/>
        </w:rPr>
        <w:t>CREG</w:t>
      </w:r>
      <w:proofErr w:type="spellEnd"/>
      <w:r w:rsidR="00BE6E56">
        <w:rPr>
          <w:rFonts w:ascii="Bookman Old Style" w:hAnsi="Bookman Old Style" w:cs="Arial"/>
          <w:b w:val="0"/>
          <w:bCs/>
          <w:color w:val="000000"/>
          <w:spacing w:val="-4"/>
          <w:sz w:val="24"/>
          <w:szCs w:val="24"/>
        </w:rPr>
        <w:t xml:space="preserve"> 175 de 2021 así:</w:t>
      </w:r>
    </w:p>
    <w:p w14:paraId="107A2360" w14:textId="77777777" w:rsidR="002C4B9B" w:rsidRPr="004416CB" w:rsidRDefault="002C4B9B" w:rsidP="00A864F6">
      <w:pPr>
        <w:ind w:left="709"/>
        <w:rPr>
          <w:rFonts w:ascii="Bookman Old Style" w:hAnsi="Bookman Old Style" w:cs="Arial"/>
          <w:color w:val="000000"/>
          <w:sz w:val="20"/>
          <w:szCs w:val="20"/>
          <w:lang w:val="es-ES_tradnl"/>
        </w:rPr>
      </w:pPr>
    </w:p>
    <w:p w14:paraId="6F2BEC33" w14:textId="77777777" w:rsidR="00662B18" w:rsidRDefault="00D3309F" w:rsidP="00D3309F">
      <w:pPr>
        <w:widowControl w:val="0"/>
        <w:ind w:left="426"/>
        <w:jc w:val="both"/>
        <w:rPr>
          <w:rFonts w:ascii="Bookman Old Style" w:hAnsi="Bookman Old Style"/>
          <w:color w:val="000000"/>
        </w:rPr>
      </w:pPr>
      <w:r w:rsidRPr="00D3309F">
        <w:rPr>
          <w:rFonts w:ascii="Bookman Old Style" w:hAnsi="Bookman Old Style"/>
          <w:color w:val="000000"/>
        </w:rPr>
        <w:t xml:space="preserve">“d) </w:t>
      </w:r>
      <w:r w:rsidR="002C4B9B" w:rsidRPr="00D3309F">
        <w:rPr>
          <w:rFonts w:ascii="Bookman Old Style" w:hAnsi="Bookman Old Style"/>
          <w:color w:val="000000"/>
        </w:rPr>
        <w:t xml:space="preserve">Para el cálculo de los cargos se aplicará el procedimiento descrito en el </w:t>
      </w:r>
      <w:r w:rsidR="00A864F6" w:rsidRPr="00D3309F">
        <w:rPr>
          <w:rFonts w:ascii="Bookman Old Style" w:hAnsi="Bookman Old Style"/>
          <w:color w:val="000000"/>
        </w:rPr>
        <w:t xml:space="preserve">Artículo 10 </w:t>
      </w:r>
      <w:r w:rsidR="002C4B9B" w:rsidRPr="00D3309F">
        <w:rPr>
          <w:rFonts w:ascii="Bookman Old Style" w:hAnsi="Bookman Old Style"/>
          <w:color w:val="000000"/>
        </w:rPr>
        <w:t>y siguientes de la presente resolución. Respecto a la valoración de la inversión de gasoductos en operación se tendrá en cuenta</w:t>
      </w:r>
    </w:p>
    <w:p w14:paraId="4A9C4FFE" w14:textId="77777777" w:rsidR="00662B18" w:rsidRDefault="00662B18" w:rsidP="00D3309F">
      <w:pPr>
        <w:widowControl w:val="0"/>
        <w:ind w:left="426"/>
        <w:jc w:val="both"/>
        <w:rPr>
          <w:rFonts w:ascii="Bookman Old Style" w:hAnsi="Bookman Old Style"/>
          <w:color w:val="000000"/>
        </w:rPr>
      </w:pPr>
    </w:p>
    <w:p w14:paraId="185BCE00" w14:textId="6EB2B7EF" w:rsidR="00CD0849" w:rsidRPr="00F20BC0" w:rsidRDefault="00662B18" w:rsidP="00950D74">
      <w:pPr>
        <w:pStyle w:val="Prrafodelista"/>
        <w:widowControl w:val="0"/>
        <w:numPr>
          <w:ilvl w:val="0"/>
          <w:numId w:val="27"/>
        </w:numPr>
        <w:ind w:left="1429"/>
        <w:rPr>
          <w:color w:val="000000"/>
        </w:rPr>
      </w:pPr>
      <w:r w:rsidRPr="00F20BC0">
        <w:rPr>
          <w:color w:val="000000"/>
        </w:rPr>
        <w:t xml:space="preserve">Si el </w:t>
      </w:r>
      <w:r w:rsidR="0007295C" w:rsidRPr="00F20BC0">
        <w:rPr>
          <w:color w:val="000000"/>
        </w:rPr>
        <w:t xml:space="preserve">gasoducto </w:t>
      </w:r>
      <w:r w:rsidR="00A150E1" w:rsidRPr="00F20BC0">
        <w:rPr>
          <w:color w:val="000000"/>
        </w:rPr>
        <w:t>lleva en operación comercial un periodo inferior a los 20 años</w:t>
      </w:r>
      <w:r w:rsidR="00E43EA2" w:rsidRPr="00F20BC0">
        <w:rPr>
          <w:color w:val="000000"/>
        </w:rPr>
        <w:t xml:space="preserve"> se reconocerá</w:t>
      </w:r>
      <w:r w:rsidR="00A150E1" w:rsidRPr="00F20BC0">
        <w:rPr>
          <w:color w:val="000000"/>
        </w:rPr>
        <w:t xml:space="preserve"> e</w:t>
      </w:r>
      <w:r w:rsidR="002C4B9B" w:rsidRPr="00F20BC0">
        <w:rPr>
          <w:color w:val="000000"/>
        </w:rPr>
        <w:t>l valor en libros incluyendo la depreciación del gasoducto al momento de la definición del cargo</w:t>
      </w:r>
      <w:r w:rsidR="00CD0849" w:rsidRPr="00F20BC0">
        <w:rPr>
          <w:color w:val="000000"/>
        </w:rPr>
        <w:t xml:space="preserve">. </w:t>
      </w:r>
    </w:p>
    <w:p w14:paraId="74298F35" w14:textId="77777777" w:rsidR="00F53328" w:rsidRDefault="00F53328" w:rsidP="00E877AA">
      <w:pPr>
        <w:widowControl w:val="0"/>
        <w:ind w:left="1560"/>
        <w:jc w:val="both"/>
        <w:rPr>
          <w:rFonts w:ascii="Bookman Old Style" w:hAnsi="Bookman Old Style"/>
          <w:color w:val="000000"/>
        </w:rPr>
      </w:pPr>
    </w:p>
    <w:p w14:paraId="4E8777DB" w14:textId="285E778C" w:rsidR="009C7039" w:rsidRPr="00F20BC0" w:rsidRDefault="00CD0849" w:rsidP="00950D74">
      <w:pPr>
        <w:pStyle w:val="Prrafodelista"/>
        <w:widowControl w:val="0"/>
        <w:numPr>
          <w:ilvl w:val="0"/>
          <w:numId w:val="27"/>
        </w:numPr>
        <w:ind w:left="1429"/>
        <w:rPr>
          <w:color w:val="000000"/>
        </w:rPr>
      </w:pPr>
      <w:r w:rsidRPr="00F20BC0">
        <w:rPr>
          <w:color w:val="000000"/>
        </w:rPr>
        <w:t xml:space="preserve">Si el gasoducto lleva en operación comercial un periodo </w:t>
      </w:r>
      <w:r w:rsidR="00B55650" w:rsidRPr="00F20BC0">
        <w:rPr>
          <w:color w:val="000000"/>
        </w:rPr>
        <w:t xml:space="preserve">igual o superior a los 20 años </w:t>
      </w:r>
      <w:r w:rsidR="00F53328" w:rsidRPr="00F20BC0">
        <w:rPr>
          <w:color w:val="000000"/>
        </w:rPr>
        <w:t>se reconocerá</w:t>
      </w:r>
      <w:r w:rsidR="00C04975" w:rsidRPr="00F20BC0">
        <w:rPr>
          <w:color w:val="000000"/>
        </w:rPr>
        <w:t xml:space="preserve"> el</w:t>
      </w:r>
      <w:r w:rsidR="00F53328" w:rsidRPr="00F20BC0">
        <w:rPr>
          <w:color w:val="000000"/>
        </w:rPr>
        <w:t xml:space="preserve"> </w:t>
      </w:r>
      <w:r w:rsidR="00C04975" w:rsidRPr="00F20BC0">
        <w:rPr>
          <w:color w:val="000000"/>
        </w:rPr>
        <w:t>c</w:t>
      </w:r>
      <w:r w:rsidR="00F53328" w:rsidRPr="00F20BC0">
        <w:rPr>
          <w:color w:val="000000"/>
        </w:rPr>
        <w:t xml:space="preserve">osto de oportunidad por mantener en operación </w:t>
      </w:r>
      <w:r w:rsidR="004D32F7" w:rsidRPr="00F20BC0">
        <w:rPr>
          <w:color w:val="000000"/>
        </w:rPr>
        <w:t>el activo</w:t>
      </w:r>
      <w:r w:rsidR="00542BC3" w:rsidRPr="00F20BC0">
        <w:rPr>
          <w:color w:val="000000"/>
        </w:rPr>
        <w:t xml:space="preserve"> </w:t>
      </w:r>
      <w:r w:rsidR="00F53328" w:rsidRPr="00F20BC0">
        <w:rPr>
          <w:color w:val="000000"/>
        </w:rPr>
        <w:t xml:space="preserve">conforme a las disposiciones del numeral </w:t>
      </w:r>
      <w:proofErr w:type="spellStart"/>
      <w:r w:rsidR="00F53328" w:rsidRPr="00F20BC0">
        <w:rPr>
          <w:color w:val="000000"/>
        </w:rPr>
        <w:t>iii</w:t>
      </w:r>
      <w:proofErr w:type="spellEnd"/>
      <w:r w:rsidR="00F53328" w:rsidRPr="00F20BC0">
        <w:rPr>
          <w:color w:val="000000"/>
        </w:rPr>
        <w:t xml:space="preserve"> del literal e) del artículo 27 de la presente resolución</w:t>
      </w:r>
      <w:r w:rsidR="00C13501">
        <w:rPr>
          <w:color w:val="000000"/>
        </w:rPr>
        <w:t xml:space="preserve"> para la estimación de la variable </w:t>
      </w:r>
      <m:oMath>
        <m:r>
          <w:rPr>
            <w:rFonts w:ascii="Cambria Math" w:hAnsi="Cambria Math"/>
            <w:szCs w:val="24"/>
          </w:rPr>
          <m:t>RVUN</m:t>
        </m:r>
      </m:oMath>
      <w:r w:rsidR="00F53328" w:rsidRPr="00F20BC0">
        <w:rPr>
          <w:color w:val="000000"/>
        </w:rPr>
        <w:t>.</w:t>
      </w:r>
      <w:r w:rsidR="00F82D98">
        <w:rPr>
          <w:color w:val="000000"/>
        </w:rPr>
        <w:t xml:space="preserve"> </w:t>
      </w:r>
      <w:r w:rsidR="009C7039">
        <w:rPr>
          <w:color w:val="000000"/>
        </w:rPr>
        <w:t xml:space="preserve">En este caso, se reconocerá para la variable </w:t>
      </w:r>
      <m:oMath>
        <m:sSub>
          <m:sSubPr>
            <m:ctrlPr>
              <w:rPr>
                <w:rFonts w:ascii="Cambria Math" w:eastAsiaTheme="minorEastAsia" w:hAnsi="Cambria Math" w:cstheme="minorBidi"/>
                <w:i/>
                <w:color w:val="000000" w:themeColor="text1"/>
                <w:kern w:val="24"/>
                <w:szCs w:val="24"/>
              </w:rPr>
            </m:ctrlPr>
          </m:sSubPr>
          <m:e>
            <m:r>
              <w:rPr>
                <w:rFonts w:ascii="Cambria Math" w:eastAsiaTheme="minorEastAsia" w:hAnsi="Cambria Math" w:cstheme="minorBidi"/>
                <w:color w:val="000000" w:themeColor="text1"/>
                <w:kern w:val="24"/>
                <w:szCs w:val="24"/>
              </w:rPr>
              <m:t>IE</m:t>
            </m:r>
          </m:e>
          <m:sub>
            <m:r>
              <w:rPr>
                <w:rFonts w:ascii="Cambria Math" w:eastAsiaTheme="minorEastAsia" w:hAnsi="Cambria Math" w:cstheme="minorBidi"/>
                <w:color w:val="000000" w:themeColor="text1"/>
                <w:kern w:val="24"/>
                <w:szCs w:val="24"/>
              </w:rPr>
              <m:t>t</m:t>
            </m:r>
          </m:sub>
        </m:sSub>
      </m:oMath>
      <w:r w:rsidR="009C7039">
        <w:rPr>
          <w:color w:val="000000" w:themeColor="text1"/>
          <w:kern w:val="24"/>
          <w:szCs w:val="24"/>
        </w:rPr>
        <w:t xml:space="preserve"> el valor en libros del gasoducto sin incluir la depreciación.</w:t>
      </w:r>
    </w:p>
    <w:p w14:paraId="2CF0654D" w14:textId="77777777" w:rsidR="00F20BC0" w:rsidRDefault="00F20BC0" w:rsidP="00771B72">
      <w:pPr>
        <w:pStyle w:val="Prrafodelista"/>
        <w:widowControl w:val="0"/>
        <w:ind w:left="1429"/>
        <w:rPr>
          <w:color w:val="000000"/>
        </w:rPr>
      </w:pPr>
    </w:p>
    <w:p w14:paraId="2B7B35BE" w14:textId="2CC0AC88" w:rsidR="00F20BC0" w:rsidRPr="00F20BC0" w:rsidRDefault="00F20BC0" w:rsidP="00950D74">
      <w:pPr>
        <w:pStyle w:val="Prrafodelista"/>
        <w:widowControl w:val="0"/>
        <w:numPr>
          <w:ilvl w:val="0"/>
          <w:numId w:val="27"/>
        </w:numPr>
        <w:ind w:left="1429"/>
        <w:rPr>
          <w:color w:val="000000"/>
          <w:szCs w:val="24"/>
        </w:rPr>
      </w:pPr>
      <w:r w:rsidRPr="00F20BC0">
        <w:rPr>
          <w:color w:val="000000"/>
        </w:rPr>
        <w:t>El plan de inversiones para los siguientes cinco años</w:t>
      </w:r>
      <w:r w:rsidR="00E877AA">
        <w:rPr>
          <w:color w:val="000000"/>
        </w:rPr>
        <w:t>”</w:t>
      </w:r>
      <w:r w:rsidRPr="00F20BC0">
        <w:rPr>
          <w:color w:val="000000"/>
        </w:rPr>
        <w:t>.</w:t>
      </w:r>
    </w:p>
    <w:p w14:paraId="640B3022" w14:textId="77777777" w:rsidR="00BE6E56" w:rsidRPr="00BE6E56" w:rsidRDefault="00BE6E56" w:rsidP="00AF44B9"/>
    <w:p w14:paraId="57D2B6EB" w14:textId="08751072" w:rsidR="0044666F" w:rsidRPr="0044666F" w:rsidRDefault="0044666F" w:rsidP="0044666F">
      <w:pPr>
        <w:pStyle w:val="Estilo5"/>
        <w:widowControl w:val="0"/>
        <w:numPr>
          <w:ilvl w:val="0"/>
          <w:numId w:val="0"/>
        </w:numPr>
        <w:tabs>
          <w:tab w:val="left" w:pos="1134"/>
        </w:tabs>
        <w:spacing w:before="0" w:after="0"/>
        <w:rPr>
          <w:rFonts w:ascii="Bookman Old Style" w:hAnsi="Bookman Old Style" w:cs="Arial"/>
          <w:b w:val="0"/>
          <w:bCs/>
          <w:color w:val="000000"/>
          <w:spacing w:val="-4"/>
          <w:sz w:val="24"/>
          <w:szCs w:val="24"/>
        </w:rPr>
      </w:pPr>
      <w:r>
        <w:rPr>
          <w:rFonts w:ascii="Bookman Old Style" w:hAnsi="Bookman Old Style" w:cs="Arial"/>
          <w:color w:val="000000"/>
          <w:spacing w:val="-4"/>
          <w:sz w:val="24"/>
          <w:szCs w:val="24"/>
        </w:rPr>
        <w:t xml:space="preserve">Artículo 10. </w:t>
      </w:r>
      <w:r w:rsidR="00F52C65">
        <w:rPr>
          <w:rFonts w:ascii="Bookman Old Style" w:hAnsi="Bookman Old Style" w:cs="Arial"/>
          <w:b w:val="0"/>
          <w:bCs/>
          <w:color w:val="000000"/>
          <w:spacing w:val="-4"/>
          <w:sz w:val="24"/>
          <w:szCs w:val="24"/>
        </w:rPr>
        <w:t xml:space="preserve">No llevar a cabo </w:t>
      </w:r>
      <w:r w:rsidR="0056062D">
        <w:rPr>
          <w:rFonts w:ascii="Bookman Old Style" w:hAnsi="Bookman Old Style" w:cs="Arial"/>
          <w:b w:val="0"/>
          <w:bCs/>
          <w:color w:val="000000"/>
          <w:spacing w:val="-4"/>
          <w:sz w:val="24"/>
          <w:szCs w:val="24"/>
        </w:rPr>
        <w:t xml:space="preserve">modificaciones a la Resolución </w:t>
      </w:r>
      <w:proofErr w:type="spellStart"/>
      <w:r w:rsidR="0056062D">
        <w:rPr>
          <w:rFonts w:ascii="Bookman Old Style" w:hAnsi="Bookman Old Style" w:cs="Arial"/>
          <w:b w:val="0"/>
          <w:bCs/>
          <w:color w:val="000000"/>
          <w:spacing w:val="-4"/>
          <w:sz w:val="24"/>
          <w:szCs w:val="24"/>
        </w:rPr>
        <w:t>CREG</w:t>
      </w:r>
      <w:proofErr w:type="spellEnd"/>
      <w:r w:rsidR="0056062D">
        <w:rPr>
          <w:rFonts w:ascii="Bookman Old Style" w:hAnsi="Bookman Old Style" w:cs="Arial"/>
          <w:b w:val="0"/>
          <w:bCs/>
          <w:color w:val="000000"/>
          <w:spacing w:val="-4"/>
          <w:sz w:val="24"/>
          <w:szCs w:val="24"/>
        </w:rPr>
        <w:t xml:space="preserve"> 175 de 2021 con </w:t>
      </w:r>
      <w:r w:rsidR="00F75489">
        <w:rPr>
          <w:rFonts w:ascii="Bookman Old Style" w:hAnsi="Bookman Old Style" w:cs="Arial"/>
          <w:b w:val="0"/>
          <w:bCs/>
          <w:color w:val="000000"/>
          <w:spacing w:val="-4"/>
          <w:sz w:val="24"/>
          <w:szCs w:val="24"/>
        </w:rPr>
        <w:t>base</w:t>
      </w:r>
      <w:r w:rsidR="0056062D">
        <w:rPr>
          <w:rFonts w:ascii="Bookman Old Style" w:hAnsi="Bookman Old Style" w:cs="Arial"/>
          <w:b w:val="0"/>
          <w:bCs/>
          <w:color w:val="000000"/>
          <w:spacing w:val="-4"/>
          <w:sz w:val="24"/>
          <w:szCs w:val="24"/>
        </w:rPr>
        <w:t xml:space="preserve"> en</w:t>
      </w:r>
      <w:r>
        <w:rPr>
          <w:rFonts w:ascii="Bookman Old Style" w:hAnsi="Bookman Old Style" w:cs="Arial"/>
          <w:b w:val="0"/>
          <w:bCs/>
          <w:color w:val="000000"/>
          <w:spacing w:val="-4"/>
          <w:sz w:val="24"/>
          <w:szCs w:val="24"/>
        </w:rPr>
        <w:t xml:space="preserve"> las solicitudes </w:t>
      </w:r>
      <w:r w:rsidR="0081329D" w:rsidRPr="0081329D">
        <w:rPr>
          <w:rFonts w:ascii="Bookman Old Style" w:hAnsi="Bookman Old Style" w:cs="Arial"/>
          <w:b w:val="0"/>
          <w:bCs/>
          <w:color w:val="000000"/>
          <w:spacing w:val="-4"/>
          <w:sz w:val="24"/>
          <w:szCs w:val="24"/>
        </w:rPr>
        <w:t>particulares en interés general recibidas por la Comisión</w:t>
      </w:r>
      <w:r w:rsidR="0081329D">
        <w:rPr>
          <w:rFonts w:ascii="Bookman Old Style" w:hAnsi="Bookman Old Style" w:cs="Arial"/>
          <w:b w:val="0"/>
          <w:bCs/>
          <w:color w:val="000000"/>
          <w:spacing w:val="-4"/>
          <w:sz w:val="24"/>
          <w:szCs w:val="24"/>
        </w:rPr>
        <w:t xml:space="preserve"> y realizadas por </w:t>
      </w:r>
      <w:proofErr w:type="spellStart"/>
      <w:r w:rsidR="000C6C2F" w:rsidRPr="000C6C2F">
        <w:rPr>
          <w:rFonts w:ascii="Bookman Old Style" w:hAnsi="Bookman Old Style" w:cs="Arial"/>
          <w:b w:val="0"/>
          <w:bCs/>
          <w:color w:val="000000"/>
          <w:spacing w:val="-4"/>
          <w:sz w:val="24"/>
          <w:szCs w:val="24"/>
        </w:rPr>
        <w:t>Vanti</w:t>
      </w:r>
      <w:proofErr w:type="spellEnd"/>
      <w:r w:rsidR="000C6C2F" w:rsidRPr="000C6C2F">
        <w:rPr>
          <w:rFonts w:ascii="Bookman Old Style" w:hAnsi="Bookman Old Style" w:cs="Arial"/>
          <w:b w:val="0"/>
          <w:bCs/>
          <w:color w:val="000000"/>
          <w:spacing w:val="-4"/>
          <w:sz w:val="24"/>
          <w:szCs w:val="24"/>
        </w:rPr>
        <w:t xml:space="preserve"> S.A. E.S.P., la Asociación Colombiana de Grandes Consumidores de Energía Industriales y Comerciales, </w:t>
      </w:r>
      <w:proofErr w:type="spellStart"/>
      <w:r w:rsidR="000C6C2F" w:rsidRPr="000C6C2F">
        <w:rPr>
          <w:rFonts w:ascii="Bookman Old Style" w:hAnsi="Bookman Old Style" w:cs="Arial"/>
          <w:b w:val="0"/>
          <w:bCs/>
          <w:color w:val="000000"/>
          <w:spacing w:val="-4"/>
          <w:sz w:val="24"/>
          <w:szCs w:val="24"/>
        </w:rPr>
        <w:t>ASOENERGÍA</w:t>
      </w:r>
      <w:proofErr w:type="spellEnd"/>
      <w:r w:rsidR="000C6C2F" w:rsidRPr="000C6C2F">
        <w:rPr>
          <w:rFonts w:ascii="Bookman Old Style" w:hAnsi="Bookman Old Style" w:cs="Arial"/>
          <w:b w:val="0"/>
          <w:bCs/>
          <w:color w:val="000000"/>
          <w:spacing w:val="-4"/>
          <w:sz w:val="24"/>
          <w:szCs w:val="24"/>
        </w:rPr>
        <w:t xml:space="preserve">, y la Asociación Colombiana del Petróleo y Gas, </w:t>
      </w:r>
      <w:proofErr w:type="spellStart"/>
      <w:r w:rsidR="000C6C2F" w:rsidRPr="000C6C2F">
        <w:rPr>
          <w:rFonts w:ascii="Bookman Old Style" w:hAnsi="Bookman Old Style" w:cs="Arial"/>
          <w:b w:val="0"/>
          <w:bCs/>
          <w:color w:val="000000"/>
          <w:spacing w:val="-4"/>
          <w:sz w:val="24"/>
          <w:szCs w:val="24"/>
        </w:rPr>
        <w:t>ACP</w:t>
      </w:r>
      <w:proofErr w:type="spellEnd"/>
      <w:r w:rsidR="000C6C2F" w:rsidRPr="000C6C2F">
        <w:rPr>
          <w:rFonts w:ascii="Bookman Old Style" w:hAnsi="Bookman Old Style" w:cs="Arial"/>
          <w:b w:val="0"/>
          <w:bCs/>
          <w:color w:val="000000"/>
          <w:spacing w:val="-4"/>
          <w:sz w:val="24"/>
          <w:szCs w:val="24"/>
        </w:rPr>
        <w:t>,</w:t>
      </w:r>
      <w:r w:rsidR="000C6C2F">
        <w:rPr>
          <w:rFonts w:ascii="Bookman Old Style" w:hAnsi="Bookman Old Style" w:cs="Arial"/>
          <w:b w:val="0"/>
          <w:bCs/>
          <w:color w:val="000000"/>
          <w:spacing w:val="-4"/>
          <w:sz w:val="24"/>
          <w:szCs w:val="24"/>
        </w:rPr>
        <w:t xml:space="preserve"> con fundamento en el artículo 126 de la Ley 142 de 1994</w:t>
      </w:r>
      <w:r w:rsidR="00ED654C">
        <w:rPr>
          <w:rFonts w:ascii="Bookman Old Style" w:hAnsi="Bookman Old Style" w:cs="Arial"/>
          <w:b w:val="0"/>
          <w:bCs/>
          <w:color w:val="000000"/>
          <w:spacing w:val="-4"/>
          <w:sz w:val="24"/>
          <w:szCs w:val="24"/>
        </w:rPr>
        <w:t xml:space="preserve"> de acuerdo con la parte motiva de la presente resolución.</w:t>
      </w:r>
    </w:p>
    <w:p w14:paraId="78E2E3B2" w14:textId="77777777" w:rsidR="0044666F" w:rsidRDefault="0044666F" w:rsidP="00947662"/>
    <w:p w14:paraId="28CB9F94" w14:textId="65E3766E" w:rsidR="00AA7B69" w:rsidRDefault="0044666F" w:rsidP="0044666F">
      <w:pPr>
        <w:pStyle w:val="Estilo5"/>
        <w:widowControl w:val="0"/>
        <w:numPr>
          <w:ilvl w:val="0"/>
          <w:numId w:val="0"/>
        </w:numPr>
        <w:tabs>
          <w:tab w:val="left" w:pos="1134"/>
        </w:tabs>
        <w:spacing w:before="0" w:after="0"/>
        <w:rPr>
          <w:rFonts w:ascii="Bookman Old Style" w:hAnsi="Bookman Old Style" w:cs="Arial"/>
          <w:b w:val="0"/>
          <w:bCs/>
          <w:color w:val="000000"/>
          <w:spacing w:val="-4"/>
          <w:sz w:val="24"/>
          <w:szCs w:val="24"/>
        </w:rPr>
      </w:pPr>
      <w:r>
        <w:rPr>
          <w:rFonts w:ascii="Bookman Old Style" w:hAnsi="Bookman Old Style" w:cs="Arial"/>
          <w:color w:val="000000"/>
          <w:spacing w:val="-4"/>
          <w:sz w:val="24"/>
          <w:szCs w:val="24"/>
        </w:rPr>
        <w:t xml:space="preserve">Artículo 11. </w:t>
      </w:r>
      <w:r w:rsidR="00F41386" w:rsidRPr="00717AFB">
        <w:rPr>
          <w:rFonts w:ascii="Bookman Old Style" w:hAnsi="Bookman Old Style" w:cs="Arial"/>
          <w:color w:val="000000"/>
          <w:spacing w:val="-4"/>
          <w:sz w:val="24"/>
          <w:szCs w:val="24"/>
        </w:rPr>
        <w:t xml:space="preserve">Vigencia. </w:t>
      </w:r>
      <w:r w:rsidR="00AA7B69" w:rsidRPr="00111682">
        <w:rPr>
          <w:rFonts w:ascii="Bookman Old Style" w:hAnsi="Bookman Old Style" w:cs="Arial"/>
          <w:b w:val="0"/>
          <w:bCs/>
          <w:color w:val="000000"/>
          <w:spacing w:val="-4"/>
          <w:sz w:val="24"/>
          <w:szCs w:val="24"/>
        </w:rPr>
        <w:t xml:space="preserve">La presente resolución rige a partir de su publicación en </w:t>
      </w:r>
      <w:r w:rsidR="007B6F62">
        <w:rPr>
          <w:rFonts w:ascii="Bookman Old Style" w:hAnsi="Bookman Old Style" w:cs="Arial"/>
          <w:b w:val="0"/>
          <w:bCs/>
          <w:color w:val="000000"/>
          <w:spacing w:val="-4"/>
          <w:sz w:val="24"/>
          <w:szCs w:val="24"/>
        </w:rPr>
        <w:lastRenderedPageBreak/>
        <w:t>e</w:t>
      </w:r>
      <w:r w:rsidR="00AA7B69" w:rsidRPr="00111682">
        <w:rPr>
          <w:rFonts w:ascii="Bookman Old Style" w:hAnsi="Bookman Old Style" w:cs="Arial"/>
          <w:b w:val="0"/>
          <w:bCs/>
          <w:color w:val="000000"/>
          <w:spacing w:val="-4"/>
          <w:sz w:val="24"/>
          <w:szCs w:val="24"/>
        </w:rPr>
        <w:t xml:space="preserve">l </w:t>
      </w:r>
      <w:r w:rsidR="00AA7B69" w:rsidRPr="00EF7D42">
        <w:rPr>
          <w:rFonts w:ascii="Bookman Old Style" w:hAnsi="Bookman Old Style" w:cs="Arial"/>
          <w:b w:val="0"/>
          <w:bCs/>
          <w:i/>
          <w:iCs/>
          <w:color w:val="000000"/>
          <w:spacing w:val="-4"/>
          <w:sz w:val="24"/>
          <w:szCs w:val="24"/>
        </w:rPr>
        <w:t>Diario Oficial</w:t>
      </w:r>
      <w:r w:rsidR="008537A0">
        <w:rPr>
          <w:rFonts w:ascii="Bookman Old Style" w:hAnsi="Bookman Old Style" w:cs="Arial"/>
          <w:b w:val="0"/>
          <w:bCs/>
          <w:color w:val="000000"/>
          <w:spacing w:val="-4"/>
          <w:sz w:val="24"/>
          <w:szCs w:val="24"/>
        </w:rPr>
        <w:t>.</w:t>
      </w:r>
    </w:p>
    <w:p w14:paraId="238F6DFE" w14:textId="744F8167" w:rsidR="0020003F" w:rsidRDefault="0020003F" w:rsidP="00AF44B9"/>
    <w:p w14:paraId="29243193" w14:textId="77777777" w:rsidR="001821C1" w:rsidRDefault="001821C1" w:rsidP="00AF44B9"/>
    <w:p w14:paraId="278264D9" w14:textId="4B1F5E58" w:rsidR="0020003F" w:rsidRDefault="00371D5F" w:rsidP="0020003F">
      <w:pPr>
        <w:pStyle w:val="Estilo5"/>
        <w:widowControl w:val="0"/>
        <w:numPr>
          <w:ilvl w:val="0"/>
          <w:numId w:val="0"/>
        </w:numPr>
        <w:tabs>
          <w:tab w:val="left" w:pos="1560"/>
        </w:tabs>
        <w:spacing w:before="0" w:after="0"/>
        <w:ind w:left="142"/>
        <w:jc w:val="center"/>
        <w:rPr>
          <w:rFonts w:ascii="Bookman Old Style" w:hAnsi="Bookman Old Style" w:cs="Arial"/>
          <w:color w:val="000000"/>
          <w:spacing w:val="-4"/>
          <w:sz w:val="24"/>
          <w:szCs w:val="24"/>
        </w:rPr>
      </w:pPr>
      <w:r>
        <w:rPr>
          <w:rFonts w:ascii="Bookman Old Style" w:hAnsi="Bookman Old Style" w:cs="Arial"/>
          <w:color w:val="000000"/>
          <w:spacing w:val="-4"/>
          <w:sz w:val="24"/>
          <w:szCs w:val="24"/>
        </w:rPr>
        <w:t xml:space="preserve">NOTIFÍQUESE, </w:t>
      </w:r>
      <w:r w:rsidR="0020003F">
        <w:rPr>
          <w:rFonts w:ascii="Bookman Old Style" w:hAnsi="Bookman Old Style" w:cs="Arial"/>
          <w:color w:val="000000"/>
          <w:spacing w:val="-4"/>
          <w:sz w:val="24"/>
          <w:szCs w:val="24"/>
        </w:rPr>
        <w:t>PUBLÍQUESE Y C</w:t>
      </w:r>
      <w:r w:rsidR="00C34334">
        <w:rPr>
          <w:rFonts w:ascii="Bookman Old Style" w:hAnsi="Bookman Old Style" w:cs="Arial"/>
          <w:color w:val="000000"/>
          <w:spacing w:val="-4"/>
          <w:sz w:val="24"/>
          <w:szCs w:val="24"/>
        </w:rPr>
        <w:t>Ú</w:t>
      </w:r>
      <w:r w:rsidR="0020003F">
        <w:rPr>
          <w:rFonts w:ascii="Bookman Old Style" w:hAnsi="Bookman Old Style" w:cs="Arial"/>
          <w:color w:val="000000"/>
          <w:spacing w:val="-4"/>
          <w:sz w:val="24"/>
          <w:szCs w:val="24"/>
        </w:rPr>
        <w:t>MPLASE</w:t>
      </w:r>
    </w:p>
    <w:p w14:paraId="5593F9AE" w14:textId="77777777" w:rsidR="00A90FEC" w:rsidRDefault="00A90FEC" w:rsidP="0020003F">
      <w:pPr>
        <w:pStyle w:val="Estilo5"/>
        <w:widowControl w:val="0"/>
        <w:numPr>
          <w:ilvl w:val="0"/>
          <w:numId w:val="0"/>
        </w:numPr>
        <w:tabs>
          <w:tab w:val="left" w:pos="1560"/>
        </w:tabs>
        <w:spacing w:before="0" w:after="0"/>
        <w:ind w:left="142"/>
        <w:jc w:val="center"/>
        <w:rPr>
          <w:rFonts w:ascii="Bookman Old Style" w:hAnsi="Bookman Old Style" w:cs="Arial"/>
          <w:color w:val="000000"/>
          <w:spacing w:val="-4"/>
          <w:sz w:val="24"/>
          <w:szCs w:val="24"/>
        </w:rPr>
      </w:pPr>
    </w:p>
    <w:p w14:paraId="2F5C9096" w14:textId="77777777" w:rsidR="00A90FEC" w:rsidRDefault="00A90FEC" w:rsidP="0020003F">
      <w:pPr>
        <w:pStyle w:val="Estilo5"/>
        <w:widowControl w:val="0"/>
        <w:numPr>
          <w:ilvl w:val="0"/>
          <w:numId w:val="0"/>
        </w:numPr>
        <w:tabs>
          <w:tab w:val="left" w:pos="1560"/>
        </w:tabs>
        <w:spacing w:before="0" w:after="0"/>
        <w:ind w:left="142"/>
        <w:jc w:val="center"/>
        <w:rPr>
          <w:rFonts w:ascii="Bookman Old Style" w:hAnsi="Bookman Old Style" w:cs="Arial"/>
          <w:color w:val="000000"/>
          <w:spacing w:val="-4"/>
          <w:sz w:val="24"/>
          <w:szCs w:val="24"/>
        </w:rPr>
      </w:pPr>
    </w:p>
    <w:p w14:paraId="518C4AFD" w14:textId="77777777" w:rsidR="00A90FEC" w:rsidRDefault="00A90FEC" w:rsidP="0020003F">
      <w:pPr>
        <w:pStyle w:val="Estilo5"/>
        <w:widowControl w:val="0"/>
        <w:numPr>
          <w:ilvl w:val="0"/>
          <w:numId w:val="0"/>
        </w:numPr>
        <w:tabs>
          <w:tab w:val="left" w:pos="1560"/>
        </w:tabs>
        <w:spacing w:before="0" w:after="0"/>
        <w:ind w:left="142"/>
        <w:jc w:val="center"/>
        <w:rPr>
          <w:rFonts w:ascii="Bookman Old Style" w:hAnsi="Bookman Old Style" w:cs="Arial"/>
          <w:color w:val="000000"/>
          <w:spacing w:val="-4"/>
          <w:sz w:val="24"/>
          <w:szCs w:val="24"/>
        </w:rPr>
      </w:pPr>
    </w:p>
    <w:p w14:paraId="734B4573" w14:textId="77777777" w:rsidR="00A90FEC" w:rsidRDefault="00A90FEC" w:rsidP="0020003F">
      <w:pPr>
        <w:pStyle w:val="Estilo5"/>
        <w:widowControl w:val="0"/>
        <w:numPr>
          <w:ilvl w:val="0"/>
          <w:numId w:val="0"/>
        </w:numPr>
        <w:tabs>
          <w:tab w:val="left" w:pos="1560"/>
        </w:tabs>
        <w:spacing w:before="0" w:after="0"/>
        <w:ind w:left="142"/>
        <w:jc w:val="center"/>
        <w:rPr>
          <w:rFonts w:ascii="Bookman Old Style" w:hAnsi="Bookman Old Style" w:cs="Arial"/>
          <w:color w:val="000000"/>
          <w:spacing w:val="-4"/>
          <w:sz w:val="24"/>
          <w:szCs w:val="24"/>
        </w:rPr>
      </w:pPr>
    </w:p>
    <w:tbl>
      <w:tblPr>
        <w:tblW w:w="9356" w:type="dxa"/>
        <w:tblCellMar>
          <w:left w:w="0" w:type="dxa"/>
          <w:right w:w="0" w:type="dxa"/>
        </w:tblCellMar>
        <w:tblLook w:val="04A0" w:firstRow="1" w:lastRow="0" w:firstColumn="1" w:lastColumn="0" w:noHBand="0" w:noVBand="1"/>
      </w:tblPr>
      <w:tblGrid>
        <w:gridCol w:w="4820"/>
        <w:gridCol w:w="4536"/>
      </w:tblGrid>
      <w:tr w:rsidR="00A90FEC" w14:paraId="29291E7F" w14:textId="77777777" w:rsidTr="00A90FEC">
        <w:tc>
          <w:tcPr>
            <w:tcW w:w="4820" w:type="dxa"/>
            <w:tcMar>
              <w:top w:w="0" w:type="dxa"/>
              <w:left w:w="70" w:type="dxa"/>
              <w:bottom w:w="0" w:type="dxa"/>
              <w:right w:w="70" w:type="dxa"/>
            </w:tcMar>
            <w:hideMark/>
          </w:tcPr>
          <w:p w14:paraId="6B34F478" w14:textId="53F0D595" w:rsidR="00A90FEC" w:rsidRDefault="00A90FEC">
            <w:pPr>
              <w:jc w:val="center"/>
              <w:rPr>
                <w:lang w:eastAsia="es-CO"/>
              </w:rPr>
            </w:pPr>
            <w:r>
              <w:rPr>
                <w:rFonts w:ascii="Bookman Old Style" w:hAnsi="Bookman Old Style"/>
                <w:b/>
                <w:bCs/>
                <w:spacing w:val="-3"/>
                <w:lang w:val="es-ES"/>
              </w:rPr>
              <w:t>ANDRÉS CAMACHO MORALES</w:t>
            </w:r>
          </w:p>
          <w:p w14:paraId="69937CE1" w14:textId="77777777" w:rsidR="00A90FEC" w:rsidRDefault="00A90FEC">
            <w:pPr>
              <w:jc w:val="center"/>
            </w:pPr>
            <w:r>
              <w:rPr>
                <w:rFonts w:ascii="Bookman Old Style" w:hAnsi="Bookman Old Style"/>
                <w:lang w:val="es-ES"/>
              </w:rPr>
              <w:t>Ministro de Minas y Energía</w:t>
            </w:r>
          </w:p>
          <w:p w14:paraId="5A2AA31F" w14:textId="77777777" w:rsidR="00A90FEC" w:rsidRDefault="00A90FEC">
            <w:pPr>
              <w:jc w:val="center"/>
            </w:pPr>
            <w:r>
              <w:rPr>
                <w:rFonts w:ascii="Bookman Old Style" w:hAnsi="Bookman Old Style"/>
                <w:lang w:val="es-ES"/>
              </w:rPr>
              <w:t>Presidente</w:t>
            </w:r>
          </w:p>
        </w:tc>
        <w:tc>
          <w:tcPr>
            <w:tcW w:w="4536" w:type="dxa"/>
            <w:tcMar>
              <w:top w:w="0" w:type="dxa"/>
              <w:left w:w="70" w:type="dxa"/>
              <w:bottom w:w="0" w:type="dxa"/>
              <w:right w:w="70" w:type="dxa"/>
            </w:tcMar>
            <w:hideMark/>
          </w:tcPr>
          <w:p w14:paraId="30C0BEDE" w14:textId="4F1EDEFC" w:rsidR="00A90FEC" w:rsidRDefault="00A90FEC">
            <w:pPr>
              <w:jc w:val="center"/>
            </w:pPr>
            <w:r>
              <w:rPr>
                <w:rFonts w:ascii="Bookman Old Style" w:hAnsi="Bookman Old Style"/>
                <w:b/>
                <w:bCs/>
                <w:lang w:val="es-ES"/>
              </w:rPr>
              <w:t xml:space="preserve">OMAR </w:t>
            </w:r>
            <w:proofErr w:type="spellStart"/>
            <w:r>
              <w:rPr>
                <w:rFonts w:ascii="Bookman Old Style" w:hAnsi="Bookman Old Style"/>
                <w:b/>
                <w:bCs/>
                <w:lang w:val="es-ES"/>
              </w:rPr>
              <w:t>PRIAS</w:t>
            </w:r>
            <w:proofErr w:type="spellEnd"/>
            <w:r>
              <w:rPr>
                <w:rFonts w:ascii="Bookman Old Style" w:hAnsi="Bookman Old Style"/>
                <w:b/>
                <w:bCs/>
                <w:lang w:val="es-ES"/>
              </w:rPr>
              <w:t xml:space="preserve"> CAICEDO</w:t>
            </w:r>
          </w:p>
          <w:p w14:paraId="6D6725FC" w14:textId="77777777" w:rsidR="00A90FEC" w:rsidRDefault="00A90FEC">
            <w:pPr>
              <w:jc w:val="center"/>
            </w:pPr>
            <w:r>
              <w:rPr>
                <w:rFonts w:ascii="Bookman Old Style" w:hAnsi="Bookman Old Style"/>
                <w:spacing w:val="-3"/>
                <w:lang w:val="es-ES"/>
              </w:rPr>
              <w:t>Director Ejecutivo</w:t>
            </w:r>
          </w:p>
        </w:tc>
      </w:tr>
    </w:tbl>
    <w:p w14:paraId="02F99557" w14:textId="77777777" w:rsidR="0020003F" w:rsidRPr="00A90FEC" w:rsidRDefault="0020003F" w:rsidP="0020003F">
      <w:pPr>
        <w:pStyle w:val="Estilo5"/>
        <w:widowControl w:val="0"/>
        <w:numPr>
          <w:ilvl w:val="0"/>
          <w:numId w:val="0"/>
        </w:numPr>
        <w:tabs>
          <w:tab w:val="left" w:pos="1560"/>
        </w:tabs>
        <w:spacing w:before="0" w:after="0"/>
        <w:ind w:left="142"/>
        <w:jc w:val="center"/>
        <w:rPr>
          <w:rFonts w:ascii="Bookman Old Style" w:hAnsi="Bookman Old Style" w:cs="Arial"/>
          <w:b w:val="0"/>
          <w:color w:val="000000"/>
          <w:spacing w:val="-4"/>
          <w:sz w:val="24"/>
          <w:szCs w:val="24"/>
          <w:lang w:val="es-CO"/>
        </w:rPr>
      </w:pPr>
    </w:p>
    <w:sectPr w:rsidR="0020003F" w:rsidRPr="00A90FEC" w:rsidSect="00D65D26">
      <w:headerReference w:type="default" r:id="rId15"/>
      <w:footerReference w:type="default" r:id="rId16"/>
      <w:headerReference w:type="first" r:id="rId17"/>
      <w:footerReference w:type="first" r:id="rId18"/>
      <w:pgSz w:w="12242" w:h="18722" w:code="123"/>
      <w:pgMar w:top="1985" w:right="1469" w:bottom="184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66F5A" w14:textId="77777777" w:rsidR="00A2084A" w:rsidRDefault="00A2084A">
      <w:r>
        <w:separator/>
      </w:r>
    </w:p>
  </w:endnote>
  <w:endnote w:type="continuationSeparator" w:id="0">
    <w:p w14:paraId="120A4C5B" w14:textId="77777777" w:rsidR="00A2084A" w:rsidRDefault="00A2084A">
      <w:r>
        <w:continuationSeparator/>
      </w:r>
    </w:p>
  </w:endnote>
  <w:endnote w:type="continuationNotice" w:id="1">
    <w:p w14:paraId="555D5B4B" w14:textId="77777777" w:rsidR="00A2084A" w:rsidRDefault="00A20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9"/>
      <w:gridCol w:w="3119"/>
      <w:gridCol w:w="3119"/>
    </w:tblGrid>
    <w:tr w:rsidR="00F157D0" w14:paraId="3B40E3F4" w14:textId="77777777" w:rsidTr="00F225D0">
      <w:tc>
        <w:tcPr>
          <w:tcW w:w="3119" w:type="dxa"/>
        </w:tcPr>
        <w:p w14:paraId="03BD9755" w14:textId="3622C5D8" w:rsidR="00F157D0" w:rsidRDefault="00F157D0" w:rsidP="00F225D0">
          <w:pPr>
            <w:pStyle w:val="Encabezado"/>
            <w:ind w:left="-115"/>
            <w:jc w:val="left"/>
          </w:pPr>
        </w:p>
      </w:tc>
      <w:tc>
        <w:tcPr>
          <w:tcW w:w="3119" w:type="dxa"/>
        </w:tcPr>
        <w:p w14:paraId="192FA318" w14:textId="7917F28E" w:rsidR="00F157D0" w:rsidRDefault="00F157D0" w:rsidP="00F225D0">
          <w:pPr>
            <w:pStyle w:val="Encabezado"/>
            <w:jc w:val="center"/>
          </w:pPr>
        </w:p>
      </w:tc>
      <w:tc>
        <w:tcPr>
          <w:tcW w:w="3119" w:type="dxa"/>
        </w:tcPr>
        <w:p w14:paraId="0FE63285" w14:textId="3FB6D7F8" w:rsidR="00F157D0" w:rsidRDefault="00F157D0" w:rsidP="00F225D0">
          <w:pPr>
            <w:pStyle w:val="Encabezado"/>
            <w:ind w:right="-115"/>
            <w:jc w:val="right"/>
          </w:pPr>
        </w:p>
      </w:tc>
    </w:tr>
  </w:tbl>
  <w:p w14:paraId="66AFF49C" w14:textId="71ECC73D" w:rsidR="00F157D0" w:rsidRDefault="00F157D0" w:rsidP="00F225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9"/>
      <w:gridCol w:w="3119"/>
      <w:gridCol w:w="3119"/>
    </w:tblGrid>
    <w:tr w:rsidR="00F157D0" w14:paraId="11DCFBCD" w14:textId="77777777" w:rsidTr="00F225D0">
      <w:tc>
        <w:tcPr>
          <w:tcW w:w="3119" w:type="dxa"/>
        </w:tcPr>
        <w:p w14:paraId="00129CAA" w14:textId="23224294" w:rsidR="00F157D0" w:rsidRDefault="00F157D0" w:rsidP="00F225D0">
          <w:pPr>
            <w:pStyle w:val="Encabezado"/>
            <w:ind w:left="-115"/>
            <w:jc w:val="left"/>
          </w:pPr>
        </w:p>
      </w:tc>
      <w:tc>
        <w:tcPr>
          <w:tcW w:w="3119" w:type="dxa"/>
        </w:tcPr>
        <w:p w14:paraId="4B547D06" w14:textId="401A223B" w:rsidR="00F157D0" w:rsidRDefault="00F157D0" w:rsidP="00F225D0">
          <w:pPr>
            <w:pStyle w:val="Encabezado"/>
            <w:jc w:val="center"/>
          </w:pPr>
        </w:p>
      </w:tc>
      <w:tc>
        <w:tcPr>
          <w:tcW w:w="3119" w:type="dxa"/>
        </w:tcPr>
        <w:p w14:paraId="5235FFDC" w14:textId="1996DE95" w:rsidR="00F157D0" w:rsidRDefault="00F157D0" w:rsidP="00F225D0">
          <w:pPr>
            <w:pStyle w:val="Encabezado"/>
            <w:ind w:right="-115"/>
            <w:jc w:val="right"/>
          </w:pPr>
        </w:p>
      </w:tc>
    </w:tr>
  </w:tbl>
  <w:p w14:paraId="6A1BCD9F" w14:textId="7FF0E163" w:rsidR="00F157D0" w:rsidRDefault="00F157D0" w:rsidP="00F225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260B2" w14:textId="77777777" w:rsidR="00A2084A" w:rsidRDefault="00A2084A">
      <w:r>
        <w:separator/>
      </w:r>
    </w:p>
  </w:footnote>
  <w:footnote w:type="continuationSeparator" w:id="0">
    <w:p w14:paraId="77F20C12" w14:textId="77777777" w:rsidR="00A2084A" w:rsidRDefault="00A2084A">
      <w:r>
        <w:continuationSeparator/>
      </w:r>
    </w:p>
  </w:footnote>
  <w:footnote w:type="continuationNotice" w:id="1">
    <w:p w14:paraId="1589FF4B" w14:textId="77777777" w:rsidR="00A2084A" w:rsidRDefault="00A2084A"/>
  </w:footnote>
  <w:footnote w:id="2">
    <w:p w14:paraId="6C08FFB2" w14:textId="77777777" w:rsidR="00E56F5C" w:rsidRPr="007618ED" w:rsidRDefault="00E56F5C" w:rsidP="00E56F5C">
      <w:pPr>
        <w:pStyle w:val="Textonotapie"/>
        <w:spacing w:line="240" w:lineRule="auto"/>
        <w:rPr>
          <w:lang w:val="es-MX"/>
        </w:rPr>
      </w:pPr>
      <w:r>
        <w:rPr>
          <w:rStyle w:val="Refdenotaalpie"/>
        </w:rPr>
        <w:footnoteRef/>
      </w:r>
      <w:r>
        <w:t xml:space="preserve"> </w:t>
      </w:r>
      <w:r>
        <w:rPr>
          <w:lang w:val="es-MX"/>
        </w:rPr>
        <w:t xml:space="preserve">En esta discusión es preciso señalar que la diferencia entre los pagos a 20 y 50 años está en función del nivel de las tasas. Si se hiciera el ejercicio con tasas superiores a 10,94% el diferencial se reduce. </w:t>
      </w:r>
    </w:p>
  </w:footnote>
  <w:footnote w:id="3">
    <w:p w14:paraId="30464BBF" w14:textId="77777777" w:rsidR="00E56F5C" w:rsidRPr="00D15870" w:rsidRDefault="00E56F5C" w:rsidP="000D58B8">
      <w:pPr>
        <w:pStyle w:val="Textonotapie"/>
        <w:spacing w:line="240" w:lineRule="auto"/>
        <w:contextualSpacing/>
        <w:rPr>
          <w:lang w:val="es-CO"/>
        </w:rPr>
      </w:pPr>
      <w:r>
        <w:rPr>
          <w:rStyle w:val="Refdenotaalpie"/>
        </w:rPr>
        <w:footnoteRef/>
      </w:r>
      <w:r>
        <w:t xml:space="preserve"> </w:t>
      </w:r>
      <w:r>
        <w:rPr>
          <w:lang w:val="es-CO"/>
        </w:rPr>
        <w:t>Ver página 89 del documento soporte CREG 006 de 2014 que acompaña la Resolución CREG 018 de 2014.</w:t>
      </w:r>
    </w:p>
  </w:footnote>
  <w:footnote w:id="4">
    <w:p w14:paraId="13D4B070" w14:textId="77777777" w:rsidR="00E56F5C" w:rsidRPr="00D15870" w:rsidRDefault="00E56F5C" w:rsidP="00E56F5C">
      <w:pPr>
        <w:pStyle w:val="Textonotapie"/>
        <w:rPr>
          <w:lang w:val="es-CO"/>
        </w:rPr>
      </w:pPr>
      <w:r>
        <w:rPr>
          <w:rStyle w:val="Refdenotaalpie"/>
        </w:rPr>
        <w:footnoteRef/>
      </w:r>
      <w:r>
        <w:t xml:space="preserve"> </w:t>
      </w:r>
      <w:r>
        <w:rPr>
          <w:lang w:val="es-CO"/>
        </w:rPr>
        <w:t xml:space="preserve">Ver artículo 14 de la Resolución CREG 126 de 2010. </w:t>
      </w:r>
    </w:p>
  </w:footnote>
  <w:footnote w:id="5">
    <w:p w14:paraId="2BA7B1C9" w14:textId="2563A480" w:rsidR="004D6F72" w:rsidRPr="00592F75" w:rsidRDefault="004D6F72" w:rsidP="00592F75">
      <w:pPr>
        <w:jc w:val="both"/>
        <w:rPr>
          <w:rFonts w:cs="Arial"/>
          <w:bCs/>
          <w:i/>
          <w:iCs/>
          <w:color w:val="000000"/>
        </w:rPr>
      </w:pPr>
      <w:r>
        <w:rPr>
          <w:rStyle w:val="Refdenotaalpie"/>
        </w:rPr>
        <w:footnoteRef/>
      </w:r>
      <w:r>
        <w:t xml:space="preserve"> </w:t>
      </w:r>
      <w:r w:rsidR="00841D12" w:rsidRPr="00592F75">
        <w:rPr>
          <w:rFonts w:ascii="Bookman Old Style" w:hAnsi="Bookman Old Style" w:cs="Arial"/>
          <w:bCs/>
          <w:color w:val="000000"/>
          <w:sz w:val="20"/>
          <w:szCs w:val="20"/>
          <w:lang w:val="es-ES"/>
        </w:rPr>
        <w:t>En comunicación con radicado CREG E2023002669, la empresa Cenit Transporte y Logística de Hidrocarburos S.A. E.S.P. expus</w:t>
      </w:r>
      <w:r w:rsidR="00707E85">
        <w:rPr>
          <w:rFonts w:ascii="Bookman Old Style" w:hAnsi="Bookman Old Style" w:cs="Arial"/>
          <w:bCs/>
          <w:color w:val="000000"/>
          <w:sz w:val="20"/>
          <w:szCs w:val="20"/>
          <w:lang w:val="es-ES"/>
        </w:rPr>
        <w:t>ieron</w:t>
      </w:r>
      <w:r w:rsidR="00841D12" w:rsidRPr="00592F75">
        <w:rPr>
          <w:rFonts w:ascii="Bookman Old Style" w:hAnsi="Bookman Old Style" w:cs="Arial"/>
          <w:bCs/>
          <w:color w:val="000000"/>
          <w:sz w:val="20"/>
          <w:szCs w:val="20"/>
          <w:lang w:val="es-ES"/>
        </w:rPr>
        <w:t xml:space="preserve"> que “(…) </w:t>
      </w:r>
      <w:r w:rsidR="00841D12" w:rsidRPr="00592F75">
        <w:rPr>
          <w:rFonts w:ascii="Bookman Old Style" w:hAnsi="Bookman Old Style" w:cs="Arial"/>
          <w:bCs/>
          <w:i/>
          <w:iCs/>
          <w:color w:val="000000"/>
          <w:sz w:val="20"/>
          <w:szCs w:val="20"/>
          <w:lang w:val="es-ES"/>
        </w:rPr>
        <w:t>A la luz de las consideraciones anteriormente expuestas, solicitamos de manera respetuosa a ustedes la revisión y modificación de las disposiciones aplicables a gasoductos dedicados establecidas en el marco de la Resolución CREG 175, restableciendo la posibilidad de acordar de manera bilateral las condiciones de uso de estos activos, y de manera subsidiaria, en caso de que lo anterior no sea aceptado otorgando un tratamiento equilibrado respecto de la valoración de las inversiones al momento de fijación tarifaria por parte de la CREG. Lo anterior de cara a lo establecido en el Artículo 126 de la Ley 142 de 1994 que permitan encuadrar el reconocimiento de las inversiones y de su rentabilidad en un marco de igualdad frente a los demás activos de transporte.”</w:t>
      </w:r>
    </w:p>
  </w:footnote>
  <w:footnote w:id="6">
    <w:p w14:paraId="15659DDA" w14:textId="77777777" w:rsidR="004554A8" w:rsidRPr="007B2F75" w:rsidRDefault="004554A8" w:rsidP="004554A8">
      <w:pPr>
        <w:pStyle w:val="Textonotapie"/>
        <w:spacing w:before="60" w:after="60" w:line="240" w:lineRule="auto"/>
        <w:rPr>
          <w:lang w:val="es-CO"/>
        </w:rPr>
      </w:pPr>
      <w:r>
        <w:rPr>
          <w:rStyle w:val="Refdenotaalpie"/>
        </w:rPr>
        <w:footnoteRef/>
      </w:r>
      <w:r>
        <w:t xml:space="preserve"> Así, a</w:t>
      </w:r>
      <w:r>
        <w:rPr>
          <w:lang w:val="es-CO"/>
        </w:rPr>
        <w:t>l revisar los Estados Financieros de otras empresas transportadoras, se identifican diferentes estrategias de endeudamiento con terceros en cuanto a estructura de capital y en tipo de moneda de la deuda.</w:t>
      </w:r>
    </w:p>
  </w:footnote>
  <w:footnote w:id="7">
    <w:p w14:paraId="76656E30" w14:textId="77777777" w:rsidR="004554A8" w:rsidRPr="00D06F3A" w:rsidRDefault="004554A8" w:rsidP="004554A8">
      <w:pPr>
        <w:pStyle w:val="Textonotapie"/>
        <w:spacing w:before="120" w:line="240" w:lineRule="auto"/>
      </w:pPr>
      <w:r>
        <w:rPr>
          <w:rStyle w:val="Refdenotaalpie"/>
        </w:rPr>
        <w:footnoteRef/>
      </w:r>
      <w:r>
        <w:t xml:space="preserve"> Resolución CREG 126 de 2010.</w:t>
      </w:r>
    </w:p>
  </w:footnote>
  <w:footnote w:id="8">
    <w:p w14:paraId="2C4117E8" w14:textId="77777777" w:rsidR="004554A8" w:rsidRPr="00B32D3C" w:rsidRDefault="004554A8" w:rsidP="004554A8">
      <w:pPr>
        <w:pStyle w:val="Textonotapie"/>
        <w:spacing w:before="120" w:line="240" w:lineRule="auto"/>
      </w:pPr>
      <w:r>
        <w:rPr>
          <w:rStyle w:val="Refdenotaalpie"/>
        </w:rPr>
        <w:footnoteRef/>
      </w:r>
      <w:r>
        <w:t xml:space="preserve"> En el caso de TGI S.A. E.S.P. el peso de la deuda en sus EEFF es superior al peso de la deuda que se utilizó para la estimación de la tasa de descuento.</w:t>
      </w:r>
    </w:p>
  </w:footnote>
  <w:footnote w:id="9">
    <w:p w14:paraId="31C26B08" w14:textId="4882B4B5" w:rsidR="0096345F" w:rsidRPr="0096345F" w:rsidRDefault="0096345F" w:rsidP="009B55E0">
      <w:pPr>
        <w:pStyle w:val="Textonotapie"/>
        <w:jc w:val="left"/>
      </w:pPr>
      <w:r>
        <w:rPr>
          <w:rStyle w:val="Refdenotaalpie"/>
        </w:rPr>
        <w:footnoteRef/>
      </w:r>
      <w:r>
        <w:t xml:space="preserve"> </w:t>
      </w:r>
      <w:r w:rsidR="007D597E">
        <w:t>Para el caso</w:t>
      </w:r>
      <w:r w:rsidR="00346CEA">
        <w:t xml:space="preserve"> de las empresas Promigas S.A. E.S.P. y </w:t>
      </w:r>
      <w:r w:rsidR="007D597E">
        <w:t xml:space="preserve">TGI S.A. E.S.P. </w:t>
      </w:r>
      <w:r w:rsidR="007E5C87" w:rsidRPr="00154381">
        <w:t>https://www.promigas.com/Paginas/Especiales/ResultadosTrimestralesESP.aspx</w:t>
      </w:r>
      <w:r w:rsidR="007E5C87">
        <w:t xml:space="preserve"> </w:t>
      </w:r>
      <w:r w:rsidR="009B55E0" w:rsidRPr="00154381">
        <w:t>https://www.grupoenergiabogota.com/inversionistas/centro-de-resultados</w:t>
      </w:r>
      <w:r w:rsidR="009B55E0">
        <w:t xml:space="preserve"> </w:t>
      </w:r>
    </w:p>
  </w:footnote>
  <w:footnote w:id="10">
    <w:p w14:paraId="36090FDC" w14:textId="3D37B236" w:rsidR="007748E0" w:rsidRPr="007748E0" w:rsidRDefault="007748E0" w:rsidP="00E6447D">
      <w:pPr>
        <w:pStyle w:val="Textonotapie"/>
        <w:spacing w:line="240" w:lineRule="auto"/>
      </w:pPr>
      <w:r>
        <w:rPr>
          <w:rStyle w:val="Refdenotaalpie"/>
        </w:rPr>
        <w:footnoteRef/>
      </w:r>
      <w:r>
        <w:t xml:space="preserve"> Dentro de estas se pueden consultar las r</w:t>
      </w:r>
      <w:r w:rsidRPr="007748E0">
        <w:t>esoluciones CREG 118 de 2001,052 de 2006, 117 de 2003, 114 de 2003, 070 de 2004, 038 de 2011, 084 de 2012, 025 de 2012, 160 de 2014, 040 de 2015</w:t>
      </w:r>
      <w:r>
        <w:t xml:space="preserve">, </w:t>
      </w:r>
      <w:r w:rsidRPr="007748E0">
        <w:t>041 de 2015</w:t>
      </w:r>
      <w:r>
        <w:t xml:space="preserve"> y 132 de 2018</w:t>
      </w:r>
      <w:r w:rsidR="00E6447D">
        <w:t>.</w:t>
      </w:r>
    </w:p>
  </w:footnote>
  <w:footnote w:id="11">
    <w:p w14:paraId="681CD7D4" w14:textId="5CDF9A80" w:rsidR="00B22D99" w:rsidRPr="00947662" w:rsidRDefault="00B22D99">
      <w:pPr>
        <w:pStyle w:val="Textonotapie"/>
        <w:rPr>
          <w:lang w:val="es-CO"/>
        </w:rPr>
      </w:pPr>
      <w:r>
        <w:rPr>
          <w:rStyle w:val="Refdenotaalpie"/>
        </w:rPr>
        <w:footnoteRef/>
      </w:r>
      <w:r>
        <w:t xml:space="preserve"> </w:t>
      </w:r>
      <w:r>
        <w:rPr>
          <w:lang w:val="es-CO"/>
        </w:rPr>
        <w:t>En relación con esto se puede ver lo consignado en el Documento CREG 100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B531" w14:textId="7C293D0F" w:rsidR="00F157D0" w:rsidRPr="002C0157" w:rsidRDefault="008D4C61" w:rsidP="00181C53">
    <w:pPr>
      <w:jc w:val="center"/>
      <w:rPr>
        <w:rFonts w:ascii="Bookman Old Style" w:hAnsi="Bookman Old Style"/>
      </w:rPr>
    </w:pPr>
    <w:r>
      <w:rPr>
        <w:noProof/>
        <w:lang w:eastAsia="es-CO"/>
      </w:rPr>
      <mc:AlternateContent>
        <mc:Choice Requires="wps">
          <w:drawing>
            <wp:anchor distT="0" distB="0" distL="114300" distR="114300" simplePos="0" relativeHeight="251658240" behindDoc="0" locked="0" layoutInCell="1" allowOverlap="1" wp14:anchorId="3156C2D2" wp14:editId="1524FAA5">
              <wp:simplePos x="0" y="0"/>
              <wp:positionH relativeFrom="column">
                <wp:posOffset>-76563</wp:posOffset>
              </wp:positionH>
              <wp:positionV relativeFrom="paragraph">
                <wp:posOffset>200660</wp:posOffset>
              </wp:positionV>
              <wp:extent cx="5988050" cy="10142855"/>
              <wp:effectExtent l="0" t="0" r="12700" b="1079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101428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78FF" id="Rectángulo 22" o:spid="_x0000_s1026" style="position:absolute;margin-left:-6.05pt;margin-top:15.8pt;width:471.5pt;height:79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" filled="f" strokeweight="1.5pt"/>
          </w:pict>
        </mc:Fallback>
      </mc:AlternateContent>
    </w:r>
    <w:r w:rsidR="00F157D0" w:rsidRPr="00654384">
      <w:t>R</w:t>
    </w:r>
    <w:r w:rsidR="00F157D0" w:rsidRPr="007E7DA9">
      <w:rPr>
        <w:rFonts w:ascii="Bookman Old Style" w:hAnsi="Bookman Old Style"/>
      </w:rPr>
      <w:t>ESOLUCIÓN No.</w:t>
    </w:r>
    <w:r w:rsidR="00DE7350" w:rsidRPr="00094B60">
      <w:rPr>
        <w:rFonts w:ascii="Bookman Old Style" w:hAnsi="Bookman Old Style"/>
        <w:b/>
        <w:bCs/>
        <w:u w:val="single"/>
      </w:rPr>
      <w:t>1</w:t>
    </w:r>
    <w:r w:rsidR="0065261E" w:rsidRPr="00094B60">
      <w:rPr>
        <w:rFonts w:ascii="Bookman Old Style" w:hAnsi="Bookman Old Style"/>
        <w:b/>
        <w:bCs/>
        <w:u w:val="single"/>
      </w:rPr>
      <w:t>02</w:t>
    </w:r>
    <w:r w:rsidR="00E91BDD" w:rsidRPr="00094B60">
      <w:rPr>
        <w:rFonts w:ascii="Bookman Old Style" w:hAnsi="Bookman Old Style"/>
        <w:b/>
        <w:bCs/>
        <w:u w:val="single"/>
      </w:rPr>
      <w:t xml:space="preserve"> </w:t>
    </w:r>
    <w:r w:rsidR="002C3E9A" w:rsidRPr="00094B60">
      <w:rPr>
        <w:rFonts w:ascii="Bookman Old Style" w:hAnsi="Bookman Old Style"/>
        <w:b/>
        <w:bCs/>
        <w:u w:val="single"/>
      </w:rPr>
      <w:t>00</w:t>
    </w:r>
    <w:r w:rsidR="005F32F4">
      <w:rPr>
        <w:rFonts w:ascii="Bookman Old Style" w:hAnsi="Bookman Old Style"/>
        <w:b/>
        <w:bCs/>
        <w:u w:val="single"/>
      </w:rPr>
      <w:t>8</w:t>
    </w:r>
    <w:r w:rsidR="00F157D0" w:rsidRPr="00370AE2">
      <w:rPr>
        <w:rFonts w:ascii="Bookman Old Style" w:hAnsi="Bookman Old Style"/>
      </w:rPr>
      <w:t xml:space="preserve"> DE </w:t>
    </w:r>
    <w:r w:rsidR="007C7D5B" w:rsidRPr="00094B60">
      <w:rPr>
        <w:rFonts w:ascii="Bookman Old Style" w:hAnsi="Bookman Old Style"/>
        <w:b/>
        <w:bCs/>
        <w:u w:val="single"/>
      </w:rPr>
      <w:t>2</w:t>
    </w:r>
    <w:r w:rsidR="00BE5729" w:rsidRPr="00094B60">
      <w:rPr>
        <w:rFonts w:ascii="Bookman Old Style" w:hAnsi="Bookman Old Style"/>
        <w:b/>
        <w:bCs/>
        <w:u w:val="single"/>
      </w:rPr>
      <w:t>4</w:t>
    </w:r>
    <w:r w:rsidR="007C7D5B" w:rsidRPr="00094B60">
      <w:rPr>
        <w:rFonts w:ascii="Bookman Old Style" w:hAnsi="Bookman Old Style"/>
        <w:b/>
        <w:bCs/>
        <w:u w:val="single"/>
      </w:rPr>
      <w:t xml:space="preserve"> </w:t>
    </w:r>
    <w:r w:rsidR="00DE7350" w:rsidRPr="00094B60">
      <w:rPr>
        <w:rFonts w:ascii="Bookman Old Style" w:hAnsi="Bookman Old Style"/>
        <w:b/>
        <w:bCs/>
        <w:u w:val="single"/>
      </w:rPr>
      <w:t>JU</w:t>
    </w:r>
    <w:r w:rsidR="009D5280" w:rsidRPr="00094B60">
      <w:rPr>
        <w:rFonts w:ascii="Bookman Old Style" w:hAnsi="Bookman Old Style"/>
        <w:b/>
        <w:bCs/>
        <w:u w:val="single"/>
      </w:rPr>
      <w:t>N</w:t>
    </w:r>
    <w:r w:rsidR="0065261E" w:rsidRPr="00094B60">
      <w:rPr>
        <w:rFonts w:ascii="Bookman Old Style" w:hAnsi="Bookman Old Style"/>
        <w:b/>
        <w:bCs/>
        <w:u w:val="single"/>
      </w:rPr>
      <w:t>.</w:t>
    </w:r>
    <w:r w:rsidR="00F157D0" w:rsidRPr="00094B60">
      <w:rPr>
        <w:rFonts w:ascii="Bookman Old Style" w:hAnsi="Bookman Old Style"/>
        <w:b/>
        <w:bCs/>
        <w:u w:val="single"/>
      </w:rPr>
      <w:t xml:space="preserve"> 202</w:t>
    </w:r>
    <w:r w:rsidR="00497BF6" w:rsidRPr="00094B60">
      <w:rPr>
        <w:rFonts w:ascii="Bookman Old Style" w:hAnsi="Bookman Old Style"/>
        <w:b/>
        <w:bCs/>
        <w:u w:val="single"/>
      </w:rPr>
      <w:t>4</w:t>
    </w:r>
    <w:r w:rsidR="00F157D0" w:rsidRPr="002C0157">
      <w:rPr>
        <w:rFonts w:ascii="Bookman Old Style" w:hAnsi="Bookman Old Style"/>
      </w:rPr>
      <w:t xml:space="preserve"> </w:t>
    </w:r>
    <w:r w:rsidR="00F157D0" w:rsidRPr="002C0157">
      <w:rPr>
        <w:rFonts w:ascii="Bookman Old Style" w:hAnsi="Bookman Old Style"/>
      </w:rPr>
      <w:tab/>
      <w:t xml:space="preserve">HOJA No. </w:t>
    </w:r>
    <w:r w:rsidR="00F157D0" w:rsidRPr="00C4372D">
      <w:rPr>
        <w:rFonts w:ascii="Bookman Old Style" w:hAnsi="Bookman Old Style"/>
      </w:rPr>
      <w:fldChar w:fldCharType="begin"/>
    </w:r>
    <w:r w:rsidR="00F157D0" w:rsidRPr="002C0157">
      <w:rPr>
        <w:rFonts w:ascii="Bookman Old Style" w:hAnsi="Bookman Old Style"/>
      </w:rPr>
      <w:instrText xml:space="preserve"> PAGE   \* MERGEFORMAT </w:instrText>
    </w:r>
    <w:r w:rsidR="00F157D0" w:rsidRPr="00C4372D">
      <w:rPr>
        <w:rFonts w:ascii="Bookman Old Style" w:hAnsi="Bookman Old Style"/>
      </w:rPr>
      <w:fldChar w:fldCharType="separate"/>
    </w:r>
    <w:r w:rsidR="00F157D0" w:rsidRPr="002C0157">
      <w:rPr>
        <w:rFonts w:ascii="Bookman Old Style" w:hAnsi="Bookman Old Style"/>
        <w:noProof/>
      </w:rPr>
      <w:t>147</w:t>
    </w:r>
    <w:r w:rsidR="00F157D0" w:rsidRPr="00C4372D">
      <w:rPr>
        <w:rFonts w:ascii="Bookman Old Style" w:hAnsi="Bookman Old Style"/>
      </w:rPr>
      <w:fldChar w:fldCharType="end"/>
    </w:r>
    <w:r w:rsidR="00F157D0" w:rsidRPr="002C0157">
      <w:rPr>
        <w:rFonts w:ascii="Bookman Old Style" w:hAnsi="Bookman Old Style"/>
      </w:rPr>
      <w:t>/</w:t>
    </w:r>
    <w:r w:rsidR="00896E8E" w:rsidRPr="00C4372D">
      <w:rPr>
        <w:rFonts w:ascii="Bookman Old Style" w:hAnsi="Bookman Old Style"/>
      </w:rPr>
      <w:fldChar w:fldCharType="begin"/>
    </w:r>
    <w:r w:rsidR="00896E8E" w:rsidRPr="002C0157">
      <w:rPr>
        <w:rFonts w:ascii="Bookman Old Style" w:hAnsi="Bookman Old Style"/>
      </w:rPr>
      <w:instrText>NUMPAGES  \* MERGEFORMAT</w:instrText>
    </w:r>
    <w:r w:rsidR="00896E8E" w:rsidRPr="00C4372D">
      <w:rPr>
        <w:rFonts w:ascii="Bookman Old Style" w:hAnsi="Bookman Old Style"/>
      </w:rPr>
      <w:fldChar w:fldCharType="separate"/>
    </w:r>
    <w:r w:rsidR="00F157D0" w:rsidRPr="002C0157">
      <w:rPr>
        <w:rFonts w:ascii="Bookman Old Style" w:hAnsi="Bookman Old Style"/>
        <w:noProof/>
      </w:rPr>
      <w:t>149</w:t>
    </w:r>
    <w:r w:rsidR="00896E8E" w:rsidRPr="00C4372D">
      <w:rPr>
        <w:rFonts w:ascii="Bookman Old Style" w:hAnsi="Bookman Old Style"/>
        <w:noProof/>
      </w:rPr>
      <w:fldChar w:fldCharType="end"/>
    </w:r>
  </w:p>
  <w:p w14:paraId="65437270" w14:textId="5A96DC5F" w:rsidR="00EF1FC1" w:rsidRPr="002F197F" w:rsidRDefault="00C4529E" w:rsidP="008C2529">
    <w:pPr>
      <w:pBdr>
        <w:bottom w:val="single" w:sz="4" w:space="8" w:color="auto"/>
      </w:pBdr>
      <w:spacing w:before="120" w:after="120"/>
      <w:jc w:val="both"/>
      <w:rPr>
        <w:rFonts w:ascii="Bookman Old Style" w:hAnsi="Bookman Old Style" w:cs="Arial"/>
        <w:i/>
        <w:iCs/>
        <w:color w:val="000000"/>
        <w:sz w:val="22"/>
        <w:szCs w:val="22"/>
      </w:rPr>
    </w:pPr>
    <w:r w:rsidRPr="00C4529E">
      <w:rPr>
        <w:rFonts w:ascii="Bookman Old Style" w:hAnsi="Bookman Old Style" w:cs="Arial"/>
        <w:i/>
        <w:iCs/>
        <w:color w:val="000000"/>
        <w:sz w:val="22"/>
        <w:szCs w:val="22"/>
      </w:rPr>
      <w:t xml:space="preserve">Por la cual se modifica la Resolución CREG 175 de 2021 </w:t>
    </w:r>
    <w:r w:rsidR="00D74726" w:rsidRPr="00D15870">
      <w:rPr>
        <w:rFonts w:ascii="Bookman Old Style" w:hAnsi="Bookman Old Style" w:cs="Arial"/>
        <w:i/>
        <w:iCs/>
        <w:color w:val="000000"/>
        <w:sz w:val="22"/>
        <w:szCs w:val="22"/>
      </w:rPr>
      <w:t>en virtud de las solicitudes particulares en interés general recibidas por la Comisión con base en lo establecido en el artículo 126 de la Ley 142 de 1994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42AB0" w14:textId="6A9932ED" w:rsidR="00F157D0" w:rsidRDefault="00F157D0" w:rsidP="00C17305">
    <w:pPr>
      <w:pStyle w:val="Encabezado"/>
    </w:pPr>
  </w:p>
  <w:p w14:paraId="4C517E6B" w14:textId="7110BEE1" w:rsidR="00F157D0" w:rsidRDefault="00F157D0" w:rsidP="002F6B8C">
    <w:pPr>
      <w:ind w:left="142" w:right="148"/>
      <w:rPr>
        <w:rFonts w:cs="Arial"/>
      </w:rPr>
    </w:pPr>
    <w:r>
      <w:rPr>
        <w:noProof/>
        <w:lang w:eastAsia="es-CO"/>
      </w:rPr>
      <mc:AlternateContent>
        <mc:Choice Requires="wps">
          <w:drawing>
            <wp:anchor distT="0" distB="0" distL="114300" distR="114300" simplePos="0" relativeHeight="251658241" behindDoc="0" locked="0" layoutInCell="1" allowOverlap="1" wp14:anchorId="4041C12E" wp14:editId="47ECB0EB">
              <wp:simplePos x="0" y="0"/>
              <wp:positionH relativeFrom="column">
                <wp:posOffset>-102870</wp:posOffset>
              </wp:positionH>
              <wp:positionV relativeFrom="paragraph">
                <wp:posOffset>141605</wp:posOffset>
              </wp:positionV>
              <wp:extent cx="6014357" cy="9922328"/>
              <wp:effectExtent l="0" t="0" r="24765" b="2222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357" cy="992232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93BFB" id="Rectángulo 25" o:spid="_x0000_s1026" style="position:absolute;margin-left:-8.1pt;margin-top:11.15pt;width:473.55pt;height:78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" filled="f" strokeweight="1.5pt"/>
          </w:pict>
        </mc:Fallback>
      </mc:AlternateContent>
    </w:r>
  </w:p>
  <w:p w14:paraId="56ACDA5B" w14:textId="77777777" w:rsidR="00F157D0" w:rsidRDefault="00F157D0" w:rsidP="00C17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904F62"/>
    <w:multiLevelType w:val="hybridMultilevel"/>
    <w:tmpl w:val="9924A46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02482C8E"/>
    <w:multiLevelType w:val="multilevel"/>
    <w:tmpl w:val="69043CCE"/>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hint="default"/>
        <w:b w:val="0"/>
        <w:sz w:val="24"/>
        <w:szCs w:val="24"/>
      </w:rPr>
    </w:lvl>
  </w:abstractNum>
  <w:abstractNum w:abstractNumId="4" w15:restartNumberingAfterBreak="0">
    <w:nsid w:val="03061BFF"/>
    <w:multiLevelType w:val="multilevel"/>
    <w:tmpl w:val="D16E102A"/>
    <w:lvl w:ilvl="0">
      <w:start w:val="1"/>
      <w:numFmt w:val="decimal"/>
      <w:lvlText w:val="Artículo %1."/>
      <w:lvlJc w:val="left"/>
      <w:pPr>
        <w:tabs>
          <w:tab w:val="num" w:pos="1440"/>
        </w:tabs>
        <w:ind w:left="0" w:firstLine="0"/>
      </w:pPr>
      <w:rPr>
        <w:rFonts w:hint="default"/>
        <w:b/>
        <w:i w:val="0"/>
      </w:rPr>
    </w:lvl>
    <w:lvl w:ilvl="1">
      <w:start w:val="1"/>
      <w:numFmt w:val="lowerLetter"/>
      <w:lvlText w:val="%2)"/>
      <w:lvlJc w:val="left"/>
      <w:pPr>
        <w:ind w:left="-2231" w:hanging="375"/>
      </w:pPr>
      <w:rPr>
        <w:rFonts w:hint="default"/>
      </w:rPr>
    </w:lvl>
    <w:lvl w:ilvl="2" w:tentative="1">
      <w:start w:val="1"/>
      <w:numFmt w:val="lowerRoman"/>
      <w:lvlText w:val="%3."/>
      <w:lvlJc w:val="right"/>
      <w:pPr>
        <w:tabs>
          <w:tab w:val="num" w:pos="-1526"/>
        </w:tabs>
        <w:ind w:left="-1526" w:hanging="180"/>
      </w:pPr>
    </w:lvl>
    <w:lvl w:ilvl="3">
      <w:start w:val="1"/>
      <w:numFmt w:val="decimal"/>
      <w:lvlText w:val="%4."/>
      <w:lvlJc w:val="left"/>
      <w:pPr>
        <w:tabs>
          <w:tab w:val="num" w:pos="-806"/>
        </w:tabs>
        <w:ind w:left="-806" w:hanging="360"/>
      </w:pPr>
    </w:lvl>
    <w:lvl w:ilvl="4" w:tentative="1">
      <w:start w:val="1"/>
      <w:numFmt w:val="lowerLetter"/>
      <w:lvlText w:val="%5."/>
      <w:lvlJc w:val="left"/>
      <w:pPr>
        <w:tabs>
          <w:tab w:val="num" w:pos="-86"/>
        </w:tabs>
        <w:ind w:left="-86" w:hanging="360"/>
      </w:pPr>
    </w:lvl>
    <w:lvl w:ilvl="5" w:tentative="1">
      <w:start w:val="1"/>
      <w:numFmt w:val="lowerRoman"/>
      <w:lvlText w:val="%6."/>
      <w:lvlJc w:val="right"/>
      <w:pPr>
        <w:tabs>
          <w:tab w:val="num" w:pos="634"/>
        </w:tabs>
        <w:ind w:left="634" w:hanging="180"/>
      </w:pPr>
    </w:lvl>
    <w:lvl w:ilvl="6" w:tentative="1">
      <w:start w:val="1"/>
      <w:numFmt w:val="decimal"/>
      <w:lvlText w:val="%7."/>
      <w:lvlJc w:val="left"/>
      <w:pPr>
        <w:tabs>
          <w:tab w:val="num" w:pos="1354"/>
        </w:tabs>
        <w:ind w:left="1354" w:hanging="360"/>
      </w:pPr>
    </w:lvl>
    <w:lvl w:ilvl="7" w:tentative="1">
      <w:start w:val="1"/>
      <w:numFmt w:val="lowerLetter"/>
      <w:lvlText w:val="%8."/>
      <w:lvlJc w:val="left"/>
      <w:pPr>
        <w:tabs>
          <w:tab w:val="num" w:pos="2074"/>
        </w:tabs>
        <w:ind w:left="2074" w:hanging="360"/>
      </w:pPr>
    </w:lvl>
    <w:lvl w:ilvl="8" w:tentative="1">
      <w:start w:val="1"/>
      <w:numFmt w:val="lowerRoman"/>
      <w:lvlText w:val="%9."/>
      <w:lvlJc w:val="right"/>
      <w:pPr>
        <w:tabs>
          <w:tab w:val="num" w:pos="2794"/>
        </w:tabs>
        <w:ind w:left="2794" w:hanging="180"/>
      </w:pPr>
    </w:lvl>
  </w:abstractNum>
  <w:abstractNum w:abstractNumId="5"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7"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EF0F5D"/>
    <w:multiLevelType w:val="hybridMultilevel"/>
    <w:tmpl w:val="D136B108"/>
    <w:lvl w:ilvl="0" w:tplc="B9102F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BA27098"/>
    <w:multiLevelType w:val="hybridMultilevel"/>
    <w:tmpl w:val="99E457B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CA9647A"/>
    <w:multiLevelType w:val="hybridMultilevel"/>
    <w:tmpl w:val="7D8249C6"/>
    <w:lvl w:ilvl="0" w:tplc="080A0017">
      <w:start w:val="1"/>
      <w:numFmt w:val="lowerLetter"/>
      <w:lvlText w:val="%1)"/>
      <w:lvlJc w:val="left"/>
      <w:pPr>
        <w:ind w:left="6485" w:hanging="360"/>
      </w:pPr>
    </w:lvl>
    <w:lvl w:ilvl="1" w:tplc="9E90968C">
      <w:start w:val="1"/>
      <w:numFmt w:val="lowerRoman"/>
      <w:lvlText w:val="%2."/>
      <w:lvlJc w:val="left"/>
      <w:pPr>
        <w:ind w:left="7565" w:hanging="720"/>
      </w:pPr>
      <w:rPr>
        <w:rFonts w:hint="default"/>
      </w:rPr>
    </w:lvl>
    <w:lvl w:ilvl="2" w:tplc="080A001B" w:tentative="1">
      <w:start w:val="1"/>
      <w:numFmt w:val="lowerRoman"/>
      <w:lvlText w:val="%3."/>
      <w:lvlJc w:val="right"/>
      <w:pPr>
        <w:ind w:left="7925" w:hanging="180"/>
      </w:pPr>
    </w:lvl>
    <w:lvl w:ilvl="3" w:tplc="080A000F" w:tentative="1">
      <w:start w:val="1"/>
      <w:numFmt w:val="decimal"/>
      <w:lvlText w:val="%4."/>
      <w:lvlJc w:val="left"/>
      <w:pPr>
        <w:ind w:left="8645" w:hanging="360"/>
      </w:pPr>
    </w:lvl>
    <w:lvl w:ilvl="4" w:tplc="080A0019" w:tentative="1">
      <w:start w:val="1"/>
      <w:numFmt w:val="lowerLetter"/>
      <w:lvlText w:val="%5."/>
      <w:lvlJc w:val="left"/>
      <w:pPr>
        <w:ind w:left="9365" w:hanging="360"/>
      </w:pPr>
    </w:lvl>
    <w:lvl w:ilvl="5" w:tplc="080A001B" w:tentative="1">
      <w:start w:val="1"/>
      <w:numFmt w:val="lowerRoman"/>
      <w:lvlText w:val="%6."/>
      <w:lvlJc w:val="right"/>
      <w:pPr>
        <w:ind w:left="10085" w:hanging="180"/>
      </w:pPr>
    </w:lvl>
    <w:lvl w:ilvl="6" w:tplc="080A000F" w:tentative="1">
      <w:start w:val="1"/>
      <w:numFmt w:val="decimal"/>
      <w:lvlText w:val="%7."/>
      <w:lvlJc w:val="left"/>
      <w:pPr>
        <w:ind w:left="10805" w:hanging="360"/>
      </w:pPr>
    </w:lvl>
    <w:lvl w:ilvl="7" w:tplc="080A0019" w:tentative="1">
      <w:start w:val="1"/>
      <w:numFmt w:val="lowerLetter"/>
      <w:lvlText w:val="%8."/>
      <w:lvlJc w:val="left"/>
      <w:pPr>
        <w:ind w:left="11525" w:hanging="360"/>
      </w:pPr>
    </w:lvl>
    <w:lvl w:ilvl="8" w:tplc="080A001B" w:tentative="1">
      <w:start w:val="1"/>
      <w:numFmt w:val="lowerRoman"/>
      <w:lvlText w:val="%9."/>
      <w:lvlJc w:val="right"/>
      <w:pPr>
        <w:ind w:left="12245" w:hanging="180"/>
      </w:pPr>
    </w:lvl>
  </w:abstractNum>
  <w:abstractNum w:abstractNumId="11"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12"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5"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6" w15:restartNumberingAfterBreak="0">
    <w:nsid w:val="196608AB"/>
    <w:multiLevelType w:val="hybridMultilevel"/>
    <w:tmpl w:val="30BAA2EE"/>
    <w:styleLink w:val="Listaactual1"/>
    <w:lvl w:ilvl="0" w:tplc="7A56DACA">
      <w:start w:val="1"/>
      <w:numFmt w:val="decimal"/>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7" w15:restartNumberingAfterBreak="0">
    <w:nsid w:val="1A5F5621"/>
    <w:multiLevelType w:val="hybridMultilevel"/>
    <w:tmpl w:val="9E1E8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B222881"/>
    <w:multiLevelType w:val="hybridMultilevel"/>
    <w:tmpl w:val="216ECCE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20" w15:restartNumberingAfterBreak="0">
    <w:nsid w:val="20BD182C"/>
    <w:multiLevelType w:val="hybridMultilevel"/>
    <w:tmpl w:val="EA4017B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5155CA2"/>
    <w:multiLevelType w:val="multilevel"/>
    <w:tmpl w:val="2534822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2"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23"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D81E94"/>
    <w:multiLevelType w:val="hybridMultilevel"/>
    <w:tmpl w:val="18805C24"/>
    <w:lvl w:ilvl="0" w:tplc="8C24DF68">
      <w:start w:val="1"/>
      <w:numFmt w:val="lowerRoman"/>
      <w:lvlText w:val="%1)"/>
      <w:lvlJc w:val="left"/>
      <w:pPr>
        <w:ind w:left="800" w:hanging="720"/>
      </w:pPr>
      <w:rPr>
        <w:rFonts w:hint="default"/>
      </w:rPr>
    </w:lvl>
    <w:lvl w:ilvl="1" w:tplc="240A0019" w:tentative="1">
      <w:start w:val="1"/>
      <w:numFmt w:val="lowerLetter"/>
      <w:lvlText w:val="%2."/>
      <w:lvlJc w:val="left"/>
      <w:pPr>
        <w:ind w:left="1160" w:hanging="360"/>
      </w:pPr>
    </w:lvl>
    <w:lvl w:ilvl="2" w:tplc="240A001B" w:tentative="1">
      <w:start w:val="1"/>
      <w:numFmt w:val="lowerRoman"/>
      <w:lvlText w:val="%3."/>
      <w:lvlJc w:val="right"/>
      <w:pPr>
        <w:ind w:left="1880" w:hanging="180"/>
      </w:pPr>
    </w:lvl>
    <w:lvl w:ilvl="3" w:tplc="240A000F" w:tentative="1">
      <w:start w:val="1"/>
      <w:numFmt w:val="decimal"/>
      <w:lvlText w:val="%4."/>
      <w:lvlJc w:val="left"/>
      <w:pPr>
        <w:ind w:left="2600" w:hanging="360"/>
      </w:pPr>
    </w:lvl>
    <w:lvl w:ilvl="4" w:tplc="240A0019" w:tentative="1">
      <w:start w:val="1"/>
      <w:numFmt w:val="lowerLetter"/>
      <w:lvlText w:val="%5."/>
      <w:lvlJc w:val="left"/>
      <w:pPr>
        <w:ind w:left="3320" w:hanging="360"/>
      </w:pPr>
    </w:lvl>
    <w:lvl w:ilvl="5" w:tplc="240A001B" w:tentative="1">
      <w:start w:val="1"/>
      <w:numFmt w:val="lowerRoman"/>
      <w:lvlText w:val="%6."/>
      <w:lvlJc w:val="right"/>
      <w:pPr>
        <w:ind w:left="4040" w:hanging="180"/>
      </w:pPr>
    </w:lvl>
    <w:lvl w:ilvl="6" w:tplc="240A000F" w:tentative="1">
      <w:start w:val="1"/>
      <w:numFmt w:val="decimal"/>
      <w:lvlText w:val="%7."/>
      <w:lvlJc w:val="left"/>
      <w:pPr>
        <w:ind w:left="4760" w:hanging="360"/>
      </w:pPr>
    </w:lvl>
    <w:lvl w:ilvl="7" w:tplc="240A0019" w:tentative="1">
      <w:start w:val="1"/>
      <w:numFmt w:val="lowerLetter"/>
      <w:lvlText w:val="%8."/>
      <w:lvlJc w:val="left"/>
      <w:pPr>
        <w:ind w:left="5480" w:hanging="360"/>
      </w:pPr>
    </w:lvl>
    <w:lvl w:ilvl="8" w:tplc="240A001B" w:tentative="1">
      <w:start w:val="1"/>
      <w:numFmt w:val="lowerRoman"/>
      <w:lvlText w:val="%9."/>
      <w:lvlJc w:val="right"/>
      <w:pPr>
        <w:ind w:left="6200" w:hanging="180"/>
      </w:pPr>
    </w:lvl>
  </w:abstractNum>
  <w:abstractNum w:abstractNumId="27" w15:restartNumberingAfterBreak="0">
    <w:nsid w:val="33946BA0"/>
    <w:multiLevelType w:val="hybridMultilevel"/>
    <w:tmpl w:val="8A86B5BE"/>
    <w:lvl w:ilvl="0" w:tplc="240A0001">
      <w:start w:val="1"/>
      <w:numFmt w:val="bullet"/>
      <w:lvlText w:val=""/>
      <w:lvlJc w:val="left"/>
      <w:pPr>
        <w:ind w:left="1152" w:hanging="360"/>
      </w:pPr>
      <w:rPr>
        <w:rFonts w:ascii="Symbol" w:hAnsi="Symbol" w:hint="default"/>
      </w:rPr>
    </w:lvl>
    <w:lvl w:ilvl="1" w:tplc="240A0003" w:tentative="1">
      <w:start w:val="1"/>
      <w:numFmt w:val="bullet"/>
      <w:lvlText w:val="o"/>
      <w:lvlJc w:val="left"/>
      <w:pPr>
        <w:ind w:left="1872" w:hanging="360"/>
      </w:pPr>
      <w:rPr>
        <w:rFonts w:ascii="Courier New" w:hAnsi="Courier New" w:cs="Courier New" w:hint="default"/>
      </w:rPr>
    </w:lvl>
    <w:lvl w:ilvl="2" w:tplc="240A0005" w:tentative="1">
      <w:start w:val="1"/>
      <w:numFmt w:val="bullet"/>
      <w:lvlText w:val=""/>
      <w:lvlJc w:val="left"/>
      <w:pPr>
        <w:ind w:left="2592" w:hanging="360"/>
      </w:pPr>
      <w:rPr>
        <w:rFonts w:ascii="Wingdings" w:hAnsi="Wingdings" w:hint="default"/>
      </w:rPr>
    </w:lvl>
    <w:lvl w:ilvl="3" w:tplc="240A0001" w:tentative="1">
      <w:start w:val="1"/>
      <w:numFmt w:val="bullet"/>
      <w:lvlText w:val=""/>
      <w:lvlJc w:val="left"/>
      <w:pPr>
        <w:ind w:left="3312" w:hanging="360"/>
      </w:pPr>
      <w:rPr>
        <w:rFonts w:ascii="Symbol" w:hAnsi="Symbol" w:hint="default"/>
      </w:rPr>
    </w:lvl>
    <w:lvl w:ilvl="4" w:tplc="240A0003" w:tentative="1">
      <w:start w:val="1"/>
      <w:numFmt w:val="bullet"/>
      <w:lvlText w:val="o"/>
      <w:lvlJc w:val="left"/>
      <w:pPr>
        <w:ind w:left="4032" w:hanging="360"/>
      </w:pPr>
      <w:rPr>
        <w:rFonts w:ascii="Courier New" w:hAnsi="Courier New" w:cs="Courier New" w:hint="default"/>
      </w:rPr>
    </w:lvl>
    <w:lvl w:ilvl="5" w:tplc="240A0005" w:tentative="1">
      <w:start w:val="1"/>
      <w:numFmt w:val="bullet"/>
      <w:lvlText w:val=""/>
      <w:lvlJc w:val="left"/>
      <w:pPr>
        <w:ind w:left="4752" w:hanging="360"/>
      </w:pPr>
      <w:rPr>
        <w:rFonts w:ascii="Wingdings" w:hAnsi="Wingdings" w:hint="default"/>
      </w:rPr>
    </w:lvl>
    <w:lvl w:ilvl="6" w:tplc="240A0001" w:tentative="1">
      <w:start w:val="1"/>
      <w:numFmt w:val="bullet"/>
      <w:lvlText w:val=""/>
      <w:lvlJc w:val="left"/>
      <w:pPr>
        <w:ind w:left="5472" w:hanging="360"/>
      </w:pPr>
      <w:rPr>
        <w:rFonts w:ascii="Symbol" w:hAnsi="Symbol" w:hint="default"/>
      </w:rPr>
    </w:lvl>
    <w:lvl w:ilvl="7" w:tplc="240A0003" w:tentative="1">
      <w:start w:val="1"/>
      <w:numFmt w:val="bullet"/>
      <w:lvlText w:val="o"/>
      <w:lvlJc w:val="left"/>
      <w:pPr>
        <w:ind w:left="6192" w:hanging="360"/>
      </w:pPr>
      <w:rPr>
        <w:rFonts w:ascii="Courier New" w:hAnsi="Courier New" w:cs="Courier New" w:hint="default"/>
      </w:rPr>
    </w:lvl>
    <w:lvl w:ilvl="8" w:tplc="240A0005" w:tentative="1">
      <w:start w:val="1"/>
      <w:numFmt w:val="bullet"/>
      <w:lvlText w:val=""/>
      <w:lvlJc w:val="left"/>
      <w:pPr>
        <w:ind w:left="6912" w:hanging="360"/>
      </w:pPr>
      <w:rPr>
        <w:rFonts w:ascii="Wingdings" w:hAnsi="Wingdings" w:hint="default"/>
      </w:rPr>
    </w:lvl>
  </w:abstractNum>
  <w:abstractNum w:abstractNumId="28" w15:restartNumberingAfterBreak="0">
    <w:nsid w:val="348F13D4"/>
    <w:multiLevelType w:val="multilevel"/>
    <w:tmpl w:val="E39C708C"/>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9" w15:restartNumberingAfterBreak="0">
    <w:nsid w:val="368078F8"/>
    <w:multiLevelType w:val="hybridMultilevel"/>
    <w:tmpl w:val="0B424570"/>
    <w:lvl w:ilvl="0" w:tplc="5E6CE2FA">
      <w:start w:val="1"/>
      <w:numFmt w:val="bullet"/>
      <w:lvlText w:val="•"/>
      <w:lvlJc w:val="left"/>
      <w:pPr>
        <w:tabs>
          <w:tab w:val="num" w:pos="720"/>
        </w:tabs>
        <w:ind w:left="720" w:hanging="360"/>
      </w:pPr>
      <w:rPr>
        <w:rFonts w:ascii="Arial" w:hAnsi="Arial" w:hint="default"/>
      </w:rPr>
    </w:lvl>
    <w:lvl w:ilvl="1" w:tplc="43767CDA" w:tentative="1">
      <w:start w:val="1"/>
      <w:numFmt w:val="bullet"/>
      <w:lvlText w:val="•"/>
      <w:lvlJc w:val="left"/>
      <w:pPr>
        <w:tabs>
          <w:tab w:val="num" w:pos="1440"/>
        </w:tabs>
        <w:ind w:left="1440" w:hanging="360"/>
      </w:pPr>
      <w:rPr>
        <w:rFonts w:ascii="Arial" w:hAnsi="Arial" w:hint="default"/>
      </w:rPr>
    </w:lvl>
    <w:lvl w:ilvl="2" w:tplc="352C3D7C">
      <w:start w:val="1"/>
      <w:numFmt w:val="bullet"/>
      <w:lvlText w:val="•"/>
      <w:lvlJc w:val="left"/>
      <w:pPr>
        <w:tabs>
          <w:tab w:val="num" w:pos="2160"/>
        </w:tabs>
        <w:ind w:left="2160" w:hanging="360"/>
      </w:pPr>
      <w:rPr>
        <w:rFonts w:ascii="Arial" w:hAnsi="Arial" w:hint="default"/>
      </w:rPr>
    </w:lvl>
    <w:lvl w:ilvl="3" w:tplc="43B61740" w:tentative="1">
      <w:start w:val="1"/>
      <w:numFmt w:val="bullet"/>
      <w:lvlText w:val="•"/>
      <w:lvlJc w:val="left"/>
      <w:pPr>
        <w:tabs>
          <w:tab w:val="num" w:pos="2880"/>
        </w:tabs>
        <w:ind w:left="2880" w:hanging="360"/>
      </w:pPr>
      <w:rPr>
        <w:rFonts w:ascii="Arial" w:hAnsi="Arial" w:hint="default"/>
      </w:rPr>
    </w:lvl>
    <w:lvl w:ilvl="4" w:tplc="6F044D34" w:tentative="1">
      <w:start w:val="1"/>
      <w:numFmt w:val="bullet"/>
      <w:lvlText w:val="•"/>
      <w:lvlJc w:val="left"/>
      <w:pPr>
        <w:tabs>
          <w:tab w:val="num" w:pos="3600"/>
        </w:tabs>
        <w:ind w:left="3600" w:hanging="360"/>
      </w:pPr>
      <w:rPr>
        <w:rFonts w:ascii="Arial" w:hAnsi="Arial" w:hint="default"/>
      </w:rPr>
    </w:lvl>
    <w:lvl w:ilvl="5" w:tplc="5246B0CE" w:tentative="1">
      <w:start w:val="1"/>
      <w:numFmt w:val="bullet"/>
      <w:lvlText w:val="•"/>
      <w:lvlJc w:val="left"/>
      <w:pPr>
        <w:tabs>
          <w:tab w:val="num" w:pos="4320"/>
        </w:tabs>
        <w:ind w:left="4320" w:hanging="360"/>
      </w:pPr>
      <w:rPr>
        <w:rFonts w:ascii="Arial" w:hAnsi="Arial" w:hint="default"/>
      </w:rPr>
    </w:lvl>
    <w:lvl w:ilvl="6" w:tplc="7EB44EF8" w:tentative="1">
      <w:start w:val="1"/>
      <w:numFmt w:val="bullet"/>
      <w:lvlText w:val="•"/>
      <w:lvlJc w:val="left"/>
      <w:pPr>
        <w:tabs>
          <w:tab w:val="num" w:pos="5040"/>
        </w:tabs>
        <w:ind w:left="5040" w:hanging="360"/>
      </w:pPr>
      <w:rPr>
        <w:rFonts w:ascii="Arial" w:hAnsi="Arial" w:hint="default"/>
      </w:rPr>
    </w:lvl>
    <w:lvl w:ilvl="7" w:tplc="F852E882" w:tentative="1">
      <w:start w:val="1"/>
      <w:numFmt w:val="bullet"/>
      <w:lvlText w:val="•"/>
      <w:lvlJc w:val="left"/>
      <w:pPr>
        <w:tabs>
          <w:tab w:val="num" w:pos="5760"/>
        </w:tabs>
        <w:ind w:left="5760" w:hanging="360"/>
      </w:pPr>
      <w:rPr>
        <w:rFonts w:ascii="Arial" w:hAnsi="Arial" w:hint="default"/>
      </w:rPr>
    </w:lvl>
    <w:lvl w:ilvl="8" w:tplc="60E2532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31" w15:restartNumberingAfterBreak="0">
    <w:nsid w:val="3850265A"/>
    <w:multiLevelType w:val="hybridMultilevel"/>
    <w:tmpl w:val="00F4FD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EA57DFE"/>
    <w:multiLevelType w:val="multilevel"/>
    <w:tmpl w:val="E39C708C"/>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33" w15:restartNumberingAfterBreak="0">
    <w:nsid w:val="3F4216FB"/>
    <w:multiLevelType w:val="hybridMultilevel"/>
    <w:tmpl w:val="BCA6BA52"/>
    <w:lvl w:ilvl="0" w:tplc="0A68A072">
      <w:start w:val="1"/>
      <w:numFmt w:val="lowerRoman"/>
      <w:lvlText w:val="%1)"/>
      <w:lvlJc w:val="left"/>
      <w:pPr>
        <w:ind w:left="1520" w:hanging="720"/>
      </w:pPr>
      <w:rPr>
        <w:rFonts w:hint="default"/>
      </w:rPr>
    </w:lvl>
    <w:lvl w:ilvl="1" w:tplc="240A0019" w:tentative="1">
      <w:start w:val="1"/>
      <w:numFmt w:val="lowerLetter"/>
      <w:lvlText w:val="%2."/>
      <w:lvlJc w:val="left"/>
      <w:pPr>
        <w:ind w:left="1880" w:hanging="360"/>
      </w:pPr>
    </w:lvl>
    <w:lvl w:ilvl="2" w:tplc="240A001B" w:tentative="1">
      <w:start w:val="1"/>
      <w:numFmt w:val="lowerRoman"/>
      <w:lvlText w:val="%3."/>
      <w:lvlJc w:val="right"/>
      <w:pPr>
        <w:ind w:left="2600" w:hanging="180"/>
      </w:pPr>
    </w:lvl>
    <w:lvl w:ilvl="3" w:tplc="240A000F" w:tentative="1">
      <w:start w:val="1"/>
      <w:numFmt w:val="decimal"/>
      <w:lvlText w:val="%4."/>
      <w:lvlJc w:val="left"/>
      <w:pPr>
        <w:ind w:left="3320" w:hanging="360"/>
      </w:pPr>
    </w:lvl>
    <w:lvl w:ilvl="4" w:tplc="240A0019" w:tentative="1">
      <w:start w:val="1"/>
      <w:numFmt w:val="lowerLetter"/>
      <w:lvlText w:val="%5."/>
      <w:lvlJc w:val="left"/>
      <w:pPr>
        <w:ind w:left="4040" w:hanging="360"/>
      </w:pPr>
    </w:lvl>
    <w:lvl w:ilvl="5" w:tplc="240A001B" w:tentative="1">
      <w:start w:val="1"/>
      <w:numFmt w:val="lowerRoman"/>
      <w:lvlText w:val="%6."/>
      <w:lvlJc w:val="right"/>
      <w:pPr>
        <w:ind w:left="4760" w:hanging="180"/>
      </w:pPr>
    </w:lvl>
    <w:lvl w:ilvl="6" w:tplc="240A000F" w:tentative="1">
      <w:start w:val="1"/>
      <w:numFmt w:val="decimal"/>
      <w:lvlText w:val="%7."/>
      <w:lvlJc w:val="left"/>
      <w:pPr>
        <w:ind w:left="5480" w:hanging="360"/>
      </w:pPr>
    </w:lvl>
    <w:lvl w:ilvl="7" w:tplc="240A0019" w:tentative="1">
      <w:start w:val="1"/>
      <w:numFmt w:val="lowerLetter"/>
      <w:lvlText w:val="%8."/>
      <w:lvlJc w:val="left"/>
      <w:pPr>
        <w:ind w:left="6200" w:hanging="360"/>
      </w:pPr>
    </w:lvl>
    <w:lvl w:ilvl="8" w:tplc="240A001B" w:tentative="1">
      <w:start w:val="1"/>
      <w:numFmt w:val="lowerRoman"/>
      <w:lvlText w:val="%9."/>
      <w:lvlJc w:val="right"/>
      <w:pPr>
        <w:ind w:left="6920" w:hanging="180"/>
      </w:pPr>
    </w:lvl>
  </w:abstractNum>
  <w:abstractNum w:abstractNumId="34"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5F80AD9"/>
    <w:multiLevelType w:val="hybridMultilevel"/>
    <w:tmpl w:val="D136B10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A4801C6"/>
    <w:multiLevelType w:val="hybridMultilevel"/>
    <w:tmpl w:val="8B72105C"/>
    <w:lvl w:ilvl="0" w:tplc="FFFFFFFF">
      <w:start w:val="1"/>
      <w:numFmt w:val="lowerRoman"/>
      <w:lvlText w:val="%1)"/>
      <w:lvlJc w:val="left"/>
      <w:pPr>
        <w:ind w:left="800" w:hanging="720"/>
      </w:pPr>
      <w:rPr>
        <w:rFonts w:hint="default"/>
      </w:rPr>
    </w:lvl>
    <w:lvl w:ilvl="1" w:tplc="194259BA">
      <w:numFmt w:val="bullet"/>
      <w:lvlText w:val="•"/>
      <w:lvlJc w:val="left"/>
      <w:pPr>
        <w:ind w:left="1510" w:hanging="710"/>
      </w:pPr>
      <w:rPr>
        <w:rFonts w:ascii="Bookman Old Style" w:eastAsia="Times New Roman" w:hAnsi="Bookman Old Style" w:cs="Arial" w:hint="default"/>
      </w:r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39" w15:restartNumberingAfterBreak="0">
    <w:nsid w:val="4B651E5E"/>
    <w:multiLevelType w:val="hybridMultilevel"/>
    <w:tmpl w:val="781A03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4C2727F3"/>
    <w:multiLevelType w:val="hybridMultilevel"/>
    <w:tmpl w:val="82DE19C6"/>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42"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2EF74C9"/>
    <w:multiLevelType w:val="hybridMultilevel"/>
    <w:tmpl w:val="1C5C3C88"/>
    <w:name w:val="Lista4322"/>
    <w:lvl w:ilvl="0" w:tplc="A66ABC36">
      <w:start w:val="1"/>
      <w:numFmt w:val="decimal"/>
      <w:suff w:val="space"/>
      <w:lvlText w:val="Artículo %1."/>
      <w:lvlJc w:val="left"/>
      <w:pPr>
        <w:ind w:left="1778" w:hanging="360"/>
      </w:pPr>
      <w:rPr>
        <w:rFonts w:ascii="Bookman Old Style" w:hAnsi="Bookman Old Style"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C7212C6">
      <w:start w:val="1"/>
      <w:numFmt w:val="lowerLetter"/>
      <w:lvlText w:val="%2."/>
      <w:lvlJc w:val="left"/>
      <w:pPr>
        <w:ind w:left="1530" w:hanging="360"/>
      </w:pPr>
    </w:lvl>
    <w:lvl w:ilvl="2" w:tplc="A446BFEE" w:tentative="1">
      <w:start w:val="1"/>
      <w:numFmt w:val="lowerRoman"/>
      <w:lvlText w:val="%3."/>
      <w:lvlJc w:val="right"/>
      <w:pPr>
        <w:ind w:left="2250" w:hanging="180"/>
      </w:pPr>
    </w:lvl>
    <w:lvl w:ilvl="3" w:tplc="AA4A5ACA" w:tentative="1">
      <w:start w:val="1"/>
      <w:numFmt w:val="decimal"/>
      <w:lvlText w:val="%4."/>
      <w:lvlJc w:val="left"/>
      <w:pPr>
        <w:ind w:left="2970" w:hanging="360"/>
      </w:pPr>
    </w:lvl>
    <w:lvl w:ilvl="4" w:tplc="4DB8D95A" w:tentative="1">
      <w:start w:val="1"/>
      <w:numFmt w:val="lowerLetter"/>
      <w:lvlText w:val="%5."/>
      <w:lvlJc w:val="left"/>
      <w:pPr>
        <w:ind w:left="3690" w:hanging="360"/>
      </w:pPr>
    </w:lvl>
    <w:lvl w:ilvl="5" w:tplc="D4DC958A" w:tentative="1">
      <w:start w:val="1"/>
      <w:numFmt w:val="lowerRoman"/>
      <w:lvlText w:val="%6."/>
      <w:lvlJc w:val="right"/>
      <w:pPr>
        <w:ind w:left="4410" w:hanging="180"/>
      </w:pPr>
    </w:lvl>
    <w:lvl w:ilvl="6" w:tplc="67940270" w:tentative="1">
      <w:start w:val="1"/>
      <w:numFmt w:val="decimal"/>
      <w:lvlText w:val="%7."/>
      <w:lvlJc w:val="left"/>
      <w:pPr>
        <w:ind w:left="5130" w:hanging="360"/>
      </w:pPr>
    </w:lvl>
    <w:lvl w:ilvl="7" w:tplc="CBDC6ABC" w:tentative="1">
      <w:start w:val="1"/>
      <w:numFmt w:val="lowerLetter"/>
      <w:lvlText w:val="%8."/>
      <w:lvlJc w:val="left"/>
      <w:pPr>
        <w:ind w:left="5850" w:hanging="360"/>
      </w:pPr>
    </w:lvl>
    <w:lvl w:ilvl="8" w:tplc="318638EC" w:tentative="1">
      <w:start w:val="1"/>
      <w:numFmt w:val="lowerRoman"/>
      <w:lvlText w:val="%9."/>
      <w:lvlJc w:val="right"/>
      <w:pPr>
        <w:ind w:left="6570" w:hanging="180"/>
      </w:pPr>
    </w:lvl>
  </w:abstractNum>
  <w:abstractNum w:abstractNumId="44" w15:restartNumberingAfterBreak="0">
    <w:nsid w:val="53884FB5"/>
    <w:multiLevelType w:val="multilevel"/>
    <w:tmpl w:val="12E89C2C"/>
    <w:lvl w:ilvl="0">
      <w:start w:val="15"/>
      <w:numFmt w:val="decimal"/>
      <w:lvlText w:val="%1."/>
      <w:lvlJc w:val="left"/>
      <w:pPr>
        <w:ind w:left="360" w:hanging="360"/>
      </w:pPr>
      <w:rPr>
        <w:rFonts w:hint="default"/>
      </w:rPr>
    </w:lvl>
    <w:lvl w:ilvl="1">
      <w:start w:val="1"/>
      <w:numFmt w:val="decimal"/>
      <w:pStyle w:val="Estilo10"/>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4DE0A4F"/>
    <w:multiLevelType w:val="hybridMultilevel"/>
    <w:tmpl w:val="D8BE99C2"/>
    <w:lvl w:ilvl="0" w:tplc="51E4FD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7D42B12"/>
    <w:multiLevelType w:val="hybridMultilevel"/>
    <w:tmpl w:val="26283C2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785D8E"/>
    <w:multiLevelType w:val="multilevel"/>
    <w:tmpl w:val="0158E24C"/>
    <w:lvl w:ilvl="0">
      <w:start w:val="1"/>
      <w:numFmt w:val="bullet"/>
      <w:lvlText w:val=""/>
      <w:lvlJc w:val="left"/>
      <w:pPr>
        <w:ind w:left="432" w:hanging="432"/>
      </w:pPr>
      <w:rPr>
        <w:rFonts w:ascii="Symbol" w:hAnsi="Symbol" w:hint="default"/>
      </w:rPr>
    </w:lvl>
    <w:lvl w:ilvl="1">
      <w:start w:val="1"/>
      <w:numFmt w:val="decimal"/>
      <w:lvlText w:val="%1.%2"/>
      <w:lvlJc w:val="left"/>
      <w:pPr>
        <w:ind w:left="2278" w:hanging="576"/>
      </w:pPr>
      <w:rPr>
        <w:b/>
      </w:rPr>
    </w:lvl>
    <w:lvl w:ilvl="2">
      <w:start w:val="1"/>
      <w:numFmt w:val="decimal"/>
      <w:lvlText w:val="%1.%2.%3"/>
      <w:lvlJc w:val="left"/>
      <w:pPr>
        <w:ind w:left="720" w:hanging="720"/>
      </w:pPr>
      <w:rPr>
        <w:sz w:val="24"/>
      </w:rPr>
    </w:lvl>
    <w:lvl w:ilvl="3">
      <w:start w:val="1"/>
      <w:numFmt w:val="decimal"/>
      <w:lvlText w:val="%1.%2.%3.%4"/>
      <w:lvlJc w:val="left"/>
      <w:pPr>
        <w:ind w:left="864" w:hanging="864"/>
      </w:pPr>
      <w:rPr>
        <w:rFonts w:ascii="Bookman Old Style" w:hAnsi="Bookman Old Style" w:hint="default"/>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D637129"/>
    <w:multiLevelType w:val="hybridMultilevel"/>
    <w:tmpl w:val="EDB4A694"/>
    <w:name w:val="WW8Num6423"/>
    <w:lvl w:ilvl="0" w:tplc="0C0A0001">
      <w:start w:val="1"/>
      <w:numFmt w:val="decimal"/>
      <w:lvlText w:val="%1."/>
      <w:lvlJc w:val="left"/>
      <w:pPr>
        <w:ind w:left="1146"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9" w15:restartNumberingAfterBreak="0">
    <w:nsid w:val="61A84524"/>
    <w:multiLevelType w:val="multilevel"/>
    <w:tmpl w:val="A6802D0E"/>
    <w:name w:val="WW8Num642322322"/>
    <w:styleLink w:val="Estilo14"/>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Restart w:val="0"/>
      <w:lvlText w:val="%1.%2. "/>
      <w:lvlJc w:val="left"/>
      <w:pPr>
        <w:ind w:left="720" w:hanging="36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3532B23"/>
    <w:multiLevelType w:val="hybridMultilevel"/>
    <w:tmpl w:val="25629048"/>
    <w:lvl w:ilvl="0" w:tplc="D5629D9A">
      <w:start w:val="5"/>
      <w:numFmt w:val="lowerLetter"/>
      <w:lvlText w:val="%1)"/>
      <w:lvlJc w:val="left"/>
      <w:pPr>
        <w:tabs>
          <w:tab w:val="num" w:pos="360"/>
        </w:tabs>
        <w:ind w:left="360" w:hanging="360"/>
      </w:pPr>
      <w:rPr>
        <w:rFonts w:hint="default"/>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52" w15:restartNumberingAfterBreak="0">
    <w:nsid w:val="68682854"/>
    <w:multiLevelType w:val="multilevel"/>
    <w:tmpl w:val="0158E24C"/>
    <w:lvl w:ilvl="0">
      <w:start w:val="1"/>
      <w:numFmt w:val="bullet"/>
      <w:lvlText w:val=""/>
      <w:lvlJc w:val="left"/>
      <w:pPr>
        <w:ind w:left="432" w:hanging="432"/>
      </w:pPr>
      <w:rPr>
        <w:rFonts w:ascii="Symbol" w:hAnsi="Symbol" w:hint="default"/>
      </w:rPr>
    </w:lvl>
    <w:lvl w:ilvl="1">
      <w:start w:val="1"/>
      <w:numFmt w:val="decimal"/>
      <w:lvlText w:val="%1.%2"/>
      <w:lvlJc w:val="left"/>
      <w:pPr>
        <w:ind w:left="2278" w:hanging="576"/>
      </w:pPr>
      <w:rPr>
        <w:b/>
      </w:rPr>
    </w:lvl>
    <w:lvl w:ilvl="2">
      <w:start w:val="1"/>
      <w:numFmt w:val="decimal"/>
      <w:lvlText w:val="%1.%2.%3"/>
      <w:lvlJc w:val="left"/>
      <w:pPr>
        <w:ind w:left="720" w:hanging="720"/>
      </w:pPr>
      <w:rPr>
        <w:sz w:val="24"/>
      </w:rPr>
    </w:lvl>
    <w:lvl w:ilvl="3">
      <w:start w:val="1"/>
      <w:numFmt w:val="decimal"/>
      <w:lvlText w:val="%1.%2.%3.%4"/>
      <w:lvlJc w:val="left"/>
      <w:pPr>
        <w:ind w:left="864" w:hanging="864"/>
      </w:pPr>
      <w:rPr>
        <w:rFonts w:ascii="Bookman Old Style" w:hAnsi="Bookman Old Style" w:hint="default"/>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6BAB5558"/>
    <w:multiLevelType w:val="hybridMultilevel"/>
    <w:tmpl w:val="9E72138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4" w15:restartNumberingAfterBreak="0">
    <w:nsid w:val="6D330801"/>
    <w:multiLevelType w:val="hybridMultilevel"/>
    <w:tmpl w:val="1FCC1BDE"/>
    <w:lvl w:ilvl="0" w:tplc="B536619A">
      <w:start w:val="1"/>
      <w:numFmt w:val="none"/>
      <w:pStyle w:val="Estilo6"/>
      <w:lvlText w:val="a)"/>
      <w:lvlJc w:val="left"/>
      <w:pPr>
        <w:tabs>
          <w:tab w:val="num" w:pos="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D8F5AC7"/>
    <w:multiLevelType w:val="hybridMultilevel"/>
    <w:tmpl w:val="B8AE7016"/>
    <w:name w:val="WW8Num642322"/>
    <w:lvl w:ilvl="0" w:tplc="2F8681BA">
      <w:start w:val="1"/>
      <w:numFmt w:val="bullet"/>
      <w:lvlText w:val=""/>
      <w:lvlJc w:val="left"/>
      <w:pPr>
        <w:ind w:left="1724" w:hanging="360"/>
      </w:pPr>
      <w:rPr>
        <w:rFonts w:ascii="Wingdings" w:hAnsi="Wingdings" w:hint="default"/>
      </w:rPr>
    </w:lvl>
    <w:lvl w:ilvl="1" w:tplc="0C0A0019" w:tentative="1">
      <w:start w:val="1"/>
      <w:numFmt w:val="lowerLetter"/>
      <w:lvlText w:val="%2."/>
      <w:lvlJc w:val="left"/>
      <w:pPr>
        <w:ind w:left="1440" w:hanging="360"/>
      </w:pPr>
    </w:lvl>
    <w:lvl w:ilvl="2" w:tplc="B3F8A2F0" w:tentative="1">
      <w:start w:val="1"/>
      <w:numFmt w:val="lowerRoman"/>
      <w:lvlText w:val="%3."/>
      <w:lvlJc w:val="right"/>
      <w:pPr>
        <w:ind w:left="2160" w:hanging="180"/>
      </w:pPr>
    </w:lvl>
    <w:lvl w:ilvl="3" w:tplc="4342CD54" w:tentative="1">
      <w:start w:val="1"/>
      <w:numFmt w:val="decimal"/>
      <w:lvlText w:val="%4."/>
      <w:lvlJc w:val="left"/>
      <w:pPr>
        <w:ind w:left="2880" w:hanging="360"/>
      </w:pPr>
    </w:lvl>
    <w:lvl w:ilvl="4" w:tplc="BC569FFC" w:tentative="1">
      <w:start w:val="1"/>
      <w:numFmt w:val="lowerLetter"/>
      <w:lvlText w:val="%5."/>
      <w:lvlJc w:val="left"/>
      <w:pPr>
        <w:ind w:left="3600" w:hanging="360"/>
      </w:pPr>
    </w:lvl>
    <w:lvl w:ilvl="5" w:tplc="3500AD8A" w:tentative="1">
      <w:start w:val="1"/>
      <w:numFmt w:val="lowerRoman"/>
      <w:lvlText w:val="%6."/>
      <w:lvlJc w:val="right"/>
      <w:pPr>
        <w:ind w:left="4320" w:hanging="180"/>
      </w:pPr>
    </w:lvl>
    <w:lvl w:ilvl="6" w:tplc="F16C6B6C" w:tentative="1">
      <w:start w:val="1"/>
      <w:numFmt w:val="decimal"/>
      <w:lvlText w:val="%7."/>
      <w:lvlJc w:val="left"/>
      <w:pPr>
        <w:ind w:left="5040" w:hanging="360"/>
      </w:pPr>
    </w:lvl>
    <w:lvl w:ilvl="7" w:tplc="A37AFA36" w:tentative="1">
      <w:start w:val="1"/>
      <w:numFmt w:val="lowerLetter"/>
      <w:lvlText w:val="%8."/>
      <w:lvlJc w:val="left"/>
      <w:pPr>
        <w:ind w:left="5760" w:hanging="360"/>
      </w:pPr>
    </w:lvl>
    <w:lvl w:ilvl="8" w:tplc="8AB0005C" w:tentative="1">
      <w:start w:val="1"/>
      <w:numFmt w:val="lowerRoman"/>
      <w:lvlText w:val="%9."/>
      <w:lvlJc w:val="right"/>
      <w:pPr>
        <w:ind w:left="6480" w:hanging="180"/>
      </w:pPr>
    </w:lvl>
  </w:abstractNum>
  <w:abstractNum w:abstractNumId="56" w15:restartNumberingAfterBreak="0">
    <w:nsid w:val="6D98217B"/>
    <w:multiLevelType w:val="hybridMultilevel"/>
    <w:tmpl w:val="2870A8F8"/>
    <w:lvl w:ilvl="0" w:tplc="0C0A0013">
      <w:start w:val="1"/>
      <w:numFmt w:val="upperRoman"/>
      <w:lvlText w:val="%1."/>
      <w:lvlJc w:val="right"/>
      <w:pPr>
        <w:ind w:left="2138" w:hanging="360"/>
      </w:p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57" w15:restartNumberingAfterBreak="0">
    <w:nsid w:val="6E30727A"/>
    <w:multiLevelType w:val="hybridMultilevel"/>
    <w:tmpl w:val="22F21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0D452DE"/>
    <w:multiLevelType w:val="multilevel"/>
    <w:tmpl w:val="0D5CC796"/>
    <w:lvl w:ilvl="0">
      <w:start w:val="1"/>
      <w:numFmt w:val="decimal"/>
      <w:lvlText w:val="%1."/>
      <w:lvlJc w:val="left"/>
      <w:pPr>
        <w:ind w:left="720"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2088"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3024" w:hanging="2160"/>
      </w:pPr>
      <w:rPr>
        <w:rFonts w:hint="default"/>
      </w:rPr>
    </w:lvl>
    <w:lvl w:ilvl="8">
      <w:start w:val="1"/>
      <w:numFmt w:val="decimal"/>
      <w:isLgl/>
      <w:lvlText w:val="%1.%2.%3.%4.%5.%6.%7.%8.%9."/>
      <w:lvlJc w:val="left"/>
      <w:pPr>
        <w:ind w:left="3096" w:hanging="2160"/>
      </w:pPr>
      <w:rPr>
        <w:rFonts w:hint="default"/>
      </w:rPr>
    </w:lvl>
  </w:abstractNum>
  <w:abstractNum w:abstractNumId="59" w15:restartNumberingAfterBreak="0">
    <w:nsid w:val="7285209E"/>
    <w:multiLevelType w:val="hybridMultilevel"/>
    <w:tmpl w:val="7E82D8B4"/>
    <w:lvl w:ilvl="0" w:tplc="2F3C9D7A">
      <w:start w:val="1"/>
      <w:numFmt w:val="lowerLetter"/>
      <w:lvlText w:val="%1."/>
      <w:lvlJc w:val="left"/>
      <w:pPr>
        <w:ind w:left="2494" w:hanging="360"/>
      </w:pPr>
      <w:rPr>
        <w:rFonts w:ascii="Bookman Old Style" w:hAnsi="Bookman Old Style" w:hint="default"/>
      </w:rPr>
    </w:lvl>
    <w:lvl w:ilvl="1" w:tplc="240A0019" w:tentative="1">
      <w:start w:val="1"/>
      <w:numFmt w:val="lowerLetter"/>
      <w:lvlText w:val="%2."/>
      <w:lvlJc w:val="left"/>
      <w:pPr>
        <w:ind w:left="3214" w:hanging="360"/>
      </w:pPr>
    </w:lvl>
    <w:lvl w:ilvl="2" w:tplc="240A001B" w:tentative="1">
      <w:start w:val="1"/>
      <w:numFmt w:val="lowerRoman"/>
      <w:lvlText w:val="%3."/>
      <w:lvlJc w:val="right"/>
      <w:pPr>
        <w:ind w:left="3934" w:hanging="180"/>
      </w:pPr>
    </w:lvl>
    <w:lvl w:ilvl="3" w:tplc="240A000F" w:tentative="1">
      <w:start w:val="1"/>
      <w:numFmt w:val="decimal"/>
      <w:lvlText w:val="%4."/>
      <w:lvlJc w:val="left"/>
      <w:pPr>
        <w:ind w:left="4654" w:hanging="360"/>
      </w:pPr>
    </w:lvl>
    <w:lvl w:ilvl="4" w:tplc="240A0019" w:tentative="1">
      <w:start w:val="1"/>
      <w:numFmt w:val="lowerLetter"/>
      <w:lvlText w:val="%5."/>
      <w:lvlJc w:val="left"/>
      <w:pPr>
        <w:ind w:left="5374" w:hanging="360"/>
      </w:pPr>
    </w:lvl>
    <w:lvl w:ilvl="5" w:tplc="240A001B" w:tentative="1">
      <w:start w:val="1"/>
      <w:numFmt w:val="lowerRoman"/>
      <w:lvlText w:val="%6."/>
      <w:lvlJc w:val="right"/>
      <w:pPr>
        <w:ind w:left="6094" w:hanging="180"/>
      </w:pPr>
    </w:lvl>
    <w:lvl w:ilvl="6" w:tplc="240A000F" w:tentative="1">
      <w:start w:val="1"/>
      <w:numFmt w:val="decimal"/>
      <w:lvlText w:val="%7."/>
      <w:lvlJc w:val="left"/>
      <w:pPr>
        <w:ind w:left="6814" w:hanging="360"/>
      </w:pPr>
    </w:lvl>
    <w:lvl w:ilvl="7" w:tplc="240A0019" w:tentative="1">
      <w:start w:val="1"/>
      <w:numFmt w:val="lowerLetter"/>
      <w:lvlText w:val="%8."/>
      <w:lvlJc w:val="left"/>
      <w:pPr>
        <w:ind w:left="7534" w:hanging="360"/>
      </w:pPr>
    </w:lvl>
    <w:lvl w:ilvl="8" w:tplc="240A001B" w:tentative="1">
      <w:start w:val="1"/>
      <w:numFmt w:val="lowerRoman"/>
      <w:lvlText w:val="%9."/>
      <w:lvlJc w:val="right"/>
      <w:pPr>
        <w:ind w:left="8254" w:hanging="180"/>
      </w:pPr>
    </w:lvl>
  </w:abstractNum>
  <w:abstractNum w:abstractNumId="60" w15:restartNumberingAfterBreak="0">
    <w:nsid w:val="73432BD8"/>
    <w:multiLevelType w:val="hybridMultilevel"/>
    <w:tmpl w:val="7F624320"/>
    <w:lvl w:ilvl="0" w:tplc="9BA69E20">
      <w:start w:val="1"/>
      <w:numFmt w:val="decimal"/>
      <w:pStyle w:val="ARTICULOS"/>
      <w:lvlText w:val="Artículo %1."/>
      <w:lvlJc w:val="left"/>
      <w:pPr>
        <w:ind w:left="163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338" w:hanging="360"/>
      </w:pPr>
    </w:lvl>
    <w:lvl w:ilvl="2" w:tplc="240A000F">
      <w:start w:val="1"/>
      <w:numFmt w:val="decimal"/>
      <w:lvlText w:val="%3."/>
      <w:lvlJc w:val="left"/>
      <w:pPr>
        <w:ind w:left="382" w:hanging="180"/>
      </w:pPr>
    </w:lvl>
    <w:lvl w:ilvl="3" w:tplc="240A000F" w:tentative="1">
      <w:start w:val="1"/>
      <w:numFmt w:val="decimal"/>
      <w:lvlText w:val="%4."/>
      <w:lvlJc w:val="left"/>
      <w:pPr>
        <w:ind w:left="1102" w:hanging="360"/>
      </w:pPr>
    </w:lvl>
    <w:lvl w:ilvl="4" w:tplc="240A0019" w:tentative="1">
      <w:start w:val="1"/>
      <w:numFmt w:val="lowerLetter"/>
      <w:lvlText w:val="%5."/>
      <w:lvlJc w:val="left"/>
      <w:pPr>
        <w:ind w:left="1822" w:hanging="360"/>
      </w:pPr>
    </w:lvl>
    <w:lvl w:ilvl="5" w:tplc="240A001B" w:tentative="1">
      <w:start w:val="1"/>
      <w:numFmt w:val="lowerRoman"/>
      <w:lvlText w:val="%6."/>
      <w:lvlJc w:val="right"/>
      <w:pPr>
        <w:ind w:left="2542" w:hanging="180"/>
      </w:pPr>
    </w:lvl>
    <w:lvl w:ilvl="6" w:tplc="240A000F" w:tentative="1">
      <w:start w:val="1"/>
      <w:numFmt w:val="decimal"/>
      <w:lvlText w:val="%7."/>
      <w:lvlJc w:val="left"/>
      <w:pPr>
        <w:ind w:left="3262" w:hanging="360"/>
      </w:pPr>
    </w:lvl>
    <w:lvl w:ilvl="7" w:tplc="240A0019" w:tentative="1">
      <w:start w:val="1"/>
      <w:numFmt w:val="lowerLetter"/>
      <w:lvlText w:val="%8."/>
      <w:lvlJc w:val="left"/>
      <w:pPr>
        <w:ind w:left="3982" w:hanging="360"/>
      </w:pPr>
    </w:lvl>
    <w:lvl w:ilvl="8" w:tplc="240A001B" w:tentative="1">
      <w:start w:val="1"/>
      <w:numFmt w:val="lowerRoman"/>
      <w:lvlText w:val="%9."/>
      <w:lvlJc w:val="right"/>
      <w:pPr>
        <w:ind w:left="4702" w:hanging="180"/>
      </w:pPr>
    </w:lvl>
  </w:abstractNum>
  <w:abstractNum w:abstractNumId="61" w15:restartNumberingAfterBreak="0">
    <w:nsid w:val="7765326B"/>
    <w:multiLevelType w:val="multilevel"/>
    <w:tmpl w:val="E1F8A976"/>
    <w:styleLink w:val="Estilo11"/>
    <w:lvl w:ilvl="0">
      <w:start w:val="1"/>
      <w:numFmt w:val="decimal"/>
      <w:lvlText w:val="Artículo %1."/>
      <w:lvlJc w:val="left"/>
      <w:pPr>
        <w:ind w:left="720" w:hanging="360"/>
      </w:pPr>
      <w:rPr>
        <w:rFonts w:ascii="Bookman Old Style" w:hAnsi="Bookman Old Style"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B9129FC"/>
    <w:multiLevelType w:val="hybridMultilevel"/>
    <w:tmpl w:val="5D9E0A04"/>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46513547">
    <w:abstractNumId w:val="34"/>
  </w:num>
  <w:num w:numId="2" w16cid:durableId="243613963">
    <w:abstractNumId w:val="0"/>
  </w:num>
  <w:num w:numId="3" w16cid:durableId="1189832356">
    <w:abstractNumId w:val="1"/>
  </w:num>
  <w:num w:numId="4" w16cid:durableId="1677920203">
    <w:abstractNumId w:val="5"/>
  </w:num>
  <w:num w:numId="5" w16cid:durableId="1470972716">
    <w:abstractNumId w:val="54"/>
    <w:lvlOverride w:ilvl="0">
      <w:startOverride w:val="1"/>
    </w:lvlOverride>
  </w:num>
  <w:num w:numId="6" w16cid:durableId="1178158492">
    <w:abstractNumId w:val="44"/>
  </w:num>
  <w:num w:numId="7" w16cid:durableId="296302295">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5083762">
    <w:abstractNumId w:val="28"/>
  </w:num>
  <w:num w:numId="9" w16cid:durableId="1249533192">
    <w:abstractNumId w:val="61"/>
  </w:num>
  <w:num w:numId="10" w16cid:durableId="1340081193">
    <w:abstractNumId w:val="41"/>
  </w:num>
  <w:num w:numId="11" w16cid:durableId="1840927043">
    <w:abstractNumId w:val="24"/>
  </w:num>
  <w:num w:numId="12" w16cid:durableId="1419668504">
    <w:abstractNumId w:val="42"/>
  </w:num>
  <w:num w:numId="13" w16cid:durableId="1204489288">
    <w:abstractNumId w:val="49"/>
  </w:num>
  <w:num w:numId="14" w16cid:durableId="1555039420">
    <w:abstractNumId w:val="23"/>
  </w:num>
  <w:num w:numId="15" w16cid:durableId="1803770446">
    <w:abstractNumId w:val="25"/>
  </w:num>
  <w:num w:numId="16" w16cid:durableId="2144156281">
    <w:abstractNumId w:val="35"/>
  </w:num>
  <w:num w:numId="17" w16cid:durableId="354966395">
    <w:abstractNumId w:val="60"/>
  </w:num>
  <w:num w:numId="18" w16cid:durableId="1526747709">
    <w:abstractNumId w:val="47"/>
  </w:num>
  <w:num w:numId="19" w16cid:durableId="399252446">
    <w:abstractNumId w:val="51"/>
  </w:num>
  <w:num w:numId="20" w16cid:durableId="163129226">
    <w:abstractNumId w:val="14"/>
  </w:num>
  <w:num w:numId="21" w16cid:durableId="937173011">
    <w:abstractNumId w:val="3"/>
  </w:num>
  <w:num w:numId="22" w16cid:durableId="705758528">
    <w:abstractNumId w:val="50"/>
  </w:num>
  <w:num w:numId="23" w16cid:durableId="694114493">
    <w:abstractNumId w:val="32"/>
  </w:num>
  <w:num w:numId="24" w16cid:durableId="1973710491">
    <w:abstractNumId w:val="10"/>
  </w:num>
  <w:num w:numId="25" w16cid:durableId="611982327">
    <w:abstractNumId w:val="59"/>
  </w:num>
  <w:num w:numId="26" w16cid:durableId="2028478746">
    <w:abstractNumId w:val="9"/>
  </w:num>
  <w:num w:numId="27" w16cid:durableId="805394273">
    <w:abstractNumId w:val="53"/>
  </w:num>
  <w:num w:numId="28" w16cid:durableId="686097936">
    <w:abstractNumId w:val="16"/>
  </w:num>
  <w:num w:numId="29" w16cid:durableId="660353511">
    <w:abstractNumId w:val="45"/>
  </w:num>
  <w:num w:numId="30" w16cid:durableId="1154680037">
    <w:abstractNumId w:val="57"/>
  </w:num>
  <w:num w:numId="31" w16cid:durableId="205802566">
    <w:abstractNumId w:val="39"/>
  </w:num>
  <w:num w:numId="32" w16cid:durableId="1118334042">
    <w:abstractNumId w:val="21"/>
  </w:num>
  <w:num w:numId="33" w16cid:durableId="927544877">
    <w:abstractNumId w:val="29"/>
  </w:num>
  <w:num w:numId="34" w16cid:durableId="1003357146">
    <w:abstractNumId w:val="4"/>
  </w:num>
  <w:num w:numId="35" w16cid:durableId="760489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3744827">
    <w:abstractNumId w:val="62"/>
  </w:num>
  <w:num w:numId="37" w16cid:durableId="1457486399">
    <w:abstractNumId w:val="17"/>
  </w:num>
  <w:num w:numId="38" w16cid:durableId="154684173">
    <w:abstractNumId w:val="48"/>
  </w:num>
  <w:num w:numId="39" w16cid:durableId="2036536917">
    <w:abstractNumId w:val="7"/>
  </w:num>
  <w:num w:numId="40" w16cid:durableId="2104297961">
    <w:abstractNumId w:val="56"/>
  </w:num>
  <w:num w:numId="41" w16cid:durableId="128941241">
    <w:abstractNumId w:val="20"/>
  </w:num>
  <w:num w:numId="42" w16cid:durableId="2031755458">
    <w:abstractNumId w:val="46"/>
  </w:num>
  <w:num w:numId="43" w16cid:durableId="1381514935">
    <w:abstractNumId w:val="31"/>
  </w:num>
  <w:num w:numId="44" w16cid:durableId="1520198385">
    <w:abstractNumId w:val="2"/>
  </w:num>
  <w:num w:numId="45" w16cid:durableId="1539775658">
    <w:abstractNumId w:val="8"/>
  </w:num>
  <w:num w:numId="46" w16cid:durableId="1680934546">
    <w:abstractNumId w:val="40"/>
  </w:num>
  <w:num w:numId="47" w16cid:durableId="537283092">
    <w:abstractNumId w:val="18"/>
  </w:num>
  <w:num w:numId="48" w16cid:durableId="1501389312">
    <w:abstractNumId w:val="36"/>
  </w:num>
  <w:num w:numId="49" w16cid:durableId="986206395">
    <w:abstractNumId w:val="26"/>
  </w:num>
  <w:num w:numId="50" w16cid:durableId="1165130489">
    <w:abstractNumId w:val="33"/>
  </w:num>
  <w:num w:numId="51" w16cid:durableId="1191265183">
    <w:abstractNumId w:val="38"/>
  </w:num>
  <w:num w:numId="52" w16cid:durableId="519201092">
    <w:abstractNumId w:val="27"/>
  </w:num>
  <w:num w:numId="53" w16cid:durableId="1240407041">
    <w:abstractNumId w:val="52"/>
  </w:num>
  <w:num w:numId="54" w16cid:durableId="1796362767">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5A0"/>
    <w:rsid w:val="0000065C"/>
    <w:rsid w:val="00000876"/>
    <w:rsid w:val="00000937"/>
    <w:rsid w:val="00000FF0"/>
    <w:rsid w:val="0000107C"/>
    <w:rsid w:val="000010A4"/>
    <w:rsid w:val="000012AA"/>
    <w:rsid w:val="0000152A"/>
    <w:rsid w:val="00001633"/>
    <w:rsid w:val="00001659"/>
    <w:rsid w:val="00001A6C"/>
    <w:rsid w:val="00001CE3"/>
    <w:rsid w:val="00001F13"/>
    <w:rsid w:val="000020CF"/>
    <w:rsid w:val="00002120"/>
    <w:rsid w:val="00002A99"/>
    <w:rsid w:val="00002C27"/>
    <w:rsid w:val="00002C32"/>
    <w:rsid w:val="00002C4E"/>
    <w:rsid w:val="00002D87"/>
    <w:rsid w:val="00002DE3"/>
    <w:rsid w:val="00002E58"/>
    <w:rsid w:val="000030AD"/>
    <w:rsid w:val="000030C7"/>
    <w:rsid w:val="000035C9"/>
    <w:rsid w:val="00003673"/>
    <w:rsid w:val="0000378C"/>
    <w:rsid w:val="000039D9"/>
    <w:rsid w:val="00003AB3"/>
    <w:rsid w:val="00003DE2"/>
    <w:rsid w:val="00003E4C"/>
    <w:rsid w:val="000040BE"/>
    <w:rsid w:val="000044FD"/>
    <w:rsid w:val="000046AD"/>
    <w:rsid w:val="00004938"/>
    <w:rsid w:val="00004AE6"/>
    <w:rsid w:val="00004B56"/>
    <w:rsid w:val="00004B85"/>
    <w:rsid w:val="00004E9F"/>
    <w:rsid w:val="00005306"/>
    <w:rsid w:val="0000536D"/>
    <w:rsid w:val="00005798"/>
    <w:rsid w:val="0000580A"/>
    <w:rsid w:val="000059C0"/>
    <w:rsid w:val="00005AB0"/>
    <w:rsid w:val="00005B32"/>
    <w:rsid w:val="00005C31"/>
    <w:rsid w:val="00005CAC"/>
    <w:rsid w:val="00005D07"/>
    <w:rsid w:val="00005DF9"/>
    <w:rsid w:val="00005FC5"/>
    <w:rsid w:val="000061B3"/>
    <w:rsid w:val="000065F9"/>
    <w:rsid w:val="0000694C"/>
    <w:rsid w:val="00006AE2"/>
    <w:rsid w:val="00006B71"/>
    <w:rsid w:val="00006BEB"/>
    <w:rsid w:val="00007142"/>
    <w:rsid w:val="00007226"/>
    <w:rsid w:val="000072F0"/>
    <w:rsid w:val="000073E4"/>
    <w:rsid w:val="000074C7"/>
    <w:rsid w:val="0000767A"/>
    <w:rsid w:val="000076A1"/>
    <w:rsid w:val="00007820"/>
    <w:rsid w:val="000078FE"/>
    <w:rsid w:val="00007A16"/>
    <w:rsid w:val="00007BFC"/>
    <w:rsid w:val="00007C0E"/>
    <w:rsid w:val="00007C66"/>
    <w:rsid w:val="000105FF"/>
    <w:rsid w:val="00010953"/>
    <w:rsid w:val="00010B8E"/>
    <w:rsid w:val="00010FAC"/>
    <w:rsid w:val="000110DA"/>
    <w:rsid w:val="00011114"/>
    <w:rsid w:val="00011DAB"/>
    <w:rsid w:val="000120F7"/>
    <w:rsid w:val="00012259"/>
    <w:rsid w:val="0001245C"/>
    <w:rsid w:val="0001252F"/>
    <w:rsid w:val="000127A6"/>
    <w:rsid w:val="00012C68"/>
    <w:rsid w:val="00012E19"/>
    <w:rsid w:val="000130D7"/>
    <w:rsid w:val="000136DA"/>
    <w:rsid w:val="00013742"/>
    <w:rsid w:val="00013888"/>
    <w:rsid w:val="00013AE6"/>
    <w:rsid w:val="00013DF7"/>
    <w:rsid w:val="00013F22"/>
    <w:rsid w:val="00013F29"/>
    <w:rsid w:val="000142A7"/>
    <w:rsid w:val="0001436C"/>
    <w:rsid w:val="0001444B"/>
    <w:rsid w:val="00014681"/>
    <w:rsid w:val="000147F6"/>
    <w:rsid w:val="000148DC"/>
    <w:rsid w:val="00014C4B"/>
    <w:rsid w:val="00014C55"/>
    <w:rsid w:val="00014E5A"/>
    <w:rsid w:val="00014E6D"/>
    <w:rsid w:val="00014F32"/>
    <w:rsid w:val="00015058"/>
    <w:rsid w:val="0001560A"/>
    <w:rsid w:val="0001583E"/>
    <w:rsid w:val="00015F72"/>
    <w:rsid w:val="00016002"/>
    <w:rsid w:val="00016216"/>
    <w:rsid w:val="00016290"/>
    <w:rsid w:val="0001655D"/>
    <w:rsid w:val="00016685"/>
    <w:rsid w:val="000166AB"/>
    <w:rsid w:val="00016E21"/>
    <w:rsid w:val="00016E45"/>
    <w:rsid w:val="00016EC3"/>
    <w:rsid w:val="00017334"/>
    <w:rsid w:val="000173EE"/>
    <w:rsid w:val="000174B2"/>
    <w:rsid w:val="000176D6"/>
    <w:rsid w:val="00017747"/>
    <w:rsid w:val="00017870"/>
    <w:rsid w:val="000178E1"/>
    <w:rsid w:val="00017B60"/>
    <w:rsid w:val="0002084F"/>
    <w:rsid w:val="00020B9A"/>
    <w:rsid w:val="00020C0D"/>
    <w:rsid w:val="00020F1E"/>
    <w:rsid w:val="00020F43"/>
    <w:rsid w:val="00020F51"/>
    <w:rsid w:val="00021304"/>
    <w:rsid w:val="00021501"/>
    <w:rsid w:val="000217BF"/>
    <w:rsid w:val="000217E5"/>
    <w:rsid w:val="00021861"/>
    <w:rsid w:val="00021A51"/>
    <w:rsid w:val="00021BAA"/>
    <w:rsid w:val="00021D73"/>
    <w:rsid w:val="00021D82"/>
    <w:rsid w:val="00021DDD"/>
    <w:rsid w:val="0002230B"/>
    <w:rsid w:val="00022963"/>
    <w:rsid w:val="00022993"/>
    <w:rsid w:val="00022CC9"/>
    <w:rsid w:val="00022F2A"/>
    <w:rsid w:val="000230DC"/>
    <w:rsid w:val="00023104"/>
    <w:rsid w:val="0002373C"/>
    <w:rsid w:val="00023BCB"/>
    <w:rsid w:val="00024049"/>
    <w:rsid w:val="000240A2"/>
    <w:rsid w:val="0002420A"/>
    <w:rsid w:val="0002439A"/>
    <w:rsid w:val="0002470C"/>
    <w:rsid w:val="00024AF5"/>
    <w:rsid w:val="00024C50"/>
    <w:rsid w:val="00024CB3"/>
    <w:rsid w:val="00025059"/>
    <w:rsid w:val="0002509D"/>
    <w:rsid w:val="0002526D"/>
    <w:rsid w:val="00025383"/>
    <w:rsid w:val="0002545B"/>
    <w:rsid w:val="00025576"/>
    <w:rsid w:val="0002593D"/>
    <w:rsid w:val="00025C41"/>
    <w:rsid w:val="00026054"/>
    <w:rsid w:val="0002628B"/>
    <w:rsid w:val="00026334"/>
    <w:rsid w:val="00026413"/>
    <w:rsid w:val="000267C5"/>
    <w:rsid w:val="000267DF"/>
    <w:rsid w:val="000268CF"/>
    <w:rsid w:val="00026A2C"/>
    <w:rsid w:val="00026BCF"/>
    <w:rsid w:val="00026C4E"/>
    <w:rsid w:val="00026D40"/>
    <w:rsid w:val="000272BF"/>
    <w:rsid w:val="00027574"/>
    <w:rsid w:val="000278DD"/>
    <w:rsid w:val="00027977"/>
    <w:rsid w:val="00027FE5"/>
    <w:rsid w:val="00030277"/>
    <w:rsid w:val="000303F3"/>
    <w:rsid w:val="000304D7"/>
    <w:rsid w:val="00030757"/>
    <w:rsid w:val="0003086D"/>
    <w:rsid w:val="00030AA1"/>
    <w:rsid w:val="00030B4B"/>
    <w:rsid w:val="000310D3"/>
    <w:rsid w:val="0003151C"/>
    <w:rsid w:val="000315E3"/>
    <w:rsid w:val="00031A25"/>
    <w:rsid w:val="00032034"/>
    <w:rsid w:val="000322B0"/>
    <w:rsid w:val="000323EB"/>
    <w:rsid w:val="00032430"/>
    <w:rsid w:val="00032553"/>
    <w:rsid w:val="00032B8D"/>
    <w:rsid w:val="00032DFA"/>
    <w:rsid w:val="00032E71"/>
    <w:rsid w:val="00032F61"/>
    <w:rsid w:val="000332C2"/>
    <w:rsid w:val="00033427"/>
    <w:rsid w:val="000335A4"/>
    <w:rsid w:val="000336F0"/>
    <w:rsid w:val="0003382F"/>
    <w:rsid w:val="000338C5"/>
    <w:rsid w:val="000339DE"/>
    <w:rsid w:val="00033BE2"/>
    <w:rsid w:val="00033F21"/>
    <w:rsid w:val="00034034"/>
    <w:rsid w:val="00034225"/>
    <w:rsid w:val="000342A6"/>
    <w:rsid w:val="000344B7"/>
    <w:rsid w:val="000347FE"/>
    <w:rsid w:val="00034C66"/>
    <w:rsid w:val="000352ED"/>
    <w:rsid w:val="00035525"/>
    <w:rsid w:val="000356C8"/>
    <w:rsid w:val="00035854"/>
    <w:rsid w:val="00035ADE"/>
    <w:rsid w:val="00035E9B"/>
    <w:rsid w:val="00035EDE"/>
    <w:rsid w:val="00036158"/>
    <w:rsid w:val="00036533"/>
    <w:rsid w:val="0003689D"/>
    <w:rsid w:val="000369C4"/>
    <w:rsid w:val="0003700C"/>
    <w:rsid w:val="0003719C"/>
    <w:rsid w:val="00037455"/>
    <w:rsid w:val="00037B22"/>
    <w:rsid w:val="00037B36"/>
    <w:rsid w:val="00037F5B"/>
    <w:rsid w:val="00040038"/>
    <w:rsid w:val="00040132"/>
    <w:rsid w:val="000404AE"/>
    <w:rsid w:val="000405F3"/>
    <w:rsid w:val="00040773"/>
    <w:rsid w:val="00040816"/>
    <w:rsid w:val="00040A14"/>
    <w:rsid w:val="00040ACC"/>
    <w:rsid w:val="00040FCD"/>
    <w:rsid w:val="0004112E"/>
    <w:rsid w:val="00041236"/>
    <w:rsid w:val="0004156A"/>
    <w:rsid w:val="00041668"/>
    <w:rsid w:val="00041B5C"/>
    <w:rsid w:val="00042448"/>
    <w:rsid w:val="00042CBE"/>
    <w:rsid w:val="00042D53"/>
    <w:rsid w:val="00042FB3"/>
    <w:rsid w:val="00043389"/>
    <w:rsid w:val="0004357C"/>
    <w:rsid w:val="000435E3"/>
    <w:rsid w:val="00043745"/>
    <w:rsid w:val="00043752"/>
    <w:rsid w:val="000437F4"/>
    <w:rsid w:val="0004396A"/>
    <w:rsid w:val="0004396C"/>
    <w:rsid w:val="00043A6B"/>
    <w:rsid w:val="00044186"/>
    <w:rsid w:val="0004467C"/>
    <w:rsid w:val="000449F9"/>
    <w:rsid w:val="00044A13"/>
    <w:rsid w:val="00044CE9"/>
    <w:rsid w:val="00044D94"/>
    <w:rsid w:val="00044E3E"/>
    <w:rsid w:val="00044EEB"/>
    <w:rsid w:val="00044F7E"/>
    <w:rsid w:val="00044FF7"/>
    <w:rsid w:val="00045039"/>
    <w:rsid w:val="00045073"/>
    <w:rsid w:val="00045376"/>
    <w:rsid w:val="0004537C"/>
    <w:rsid w:val="000459D2"/>
    <w:rsid w:val="00046413"/>
    <w:rsid w:val="000466DA"/>
    <w:rsid w:val="00046945"/>
    <w:rsid w:val="00046AC4"/>
    <w:rsid w:val="00046C8A"/>
    <w:rsid w:val="00046D95"/>
    <w:rsid w:val="00046E10"/>
    <w:rsid w:val="00046EE0"/>
    <w:rsid w:val="000475CD"/>
    <w:rsid w:val="000477AD"/>
    <w:rsid w:val="00047A2E"/>
    <w:rsid w:val="00047CD3"/>
    <w:rsid w:val="00047FE8"/>
    <w:rsid w:val="000503E6"/>
    <w:rsid w:val="0005042F"/>
    <w:rsid w:val="00050636"/>
    <w:rsid w:val="0005095B"/>
    <w:rsid w:val="00050E0A"/>
    <w:rsid w:val="00050F5A"/>
    <w:rsid w:val="000510C4"/>
    <w:rsid w:val="0005112E"/>
    <w:rsid w:val="0005159E"/>
    <w:rsid w:val="000515F5"/>
    <w:rsid w:val="00051D00"/>
    <w:rsid w:val="00051E24"/>
    <w:rsid w:val="00051FA2"/>
    <w:rsid w:val="0005250B"/>
    <w:rsid w:val="0005278D"/>
    <w:rsid w:val="000527AB"/>
    <w:rsid w:val="00052963"/>
    <w:rsid w:val="0005306D"/>
    <w:rsid w:val="000531F5"/>
    <w:rsid w:val="000532E1"/>
    <w:rsid w:val="000534D8"/>
    <w:rsid w:val="0005365B"/>
    <w:rsid w:val="0005384B"/>
    <w:rsid w:val="00053A8C"/>
    <w:rsid w:val="00053AC1"/>
    <w:rsid w:val="00053F02"/>
    <w:rsid w:val="000541BE"/>
    <w:rsid w:val="000544A7"/>
    <w:rsid w:val="00054773"/>
    <w:rsid w:val="0005479C"/>
    <w:rsid w:val="000547DA"/>
    <w:rsid w:val="000547F8"/>
    <w:rsid w:val="00054858"/>
    <w:rsid w:val="000549C9"/>
    <w:rsid w:val="00054C2A"/>
    <w:rsid w:val="00054C44"/>
    <w:rsid w:val="00054DA4"/>
    <w:rsid w:val="000553B8"/>
    <w:rsid w:val="00055417"/>
    <w:rsid w:val="00055635"/>
    <w:rsid w:val="0005592B"/>
    <w:rsid w:val="00055AD5"/>
    <w:rsid w:val="00055CE8"/>
    <w:rsid w:val="0005614C"/>
    <w:rsid w:val="00056173"/>
    <w:rsid w:val="00056211"/>
    <w:rsid w:val="00056217"/>
    <w:rsid w:val="000564D7"/>
    <w:rsid w:val="0005666A"/>
    <w:rsid w:val="000566B9"/>
    <w:rsid w:val="0005679D"/>
    <w:rsid w:val="0005684F"/>
    <w:rsid w:val="00056B4A"/>
    <w:rsid w:val="00056D6E"/>
    <w:rsid w:val="000571CD"/>
    <w:rsid w:val="0005751B"/>
    <w:rsid w:val="0005764F"/>
    <w:rsid w:val="00057716"/>
    <w:rsid w:val="0006012C"/>
    <w:rsid w:val="000603AF"/>
    <w:rsid w:val="000609DD"/>
    <w:rsid w:val="00060C0A"/>
    <w:rsid w:val="00060D8E"/>
    <w:rsid w:val="00060E00"/>
    <w:rsid w:val="00060EBE"/>
    <w:rsid w:val="0006137F"/>
    <w:rsid w:val="000617C1"/>
    <w:rsid w:val="000617F5"/>
    <w:rsid w:val="00061870"/>
    <w:rsid w:val="00061B96"/>
    <w:rsid w:val="00061BFC"/>
    <w:rsid w:val="00061ED2"/>
    <w:rsid w:val="00061FF0"/>
    <w:rsid w:val="0006227F"/>
    <w:rsid w:val="00062921"/>
    <w:rsid w:val="00062CA9"/>
    <w:rsid w:val="00062CEA"/>
    <w:rsid w:val="00062E2D"/>
    <w:rsid w:val="00062E4A"/>
    <w:rsid w:val="00063120"/>
    <w:rsid w:val="000634B6"/>
    <w:rsid w:val="00063657"/>
    <w:rsid w:val="000636CF"/>
    <w:rsid w:val="00063772"/>
    <w:rsid w:val="0006388D"/>
    <w:rsid w:val="0006426B"/>
    <w:rsid w:val="000642EF"/>
    <w:rsid w:val="0006434D"/>
    <w:rsid w:val="000645A8"/>
    <w:rsid w:val="00064931"/>
    <w:rsid w:val="000650B1"/>
    <w:rsid w:val="0006527F"/>
    <w:rsid w:val="000653E9"/>
    <w:rsid w:val="00065477"/>
    <w:rsid w:val="00065683"/>
    <w:rsid w:val="0006591E"/>
    <w:rsid w:val="000659C2"/>
    <w:rsid w:val="00065AA3"/>
    <w:rsid w:val="00065B17"/>
    <w:rsid w:val="00066084"/>
    <w:rsid w:val="000662DE"/>
    <w:rsid w:val="000666D0"/>
    <w:rsid w:val="00066B21"/>
    <w:rsid w:val="00066E1C"/>
    <w:rsid w:val="0006704F"/>
    <w:rsid w:val="000672D6"/>
    <w:rsid w:val="00067487"/>
    <w:rsid w:val="000676FE"/>
    <w:rsid w:val="0006778E"/>
    <w:rsid w:val="000677A6"/>
    <w:rsid w:val="000677BD"/>
    <w:rsid w:val="00067A4C"/>
    <w:rsid w:val="00067B33"/>
    <w:rsid w:val="00067DD3"/>
    <w:rsid w:val="000703DD"/>
    <w:rsid w:val="00070415"/>
    <w:rsid w:val="00070499"/>
    <w:rsid w:val="000704A4"/>
    <w:rsid w:val="0007076E"/>
    <w:rsid w:val="00070CBE"/>
    <w:rsid w:val="00070CC7"/>
    <w:rsid w:val="00070DB7"/>
    <w:rsid w:val="00070ED2"/>
    <w:rsid w:val="000712A4"/>
    <w:rsid w:val="0007192E"/>
    <w:rsid w:val="00071BCD"/>
    <w:rsid w:val="00071C18"/>
    <w:rsid w:val="00071CB6"/>
    <w:rsid w:val="00071DEF"/>
    <w:rsid w:val="0007223A"/>
    <w:rsid w:val="000722ED"/>
    <w:rsid w:val="00072433"/>
    <w:rsid w:val="000724A4"/>
    <w:rsid w:val="00072945"/>
    <w:rsid w:val="0007295C"/>
    <w:rsid w:val="00072C4C"/>
    <w:rsid w:val="00072C9E"/>
    <w:rsid w:val="00072CDD"/>
    <w:rsid w:val="00072D0E"/>
    <w:rsid w:val="000730F6"/>
    <w:rsid w:val="0007311A"/>
    <w:rsid w:val="0007380C"/>
    <w:rsid w:val="00073C00"/>
    <w:rsid w:val="00073E53"/>
    <w:rsid w:val="00073EF0"/>
    <w:rsid w:val="00073FDA"/>
    <w:rsid w:val="000740AF"/>
    <w:rsid w:val="000746FF"/>
    <w:rsid w:val="00074720"/>
    <w:rsid w:val="000747BF"/>
    <w:rsid w:val="00074917"/>
    <w:rsid w:val="00074B6B"/>
    <w:rsid w:val="0007513C"/>
    <w:rsid w:val="00075279"/>
    <w:rsid w:val="00075510"/>
    <w:rsid w:val="00075739"/>
    <w:rsid w:val="00075816"/>
    <w:rsid w:val="000759A1"/>
    <w:rsid w:val="00075C2F"/>
    <w:rsid w:val="00075D90"/>
    <w:rsid w:val="00075DFC"/>
    <w:rsid w:val="00075F4C"/>
    <w:rsid w:val="0007627A"/>
    <w:rsid w:val="000763CF"/>
    <w:rsid w:val="00076680"/>
    <w:rsid w:val="000766A7"/>
    <w:rsid w:val="0007674D"/>
    <w:rsid w:val="00076824"/>
    <w:rsid w:val="00076CA6"/>
    <w:rsid w:val="00076E41"/>
    <w:rsid w:val="00076EC3"/>
    <w:rsid w:val="0007729D"/>
    <w:rsid w:val="00077322"/>
    <w:rsid w:val="000774D6"/>
    <w:rsid w:val="00077B6B"/>
    <w:rsid w:val="00077C9D"/>
    <w:rsid w:val="00077F95"/>
    <w:rsid w:val="00077FC2"/>
    <w:rsid w:val="00077FC5"/>
    <w:rsid w:val="00080629"/>
    <w:rsid w:val="0008068C"/>
    <w:rsid w:val="0008073E"/>
    <w:rsid w:val="0008087F"/>
    <w:rsid w:val="000809D2"/>
    <w:rsid w:val="00080AEC"/>
    <w:rsid w:val="00080AF3"/>
    <w:rsid w:val="00080DAC"/>
    <w:rsid w:val="00080FCC"/>
    <w:rsid w:val="000812C5"/>
    <w:rsid w:val="0008142A"/>
    <w:rsid w:val="000814CC"/>
    <w:rsid w:val="000814CD"/>
    <w:rsid w:val="000817A4"/>
    <w:rsid w:val="00081A70"/>
    <w:rsid w:val="00081AFF"/>
    <w:rsid w:val="00081E00"/>
    <w:rsid w:val="00081EA8"/>
    <w:rsid w:val="000822CE"/>
    <w:rsid w:val="000822F5"/>
    <w:rsid w:val="000824DD"/>
    <w:rsid w:val="000827D0"/>
    <w:rsid w:val="00082855"/>
    <w:rsid w:val="00082DA2"/>
    <w:rsid w:val="00082E11"/>
    <w:rsid w:val="00082F63"/>
    <w:rsid w:val="0008304C"/>
    <w:rsid w:val="000830E0"/>
    <w:rsid w:val="0008346E"/>
    <w:rsid w:val="00083706"/>
    <w:rsid w:val="000839A3"/>
    <w:rsid w:val="00083B20"/>
    <w:rsid w:val="000841C6"/>
    <w:rsid w:val="00084587"/>
    <w:rsid w:val="000847DF"/>
    <w:rsid w:val="0008497C"/>
    <w:rsid w:val="00084AC4"/>
    <w:rsid w:val="00084EA5"/>
    <w:rsid w:val="00084F5D"/>
    <w:rsid w:val="00084FC0"/>
    <w:rsid w:val="000852E6"/>
    <w:rsid w:val="00085A64"/>
    <w:rsid w:val="00085ABC"/>
    <w:rsid w:val="00085DAC"/>
    <w:rsid w:val="0008629F"/>
    <w:rsid w:val="000868D4"/>
    <w:rsid w:val="00086944"/>
    <w:rsid w:val="0008696D"/>
    <w:rsid w:val="00086A6B"/>
    <w:rsid w:val="00086ABE"/>
    <w:rsid w:val="00086C78"/>
    <w:rsid w:val="00086D9C"/>
    <w:rsid w:val="00086E15"/>
    <w:rsid w:val="000870D6"/>
    <w:rsid w:val="00087199"/>
    <w:rsid w:val="00087571"/>
    <w:rsid w:val="00087920"/>
    <w:rsid w:val="00087980"/>
    <w:rsid w:val="00087ABC"/>
    <w:rsid w:val="00087B97"/>
    <w:rsid w:val="00087EC5"/>
    <w:rsid w:val="00087ECA"/>
    <w:rsid w:val="00087FBF"/>
    <w:rsid w:val="0009002A"/>
    <w:rsid w:val="0009009C"/>
    <w:rsid w:val="00090141"/>
    <w:rsid w:val="000901C2"/>
    <w:rsid w:val="0009046E"/>
    <w:rsid w:val="000904B3"/>
    <w:rsid w:val="0009073A"/>
    <w:rsid w:val="000907AE"/>
    <w:rsid w:val="00090ACF"/>
    <w:rsid w:val="00090B59"/>
    <w:rsid w:val="00090E38"/>
    <w:rsid w:val="00090E64"/>
    <w:rsid w:val="00091362"/>
    <w:rsid w:val="000913DE"/>
    <w:rsid w:val="000914AA"/>
    <w:rsid w:val="0009151F"/>
    <w:rsid w:val="00091B2B"/>
    <w:rsid w:val="00091CDB"/>
    <w:rsid w:val="000927DF"/>
    <w:rsid w:val="0009298A"/>
    <w:rsid w:val="00092B10"/>
    <w:rsid w:val="00092DFE"/>
    <w:rsid w:val="000931B9"/>
    <w:rsid w:val="000932AB"/>
    <w:rsid w:val="0009351C"/>
    <w:rsid w:val="0009352D"/>
    <w:rsid w:val="000935B3"/>
    <w:rsid w:val="000937D2"/>
    <w:rsid w:val="00094110"/>
    <w:rsid w:val="000941E6"/>
    <w:rsid w:val="00094303"/>
    <w:rsid w:val="0009432F"/>
    <w:rsid w:val="000943B5"/>
    <w:rsid w:val="0009467A"/>
    <w:rsid w:val="000948A1"/>
    <w:rsid w:val="00094A65"/>
    <w:rsid w:val="00094B60"/>
    <w:rsid w:val="00094D65"/>
    <w:rsid w:val="00094DA3"/>
    <w:rsid w:val="000950B5"/>
    <w:rsid w:val="000953C9"/>
    <w:rsid w:val="00095548"/>
    <w:rsid w:val="000959E3"/>
    <w:rsid w:val="00095A49"/>
    <w:rsid w:val="00095C41"/>
    <w:rsid w:val="00095D12"/>
    <w:rsid w:val="00095FF5"/>
    <w:rsid w:val="000961F9"/>
    <w:rsid w:val="00096230"/>
    <w:rsid w:val="0009635E"/>
    <w:rsid w:val="0009645E"/>
    <w:rsid w:val="000964C0"/>
    <w:rsid w:val="0009681B"/>
    <w:rsid w:val="000968B1"/>
    <w:rsid w:val="000969C7"/>
    <w:rsid w:val="00096A19"/>
    <w:rsid w:val="00096BBB"/>
    <w:rsid w:val="00096CE7"/>
    <w:rsid w:val="00096E58"/>
    <w:rsid w:val="0009759C"/>
    <w:rsid w:val="00097822"/>
    <w:rsid w:val="00097962"/>
    <w:rsid w:val="00097BC6"/>
    <w:rsid w:val="00097E20"/>
    <w:rsid w:val="00097E35"/>
    <w:rsid w:val="000A0437"/>
    <w:rsid w:val="000A0473"/>
    <w:rsid w:val="000A08FB"/>
    <w:rsid w:val="000A0A0F"/>
    <w:rsid w:val="000A0B02"/>
    <w:rsid w:val="000A0F18"/>
    <w:rsid w:val="000A0F44"/>
    <w:rsid w:val="000A1195"/>
    <w:rsid w:val="000A11C6"/>
    <w:rsid w:val="000A13C5"/>
    <w:rsid w:val="000A15D4"/>
    <w:rsid w:val="000A1690"/>
    <w:rsid w:val="000A17E5"/>
    <w:rsid w:val="000A1935"/>
    <w:rsid w:val="000A19AC"/>
    <w:rsid w:val="000A1A99"/>
    <w:rsid w:val="000A1B3D"/>
    <w:rsid w:val="000A1CB3"/>
    <w:rsid w:val="000A1E87"/>
    <w:rsid w:val="000A1F9A"/>
    <w:rsid w:val="000A2025"/>
    <w:rsid w:val="000A20C5"/>
    <w:rsid w:val="000A23D9"/>
    <w:rsid w:val="000A25C1"/>
    <w:rsid w:val="000A2FCE"/>
    <w:rsid w:val="000A31CB"/>
    <w:rsid w:val="000A33F0"/>
    <w:rsid w:val="000A371A"/>
    <w:rsid w:val="000A3796"/>
    <w:rsid w:val="000A3845"/>
    <w:rsid w:val="000A3A61"/>
    <w:rsid w:val="000A4240"/>
    <w:rsid w:val="000A4321"/>
    <w:rsid w:val="000A4C00"/>
    <w:rsid w:val="000A528B"/>
    <w:rsid w:val="000A52FC"/>
    <w:rsid w:val="000A537D"/>
    <w:rsid w:val="000A55FE"/>
    <w:rsid w:val="000A5B3D"/>
    <w:rsid w:val="000A5CDB"/>
    <w:rsid w:val="000A60AB"/>
    <w:rsid w:val="000A6228"/>
    <w:rsid w:val="000A6440"/>
    <w:rsid w:val="000A648B"/>
    <w:rsid w:val="000A6697"/>
    <w:rsid w:val="000A67BA"/>
    <w:rsid w:val="000A689D"/>
    <w:rsid w:val="000A692B"/>
    <w:rsid w:val="000A69F9"/>
    <w:rsid w:val="000A6AFA"/>
    <w:rsid w:val="000A6EC8"/>
    <w:rsid w:val="000A714F"/>
    <w:rsid w:val="000A75B0"/>
    <w:rsid w:val="000A7605"/>
    <w:rsid w:val="000A76FF"/>
    <w:rsid w:val="000A7E7F"/>
    <w:rsid w:val="000A7FBF"/>
    <w:rsid w:val="000B0019"/>
    <w:rsid w:val="000B024B"/>
    <w:rsid w:val="000B05E8"/>
    <w:rsid w:val="000B081F"/>
    <w:rsid w:val="000B0E1D"/>
    <w:rsid w:val="000B1136"/>
    <w:rsid w:val="000B1249"/>
    <w:rsid w:val="000B133F"/>
    <w:rsid w:val="000B1494"/>
    <w:rsid w:val="000B18E9"/>
    <w:rsid w:val="000B1AAE"/>
    <w:rsid w:val="000B1AB9"/>
    <w:rsid w:val="000B1BCB"/>
    <w:rsid w:val="000B1C0A"/>
    <w:rsid w:val="000B203A"/>
    <w:rsid w:val="000B236D"/>
    <w:rsid w:val="000B25B6"/>
    <w:rsid w:val="000B272D"/>
    <w:rsid w:val="000B2775"/>
    <w:rsid w:val="000B2873"/>
    <w:rsid w:val="000B2A90"/>
    <w:rsid w:val="000B2E69"/>
    <w:rsid w:val="000B2EB7"/>
    <w:rsid w:val="000B328F"/>
    <w:rsid w:val="000B3649"/>
    <w:rsid w:val="000B369C"/>
    <w:rsid w:val="000B37D8"/>
    <w:rsid w:val="000B38B7"/>
    <w:rsid w:val="000B392D"/>
    <w:rsid w:val="000B3E40"/>
    <w:rsid w:val="000B3E75"/>
    <w:rsid w:val="000B416B"/>
    <w:rsid w:val="000B42BB"/>
    <w:rsid w:val="000B4454"/>
    <w:rsid w:val="000B45C7"/>
    <w:rsid w:val="000B47B8"/>
    <w:rsid w:val="000B4859"/>
    <w:rsid w:val="000B4AA2"/>
    <w:rsid w:val="000B4ADE"/>
    <w:rsid w:val="000B4E91"/>
    <w:rsid w:val="000B5296"/>
    <w:rsid w:val="000B56B0"/>
    <w:rsid w:val="000B5DFA"/>
    <w:rsid w:val="000B5DFD"/>
    <w:rsid w:val="000B5EA3"/>
    <w:rsid w:val="000B6260"/>
    <w:rsid w:val="000B629B"/>
    <w:rsid w:val="000B6356"/>
    <w:rsid w:val="000B6AD2"/>
    <w:rsid w:val="000B6C6B"/>
    <w:rsid w:val="000B6CB8"/>
    <w:rsid w:val="000B6D46"/>
    <w:rsid w:val="000B6D54"/>
    <w:rsid w:val="000B6EF7"/>
    <w:rsid w:val="000B727B"/>
    <w:rsid w:val="000B72CA"/>
    <w:rsid w:val="000B78A2"/>
    <w:rsid w:val="000B7A2B"/>
    <w:rsid w:val="000B7A85"/>
    <w:rsid w:val="000B7C54"/>
    <w:rsid w:val="000C003D"/>
    <w:rsid w:val="000C0177"/>
    <w:rsid w:val="000C01A7"/>
    <w:rsid w:val="000C0329"/>
    <w:rsid w:val="000C0330"/>
    <w:rsid w:val="000C0365"/>
    <w:rsid w:val="000C049F"/>
    <w:rsid w:val="000C0691"/>
    <w:rsid w:val="000C08CA"/>
    <w:rsid w:val="000C0D7D"/>
    <w:rsid w:val="000C11A1"/>
    <w:rsid w:val="000C1A38"/>
    <w:rsid w:val="000C1B07"/>
    <w:rsid w:val="000C1BBD"/>
    <w:rsid w:val="000C1BF0"/>
    <w:rsid w:val="000C1D32"/>
    <w:rsid w:val="000C207D"/>
    <w:rsid w:val="000C2318"/>
    <w:rsid w:val="000C2319"/>
    <w:rsid w:val="000C233E"/>
    <w:rsid w:val="000C241D"/>
    <w:rsid w:val="000C2533"/>
    <w:rsid w:val="000C2541"/>
    <w:rsid w:val="000C2545"/>
    <w:rsid w:val="000C270B"/>
    <w:rsid w:val="000C2ABA"/>
    <w:rsid w:val="000C2B59"/>
    <w:rsid w:val="000C2B78"/>
    <w:rsid w:val="000C2BAA"/>
    <w:rsid w:val="000C2DA2"/>
    <w:rsid w:val="000C30C3"/>
    <w:rsid w:val="000C3557"/>
    <w:rsid w:val="000C3802"/>
    <w:rsid w:val="000C3827"/>
    <w:rsid w:val="000C3B21"/>
    <w:rsid w:val="000C3CE1"/>
    <w:rsid w:val="000C3E25"/>
    <w:rsid w:val="000C42CC"/>
    <w:rsid w:val="000C45B1"/>
    <w:rsid w:val="000C462F"/>
    <w:rsid w:val="000C48B8"/>
    <w:rsid w:val="000C4CE9"/>
    <w:rsid w:val="000C4F4F"/>
    <w:rsid w:val="000C51BC"/>
    <w:rsid w:val="000C54F1"/>
    <w:rsid w:val="000C5711"/>
    <w:rsid w:val="000C5866"/>
    <w:rsid w:val="000C5887"/>
    <w:rsid w:val="000C58C3"/>
    <w:rsid w:val="000C5E3B"/>
    <w:rsid w:val="000C5FE5"/>
    <w:rsid w:val="000C620C"/>
    <w:rsid w:val="000C660A"/>
    <w:rsid w:val="000C679D"/>
    <w:rsid w:val="000C6907"/>
    <w:rsid w:val="000C6C2F"/>
    <w:rsid w:val="000C6F17"/>
    <w:rsid w:val="000C70D3"/>
    <w:rsid w:val="000C711E"/>
    <w:rsid w:val="000C7427"/>
    <w:rsid w:val="000C75E4"/>
    <w:rsid w:val="000C7B89"/>
    <w:rsid w:val="000C7CA4"/>
    <w:rsid w:val="000C7F5E"/>
    <w:rsid w:val="000C7F8B"/>
    <w:rsid w:val="000C7F97"/>
    <w:rsid w:val="000C7FC7"/>
    <w:rsid w:val="000D029E"/>
    <w:rsid w:val="000D0345"/>
    <w:rsid w:val="000D0F16"/>
    <w:rsid w:val="000D0FE0"/>
    <w:rsid w:val="000D1596"/>
    <w:rsid w:val="000D1602"/>
    <w:rsid w:val="000D1687"/>
    <w:rsid w:val="000D1A41"/>
    <w:rsid w:val="000D1CA5"/>
    <w:rsid w:val="000D1EB1"/>
    <w:rsid w:val="000D202E"/>
    <w:rsid w:val="000D2367"/>
    <w:rsid w:val="000D260E"/>
    <w:rsid w:val="000D261F"/>
    <w:rsid w:val="000D26F8"/>
    <w:rsid w:val="000D28DC"/>
    <w:rsid w:val="000D2C59"/>
    <w:rsid w:val="000D30D1"/>
    <w:rsid w:val="000D3B15"/>
    <w:rsid w:val="000D4045"/>
    <w:rsid w:val="000D405F"/>
    <w:rsid w:val="000D410C"/>
    <w:rsid w:val="000D425F"/>
    <w:rsid w:val="000D43A4"/>
    <w:rsid w:val="000D43C6"/>
    <w:rsid w:val="000D4501"/>
    <w:rsid w:val="000D45AA"/>
    <w:rsid w:val="000D45C5"/>
    <w:rsid w:val="000D467A"/>
    <w:rsid w:val="000D4A11"/>
    <w:rsid w:val="000D4F03"/>
    <w:rsid w:val="000D51EB"/>
    <w:rsid w:val="000D58B8"/>
    <w:rsid w:val="000D5BEB"/>
    <w:rsid w:val="000D5C38"/>
    <w:rsid w:val="000D5F2C"/>
    <w:rsid w:val="000D64F8"/>
    <w:rsid w:val="000D66DB"/>
    <w:rsid w:val="000D67D6"/>
    <w:rsid w:val="000D6D8C"/>
    <w:rsid w:val="000D6EA1"/>
    <w:rsid w:val="000D6FC9"/>
    <w:rsid w:val="000D76EF"/>
    <w:rsid w:val="000E00E0"/>
    <w:rsid w:val="000E02D9"/>
    <w:rsid w:val="000E0487"/>
    <w:rsid w:val="000E0539"/>
    <w:rsid w:val="000E0595"/>
    <w:rsid w:val="000E0A7F"/>
    <w:rsid w:val="000E0EB9"/>
    <w:rsid w:val="000E154D"/>
    <w:rsid w:val="000E1840"/>
    <w:rsid w:val="000E1CE3"/>
    <w:rsid w:val="000E1EDA"/>
    <w:rsid w:val="000E1F3D"/>
    <w:rsid w:val="000E23CA"/>
    <w:rsid w:val="000E286D"/>
    <w:rsid w:val="000E29C5"/>
    <w:rsid w:val="000E2BC3"/>
    <w:rsid w:val="000E2C9C"/>
    <w:rsid w:val="000E2FC8"/>
    <w:rsid w:val="000E3059"/>
    <w:rsid w:val="000E356D"/>
    <w:rsid w:val="000E35A8"/>
    <w:rsid w:val="000E3662"/>
    <w:rsid w:val="000E3A25"/>
    <w:rsid w:val="000E3A72"/>
    <w:rsid w:val="000E3AE3"/>
    <w:rsid w:val="000E4470"/>
    <w:rsid w:val="000E44EC"/>
    <w:rsid w:val="000E46F4"/>
    <w:rsid w:val="000E4851"/>
    <w:rsid w:val="000E48EC"/>
    <w:rsid w:val="000E4C89"/>
    <w:rsid w:val="000E4E13"/>
    <w:rsid w:val="000E5021"/>
    <w:rsid w:val="000E5083"/>
    <w:rsid w:val="000E5102"/>
    <w:rsid w:val="000E511F"/>
    <w:rsid w:val="000E5283"/>
    <w:rsid w:val="000E56B4"/>
    <w:rsid w:val="000E5700"/>
    <w:rsid w:val="000E592B"/>
    <w:rsid w:val="000E593E"/>
    <w:rsid w:val="000E5D1A"/>
    <w:rsid w:val="000E5D72"/>
    <w:rsid w:val="000E6189"/>
    <w:rsid w:val="000E6367"/>
    <w:rsid w:val="000E6485"/>
    <w:rsid w:val="000E64A6"/>
    <w:rsid w:val="000E65DF"/>
    <w:rsid w:val="000E669F"/>
    <w:rsid w:val="000E6754"/>
    <w:rsid w:val="000E67E5"/>
    <w:rsid w:val="000E7042"/>
    <w:rsid w:val="000E7045"/>
    <w:rsid w:val="000E70D7"/>
    <w:rsid w:val="000E7252"/>
    <w:rsid w:val="000E7482"/>
    <w:rsid w:val="000E752C"/>
    <w:rsid w:val="000E7869"/>
    <w:rsid w:val="000E7A59"/>
    <w:rsid w:val="000E7C75"/>
    <w:rsid w:val="000E7D59"/>
    <w:rsid w:val="000F007C"/>
    <w:rsid w:val="000F02BD"/>
    <w:rsid w:val="000F02FE"/>
    <w:rsid w:val="000F03A3"/>
    <w:rsid w:val="000F1021"/>
    <w:rsid w:val="000F143A"/>
    <w:rsid w:val="000F16E4"/>
    <w:rsid w:val="000F1794"/>
    <w:rsid w:val="000F1B01"/>
    <w:rsid w:val="000F2B48"/>
    <w:rsid w:val="000F2B63"/>
    <w:rsid w:val="000F2C61"/>
    <w:rsid w:val="000F2E53"/>
    <w:rsid w:val="000F2F68"/>
    <w:rsid w:val="000F3263"/>
    <w:rsid w:val="000F39A8"/>
    <w:rsid w:val="000F40AA"/>
    <w:rsid w:val="000F4280"/>
    <w:rsid w:val="000F4910"/>
    <w:rsid w:val="000F49E9"/>
    <w:rsid w:val="000F4BB8"/>
    <w:rsid w:val="000F4D0E"/>
    <w:rsid w:val="000F4D12"/>
    <w:rsid w:val="000F4DC3"/>
    <w:rsid w:val="000F4F5B"/>
    <w:rsid w:val="000F5358"/>
    <w:rsid w:val="000F54FB"/>
    <w:rsid w:val="000F5799"/>
    <w:rsid w:val="000F5A32"/>
    <w:rsid w:val="000F5B82"/>
    <w:rsid w:val="000F5C47"/>
    <w:rsid w:val="000F5C75"/>
    <w:rsid w:val="000F6320"/>
    <w:rsid w:val="000F63C3"/>
    <w:rsid w:val="000F63DD"/>
    <w:rsid w:val="000F6598"/>
    <w:rsid w:val="000F6825"/>
    <w:rsid w:val="000F68D3"/>
    <w:rsid w:val="000F6975"/>
    <w:rsid w:val="000F69D9"/>
    <w:rsid w:val="000F6A39"/>
    <w:rsid w:val="000F6C61"/>
    <w:rsid w:val="000F6E77"/>
    <w:rsid w:val="000F6FD5"/>
    <w:rsid w:val="000F72F1"/>
    <w:rsid w:val="000F7496"/>
    <w:rsid w:val="000F77BE"/>
    <w:rsid w:val="000F78D2"/>
    <w:rsid w:val="000F7A83"/>
    <w:rsid w:val="00100078"/>
    <w:rsid w:val="001001E0"/>
    <w:rsid w:val="00100498"/>
    <w:rsid w:val="001005AF"/>
    <w:rsid w:val="001009A5"/>
    <w:rsid w:val="001009FF"/>
    <w:rsid w:val="001018E5"/>
    <w:rsid w:val="00101ABA"/>
    <w:rsid w:val="00101B33"/>
    <w:rsid w:val="00101B79"/>
    <w:rsid w:val="00101D48"/>
    <w:rsid w:val="00101D56"/>
    <w:rsid w:val="0010270B"/>
    <w:rsid w:val="00102710"/>
    <w:rsid w:val="00102A80"/>
    <w:rsid w:val="00102AF0"/>
    <w:rsid w:val="00102C71"/>
    <w:rsid w:val="00102DD7"/>
    <w:rsid w:val="00102EE6"/>
    <w:rsid w:val="001030F3"/>
    <w:rsid w:val="001032D5"/>
    <w:rsid w:val="00103379"/>
    <w:rsid w:val="00103669"/>
    <w:rsid w:val="0010367B"/>
    <w:rsid w:val="0010374F"/>
    <w:rsid w:val="00103A6B"/>
    <w:rsid w:val="00103A6C"/>
    <w:rsid w:val="00103D9B"/>
    <w:rsid w:val="00103DDA"/>
    <w:rsid w:val="00103E3B"/>
    <w:rsid w:val="00103F93"/>
    <w:rsid w:val="0010427F"/>
    <w:rsid w:val="001045E8"/>
    <w:rsid w:val="0010475D"/>
    <w:rsid w:val="0010495F"/>
    <w:rsid w:val="00104BF2"/>
    <w:rsid w:val="00104E83"/>
    <w:rsid w:val="00104EAF"/>
    <w:rsid w:val="00104FB2"/>
    <w:rsid w:val="00105009"/>
    <w:rsid w:val="00105ECA"/>
    <w:rsid w:val="00105F25"/>
    <w:rsid w:val="00106036"/>
    <w:rsid w:val="0010604F"/>
    <w:rsid w:val="00106078"/>
    <w:rsid w:val="001060BF"/>
    <w:rsid w:val="001061FF"/>
    <w:rsid w:val="00106A64"/>
    <w:rsid w:val="00106BFF"/>
    <w:rsid w:val="00106D26"/>
    <w:rsid w:val="00106E07"/>
    <w:rsid w:val="00106F38"/>
    <w:rsid w:val="001070C0"/>
    <w:rsid w:val="0010717C"/>
    <w:rsid w:val="001072B2"/>
    <w:rsid w:val="00107313"/>
    <w:rsid w:val="0010736C"/>
    <w:rsid w:val="001079FF"/>
    <w:rsid w:val="00107B76"/>
    <w:rsid w:val="00107C75"/>
    <w:rsid w:val="00107CAA"/>
    <w:rsid w:val="00107DDF"/>
    <w:rsid w:val="001102C0"/>
    <w:rsid w:val="001104C4"/>
    <w:rsid w:val="00110722"/>
    <w:rsid w:val="00110CC4"/>
    <w:rsid w:val="00110DFD"/>
    <w:rsid w:val="00110E1B"/>
    <w:rsid w:val="00110EFD"/>
    <w:rsid w:val="00111063"/>
    <w:rsid w:val="001111C0"/>
    <w:rsid w:val="0011146B"/>
    <w:rsid w:val="00111682"/>
    <w:rsid w:val="00111751"/>
    <w:rsid w:val="00111A80"/>
    <w:rsid w:val="00111B7A"/>
    <w:rsid w:val="00111F49"/>
    <w:rsid w:val="00112052"/>
    <w:rsid w:val="001120B4"/>
    <w:rsid w:val="0011253F"/>
    <w:rsid w:val="00112541"/>
    <w:rsid w:val="001125DF"/>
    <w:rsid w:val="0011270A"/>
    <w:rsid w:val="00112782"/>
    <w:rsid w:val="00112815"/>
    <w:rsid w:val="00112E9D"/>
    <w:rsid w:val="0011325D"/>
    <w:rsid w:val="00113647"/>
    <w:rsid w:val="00113675"/>
    <w:rsid w:val="001138D4"/>
    <w:rsid w:val="00113943"/>
    <w:rsid w:val="001141A7"/>
    <w:rsid w:val="001142E1"/>
    <w:rsid w:val="001146A0"/>
    <w:rsid w:val="0011487B"/>
    <w:rsid w:val="0011494D"/>
    <w:rsid w:val="00114DB7"/>
    <w:rsid w:val="00114FDF"/>
    <w:rsid w:val="00115538"/>
    <w:rsid w:val="00115BB3"/>
    <w:rsid w:val="00115C18"/>
    <w:rsid w:val="00115E58"/>
    <w:rsid w:val="00115EF8"/>
    <w:rsid w:val="00115FAD"/>
    <w:rsid w:val="0011622F"/>
    <w:rsid w:val="00116DAF"/>
    <w:rsid w:val="00116DE2"/>
    <w:rsid w:val="001173A3"/>
    <w:rsid w:val="001173EF"/>
    <w:rsid w:val="00117710"/>
    <w:rsid w:val="00117751"/>
    <w:rsid w:val="001179E3"/>
    <w:rsid w:val="00117A50"/>
    <w:rsid w:val="00117CC8"/>
    <w:rsid w:val="00120091"/>
    <w:rsid w:val="001201E6"/>
    <w:rsid w:val="00120606"/>
    <w:rsid w:val="001207DD"/>
    <w:rsid w:val="00121129"/>
    <w:rsid w:val="00121465"/>
    <w:rsid w:val="001215AD"/>
    <w:rsid w:val="00121896"/>
    <w:rsid w:val="00121BA6"/>
    <w:rsid w:val="00121DC2"/>
    <w:rsid w:val="00121EA5"/>
    <w:rsid w:val="00121F5D"/>
    <w:rsid w:val="00122344"/>
    <w:rsid w:val="00122A27"/>
    <w:rsid w:val="00122A69"/>
    <w:rsid w:val="00122AC1"/>
    <w:rsid w:val="00122EE2"/>
    <w:rsid w:val="001231A4"/>
    <w:rsid w:val="001232F3"/>
    <w:rsid w:val="00123302"/>
    <w:rsid w:val="00123376"/>
    <w:rsid w:val="001235C7"/>
    <w:rsid w:val="001236ED"/>
    <w:rsid w:val="00123AAE"/>
    <w:rsid w:val="00123EEE"/>
    <w:rsid w:val="00124038"/>
    <w:rsid w:val="001244EE"/>
    <w:rsid w:val="001245C8"/>
    <w:rsid w:val="001249A9"/>
    <w:rsid w:val="00124BDD"/>
    <w:rsid w:val="00124DEB"/>
    <w:rsid w:val="00124F02"/>
    <w:rsid w:val="00124F40"/>
    <w:rsid w:val="00125627"/>
    <w:rsid w:val="00125660"/>
    <w:rsid w:val="00125B93"/>
    <w:rsid w:val="00125C79"/>
    <w:rsid w:val="0012619D"/>
    <w:rsid w:val="00126225"/>
    <w:rsid w:val="00126354"/>
    <w:rsid w:val="00126942"/>
    <w:rsid w:val="00126C9F"/>
    <w:rsid w:val="00126D48"/>
    <w:rsid w:val="00126D62"/>
    <w:rsid w:val="00127021"/>
    <w:rsid w:val="00127172"/>
    <w:rsid w:val="001271FC"/>
    <w:rsid w:val="0012723A"/>
    <w:rsid w:val="00127367"/>
    <w:rsid w:val="0012745D"/>
    <w:rsid w:val="001274F6"/>
    <w:rsid w:val="0012753E"/>
    <w:rsid w:val="0012781A"/>
    <w:rsid w:val="001278BE"/>
    <w:rsid w:val="001279BF"/>
    <w:rsid w:val="0013017C"/>
    <w:rsid w:val="001302EA"/>
    <w:rsid w:val="001302EF"/>
    <w:rsid w:val="001308F6"/>
    <w:rsid w:val="00130BEB"/>
    <w:rsid w:val="00130C49"/>
    <w:rsid w:val="001310C8"/>
    <w:rsid w:val="001311AB"/>
    <w:rsid w:val="00131244"/>
    <w:rsid w:val="0013146B"/>
    <w:rsid w:val="00131603"/>
    <w:rsid w:val="001316FD"/>
    <w:rsid w:val="001319BD"/>
    <w:rsid w:val="0013214E"/>
    <w:rsid w:val="00132193"/>
    <w:rsid w:val="00132388"/>
    <w:rsid w:val="00132483"/>
    <w:rsid w:val="001324F3"/>
    <w:rsid w:val="0013256A"/>
    <w:rsid w:val="00132664"/>
    <w:rsid w:val="00132945"/>
    <w:rsid w:val="00132989"/>
    <w:rsid w:val="00132A3B"/>
    <w:rsid w:val="00132DBA"/>
    <w:rsid w:val="00132FD6"/>
    <w:rsid w:val="001332B8"/>
    <w:rsid w:val="0013335C"/>
    <w:rsid w:val="001333DE"/>
    <w:rsid w:val="00133913"/>
    <w:rsid w:val="001339DC"/>
    <w:rsid w:val="00133A00"/>
    <w:rsid w:val="00133BAE"/>
    <w:rsid w:val="00133E57"/>
    <w:rsid w:val="0013406E"/>
    <w:rsid w:val="001340F8"/>
    <w:rsid w:val="001342BF"/>
    <w:rsid w:val="00134498"/>
    <w:rsid w:val="0013498F"/>
    <w:rsid w:val="00134A58"/>
    <w:rsid w:val="00134A8C"/>
    <w:rsid w:val="00135339"/>
    <w:rsid w:val="001353C1"/>
    <w:rsid w:val="00135711"/>
    <w:rsid w:val="001359BA"/>
    <w:rsid w:val="00135BCE"/>
    <w:rsid w:val="00135C5C"/>
    <w:rsid w:val="00135D33"/>
    <w:rsid w:val="00135D36"/>
    <w:rsid w:val="00135FB7"/>
    <w:rsid w:val="001363CC"/>
    <w:rsid w:val="00136478"/>
    <w:rsid w:val="001369E1"/>
    <w:rsid w:val="00136D28"/>
    <w:rsid w:val="00137064"/>
    <w:rsid w:val="0013714C"/>
    <w:rsid w:val="001372E9"/>
    <w:rsid w:val="00137458"/>
    <w:rsid w:val="0013771D"/>
    <w:rsid w:val="001378B8"/>
    <w:rsid w:val="00137B6F"/>
    <w:rsid w:val="00137E03"/>
    <w:rsid w:val="00140017"/>
    <w:rsid w:val="00140212"/>
    <w:rsid w:val="0014032A"/>
    <w:rsid w:val="00140349"/>
    <w:rsid w:val="0014046F"/>
    <w:rsid w:val="001405C6"/>
    <w:rsid w:val="001406BF"/>
    <w:rsid w:val="00140A0C"/>
    <w:rsid w:val="00140B51"/>
    <w:rsid w:val="00140C23"/>
    <w:rsid w:val="00140FE7"/>
    <w:rsid w:val="00141013"/>
    <w:rsid w:val="001410DF"/>
    <w:rsid w:val="001411C7"/>
    <w:rsid w:val="001413A3"/>
    <w:rsid w:val="001414B2"/>
    <w:rsid w:val="00141541"/>
    <w:rsid w:val="00141A52"/>
    <w:rsid w:val="00141AFA"/>
    <w:rsid w:val="00141E9B"/>
    <w:rsid w:val="00141FEE"/>
    <w:rsid w:val="00142705"/>
    <w:rsid w:val="00142AFC"/>
    <w:rsid w:val="00142B82"/>
    <w:rsid w:val="00142FD9"/>
    <w:rsid w:val="00143212"/>
    <w:rsid w:val="001435EF"/>
    <w:rsid w:val="0014379A"/>
    <w:rsid w:val="001437E0"/>
    <w:rsid w:val="00143B3D"/>
    <w:rsid w:val="00143D4C"/>
    <w:rsid w:val="00143D83"/>
    <w:rsid w:val="00143FB1"/>
    <w:rsid w:val="001442CE"/>
    <w:rsid w:val="001444BA"/>
    <w:rsid w:val="00144545"/>
    <w:rsid w:val="0014487B"/>
    <w:rsid w:val="00144948"/>
    <w:rsid w:val="00144AE4"/>
    <w:rsid w:val="00144D58"/>
    <w:rsid w:val="00144E7F"/>
    <w:rsid w:val="001451C9"/>
    <w:rsid w:val="001451CF"/>
    <w:rsid w:val="001451F7"/>
    <w:rsid w:val="00145478"/>
    <w:rsid w:val="00145516"/>
    <w:rsid w:val="001459C8"/>
    <w:rsid w:val="00145A93"/>
    <w:rsid w:val="00145BFB"/>
    <w:rsid w:val="00145E17"/>
    <w:rsid w:val="00146176"/>
    <w:rsid w:val="001467B2"/>
    <w:rsid w:val="00146910"/>
    <w:rsid w:val="001469E5"/>
    <w:rsid w:val="00146D4A"/>
    <w:rsid w:val="00146D75"/>
    <w:rsid w:val="00147296"/>
    <w:rsid w:val="001473E6"/>
    <w:rsid w:val="001477D5"/>
    <w:rsid w:val="00147A6B"/>
    <w:rsid w:val="00147DC1"/>
    <w:rsid w:val="00150239"/>
    <w:rsid w:val="0015025E"/>
    <w:rsid w:val="00150705"/>
    <w:rsid w:val="001507B0"/>
    <w:rsid w:val="00150D06"/>
    <w:rsid w:val="00150D92"/>
    <w:rsid w:val="00150D97"/>
    <w:rsid w:val="00150FB2"/>
    <w:rsid w:val="00151067"/>
    <w:rsid w:val="00151099"/>
    <w:rsid w:val="00151477"/>
    <w:rsid w:val="00151896"/>
    <w:rsid w:val="00151AD3"/>
    <w:rsid w:val="00151AFB"/>
    <w:rsid w:val="00151D48"/>
    <w:rsid w:val="00151D9C"/>
    <w:rsid w:val="00151EA2"/>
    <w:rsid w:val="00152139"/>
    <w:rsid w:val="00152294"/>
    <w:rsid w:val="00152499"/>
    <w:rsid w:val="0015251E"/>
    <w:rsid w:val="00153504"/>
    <w:rsid w:val="001535E9"/>
    <w:rsid w:val="0015378B"/>
    <w:rsid w:val="00153966"/>
    <w:rsid w:val="00153A93"/>
    <w:rsid w:val="00153ABB"/>
    <w:rsid w:val="00153BD3"/>
    <w:rsid w:val="00153D6E"/>
    <w:rsid w:val="00153FC0"/>
    <w:rsid w:val="001542C7"/>
    <w:rsid w:val="00154381"/>
    <w:rsid w:val="00154394"/>
    <w:rsid w:val="001543CA"/>
    <w:rsid w:val="0015442E"/>
    <w:rsid w:val="0015448D"/>
    <w:rsid w:val="001545CE"/>
    <w:rsid w:val="001546C6"/>
    <w:rsid w:val="00154701"/>
    <w:rsid w:val="00154AA7"/>
    <w:rsid w:val="00154BAB"/>
    <w:rsid w:val="00154F04"/>
    <w:rsid w:val="00154F82"/>
    <w:rsid w:val="00154F9C"/>
    <w:rsid w:val="00155125"/>
    <w:rsid w:val="001554A5"/>
    <w:rsid w:val="00155596"/>
    <w:rsid w:val="0015568D"/>
    <w:rsid w:val="0015580C"/>
    <w:rsid w:val="001558AA"/>
    <w:rsid w:val="00155B94"/>
    <w:rsid w:val="00155E87"/>
    <w:rsid w:val="00155F77"/>
    <w:rsid w:val="00155F7B"/>
    <w:rsid w:val="00156078"/>
    <w:rsid w:val="001561C5"/>
    <w:rsid w:val="001565E2"/>
    <w:rsid w:val="0015664C"/>
    <w:rsid w:val="00156934"/>
    <w:rsid w:val="0015699D"/>
    <w:rsid w:val="00156C07"/>
    <w:rsid w:val="00156F09"/>
    <w:rsid w:val="00157017"/>
    <w:rsid w:val="001572C3"/>
    <w:rsid w:val="0015766B"/>
    <w:rsid w:val="00157EA4"/>
    <w:rsid w:val="0016008F"/>
    <w:rsid w:val="0016009B"/>
    <w:rsid w:val="0016034D"/>
    <w:rsid w:val="0016052F"/>
    <w:rsid w:val="00160624"/>
    <w:rsid w:val="0016072A"/>
    <w:rsid w:val="00160AEA"/>
    <w:rsid w:val="00160CFE"/>
    <w:rsid w:val="001610AE"/>
    <w:rsid w:val="00161430"/>
    <w:rsid w:val="0016160D"/>
    <w:rsid w:val="00161866"/>
    <w:rsid w:val="0016187C"/>
    <w:rsid w:val="00161E0D"/>
    <w:rsid w:val="00161E1B"/>
    <w:rsid w:val="001621E0"/>
    <w:rsid w:val="00162515"/>
    <w:rsid w:val="001625F9"/>
    <w:rsid w:val="001626B7"/>
    <w:rsid w:val="00162751"/>
    <w:rsid w:val="001627AC"/>
    <w:rsid w:val="00162815"/>
    <w:rsid w:val="0016288A"/>
    <w:rsid w:val="00163222"/>
    <w:rsid w:val="00163259"/>
    <w:rsid w:val="0016328C"/>
    <w:rsid w:val="0016343F"/>
    <w:rsid w:val="00163441"/>
    <w:rsid w:val="001634A4"/>
    <w:rsid w:val="00163555"/>
    <w:rsid w:val="001635F3"/>
    <w:rsid w:val="0016369E"/>
    <w:rsid w:val="001637EF"/>
    <w:rsid w:val="00163839"/>
    <w:rsid w:val="001638CC"/>
    <w:rsid w:val="00163BB2"/>
    <w:rsid w:val="00164176"/>
    <w:rsid w:val="001641A6"/>
    <w:rsid w:val="001644DC"/>
    <w:rsid w:val="0016454C"/>
    <w:rsid w:val="001648AD"/>
    <w:rsid w:val="00164D2B"/>
    <w:rsid w:val="001651B2"/>
    <w:rsid w:val="00165313"/>
    <w:rsid w:val="0016587B"/>
    <w:rsid w:val="0016589B"/>
    <w:rsid w:val="001659A2"/>
    <w:rsid w:val="001659B8"/>
    <w:rsid w:val="00166090"/>
    <w:rsid w:val="001660B4"/>
    <w:rsid w:val="00166148"/>
    <w:rsid w:val="001663B0"/>
    <w:rsid w:val="001663F6"/>
    <w:rsid w:val="00166B48"/>
    <w:rsid w:val="00167135"/>
    <w:rsid w:val="0016739C"/>
    <w:rsid w:val="00167429"/>
    <w:rsid w:val="001676A3"/>
    <w:rsid w:val="00167845"/>
    <w:rsid w:val="00167870"/>
    <w:rsid w:val="0016791D"/>
    <w:rsid w:val="00167CBE"/>
    <w:rsid w:val="00167EF8"/>
    <w:rsid w:val="00170108"/>
    <w:rsid w:val="0017041F"/>
    <w:rsid w:val="00170445"/>
    <w:rsid w:val="00170DEA"/>
    <w:rsid w:val="00171260"/>
    <w:rsid w:val="001712E9"/>
    <w:rsid w:val="00171518"/>
    <w:rsid w:val="001715A6"/>
    <w:rsid w:val="00171684"/>
    <w:rsid w:val="00171936"/>
    <w:rsid w:val="00171AE0"/>
    <w:rsid w:val="00171AE5"/>
    <w:rsid w:val="00171BAB"/>
    <w:rsid w:val="00172117"/>
    <w:rsid w:val="0017274E"/>
    <w:rsid w:val="00172855"/>
    <w:rsid w:val="00172DDC"/>
    <w:rsid w:val="00172FC7"/>
    <w:rsid w:val="0017326C"/>
    <w:rsid w:val="0017328C"/>
    <w:rsid w:val="00173597"/>
    <w:rsid w:val="001736A3"/>
    <w:rsid w:val="00173710"/>
    <w:rsid w:val="00173950"/>
    <w:rsid w:val="00173C27"/>
    <w:rsid w:val="001742C1"/>
    <w:rsid w:val="001746DC"/>
    <w:rsid w:val="0017513B"/>
    <w:rsid w:val="001753AA"/>
    <w:rsid w:val="001755F2"/>
    <w:rsid w:val="0017572C"/>
    <w:rsid w:val="00175C03"/>
    <w:rsid w:val="00175EF0"/>
    <w:rsid w:val="00175F6E"/>
    <w:rsid w:val="00175FA1"/>
    <w:rsid w:val="001760C1"/>
    <w:rsid w:val="0017644F"/>
    <w:rsid w:val="0017652F"/>
    <w:rsid w:val="001766FC"/>
    <w:rsid w:val="001768A2"/>
    <w:rsid w:val="00176952"/>
    <w:rsid w:val="00176B0C"/>
    <w:rsid w:val="00176C0B"/>
    <w:rsid w:val="00176DD9"/>
    <w:rsid w:val="00176FC0"/>
    <w:rsid w:val="001770AF"/>
    <w:rsid w:val="00177666"/>
    <w:rsid w:val="00177902"/>
    <w:rsid w:val="00177A22"/>
    <w:rsid w:val="00177CA7"/>
    <w:rsid w:val="00177DB2"/>
    <w:rsid w:val="00177EFF"/>
    <w:rsid w:val="0018040C"/>
    <w:rsid w:val="001804F6"/>
    <w:rsid w:val="00180504"/>
    <w:rsid w:val="001806DF"/>
    <w:rsid w:val="0018082E"/>
    <w:rsid w:val="00180A67"/>
    <w:rsid w:val="00180BBF"/>
    <w:rsid w:val="00180C11"/>
    <w:rsid w:val="00181444"/>
    <w:rsid w:val="001814B0"/>
    <w:rsid w:val="00181906"/>
    <w:rsid w:val="00181C53"/>
    <w:rsid w:val="00181EC7"/>
    <w:rsid w:val="00181FBB"/>
    <w:rsid w:val="0018202E"/>
    <w:rsid w:val="001821C1"/>
    <w:rsid w:val="001822C5"/>
    <w:rsid w:val="00182448"/>
    <w:rsid w:val="00182A74"/>
    <w:rsid w:val="00182DCB"/>
    <w:rsid w:val="00183030"/>
    <w:rsid w:val="0018318F"/>
    <w:rsid w:val="00183274"/>
    <w:rsid w:val="0018353C"/>
    <w:rsid w:val="00183613"/>
    <w:rsid w:val="00183BB0"/>
    <w:rsid w:val="00184042"/>
    <w:rsid w:val="00184639"/>
    <w:rsid w:val="0018473F"/>
    <w:rsid w:val="00184936"/>
    <w:rsid w:val="00184B1E"/>
    <w:rsid w:val="00184BA5"/>
    <w:rsid w:val="00184CE3"/>
    <w:rsid w:val="00184CF5"/>
    <w:rsid w:val="00184DC2"/>
    <w:rsid w:val="00184E32"/>
    <w:rsid w:val="00184EE4"/>
    <w:rsid w:val="00184F8B"/>
    <w:rsid w:val="00184FD7"/>
    <w:rsid w:val="0018527A"/>
    <w:rsid w:val="001853DB"/>
    <w:rsid w:val="00185A9F"/>
    <w:rsid w:val="00185B19"/>
    <w:rsid w:val="00185C6E"/>
    <w:rsid w:val="00185D1C"/>
    <w:rsid w:val="00185FD6"/>
    <w:rsid w:val="001866B5"/>
    <w:rsid w:val="00186E1A"/>
    <w:rsid w:val="00186E7B"/>
    <w:rsid w:val="00187044"/>
    <w:rsid w:val="0018711D"/>
    <w:rsid w:val="00187477"/>
    <w:rsid w:val="00187704"/>
    <w:rsid w:val="00187828"/>
    <w:rsid w:val="00187A25"/>
    <w:rsid w:val="00187ADA"/>
    <w:rsid w:val="00187B5B"/>
    <w:rsid w:val="00187DCA"/>
    <w:rsid w:val="00187F79"/>
    <w:rsid w:val="00190097"/>
    <w:rsid w:val="00190165"/>
    <w:rsid w:val="0019066A"/>
    <w:rsid w:val="00190722"/>
    <w:rsid w:val="00190786"/>
    <w:rsid w:val="001908F3"/>
    <w:rsid w:val="00190EBD"/>
    <w:rsid w:val="001912D8"/>
    <w:rsid w:val="00191300"/>
    <w:rsid w:val="001913E9"/>
    <w:rsid w:val="00191713"/>
    <w:rsid w:val="00191717"/>
    <w:rsid w:val="0019178C"/>
    <w:rsid w:val="00191D90"/>
    <w:rsid w:val="0019205F"/>
    <w:rsid w:val="001923AA"/>
    <w:rsid w:val="00192499"/>
    <w:rsid w:val="001925ED"/>
    <w:rsid w:val="00192CBF"/>
    <w:rsid w:val="00192D67"/>
    <w:rsid w:val="00192D8E"/>
    <w:rsid w:val="00192FF1"/>
    <w:rsid w:val="00193015"/>
    <w:rsid w:val="00193050"/>
    <w:rsid w:val="001934BE"/>
    <w:rsid w:val="00193667"/>
    <w:rsid w:val="00193939"/>
    <w:rsid w:val="00193AD9"/>
    <w:rsid w:val="00193AFD"/>
    <w:rsid w:val="00193CFE"/>
    <w:rsid w:val="00193D7F"/>
    <w:rsid w:val="00193E10"/>
    <w:rsid w:val="00193F77"/>
    <w:rsid w:val="00193F99"/>
    <w:rsid w:val="00194257"/>
    <w:rsid w:val="0019433B"/>
    <w:rsid w:val="00194480"/>
    <w:rsid w:val="001944A7"/>
    <w:rsid w:val="00194620"/>
    <w:rsid w:val="001948B6"/>
    <w:rsid w:val="00195016"/>
    <w:rsid w:val="0019522F"/>
    <w:rsid w:val="00195563"/>
    <w:rsid w:val="001956CD"/>
    <w:rsid w:val="00195786"/>
    <w:rsid w:val="001957B0"/>
    <w:rsid w:val="00195805"/>
    <w:rsid w:val="00195836"/>
    <w:rsid w:val="00196268"/>
    <w:rsid w:val="00196328"/>
    <w:rsid w:val="00196942"/>
    <w:rsid w:val="00196EAC"/>
    <w:rsid w:val="0019722C"/>
    <w:rsid w:val="00197423"/>
    <w:rsid w:val="00197C6A"/>
    <w:rsid w:val="001A036B"/>
    <w:rsid w:val="001A05AC"/>
    <w:rsid w:val="001A0A92"/>
    <w:rsid w:val="001A0FBC"/>
    <w:rsid w:val="001A1986"/>
    <w:rsid w:val="001A1AB8"/>
    <w:rsid w:val="001A204D"/>
    <w:rsid w:val="001A24E9"/>
    <w:rsid w:val="001A25CA"/>
    <w:rsid w:val="001A2865"/>
    <w:rsid w:val="001A2872"/>
    <w:rsid w:val="001A2E10"/>
    <w:rsid w:val="001A2E11"/>
    <w:rsid w:val="001A30E7"/>
    <w:rsid w:val="001A3290"/>
    <w:rsid w:val="001A38A0"/>
    <w:rsid w:val="001A3C17"/>
    <w:rsid w:val="001A3DFA"/>
    <w:rsid w:val="001A4086"/>
    <w:rsid w:val="001A46B9"/>
    <w:rsid w:val="001A47A0"/>
    <w:rsid w:val="001A4834"/>
    <w:rsid w:val="001A49AE"/>
    <w:rsid w:val="001A4AD0"/>
    <w:rsid w:val="001A4B4C"/>
    <w:rsid w:val="001A4CB2"/>
    <w:rsid w:val="001A4E6F"/>
    <w:rsid w:val="001A4FC0"/>
    <w:rsid w:val="001A5177"/>
    <w:rsid w:val="001A52BD"/>
    <w:rsid w:val="001A582B"/>
    <w:rsid w:val="001A5909"/>
    <w:rsid w:val="001A5966"/>
    <w:rsid w:val="001A5A2F"/>
    <w:rsid w:val="001A5AE4"/>
    <w:rsid w:val="001A5E1C"/>
    <w:rsid w:val="001A5E2C"/>
    <w:rsid w:val="001A5F1B"/>
    <w:rsid w:val="001A5F8B"/>
    <w:rsid w:val="001A6097"/>
    <w:rsid w:val="001A66FE"/>
    <w:rsid w:val="001A69AD"/>
    <w:rsid w:val="001A6B7D"/>
    <w:rsid w:val="001A6DF8"/>
    <w:rsid w:val="001A6F28"/>
    <w:rsid w:val="001A727C"/>
    <w:rsid w:val="001A7497"/>
    <w:rsid w:val="001A75F9"/>
    <w:rsid w:val="001A7C6C"/>
    <w:rsid w:val="001A7D62"/>
    <w:rsid w:val="001B0004"/>
    <w:rsid w:val="001B033B"/>
    <w:rsid w:val="001B04A3"/>
    <w:rsid w:val="001B0669"/>
    <w:rsid w:val="001B0BD9"/>
    <w:rsid w:val="001B0F77"/>
    <w:rsid w:val="001B0FA8"/>
    <w:rsid w:val="001B10CA"/>
    <w:rsid w:val="001B170C"/>
    <w:rsid w:val="001B1816"/>
    <w:rsid w:val="001B18D3"/>
    <w:rsid w:val="001B1C22"/>
    <w:rsid w:val="001B1CF2"/>
    <w:rsid w:val="001B231A"/>
    <w:rsid w:val="001B250C"/>
    <w:rsid w:val="001B2DFD"/>
    <w:rsid w:val="001B3044"/>
    <w:rsid w:val="001B30F7"/>
    <w:rsid w:val="001B31C8"/>
    <w:rsid w:val="001B3290"/>
    <w:rsid w:val="001B3360"/>
    <w:rsid w:val="001B34C6"/>
    <w:rsid w:val="001B3620"/>
    <w:rsid w:val="001B3856"/>
    <w:rsid w:val="001B38BB"/>
    <w:rsid w:val="001B40BF"/>
    <w:rsid w:val="001B41F8"/>
    <w:rsid w:val="001B448D"/>
    <w:rsid w:val="001B449D"/>
    <w:rsid w:val="001B4892"/>
    <w:rsid w:val="001B4BC0"/>
    <w:rsid w:val="001B4BC4"/>
    <w:rsid w:val="001B4D9E"/>
    <w:rsid w:val="001B4E05"/>
    <w:rsid w:val="001B4E25"/>
    <w:rsid w:val="001B529A"/>
    <w:rsid w:val="001B53C9"/>
    <w:rsid w:val="001B556C"/>
    <w:rsid w:val="001B5801"/>
    <w:rsid w:val="001B59BA"/>
    <w:rsid w:val="001B5B43"/>
    <w:rsid w:val="001B5B94"/>
    <w:rsid w:val="001B636D"/>
    <w:rsid w:val="001B661E"/>
    <w:rsid w:val="001B664D"/>
    <w:rsid w:val="001B673A"/>
    <w:rsid w:val="001B6D13"/>
    <w:rsid w:val="001B72DD"/>
    <w:rsid w:val="001B751D"/>
    <w:rsid w:val="001B75F8"/>
    <w:rsid w:val="001B7676"/>
    <w:rsid w:val="001B7D78"/>
    <w:rsid w:val="001B7E7B"/>
    <w:rsid w:val="001C010A"/>
    <w:rsid w:val="001C038B"/>
    <w:rsid w:val="001C0709"/>
    <w:rsid w:val="001C0A5D"/>
    <w:rsid w:val="001C12E4"/>
    <w:rsid w:val="001C15E1"/>
    <w:rsid w:val="001C1780"/>
    <w:rsid w:val="001C2011"/>
    <w:rsid w:val="001C21F9"/>
    <w:rsid w:val="001C2458"/>
    <w:rsid w:val="001C249B"/>
    <w:rsid w:val="001C2681"/>
    <w:rsid w:val="001C27BD"/>
    <w:rsid w:val="001C2A6D"/>
    <w:rsid w:val="001C2F6C"/>
    <w:rsid w:val="001C33D2"/>
    <w:rsid w:val="001C34DE"/>
    <w:rsid w:val="001C3B70"/>
    <w:rsid w:val="001C3D25"/>
    <w:rsid w:val="001C424F"/>
    <w:rsid w:val="001C4270"/>
    <w:rsid w:val="001C4A92"/>
    <w:rsid w:val="001C500B"/>
    <w:rsid w:val="001C50F7"/>
    <w:rsid w:val="001C5372"/>
    <w:rsid w:val="001C5539"/>
    <w:rsid w:val="001C5813"/>
    <w:rsid w:val="001C5997"/>
    <w:rsid w:val="001C5AB3"/>
    <w:rsid w:val="001C5C89"/>
    <w:rsid w:val="001C5D97"/>
    <w:rsid w:val="001C5E17"/>
    <w:rsid w:val="001C5E3C"/>
    <w:rsid w:val="001C5FF1"/>
    <w:rsid w:val="001C6052"/>
    <w:rsid w:val="001C6072"/>
    <w:rsid w:val="001C6309"/>
    <w:rsid w:val="001C647D"/>
    <w:rsid w:val="001C6551"/>
    <w:rsid w:val="001C6682"/>
    <w:rsid w:val="001C66C2"/>
    <w:rsid w:val="001C682F"/>
    <w:rsid w:val="001C6A13"/>
    <w:rsid w:val="001C7085"/>
    <w:rsid w:val="001C71BA"/>
    <w:rsid w:val="001C758E"/>
    <w:rsid w:val="001C75A4"/>
    <w:rsid w:val="001C777D"/>
    <w:rsid w:val="001C7C4B"/>
    <w:rsid w:val="001C7D1E"/>
    <w:rsid w:val="001C7ECD"/>
    <w:rsid w:val="001C7F77"/>
    <w:rsid w:val="001D0449"/>
    <w:rsid w:val="001D06EA"/>
    <w:rsid w:val="001D0B80"/>
    <w:rsid w:val="001D0D9E"/>
    <w:rsid w:val="001D0F1E"/>
    <w:rsid w:val="001D0FBB"/>
    <w:rsid w:val="001D1067"/>
    <w:rsid w:val="001D13A1"/>
    <w:rsid w:val="001D13FF"/>
    <w:rsid w:val="001D1604"/>
    <w:rsid w:val="001D1914"/>
    <w:rsid w:val="001D19DB"/>
    <w:rsid w:val="001D2112"/>
    <w:rsid w:val="001D23CE"/>
    <w:rsid w:val="001D2416"/>
    <w:rsid w:val="001D241B"/>
    <w:rsid w:val="001D2449"/>
    <w:rsid w:val="001D25DB"/>
    <w:rsid w:val="001D2823"/>
    <w:rsid w:val="001D2896"/>
    <w:rsid w:val="001D2C8D"/>
    <w:rsid w:val="001D2D61"/>
    <w:rsid w:val="001D2E16"/>
    <w:rsid w:val="001D32CC"/>
    <w:rsid w:val="001D35C8"/>
    <w:rsid w:val="001D3798"/>
    <w:rsid w:val="001D3D44"/>
    <w:rsid w:val="001D407A"/>
    <w:rsid w:val="001D407E"/>
    <w:rsid w:val="001D4752"/>
    <w:rsid w:val="001D4B2C"/>
    <w:rsid w:val="001D4BC5"/>
    <w:rsid w:val="001D4BFA"/>
    <w:rsid w:val="001D4E58"/>
    <w:rsid w:val="001D509F"/>
    <w:rsid w:val="001D50AC"/>
    <w:rsid w:val="001D5143"/>
    <w:rsid w:val="001D5356"/>
    <w:rsid w:val="001D535F"/>
    <w:rsid w:val="001D5589"/>
    <w:rsid w:val="001D585B"/>
    <w:rsid w:val="001D5B85"/>
    <w:rsid w:val="001D5C67"/>
    <w:rsid w:val="001D5D02"/>
    <w:rsid w:val="001D6561"/>
    <w:rsid w:val="001D6576"/>
    <w:rsid w:val="001D66B3"/>
    <w:rsid w:val="001D66E0"/>
    <w:rsid w:val="001D6EA5"/>
    <w:rsid w:val="001D6F8C"/>
    <w:rsid w:val="001D74FD"/>
    <w:rsid w:val="001D757D"/>
    <w:rsid w:val="001D7583"/>
    <w:rsid w:val="001D774C"/>
    <w:rsid w:val="001D7785"/>
    <w:rsid w:val="001D77A6"/>
    <w:rsid w:val="001D7832"/>
    <w:rsid w:val="001D78E8"/>
    <w:rsid w:val="001D7AA0"/>
    <w:rsid w:val="001D7CEB"/>
    <w:rsid w:val="001E0282"/>
    <w:rsid w:val="001E02E2"/>
    <w:rsid w:val="001E038F"/>
    <w:rsid w:val="001E053D"/>
    <w:rsid w:val="001E06D1"/>
    <w:rsid w:val="001E0AC0"/>
    <w:rsid w:val="001E0CFC"/>
    <w:rsid w:val="001E0FF9"/>
    <w:rsid w:val="001E1294"/>
    <w:rsid w:val="001E1321"/>
    <w:rsid w:val="001E13FC"/>
    <w:rsid w:val="001E1406"/>
    <w:rsid w:val="001E1542"/>
    <w:rsid w:val="001E166A"/>
    <w:rsid w:val="001E16D7"/>
    <w:rsid w:val="001E1930"/>
    <w:rsid w:val="001E1E56"/>
    <w:rsid w:val="001E221A"/>
    <w:rsid w:val="001E251F"/>
    <w:rsid w:val="001E2AB3"/>
    <w:rsid w:val="001E2CD3"/>
    <w:rsid w:val="001E2DAA"/>
    <w:rsid w:val="001E2FF4"/>
    <w:rsid w:val="001E3117"/>
    <w:rsid w:val="001E31E8"/>
    <w:rsid w:val="001E336A"/>
    <w:rsid w:val="001E3377"/>
    <w:rsid w:val="001E337B"/>
    <w:rsid w:val="001E3501"/>
    <w:rsid w:val="001E371B"/>
    <w:rsid w:val="001E3755"/>
    <w:rsid w:val="001E37F2"/>
    <w:rsid w:val="001E433B"/>
    <w:rsid w:val="001E44BE"/>
    <w:rsid w:val="001E46E4"/>
    <w:rsid w:val="001E47E6"/>
    <w:rsid w:val="001E480B"/>
    <w:rsid w:val="001E4B81"/>
    <w:rsid w:val="001E4E97"/>
    <w:rsid w:val="001E4E9A"/>
    <w:rsid w:val="001E5028"/>
    <w:rsid w:val="001E5373"/>
    <w:rsid w:val="001E54D4"/>
    <w:rsid w:val="001E569A"/>
    <w:rsid w:val="001E58D2"/>
    <w:rsid w:val="001E5DDA"/>
    <w:rsid w:val="001E5EDC"/>
    <w:rsid w:val="001E64F2"/>
    <w:rsid w:val="001E65E7"/>
    <w:rsid w:val="001E6974"/>
    <w:rsid w:val="001E731C"/>
    <w:rsid w:val="001E7512"/>
    <w:rsid w:val="001E76B1"/>
    <w:rsid w:val="001E7CAD"/>
    <w:rsid w:val="001E7CBB"/>
    <w:rsid w:val="001E7D6D"/>
    <w:rsid w:val="001E7F7E"/>
    <w:rsid w:val="001F0295"/>
    <w:rsid w:val="001F03EB"/>
    <w:rsid w:val="001F0587"/>
    <w:rsid w:val="001F05C2"/>
    <w:rsid w:val="001F06FA"/>
    <w:rsid w:val="001F0ACE"/>
    <w:rsid w:val="001F0B35"/>
    <w:rsid w:val="001F0C2A"/>
    <w:rsid w:val="001F0D0B"/>
    <w:rsid w:val="001F1269"/>
    <w:rsid w:val="001F1408"/>
    <w:rsid w:val="001F1414"/>
    <w:rsid w:val="001F16E9"/>
    <w:rsid w:val="001F170E"/>
    <w:rsid w:val="001F1727"/>
    <w:rsid w:val="001F1FF7"/>
    <w:rsid w:val="001F21DF"/>
    <w:rsid w:val="001F2313"/>
    <w:rsid w:val="001F2368"/>
    <w:rsid w:val="001F2477"/>
    <w:rsid w:val="001F2D1F"/>
    <w:rsid w:val="001F2D99"/>
    <w:rsid w:val="001F2DA0"/>
    <w:rsid w:val="001F2E06"/>
    <w:rsid w:val="001F3308"/>
    <w:rsid w:val="001F3981"/>
    <w:rsid w:val="001F4070"/>
    <w:rsid w:val="001F459D"/>
    <w:rsid w:val="001F4660"/>
    <w:rsid w:val="001F480F"/>
    <w:rsid w:val="001F4876"/>
    <w:rsid w:val="001F4893"/>
    <w:rsid w:val="001F4B9F"/>
    <w:rsid w:val="001F526A"/>
    <w:rsid w:val="001F5567"/>
    <w:rsid w:val="001F569C"/>
    <w:rsid w:val="001F56EF"/>
    <w:rsid w:val="001F5743"/>
    <w:rsid w:val="001F5753"/>
    <w:rsid w:val="001F57ED"/>
    <w:rsid w:val="001F582F"/>
    <w:rsid w:val="001F5883"/>
    <w:rsid w:val="001F5A11"/>
    <w:rsid w:val="001F5BC2"/>
    <w:rsid w:val="001F5BEC"/>
    <w:rsid w:val="001F5EA2"/>
    <w:rsid w:val="001F6651"/>
    <w:rsid w:val="001F676A"/>
    <w:rsid w:val="001F6BDB"/>
    <w:rsid w:val="001F6EE4"/>
    <w:rsid w:val="001F71B4"/>
    <w:rsid w:val="001F7455"/>
    <w:rsid w:val="001F7752"/>
    <w:rsid w:val="001F7768"/>
    <w:rsid w:val="001F79E2"/>
    <w:rsid w:val="001F7BD5"/>
    <w:rsid w:val="0020003F"/>
    <w:rsid w:val="00200309"/>
    <w:rsid w:val="002003F1"/>
    <w:rsid w:val="00200819"/>
    <w:rsid w:val="002009D1"/>
    <w:rsid w:val="00200A3C"/>
    <w:rsid w:val="00200B0A"/>
    <w:rsid w:val="00200E07"/>
    <w:rsid w:val="00200E8B"/>
    <w:rsid w:val="00201005"/>
    <w:rsid w:val="002016C0"/>
    <w:rsid w:val="002016C4"/>
    <w:rsid w:val="0020177B"/>
    <w:rsid w:val="0020195B"/>
    <w:rsid w:val="002019A2"/>
    <w:rsid w:val="00201ED4"/>
    <w:rsid w:val="00202160"/>
    <w:rsid w:val="00202377"/>
    <w:rsid w:val="00202723"/>
    <w:rsid w:val="002029ED"/>
    <w:rsid w:val="00202BD3"/>
    <w:rsid w:val="00202C2B"/>
    <w:rsid w:val="00202F70"/>
    <w:rsid w:val="00202F81"/>
    <w:rsid w:val="00202FE1"/>
    <w:rsid w:val="00203097"/>
    <w:rsid w:val="002033DF"/>
    <w:rsid w:val="00203598"/>
    <w:rsid w:val="00203ADC"/>
    <w:rsid w:val="00203C17"/>
    <w:rsid w:val="00203C3A"/>
    <w:rsid w:val="00203F25"/>
    <w:rsid w:val="0020409A"/>
    <w:rsid w:val="002046EB"/>
    <w:rsid w:val="00204867"/>
    <w:rsid w:val="00204D0E"/>
    <w:rsid w:val="00204E65"/>
    <w:rsid w:val="00204E88"/>
    <w:rsid w:val="0020504F"/>
    <w:rsid w:val="00205145"/>
    <w:rsid w:val="002051D0"/>
    <w:rsid w:val="00205566"/>
    <w:rsid w:val="00205961"/>
    <w:rsid w:val="00205C60"/>
    <w:rsid w:val="00205D8D"/>
    <w:rsid w:val="00205E19"/>
    <w:rsid w:val="00205F03"/>
    <w:rsid w:val="00205FA8"/>
    <w:rsid w:val="00205FED"/>
    <w:rsid w:val="0020604C"/>
    <w:rsid w:val="00206101"/>
    <w:rsid w:val="002061B8"/>
    <w:rsid w:val="00206886"/>
    <w:rsid w:val="00206984"/>
    <w:rsid w:val="00206DD2"/>
    <w:rsid w:val="00206DE8"/>
    <w:rsid w:val="0020701C"/>
    <w:rsid w:val="002074A1"/>
    <w:rsid w:val="00207658"/>
    <w:rsid w:val="0020798F"/>
    <w:rsid w:val="00207C14"/>
    <w:rsid w:val="00210154"/>
    <w:rsid w:val="00210272"/>
    <w:rsid w:val="00210284"/>
    <w:rsid w:val="0021067D"/>
    <w:rsid w:val="00210755"/>
    <w:rsid w:val="002107B4"/>
    <w:rsid w:val="002107D8"/>
    <w:rsid w:val="002109ED"/>
    <w:rsid w:val="00210CA0"/>
    <w:rsid w:val="00211044"/>
    <w:rsid w:val="002112C2"/>
    <w:rsid w:val="00211429"/>
    <w:rsid w:val="00211471"/>
    <w:rsid w:val="0021155F"/>
    <w:rsid w:val="00211D34"/>
    <w:rsid w:val="00211D45"/>
    <w:rsid w:val="00212035"/>
    <w:rsid w:val="0021213A"/>
    <w:rsid w:val="002122FB"/>
    <w:rsid w:val="002123E4"/>
    <w:rsid w:val="0021287B"/>
    <w:rsid w:val="00212A66"/>
    <w:rsid w:val="00212AE1"/>
    <w:rsid w:val="00212F6B"/>
    <w:rsid w:val="0021313E"/>
    <w:rsid w:val="002132A7"/>
    <w:rsid w:val="00213332"/>
    <w:rsid w:val="0021335F"/>
    <w:rsid w:val="00213C6F"/>
    <w:rsid w:val="0021451C"/>
    <w:rsid w:val="00214651"/>
    <w:rsid w:val="00214941"/>
    <w:rsid w:val="00214A46"/>
    <w:rsid w:val="00214DC5"/>
    <w:rsid w:val="00214E3D"/>
    <w:rsid w:val="00214F04"/>
    <w:rsid w:val="002150F7"/>
    <w:rsid w:val="002152F0"/>
    <w:rsid w:val="0021563C"/>
    <w:rsid w:val="002158BA"/>
    <w:rsid w:val="00215D54"/>
    <w:rsid w:val="00215E79"/>
    <w:rsid w:val="00215F87"/>
    <w:rsid w:val="002164C1"/>
    <w:rsid w:val="00216508"/>
    <w:rsid w:val="0021666C"/>
    <w:rsid w:val="00216ADF"/>
    <w:rsid w:val="0021702F"/>
    <w:rsid w:val="0021715A"/>
    <w:rsid w:val="002172AA"/>
    <w:rsid w:val="002174EF"/>
    <w:rsid w:val="00217582"/>
    <w:rsid w:val="0021773B"/>
    <w:rsid w:val="0021789C"/>
    <w:rsid w:val="0021798F"/>
    <w:rsid w:val="00217E99"/>
    <w:rsid w:val="00220213"/>
    <w:rsid w:val="00220298"/>
    <w:rsid w:val="0022048F"/>
    <w:rsid w:val="00220862"/>
    <w:rsid w:val="00220960"/>
    <w:rsid w:val="00220DE9"/>
    <w:rsid w:val="00221451"/>
    <w:rsid w:val="002214B4"/>
    <w:rsid w:val="002214F5"/>
    <w:rsid w:val="002215E7"/>
    <w:rsid w:val="002217D0"/>
    <w:rsid w:val="00221896"/>
    <w:rsid w:val="00221CEB"/>
    <w:rsid w:val="00221DEC"/>
    <w:rsid w:val="002220CD"/>
    <w:rsid w:val="002224D3"/>
    <w:rsid w:val="0022264B"/>
    <w:rsid w:val="002226C8"/>
    <w:rsid w:val="002226D9"/>
    <w:rsid w:val="00222706"/>
    <w:rsid w:val="00222751"/>
    <w:rsid w:val="002227FE"/>
    <w:rsid w:val="00222955"/>
    <w:rsid w:val="00222E39"/>
    <w:rsid w:val="00222E9D"/>
    <w:rsid w:val="0022304A"/>
    <w:rsid w:val="0022365C"/>
    <w:rsid w:val="0022385B"/>
    <w:rsid w:val="00223A4E"/>
    <w:rsid w:val="00223C96"/>
    <w:rsid w:val="00223D19"/>
    <w:rsid w:val="0022444F"/>
    <w:rsid w:val="0022454F"/>
    <w:rsid w:val="00224558"/>
    <w:rsid w:val="002245A5"/>
    <w:rsid w:val="0022466B"/>
    <w:rsid w:val="00224B37"/>
    <w:rsid w:val="00224B59"/>
    <w:rsid w:val="00224C18"/>
    <w:rsid w:val="00224DF9"/>
    <w:rsid w:val="00224E8C"/>
    <w:rsid w:val="00225143"/>
    <w:rsid w:val="00225173"/>
    <w:rsid w:val="00225341"/>
    <w:rsid w:val="0022538E"/>
    <w:rsid w:val="002256AE"/>
    <w:rsid w:val="00225731"/>
    <w:rsid w:val="002257D1"/>
    <w:rsid w:val="002257E4"/>
    <w:rsid w:val="00225AB9"/>
    <w:rsid w:val="00225BCC"/>
    <w:rsid w:val="00225D4F"/>
    <w:rsid w:val="00225F1F"/>
    <w:rsid w:val="00225F6E"/>
    <w:rsid w:val="00226592"/>
    <w:rsid w:val="002265A7"/>
    <w:rsid w:val="00226648"/>
    <w:rsid w:val="00226670"/>
    <w:rsid w:val="00226D28"/>
    <w:rsid w:val="00226FB5"/>
    <w:rsid w:val="002270DE"/>
    <w:rsid w:val="002272D1"/>
    <w:rsid w:val="002275E1"/>
    <w:rsid w:val="00227645"/>
    <w:rsid w:val="0022789F"/>
    <w:rsid w:val="002278CA"/>
    <w:rsid w:val="00227DB5"/>
    <w:rsid w:val="00227E06"/>
    <w:rsid w:val="00230117"/>
    <w:rsid w:val="00230B89"/>
    <w:rsid w:val="00230CAA"/>
    <w:rsid w:val="00230DA5"/>
    <w:rsid w:val="00230FB7"/>
    <w:rsid w:val="00231324"/>
    <w:rsid w:val="00231442"/>
    <w:rsid w:val="002314E8"/>
    <w:rsid w:val="002317A5"/>
    <w:rsid w:val="00231923"/>
    <w:rsid w:val="002319E7"/>
    <w:rsid w:val="00231A93"/>
    <w:rsid w:val="00231C83"/>
    <w:rsid w:val="00231F4E"/>
    <w:rsid w:val="002320E0"/>
    <w:rsid w:val="0023223B"/>
    <w:rsid w:val="002326EE"/>
    <w:rsid w:val="0023284F"/>
    <w:rsid w:val="002329E9"/>
    <w:rsid w:val="00232B06"/>
    <w:rsid w:val="00232F37"/>
    <w:rsid w:val="0023323F"/>
    <w:rsid w:val="00233450"/>
    <w:rsid w:val="002335A7"/>
    <w:rsid w:val="00233641"/>
    <w:rsid w:val="002337E3"/>
    <w:rsid w:val="00233823"/>
    <w:rsid w:val="00233BDF"/>
    <w:rsid w:val="0023401B"/>
    <w:rsid w:val="002340BC"/>
    <w:rsid w:val="002348F2"/>
    <w:rsid w:val="00234A50"/>
    <w:rsid w:val="00234E24"/>
    <w:rsid w:val="002350FF"/>
    <w:rsid w:val="0023538B"/>
    <w:rsid w:val="002356A0"/>
    <w:rsid w:val="0023570E"/>
    <w:rsid w:val="0023584C"/>
    <w:rsid w:val="00235C33"/>
    <w:rsid w:val="00235CBC"/>
    <w:rsid w:val="00235CDA"/>
    <w:rsid w:val="00235E85"/>
    <w:rsid w:val="0023602D"/>
    <w:rsid w:val="00236104"/>
    <w:rsid w:val="00236272"/>
    <w:rsid w:val="002363AC"/>
    <w:rsid w:val="00236725"/>
    <w:rsid w:val="00236862"/>
    <w:rsid w:val="00236966"/>
    <w:rsid w:val="00236D6E"/>
    <w:rsid w:val="0023709E"/>
    <w:rsid w:val="0023713F"/>
    <w:rsid w:val="002373FE"/>
    <w:rsid w:val="002374A3"/>
    <w:rsid w:val="0023761E"/>
    <w:rsid w:val="00237799"/>
    <w:rsid w:val="00237A58"/>
    <w:rsid w:val="00237A8E"/>
    <w:rsid w:val="00237DB2"/>
    <w:rsid w:val="00237DB9"/>
    <w:rsid w:val="00237E85"/>
    <w:rsid w:val="00240339"/>
    <w:rsid w:val="002403BF"/>
    <w:rsid w:val="002403ED"/>
    <w:rsid w:val="00240709"/>
    <w:rsid w:val="002407E0"/>
    <w:rsid w:val="00240AC1"/>
    <w:rsid w:val="00240E4D"/>
    <w:rsid w:val="00241005"/>
    <w:rsid w:val="00241298"/>
    <w:rsid w:val="002415E7"/>
    <w:rsid w:val="002415F6"/>
    <w:rsid w:val="00241631"/>
    <w:rsid w:val="00241975"/>
    <w:rsid w:val="00241AB2"/>
    <w:rsid w:val="00241D92"/>
    <w:rsid w:val="0024211B"/>
    <w:rsid w:val="00242192"/>
    <w:rsid w:val="00242322"/>
    <w:rsid w:val="00242985"/>
    <w:rsid w:val="00242A4C"/>
    <w:rsid w:val="00242B53"/>
    <w:rsid w:val="00242BDB"/>
    <w:rsid w:val="00242F8A"/>
    <w:rsid w:val="00243830"/>
    <w:rsid w:val="00243A52"/>
    <w:rsid w:val="00243B19"/>
    <w:rsid w:val="00243BBD"/>
    <w:rsid w:val="002441F7"/>
    <w:rsid w:val="00244428"/>
    <w:rsid w:val="0024448F"/>
    <w:rsid w:val="002448DF"/>
    <w:rsid w:val="0024498F"/>
    <w:rsid w:val="002449C8"/>
    <w:rsid w:val="00244A1D"/>
    <w:rsid w:val="00244B34"/>
    <w:rsid w:val="00244E9A"/>
    <w:rsid w:val="002451FA"/>
    <w:rsid w:val="002457B4"/>
    <w:rsid w:val="00245949"/>
    <w:rsid w:val="00245B70"/>
    <w:rsid w:val="00245C1F"/>
    <w:rsid w:val="00245CA8"/>
    <w:rsid w:val="00245D29"/>
    <w:rsid w:val="00245E24"/>
    <w:rsid w:val="00245FCA"/>
    <w:rsid w:val="00246091"/>
    <w:rsid w:val="0024671F"/>
    <w:rsid w:val="00246DC3"/>
    <w:rsid w:val="00246F20"/>
    <w:rsid w:val="00247088"/>
    <w:rsid w:val="00247947"/>
    <w:rsid w:val="00247D60"/>
    <w:rsid w:val="00247D84"/>
    <w:rsid w:val="00247E22"/>
    <w:rsid w:val="00247E3C"/>
    <w:rsid w:val="002504EF"/>
    <w:rsid w:val="00250597"/>
    <w:rsid w:val="0025064F"/>
    <w:rsid w:val="002508DD"/>
    <w:rsid w:val="00250996"/>
    <w:rsid w:val="00250C9F"/>
    <w:rsid w:val="002513F1"/>
    <w:rsid w:val="002515F7"/>
    <w:rsid w:val="002515F9"/>
    <w:rsid w:val="00251967"/>
    <w:rsid w:val="00251A0A"/>
    <w:rsid w:val="00251A46"/>
    <w:rsid w:val="00251BA1"/>
    <w:rsid w:val="00251BD6"/>
    <w:rsid w:val="00252122"/>
    <w:rsid w:val="0025228C"/>
    <w:rsid w:val="0025229E"/>
    <w:rsid w:val="002525B9"/>
    <w:rsid w:val="002526D0"/>
    <w:rsid w:val="002527F7"/>
    <w:rsid w:val="00252C3D"/>
    <w:rsid w:val="00252D5E"/>
    <w:rsid w:val="00252DB0"/>
    <w:rsid w:val="00252FDF"/>
    <w:rsid w:val="00253125"/>
    <w:rsid w:val="0025324D"/>
    <w:rsid w:val="00253276"/>
    <w:rsid w:val="00253832"/>
    <w:rsid w:val="00253A42"/>
    <w:rsid w:val="00253B2B"/>
    <w:rsid w:val="00253D28"/>
    <w:rsid w:val="00253D46"/>
    <w:rsid w:val="00253E56"/>
    <w:rsid w:val="00253FE4"/>
    <w:rsid w:val="00254093"/>
    <w:rsid w:val="00254157"/>
    <w:rsid w:val="0025441D"/>
    <w:rsid w:val="002545DD"/>
    <w:rsid w:val="0025476F"/>
    <w:rsid w:val="0025494C"/>
    <w:rsid w:val="00254BB9"/>
    <w:rsid w:val="002550F5"/>
    <w:rsid w:val="00255BDA"/>
    <w:rsid w:val="002564AE"/>
    <w:rsid w:val="002565A5"/>
    <w:rsid w:val="00256689"/>
    <w:rsid w:val="00256690"/>
    <w:rsid w:val="00256847"/>
    <w:rsid w:val="00256A19"/>
    <w:rsid w:val="00257482"/>
    <w:rsid w:val="00257580"/>
    <w:rsid w:val="00257819"/>
    <w:rsid w:val="002579F9"/>
    <w:rsid w:val="00257C1D"/>
    <w:rsid w:val="00257D52"/>
    <w:rsid w:val="00260144"/>
    <w:rsid w:val="002602C7"/>
    <w:rsid w:val="002603FD"/>
    <w:rsid w:val="00260451"/>
    <w:rsid w:val="002604C5"/>
    <w:rsid w:val="00260778"/>
    <w:rsid w:val="00260A09"/>
    <w:rsid w:val="00260E15"/>
    <w:rsid w:val="00261131"/>
    <w:rsid w:val="002613A7"/>
    <w:rsid w:val="0026165E"/>
    <w:rsid w:val="00261695"/>
    <w:rsid w:val="00261910"/>
    <w:rsid w:val="0026199F"/>
    <w:rsid w:val="00261B20"/>
    <w:rsid w:val="00261D4B"/>
    <w:rsid w:val="00261DAF"/>
    <w:rsid w:val="00261F89"/>
    <w:rsid w:val="00262039"/>
    <w:rsid w:val="00262292"/>
    <w:rsid w:val="0026279B"/>
    <w:rsid w:val="00262AF6"/>
    <w:rsid w:val="00262B6D"/>
    <w:rsid w:val="002630CB"/>
    <w:rsid w:val="0026315A"/>
    <w:rsid w:val="0026339C"/>
    <w:rsid w:val="002634D9"/>
    <w:rsid w:val="0026362E"/>
    <w:rsid w:val="00263B79"/>
    <w:rsid w:val="00263FA3"/>
    <w:rsid w:val="00264214"/>
    <w:rsid w:val="0026438C"/>
    <w:rsid w:val="002643B8"/>
    <w:rsid w:val="002643BE"/>
    <w:rsid w:val="0026450B"/>
    <w:rsid w:val="00264594"/>
    <w:rsid w:val="00264A33"/>
    <w:rsid w:val="00264DCB"/>
    <w:rsid w:val="00264E79"/>
    <w:rsid w:val="00264EE1"/>
    <w:rsid w:val="0026516F"/>
    <w:rsid w:val="002653C5"/>
    <w:rsid w:val="002658B1"/>
    <w:rsid w:val="00265D19"/>
    <w:rsid w:val="00265FDE"/>
    <w:rsid w:val="0026607B"/>
    <w:rsid w:val="0026627F"/>
    <w:rsid w:val="002665E3"/>
    <w:rsid w:val="00266651"/>
    <w:rsid w:val="00266740"/>
    <w:rsid w:val="002669F5"/>
    <w:rsid w:val="00266CD6"/>
    <w:rsid w:val="00266E6A"/>
    <w:rsid w:val="00266E91"/>
    <w:rsid w:val="00266E9B"/>
    <w:rsid w:val="0026727A"/>
    <w:rsid w:val="0026736D"/>
    <w:rsid w:val="0026755B"/>
    <w:rsid w:val="00267660"/>
    <w:rsid w:val="00267662"/>
    <w:rsid w:val="00267FF5"/>
    <w:rsid w:val="00270629"/>
    <w:rsid w:val="002707DF"/>
    <w:rsid w:val="00270A98"/>
    <w:rsid w:val="00270AC9"/>
    <w:rsid w:val="00270BFE"/>
    <w:rsid w:val="00270DB3"/>
    <w:rsid w:val="00270FF7"/>
    <w:rsid w:val="00270FFB"/>
    <w:rsid w:val="002713AE"/>
    <w:rsid w:val="00271C38"/>
    <w:rsid w:val="00271D63"/>
    <w:rsid w:val="00271E4A"/>
    <w:rsid w:val="00271F96"/>
    <w:rsid w:val="00272198"/>
    <w:rsid w:val="002734B1"/>
    <w:rsid w:val="0027370B"/>
    <w:rsid w:val="002738D5"/>
    <w:rsid w:val="00273CB7"/>
    <w:rsid w:val="002741C3"/>
    <w:rsid w:val="002743E2"/>
    <w:rsid w:val="002744FD"/>
    <w:rsid w:val="0027488E"/>
    <w:rsid w:val="00274913"/>
    <w:rsid w:val="00274946"/>
    <w:rsid w:val="00274BBE"/>
    <w:rsid w:val="00274DB7"/>
    <w:rsid w:val="00274E62"/>
    <w:rsid w:val="002752D7"/>
    <w:rsid w:val="002752EC"/>
    <w:rsid w:val="0027598A"/>
    <w:rsid w:val="00275ABA"/>
    <w:rsid w:val="00275BEE"/>
    <w:rsid w:val="00275C39"/>
    <w:rsid w:val="00275D9D"/>
    <w:rsid w:val="00275DAB"/>
    <w:rsid w:val="00275FEF"/>
    <w:rsid w:val="00276019"/>
    <w:rsid w:val="002761E3"/>
    <w:rsid w:val="00276261"/>
    <w:rsid w:val="00276947"/>
    <w:rsid w:val="00276D39"/>
    <w:rsid w:val="002771CD"/>
    <w:rsid w:val="002775A1"/>
    <w:rsid w:val="0027770B"/>
    <w:rsid w:val="0027775E"/>
    <w:rsid w:val="00277CB7"/>
    <w:rsid w:val="00277E48"/>
    <w:rsid w:val="00277E66"/>
    <w:rsid w:val="00277F35"/>
    <w:rsid w:val="00277F67"/>
    <w:rsid w:val="00280198"/>
    <w:rsid w:val="00280407"/>
    <w:rsid w:val="00280809"/>
    <w:rsid w:val="00280D68"/>
    <w:rsid w:val="00281565"/>
    <w:rsid w:val="00281834"/>
    <w:rsid w:val="0028184E"/>
    <w:rsid w:val="00281AA2"/>
    <w:rsid w:val="00281D27"/>
    <w:rsid w:val="00281F5F"/>
    <w:rsid w:val="002821CE"/>
    <w:rsid w:val="00282280"/>
    <w:rsid w:val="00282705"/>
    <w:rsid w:val="0028275A"/>
    <w:rsid w:val="002828FA"/>
    <w:rsid w:val="00282AB1"/>
    <w:rsid w:val="00282AFC"/>
    <w:rsid w:val="00282E54"/>
    <w:rsid w:val="00282E89"/>
    <w:rsid w:val="002832C6"/>
    <w:rsid w:val="00283331"/>
    <w:rsid w:val="002833AF"/>
    <w:rsid w:val="00283451"/>
    <w:rsid w:val="002834C9"/>
    <w:rsid w:val="00283628"/>
    <w:rsid w:val="002836D5"/>
    <w:rsid w:val="00283779"/>
    <w:rsid w:val="00283B40"/>
    <w:rsid w:val="00283F9A"/>
    <w:rsid w:val="00284402"/>
    <w:rsid w:val="0028449A"/>
    <w:rsid w:val="002845C5"/>
    <w:rsid w:val="00284879"/>
    <w:rsid w:val="00284E90"/>
    <w:rsid w:val="002850E7"/>
    <w:rsid w:val="002854DC"/>
    <w:rsid w:val="002856F2"/>
    <w:rsid w:val="00285842"/>
    <w:rsid w:val="0028590B"/>
    <w:rsid w:val="00285CE3"/>
    <w:rsid w:val="00286193"/>
    <w:rsid w:val="002862BF"/>
    <w:rsid w:val="00286483"/>
    <w:rsid w:val="002864AA"/>
    <w:rsid w:val="00286A3D"/>
    <w:rsid w:val="00286CA5"/>
    <w:rsid w:val="00287070"/>
    <w:rsid w:val="00287166"/>
    <w:rsid w:val="00287444"/>
    <w:rsid w:val="002875C3"/>
    <w:rsid w:val="00287725"/>
    <w:rsid w:val="00287780"/>
    <w:rsid w:val="00287CD4"/>
    <w:rsid w:val="00287F6A"/>
    <w:rsid w:val="00290064"/>
    <w:rsid w:val="002905A1"/>
    <w:rsid w:val="002905E6"/>
    <w:rsid w:val="00290674"/>
    <w:rsid w:val="00290751"/>
    <w:rsid w:val="00290885"/>
    <w:rsid w:val="0029096B"/>
    <w:rsid w:val="00290AF8"/>
    <w:rsid w:val="00290C98"/>
    <w:rsid w:val="00290D45"/>
    <w:rsid w:val="002912D5"/>
    <w:rsid w:val="002914AC"/>
    <w:rsid w:val="00291796"/>
    <w:rsid w:val="002917AA"/>
    <w:rsid w:val="0029190D"/>
    <w:rsid w:val="00291A0A"/>
    <w:rsid w:val="00291A9B"/>
    <w:rsid w:val="00291E0D"/>
    <w:rsid w:val="00291E57"/>
    <w:rsid w:val="00291E5F"/>
    <w:rsid w:val="00292331"/>
    <w:rsid w:val="00292790"/>
    <w:rsid w:val="00292865"/>
    <w:rsid w:val="00292BC2"/>
    <w:rsid w:val="00292CE5"/>
    <w:rsid w:val="00292D26"/>
    <w:rsid w:val="00292E0E"/>
    <w:rsid w:val="00292E76"/>
    <w:rsid w:val="00292ED8"/>
    <w:rsid w:val="00293138"/>
    <w:rsid w:val="00293405"/>
    <w:rsid w:val="002935D9"/>
    <w:rsid w:val="0029379A"/>
    <w:rsid w:val="00293A99"/>
    <w:rsid w:val="00293EC8"/>
    <w:rsid w:val="00293EF4"/>
    <w:rsid w:val="002941C5"/>
    <w:rsid w:val="00294398"/>
    <w:rsid w:val="00294435"/>
    <w:rsid w:val="00294717"/>
    <w:rsid w:val="00294BFC"/>
    <w:rsid w:val="00294C91"/>
    <w:rsid w:val="00294E69"/>
    <w:rsid w:val="00294E79"/>
    <w:rsid w:val="00295102"/>
    <w:rsid w:val="00295440"/>
    <w:rsid w:val="0029559A"/>
    <w:rsid w:val="00295674"/>
    <w:rsid w:val="002957AF"/>
    <w:rsid w:val="00295934"/>
    <w:rsid w:val="00295A95"/>
    <w:rsid w:val="00295B17"/>
    <w:rsid w:val="00295F9C"/>
    <w:rsid w:val="002960FC"/>
    <w:rsid w:val="002962B9"/>
    <w:rsid w:val="002963D2"/>
    <w:rsid w:val="00296C1B"/>
    <w:rsid w:val="00296C3C"/>
    <w:rsid w:val="00296DF4"/>
    <w:rsid w:val="0029716B"/>
    <w:rsid w:val="002971B7"/>
    <w:rsid w:val="002971EF"/>
    <w:rsid w:val="002976C0"/>
    <w:rsid w:val="00297733"/>
    <w:rsid w:val="00297795"/>
    <w:rsid w:val="00297BCE"/>
    <w:rsid w:val="00297C63"/>
    <w:rsid w:val="00297DB0"/>
    <w:rsid w:val="00297EF6"/>
    <w:rsid w:val="002A093D"/>
    <w:rsid w:val="002A0DC0"/>
    <w:rsid w:val="002A0E89"/>
    <w:rsid w:val="002A13E7"/>
    <w:rsid w:val="002A1B6F"/>
    <w:rsid w:val="002A1D0C"/>
    <w:rsid w:val="002A1D92"/>
    <w:rsid w:val="002A1F38"/>
    <w:rsid w:val="002A1F9F"/>
    <w:rsid w:val="002A2064"/>
    <w:rsid w:val="002A22AB"/>
    <w:rsid w:val="002A235D"/>
    <w:rsid w:val="002A25DF"/>
    <w:rsid w:val="002A264B"/>
    <w:rsid w:val="002A2B48"/>
    <w:rsid w:val="002A2B91"/>
    <w:rsid w:val="002A2BFD"/>
    <w:rsid w:val="002A2FF8"/>
    <w:rsid w:val="002A302D"/>
    <w:rsid w:val="002A31B4"/>
    <w:rsid w:val="002A333E"/>
    <w:rsid w:val="002A3DB4"/>
    <w:rsid w:val="002A4043"/>
    <w:rsid w:val="002A4555"/>
    <w:rsid w:val="002A4579"/>
    <w:rsid w:val="002A47A1"/>
    <w:rsid w:val="002A483B"/>
    <w:rsid w:val="002A499A"/>
    <w:rsid w:val="002A4A84"/>
    <w:rsid w:val="002A4AB9"/>
    <w:rsid w:val="002A4ACF"/>
    <w:rsid w:val="002A4C7C"/>
    <w:rsid w:val="002A5239"/>
    <w:rsid w:val="002A5309"/>
    <w:rsid w:val="002A57A6"/>
    <w:rsid w:val="002A57F6"/>
    <w:rsid w:val="002A5A5F"/>
    <w:rsid w:val="002A5BE5"/>
    <w:rsid w:val="002A5C68"/>
    <w:rsid w:val="002A60E7"/>
    <w:rsid w:val="002A62FA"/>
    <w:rsid w:val="002A640E"/>
    <w:rsid w:val="002A65B2"/>
    <w:rsid w:val="002A69AA"/>
    <w:rsid w:val="002A69B4"/>
    <w:rsid w:val="002A6DBB"/>
    <w:rsid w:val="002A6DE8"/>
    <w:rsid w:val="002A73E7"/>
    <w:rsid w:val="002A7699"/>
    <w:rsid w:val="002A776D"/>
    <w:rsid w:val="002A77EC"/>
    <w:rsid w:val="002A78D1"/>
    <w:rsid w:val="002B0054"/>
    <w:rsid w:val="002B0280"/>
    <w:rsid w:val="002B0396"/>
    <w:rsid w:val="002B0440"/>
    <w:rsid w:val="002B0522"/>
    <w:rsid w:val="002B0675"/>
    <w:rsid w:val="002B0992"/>
    <w:rsid w:val="002B0AA7"/>
    <w:rsid w:val="002B0AFF"/>
    <w:rsid w:val="002B0B66"/>
    <w:rsid w:val="002B0DC1"/>
    <w:rsid w:val="002B11E2"/>
    <w:rsid w:val="002B1291"/>
    <w:rsid w:val="002B12D3"/>
    <w:rsid w:val="002B153C"/>
    <w:rsid w:val="002B1833"/>
    <w:rsid w:val="002B1A16"/>
    <w:rsid w:val="002B1B46"/>
    <w:rsid w:val="002B2172"/>
    <w:rsid w:val="002B2225"/>
    <w:rsid w:val="002B24B8"/>
    <w:rsid w:val="002B262F"/>
    <w:rsid w:val="002B2CA8"/>
    <w:rsid w:val="002B2CD2"/>
    <w:rsid w:val="002B2CEC"/>
    <w:rsid w:val="002B321A"/>
    <w:rsid w:val="002B36BD"/>
    <w:rsid w:val="002B38CC"/>
    <w:rsid w:val="002B38D7"/>
    <w:rsid w:val="002B3A11"/>
    <w:rsid w:val="002B3A1B"/>
    <w:rsid w:val="002B3D84"/>
    <w:rsid w:val="002B3E06"/>
    <w:rsid w:val="002B443A"/>
    <w:rsid w:val="002B44FD"/>
    <w:rsid w:val="002B4673"/>
    <w:rsid w:val="002B489D"/>
    <w:rsid w:val="002B4B1E"/>
    <w:rsid w:val="002B4C80"/>
    <w:rsid w:val="002B4CB7"/>
    <w:rsid w:val="002B4D0D"/>
    <w:rsid w:val="002B4F57"/>
    <w:rsid w:val="002B57B7"/>
    <w:rsid w:val="002B5970"/>
    <w:rsid w:val="002B59C8"/>
    <w:rsid w:val="002B5DCC"/>
    <w:rsid w:val="002B5E4D"/>
    <w:rsid w:val="002B6074"/>
    <w:rsid w:val="002B62B1"/>
    <w:rsid w:val="002B63C9"/>
    <w:rsid w:val="002B64D8"/>
    <w:rsid w:val="002B6549"/>
    <w:rsid w:val="002B6764"/>
    <w:rsid w:val="002B6982"/>
    <w:rsid w:val="002B6DB0"/>
    <w:rsid w:val="002B6EB1"/>
    <w:rsid w:val="002B6ED0"/>
    <w:rsid w:val="002B7022"/>
    <w:rsid w:val="002B71F6"/>
    <w:rsid w:val="002B7231"/>
    <w:rsid w:val="002B731F"/>
    <w:rsid w:val="002B7325"/>
    <w:rsid w:val="002B740E"/>
    <w:rsid w:val="002B7836"/>
    <w:rsid w:val="002B7A12"/>
    <w:rsid w:val="002B7AF9"/>
    <w:rsid w:val="002B7C71"/>
    <w:rsid w:val="002B7CF4"/>
    <w:rsid w:val="002C0157"/>
    <w:rsid w:val="002C03CF"/>
    <w:rsid w:val="002C0419"/>
    <w:rsid w:val="002C0822"/>
    <w:rsid w:val="002C0850"/>
    <w:rsid w:val="002C096A"/>
    <w:rsid w:val="002C0AE7"/>
    <w:rsid w:val="002C0AFE"/>
    <w:rsid w:val="002C0DB8"/>
    <w:rsid w:val="002C1350"/>
    <w:rsid w:val="002C13E5"/>
    <w:rsid w:val="002C1440"/>
    <w:rsid w:val="002C148E"/>
    <w:rsid w:val="002C19AF"/>
    <w:rsid w:val="002C1B9D"/>
    <w:rsid w:val="002C1E14"/>
    <w:rsid w:val="002C1E79"/>
    <w:rsid w:val="002C254C"/>
    <w:rsid w:val="002C2884"/>
    <w:rsid w:val="002C28D6"/>
    <w:rsid w:val="002C2B8C"/>
    <w:rsid w:val="002C2BD9"/>
    <w:rsid w:val="002C2E4D"/>
    <w:rsid w:val="002C3186"/>
    <w:rsid w:val="002C3601"/>
    <w:rsid w:val="002C37F2"/>
    <w:rsid w:val="002C3E9A"/>
    <w:rsid w:val="002C41A7"/>
    <w:rsid w:val="002C4430"/>
    <w:rsid w:val="002C4534"/>
    <w:rsid w:val="002C49DC"/>
    <w:rsid w:val="002C4A0C"/>
    <w:rsid w:val="002C4B9B"/>
    <w:rsid w:val="002C4D4E"/>
    <w:rsid w:val="002C530B"/>
    <w:rsid w:val="002C53AE"/>
    <w:rsid w:val="002C53B2"/>
    <w:rsid w:val="002C542D"/>
    <w:rsid w:val="002C5702"/>
    <w:rsid w:val="002C5B58"/>
    <w:rsid w:val="002C5BAD"/>
    <w:rsid w:val="002C5D23"/>
    <w:rsid w:val="002C5F9F"/>
    <w:rsid w:val="002C625C"/>
    <w:rsid w:val="002C668B"/>
    <w:rsid w:val="002C66FD"/>
    <w:rsid w:val="002C6906"/>
    <w:rsid w:val="002C6B09"/>
    <w:rsid w:val="002C70DC"/>
    <w:rsid w:val="002C724F"/>
    <w:rsid w:val="002C731F"/>
    <w:rsid w:val="002C7368"/>
    <w:rsid w:val="002C7784"/>
    <w:rsid w:val="002C7981"/>
    <w:rsid w:val="002C7B7C"/>
    <w:rsid w:val="002C7D3F"/>
    <w:rsid w:val="002D00E4"/>
    <w:rsid w:val="002D0553"/>
    <w:rsid w:val="002D0690"/>
    <w:rsid w:val="002D097E"/>
    <w:rsid w:val="002D0B06"/>
    <w:rsid w:val="002D1133"/>
    <w:rsid w:val="002D1515"/>
    <w:rsid w:val="002D17D4"/>
    <w:rsid w:val="002D1E78"/>
    <w:rsid w:val="002D22DD"/>
    <w:rsid w:val="002D2CB2"/>
    <w:rsid w:val="002D2DCD"/>
    <w:rsid w:val="002D2E6B"/>
    <w:rsid w:val="002D3397"/>
    <w:rsid w:val="002D348F"/>
    <w:rsid w:val="002D37DE"/>
    <w:rsid w:val="002D3858"/>
    <w:rsid w:val="002D3A9D"/>
    <w:rsid w:val="002D3AE9"/>
    <w:rsid w:val="002D3ED6"/>
    <w:rsid w:val="002D3F6B"/>
    <w:rsid w:val="002D3FC5"/>
    <w:rsid w:val="002D3FEC"/>
    <w:rsid w:val="002D4305"/>
    <w:rsid w:val="002D4440"/>
    <w:rsid w:val="002D4510"/>
    <w:rsid w:val="002D465E"/>
    <w:rsid w:val="002D4667"/>
    <w:rsid w:val="002D4763"/>
    <w:rsid w:val="002D49E2"/>
    <w:rsid w:val="002D4B2D"/>
    <w:rsid w:val="002D4BE1"/>
    <w:rsid w:val="002D4D24"/>
    <w:rsid w:val="002D4D3B"/>
    <w:rsid w:val="002D5363"/>
    <w:rsid w:val="002D54C7"/>
    <w:rsid w:val="002D5741"/>
    <w:rsid w:val="002D589B"/>
    <w:rsid w:val="002D5C3C"/>
    <w:rsid w:val="002D5F62"/>
    <w:rsid w:val="002D66C3"/>
    <w:rsid w:val="002D66EE"/>
    <w:rsid w:val="002D6A08"/>
    <w:rsid w:val="002D6A9F"/>
    <w:rsid w:val="002D6AEF"/>
    <w:rsid w:val="002D6B07"/>
    <w:rsid w:val="002D7229"/>
    <w:rsid w:val="002D7546"/>
    <w:rsid w:val="002D7738"/>
    <w:rsid w:val="002D78F9"/>
    <w:rsid w:val="002D7961"/>
    <w:rsid w:val="002D7A11"/>
    <w:rsid w:val="002D7AE1"/>
    <w:rsid w:val="002D7F03"/>
    <w:rsid w:val="002E00B6"/>
    <w:rsid w:val="002E0933"/>
    <w:rsid w:val="002E0E77"/>
    <w:rsid w:val="002E0FF2"/>
    <w:rsid w:val="002E1238"/>
    <w:rsid w:val="002E13DF"/>
    <w:rsid w:val="002E1976"/>
    <w:rsid w:val="002E223F"/>
    <w:rsid w:val="002E2313"/>
    <w:rsid w:val="002E2420"/>
    <w:rsid w:val="002E280D"/>
    <w:rsid w:val="002E289C"/>
    <w:rsid w:val="002E28B0"/>
    <w:rsid w:val="002E29AD"/>
    <w:rsid w:val="002E2A0E"/>
    <w:rsid w:val="002E2CE0"/>
    <w:rsid w:val="002E2CF7"/>
    <w:rsid w:val="002E2DD6"/>
    <w:rsid w:val="002E2F6C"/>
    <w:rsid w:val="002E31DD"/>
    <w:rsid w:val="002E327B"/>
    <w:rsid w:val="002E33E4"/>
    <w:rsid w:val="002E3640"/>
    <w:rsid w:val="002E367E"/>
    <w:rsid w:val="002E3682"/>
    <w:rsid w:val="002E3918"/>
    <w:rsid w:val="002E3921"/>
    <w:rsid w:val="002E3C1B"/>
    <w:rsid w:val="002E3C7A"/>
    <w:rsid w:val="002E3D3A"/>
    <w:rsid w:val="002E3E06"/>
    <w:rsid w:val="002E42A4"/>
    <w:rsid w:val="002E4469"/>
    <w:rsid w:val="002E48B2"/>
    <w:rsid w:val="002E48B7"/>
    <w:rsid w:val="002E5269"/>
    <w:rsid w:val="002E53EE"/>
    <w:rsid w:val="002E591E"/>
    <w:rsid w:val="002E608D"/>
    <w:rsid w:val="002E617B"/>
    <w:rsid w:val="002E6211"/>
    <w:rsid w:val="002E63BC"/>
    <w:rsid w:val="002E6E52"/>
    <w:rsid w:val="002E7000"/>
    <w:rsid w:val="002E719A"/>
    <w:rsid w:val="002E71AB"/>
    <w:rsid w:val="002E7265"/>
    <w:rsid w:val="002E73C2"/>
    <w:rsid w:val="002E78C2"/>
    <w:rsid w:val="002E7929"/>
    <w:rsid w:val="002E7AFB"/>
    <w:rsid w:val="002E7E6F"/>
    <w:rsid w:val="002F0464"/>
    <w:rsid w:val="002F0734"/>
    <w:rsid w:val="002F0B1D"/>
    <w:rsid w:val="002F0C9B"/>
    <w:rsid w:val="002F0D81"/>
    <w:rsid w:val="002F0E2F"/>
    <w:rsid w:val="002F13B4"/>
    <w:rsid w:val="002F1475"/>
    <w:rsid w:val="002F16B3"/>
    <w:rsid w:val="002F197F"/>
    <w:rsid w:val="002F1E2D"/>
    <w:rsid w:val="002F1FD7"/>
    <w:rsid w:val="002F207D"/>
    <w:rsid w:val="002F22F5"/>
    <w:rsid w:val="002F244E"/>
    <w:rsid w:val="002F2580"/>
    <w:rsid w:val="002F2878"/>
    <w:rsid w:val="002F2998"/>
    <w:rsid w:val="002F2A9E"/>
    <w:rsid w:val="002F2D72"/>
    <w:rsid w:val="002F2DAA"/>
    <w:rsid w:val="002F3052"/>
    <w:rsid w:val="002F33ED"/>
    <w:rsid w:val="002F3403"/>
    <w:rsid w:val="002F3464"/>
    <w:rsid w:val="002F3B29"/>
    <w:rsid w:val="002F3B2C"/>
    <w:rsid w:val="002F40A9"/>
    <w:rsid w:val="002F426A"/>
    <w:rsid w:val="002F4298"/>
    <w:rsid w:val="002F43F4"/>
    <w:rsid w:val="002F4620"/>
    <w:rsid w:val="002F46E7"/>
    <w:rsid w:val="002F4804"/>
    <w:rsid w:val="002F4953"/>
    <w:rsid w:val="002F4E0E"/>
    <w:rsid w:val="002F4EBF"/>
    <w:rsid w:val="002F4F82"/>
    <w:rsid w:val="002F513A"/>
    <w:rsid w:val="002F5328"/>
    <w:rsid w:val="002F532F"/>
    <w:rsid w:val="002F5523"/>
    <w:rsid w:val="002F58D8"/>
    <w:rsid w:val="002F5A24"/>
    <w:rsid w:val="002F5E19"/>
    <w:rsid w:val="002F5EDE"/>
    <w:rsid w:val="002F5F6C"/>
    <w:rsid w:val="002F64BD"/>
    <w:rsid w:val="002F67D7"/>
    <w:rsid w:val="002F6A76"/>
    <w:rsid w:val="002F6B8C"/>
    <w:rsid w:val="002F6E47"/>
    <w:rsid w:val="002F746A"/>
    <w:rsid w:val="002F74AE"/>
    <w:rsid w:val="002F76F4"/>
    <w:rsid w:val="002F7CEF"/>
    <w:rsid w:val="002F7EB4"/>
    <w:rsid w:val="00300741"/>
    <w:rsid w:val="00300E1D"/>
    <w:rsid w:val="00300E76"/>
    <w:rsid w:val="0030111D"/>
    <w:rsid w:val="0030134C"/>
    <w:rsid w:val="00301520"/>
    <w:rsid w:val="003017BB"/>
    <w:rsid w:val="00301935"/>
    <w:rsid w:val="00301A02"/>
    <w:rsid w:val="00301A38"/>
    <w:rsid w:val="00301A91"/>
    <w:rsid w:val="00301DA8"/>
    <w:rsid w:val="00302092"/>
    <w:rsid w:val="003022C5"/>
    <w:rsid w:val="003024CC"/>
    <w:rsid w:val="003024DA"/>
    <w:rsid w:val="0030256E"/>
    <w:rsid w:val="00302657"/>
    <w:rsid w:val="003027CC"/>
    <w:rsid w:val="00302844"/>
    <w:rsid w:val="003032FB"/>
    <w:rsid w:val="0030337A"/>
    <w:rsid w:val="00303611"/>
    <w:rsid w:val="00303AB9"/>
    <w:rsid w:val="00303ADB"/>
    <w:rsid w:val="00304341"/>
    <w:rsid w:val="00304600"/>
    <w:rsid w:val="00304831"/>
    <w:rsid w:val="00304A0E"/>
    <w:rsid w:val="00304A63"/>
    <w:rsid w:val="00304E78"/>
    <w:rsid w:val="00304EF4"/>
    <w:rsid w:val="0030536A"/>
    <w:rsid w:val="0030551A"/>
    <w:rsid w:val="003057D2"/>
    <w:rsid w:val="003058C1"/>
    <w:rsid w:val="00305A59"/>
    <w:rsid w:val="00305DA0"/>
    <w:rsid w:val="00305ED3"/>
    <w:rsid w:val="00305F08"/>
    <w:rsid w:val="00305F99"/>
    <w:rsid w:val="00306179"/>
    <w:rsid w:val="003064FC"/>
    <w:rsid w:val="003069AB"/>
    <w:rsid w:val="00306B63"/>
    <w:rsid w:val="00306BDB"/>
    <w:rsid w:val="00306BF8"/>
    <w:rsid w:val="003074EC"/>
    <w:rsid w:val="00307692"/>
    <w:rsid w:val="0030779B"/>
    <w:rsid w:val="0030780F"/>
    <w:rsid w:val="00307A88"/>
    <w:rsid w:val="00307A8F"/>
    <w:rsid w:val="00307C4E"/>
    <w:rsid w:val="003100D6"/>
    <w:rsid w:val="0031012B"/>
    <w:rsid w:val="003101DA"/>
    <w:rsid w:val="00310C8B"/>
    <w:rsid w:val="00311011"/>
    <w:rsid w:val="0031104E"/>
    <w:rsid w:val="0031112A"/>
    <w:rsid w:val="003115BE"/>
    <w:rsid w:val="0031186E"/>
    <w:rsid w:val="00312602"/>
    <w:rsid w:val="00312827"/>
    <w:rsid w:val="003128F8"/>
    <w:rsid w:val="00312CBB"/>
    <w:rsid w:val="00312E69"/>
    <w:rsid w:val="00312EFA"/>
    <w:rsid w:val="003131E5"/>
    <w:rsid w:val="00313431"/>
    <w:rsid w:val="00313930"/>
    <w:rsid w:val="00313E0E"/>
    <w:rsid w:val="00314208"/>
    <w:rsid w:val="00314275"/>
    <w:rsid w:val="003142E5"/>
    <w:rsid w:val="00314315"/>
    <w:rsid w:val="00314757"/>
    <w:rsid w:val="0031491C"/>
    <w:rsid w:val="00314C85"/>
    <w:rsid w:val="00314F7E"/>
    <w:rsid w:val="00314F99"/>
    <w:rsid w:val="00315121"/>
    <w:rsid w:val="0031515E"/>
    <w:rsid w:val="00315657"/>
    <w:rsid w:val="0031570B"/>
    <w:rsid w:val="003157DA"/>
    <w:rsid w:val="00315B1B"/>
    <w:rsid w:val="003160BF"/>
    <w:rsid w:val="003163DA"/>
    <w:rsid w:val="003167CA"/>
    <w:rsid w:val="0031691A"/>
    <w:rsid w:val="00316A8B"/>
    <w:rsid w:val="00317019"/>
    <w:rsid w:val="0031734F"/>
    <w:rsid w:val="0031742A"/>
    <w:rsid w:val="0031750C"/>
    <w:rsid w:val="003175EB"/>
    <w:rsid w:val="0031789A"/>
    <w:rsid w:val="00317DA8"/>
    <w:rsid w:val="00317DE8"/>
    <w:rsid w:val="00317E11"/>
    <w:rsid w:val="00317E27"/>
    <w:rsid w:val="00317E96"/>
    <w:rsid w:val="00317F13"/>
    <w:rsid w:val="00317FA3"/>
    <w:rsid w:val="00320126"/>
    <w:rsid w:val="00320729"/>
    <w:rsid w:val="00320AEA"/>
    <w:rsid w:val="003211CE"/>
    <w:rsid w:val="00321341"/>
    <w:rsid w:val="00321393"/>
    <w:rsid w:val="00321394"/>
    <w:rsid w:val="00321BBF"/>
    <w:rsid w:val="00321C5F"/>
    <w:rsid w:val="00321D34"/>
    <w:rsid w:val="00321D3E"/>
    <w:rsid w:val="003221EA"/>
    <w:rsid w:val="00322532"/>
    <w:rsid w:val="00322927"/>
    <w:rsid w:val="00322A3E"/>
    <w:rsid w:val="00322CCA"/>
    <w:rsid w:val="00322E38"/>
    <w:rsid w:val="00322E9A"/>
    <w:rsid w:val="003231B7"/>
    <w:rsid w:val="00323258"/>
    <w:rsid w:val="0032327C"/>
    <w:rsid w:val="00323316"/>
    <w:rsid w:val="0032331B"/>
    <w:rsid w:val="0032358F"/>
    <w:rsid w:val="00323906"/>
    <w:rsid w:val="003239E5"/>
    <w:rsid w:val="00323A09"/>
    <w:rsid w:val="00323FAF"/>
    <w:rsid w:val="003240AE"/>
    <w:rsid w:val="00324149"/>
    <w:rsid w:val="0032434B"/>
    <w:rsid w:val="00324BDB"/>
    <w:rsid w:val="00324E99"/>
    <w:rsid w:val="003252D1"/>
    <w:rsid w:val="00325311"/>
    <w:rsid w:val="0032535C"/>
    <w:rsid w:val="00325455"/>
    <w:rsid w:val="00325669"/>
    <w:rsid w:val="003257BA"/>
    <w:rsid w:val="00325816"/>
    <w:rsid w:val="00325AF2"/>
    <w:rsid w:val="0032613C"/>
    <w:rsid w:val="003265DE"/>
    <w:rsid w:val="003265F1"/>
    <w:rsid w:val="0032662B"/>
    <w:rsid w:val="003266D1"/>
    <w:rsid w:val="00327140"/>
    <w:rsid w:val="00327359"/>
    <w:rsid w:val="00327474"/>
    <w:rsid w:val="0032783D"/>
    <w:rsid w:val="003278A4"/>
    <w:rsid w:val="00327C1F"/>
    <w:rsid w:val="00327F43"/>
    <w:rsid w:val="00327F9D"/>
    <w:rsid w:val="003300D8"/>
    <w:rsid w:val="00330485"/>
    <w:rsid w:val="00330597"/>
    <w:rsid w:val="003305DB"/>
    <w:rsid w:val="00330736"/>
    <w:rsid w:val="00330B30"/>
    <w:rsid w:val="00331082"/>
    <w:rsid w:val="003312E5"/>
    <w:rsid w:val="003314C6"/>
    <w:rsid w:val="00331614"/>
    <w:rsid w:val="003318A2"/>
    <w:rsid w:val="00331CB3"/>
    <w:rsid w:val="00332060"/>
    <w:rsid w:val="003323ED"/>
    <w:rsid w:val="003324CB"/>
    <w:rsid w:val="00332665"/>
    <w:rsid w:val="003326FC"/>
    <w:rsid w:val="00332A1A"/>
    <w:rsid w:val="00332ADF"/>
    <w:rsid w:val="00332C35"/>
    <w:rsid w:val="00332DAA"/>
    <w:rsid w:val="00333263"/>
    <w:rsid w:val="003332B4"/>
    <w:rsid w:val="00333363"/>
    <w:rsid w:val="003334AC"/>
    <w:rsid w:val="00333937"/>
    <w:rsid w:val="00333B52"/>
    <w:rsid w:val="0033440F"/>
    <w:rsid w:val="0033493A"/>
    <w:rsid w:val="00334A3F"/>
    <w:rsid w:val="00334D54"/>
    <w:rsid w:val="00334E9B"/>
    <w:rsid w:val="00335360"/>
    <w:rsid w:val="00335602"/>
    <w:rsid w:val="003358AB"/>
    <w:rsid w:val="00335980"/>
    <w:rsid w:val="00335D1B"/>
    <w:rsid w:val="0033602F"/>
    <w:rsid w:val="003364F7"/>
    <w:rsid w:val="00336530"/>
    <w:rsid w:val="003365C1"/>
    <w:rsid w:val="00336B0A"/>
    <w:rsid w:val="00336BEE"/>
    <w:rsid w:val="00336DBE"/>
    <w:rsid w:val="00336F1D"/>
    <w:rsid w:val="00336FAA"/>
    <w:rsid w:val="003370FC"/>
    <w:rsid w:val="00337139"/>
    <w:rsid w:val="00337146"/>
    <w:rsid w:val="0033728D"/>
    <w:rsid w:val="0033773B"/>
    <w:rsid w:val="00337B18"/>
    <w:rsid w:val="00337C29"/>
    <w:rsid w:val="00337DDA"/>
    <w:rsid w:val="00337EA1"/>
    <w:rsid w:val="00337F38"/>
    <w:rsid w:val="00337FE2"/>
    <w:rsid w:val="0034017A"/>
    <w:rsid w:val="00340789"/>
    <w:rsid w:val="00340A38"/>
    <w:rsid w:val="00340B3E"/>
    <w:rsid w:val="00340BF8"/>
    <w:rsid w:val="0034110D"/>
    <w:rsid w:val="0034125E"/>
    <w:rsid w:val="00341308"/>
    <w:rsid w:val="003413AD"/>
    <w:rsid w:val="0034141F"/>
    <w:rsid w:val="00341654"/>
    <w:rsid w:val="003418AE"/>
    <w:rsid w:val="00341A01"/>
    <w:rsid w:val="00341E8B"/>
    <w:rsid w:val="00341F46"/>
    <w:rsid w:val="00341F48"/>
    <w:rsid w:val="00342188"/>
    <w:rsid w:val="003421A6"/>
    <w:rsid w:val="00342217"/>
    <w:rsid w:val="00342D42"/>
    <w:rsid w:val="00342E21"/>
    <w:rsid w:val="00342F2C"/>
    <w:rsid w:val="003435F1"/>
    <w:rsid w:val="00343928"/>
    <w:rsid w:val="00343AC1"/>
    <w:rsid w:val="00343F8A"/>
    <w:rsid w:val="00344009"/>
    <w:rsid w:val="0034416B"/>
    <w:rsid w:val="00344186"/>
    <w:rsid w:val="003441AD"/>
    <w:rsid w:val="00344259"/>
    <w:rsid w:val="003447F2"/>
    <w:rsid w:val="00344829"/>
    <w:rsid w:val="00344B10"/>
    <w:rsid w:val="00344D50"/>
    <w:rsid w:val="0034517E"/>
    <w:rsid w:val="003451CB"/>
    <w:rsid w:val="003453DA"/>
    <w:rsid w:val="00345462"/>
    <w:rsid w:val="0034591B"/>
    <w:rsid w:val="00345A33"/>
    <w:rsid w:val="00345A9F"/>
    <w:rsid w:val="003461B4"/>
    <w:rsid w:val="003463F9"/>
    <w:rsid w:val="00346593"/>
    <w:rsid w:val="00346597"/>
    <w:rsid w:val="00346686"/>
    <w:rsid w:val="00346732"/>
    <w:rsid w:val="00346C63"/>
    <w:rsid w:val="00346C97"/>
    <w:rsid w:val="00346CEA"/>
    <w:rsid w:val="00346DDE"/>
    <w:rsid w:val="0034727E"/>
    <w:rsid w:val="0034729E"/>
    <w:rsid w:val="003472DB"/>
    <w:rsid w:val="00347318"/>
    <w:rsid w:val="0034734D"/>
    <w:rsid w:val="003475CB"/>
    <w:rsid w:val="003475D5"/>
    <w:rsid w:val="0034771F"/>
    <w:rsid w:val="00347AF9"/>
    <w:rsid w:val="00347BC7"/>
    <w:rsid w:val="0035001F"/>
    <w:rsid w:val="003500B7"/>
    <w:rsid w:val="003500F5"/>
    <w:rsid w:val="00350136"/>
    <w:rsid w:val="00350224"/>
    <w:rsid w:val="00350253"/>
    <w:rsid w:val="003505F7"/>
    <w:rsid w:val="00350813"/>
    <w:rsid w:val="00350A06"/>
    <w:rsid w:val="00350B50"/>
    <w:rsid w:val="00350C1D"/>
    <w:rsid w:val="00350E8B"/>
    <w:rsid w:val="003512E7"/>
    <w:rsid w:val="003513F1"/>
    <w:rsid w:val="003516D6"/>
    <w:rsid w:val="00351856"/>
    <w:rsid w:val="003518E1"/>
    <w:rsid w:val="00351958"/>
    <w:rsid w:val="00351C16"/>
    <w:rsid w:val="00351CFA"/>
    <w:rsid w:val="00351CFE"/>
    <w:rsid w:val="00351D41"/>
    <w:rsid w:val="00351F38"/>
    <w:rsid w:val="00351FE2"/>
    <w:rsid w:val="0035216E"/>
    <w:rsid w:val="00352233"/>
    <w:rsid w:val="00352318"/>
    <w:rsid w:val="003523D9"/>
    <w:rsid w:val="0035251E"/>
    <w:rsid w:val="00352CB7"/>
    <w:rsid w:val="00352F11"/>
    <w:rsid w:val="00352FD3"/>
    <w:rsid w:val="0035311C"/>
    <w:rsid w:val="003535AB"/>
    <w:rsid w:val="0035364D"/>
    <w:rsid w:val="003537AC"/>
    <w:rsid w:val="003538FF"/>
    <w:rsid w:val="0035391E"/>
    <w:rsid w:val="00353AA3"/>
    <w:rsid w:val="00353AC7"/>
    <w:rsid w:val="00353BE9"/>
    <w:rsid w:val="00353C38"/>
    <w:rsid w:val="00353D2D"/>
    <w:rsid w:val="00353DF0"/>
    <w:rsid w:val="00353E5B"/>
    <w:rsid w:val="0035403A"/>
    <w:rsid w:val="00354082"/>
    <w:rsid w:val="0035413D"/>
    <w:rsid w:val="00354228"/>
    <w:rsid w:val="003543ED"/>
    <w:rsid w:val="003546A4"/>
    <w:rsid w:val="00354731"/>
    <w:rsid w:val="0035485A"/>
    <w:rsid w:val="003549C7"/>
    <w:rsid w:val="00354EDE"/>
    <w:rsid w:val="003550B4"/>
    <w:rsid w:val="0035520C"/>
    <w:rsid w:val="00355242"/>
    <w:rsid w:val="00355453"/>
    <w:rsid w:val="003556DC"/>
    <w:rsid w:val="003556E4"/>
    <w:rsid w:val="00355920"/>
    <w:rsid w:val="00355CA8"/>
    <w:rsid w:val="00355FD4"/>
    <w:rsid w:val="003560A3"/>
    <w:rsid w:val="003561C5"/>
    <w:rsid w:val="003562ED"/>
    <w:rsid w:val="0035631F"/>
    <w:rsid w:val="00356413"/>
    <w:rsid w:val="003566E4"/>
    <w:rsid w:val="0035698B"/>
    <w:rsid w:val="00356B5B"/>
    <w:rsid w:val="00356D27"/>
    <w:rsid w:val="00356E2D"/>
    <w:rsid w:val="0035730C"/>
    <w:rsid w:val="003574B9"/>
    <w:rsid w:val="003575F5"/>
    <w:rsid w:val="00357663"/>
    <w:rsid w:val="00357B32"/>
    <w:rsid w:val="00357CAB"/>
    <w:rsid w:val="00360173"/>
    <w:rsid w:val="0036055E"/>
    <w:rsid w:val="003607F1"/>
    <w:rsid w:val="00360982"/>
    <w:rsid w:val="00360CF5"/>
    <w:rsid w:val="003611D9"/>
    <w:rsid w:val="003615F0"/>
    <w:rsid w:val="00361ADC"/>
    <w:rsid w:val="00361AF3"/>
    <w:rsid w:val="00361F5A"/>
    <w:rsid w:val="00361F5F"/>
    <w:rsid w:val="00362393"/>
    <w:rsid w:val="003623E3"/>
    <w:rsid w:val="003624AF"/>
    <w:rsid w:val="003625B5"/>
    <w:rsid w:val="003625C1"/>
    <w:rsid w:val="0036287D"/>
    <w:rsid w:val="00362880"/>
    <w:rsid w:val="00362A81"/>
    <w:rsid w:val="00362BD0"/>
    <w:rsid w:val="00362BE3"/>
    <w:rsid w:val="00362C75"/>
    <w:rsid w:val="00362E18"/>
    <w:rsid w:val="003631DE"/>
    <w:rsid w:val="0036384A"/>
    <w:rsid w:val="0036387B"/>
    <w:rsid w:val="003638E4"/>
    <w:rsid w:val="0036394B"/>
    <w:rsid w:val="00363D2C"/>
    <w:rsid w:val="00363F4E"/>
    <w:rsid w:val="00364140"/>
    <w:rsid w:val="0036420A"/>
    <w:rsid w:val="003642BF"/>
    <w:rsid w:val="0036461E"/>
    <w:rsid w:val="00364854"/>
    <w:rsid w:val="00364973"/>
    <w:rsid w:val="003649AA"/>
    <w:rsid w:val="00364D4F"/>
    <w:rsid w:val="00364D64"/>
    <w:rsid w:val="00364E34"/>
    <w:rsid w:val="00364F4B"/>
    <w:rsid w:val="00365875"/>
    <w:rsid w:val="00365D5E"/>
    <w:rsid w:val="00366154"/>
    <w:rsid w:val="0036619A"/>
    <w:rsid w:val="003661CA"/>
    <w:rsid w:val="0036629A"/>
    <w:rsid w:val="0036639E"/>
    <w:rsid w:val="003664AB"/>
    <w:rsid w:val="003664FB"/>
    <w:rsid w:val="00366549"/>
    <w:rsid w:val="003665E8"/>
    <w:rsid w:val="003668CA"/>
    <w:rsid w:val="003668DA"/>
    <w:rsid w:val="00366B2C"/>
    <w:rsid w:val="00366C30"/>
    <w:rsid w:val="00366C4A"/>
    <w:rsid w:val="00366D4F"/>
    <w:rsid w:val="00366E81"/>
    <w:rsid w:val="00367102"/>
    <w:rsid w:val="00367285"/>
    <w:rsid w:val="00367B58"/>
    <w:rsid w:val="00367C1C"/>
    <w:rsid w:val="00367C2E"/>
    <w:rsid w:val="00367E9A"/>
    <w:rsid w:val="00370623"/>
    <w:rsid w:val="0037062A"/>
    <w:rsid w:val="00370743"/>
    <w:rsid w:val="003709B5"/>
    <w:rsid w:val="003709F1"/>
    <w:rsid w:val="00370ADC"/>
    <w:rsid w:val="00370AE2"/>
    <w:rsid w:val="00370CCD"/>
    <w:rsid w:val="00370E30"/>
    <w:rsid w:val="003710A5"/>
    <w:rsid w:val="003712B0"/>
    <w:rsid w:val="0037168E"/>
    <w:rsid w:val="003716A3"/>
    <w:rsid w:val="003716CC"/>
    <w:rsid w:val="00371AFF"/>
    <w:rsid w:val="00371B00"/>
    <w:rsid w:val="00371D54"/>
    <w:rsid w:val="00371D5F"/>
    <w:rsid w:val="0037228A"/>
    <w:rsid w:val="0037299F"/>
    <w:rsid w:val="00372B91"/>
    <w:rsid w:val="00372F0E"/>
    <w:rsid w:val="0037311B"/>
    <w:rsid w:val="0037316B"/>
    <w:rsid w:val="00373580"/>
    <w:rsid w:val="00373612"/>
    <w:rsid w:val="003739F1"/>
    <w:rsid w:val="00373BA7"/>
    <w:rsid w:val="00374339"/>
    <w:rsid w:val="00374502"/>
    <w:rsid w:val="00374888"/>
    <w:rsid w:val="00374A59"/>
    <w:rsid w:val="00374B40"/>
    <w:rsid w:val="00374BF2"/>
    <w:rsid w:val="00374C04"/>
    <w:rsid w:val="00374D1B"/>
    <w:rsid w:val="00374DE6"/>
    <w:rsid w:val="00374E09"/>
    <w:rsid w:val="00374F21"/>
    <w:rsid w:val="00374F2D"/>
    <w:rsid w:val="003750A7"/>
    <w:rsid w:val="003750A9"/>
    <w:rsid w:val="0037516E"/>
    <w:rsid w:val="00375407"/>
    <w:rsid w:val="0037574C"/>
    <w:rsid w:val="0037575B"/>
    <w:rsid w:val="0037584E"/>
    <w:rsid w:val="003759C2"/>
    <w:rsid w:val="00375FBF"/>
    <w:rsid w:val="0037611C"/>
    <w:rsid w:val="003761F8"/>
    <w:rsid w:val="00376258"/>
    <w:rsid w:val="003762B5"/>
    <w:rsid w:val="003764EC"/>
    <w:rsid w:val="00376802"/>
    <w:rsid w:val="00376BBE"/>
    <w:rsid w:val="00376D6A"/>
    <w:rsid w:val="00376E91"/>
    <w:rsid w:val="00376F49"/>
    <w:rsid w:val="00376FB0"/>
    <w:rsid w:val="00377769"/>
    <w:rsid w:val="00377862"/>
    <w:rsid w:val="00377AE9"/>
    <w:rsid w:val="00377D46"/>
    <w:rsid w:val="00377DFC"/>
    <w:rsid w:val="00377EDD"/>
    <w:rsid w:val="00377EFF"/>
    <w:rsid w:val="00377F7D"/>
    <w:rsid w:val="00377FFE"/>
    <w:rsid w:val="003801BD"/>
    <w:rsid w:val="003802EA"/>
    <w:rsid w:val="003802F0"/>
    <w:rsid w:val="0038057D"/>
    <w:rsid w:val="00380784"/>
    <w:rsid w:val="003807A6"/>
    <w:rsid w:val="003808F8"/>
    <w:rsid w:val="003809A8"/>
    <w:rsid w:val="00380C63"/>
    <w:rsid w:val="00380DEC"/>
    <w:rsid w:val="00380F2D"/>
    <w:rsid w:val="00380FC3"/>
    <w:rsid w:val="003811B4"/>
    <w:rsid w:val="00381353"/>
    <w:rsid w:val="003814B0"/>
    <w:rsid w:val="003818D5"/>
    <w:rsid w:val="003819C4"/>
    <w:rsid w:val="00381A6A"/>
    <w:rsid w:val="00381B57"/>
    <w:rsid w:val="00381BB3"/>
    <w:rsid w:val="00381D1E"/>
    <w:rsid w:val="00382206"/>
    <w:rsid w:val="00382303"/>
    <w:rsid w:val="00382434"/>
    <w:rsid w:val="00382984"/>
    <w:rsid w:val="00382D1B"/>
    <w:rsid w:val="00382E94"/>
    <w:rsid w:val="0038318F"/>
    <w:rsid w:val="0038350D"/>
    <w:rsid w:val="0038388A"/>
    <w:rsid w:val="00384728"/>
    <w:rsid w:val="00384AC1"/>
    <w:rsid w:val="00384B92"/>
    <w:rsid w:val="00384C2A"/>
    <w:rsid w:val="00384C5F"/>
    <w:rsid w:val="00384EC3"/>
    <w:rsid w:val="003850B5"/>
    <w:rsid w:val="0038536D"/>
    <w:rsid w:val="003853BB"/>
    <w:rsid w:val="003854D4"/>
    <w:rsid w:val="00385607"/>
    <w:rsid w:val="003857D0"/>
    <w:rsid w:val="00385908"/>
    <w:rsid w:val="00385C39"/>
    <w:rsid w:val="00385EBF"/>
    <w:rsid w:val="00385EFA"/>
    <w:rsid w:val="00385F38"/>
    <w:rsid w:val="00386043"/>
    <w:rsid w:val="003860D2"/>
    <w:rsid w:val="0038622A"/>
    <w:rsid w:val="003862DA"/>
    <w:rsid w:val="003864E0"/>
    <w:rsid w:val="00386548"/>
    <w:rsid w:val="003867CF"/>
    <w:rsid w:val="00386D7C"/>
    <w:rsid w:val="00386E05"/>
    <w:rsid w:val="00386E98"/>
    <w:rsid w:val="00386ED9"/>
    <w:rsid w:val="00387121"/>
    <w:rsid w:val="0038765D"/>
    <w:rsid w:val="003876AB"/>
    <w:rsid w:val="00387701"/>
    <w:rsid w:val="00387AF0"/>
    <w:rsid w:val="00387B20"/>
    <w:rsid w:val="00387BF5"/>
    <w:rsid w:val="00387CEE"/>
    <w:rsid w:val="00390248"/>
    <w:rsid w:val="003904BD"/>
    <w:rsid w:val="003905EB"/>
    <w:rsid w:val="0039069E"/>
    <w:rsid w:val="00390808"/>
    <w:rsid w:val="00390A3F"/>
    <w:rsid w:val="0039131C"/>
    <w:rsid w:val="00391B39"/>
    <w:rsid w:val="00391B89"/>
    <w:rsid w:val="00391BF6"/>
    <w:rsid w:val="00391DA9"/>
    <w:rsid w:val="0039203B"/>
    <w:rsid w:val="0039229C"/>
    <w:rsid w:val="003924A1"/>
    <w:rsid w:val="00392DEA"/>
    <w:rsid w:val="003932DB"/>
    <w:rsid w:val="00393330"/>
    <w:rsid w:val="003933E3"/>
    <w:rsid w:val="00393485"/>
    <w:rsid w:val="00393A9A"/>
    <w:rsid w:val="00393B1B"/>
    <w:rsid w:val="00393C18"/>
    <w:rsid w:val="00393CB7"/>
    <w:rsid w:val="00393D04"/>
    <w:rsid w:val="00393D6A"/>
    <w:rsid w:val="00393E09"/>
    <w:rsid w:val="00393FD5"/>
    <w:rsid w:val="00394054"/>
    <w:rsid w:val="003940C3"/>
    <w:rsid w:val="003941F7"/>
    <w:rsid w:val="00394426"/>
    <w:rsid w:val="003945B2"/>
    <w:rsid w:val="0039478A"/>
    <w:rsid w:val="003949DB"/>
    <w:rsid w:val="00394AF2"/>
    <w:rsid w:val="00394C54"/>
    <w:rsid w:val="00394D6B"/>
    <w:rsid w:val="00394E3B"/>
    <w:rsid w:val="00394E51"/>
    <w:rsid w:val="003951F4"/>
    <w:rsid w:val="00395677"/>
    <w:rsid w:val="00395813"/>
    <w:rsid w:val="0039586C"/>
    <w:rsid w:val="0039594F"/>
    <w:rsid w:val="003959F5"/>
    <w:rsid w:val="00396483"/>
    <w:rsid w:val="00397322"/>
    <w:rsid w:val="00397365"/>
    <w:rsid w:val="00397783"/>
    <w:rsid w:val="003978FF"/>
    <w:rsid w:val="00397B53"/>
    <w:rsid w:val="003A005C"/>
    <w:rsid w:val="003A0479"/>
    <w:rsid w:val="003A0997"/>
    <w:rsid w:val="003A0ADD"/>
    <w:rsid w:val="003A0B52"/>
    <w:rsid w:val="003A0C34"/>
    <w:rsid w:val="003A0ED4"/>
    <w:rsid w:val="003A10F9"/>
    <w:rsid w:val="003A11DC"/>
    <w:rsid w:val="003A14B1"/>
    <w:rsid w:val="003A14C7"/>
    <w:rsid w:val="003A18BC"/>
    <w:rsid w:val="003A1C7D"/>
    <w:rsid w:val="003A1D62"/>
    <w:rsid w:val="003A20A6"/>
    <w:rsid w:val="003A21A4"/>
    <w:rsid w:val="003A21F3"/>
    <w:rsid w:val="003A248B"/>
    <w:rsid w:val="003A266B"/>
    <w:rsid w:val="003A2911"/>
    <w:rsid w:val="003A2CA5"/>
    <w:rsid w:val="003A2CA8"/>
    <w:rsid w:val="003A2CBD"/>
    <w:rsid w:val="003A2EF0"/>
    <w:rsid w:val="003A3162"/>
    <w:rsid w:val="003A31F6"/>
    <w:rsid w:val="003A326A"/>
    <w:rsid w:val="003A3422"/>
    <w:rsid w:val="003A36D4"/>
    <w:rsid w:val="003A3786"/>
    <w:rsid w:val="003A3B49"/>
    <w:rsid w:val="003A3F3C"/>
    <w:rsid w:val="003A4119"/>
    <w:rsid w:val="003A411E"/>
    <w:rsid w:val="003A4123"/>
    <w:rsid w:val="003A4467"/>
    <w:rsid w:val="003A46A0"/>
    <w:rsid w:val="003A4E99"/>
    <w:rsid w:val="003A51F1"/>
    <w:rsid w:val="003A52DF"/>
    <w:rsid w:val="003A53F9"/>
    <w:rsid w:val="003A55DD"/>
    <w:rsid w:val="003A5748"/>
    <w:rsid w:val="003A59BE"/>
    <w:rsid w:val="003A59D4"/>
    <w:rsid w:val="003A5AA0"/>
    <w:rsid w:val="003A5D10"/>
    <w:rsid w:val="003A6019"/>
    <w:rsid w:val="003A6238"/>
    <w:rsid w:val="003A62AE"/>
    <w:rsid w:val="003A70E1"/>
    <w:rsid w:val="003A712D"/>
    <w:rsid w:val="003A7537"/>
    <w:rsid w:val="003A772F"/>
    <w:rsid w:val="003A7936"/>
    <w:rsid w:val="003A7B0A"/>
    <w:rsid w:val="003A7B71"/>
    <w:rsid w:val="003A7BA2"/>
    <w:rsid w:val="003B0115"/>
    <w:rsid w:val="003B042F"/>
    <w:rsid w:val="003B0502"/>
    <w:rsid w:val="003B07BB"/>
    <w:rsid w:val="003B097C"/>
    <w:rsid w:val="003B0B5A"/>
    <w:rsid w:val="003B0CA1"/>
    <w:rsid w:val="003B0CDA"/>
    <w:rsid w:val="003B10C0"/>
    <w:rsid w:val="003B1117"/>
    <w:rsid w:val="003B117E"/>
    <w:rsid w:val="003B13F1"/>
    <w:rsid w:val="003B14CF"/>
    <w:rsid w:val="003B1537"/>
    <w:rsid w:val="003B1661"/>
    <w:rsid w:val="003B16DC"/>
    <w:rsid w:val="003B1E1F"/>
    <w:rsid w:val="003B216C"/>
    <w:rsid w:val="003B217E"/>
    <w:rsid w:val="003B25CD"/>
    <w:rsid w:val="003B25F4"/>
    <w:rsid w:val="003B28B6"/>
    <w:rsid w:val="003B29BA"/>
    <w:rsid w:val="003B2B28"/>
    <w:rsid w:val="003B2C68"/>
    <w:rsid w:val="003B2D16"/>
    <w:rsid w:val="003B2D4D"/>
    <w:rsid w:val="003B3161"/>
    <w:rsid w:val="003B3210"/>
    <w:rsid w:val="003B32F4"/>
    <w:rsid w:val="003B341F"/>
    <w:rsid w:val="003B347C"/>
    <w:rsid w:val="003B379F"/>
    <w:rsid w:val="003B3864"/>
    <w:rsid w:val="003B396E"/>
    <w:rsid w:val="003B3B75"/>
    <w:rsid w:val="003B3DED"/>
    <w:rsid w:val="003B4029"/>
    <w:rsid w:val="003B40E9"/>
    <w:rsid w:val="003B4714"/>
    <w:rsid w:val="003B4833"/>
    <w:rsid w:val="003B4864"/>
    <w:rsid w:val="003B4A66"/>
    <w:rsid w:val="003B4B72"/>
    <w:rsid w:val="003B4DD1"/>
    <w:rsid w:val="003B4F6F"/>
    <w:rsid w:val="003B554D"/>
    <w:rsid w:val="003B5807"/>
    <w:rsid w:val="003B5969"/>
    <w:rsid w:val="003B5B5F"/>
    <w:rsid w:val="003B5D2A"/>
    <w:rsid w:val="003B5EFF"/>
    <w:rsid w:val="003B5F88"/>
    <w:rsid w:val="003B5FB9"/>
    <w:rsid w:val="003B5FF3"/>
    <w:rsid w:val="003B6502"/>
    <w:rsid w:val="003B689A"/>
    <w:rsid w:val="003B6B34"/>
    <w:rsid w:val="003B6D95"/>
    <w:rsid w:val="003B6D9D"/>
    <w:rsid w:val="003B710B"/>
    <w:rsid w:val="003B74DF"/>
    <w:rsid w:val="003B7A10"/>
    <w:rsid w:val="003B7B5F"/>
    <w:rsid w:val="003B7C32"/>
    <w:rsid w:val="003B7D66"/>
    <w:rsid w:val="003B7EBF"/>
    <w:rsid w:val="003B7F6C"/>
    <w:rsid w:val="003C0692"/>
    <w:rsid w:val="003C0851"/>
    <w:rsid w:val="003C0962"/>
    <w:rsid w:val="003C0A4A"/>
    <w:rsid w:val="003C0C05"/>
    <w:rsid w:val="003C0DDE"/>
    <w:rsid w:val="003C0E5B"/>
    <w:rsid w:val="003C1029"/>
    <w:rsid w:val="003C1194"/>
    <w:rsid w:val="003C13AC"/>
    <w:rsid w:val="003C1A4B"/>
    <w:rsid w:val="003C1A75"/>
    <w:rsid w:val="003C1B4C"/>
    <w:rsid w:val="003C2088"/>
    <w:rsid w:val="003C2571"/>
    <w:rsid w:val="003C25B6"/>
    <w:rsid w:val="003C2810"/>
    <w:rsid w:val="003C2942"/>
    <w:rsid w:val="003C2974"/>
    <w:rsid w:val="003C2986"/>
    <w:rsid w:val="003C2D2E"/>
    <w:rsid w:val="003C2F54"/>
    <w:rsid w:val="003C2FEE"/>
    <w:rsid w:val="003C3078"/>
    <w:rsid w:val="003C30EC"/>
    <w:rsid w:val="003C323B"/>
    <w:rsid w:val="003C3289"/>
    <w:rsid w:val="003C3447"/>
    <w:rsid w:val="003C34A9"/>
    <w:rsid w:val="003C35BB"/>
    <w:rsid w:val="003C360C"/>
    <w:rsid w:val="003C3E42"/>
    <w:rsid w:val="003C3E54"/>
    <w:rsid w:val="003C3F44"/>
    <w:rsid w:val="003C3FB9"/>
    <w:rsid w:val="003C40A9"/>
    <w:rsid w:val="003C43D7"/>
    <w:rsid w:val="003C47C5"/>
    <w:rsid w:val="003C47E6"/>
    <w:rsid w:val="003C4905"/>
    <w:rsid w:val="003C4A3F"/>
    <w:rsid w:val="003C4BAE"/>
    <w:rsid w:val="003C4BC6"/>
    <w:rsid w:val="003C4D65"/>
    <w:rsid w:val="003C5103"/>
    <w:rsid w:val="003C53B4"/>
    <w:rsid w:val="003C560E"/>
    <w:rsid w:val="003C5BFE"/>
    <w:rsid w:val="003C5F4F"/>
    <w:rsid w:val="003C63C4"/>
    <w:rsid w:val="003C64CA"/>
    <w:rsid w:val="003C68F2"/>
    <w:rsid w:val="003C6A26"/>
    <w:rsid w:val="003C6B07"/>
    <w:rsid w:val="003C6C8F"/>
    <w:rsid w:val="003C6C9B"/>
    <w:rsid w:val="003C6F8D"/>
    <w:rsid w:val="003C6FBE"/>
    <w:rsid w:val="003C71F0"/>
    <w:rsid w:val="003C77FE"/>
    <w:rsid w:val="003D00E2"/>
    <w:rsid w:val="003D0501"/>
    <w:rsid w:val="003D05C6"/>
    <w:rsid w:val="003D076C"/>
    <w:rsid w:val="003D095E"/>
    <w:rsid w:val="003D09CE"/>
    <w:rsid w:val="003D0AC4"/>
    <w:rsid w:val="003D0E71"/>
    <w:rsid w:val="003D0F1E"/>
    <w:rsid w:val="003D0F5E"/>
    <w:rsid w:val="003D1085"/>
    <w:rsid w:val="003D1165"/>
    <w:rsid w:val="003D1526"/>
    <w:rsid w:val="003D1AC1"/>
    <w:rsid w:val="003D1BA2"/>
    <w:rsid w:val="003D1C29"/>
    <w:rsid w:val="003D1D7A"/>
    <w:rsid w:val="003D2002"/>
    <w:rsid w:val="003D21B3"/>
    <w:rsid w:val="003D2336"/>
    <w:rsid w:val="003D24E8"/>
    <w:rsid w:val="003D2649"/>
    <w:rsid w:val="003D2911"/>
    <w:rsid w:val="003D2973"/>
    <w:rsid w:val="003D2C84"/>
    <w:rsid w:val="003D3019"/>
    <w:rsid w:val="003D32B5"/>
    <w:rsid w:val="003D3587"/>
    <w:rsid w:val="003D38DB"/>
    <w:rsid w:val="003D395B"/>
    <w:rsid w:val="003D3E5E"/>
    <w:rsid w:val="003D3FD6"/>
    <w:rsid w:val="003D4088"/>
    <w:rsid w:val="003D43F5"/>
    <w:rsid w:val="003D47B7"/>
    <w:rsid w:val="003D47E5"/>
    <w:rsid w:val="003D4A07"/>
    <w:rsid w:val="003D4E26"/>
    <w:rsid w:val="003D4F62"/>
    <w:rsid w:val="003D5007"/>
    <w:rsid w:val="003D5270"/>
    <w:rsid w:val="003D5661"/>
    <w:rsid w:val="003D5865"/>
    <w:rsid w:val="003D5981"/>
    <w:rsid w:val="003D5B0F"/>
    <w:rsid w:val="003D6480"/>
    <w:rsid w:val="003D655F"/>
    <w:rsid w:val="003D66F8"/>
    <w:rsid w:val="003D68D9"/>
    <w:rsid w:val="003D6AB3"/>
    <w:rsid w:val="003D6E36"/>
    <w:rsid w:val="003D73D4"/>
    <w:rsid w:val="003D75D2"/>
    <w:rsid w:val="003D767E"/>
    <w:rsid w:val="003D788C"/>
    <w:rsid w:val="003D79D5"/>
    <w:rsid w:val="003D79DB"/>
    <w:rsid w:val="003D7C33"/>
    <w:rsid w:val="003E00B9"/>
    <w:rsid w:val="003E01FE"/>
    <w:rsid w:val="003E026A"/>
    <w:rsid w:val="003E0274"/>
    <w:rsid w:val="003E02CA"/>
    <w:rsid w:val="003E04FD"/>
    <w:rsid w:val="003E0563"/>
    <w:rsid w:val="003E068C"/>
    <w:rsid w:val="003E0B5A"/>
    <w:rsid w:val="003E0D89"/>
    <w:rsid w:val="003E0DD9"/>
    <w:rsid w:val="003E0DDA"/>
    <w:rsid w:val="003E0FB0"/>
    <w:rsid w:val="003E1035"/>
    <w:rsid w:val="003E1289"/>
    <w:rsid w:val="003E153C"/>
    <w:rsid w:val="003E168A"/>
    <w:rsid w:val="003E17F7"/>
    <w:rsid w:val="003E1930"/>
    <w:rsid w:val="003E1EA5"/>
    <w:rsid w:val="003E208E"/>
    <w:rsid w:val="003E2362"/>
    <w:rsid w:val="003E23E6"/>
    <w:rsid w:val="003E2652"/>
    <w:rsid w:val="003E2935"/>
    <w:rsid w:val="003E29AC"/>
    <w:rsid w:val="003E2B5E"/>
    <w:rsid w:val="003E2D6C"/>
    <w:rsid w:val="003E2FF3"/>
    <w:rsid w:val="003E3000"/>
    <w:rsid w:val="003E30DC"/>
    <w:rsid w:val="003E3226"/>
    <w:rsid w:val="003E3301"/>
    <w:rsid w:val="003E39F0"/>
    <w:rsid w:val="003E3EEE"/>
    <w:rsid w:val="003E4482"/>
    <w:rsid w:val="003E4797"/>
    <w:rsid w:val="003E4B58"/>
    <w:rsid w:val="003E4BD0"/>
    <w:rsid w:val="003E4CC5"/>
    <w:rsid w:val="003E4DFB"/>
    <w:rsid w:val="003E4E31"/>
    <w:rsid w:val="003E4EFA"/>
    <w:rsid w:val="003E5282"/>
    <w:rsid w:val="003E579F"/>
    <w:rsid w:val="003E5CA9"/>
    <w:rsid w:val="003E5D5B"/>
    <w:rsid w:val="003E5E46"/>
    <w:rsid w:val="003E5F67"/>
    <w:rsid w:val="003E5F71"/>
    <w:rsid w:val="003E6089"/>
    <w:rsid w:val="003E6102"/>
    <w:rsid w:val="003E64B6"/>
    <w:rsid w:val="003E65C9"/>
    <w:rsid w:val="003E6710"/>
    <w:rsid w:val="003E67C7"/>
    <w:rsid w:val="003E6D81"/>
    <w:rsid w:val="003E6E06"/>
    <w:rsid w:val="003E6F01"/>
    <w:rsid w:val="003E6FD0"/>
    <w:rsid w:val="003E7119"/>
    <w:rsid w:val="003E723F"/>
    <w:rsid w:val="003E72DA"/>
    <w:rsid w:val="003E747D"/>
    <w:rsid w:val="003E76F8"/>
    <w:rsid w:val="003E7847"/>
    <w:rsid w:val="003E7AC8"/>
    <w:rsid w:val="003E7B20"/>
    <w:rsid w:val="003E7D1D"/>
    <w:rsid w:val="003E7F5A"/>
    <w:rsid w:val="003E7F88"/>
    <w:rsid w:val="003F0070"/>
    <w:rsid w:val="003F0347"/>
    <w:rsid w:val="003F038E"/>
    <w:rsid w:val="003F0417"/>
    <w:rsid w:val="003F088C"/>
    <w:rsid w:val="003F0D18"/>
    <w:rsid w:val="003F0DF2"/>
    <w:rsid w:val="003F11B1"/>
    <w:rsid w:val="003F1331"/>
    <w:rsid w:val="003F1638"/>
    <w:rsid w:val="003F1903"/>
    <w:rsid w:val="003F1915"/>
    <w:rsid w:val="003F1A30"/>
    <w:rsid w:val="003F1DCF"/>
    <w:rsid w:val="003F1DF6"/>
    <w:rsid w:val="003F1EB9"/>
    <w:rsid w:val="003F1ECE"/>
    <w:rsid w:val="003F24F3"/>
    <w:rsid w:val="003F267C"/>
    <w:rsid w:val="003F2B0F"/>
    <w:rsid w:val="003F33F3"/>
    <w:rsid w:val="003F34B8"/>
    <w:rsid w:val="003F3530"/>
    <w:rsid w:val="003F3902"/>
    <w:rsid w:val="003F394B"/>
    <w:rsid w:val="003F3A20"/>
    <w:rsid w:val="003F3A5A"/>
    <w:rsid w:val="003F3C2C"/>
    <w:rsid w:val="003F3E0F"/>
    <w:rsid w:val="003F3F30"/>
    <w:rsid w:val="003F42BF"/>
    <w:rsid w:val="003F43DB"/>
    <w:rsid w:val="003F481D"/>
    <w:rsid w:val="003F48AB"/>
    <w:rsid w:val="003F48AF"/>
    <w:rsid w:val="003F490C"/>
    <w:rsid w:val="003F4A0A"/>
    <w:rsid w:val="003F5031"/>
    <w:rsid w:val="003F5145"/>
    <w:rsid w:val="003F54FE"/>
    <w:rsid w:val="003F5551"/>
    <w:rsid w:val="003F557E"/>
    <w:rsid w:val="003F56D8"/>
    <w:rsid w:val="003F5D44"/>
    <w:rsid w:val="003F5D8E"/>
    <w:rsid w:val="003F60B9"/>
    <w:rsid w:val="003F62AE"/>
    <w:rsid w:val="003F6493"/>
    <w:rsid w:val="003F6648"/>
    <w:rsid w:val="003F6773"/>
    <w:rsid w:val="003F68EF"/>
    <w:rsid w:val="003F6AF7"/>
    <w:rsid w:val="003F6C50"/>
    <w:rsid w:val="003F6CB5"/>
    <w:rsid w:val="003F6D5F"/>
    <w:rsid w:val="003F72AC"/>
    <w:rsid w:val="003F747C"/>
    <w:rsid w:val="003F7AD6"/>
    <w:rsid w:val="003F7B3B"/>
    <w:rsid w:val="003F7DFB"/>
    <w:rsid w:val="003F7EAB"/>
    <w:rsid w:val="00400361"/>
    <w:rsid w:val="00400A08"/>
    <w:rsid w:val="00400B08"/>
    <w:rsid w:val="00400DBE"/>
    <w:rsid w:val="0040104C"/>
    <w:rsid w:val="004012D2"/>
    <w:rsid w:val="00401B81"/>
    <w:rsid w:val="00401F7A"/>
    <w:rsid w:val="004023DD"/>
    <w:rsid w:val="004024FE"/>
    <w:rsid w:val="0040255E"/>
    <w:rsid w:val="00402721"/>
    <w:rsid w:val="004029EC"/>
    <w:rsid w:val="00402C67"/>
    <w:rsid w:val="00402E4B"/>
    <w:rsid w:val="00402E94"/>
    <w:rsid w:val="00402F0E"/>
    <w:rsid w:val="00402F2A"/>
    <w:rsid w:val="004035F9"/>
    <w:rsid w:val="00403904"/>
    <w:rsid w:val="0040397D"/>
    <w:rsid w:val="00403B05"/>
    <w:rsid w:val="00403C22"/>
    <w:rsid w:val="00403C47"/>
    <w:rsid w:val="00403C80"/>
    <w:rsid w:val="0040457E"/>
    <w:rsid w:val="0040478D"/>
    <w:rsid w:val="0040498A"/>
    <w:rsid w:val="0040540C"/>
    <w:rsid w:val="0040588A"/>
    <w:rsid w:val="0040595F"/>
    <w:rsid w:val="004060C3"/>
    <w:rsid w:val="00406235"/>
    <w:rsid w:val="0040646B"/>
    <w:rsid w:val="00406592"/>
    <w:rsid w:val="00406683"/>
    <w:rsid w:val="004067ED"/>
    <w:rsid w:val="0040690C"/>
    <w:rsid w:val="00406BDA"/>
    <w:rsid w:val="0040719F"/>
    <w:rsid w:val="00407430"/>
    <w:rsid w:val="00407476"/>
    <w:rsid w:val="004076DB"/>
    <w:rsid w:val="004079CE"/>
    <w:rsid w:val="00407B84"/>
    <w:rsid w:val="0041013C"/>
    <w:rsid w:val="004101C8"/>
    <w:rsid w:val="00410289"/>
    <w:rsid w:val="00410412"/>
    <w:rsid w:val="00410433"/>
    <w:rsid w:val="00410A58"/>
    <w:rsid w:val="00410A60"/>
    <w:rsid w:val="00410C08"/>
    <w:rsid w:val="00410D44"/>
    <w:rsid w:val="00410DED"/>
    <w:rsid w:val="0041130D"/>
    <w:rsid w:val="00411415"/>
    <w:rsid w:val="00411C66"/>
    <w:rsid w:val="00411CF7"/>
    <w:rsid w:val="00411D7B"/>
    <w:rsid w:val="00412048"/>
    <w:rsid w:val="00412059"/>
    <w:rsid w:val="004121E8"/>
    <w:rsid w:val="0041253E"/>
    <w:rsid w:val="0041256D"/>
    <w:rsid w:val="00412616"/>
    <w:rsid w:val="0041283D"/>
    <w:rsid w:val="00413061"/>
    <w:rsid w:val="00413271"/>
    <w:rsid w:val="004132DF"/>
    <w:rsid w:val="00413B4E"/>
    <w:rsid w:val="00413E21"/>
    <w:rsid w:val="00413EC5"/>
    <w:rsid w:val="00414013"/>
    <w:rsid w:val="00414092"/>
    <w:rsid w:val="00414098"/>
    <w:rsid w:val="00414279"/>
    <w:rsid w:val="004143BC"/>
    <w:rsid w:val="0041448E"/>
    <w:rsid w:val="0041460A"/>
    <w:rsid w:val="00414631"/>
    <w:rsid w:val="004146E1"/>
    <w:rsid w:val="0041486C"/>
    <w:rsid w:val="00414BE8"/>
    <w:rsid w:val="00414BF9"/>
    <w:rsid w:val="00414C97"/>
    <w:rsid w:val="00414CC8"/>
    <w:rsid w:val="00414E17"/>
    <w:rsid w:val="00414FBB"/>
    <w:rsid w:val="00414FEE"/>
    <w:rsid w:val="004151CE"/>
    <w:rsid w:val="00415225"/>
    <w:rsid w:val="00415288"/>
    <w:rsid w:val="004152A4"/>
    <w:rsid w:val="004152E1"/>
    <w:rsid w:val="004154A8"/>
    <w:rsid w:val="004155A3"/>
    <w:rsid w:val="004156A8"/>
    <w:rsid w:val="00415BAB"/>
    <w:rsid w:val="00415CDC"/>
    <w:rsid w:val="00415ED2"/>
    <w:rsid w:val="004163B2"/>
    <w:rsid w:val="00416460"/>
    <w:rsid w:val="0041669B"/>
    <w:rsid w:val="00416762"/>
    <w:rsid w:val="00416917"/>
    <w:rsid w:val="00416A28"/>
    <w:rsid w:val="00416AEC"/>
    <w:rsid w:val="00416B7D"/>
    <w:rsid w:val="00416B9B"/>
    <w:rsid w:val="00416C32"/>
    <w:rsid w:val="00416F7B"/>
    <w:rsid w:val="00416F93"/>
    <w:rsid w:val="004174C1"/>
    <w:rsid w:val="004176C5"/>
    <w:rsid w:val="00417C99"/>
    <w:rsid w:val="00417CF3"/>
    <w:rsid w:val="004201F6"/>
    <w:rsid w:val="0042035D"/>
    <w:rsid w:val="0042068C"/>
    <w:rsid w:val="004209DB"/>
    <w:rsid w:val="004209E9"/>
    <w:rsid w:val="00420E8C"/>
    <w:rsid w:val="0042165A"/>
    <w:rsid w:val="004216CE"/>
    <w:rsid w:val="00421B32"/>
    <w:rsid w:val="00421D4D"/>
    <w:rsid w:val="004221CE"/>
    <w:rsid w:val="0042292B"/>
    <w:rsid w:val="00422A21"/>
    <w:rsid w:val="00422A89"/>
    <w:rsid w:val="00422A9E"/>
    <w:rsid w:val="004231FD"/>
    <w:rsid w:val="004233C5"/>
    <w:rsid w:val="00423412"/>
    <w:rsid w:val="00423802"/>
    <w:rsid w:val="00423A62"/>
    <w:rsid w:val="00423D76"/>
    <w:rsid w:val="00423F9B"/>
    <w:rsid w:val="00424545"/>
    <w:rsid w:val="0042459A"/>
    <w:rsid w:val="00424A7C"/>
    <w:rsid w:val="00424ACA"/>
    <w:rsid w:val="00424C9C"/>
    <w:rsid w:val="00424CAE"/>
    <w:rsid w:val="00424D30"/>
    <w:rsid w:val="004255BD"/>
    <w:rsid w:val="004258A4"/>
    <w:rsid w:val="00425F3D"/>
    <w:rsid w:val="0042613F"/>
    <w:rsid w:val="004261A9"/>
    <w:rsid w:val="00426469"/>
    <w:rsid w:val="00426581"/>
    <w:rsid w:val="00426585"/>
    <w:rsid w:val="00426865"/>
    <w:rsid w:val="00426924"/>
    <w:rsid w:val="0042722F"/>
    <w:rsid w:val="004272D7"/>
    <w:rsid w:val="00427454"/>
    <w:rsid w:val="0042763E"/>
    <w:rsid w:val="004278C7"/>
    <w:rsid w:val="004278D3"/>
    <w:rsid w:val="004278DF"/>
    <w:rsid w:val="0043001A"/>
    <w:rsid w:val="00430352"/>
    <w:rsid w:val="004303CF"/>
    <w:rsid w:val="0043062E"/>
    <w:rsid w:val="00430778"/>
    <w:rsid w:val="004309F1"/>
    <w:rsid w:val="00430B25"/>
    <w:rsid w:val="00430B58"/>
    <w:rsid w:val="00430C01"/>
    <w:rsid w:val="00430C3D"/>
    <w:rsid w:val="00430C4E"/>
    <w:rsid w:val="00430F84"/>
    <w:rsid w:val="00431371"/>
    <w:rsid w:val="004313BB"/>
    <w:rsid w:val="004314D0"/>
    <w:rsid w:val="004314EA"/>
    <w:rsid w:val="004315C3"/>
    <w:rsid w:val="00431B99"/>
    <w:rsid w:val="00431BEF"/>
    <w:rsid w:val="00431DBF"/>
    <w:rsid w:val="00431E69"/>
    <w:rsid w:val="00432313"/>
    <w:rsid w:val="00432502"/>
    <w:rsid w:val="0043269A"/>
    <w:rsid w:val="0043271A"/>
    <w:rsid w:val="00432932"/>
    <w:rsid w:val="00432B50"/>
    <w:rsid w:val="00432BD5"/>
    <w:rsid w:val="00432FF1"/>
    <w:rsid w:val="0043316A"/>
    <w:rsid w:val="00433175"/>
    <w:rsid w:val="004334D0"/>
    <w:rsid w:val="0043353F"/>
    <w:rsid w:val="004335B7"/>
    <w:rsid w:val="0043385B"/>
    <w:rsid w:val="004338F3"/>
    <w:rsid w:val="00433A3F"/>
    <w:rsid w:val="004340AC"/>
    <w:rsid w:val="00434390"/>
    <w:rsid w:val="00434501"/>
    <w:rsid w:val="0043453E"/>
    <w:rsid w:val="004345D6"/>
    <w:rsid w:val="004347D2"/>
    <w:rsid w:val="00434895"/>
    <w:rsid w:val="00434B24"/>
    <w:rsid w:val="00434B33"/>
    <w:rsid w:val="00434D25"/>
    <w:rsid w:val="00435182"/>
    <w:rsid w:val="00435B1C"/>
    <w:rsid w:val="00435B76"/>
    <w:rsid w:val="00435C3D"/>
    <w:rsid w:val="00435DA0"/>
    <w:rsid w:val="00436103"/>
    <w:rsid w:val="00436528"/>
    <w:rsid w:val="00436999"/>
    <w:rsid w:val="004369FE"/>
    <w:rsid w:val="00436D86"/>
    <w:rsid w:val="00436E04"/>
    <w:rsid w:val="00436E46"/>
    <w:rsid w:val="00437617"/>
    <w:rsid w:val="00437BC1"/>
    <w:rsid w:val="00437DE9"/>
    <w:rsid w:val="00437DFE"/>
    <w:rsid w:val="00437F86"/>
    <w:rsid w:val="004400CB"/>
    <w:rsid w:val="00440100"/>
    <w:rsid w:val="004401BD"/>
    <w:rsid w:val="00440232"/>
    <w:rsid w:val="004403B8"/>
    <w:rsid w:val="004404F3"/>
    <w:rsid w:val="0044086D"/>
    <w:rsid w:val="00440B3B"/>
    <w:rsid w:val="00440C78"/>
    <w:rsid w:val="00441015"/>
    <w:rsid w:val="00441549"/>
    <w:rsid w:val="00441891"/>
    <w:rsid w:val="00441948"/>
    <w:rsid w:val="00441D7A"/>
    <w:rsid w:val="00441E5D"/>
    <w:rsid w:val="00441F45"/>
    <w:rsid w:val="00441F7C"/>
    <w:rsid w:val="004423EB"/>
    <w:rsid w:val="00442417"/>
    <w:rsid w:val="004425E4"/>
    <w:rsid w:val="0044291F"/>
    <w:rsid w:val="00442DBA"/>
    <w:rsid w:val="00442FFD"/>
    <w:rsid w:val="00443AA4"/>
    <w:rsid w:val="00443B21"/>
    <w:rsid w:val="00443B5D"/>
    <w:rsid w:val="00443B89"/>
    <w:rsid w:val="00443C20"/>
    <w:rsid w:val="004441AC"/>
    <w:rsid w:val="004445BF"/>
    <w:rsid w:val="00444901"/>
    <w:rsid w:val="0044497F"/>
    <w:rsid w:val="00444EDF"/>
    <w:rsid w:val="004451A6"/>
    <w:rsid w:val="0044528E"/>
    <w:rsid w:val="0044533F"/>
    <w:rsid w:val="004455CD"/>
    <w:rsid w:val="0044591D"/>
    <w:rsid w:val="00445E19"/>
    <w:rsid w:val="00446077"/>
    <w:rsid w:val="00446239"/>
    <w:rsid w:val="004463D3"/>
    <w:rsid w:val="00446619"/>
    <w:rsid w:val="0044666F"/>
    <w:rsid w:val="004466BE"/>
    <w:rsid w:val="004467CC"/>
    <w:rsid w:val="00446821"/>
    <w:rsid w:val="004469DC"/>
    <w:rsid w:val="00446DE8"/>
    <w:rsid w:val="00446E56"/>
    <w:rsid w:val="00447069"/>
    <w:rsid w:val="004471A7"/>
    <w:rsid w:val="004471DC"/>
    <w:rsid w:val="00447953"/>
    <w:rsid w:val="004479BA"/>
    <w:rsid w:val="00447B36"/>
    <w:rsid w:val="00450736"/>
    <w:rsid w:val="00450956"/>
    <w:rsid w:val="00450C1D"/>
    <w:rsid w:val="00450E89"/>
    <w:rsid w:val="00450ECB"/>
    <w:rsid w:val="00451031"/>
    <w:rsid w:val="00451183"/>
    <w:rsid w:val="00451663"/>
    <w:rsid w:val="00451887"/>
    <w:rsid w:val="004519DA"/>
    <w:rsid w:val="004519FF"/>
    <w:rsid w:val="00451A1C"/>
    <w:rsid w:val="00451B62"/>
    <w:rsid w:val="00451C49"/>
    <w:rsid w:val="00452058"/>
    <w:rsid w:val="0045216B"/>
    <w:rsid w:val="004521EB"/>
    <w:rsid w:val="00452398"/>
    <w:rsid w:val="0045261D"/>
    <w:rsid w:val="00452700"/>
    <w:rsid w:val="00452CE5"/>
    <w:rsid w:val="00453007"/>
    <w:rsid w:val="00453429"/>
    <w:rsid w:val="004537B8"/>
    <w:rsid w:val="00453B10"/>
    <w:rsid w:val="00453E70"/>
    <w:rsid w:val="0045417C"/>
    <w:rsid w:val="00454293"/>
    <w:rsid w:val="0045455F"/>
    <w:rsid w:val="00454698"/>
    <w:rsid w:val="00454C59"/>
    <w:rsid w:val="00454CC7"/>
    <w:rsid w:val="00454D76"/>
    <w:rsid w:val="00454D8B"/>
    <w:rsid w:val="0045509C"/>
    <w:rsid w:val="004554A8"/>
    <w:rsid w:val="00455531"/>
    <w:rsid w:val="0045563E"/>
    <w:rsid w:val="0045582A"/>
    <w:rsid w:val="00455A97"/>
    <w:rsid w:val="00455B8D"/>
    <w:rsid w:val="0045603E"/>
    <w:rsid w:val="00456130"/>
    <w:rsid w:val="0045668D"/>
    <w:rsid w:val="004566F7"/>
    <w:rsid w:val="004569B2"/>
    <w:rsid w:val="004569DD"/>
    <w:rsid w:val="00456B08"/>
    <w:rsid w:val="00456F0E"/>
    <w:rsid w:val="00456FC9"/>
    <w:rsid w:val="00457320"/>
    <w:rsid w:val="004575A7"/>
    <w:rsid w:val="00457812"/>
    <w:rsid w:val="00457ADC"/>
    <w:rsid w:val="00457C64"/>
    <w:rsid w:val="00457CEE"/>
    <w:rsid w:val="00457E99"/>
    <w:rsid w:val="00460203"/>
    <w:rsid w:val="00460271"/>
    <w:rsid w:val="00460297"/>
    <w:rsid w:val="0046037C"/>
    <w:rsid w:val="00460517"/>
    <w:rsid w:val="00460574"/>
    <w:rsid w:val="004609F8"/>
    <w:rsid w:val="00460AE7"/>
    <w:rsid w:val="00460E2F"/>
    <w:rsid w:val="00460E9B"/>
    <w:rsid w:val="004610D4"/>
    <w:rsid w:val="0046120F"/>
    <w:rsid w:val="00461284"/>
    <w:rsid w:val="0046154F"/>
    <w:rsid w:val="004616B0"/>
    <w:rsid w:val="00461779"/>
    <w:rsid w:val="00461A2D"/>
    <w:rsid w:val="00461ED3"/>
    <w:rsid w:val="00461F9A"/>
    <w:rsid w:val="0046224D"/>
    <w:rsid w:val="004622DC"/>
    <w:rsid w:val="00462383"/>
    <w:rsid w:val="004623C7"/>
    <w:rsid w:val="00462433"/>
    <w:rsid w:val="00462499"/>
    <w:rsid w:val="00462711"/>
    <w:rsid w:val="0046298A"/>
    <w:rsid w:val="00462E30"/>
    <w:rsid w:val="00463245"/>
    <w:rsid w:val="004632E8"/>
    <w:rsid w:val="0046349F"/>
    <w:rsid w:val="00463A2C"/>
    <w:rsid w:val="00463A99"/>
    <w:rsid w:val="00463C6E"/>
    <w:rsid w:val="00464374"/>
    <w:rsid w:val="004648C3"/>
    <w:rsid w:val="00464E72"/>
    <w:rsid w:val="00464EB2"/>
    <w:rsid w:val="00465034"/>
    <w:rsid w:val="00465298"/>
    <w:rsid w:val="00465338"/>
    <w:rsid w:val="00465705"/>
    <w:rsid w:val="00465A01"/>
    <w:rsid w:val="00465EFA"/>
    <w:rsid w:val="004660F1"/>
    <w:rsid w:val="004664AB"/>
    <w:rsid w:val="004666A2"/>
    <w:rsid w:val="00466B08"/>
    <w:rsid w:val="00466B4C"/>
    <w:rsid w:val="00466DC0"/>
    <w:rsid w:val="00466E02"/>
    <w:rsid w:val="00466F27"/>
    <w:rsid w:val="00466F2C"/>
    <w:rsid w:val="00466F45"/>
    <w:rsid w:val="004671E3"/>
    <w:rsid w:val="004679A9"/>
    <w:rsid w:val="00467B34"/>
    <w:rsid w:val="00467BDA"/>
    <w:rsid w:val="00467BFE"/>
    <w:rsid w:val="00467C89"/>
    <w:rsid w:val="0047002B"/>
    <w:rsid w:val="004704B9"/>
    <w:rsid w:val="00470749"/>
    <w:rsid w:val="00470812"/>
    <w:rsid w:val="00470B28"/>
    <w:rsid w:val="00470B9F"/>
    <w:rsid w:val="00470C5D"/>
    <w:rsid w:val="00470DEC"/>
    <w:rsid w:val="00470E55"/>
    <w:rsid w:val="004710C0"/>
    <w:rsid w:val="004711F4"/>
    <w:rsid w:val="0047122B"/>
    <w:rsid w:val="004714EA"/>
    <w:rsid w:val="004715CD"/>
    <w:rsid w:val="004715E9"/>
    <w:rsid w:val="0047181E"/>
    <w:rsid w:val="00471A01"/>
    <w:rsid w:val="00471A5D"/>
    <w:rsid w:val="00471A5E"/>
    <w:rsid w:val="00471AAE"/>
    <w:rsid w:val="00471C44"/>
    <w:rsid w:val="004720A8"/>
    <w:rsid w:val="0047213A"/>
    <w:rsid w:val="0047227F"/>
    <w:rsid w:val="004729BA"/>
    <w:rsid w:val="00472A12"/>
    <w:rsid w:val="00472E81"/>
    <w:rsid w:val="00472FE7"/>
    <w:rsid w:val="00473469"/>
    <w:rsid w:val="0047354F"/>
    <w:rsid w:val="0047361B"/>
    <w:rsid w:val="0047386F"/>
    <w:rsid w:val="004738E8"/>
    <w:rsid w:val="00473B7A"/>
    <w:rsid w:val="00473CE8"/>
    <w:rsid w:val="00474022"/>
    <w:rsid w:val="00474666"/>
    <w:rsid w:val="0047492D"/>
    <w:rsid w:val="00474BBA"/>
    <w:rsid w:val="00474F65"/>
    <w:rsid w:val="00475105"/>
    <w:rsid w:val="00475195"/>
    <w:rsid w:val="0047520A"/>
    <w:rsid w:val="004752AA"/>
    <w:rsid w:val="004757F3"/>
    <w:rsid w:val="00475810"/>
    <w:rsid w:val="004758AE"/>
    <w:rsid w:val="0047591E"/>
    <w:rsid w:val="00475AAA"/>
    <w:rsid w:val="00475D0E"/>
    <w:rsid w:val="004766F5"/>
    <w:rsid w:val="00476A2D"/>
    <w:rsid w:val="00476AD2"/>
    <w:rsid w:val="00476ED4"/>
    <w:rsid w:val="00477C44"/>
    <w:rsid w:val="0048025E"/>
    <w:rsid w:val="00480260"/>
    <w:rsid w:val="004802D8"/>
    <w:rsid w:val="004804A6"/>
    <w:rsid w:val="0048097B"/>
    <w:rsid w:val="00480992"/>
    <w:rsid w:val="00480D68"/>
    <w:rsid w:val="00480F5C"/>
    <w:rsid w:val="004811C6"/>
    <w:rsid w:val="004811F3"/>
    <w:rsid w:val="0048158E"/>
    <w:rsid w:val="00481678"/>
    <w:rsid w:val="00481C1A"/>
    <w:rsid w:val="00482535"/>
    <w:rsid w:val="004829E3"/>
    <w:rsid w:val="004831FA"/>
    <w:rsid w:val="0048355D"/>
    <w:rsid w:val="004836FB"/>
    <w:rsid w:val="0048373B"/>
    <w:rsid w:val="004837B4"/>
    <w:rsid w:val="00483952"/>
    <w:rsid w:val="004839F6"/>
    <w:rsid w:val="00483A25"/>
    <w:rsid w:val="00483A8B"/>
    <w:rsid w:val="004840CB"/>
    <w:rsid w:val="00484101"/>
    <w:rsid w:val="0048410E"/>
    <w:rsid w:val="00484170"/>
    <w:rsid w:val="004842CD"/>
    <w:rsid w:val="004842D1"/>
    <w:rsid w:val="004848D1"/>
    <w:rsid w:val="00484CC7"/>
    <w:rsid w:val="00484E09"/>
    <w:rsid w:val="00484E57"/>
    <w:rsid w:val="004852EC"/>
    <w:rsid w:val="00485350"/>
    <w:rsid w:val="00485525"/>
    <w:rsid w:val="004857EE"/>
    <w:rsid w:val="00485911"/>
    <w:rsid w:val="00485B6E"/>
    <w:rsid w:val="00485C93"/>
    <w:rsid w:val="00485DA7"/>
    <w:rsid w:val="00485E35"/>
    <w:rsid w:val="0048644C"/>
    <w:rsid w:val="00486874"/>
    <w:rsid w:val="00486987"/>
    <w:rsid w:val="004869F8"/>
    <w:rsid w:val="00486A33"/>
    <w:rsid w:val="00486C90"/>
    <w:rsid w:val="00486CFA"/>
    <w:rsid w:val="00487195"/>
    <w:rsid w:val="004874ED"/>
    <w:rsid w:val="00487518"/>
    <w:rsid w:val="004875C7"/>
    <w:rsid w:val="0048765C"/>
    <w:rsid w:val="00487917"/>
    <w:rsid w:val="0048791D"/>
    <w:rsid w:val="00487A83"/>
    <w:rsid w:val="00487AE1"/>
    <w:rsid w:val="00487B80"/>
    <w:rsid w:val="00487C00"/>
    <w:rsid w:val="00487EB7"/>
    <w:rsid w:val="004900FC"/>
    <w:rsid w:val="00490511"/>
    <w:rsid w:val="0049060B"/>
    <w:rsid w:val="00490646"/>
    <w:rsid w:val="00490B08"/>
    <w:rsid w:val="00490E39"/>
    <w:rsid w:val="004910AF"/>
    <w:rsid w:val="00491212"/>
    <w:rsid w:val="004912CB"/>
    <w:rsid w:val="00491587"/>
    <w:rsid w:val="0049165C"/>
    <w:rsid w:val="00491838"/>
    <w:rsid w:val="00491900"/>
    <w:rsid w:val="0049201D"/>
    <w:rsid w:val="00492248"/>
    <w:rsid w:val="004923F4"/>
    <w:rsid w:val="00492503"/>
    <w:rsid w:val="00492AD3"/>
    <w:rsid w:val="00492EEC"/>
    <w:rsid w:val="00493007"/>
    <w:rsid w:val="00493165"/>
    <w:rsid w:val="00493357"/>
    <w:rsid w:val="004934E5"/>
    <w:rsid w:val="00493690"/>
    <w:rsid w:val="004936D0"/>
    <w:rsid w:val="004938D8"/>
    <w:rsid w:val="0049391B"/>
    <w:rsid w:val="00493C17"/>
    <w:rsid w:val="00493CFA"/>
    <w:rsid w:val="00493FB8"/>
    <w:rsid w:val="0049433B"/>
    <w:rsid w:val="004944AC"/>
    <w:rsid w:val="00494582"/>
    <w:rsid w:val="00494784"/>
    <w:rsid w:val="0049478F"/>
    <w:rsid w:val="004948B6"/>
    <w:rsid w:val="00494CD6"/>
    <w:rsid w:val="004952AF"/>
    <w:rsid w:val="004953B5"/>
    <w:rsid w:val="00495414"/>
    <w:rsid w:val="00495415"/>
    <w:rsid w:val="004957D3"/>
    <w:rsid w:val="00495B8C"/>
    <w:rsid w:val="00496049"/>
    <w:rsid w:val="004960AF"/>
    <w:rsid w:val="004960B9"/>
    <w:rsid w:val="004960E9"/>
    <w:rsid w:val="004963DA"/>
    <w:rsid w:val="00496E2B"/>
    <w:rsid w:val="0049701B"/>
    <w:rsid w:val="00497457"/>
    <w:rsid w:val="004974BB"/>
    <w:rsid w:val="00497766"/>
    <w:rsid w:val="004977F2"/>
    <w:rsid w:val="00497923"/>
    <w:rsid w:val="00497BF6"/>
    <w:rsid w:val="00497C2A"/>
    <w:rsid w:val="00497CA6"/>
    <w:rsid w:val="00497E40"/>
    <w:rsid w:val="00497F00"/>
    <w:rsid w:val="00497F2C"/>
    <w:rsid w:val="00497FDC"/>
    <w:rsid w:val="004A0211"/>
    <w:rsid w:val="004A02F0"/>
    <w:rsid w:val="004A0444"/>
    <w:rsid w:val="004A04C5"/>
    <w:rsid w:val="004A0891"/>
    <w:rsid w:val="004A0F7C"/>
    <w:rsid w:val="004A15C0"/>
    <w:rsid w:val="004A1628"/>
    <w:rsid w:val="004A1862"/>
    <w:rsid w:val="004A1AD7"/>
    <w:rsid w:val="004A1B1E"/>
    <w:rsid w:val="004A1D32"/>
    <w:rsid w:val="004A1E56"/>
    <w:rsid w:val="004A20C5"/>
    <w:rsid w:val="004A24C2"/>
    <w:rsid w:val="004A258D"/>
    <w:rsid w:val="004A2699"/>
    <w:rsid w:val="004A28AA"/>
    <w:rsid w:val="004A28E2"/>
    <w:rsid w:val="004A2C6A"/>
    <w:rsid w:val="004A2C8C"/>
    <w:rsid w:val="004A2E88"/>
    <w:rsid w:val="004A2E8E"/>
    <w:rsid w:val="004A2F14"/>
    <w:rsid w:val="004A30D5"/>
    <w:rsid w:val="004A326F"/>
    <w:rsid w:val="004A327D"/>
    <w:rsid w:val="004A340F"/>
    <w:rsid w:val="004A3411"/>
    <w:rsid w:val="004A35EC"/>
    <w:rsid w:val="004A368D"/>
    <w:rsid w:val="004A390C"/>
    <w:rsid w:val="004A3923"/>
    <w:rsid w:val="004A3940"/>
    <w:rsid w:val="004A39C6"/>
    <w:rsid w:val="004A3CAA"/>
    <w:rsid w:val="004A3CCE"/>
    <w:rsid w:val="004A4064"/>
    <w:rsid w:val="004A40B0"/>
    <w:rsid w:val="004A45F2"/>
    <w:rsid w:val="004A492D"/>
    <w:rsid w:val="004A4930"/>
    <w:rsid w:val="004A49DC"/>
    <w:rsid w:val="004A4F5F"/>
    <w:rsid w:val="004A52CF"/>
    <w:rsid w:val="004A5305"/>
    <w:rsid w:val="004A531D"/>
    <w:rsid w:val="004A536B"/>
    <w:rsid w:val="004A5674"/>
    <w:rsid w:val="004A567A"/>
    <w:rsid w:val="004A56A9"/>
    <w:rsid w:val="004A57A8"/>
    <w:rsid w:val="004A5827"/>
    <w:rsid w:val="004A5870"/>
    <w:rsid w:val="004A59A6"/>
    <w:rsid w:val="004A5D97"/>
    <w:rsid w:val="004A6191"/>
    <w:rsid w:val="004A683D"/>
    <w:rsid w:val="004A6ACE"/>
    <w:rsid w:val="004A6D59"/>
    <w:rsid w:val="004A7139"/>
    <w:rsid w:val="004A78C9"/>
    <w:rsid w:val="004A792D"/>
    <w:rsid w:val="004A7B57"/>
    <w:rsid w:val="004A7C2C"/>
    <w:rsid w:val="004B00FA"/>
    <w:rsid w:val="004B0124"/>
    <w:rsid w:val="004B0129"/>
    <w:rsid w:val="004B01D1"/>
    <w:rsid w:val="004B0308"/>
    <w:rsid w:val="004B057C"/>
    <w:rsid w:val="004B05EF"/>
    <w:rsid w:val="004B08D3"/>
    <w:rsid w:val="004B0906"/>
    <w:rsid w:val="004B098C"/>
    <w:rsid w:val="004B0E04"/>
    <w:rsid w:val="004B0EC2"/>
    <w:rsid w:val="004B10A1"/>
    <w:rsid w:val="004B111C"/>
    <w:rsid w:val="004B12C0"/>
    <w:rsid w:val="004B13EF"/>
    <w:rsid w:val="004B1810"/>
    <w:rsid w:val="004B1909"/>
    <w:rsid w:val="004B1A73"/>
    <w:rsid w:val="004B1AB4"/>
    <w:rsid w:val="004B1B5F"/>
    <w:rsid w:val="004B1E3D"/>
    <w:rsid w:val="004B1F76"/>
    <w:rsid w:val="004B214C"/>
    <w:rsid w:val="004B264B"/>
    <w:rsid w:val="004B272D"/>
    <w:rsid w:val="004B29B7"/>
    <w:rsid w:val="004B2CE7"/>
    <w:rsid w:val="004B308F"/>
    <w:rsid w:val="004B31C7"/>
    <w:rsid w:val="004B3491"/>
    <w:rsid w:val="004B35AC"/>
    <w:rsid w:val="004B369D"/>
    <w:rsid w:val="004B3909"/>
    <w:rsid w:val="004B397B"/>
    <w:rsid w:val="004B3C2B"/>
    <w:rsid w:val="004B3D55"/>
    <w:rsid w:val="004B3DF8"/>
    <w:rsid w:val="004B3E39"/>
    <w:rsid w:val="004B3FEE"/>
    <w:rsid w:val="004B41F0"/>
    <w:rsid w:val="004B421D"/>
    <w:rsid w:val="004B4A99"/>
    <w:rsid w:val="004B4B26"/>
    <w:rsid w:val="004B4E20"/>
    <w:rsid w:val="004B4F38"/>
    <w:rsid w:val="004B524E"/>
    <w:rsid w:val="004B5251"/>
    <w:rsid w:val="004B54FD"/>
    <w:rsid w:val="004B55B5"/>
    <w:rsid w:val="004B5A49"/>
    <w:rsid w:val="004B5CD1"/>
    <w:rsid w:val="004B5D1A"/>
    <w:rsid w:val="004B5D7B"/>
    <w:rsid w:val="004B5DB7"/>
    <w:rsid w:val="004B5E35"/>
    <w:rsid w:val="004B5ED9"/>
    <w:rsid w:val="004B5F71"/>
    <w:rsid w:val="004B63FD"/>
    <w:rsid w:val="004B659B"/>
    <w:rsid w:val="004B6A53"/>
    <w:rsid w:val="004B6B7B"/>
    <w:rsid w:val="004B6E72"/>
    <w:rsid w:val="004B6EB9"/>
    <w:rsid w:val="004B6F20"/>
    <w:rsid w:val="004B7012"/>
    <w:rsid w:val="004B7277"/>
    <w:rsid w:val="004B72B8"/>
    <w:rsid w:val="004B737B"/>
    <w:rsid w:val="004B7846"/>
    <w:rsid w:val="004B7868"/>
    <w:rsid w:val="004B7A5A"/>
    <w:rsid w:val="004B7C8D"/>
    <w:rsid w:val="004B7C91"/>
    <w:rsid w:val="004B7E18"/>
    <w:rsid w:val="004B7FD2"/>
    <w:rsid w:val="004C0030"/>
    <w:rsid w:val="004C008A"/>
    <w:rsid w:val="004C02BC"/>
    <w:rsid w:val="004C035E"/>
    <w:rsid w:val="004C074C"/>
    <w:rsid w:val="004C074F"/>
    <w:rsid w:val="004C07E0"/>
    <w:rsid w:val="004C08C3"/>
    <w:rsid w:val="004C0B4B"/>
    <w:rsid w:val="004C0E84"/>
    <w:rsid w:val="004C0EB1"/>
    <w:rsid w:val="004C15DB"/>
    <w:rsid w:val="004C1600"/>
    <w:rsid w:val="004C187A"/>
    <w:rsid w:val="004C19CF"/>
    <w:rsid w:val="004C1BFD"/>
    <w:rsid w:val="004C211E"/>
    <w:rsid w:val="004C246E"/>
    <w:rsid w:val="004C2594"/>
    <w:rsid w:val="004C279B"/>
    <w:rsid w:val="004C289A"/>
    <w:rsid w:val="004C28D4"/>
    <w:rsid w:val="004C2ACD"/>
    <w:rsid w:val="004C2EE3"/>
    <w:rsid w:val="004C3292"/>
    <w:rsid w:val="004C33D2"/>
    <w:rsid w:val="004C3479"/>
    <w:rsid w:val="004C35E3"/>
    <w:rsid w:val="004C3875"/>
    <w:rsid w:val="004C39EE"/>
    <w:rsid w:val="004C3A07"/>
    <w:rsid w:val="004C3DAD"/>
    <w:rsid w:val="004C3E4A"/>
    <w:rsid w:val="004C3E4E"/>
    <w:rsid w:val="004C4220"/>
    <w:rsid w:val="004C42E5"/>
    <w:rsid w:val="004C433B"/>
    <w:rsid w:val="004C46D1"/>
    <w:rsid w:val="004C48F0"/>
    <w:rsid w:val="004C4963"/>
    <w:rsid w:val="004C49E0"/>
    <w:rsid w:val="004C4B63"/>
    <w:rsid w:val="004C4C81"/>
    <w:rsid w:val="004C4F4B"/>
    <w:rsid w:val="004C5196"/>
    <w:rsid w:val="004C53DA"/>
    <w:rsid w:val="004C55BA"/>
    <w:rsid w:val="004C59C1"/>
    <w:rsid w:val="004C5B1B"/>
    <w:rsid w:val="004C5C80"/>
    <w:rsid w:val="004C5D37"/>
    <w:rsid w:val="004C5DC7"/>
    <w:rsid w:val="004C5DD2"/>
    <w:rsid w:val="004C61B9"/>
    <w:rsid w:val="004C6534"/>
    <w:rsid w:val="004C67BB"/>
    <w:rsid w:val="004C6D50"/>
    <w:rsid w:val="004C6E4A"/>
    <w:rsid w:val="004C7026"/>
    <w:rsid w:val="004C7730"/>
    <w:rsid w:val="004C7820"/>
    <w:rsid w:val="004C7A51"/>
    <w:rsid w:val="004C7F48"/>
    <w:rsid w:val="004D0538"/>
    <w:rsid w:val="004D0584"/>
    <w:rsid w:val="004D05B4"/>
    <w:rsid w:val="004D091C"/>
    <w:rsid w:val="004D0AEA"/>
    <w:rsid w:val="004D102D"/>
    <w:rsid w:val="004D1291"/>
    <w:rsid w:val="004D13B7"/>
    <w:rsid w:val="004D16BB"/>
    <w:rsid w:val="004D1CE0"/>
    <w:rsid w:val="004D1F1C"/>
    <w:rsid w:val="004D1F84"/>
    <w:rsid w:val="004D216C"/>
    <w:rsid w:val="004D22E1"/>
    <w:rsid w:val="004D236A"/>
    <w:rsid w:val="004D2604"/>
    <w:rsid w:val="004D2943"/>
    <w:rsid w:val="004D2A23"/>
    <w:rsid w:val="004D2BCD"/>
    <w:rsid w:val="004D2C27"/>
    <w:rsid w:val="004D2C5B"/>
    <w:rsid w:val="004D2F81"/>
    <w:rsid w:val="004D3089"/>
    <w:rsid w:val="004D30DE"/>
    <w:rsid w:val="004D32F7"/>
    <w:rsid w:val="004D3342"/>
    <w:rsid w:val="004D353C"/>
    <w:rsid w:val="004D368E"/>
    <w:rsid w:val="004D3965"/>
    <w:rsid w:val="004D3ED1"/>
    <w:rsid w:val="004D3F3F"/>
    <w:rsid w:val="004D4996"/>
    <w:rsid w:val="004D4AAA"/>
    <w:rsid w:val="004D4CAD"/>
    <w:rsid w:val="004D4E14"/>
    <w:rsid w:val="004D4ED1"/>
    <w:rsid w:val="004D50CA"/>
    <w:rsid w:val="004D5329"/>
    <w:rsid w:val="004D5441"/>
    <w:rsid w:val="004D549D"/>
    <w:rsid w:val="004D5609"/>
    <w:rsid w:val="004D5668"/>
    <w:rsid w:val="004D570A"/>
    <w:rsid w:val="004D5887"/>
    <w:rsid w:val="004D5A9A"/>
    <w:rsid w:val="004D5BD7"/>
    <w:rsid w:val="004D5D95"/>
    <w:rsid w:val="004D5F2C"/>
    <w:rsid w:val="004D5FEF"/>
    <w:rsid w:val="004D60F2"/>
    <w:rsid w:val="004D6234"/>
    <w:rsid w:val="004D646D"/>
    <w:rsid w:val="004D699D"/>
    <w:rsid w:val="004D6F72"/>
    <w:rsid w:val="004D6F98"/>
    <w:rsid w:val="004D72FD"/>
    <w:rsid w:val="004D7300"/>
    <w:rsid w:val="004D7634"/>
    <w:rsid w:val="004D7838"/>
    <w:rsid w:val="004D7C20"/>
    <w:rsid w:val="004D7DDA"/>
    <w:rsid w:val="004E0047"/>
    <w:rsid w:val="004E054D"/>
    <w:rsid w:val="004E0560"/>
    <w:rsid w:val="004E0867"/>
    <w:rsid w:val="004E08B3"/>
    <w:rsid w:val="004E0B55"/>
    <w:rsid w:val="004E0B72"/>
    <w:rsid w:val="004E0C65"/>
    <w:rsid w:val="004E0C69"/>
    <w:rsid w:val="004E140B"/>
    <w:rsid w:val="004E1920"/>
    <w:rsid w:val="004E1CE3"/>
    <w:rsid w:val="004E1CF0"/>
    <w:rsid w:val="004E21F9"/>
    <w:rsid w:val="004E225D"/>
    <w:rsid w:val="004E27C0"/>
    <w:rsid w:val="004E29B7"/>
    <w:rsid w:val="004E2D20"/>
    <w:rsid w:val="004E2F58"/>
    <w:rsid w:val="004E3133"/>
    <w:rsid w:val="004E344E"/>
    <w:rsid w:val="004E3677"/>
    <w:rsid w:val="004E3920"/>
    <w:rsid w:val="004E3A3D"/>
    <w:rsid w:val="004E3AA2"/>
    <w:rsid w:val="004E3B76"/>
    <w:rsid w:val="004E3CF7"/>
    <w:rsid w:val="004E3DAB"/>
    <w:rsid w:val="004E41AE"/>
    <w:rsid w:val="004E4267"/>
    <w:rsid w:val="004E4390"/>
    <w:rsid w:val="004E43B0"/>
    <w:rsid w:val="004E460E"/>
    <w:rsid w:val="004E4726"/>
    <w:rsid w:val="004E4879"/>
    <w:rsid w:val="004E498B"/>
    <w:rsid w:val="004E4D34"/>
    <w:rsid w:val="004E4E8B"/>
    <w:rsid w:val="004E5329"/>
    <w:rsid w:val="004E5CE4"/>
    <w:rsid w:val="004E5EB2"/>
    <w:rsid w:val="004E5F8A"/>
    <w:rsid w:val="004E60D1"/>
    <w:rsid w:val="004E6199"/>
    <w:rsid w:val="004E61DA"/>
    <w:rsid w:val="004E6219"/>
    <w:rsid w:val="004E66CB"/>
    <w:rsid w:val="004E6701"/>
    <w:rsid w:val="004E6A11"/>
    <w:rsid w:val="004E6C60"/>
    <w:rsid w:val="004E6FCC"/>
    <w:rsid w:val="004E71F5"/>
    <w:rsid w:val="004E72A3"/>
    <w:rsid w:val="004E72C6"/>
    <w:rsid w:val="004E7384"/>
    <w:rsid w:val="004E7481"/>
    <w:rsid w:val="004E784A"/>
    <w:rsid w:val="004E7FE1"/>
    <w:rsid w:val="004F0153"/>
    <w:rsid w:val="004F015C"/>
    <w:rsid w:val="004F0269"/>
    <w:rsid w:val="004F0528"/>
    <w:rsid w:val="004F05CC"/>
    <w:rsid w:val="004F0AFB"/>
    <w:rsid w:val="004F0C72"/>
    <w:rsid w:val="004F0E44"/>
    <w:rsid w:val="004F10C0"/>
    <w:rsid w:val="004F1135"/>
    <w:rsid w:val="004F130D"/>
    <w:rsid w:val="004F13C0"/>
    <w:rsid w:val="004F192E"/>
    <w:rsid w:val="004F1AEB"/>
    <w:rsid w:val="004F1AED"/>
    <w:rsid w:val="004F1E8B"/>
    <w:rsid w:val="004F1F13"/>
    <w:rsid w:val="004F1F14"/>
    <w:rsid w:val="004F21DC"/>
    <w:rsid w:val="004F2302"/>
    <w:rsid w:val="004F2890"/>
    <w:rsid w:val="004F29EB"/>
    <w:rsid w:val="004F2A5A"/>
    <w:rsid w:val="004F2A5E"/>
    <w:rsid w:val="004F316F"/>
    <w:rsid w:val="004F33A3"/>
    <w:rsid w:val="004F3584"/>
    <w:rsid w:val="004F3849"/>
    <w:rsid w:val="004F3BF5"/>
    <w:rsid w:val="004F3E88"/>
    <w:rsid w:val="004F444D"/>
    <w:rsid w:val="004F4944"/>
    <w:rsid w:val="004F4E49"/>
    <w:rsid w:val="004F56D3"/>
    <w:rsid w:val="004F5897"/>
    <w:rsid w:val="004F5BB6"/>
    <w:rsid w:val="004F5D44"/>
    <w:rsid w:val="004F5EDA"/>
    <w:rsid w:val="004F6092"/>
    <w:rsid w:val="004F615F"/>
    <w:rsid w:val="004F64C2"/>
    <w:rsid w:val="004F663E"/>
    <w:rsid w:val="004F6985"/>
    <w:rsid w:val="004F706A"/>
    <w:rsid w:val="004F70B0"/>
    <w:rsid w:val="004F7303"/>
    <w:rsid w:val="004F736F"/>
    <w:rsid w:val="004F73F5"/>
    <w:rsid w:val="004F75B7"/>
    <w:rsid w:val="004F7844"/>
    <w:rsid w:val="004F7C85"/>
    <w:rsid w:val="004F7CF0"/>
    <w:rsid w:val="00500087"/>
    <w:rsid w:val="0050033A"/>
    <w:rsid w:val="005003DA"/>
    <w:rsid w:val="005004C3"/>
    <w:rsid w:val="005005DA"/>
    <w:rsid w:val="00500715"/>
    <w:rsid w:val="00500867"/>
    <w:rsid w:val="00500A3C"/>
    <w:rsid w:val="00500AE8"/>
    <w:rsid w:val="00500C28"/>
    <w:rsid w:val="00500C7F"/>
    <w:rsid w:val="00500D35"/>
    <w:rsid w:val="005011FA"/>
    <w:rsid w:val="00501225"/>
    <w:rsid w:val="005015FE"/>
    <w:rsid w:val="00501724"/>
    <w:rsid w:val="00501976"/>
    <w:rsid w:val="00501A5B"/>
    <w:rsid w:val="00501A81"/>
    <w:rsid w:val="00501C0A"/>
    <w:rsid w:val="00501F05"/>
    <w:rsid w:val="00502165"/>
    <w:rsid w:val="00502217"/>
    <w:rsid w:val="00502414"/>
    <w:rsid w:val="00502440"/>
    <w:rsid w:val="005027EE"/>
    <w:rsid w:val="0050286F"/>
    <w:rsid w:val="00502894"/>
    <w:rsid w:val="00502942"/>
    <w:rsid w:val="00502EA2"/>
    <w:rsid w:val="00502F5B"/>
    <w:rsid w:val="005030C9"/>
    <w:rsid w:val="00503503"/>
    <w:rsid w:val="0050371E"/>
    <w:rsid w:val="0050392B"/>
    <w:rsid w:val="00503E2A"/>
    <w:rsid w:val="00504325"/>
    <w:rsid w:val="00504C4F"/>
    <w:rsid w:val="00504EEC"/>
    <w:rsid w:val="00504F63"/>
    <w:rsid w:val="00505460"/>
    <w:rsid w:val="0050548B"/>
    <w:rsid w:val="0050552A"/>
    <w:rsid w:val="00505677"/>
    <w:rsid w:val="00505685"/>
    <w:rsid w:val="00505C27"/>
    <w:rsid w:val="00506469"/>
    <w:rsid w:val="005067D2"/>
    <w:rsid w:val="00506859"/>
    <w:rsid w:val="00506974"/>
    <w:rsid w:val="00506C8B"/>
    <w:rsid w:val="00506D5E"/>
    <w:rsid w:val="00506E78"/>
    <w:rsid w:val="00506E9C"/>
    <w:rsid w:val="00506FD7"/>
    <w:rsid w:val="005070E1"/>
    <w:rsid w:val="0050736E"/>
    <w:rsid w:val="00507A07"/>
    <w:rsid w:val="00507B68"/>
    <w:rsid w:val="00510437"/>
    <w:rsid w:val="005109F8"/>
    <w:rsid w:val="00510C95"/>
    <w:rsid w:val="00510D33"/>
    <w:rsid w:val="00510F27"/>
    <w:rsid w:val="005110C5"/>
    <w:rsid w:val="005110F6"/>
    <w:rsid w:val="005111CF"/>
    <w:rsid w:val="00511448"/>
    <w:rsid w:val="005114EC"/>
    <w:rsid w:val="005114F7"/>
    <w:rsid w:val="00511599"/>
    <w:rsid w:val="005115B5"/>
    <w:rsid w:val="00511876"/>
    <w:rsid w:val="005119DD"/>
    <w:rsid w:val="00511A50"/>
    <w:rsid w:val="00511AC4"/>
    <w:rsid w:val="00511BCD"/>
    <w:rsid w:val="00511D28"/>
    <w:rsid w:val="00511E64"/>
    <w:rsid w:val="00511ECB"/>
    <w:rsid w:val="0051208C"/>
    <w:rsid w:val="00512117"/>
    <w:rsid w:val="00512572"/>
    <w:rsid w:val="00512BD3"/>
    <w:rsid w:val="00512EC2"/>
    <w:rsid w:val="00512FD5"/>
    <w:rsid w:val="005133BB"/>
    <w:rsid w:val="0051345B"/>
    <w:rsid w:val="005138A6"/>
    <w:rsid w:val="00513B38"/>
    <w:rsid w:val="00513EB0"/>
    <w:rsid w:val="005140F4"/>
    <w:rsid w:val="0051432B"/>
    <w:rsid w:val="005149D4"/>
    <w:rsid w:val="00514CA5"/>
    <w:rsid w:val="00515015"/>
    <w:rsid w:val="005155E3"/>
    <w:rsid w:val="0051568B"/>
    <w:rsid w:val="005156A1"/>
    <w:rsid w:val="00515A26"/>
    <w:rsid w:val="00515FC8"/>
    <w:rsid w:val="00516622"/>
    <w:rsid w:val="0051689C"/>
    <w:rsid w:val="00516A15"/>
    <w:rsid w:val="00516CAE"/>
    <w:rsid w:val="00516D61"/>
    <w:rsid w:val="00516DC2"/>
    <w:rsid w:val="00517168"/>
    <w:rsid w:val="005173B9"/>
    <w:rsid w:val="005175AF"/>
    <w:rsid w:val="00517649"/>
    <w:rsid w:val="00517848"/>
    <w:rsid w:val="00517B62"/>
    <w:rsid w:val="00517B85"/>
    <w:rsid w:val="00517CB3"/>
    <w:rsid w:val="00517DE4"/>
    <w:rsid w:val="005203A7"/>
    <w:rsid w:val="00520681"/>
    <w:rsid w:val="005207F1"/>
    <w:rsid w:val="00520B25"/>
    <w:rsid w:val="00520FFB"/>
    <w:rsid w:val="00521173"/>
    <w:rsid w:val="005211CC"/>
    <w:rsid w:val="00521267"/>
    <w:rsid w:val="00521730"/>
    <w:rsid w:val="00521733"/>
    <w:rsid w:val="00521C9B"/>
    <w:rsid w:val="00521E8C"/>
    <w:rsid w:val="005221DB"/>
    <w:rsid w:val="005224ED"/>
    <w:rsid w:val="00522963"/>
    <w:rsid w:val="00522979"/>
    <w:rsid w:val="00522B16"/>
    <w:rsid w:val="00522D91"/>
    <w:rsid w:val="00522DDB"/>
    <w:rsid w:val="0052327B"/>
    <w:rsid w:val="0052370A"/>
    <w:rsid w:val="0052374F"/>
    <w:rsid w:val="005237D2"/>
    <w:rsid w:val="00523A51"/>
    <w:rsid w:val="00523C0A"/>
    <w:rsid w:val="00523E7C"/>
    <w:rsid w:val="00523FC3"/>
    <w:rsid w:val="0052408C"/>
    <w:rsid w:val="00524428"/>
    <w:rsid w:val="00524488"/>
    <w:rsid w:val="005246F6"/>
    <w:rsid w:val="005248F0"/>
    <w:rsid w:val="00524A0B"/>
    <w:rsid w:val="00524AD4"/>
    <w:rsid w:val="00524CA0"/>
    <w:rsid w:val="00524D76"/>
    <w:rsid w:val="00524E26"/>
    <w:rsid w:val="00525371"/>
    <w:rsid w:val="00525507"/>
    <w:rsid w:val="005258F1"/>
    <w:rsid w:val="00525F3E"/>
    <w:rsid w:val="005260E2"/>
    <w:rsid w:val="0052620E"/>
    <w:rsid w:val="0052627A"/>
    <w:rsid w:val="0052635A"/>
    <w:rsid w:val="00526873"/>
    <w:rsid w:val="00526BFA"/>
    <w:rsid w:val="00526CBB"/>
    <w:rsid w:val="00526CE3"/>
    <w:rsid w:val="00526E32"/>
    <w:rsid w:val="00526EA8"/>
    <w:rsid w:val="00526F6F"/>
    <w:rsid w:val="005271ED"/>
    <w:rsid w:val="005279AD"/>
    <w:rsid w:val="005279E3"/>
    <w:rsid w:val="00527B00"/>
    <w:rsid w:val="00527C0F"/>
    <w:rsid w:val="00527C89"/>
    <w:rsid w:val="00527F83"/>
    <w:rsid w:val="005300D3"/>
    <w:rsid w:val="00530160"/>
    <w:rsid w:val="00530491"/>
    <w:rsid w:val="00530655"/>
    <w:rsid w:val="005307BB"/>
    <w:rsid w:val="00530846"/>
    <w:rsid w:val="0053087F"/>
    <w:rsid w:val="005309E2"/>
    <w:rsid w:val="00530E2D"/>
    <w:rsid w:val="00530F19"/>
    <w:rsid w:val="0053157E"/>
    <w:rsid w:val="00531DC6"/>
    <w:rsid w:val="005324AD"/>
    <w:rsid w:val="005325AE"/>
    <w:rsid w:val="005325D8"/>
    <w:rsid w:val="0053293F"/>
    <w:rsid w:val="0053298D"/>
    <w:rsid w:val="00532B89"/>
    <w:rsid w:val="00532C25"/>
    <w:rsid w:val="00532D05"/>
    <w:rsid w:val="00532DF3"/>
    <w:rsid w:val="00532EE0"/>
    <w:rsid w:val="00532F91"/>
    <w:rsid w:val="0053342B"/>
    <w:rsid w:val="005335D8"/>
    <w:rsid w:val="00533646"/>
    <w:rsid w:val="00533C2D"/>
    <w:rsid w:val="00533EF5"/>
    <w:rsid w:val="00533F39"/>
    <w:rsid w:val="0053415E"/>
    <w:rsid w:val="00534164"/>
    <w:rsid w:val="0053425A"/>
    <w:rsid w:val="00534544"/>
    <w:rsid w:val="0053454E"/>
    <w:rsid w:val="0053469E"/>
    <w:rsid w:val="00534807"/>
    <w:rsid w:val="00534838"/>
    <w:rsid w:val="00534863"/>
    <w:rsid w:val="00534925"/>
    <w:rsid w:val="00534B03"/>
    <w:rsid w:val="00534B0F"/>
    <w:rsid w:val="00534FD9"/>
    <w:rsid w:val="0053506B"/>
    <w:rsid w:val="005351CF"/>
    <w:rsid w:val="005351D6"/>
    <w:rsid w:val="00535537"/>
    <w:rsid w:val="005356AB"/>
    <w:rsid w:val="00535C0B"/>
    <w:rsid w:val="00535CC7"/>
    <w:rsid w:val="00535D81"/>
    <w:rsid w:val="00535F87"/>
    <w:rsid w:val="0053621E"/>
    <w:rsid w:val="00536562"/>
    <w:rsid w:val="005367DD"/>
    <w:rsid w:val="00536B1C"/>
    <w:rsid w:val="00536EFD"/>
    <w:rsid w:val="00537206"/>
    <w:rsid w:val="00537656"/>
    <w:rsid w:val="00537720"/>
    <w:rsid w:val="00537830"/>
    <w:rsid w:val="005378BD"/>
    <w:rsid w:val="005379FC"/>
    <w:rsid w:val="00537AFE"/>
    <w:rsid w:val="00537C60"/>
    <w:rsid w:val="00537D9B"/>
    <w:rsid w:val="00537E25"/>
    <w:rsid w:val="00537FDB"/>
    <w:rsid w:val="00540184"/>
    <w:rsid w:val="00540363"/>
    <w:rsid w:val="00540446"/>
    <w:rsid w:val="00540499"/>
    <w:rsid w:val="005405FE"/>
    <w:rsid w:val="0054089B"/>
    <w:rsid w:val="00540B45"/>
    <w:rsid w:val="00540BB3"/>
    <w:rsid w:val="00540D98"/>
    <w:rsid w:val="00540F8A"/>
    <w:rsid w:val="005410C9"/>
    <w:rsid w:val="00541130"/>
    <w:rsid w:val="0054138B"/>
    <w:rsid w:val="00541822"/>
    <w:rsid w:val="00541B99"/>
    <w:rsid w:val="00541D76"/>
    <w:rsid w:val="00541E5A"/>
    <w:rsid w:val="00541F49"/>
    <w:rsid w:val="00542032"/>
    <w:rsid w:val="00542588"/>
    <w:rsid w:val="0054264D"/>
    <w:rsid w:val="00542857"/>
    <w:rsid w:val="00542A22"/>
    <w:rsid w:val="00542A2C"/>
    <w:rsid w:val="00542BC3"/>
    <w:rsid w:val="00542E82"/>
    <w:rsid w:val="005436C0"/>
    <w:rsid w:val="00543754"/>
    <w:rsid w:val="00543802"/>
    <w:rsid w:val="00543C9A"/>
    <w:rsid w:val="00544087"/>
    <w:rsid w:val="00544569"/>
    <w:rsid w:val="00544A4F"/>
    <w:rsid w:val="00544AD1"/>
    <w:rsid w:val="00544B95"/>
    <w:rsid w:val="00544C08"/>
    <w:rsid w:val="00544EE2"/>
    <w:rsid w:val="00544F1A"/>
    <w:rsid w:val="00544F31"/>
    <w:rsid w:val="00544F66"/>
    <w:rsid w:val="00544F82"/>
    <w:rsid w:val="00545188"/>
    <w:rsid w:val="00545194"/>
    <w:rsid w:val="00545260"/>
    <w:rsid w:val="005452FF"/>
    <w:rsid w:val="005458EF"/>
    <w:rsid w:val="00546632"/>
    <w:rsid w:val="005466B0"/>
    <w:rsid w:val="005467A2"/>
    <w:rsid w:val="00546882"/>
    <w:rsid w:val="005468F8"/>
    <w:rsid w:val="00546A51"/>
    <w:rsid w:val="00546C2F"/>
    <w:rsid w:val="00546DF0"/>
    <w:rsid w:val="00546F0C"/>
    <w:rsid w:val="00547279"/>
    <w:rsid w:val="00547544"/>
    <w:rsid w:val="005475ED"/>
    <w:rsid w:val="0054783A"/>
    <w:rsid w:val="00547AB9"/>
    <w:rsid w:val="00547AF1"/>
    <w:rsid w:val="00547B48"/>
    <w:rsid w:val="00547C50"/>
    <w:rsid w:val="00547CB3"/>
    <w:rsid w:val="0055001E"/>
    <w:rsid w:val="00550110"/>
    <w:rsid w:val="005501A8"/>
    <w:rsid w:val="005502F5"/>
    <w:rsid w:val="005503B7"/>
    <w:rsid w:val="005503E6"/>
    <w:rsid w:val="005509FC"/>
    <w:rsid w:val="00550EA5"/>
    <w:rsid w:val="00551277"/>
    <w:rsid w:val="0055131B"/>
    <w:rsid w:val="00551731"/>
    <w:rsid w:val="00551B50"/>
    <w:rsid w:val="00551CE8"/>
    <w:rsid w:val="00551D9D"/>
    <w:rsid w:val="0055204E"/>
    <w:rsid w:val="00552831"/>
    <w:rsid w:val="00552850"/>
    <w:rsid w:val="00552928"/>
    <w:rsid w:val="00552AC0"/>
    <w:rsid w:val="00552B83"/>
    <w:rsid w:val="00552DD1"/>
    <w:rsid w:val="0055303B"/>
    <w:rsid w:val="00553207"/>
    <w:rsid w:val="00553310"/>
    <w:rsid w:val="00553613"/>
    <w:rsid w:val="00553778"/>
    <w:rsid w:val="0055388D"/>
    <w:rsid w:val="00553C71"/>
    <w:rsid w:val="00553E34"/>
    <w:rsid w:val="00553EA2"/>
    <w:rsid w:val="00554487"/>
    <w:rsid w:val="0055448E"/>
    <w:rsid w:val="0055454B"/>
    <w:rsid w:val="00554579"/>
    <w:rsid w:val="005545D2"/>
    <w:rsid w:val="00554AEF"/>
    <w:rsid w:val="00554D5C"/>
    <w:rsid w:val="00554FEE"/>
    <w:rsid w:val="00555585"/>
    <w:rsid w:val="0055558A"/>
    <w:rsid w:val="0055559A"/>
    <w:rsid w:val="005555D5"/>
    <w:rsid w:val="005555FB"/>
    <w:rsid w:val="00555696"/>
    <w:rsid w:val="00555BD4"/>
    <w:rsid w:val="00555C34"/>
    <w:rsid w:val="00555EDF"/>
    <w:rsid w:val="00555F62"/>
    <w:rsid w:val="005561D4"/>
    <w:rsid w:val="00556634"/>
    <w:rsid w:val="00556842"/>
    <w:rsid w:val="005569CE"/>
    <w:rsid w:val="00556A69"/>
    <w:rsid w:val="00556AE2"/>
    <w:rsid w:val="00556CF5"/>
    <w:rsid w:val="00556DFE"/>
    <w:rsid w:val="00556E77"/>
    <w:rsid w:val="00556F11"/>
    <w:rsid w:val="00556FED"/>
    <w:rsid w:val="0055713E"/>
    <w:rsid w:val="0055748F"/>
    <w:rsid w:val="00557564"/>
    <w:rsid w:val="0055756D"/>
    <w:rsid w:val="005579E3"/>
    <w:rsid w:val="00557A4B"/>
    <w:rsid w:val="00557BB0"/>
    <w:rsid w:val="00557BBF"/>
    <w:rsid w:val="00557DBF"/>
    <w:rsid w:val="005603EE"/>
    <w:rsid w:val="0056062D"/>
    <w:rsid w:val="005607E5"/>
    <w:rsid w:val="005608BD"/>
    <w:rsid w:val="00560CB1"/>
    <w:rsid w:val="00560D31"/>
    <w:rsid w:val="00560F1F"/>
    <w:rsid w:val="005612E8"/>
    <w:rsid w:val="00561426"/>
    <w:rsid w:val="00561521"/>
    <w:rsid w:val="00561758"/>
    <w:rsid w:val="00561AEC"/>
    <w:rsid w:val="00561D80"/>
    <w:rsid w:val="00561E53"/>
    <w:rsid w:val="0056205C"/>
    <w:rsid w:val="00562353"/>
    <w:rsid w:val="00562464"/>
    <w:rsid w:val="005627FF"/>
    <w:rsid w:val="00562932"/>
    <w:rsid w:val="00562B63"/>
    <w:rsid w:val="005631DE"/>
    <w:rsid w:val="005631E5"/>
    <w:rsid w:val="00563368"/>
    <w:rsid w:val="00563539"/>
    <w:rsid w:val="0056359B"/>
    <w:rsid w:val="005635FF"/>
    <w:rsid w:val="00563609"/>
    <w:rsid w:val="0056386E"/>
    <w:rsid w:val="0056399C"/>
    <w:rsid w:val="00563AE3"/>
    <w:rsid w:val="00563E35"/>
    <w:rsid w:val="005645C3"/>
    <w:rsid w:val="00564AFB"/>
    <w:rsid w:val="00564B62"/>
    <w:rsid w:val="00564DF4"/>
    <w:rsid w:val="005653CC"/>
    <w:rsid w:val="00565577"/>
    <w:rsid w:val="00565E18"/>
    <w:rsid w:val="00565F3A"/>
    <w:rsid w:val="005660E3"/>
    <w:rsid w:val="005662A9"/>
    <w:rsid w:val="005669FD"/>
    <w:rsid w:val="00566A83"/>
    <w:rsid w:val="00566E52"/>
    <w:rsid w:val="005671F1"/>
    <w:rsid w:val="005678E4"/>
    <w:rsid w:val="00567998"/>
    <w:rsid w:val="00567E42"/>
    <w:rsid w:val="00570144"/>
    <w:rsid w:val="00570378"/>
    <w:rsid w:val="00570394"/>
    <w:rsid w:val="00570660"/>
    <w:rsid w:val="005709AE"/>
    <w:rsid w:val="00570A8B"/>
    <w:rsid w:val="00570ACB"/>
    <w:rsid w:val="00570B98"/>
    <w:rsid w:val="00570D7B"/>
    <w:rsid w:val="0057114B"/>
    <w:rsid w:val="005715F1"/>
    <w:rsid w:val="005715FE"/>
    <w:rsid w:val="00571650"/>
    <w:rsid w:val="00571996"/>
    <w:rsid w:val="00571C1E"/>
    <w:rsid w:val="00571C4B"/>
    <w:rsid w:val="00571C78"/>
    <w:rsid w:val="00571E25"/>
    <w:rsid w:val="0057204C"/>
    <w:rsid w:val="00572070"/>
    <w:rsid w:val="005721A6"/>
    <w:rsid w:val="00572237"/>
    <w:rsid w:val="005722AA"/>
    <w:rsid w:val="0057262F"/>
    <w:rsid w:val="00572641"/>
    <w:rsid w:val="005727BA"/>
    <w:rsid w:val="00572844"/>
    <w:rsid w:val="00572A75"/>
    <w:rsid w:val="00572CAC"/>
    <w:rsid w:val="00572D45"/>
    <w:rsid w:val="00572DE5"/>
    <w:rsid w:val="00572FA9"/>
    <w:rsid w:val="0057329A"/>
    <w:rsid w:val="00573698"/>
    <w:rsid w:val="005736D5"/>
    <w:rsid w:val="005738DD"/>
    <w:rsid w:val="00573AD2"/>
    <w:rsid w:val="00573C01"/>
    <w:rsid w:val="00573F38"/>
    <w:rsid w:val="005741AE"/>
    <w:rsid w:val="005741F3"/>
    <w:rsid w:val="0057447F"/>
    <w:rsid w:val="00574512"/>
    <w:rsid w:val="0057459D"/>
    <w:rsid w:val="005749EE"/>
    <w:rsid w:val="00574AB9"/>
    <w:rsid w:val="00574B62"/>
    <w:rsid w:val="00574DDB"/>
    <w:rsid w:val="00574EEF"/>
    <w:rsid w:val="00574F21"/>
    <w:rsid w:val="00574F25"/>
    <w:rsid w:val="00575179"/>
    <w:rsid w:val="005753C0"/>
    <w:rsid w:val="0057545D"/>
    <w:rsid w:val="00575483"/>
    <w:rsid w:val="005754B2"/>
    <w:rsid w:val="005754D5"/>
    <w:rsid w:val="005757A8"/>
    <w:rsid w:val="00575BB5"/>
    <w:rsid w:val="00575BC9"/>
    <w:rsid w:val="00575F76"/>
    <w:rsid w:val="005767E5"/>
    <w:rsid w:val="00576BAA"/>
    <w:rsid w:val="0057736B"/>
    <w:rsid w:val="00577514"/>
    <w:rsid w:val="00577607"/>
    <w:rsid w:val="0057772D"/>
    <w:rsid w:val="00577780"/>
    <w:rsid w:val="005779DC"/>
    <w:rsid w:val="00577E5F"/>
    <w:rsid w:val="0058016B"/>
    <w:rsid w:val="00580318"/>
    <w:rsid w:val="005807F4"/>
    <w:rsid w:val="005807FE"/>
    <w:rsid w:val="005809DE"/>
    <w:rsid w:val="00580D01"/>
    <w:rsid w:val="00580DC1"/>
    <w:rsid w:val="00581235"/>
    <w:rsid w:val="0058138B"/>
    <w:rsid w:val="00581964"/>
    <w:rsid w:val="00581D7F"/>
    <w:rsid w:val="0058218B"/>
    <w:rsid w:val="005823D6"/>
    <w:rsid w:val="005824AB"/>
    <w:rsid w:val="005824BD"/>
    <w:rsid w:val="005827A9"/>
    <w:rsid w:val="0058294D"/>
    <w:rsid w:val="00583110"/>
    <w:rsid w:val="00583507"/>
    <w:rsid w:val="005835CC"/>
    <w:rsid w:val="00583715"/>
    <w:rsid w:val="00583730"/>
    <w:rsid w:val="00583DDB"/>
    <w:rsid w:val="00584188"/>
    <w:rsid w:val="005841D3"/>
    <w:rsid w:val="0058447C"/>
    <w:rsid w:val="0058468B"/>
    <w:rsid w:val="00584902"/>
    <w:rsid w:val="00584B76"/>
    <w:rsid w:val="00584DAF"/>
    <w:rsid w:val="00584E68"/>
    <w:rsid w:val="005853AB"/>
    <w:rsid w:val="005853C9"/>
    <w:rsid w:val="005853E9"/>
    <w:rsid w:val="005854F5"/>
    <w:rsid w:val="00585620"/>
    <w:rsid w:val="005857A8"/>
    <w:rsid w:val="005857CA"/>
    <w:rsid w:val="00585F5C"/>
    <w:rsid w:val="005866B3"/>
    <w:rsid w:val="0058678B"/>
    <w:rsid w:val="00586C3C"/>
    <w:rsid w:val="00586CAA"/>
    <w:rsid w:val="005874F6"/>
    <w:rsid w:val="00587853"/>
    <w:rsid w:val="0058792F"/>
    <w:rsid w:val="00587C7E"/>
    <w:rsid w:val="00587D63"/>
    <w:rsid w:val="005903BF"/>
    <w:rsid w:val="005904C6"/>
    <w:rsid w:val="005905D7"/>
    <w:rsid w:val="005906DF"/>
    <w:rsid w:val="0059085F"/>
    <w:rsid w:val="005909FB"/>
    <w:rsid w:val="00590A37"/>
    <w:rsid w:val="00590EE6"/>
    <w:rsid w:val="0059121D"/>
    <w:rsid w:val="005913AB"/>
    <w:rsid w:val="00591450"/>
    <w:rsid w:val="005916D6"/>
    <w:rsid w:val="00591A02"/>
    <w:rsid w:val="00591C85"/>
    <w:rsid w:val="00591F35"/>
    <w:rsid w:val="0059204D"/>
    <w:rsid w:val="0059205F"/>
    <w:rsid w:val="0059245A"/>
    <w:rsid w:val="0059245E"/>
    <w:rsid w:val="005925BA"/>
    <w:rsid w:val="0059268D"/>
    <w:rsid w:val="0059271B"/>
    <w:rsid w:val="00592A6E"/>
    <w:rsid w:val="00592D1D"/>
    <w:rsid w:val="00592F75"/>
    <w:rsid w:val="005933AE"/>
    <w:rsid w:val="0059340C"/>
    <w:rsid w:val="00593533"/>
    <w:rsid w:val="005935C6"/>
    <w:rsid w:val="00593719"/>
    <w:rsid w:val="00593A68"/>
    <w:rsid w:val="00593AF9"/>
    <w:rsid w:val="00593B0E"/>
    <w:rsid w:val="00593C4F"/>
    <w:rsid w:val="00593D48"/>
    <w:rsid w:val="00593E8C"/>
    <w:rsid w:val="00593F94"/>
    <w:rsid w:val="005940FA"/>
    <w:rsid w:val="005941CF"/>
    <w:rsid w:val="0059439D"/>
    <w:rsid w:val="0059457B"/>
    <w:rsid w:val="005946A8"/>
    <w:rsid w:val="005949A4"/>
    <w:rsid w:val="00595060"/>
    <w:rsid w:val="005950A7"/>
    <w:rsid w:val="0059580D"/>
    <w:rsid w:val="00595B00"/>
    <w:rsid w:val="00595C3A"/>
    <w:rsid w:val="00595DFB"/>
    <w:rsid w:val="00596213"/>
    <w:rsid w:val="0059663A"/>
    <w:rsid w:val="00596764"/>
    <w:rsid w:val="005967F8"/>
    <w:rsid w:val="00596895"/>
    <w:rsid w:val="005969D7"/>
    <w:rsid w:val="00596A70"/>
    <w:rsid w:val="00596AD6"/>
    <w:rsid w:val="00596CEC"/>
    <w:rsid w:val="00596FC8"/>
    <w:rsid w:val="00597377"/>
    <w:rsid w:val="0059765B"/>
    <w:rsid w:val="00597795"/>
    <w:rsid w:val="0059794D"/>
    <w:rsid w:val="00597B46"/>
    <w:rsid w:val="00597BB3"/>
    <w:rsid w:val="00597C43"/>
    <w:rsid w:val="00597ED1"/>
    <w:rsid w:val="005A072B"/>
    <w:rsid w:val="005A0765"/>
    <w:rsid w:val="005A0888"/>
    <w:rsid w:val="005A0C4C"/>
    <w:rsid w:val="005A0CCD"/>
    <w:rsid w:val="005A0EEA"/>
    <w:rsid w:val="005A12BF"/>
    <w:rsid w:val="005A130B"/>
    <w:rsid w:val="005A13CA"/>
    <w:rsid w:val="005A1BA2"/>
    <w:rsid w:val="005A21FC"/>
    <w:rsid w:val="005A22C8"/>
    <w:rsid w:val="005A2439"/>
    <w:rsid w:val="005A2482"/>
    <w:rsid w:val="005A2507"/>
    <w:rsid w:val="005A2F89"/>
    <w:rsid w:val="005A2F9C"/>
    <w:rsid w:val="005A3035"/>
    <w:rsid w:val="005A3087"/>
    <w:rsid w:val="005A30D3"/>
    <w:rsid w:val="005A3317"/>
    <w:rsid w:val="005A369C"/>
    <w:rsid w:val="005A36E5"/>
    <w:rsid w:val="005A3705"/>
    <w:rsid w:val="005A427B"/>
    <w:rsid w:val="005A4407"/>
    <w:rsid w:val="005A4508"/>
    <w:rsid w:val="005A4998"/>
    <w:rsid w:val="005A4A4E"/>
    <w:rsid w:val="005A4BB2"/>
    <w:rsid w:val="005A4C67"/>
    <w:rsid w:val="005A4D39"/>
    <w:rsid w:val="005A4D56"/>
    <w:rsid w:val="005A4F8C"/>
    <w:rsid w:val="005A55CF"/>
    <w:rsid w:val="005A56BE"/>
    <w:rsid w:val="005A5795"/>
    <w:rsid w:val="005A58AF"/>
    <w:rsid w:val="005A59EF"/>
    <w:rsid w:val="005A5B15"/>
    <w:rsid w:val="005A6103"/>
    <w:rsid w:val="005A6241"/>
    <w:rsid w:val="005A63A2"/>
    <w:rsid w:val="005A686A"/>
    <w:rsid w:val="005A69F3"/>
    <w:rsid w:val="005A6A44"/>
    <w:rsid w:val="005A6C59"/>
    <w:rsid w:val="005A6F5B"/>
    <w:rsid w:val="005A7009"/>
    <w:rsid w:val="005A74BB"/>
    <w:rsid w:val="005A7546"/>
    <w:rsid w:val="005A7D5F"/>
    <w:rsid w:val="005A7D92"/>
    <w:rsid w:val="005A7E22"/>
    <w:rsid w:val="005A7E47"/>
    <w:rsid w:val="005A7EC2"/>
    <w:rsid w:val="005B0083"/>
    <w:rsid w:val="005B0261"/>
    <w:rsid w:val="005B0312"/>
    <w:rsid w:val="005B03B7"/>
    <w:rsid w:val="005B0429"/>
    <w:rsid w:val="005B05C7"/>
    <w:rsid w:val="005B060D"/>
    <w:rsid w:val="005B06D0"/>
    <w:rsid w:val="005B085B"/>
    <w:rsid w:val="005B0B23"/>
    <w:rsid w:val="005B0F93"/>
    <w:rsid w:val="005B10F8"/>
    <w:rsid w:val="005B118B"/>
    <w:rsid w:val="005B12DC"/>
    <w:rsid w:val="005B138E"/>
    <w:rsid w:val="005B1621"/>
    <w:rsid w:val="005B1952"/>
    <w:rsid w:val="005B1964"/>
    <w:rsid w:val="005B1A17"/>
    <w:rsid w:val="005B1DAD"/>
    <w:rsid w:val="005B2028"/>
    <w:rsid w:val="005B2147"/>
    <w:rsid w:val="005B24EB"/>
    <w:rsid w:val="005B2630"/>
    <w:rsid w:val="005B2B61"/>
    <w:rsid w:val="005B2BB7"/>
    <w:rsid w:val="005B2E6E"/>
    <w:rsid w:val="005B349A"/>
    <w:rsid w:val="005B3531"/>
    <w:rsid w:val="005B3556"/>
    <w:rsid w:val="005B35F0"/>
    <w:rsid w:val="005B388F"/>
    <w:rsid w:val="005B38D1"/>
    <w:rsid w:val="005B3B2B"/>
    <w:rsid w:val="005B3CF7"/>
    <w:rsid w:val="005B40FC"/>
    <w:rsid w:val="005B4152"/>
    <w:rsid w:val="005B43C6"/>
    <w:rsid w:val="005B4629"/>
    <w:rsid w:val="005B48D3"/>
    <w:rsid w:val="005B4F5F"/>
    <w:rsid w:val="005B5008"/>
    <w:rsid w:val="005B5404"/>
    <w:rsid w:val="005B5B0A"/>
    <w:rsid w:val="005B5D95"/>
    <w:rsid w:val="005B5DE2"/>
    <w:rsid w:val="005B5E7B"/>
    <w:rsid w:val="005B5E94"/>
    <w:rsid w:val="005B6004"/>
    <w:rsid w:val="005B6047"/>
    <w:rsid w:val="005B6142"/>
    <w:rsid w:val="005B634B"/>
    <w:rsid w:val="005B651A"/>
    <w:rsid w:val="005B668A"/>
    <w:rsid w:val="005B6863"/>
    <w:rsid w:val="005B6C1D"/>
    <w:rsid w:val="005B6C23"/>
    <w:rsid w:val="005B6D0C"/>
    <w:rsid w:val="005B6E25"/>
    <w:rsid w:val="005B6F1B"/>
    <w:rsid w:val="005B72DC"/>
    <w:rsid w:val="005B73D2"/>
    <w:rsid w:val="005B742F"/>
    <w:rsid w:val="005B7469"/>
    <w:rsid w:val="005B750E"/>
    <w:rsid w:val="005B7786"/>
    <w:rsid w:val="005B7A1B"/>
    <w:rsid w:val="005B7BED"/>
    <w:rsid w:val="005C003E"/>
    <w:rsid w:val="005C01E1"/>
    <w:rsid w:val="005C0792"/>
    <w:rsid w:val="005C0C9F"/>
    <w:rsid w:val="005C0DB5"/>
    <w:rsid w:val="005C0E55"/>
    <w:rsid w:val="005C0FE0"/>
    <w:rsid w:val="005C1220"/>
    <w:rsid w:val="005C154B"/>
    <w:rsid w:val="005C1885"/>
    <w:rsid w:val="005C1982"/>
    <w:rsid w:val="005C198B"/>
    <w:rsid w:val="005C2095"/>
    <w:rsid w:val="005C209F"/>
    <w:rsid w:val="005C2220"/>
    <w:rsid w:val="005C2462"/>
    <w:rsid w:val="005C289E"/>
    <w:rsid w:val="005C2C7E"/>
    <w:rsid w:val="005C2D60"/>
    <w:rsid w:val="005C2E17"/>
    <w:rsid w:val="005C2F51"/>
    <w:rsid w:val="005C33E7"/>
    <w:rsid w:val="005C342F"/>
    <w:rsid w:val="005C3496"/>
    <w:rsid w:val="005C36B9"/>
    <w:rsid w:val="005C37E2"/>
    <w:rsid w:val="005C38D0"/>
    <w:rsid w:val="005C3989"/>
    <w:rsid w:val="005C39BB"/>
    <w:rsid w:val="005C3FE1"/>
    <w:rsid w:val="005C3FF8"/>
    <w:rsid w:val="005C42D2"/>
    <w:rsid w:val="005C458C"/>
    <w:rsid w:val="005C46F7"/>
    <w:rsid w:val="005C4879"/>
    <w:rsid w:val="005C49AE"/>
    <w:rsid w:val="005C50A9"/>
    <w:rsid w:val="005C512B"/>
    <w:rsid w:val="005C5188"/>
    <w:rsid w:val="005C51C7"/>
    <w:rsid w:val="005C5269"/>
    <w:rsid w:val="005C52F3"/>
    <w:rsid w:val="005C52F9"/>
    <w:rsid w:val="005C5558"/>
    <w:rsid w:val="005C5713"/>
    <w:rsid w:val="005C5AE5"/>
    <w:rsid w:val="005C60CB"/>
    <w:rsid w:val="005C616D"/>
    <w:rsid w:val="005C6252"/>
    <w:rsid w:val="005C635E"/>
    <w:rsid w:val="005C65E7"/>
    <w:rsid w:val="005C6B80"/>
    <w:rsid w:val="005C6D1E"/>
    <w:rsid w:val="005C6F9D"/>
    <w:rsid w:val="005C710B"/>
    <w:rsid w:val="005C71A9"/>
    <w:rsid w:val="005C7295"/>
    <w:rsid w:val="005C7296"/>
    <w:rsid w:val="005C741D"/>
    <w:rsid w:val="005C76A8"/>
    <w:rsid w:val="005C7882"/>
    <w:rsid w:val="005C7E6F"/>
    <w:rsid w:val="005C7EAB"/>
    <w:rsid w:val="005D001F"/>
    <w:rsid w:val="005D0069"/>
    <w:rsid w:val="005D082B"/>
    <w:rsid w:val="005D0835"/>
    <w:rsid w:val="005D0A3F"/>
    <w:rsid w:val="005D0C77"/>
    <w:rsid w:val="005D0C93"/>
    <w:rsid w:val="005D0E5C"/>
    <w:rsid w:val="005D0EBF"/>
    <w:rsid w:val="005D1134"/>
    <w:rsid w:val="005D168F"/>
    <w:rsid w:val="005D17D4"/>
    <w:rsid w:val="005D1C1F"/>
    <w:rsid w:val="005D23A9"/>
    <w:rsid w:val="005D2C72"/>
    <w:rsid w:val="005D2E18"/>
    <w:rsid w:val="005D2FAD"/>
    <w:rsid w:val="005D35F8"/>
    <w:rsid w:val="005D3843"/>
    <w:rsid w:val="005D4040"/>
    <w:rsid w:val="005D43F0"/>
    <w:rsid w:val="005D4506"/>
    <w:rsid w:val="005D4927"/>
    <w:rsid w:val="005D4D20"/>
    <w:rsid w:val="005D5185"/>
    <w:rsid w:val="005D54EF"/>
    <w:rsid w:val="005D57FA"/>
    <w:rsid w:val="005D597D"/>
    <w:rsid w:val="005D5CA7"/>
    <w:rsid w:val="005D5FE2"/>
    <w:rsid w:val="005D63C2"/>
    <w:rsid w:val="005D6954"/>
    <w:rsid w:val="005D6A06"/>
    <w:rsid w:val="005D6BA7"/>
    <w:rsid w:val="005D6D11"/>
    <w:rsid w:val="005D6F8C"/>
    <w:rsid w:val="005D6FD3"/>
    <w:rsid w:val="005D7D82"/>
    <w:rsid w:val="005E00F4"/>
    <w:rsid w:val="005E0389"/>
    <w:rsid w:val="005E05BB"/>
    <w:rsid w:val="005E05DE"/>
    <w:rsid w:val="005E0AF8"/>
    <w:rsid w:val="005E0C16"/>
    <w:rsid w:val="005E0D33"/>
    <w:rsid w:val="005E0D40"/>
    <w:rsid w:val="005E0DDE"/>
    <w:rsid w:val="005E0E98"/>
    <w:rsid w:val="005E0F00"/>
    <w:rsid w:val="005E1044"/>
    <w:rsid w:val="005E17C0"/>
    <w:rsid w:val="005E186A"/>
    <w:rsid w:val="005E20FF"/>
    <w:rsid w:val="005E2296"/>
    <w:rsid w:val="005E22D4"/>
    <w:rsid w:val="005E259D"/>
    <w:rsid w:val="005E2B13"/>
    <w:rsid w:val="005E3266"/>
    <w:rsid w:val="005E360E"/>
    <w:rsid w:val="005E383A"/>
    <w:rsid w:val="005E38F7"/>
    <w:rsid w:val="005E39C9"/>
    <w:rsid w:val="005E3CB2"/>
    <w:rsid w:val="005E3CC4"/>
    <w:rsid w:val="005E3E76"/>
    <w:rsid w:val="005E3FDC"/>
    <w:rsid w:val="005E4035"/>
    <w:rsid w:val="005E415D"/>
    <w:rsid w:val="005E41B3"/>
    <w:rsid w:val="005E41D2"/>
    <w:rsid w:val="005E423E"/>
    <w:rsid w:val="005E4454"/>
    <w:rsid w:val="005E4470"/>
    <w:rsid w:val="005E44A3"/>
    <w:rsid w:val="005E4695"/>
    <w:rsid w:val="005E469A"/>
    <w:rsid w:val="005E46AD"/>
    <w:rsid w:val="005E4E4B"/>
    <w:rsid w:val="005E4F71"/>
    <w:rsid w:val="005E552D"/>
    <w:rsid w:val="005E564B"/>
    <w:rsid w:val="005E56BE"/>
    <w:rsid w:val="005E5862"/>
    <w:rsid w:val="005E5BC1"/>
    <w:rsid w:val="005E5EA3"/>
    <w:rsid w:val="005E5EA5"/>
    <w:rsid w:val="005E5F17"/>
    <w:rsid w:val="005E5FD7"/>
    <w:rsid w:val="005E621A"/>
    <w:rsid w:val="005E633E"/>
    <w:rsid w:val="005E65DA"/>
    <w:rsid w:val="005E665A"/>
    <w:rsid w:val="005E6B9B"/>
    <w:rsid w:val="005E6CBE"/>
    <w:rsid w:val="005E6DA7"/>
    <w:rsid w:val="005E6E11"/>
    <w:rsid w:val="005E7039"/>
    <w:rsid w:val="005E70A9"/>
    <w:rsid w:val="005E711D"/>
    <w:rsid w:val="005E75A4"/>
    <w:rsid w:val="005E783A"/>
    <w:rsid w:val="005E7A46"/>
    <w:rsid w:val="005E7A80"/>
    <w:rsid w:val="005E7B7F"/>
    <w:rsid w:val="005E7C05"/>
    <w:rsid w:val="005E7D1E"/>
    <w:rsid w:val="005E7E57"/>
    <w:rsid w:val="005F0809"/>
    <w:rsid w:val="005F0BDC"/>
    <w:rsid w:val="005F0D57"/>
    <w:rsid w:val="005F0EC5"/>
    <w:rsid w:val="005F0F5A"/>
    <w:rsid w:val="005F10DE"/>
    <w:rsid w:val="005F1631"/>
    <w:rsid w:val="005F1647"/>
    <w:rsid w:val="005F1679"/>
    <w:rsid w:val="005F19F4"/>
    <w:rsid w:val="005F1A05"/>
    <w:rsid w:val="005F1A19"/>
    <w:rsid w:val="005F2664"/>
    <w:rsid w:val="005F2BF6"/>
    <w:rsid w:val="005F2C5D"/>
    <w:rsid w:val="005F2CAD"/>
    <w:rsid w:val="005F2F4C"/>
    <w:rsid w:val="005F2F79"/>
    <w:rsid w:val="005F2FD0"/>
    <w:rsid w:val="005F32F4"/>
    <w:rsid w:val="005F3437"/>
    <w:rsid w:val="005F39A0"/>
    <w:rsid w:val="005F3B86"/>
    <w:rsid w:val="005F4864"/>
    <w:rsid w:val="005F49D7"/>
    <w:rsid w:val="005F4CCF"/>
    <w:rsid w:val="005F5085"/>
    <w:rsid w:val="005F5148"/>
    <w:rsid w:val="005F5313"/>
    <w:rsid w:val="005F54C7"/>
    <w:rsid w:val="005F581B"/>
    <w:rsid w:val="005F5A81"/>
    <w:rsid w:val="005F5DD6"/>
    <w:rsid w:val="005F5E35"/>
    <w:rsid w:val="005F5EC7"/>
    <w:rsid w:val="005F61B9"/>
    <w:rsid w:val="005F6552"/>
    <w:rsid w:val="005F657C"/>
    <w:rsid w:val="005F65DD"/>
    <w:rsid w:val="005F67FE"/>
    <w:rsid w:val="005F6B9C"/>
    <w:rsid w:val="005F6C66"/>
    <w:rsid w:val="005F6C75"/>
    <w:rsid w:val="005F6C9E"/>
    <w:rsid w:val="005F6E08"/>
    <w:rsid w:val="005F6E6E"/>
    <w:rsid w:val="005F6EBF"/>
    <w:rsid w:val="005F6EF4"/>
    <w:rsid w:val="005F722C"/>
    <w:rsid w:val="005F7253"/>
    <w:rsid w:val="005F73C3"/>
    <w:rsid w:val="005F74A2"/>
    <w:rsid w:val="005F7710"/>
    <w:rsid w:val="005F79FA"/>
    <w:rsid w:val="005F7B61"/>
    <w:rsid w:val="005F7D66"/>
    <w:rsid w:val="005F7E33"/>
    <w:rsid w:val="006000B2"/>
    <w:rsid w:val="00600165"/>
    <w:rsid w:val="006006E9"/>
    <w:rsid w:val="00600824"/>
    <w:rsid w:val="00600AAB"/>
    <w:rsid w:val="00600C26"/>
    <w:rsid w:val="00600CF6"/>
    <w:rsid w:val="00600FAC"/>
    <w:rsid w:val="00601000"/>
    <w:rsid w:val="006011CD"/>
    <w:rsid w:val="0060120C"/>
    <w:rsid w:val="00601231"/>
    <w:rsid w:val="0060143C"/>
    <w:rsid w:val="006018A9"/>
    <w:rsid w:val="00601A6B"/>
    <w:rsid w:val="00601DBD"/>
    <w:rsid w:val="00601E09"/>
    <w:rsid w:val="00601E39"/>
    <w:rsid w:val="00601EBD"/>
    <w:rsid w:val="0060220A"/>
    <w:rsid w:val="006022C8"/>
    <w:rsid w:val="006024BF"/>
    <w:rsid w:val="00602A05"/>
    <w:rsid w:val="00602A47"/>
    <w:rsid w:val="00602A89"/>
    <w:rsid w:val="00602B3E"/>
    <w:rsid w:val="00602C9D"/>
    <w:rsid w:val="00602FEA"/>
    <w:rsid w:val="0060339B"/>
    <w:rsid w:val="0060382D"/>
    <w:rsid w:val="00603A1C"/>
    <w:rsid w:val="00603A35"/>
    <w:rsid w:val="00603A86"/>
    <w:rsid w:val="00603C6A"/>
    <w:rsid w:val="00603C95"/>
    <w:rsid w:val="00604AA9"/>
    <w:rsid w:val="00604C5C"/>
    <w:rsid w:val="00604D65"/>
    <w:rsid w:val="006051C8"/>
    <w:rsid w:val="006053C3"/>
    <w:rsid w:val="006055AD"/>
    <w:rsid w:val="0060562F"/>
    <w:rsid w:val="0060588C"/>
    <w:rsid w:val="00605A1B"/>
    <w:rsid w:val="00605C31"/>
    <w:rsid w:val="00605D38"/>
    <w:rsid w:val="00605FC8"/>
    <w:rsid w:val="006063F1"/>
    <w:rsid w:val="006065D9"/>
    <w:rsid w:val="00606AC9"/>
    <w:rsid w:val="00606CEC"/>
    <w:rsid w:val="00606F65"/>
    <w:rsid w:val="00607674"/>
    <w:rsid w:val="00607742"/>
    <w:rsid w:val="00607884"/>
    <w:rsid w:val="00607DAF"/>
    <w:rsid w:val="00607E03"/>
    <w:rsid w:val="00607FF9"/>
    <w:rsid w:val="00610195"/>
    <w:rsid w:val="0061029B"/>
    <w:rsid w:val="0061050E"/>
    <w:rsid w:val="00610588"/>
    <w:rsid w:val="00610674"/>
    <w:rsid w:val="00610680"/>
    <w:rsid w:val="00610C0F"/>
    <w:rsid w:val="00610E86"/>
    <w:rsid w:val="00610F59"/>
    <w:rsid w:val="00611124"/>
    <w:rsid w:val="0061134C"/>
    <w:rsid w:val="006113EE"/>
    <w:rsid w:val="00611594"/>
    <w:rsid w:val="0061168C"/>
    <w:rsid w:val="006117A1"/>
    <w:rsid w:val="00611A1E"/>
    <w:rsid w:val="00611CB2"/>
    <w:rsid w:val="00611D7D"/>
    <w:rsid w:val="00611FE1"/>
    <w:rsid w:val="0061201B"/>
    <w:rsid w:val="006121ED"/>
    <w:rsid w:val="00612794"/>
    <w:rsid w:val="00612A3B"/>
    <w:rsid w:val="00612A64"/>
    <w:rsid w:val="00612CA0"/>
    <w:rsid w:val="00612E31"/>
    <w:rsid w:val="0061310B"/>
    <w:rsid w:val="006131FE"/>
    <w:rsid w:val="00613212"/>
    <w:rsid w:val="0061337D"/>
    <w:rsid w:val="0061339D"/>
    <w:rsid w:val="00613602"/>
    <w:rsid w:val="0061375F"/>
    <w:rsid w:val="006137FB"/>
    <w:rsid w:val="0061380A"/>
    <w:rsid w:val="00613930"/>
    <w:rsid w:val="00613D02"/>
    <w:rsid w:val="00613EBC"/>
    <w:rsid w:val="006145B9"/>
    <w:rsid w:val="00614643"/>
    <w:rsid w:val="006148AB"/>
    <w:rsid w:val="006148B2"/>
    <w:rsid w:val="00614DCC"/>
    <w:rsid w:val="00614FE5"/>
    <w:rsid w:val="0061527A"/>
    <w:rsid w:val="0061582C"/>
    <w:rsid w:val="006160AE"/>
    <w:rsid w:val="006162A8"/>
    <w:rsid w:val="00616319"/>
    <w:rsid w:val="00616541"/>
    <w:rsid w:val="0061688E"/>
    <w:rsid w:val="006168B5"/>
    <w:rsid w:val="00616AC2"/>
    <w:rsid w:val="00616CBE"/>
    <w:rsid w:val="0061703B"/>
    <w:rsid w:val="006171E7"/>
    <w:rsid w:val="00617297"/>
    <w:rsid w:val="006173CC"/>
    <w:rsid w:val="00617444"/>
    <w:rsid w:val="0061744E"/>
    <w:rsid w:val="0061752D"/>
    <w:rsid w:val="00617676"/>
    <w:rsid w:val="00617805"/>
    <w:rsid w:val="00617ACA"/>
    <w:rsid w:val="00617B78"/>
    <w:rsid w:val="00617C45"/>
    <w:rsid w:val="00617DA3"/>
    <w:rsid w:val="00617DDD"/>
    <w:rsid w:val="00620817"/>
    <w:rsid w:val="00620DBB"/>
    <w:rsid w:val="00620FEB"/>
    <w:rsid w:val="00621315"/>
    <w:rsid w:val="006215AD"/>
    <w:rsid w:val="0062185B"/>
    <w:rsid w:val="0062190B"/>
    <w:rsid w:val="00621B11"/>
    <w:rsid w:val="00621E2E"/>
    <w:rsid w:val="006223BE"/>
    <w:rsid w:val="006225C0"/>
    <w:rsid w:val="00622AE0"/>
    <w:rsid w:val="00622B94"/>
    <w:rsid w:val="00622BF6"/>
    <w:rsid w:val="00622D3A"/>
    <w:rsid w:val="00622FA3"/>
    <w:rsid w:val="0062328F"/>
    <w:rsid w:val="00623309"/>
    <w:rsid w:val="006233F1"/>
    <w:rsid w:val="006239E8"/>
    <w:rsid w:val="00623F18"/>
    <w:rsid w:val="00624141"/>
    <w:rsid w:val="00624154"/>
    <w:rsid w:val="00624756"/>
    <w:rsid w:val="0062482D"/>
    <w:rsid w:val="00624913"/>
    <w:rsid w:val="00624A15"/>
    <w:rsid w:val="00624C5C"/>
    <w:rsid w:val="00624CE1"/>
    <w:rsid w:val="00624DFE"/>
    <w:rsid w:val="00624FC0"/>
    <w:rsid w:val="0062506C"/>
    <w:rsid w:val="0062520E"/>
    <w:rsid w:val="00625665"/>
    <w:rsid w:val="00625810"/>
    <w:rsid w:val="006259C4"/>
    <w:rsid w:val="00625DC6"/>
    <w:rsid w:val="0062628B"/>
    <w:rsid w:val="006264B6"/>
    <w:rsid w:val="006266A8"/>
    <w:rsid w:val="00626AB4"/>
    <w:rsid w:val="00626B92"/>
    <w:rsid w:val="00626F69"/>
    <w:rsid w:val="006270DB"/>
    <w:rsid w:val="0062727E"/>
    <w:rsid w:val="006301DA"/>
    <w:rsid w:val="006301E7"/>
    <w:rsid w:val="0063021E"/>
    <w:rsid w:val="00630286"/>
    <w:rsid w:val="006302E0"/>
    <w:rsid w:val="0063040C"/>
    <w:rsid w:val="00630446"/>
    <w:rsid w:val="00630796"/>
    <w:rsid w:val="006307FF"/>
    <w:rsid w:val="00630AD1"/>
    <w:rsid w:val="00630B79"/>
    <w:rsid w:val="00631355"/>
    <w:rsid w:val="00631BAB"/>
    <w:rsid w:val="00631CA5"/>
    <w:rsid w:val="00631D5F"/>
    <w:rsid w:val="00631E56"/>
    <w:rsid w:val="00632207"/>
    <w:rsid w:val="006325A1"/>
    <w:rsid w:val="00632800"/>
    <w:rsid w:val="00632A90"/>
    <w:rsid w:val="00632AE6"/>
    <w:rsid w:val="00632B21"/>
    <w:rsid w:val="0063341B"/>
    <w:rsid w:val="006334D5"/>
    <w:rsid w:val="0063359F"/>
    <w:rsid w:val="006336D1"/>
    <w:rsid w:val="00633DA9"/>
    <w:rsid w:val="00633FB5"/>
    <w:rsid w:val="0063405A"/>
    <w:rsid w:val="0063411F"/>
    <w:rsid w:val="00634719"/>
    <w:rsid w:val="0063473E"/>
    <w:rsid w:val="00634A35"/>
    <w:rsid w:val="00634A79"/>
    <w:rsid w:val="00634ABE"/>
    <w:rsid w:val="00634B66"/>
    <w:rsid w:val="006351DF"/>
    <w:rsid w:val="0063525B"/>
    <w:rsid w:val="006354DF"/>
    <w:rsid w:val="00635654"/>
    <w:rsid w:val="006356B0"/>
    <w:rsid w:val="0063580C"/>
    <w:rsid w:val="00636180"/>
    <w:rsid w:val="0063625F"/>
    <w:rsid w:val="006362B3"/>
    <w:rsid w:val="0063658F"/>
    <w:rsid w:val="0063672F"/>
    <w:rsid w:val="00636850"/>
    <w:rsid w:val="00636AFD"/>
    <w:rsid w:val="00636BE5"/>
    <w:rsid w:val="00636D24"/>
    <w:rsid w:val="00636E30"/>
    <w:rsid w:val="00636F14"/>
    <w:rsid w:val="00637096"/>
    <w:rsid w:val="006371F2"/>
    <w:rsid w:val="0063774F"/>
    <w:rsid w:val="0063775E"/>
    <w:rsid w:val="00637866"/>
    <w:rsid w:val="006378C1"/>
    <w:rsid w:val="00637A37"/>
    <w:rsid w:val="00637B9D"/>
    <w:rsid w:val="00637C18"/>
    <w:rsid w:val="00637C5A"/>
    <w:rsid w:val="00637C67"/>
    <w:rsid w:val="00637C6E"/>
    <w:rsid w:val="00637CAE"/>
    <w:rsid w:val="00637CB9"/>
    <w:rsid w:val="00637CF7"/>
    <w:rsid w:val="00637DE9"/>
    <w:rsid w:val="00637E3E"/>
    <w:rsid w:val="006403CD"/>
    <w:rsid w:val="0064040A"/>
    <w:rsid w:val="0064048C"/>
    <w:rsid w:val="006404B9"/>
    <w:rsid w:val="00640545"/>
    <w:rsid w:val="00640572"/>
    <w:rsid w:val="006405DE"/>
    <w:rsid w:val="006405F6"/>
    <w:rsid w:val="0064065A"/>
    <w:rsid w:val="006408B5"/>
    <w:rsid w:val="00640AAD"/>
    <w:rsid w:val="00640BB7"/>
    <w:rsid w:val="00640D68"/>
    <w:rsid w:val="00640DF4"/>
    <w:rsid w:val="00641081"/>
    <w:rsid w:val="00641184"/>
    <w:rsid w:val="0064146C"/>
    <w:rsid w:val="0064187D"/>
    <w:rsid w:val="00641B9D"/>
    <w:rsid w:val="00642358"/>
    <w:rsid w:val="0064262D"/>
    <w:rsid w:val="0064281A"/>
    <w:rsid w:val="006428EA"/>
    <w:rsid w:val="00642CA1"/>
    <w:rsid w:val="00643252"/>
    <w:rsid w:val="0064325A"/>
    <w:rsid w:val="006432E9"/>
    <w:rsid w:val="00643535"/>
    <w:rsid w:val="0064382D"/>
    <w:rsid w:val="00643C60"/>
    <w:rsid w:val="00644410"/>
    <w:rsid w:val="00644479"/>
    <w:rsid w:val="006449D3"/>
    <w:rsid w:val="00644AE5"/>
    <w:rsid w:val="0064504C"/>
    <w:rsid w:val="0064535F"/>
    <w:rsid w:val="006455D9"/>
    <w:rsid w:val="00645849"/>
    <w:rsid w:val="006458D4"/>
    <w:rsid w:val="00645AC5"/>
    <w:rsid w:val="00645D94"/>
    <w:rsid w:val="006460FC"/>
    <w:rsid w:val="0064621A"/>
    <w:rsid w:val="0064639F"/>
    <w:rsid w:val="0064644C"/>
    <w:rsid w:val="006468B3"/>
    <w:rsid w:val="0064696F"/>
    <w:rsid w:val="00647005"/>
    <w:rsid w:val="0064717D"/>
    <w:rsid w:val="0064738D"/>
    <w:rsid w:val="00647489"/>
    <w:rsid w:val="00647750"/>
    <w:rsid w:val="00647990"/>
    <w:rsid w:val="00647D99"/>
    <w:rsid w:val="00647FFE"/>
    <w:rsid w:val="00650466"/>
    <w:rsid w:val="006506EC"/>
    <w:rsid w:val="00650778"/>
    <w:rsid w:val="00650C6B"/>
    <w:rsid w:val="00650D19"/>
    <w:rsid w:val="00650DC0"/>
    <w:rsid w:val="00650DDF"/>
    <w:rsid w:val="006512DE"/>
    <w:rsid w:val="00651497"/>
    <w:rsid w:val="006514BF"/>
    <w:rsid w:val="0065158A"/>
    <w:rsid w:val="00651630"/>
    <w:rsid w:val="006516D7"/>
    <w:rsid w:val="00651821"/>
    <w:rsid w:val="006518D3"/>
    <w:rsid w:val="00651AD4"/>
    <w:rsid w:val="0065211E"/>
    <w:rsid w:val="0065237C"/>
    <w:rsid w:val="0065261E"/>
    <w:rsid w:val="00652730"/>
    <w:rsid w:val="00652DDB"/>
    <w:rsid w:val="006534B0"/>
    <w:rsid w:val="0065390B"/>
    <w:rsid w:val="00653D7C"/>
    <w:rsid w:val="00653DA9"/>
    <w:rsid w:val="00653F0D"/>
    <w:rsid w:val="00653F2C"/>
    <w:rsid w:val="00654384"/>
    <w:rsid w:val="006544AB"/>
    <w:rsid w:val="00654618"/>
    <w:rsid w:val="00654A42"/>
    <w:rsid w:val="00654A70"/>
    <w:rsid w:val="00654F0A"/>
    <w:rsid w:val="00654FA0"/>
    <w:rsid w:val="00655234"/>
    <w:rsid w:val="00655236"/>
    <w:rsid w:val="006552D4"/>
    <w:rsid w:val="00655474"/>
    <w:rsid w:val="0065558D"/>
    <w:rsid w:val="00655713"/>
    <w:rsid w:val="006559B2"/>
    <w:rsid w:val="00655ACA"/>
    <w:rsid w:val="00655BCE"/>
    <w:rsid w:val="00655CDB"/>
    <w:rsid w:val="00655EBB"/>
    <w:rsid w:val="00655EF2"/>
    <w:rsid w:val="00655FA7"/>
    <w:rsid w:val="00656108"/>
    <w:rsid w:val="00656257"/>
    <w:rsid w:val="00656651"/>
    <w:rsid w:val="006566BC"/>
    <w:rsid w:val="006567F4"/>
    <w:rsid w:val="00656B53"/>
    <w:rsid w:val="00656BA0"/>
    <w:rsid w:val="00656BF5"/>
    <w:rsid w:val="00656D75"/>
    <w:rsid w:val="00656D97"/>
    <w:rsid w:val="00657522"/>
    <w:rsid w:val="0065788F"/>
    <w:rsid w:val="00657A2C"/>
    <w:rsid w:val="00657A5C"/>
    <w:rsid w:val="00657ADD"/>
    <w:rsid w:val="00657C81"/>
    <w:rsid w:val="00657E7B"/>
    <w:rsid w:val="00657EF0"/>
    <w:rsid w:val="006601A9"/>
    <w:rsid w:val="0066021A"/>
    <w:rsid w:val="006603A1"/>
    <w:rsid w:val="006605C8"/>
    <w:rsid w:val="006605EF"/>
    <w:rsid w:val="0066062F"/>
    <w:rsid w:val="00660954"/>
    <w:rsid w:val="00660E5C"/>
    <w:rsid w:val="00660F34"/>
    <w:rsid w:val="00661420"/>
    <w:rsid w:val="0066155E"/>
    <w:rsid w:val="006616C6"/>
    <w:rsid w:val="00661790"/>
    <w:rsid w:val="006619DF"/>
    <w:rsid w:val="00661E78"/>
    <w:rsid w:val="0066207D"/>
    <w:rsid w:val="0066218A"/>
    <w:rsid w:val="006627E9"/>
    <w:rsid w:val="006628EE"/>
    <w:rsid w:val="00662B18"/>
    <w:rsid w:val="00663A48"/>
    <w:rsid w:val="00663F73"/>
    <w:rsid w:val="0066400A"/>
    <w:rsid w:val="00664014"/>
    <w:rsid w:val="006640A6"/>
    <w:rsid w:val="006640FE"/>
    <w:rsid w:val="00664130"/>
    <w:rsid w:val="00664493"/>
    <w:rsid w:val="006644FA"/>
    <w:rsid w:val="006645DF"/>
    <w:rsid w:val="00664631"/>
    <w:rsid w:val="0066491A"/>
    <w:rsid w:val="00664958"/>
    <w:rsid w:val="006649D7"/>
    <w:rsid w:val="00664AAC"/>
    <w:rsid w:val="00664BAD"/>
    <w:rsid w:val="0066528D"/>
    <w:rsid w:val="006654E2"/>
    <w:rsid w:val="006656B4"/>
    <w:rsid w:val="0066571E"/>
    <w:rsid w:val="006657D3"/>
    <w:rsid w:val="00665874"/>
    <w:rsid w:val="00665DBD"/>
    <w:rsid w:val="006664E3"/>
    <w:rsid w:val="0066669C"/>
    <w:rsid w:val="0066682E"/>
    <w:rsid w:val="00666951"/>
    <w:rsid w:val="00666B96"/>
    <w:rsid w:val="00666C5D"/>
    <w:rsid w:val="00666FC4"/>
    <w:rsid w:val="006675CD"/>
    <w:rsid w:val="00667632"/>
    <w:rsid w:val="006677EA"/>
    <w:rsid w:val="0066786A"/>
    <w:rsid w:val="00667A57"/>
    <w:rsid w:val="00667A8C"/>
    <w:rsid w:val="00670104"/>
    <w:rsid w:val="00670365"/>
    <w:rsid w:val="00670A90"/>
    <w:rsid w:val="00670AE0"/>
    <w:rsid w:val="00670AEC"/>
    <w:rsid w:val="00670DED"/>
    <w:rsid w:val="006712A1"/>
    <w:rsid w:val="00671428"/>
    <w:rsid w:val="0067168E"/>
    <w:rsid w:val="00671C6C"/>
    <w:rsid w:val="00671E11"/>
    <w:rsid w:val="0067246B"/>
    <w:rsid w:val="0067278F"/>
    <w:rsid w:val="00672CFB"/>
    <w:rsid w:val="006731DD"/>
    <w:rsid w:val="0067367E"/>
    <w:rsid w:val="00673DF4"/>
    <w:rsid w:val="00673E22"/>
    <w:rsid w:val="00673EB5"/>
    <w:rsid w:val="00673EED"/>
    <w:rsid w:val="00674068"/>
    <w:rsid w:val="00674603"/>
    <w:rsid w:val="00674659"/>
    <w:rsid w:val="0067473F"/>
    <w:rsid w:val="006747B7"/>
    <w:rsid w:val="00674AAB"/>
    <w:rsid w:val="00674E16"/>
    <w:rsid w:val="0067504E"/>
    <w:rsid w:val="006750F8"/>
    <w:rsid w:val="006757C5"/>
    <w:rsid w:val="006759CC"/>
    <w:rsid w:val="00675A9F"/>
    <w:rsid w:val="00675B4B"/>
    <w:rsid w:val="00675D0A"/>
    <w:rsid w:val="00675DD8"/>
    <w:rsid w:val="00675F56"/>
    <w:rsid w:val="00676034"/>
    <w:rsid w:val="006764CC"/>
    <w:rsid w:val="0067677D"/>
    <w:rsid w:val="00676921"/>
    <w:rsid w:val="00676C9A"/>
    <w:rsid w:val="00676E96"/>
    <w:rsid w:val="00676EBE"/>
    <w:rsid w:val="00677004"/>
    <w:rsid w:val="00677318"/>
    <w:rsid w:val="0067784D"/>
    <w:rsid w:val="00677A81"/>
    <w:rsid w:val="00677DFE"/>
    <w:rsid w:val="00677EC8"/>
    <w:rsid w:val="00680092"/>
    <w:rsid w:val="00680409"/>
    <w:rsid w:val="0068069F"/>
    <w:rsid w:val="006807FA"/>
    <w:rsid w:val="00680860"/>
    <w:rsid w:val="0068109A"/>
    <w:rsid w:val="006811EC"/>
    <w:rsid w:val="00681286"/>
    <w:rsid w:val="00681582"/>
    <w:rsid w:val="00681675"/>
    <w:rsid w:val="0068179E"/>
    <w:rsid w:val="00681982"/>
    <w:rsid w:val="0068199A"/>
    <w:rsid w:val="00681B1C"/>
    <w:rsid w:val="00681DC9"/>
    <w:rsid w:val="0068202B"/>
    <w:rsid w:val="006820A4"/>
    <w:rsid w:val="006820A7"/>
    <w:rsid w:val="006825AE"/>
    <w:rsid w:val="0068267F"/>
    <w:rsid w:val="00682DB3"/>
    <w:rsid w:val="00682E30"/>
    <w:rsid w:val="00682F01"/>
    <w:rsid w:val="006830A0"/>
    <w:rsid w:val="006831AC"/>
    <w:rsid w:val="0068392C"/>
    <w:rsid w:val="00683B27"/>
    <w:rsid w:val="00683B3B"/>
    <w:rsid w:val="00683DFD"/>
    <w:rsid w:val="00683E10"/>
    <w:rsid w:val="00683FDB"/>
    <w:rsid w:val="006841C4"/>
    <w:rsid w:val="006841EB"/>
    <w:rsid w:val="00684389"/>
    <w:rsid w:val="0068445B"/>
    <w:rsid w:val="006845C9"/>
    <w:rsid w:val="0068462A"/>
    <w:rsid w:val="0068475E"/>
    <w:rsid w:val="0068499A"/>
    <w:rsid w:val="00684D9B"/>
    <w:rsid w:val="00684DF8"/>
    <w:rsid w:val="00684EA7"/>
    <w:rsid w:val="0068520B"/>
    <w:rsid w:val="006853D5"/>
    <w:rsid w:val="00685484"/>
    <w:rsid w:val="00685698"/>
    <w:rsid w:val="006856F4"/>
    <w:rsid w:val="00685760"/>
    <w:rsid w:val="006858FD"/>
    <w:rsid w:val="00685A38"/>
    <w:rsid w:val="00685A81"/>
    <w:rsid w:val="00686048"/>
    <w:rsid w:val="006862B1"/>
    <w:rsid w:val="00686AFD"/>
    <w:rsid w:val="00686B25"/>
    <w:rsid w:val="00686BE7"/>
    <w:rsid w:val="00686C66"/>
    <w:rsid w:val="00686DD2"/>
    <w:rsid w:val="00686F03"/>
    <w:rsid w:val="00687098"/>
    <w:rsid w:val="0068745A"/>
    <w:rsid w:val="00687593"/>
    <w:rsid w:val="00687B4F"/>
    <w:rsid w:val="00687C12"/>
    <w:rsid w:val="00687CB6"/>
    <w:rsid w:val="00687F99"/>
    <w:rsid w:val="00690022"/>
    <w:rsid w:val="00690046"/>
    <w:rsid w:val="006907E9"/>
    <w:rsid w:val="0069088F"/>
    <w:rsid w:val="00690C81"/>
    <w:rsid w:val="00690C90"/>
    <w:rsid w:val="00690D97"/>
    <w:rsid w:val="00690EC1"/>
    <w:rsid w:val="0069111F"/>
    <w:rsid w:val="00691188"/>
    <w:rsid w:val="0069130B"/>
    <w:rsid w:val="0069140E"/>
    <w:rsid w:val="006916AE"/>
    <w:rsid w:val="00691709"/>
    <w:rsid w:val="00691E1B"/>
    <w:rsid w:val="00691FD0"/>
    <w:rsid w:val="00692214"/>
    <w:rsid w:val="00692483"/>
    <w:rsid w:val="006924FD"/>
    <w:rsid w:val="006927CF"/>
    <w:rsid w:val="00692C89"/>
    <w:rsid w:val="00692E24"/>
    <w:rsid w:val="0069330E"/>
    <w:rsid w:val="00693666"/>
    <w:rsid w:val="006937E8"/>
    <w:rsid w:val="00693850"/>
    <w:rsid w:val="0069387F"/>
    <w:rsid w:val="0069399E"/>
    <w:rsid w:val="00693D75"/>
    <w:rsid w:val="00693D80"/>
    <w:rsid w:val="006940D1"/>
    <w:rsid w:val="006941C8"/>
    <w:rsid w:val="006941FF"/>
    <w:rsid w:val="00694444"/>
    <w:rsid w:val="006945E7"/>
    <w:rsid w:val="0069481A"/>
    <w:rsid w:val="00694BA4"/>
    <w:rsid w:val="00694E4B"/>
    <w:rsid w:val="00694EBE"/>
    <w:rsid w:val="006950B9"/>
    <w:rsid w:val="00695455"/>
    <w:rsid w:val="00695986"/>
    <w:rsid w:val="00695B00"/>
    <w:rsid w:val="00695CE7"/>
    <w:rsid w:val="00695F30"/>
    <w:rsid w:val="00696200"/>
    <w:rsid w:val="00696329"/>
    <w:rsid w:val="00696837"/>
    <w:rsid w:val="006969FA"/>
    <w:rsid w:val="00696C30"/>
    <w:rsid w:val="006970A6"/>
    <w:rsid w:val="00697511"/>
    <w:rsid w:val="00697556"/>
    <w:rsid w:val="00697ECB"/>
    <w:rsid w:val="00697FDC"/>
    <w:rsid w:val="006A004F"/>
    <w:rsid w:val="006A0307"/>
    <w:rsid w:val="006A039B"/>
    <w:rsid w:val="006A0491"/>
    <w:rsid w:val="006A0C20"/>
    <w:rsid w:val="006A0FD3"/>
    <w:rsid w:val="006A1239"/>
    <w:rsid w:val="006A1485"/>
    <w:rsid w:val="006A1A60"/>
    <w:rsid w:val="006A1A76"/>
    <w:rsid w:val="006A1EA6"/>
    <w:rsid w:val="006A2425"/>
    <w:rsid w:val="006A28D1"/>
    <w:rsid w:val="006A2CA9"/>
    <w:rsid w:val="006A2E6B"/>
    <w:rsid w:val="006A2EA1"/>
    <w:rsid w:val="006A3096"/>
    <w:rsid w:val="006A30AD"/>
    <w:rsid w:val="006A310D"/>
    <w:rsid w:val="006A33B6"/>
    <w:rsid w:val="006A3B6E"/>
    <w:rsid w:val="006A3C6A"/>
    <w:rsid w:val="006A4070"/>
    <w:rsid w:val="006A40F5"/>
    <w:rsid w:val="006A4F96"/>
    <w:rsid w:val="006A4FC3"/>
    <w:rsid w:val="006A5288"/>
    <w:rsid w:val="006A53DA"/>
    <w:rsid w:val="006A569E"/>
    <w:rsid w:val="006A5948"/>
    <w:rsid w:val="006A5A0C"/>
    <w:rsid w:val="006A5F9A"/>
    <w:rsid w:val="006A6217"/>
    <w:rsid w:val="006A62CA"/>
    <w:rsid w:val="006A63E3"/>
    <w:rsid w:val="006A69BE"/>
    <w:rsid w:val="006A6B80"/>
    <w:rsid w:val="006A6BDD"/>
    <w:rsid w:val="006A6EBF"/>
    <w:rsid w:val="006A6F0E"/>
    <w:rsid w:val="006A7085"/>
    <w:rsid w:val="006A716B"/>
    <w:rsid w:val="006A739B"/>
    <w:rsid w:val="006A7474"/>
    <w:rsid w:val="006A7669"/>
    <w:rsid w:val="006A784A"/>
    <w:rsid w:val="006A78F8"/>
    <w:rsid w:val="006A79AF"/>
    <w:rsid w:val="006A7B94"/>
    <w:rsid w:val="006A7CA4"/>
    <w:rsid w:val="006A7CF8"/>
    <w:rsid w:val="006A7D5F"/>
    <w:rsid w:val="006A7EFA"/>
    <w:rsid w:val="006A7F2E"/>
    <w:rsid w:val="006A7F3C"/>
    <w:rsid w:val="006A7FF2"/>
    <w:rsid w:val="006B000E"/>
    <w:rsid w:val="006B007D"/>
    <w:rsid w:val="006B0496"/>
    <w:rsid w:val="006B068D"/>
    <w:rsid w:val="006B0B3E"/>
    <w:rsid w:val="006B0D5D"/>
    <w:rsid w:val="006B0E9D"/>
    <w:rsid w:val="006B1019"/>
    <w:rsid w:val="006B1365"/>
    <w:rsid w:val="006B15EB"/>
    <w:rsid w:val="006B16B4"/>
    <w:rsid w:val="006B16C2"/>
    <w:rsid w:val="006B18AB"/>
    <w:rsid w:val="006B1D5B"/>
    <w:rsid w:val="006B2118"/>
    <w:rsid w:val="006B228B"/>
    <w:rsid w:val="006B2795"/>
    <w:rsid w:val="006B2B42"/>
    <w:rsid w:val="006B2FF7"/>
    <w:rsid w:val="006B30B6"/>
    <w:rsid w:val="006B30E7"/>
    <w:rsid w:val="006B3162"/>
    <w:rsid w:val="006B3258"/>
    <w:rsid w:val="006B3402"/>
    <w:rsid w:val="006B395E"/>
    <w:rsid w:val="006B3A7E"/>
    <w:rsid w:val="006B3B15"/>
    <w:rsid w:val="006B3C10"/>
    <w:rsid w:val="006B3D01"/>
    <w:rsid w:val="006B3EB8"/>
    <w:rsid w:val="006B4464"/>
    <w:rsid w:val="006B49BD"/>
    <w:rsid w:val="006B4A77"/>
    <w:rsid w:val="006B4C2B"/>
    <w:rsid w:val="006B5083"/>
    <w:rsid w:val="006B55E3"/>
    <w:rsid w:val="006B5E6C"/>
    <w:rsid w:val="006B6239"/>
    <w:rsid w:val="006B62C9"/>
    <w:rsid w:val="006B6D47"/>
    <w:rsid w:val="006B6E57"/>
    <w:rsid w:val="006B6F56"/>
    <w:rsid w:val="006B71EA"/>
    <w:rsid w:val="006B766E"/>
    <w:rsid w:val="006B771C"/>
    <w:rsid w:val="006B78A5"/>
    <w:rsid w:val="006B7C03"/>
    <w:rsid w:val="006C0569"/>
    <w:rsid w:val="006C07FD"/>
    <w:rsid w:val="006C0AE8"/>
    <w:rsid w:val="006C0B06"/>
    <w:rsid w:val="006C0BE9"/>
    <w:rsid w:val="006C1058"/>
    <w:rsid w:val="006C1247"/>
    <w:rsid w:val="006C152A"/>
    <w:rsid w:val="006C1C94"/>
    <w:rsid w:val="006C1D1E"/>
    <w:rsid w:val="006C1F94"/>
    <w:rsid w:val="006C2123"/>
    <w:rsid w:val="006C21B2"/>
    <w:rsid w:val="006C24E4"/>
    <w:rsid w:val="006C2864"/>
    <w:rsid w:val="006C29D7"/>
    <w:rsid w:val="006C2BCF"/>
    <w:rsid w:val="006C3888"/>
    <w:rsid w:val="006C3975"/>
    <w:rsid w:val="006C39FA"/>
    <w:rsid w:val="006C3BFF"/>
    <w:rsid w:val="006C3DE3"/>
    <w:rsid w:val="006C46A4"/>
    <w:rsid w:val="006C47AC"/>
    <w:rsid w:val="006C4ABE"/>
    <w:rsid w:val="006C4EA4"/>
    <w:rsid w:val="006C4EC4"/>
    <w:rsid w:val="006C4F4F"/>
    <w:rsid w:val="006C4FDB"/>
    <w:rsid w:val="006C51DB"/>
    <w:rsid w:val="006C5497"/>
    <w:rsid w:val="006C578C"/>
    <w:rsid w:val="006C58D1"/>
    <w:rsid w:val="006C6154"/>
    <w:rsid w:val="006C6180"/>
    <w:rsid w:val="006C669D"/>
    <w:rsid w:val="006C681C"/>
    <w:rsid w:val="006C686B"/>
    <w:rsid w:val="006C6AC9"/>
    <w:rsid w:val="006C6C06"/>
    <w:rsid w:val="006C6CAC"/>
    <w:rsid w:val="006C6CD7"/>
    <w:rsid w:val="006C713C"/>
    <w:rsid w:val="006C7259"/>
    <w:rsid w:val="006C7539"/>
    <w:rsid w:val="006C76F1"/>
    <w:rsid w:val="006C7C32"/>
    <w:rsid w:val="006C7C94"/>
    <w:rsid w:val="006C7CF4"/>
    <w:rsid w:val="006D0155"/>
    <w:rsid w:val="006D05A5"/>
    <w:rsid w:val="006D070E"/>
    <w:rsid w:val="006D09E4"/>
    <w:rsid w:val="006D0BC4"/>
    <w:rsid w:val="006D0BF4"/>
    <w:rsid w:val="006D0DDA"/>
    <w:rsid w:val="006D0F2F"/>
    <w:rsid w:val="006D15F8"/>
    <w:rsid w:val="006D17EC"/>
    <w:rsid w:val="006D1B72"/>
    <w:rsid w:val="006D1BBB"/>
    <w:rsid w:val="006D1E13"/>
    <w:rsid w:val="006D1E4C"/>
    <w:rsid w:val="006D244A"/>
    <w:rsid w:val="006D26A0"/>
    <w:rsid w:val="006D2893"/>
    <w:rsid w:val="006D29F3"/>
    <w:rsid w:val="006D2A50"/>
    <w:rsid w:val="006D2C55"/>
    <w:rsid w:val="006D2D10"/>
    <w:rsid w:val="006D2E35"/>
    <w:rsid w:val="006D2FCE"/>
    <w:rsid w:val="006D3225"/>
    <w:rsid w:val="006D3243"/>
    <w:rsid w:val="006D3721"/>
    <w:rsid w:val="006D3747"/>
    <w:rsid w:val="006D38C7"/>
    <w:rsid w:val="006D3988"/>
    <w:rsid w:val="006D39D3"/>
    <w:rsid w:val="006D3C79"/>
    <w:rsid w:val="006D3ECA"/>
    <w:rsid w:val="006D412B"/>
    <w:rsid w:val="006D41A3"/>
    <w:rsid w:val="006D41CC"/>
    <w:rsid w:val="006D42B3"/>
    <w:rsid w:val="006D4CF5"/>
    <w:rsid w:val="006D4D97"/>
    <w:rsid w:val="006D4EE9"/>
    <w:rsid w:val="006D5136"/>
    <w:rsid w:val="006D5269"/>
    <w:rsid w:val="006D5288"/>
    <w:rsid w:val="006D52FA"/>
    <w:rsid w:val="006D5305"/>
    <w:rsid w:val="006D59A9"/>
    <w:rsid w:val="006D5C8D"/>
    <w:rsid w:val="006D5FB7"/>
    <w:rsid w:val="006D61B6"/>
    <w:rsid w:val="006D646E"/>
    <w:rsid w:val="006D6AF6"/>
    <w:rsid w:val="006D6DAA"/>
    <w:rsid w:val="006D719B"/>
    <w:rsid w:val="006D73F4"/>
    <w:rsid w:val="006D781D"/>
    <w:rsid w:val="006D7930"/>
    <w:rsid w:val="006D7970"/>
    <w:rsid w:val="006E0044"/>
    <w:rsid w:val="006E00A2"/>
    <w:rsid w:val="006E0173"/>
    <w:rsid w:val="006E01FA"/>
    <w:rsid w:val="006E0236"/>
    <w:rsid w:val="006E0569"/>
    <w:rsid w:val="006E0659"/>
    <w:rsid w:val="006E067D"/>
    <w:rsid w:val="006E088F"/>
    <w:rsid w:val="006E0910"/>
    <w:rsid w:val="006E0B11"/>
    <w:rsid w:val="006E115A"/>
    <w:rsid w:val="006E152E"/>
    <w:rsid w:val="006E1777"/>
    <w:rsid w:val="006E18CA"/>
    <w:rsid w:val="006E195B"/>
    <w:rsid w:val="006E19FF"/>
    <w:rsid w:val="006E1C6F"/>
    <w:rsid w:val="006E1E69"/>
    <w:rsid w:val="006E1EBA"/>
    <w:rsid w:val="006E2284"/>
    <w:rsid w:val="006E2287"/>
    <w:rsid w:val="006E2400"/>
    <w:rsid w:val="006E2470"/>
    <w:rsid w:val="006E24AA"/>
    <w:rsid w:val="006E259C"/>
    <w:rsid w:val="006E27C9"/>
    <w:rsid w:val="006E3621"/>
    <w:rsid w:val="006E3659"/>
    <w:rsid w:val="006E375F"/>
    <w:rsid w:val="006E39D6"/>
    <w:rsid w:val="006E3AE6"/>
    <w:rsid w:val="006E3AEE"/>
    <w:rsid w:val="006E3E6F"/>
    <w:rsid w:val="006E3EE2"/>
    <w:rsid w:val="006E3F49"/>
    <w:rsid w:val="006E409A"/>
    <w:rsid w:val="006E46F7"/>
    <w:rsid w:val="006E4A91"/>
    <w:rsid w:val="006E4B1F"/>
    <w:rsid w:val="006E4C2D"/>
    <w:rsid w:val="006E5458"/>
    <w:rsid w:val="006E55DF"/>
    <w:rsid w:val="006E58C7"/>
    <w:rsid w:val="006E5C0C"/>
    <w:rsid w:val="006E5C7F"/>
    <w:rsid w:val="006E5C8A"/>
    <w:rsid w:val="006E5E0F"/>
    <w:rsid w:val="006E5E74"/>
    <w:rsid w:val="006E5F66"/>
    <w:rsid w:val="006E60A8"/>
    <w:rsid w:val="006E60C8"/>
    <w:rsid w:val="006E6152"/>
    <w:rsid w:val="006E6173"/>
    <w:rsid w:val="006E61E6"/>
    <w:rsid w:val="006E6452"/>
    <w:rsid w:val="006E6619"/>
    <w:rsid w:val="006E6664"/>
    <w:rsid w:val="006E6B03"/>
    <w:rsid w:val="006E6B0E"/>
    <w:rsid w:val="006E6BCF"/>
    <w:rsid w:val="006E6C53"/>
    <w:rsid w:val="006E6F7B"/>
    <w:rsid w:val="006E7667"/>
    <w:rsid w:val="006E76BA"/>
    <w:rsid w:val="006E76E3"/>
    <w:rsid w:val="006E77AE"/>
    <w:rsid w:val="006E7B9C"/>
    <w:rsid w:val="006E7BC1"/>
    <w:rsid w:val="006E7CFD"/>
    <w:rsid w:val="006E7DD7"/>
    <w:rsid w:val="006F03C2"/>
    <w:rsid w:val="006F09B7"/>
    <w:rsid w:val="006F0ADB"/>
    <w:rsid w:val="006F0F0A"/>
    <w:rsid w:val="006F0F9F"/>
    <w:rsid w:val="006F10C9"/>
    <w:rsid w:val="006F15B8"/>
    <w:rsid w:val="006F1727"/>
    <w:rsid w:val="006F202D"/>
    <w:rsid w:val="006F20E0"/>
    <w:rsid w:val="006F21F6"/>
    <w:rsid w:val="006F25BA"/>
    <w:rsid w:val="006F2768"/>
    <w:rsid w:val="006F2A9E"/>
    <w:rsid w:val="006F2FBD"/>
    <w:rsid w:val="006F3120"/>
    <w:rsid w:val="006F3171"/>
    <w:rsid w:val="006F333D"/>
    <w:rsid w:val="006F3512"/>
    <w:rsid w:val="006F3843"/>
    <w:rsid w:val="006F3900"/>
    <w:rsid w:val="006F3A35"/>
    <w:rsid w:val="006F3A9E"/>
    <w:rsid w:val="006F3F3A"/>
    <w:rsid w:val="006F400F"/>
    <w:rsid w:val="006F43A2"/>
    <w:rsid w:val="006F43B2"/>
    <w:rsid w:val="006F4714"/>
    <w:rsid w:val="006F4ACA"/>
    <w:rsid w:val="006F4C75"/>
    <w:rsid w:val="006F5243"/>
    <w:rsid w:val="006F525D"/>
    <w:rsid w:val="006F544E"/>
    <w:rsid w:val="006F5592"/>
    <w:rsid w:val="006F5D33"/>
    <w:rsid w:val="006F5D80"/>
    <w:rsid w:val="006F5DFB"/>
    <w:rsid w:val="006F5EF1"/>
    <w:rsid w:val="006F60D2"/>
    <w:rsid w:val="006F6231"/>
    <w:rsid w:val="006F6326"/>
    <w:rsid w:val="006F634D"/>
    <w:rsid w:val="006F69D5"/>
    <w:rsid w:val="006F6B55"/>
    <w:rsid w:val="006F6B91"/>
    <w:rsid w:val="006F6D95"/>
    <w:rsid w:val="006F726B"/>
    <w:rsid w:val="006F7A99"/>
    <w:rsid w:val="006F7B95"/>
    <w:rsid w:val="006F7CC0"/>
    <w:rsid w:val="00700392"/>
    <w:rsid w:val="00700503"/>
    <w:rsid w:val="007005C7"/>
    <w:rsid w:val="00700C43"/>
    <w:rsid w:val="00700EF3"/>
    <w:rsid w:val="007012BC"/>
    <w:rsid w:val="007013C5"/>
    <w:rsid w:val="007013CD"/>
    <w:rsid w:val="007016C6"/>
    <w:rsid w:val="00701A1F"/>
    <w:rsid w:val="00701ACC"/>
    <w:rsid w:val="00702159"/>
    <w:rsid w:val="0070223A"/>
    <w:rsid w:val="00702274"/>
    <w:rsid w:val="007027FD"/>
    <w:rsid w:val="00702C01"/>
    <w:rsid w:val="00702E7D"/>
    <w:rsid w:val="00702EDE"/>
    <w:rsid w:val="00702EE9"/>
    <w:rsid w:val="00702F86"/>
    <w:rsid w:val="00703123"/>
    <w:rsid w:val="007038A5"/>
    <w:rsid w:val="00703E06"/>
    <w:rsid w:val="00703F27"/>
    <w:rsid w:val="00703F88"/>
    <w:rsid w:val="0070418C"/>
    <w:rsid w:val="007042AA"/>
    <w:rsid w:val="00704338"/>
    <w:rsid w:val="0070455C"/>
    <w:rsid w:val="00704669"/>
    <w:rsid w:val="007049D7"/>
    <w:rsid w:val="00704B67"/>
    <w:rsid w:val="00704B86"/>
    <w:rsid w:val="00705271"/>
    <w:rsid w:val="007055DC"/>
    <w:rsid w:val="007058B4"/>
    <w:rsid w:val="00705AE8"/>
    <w:rsid w:val="00705D99"/>
    <w:rsid w:val="007061EE"/>
    <w:rsid w:val="00706504"/>
    <w:rsid w:val="007067CA"/>
    <w:rsid w:val="00706819"/>
    <w:rsid w:val="00706968"/>
    <w:rsid w:val="007069DA"/>
    <w:rsid w:val="00706E12"/>
    <w:rsid w:val="00706F13"/>
    <w:rsid w:val="007070B0"/>
    <w:rsid w:val="007070BC"/>
    <w:rsid w:val="007072E8"/>
    <w:rsid w:val="00707313"/>
    <w:rsid w:val="00707AD7"/>
    <w:rsid w:val="00707B91"/>
    <w:rsid w:val="00707C71"/>
    <w:rsid w:val="00707E85"/>
    <w:rsid w:val="00710281"/>
    <w:rsid w:val="0071080B"/>
    <w:rsid w:val="00710937"/>
    <w:rsid w:val="00710945"/>
    <w:rsid w:val="00710A25"/>
    <w:rsid w:val="00710AA2"/>
    <w:rsid w:val="00710CA4"/>
    <w:rsid w:val="00710D37"/>
    <w:rsid w:val="00711025"/>
    <w:rsid w:val="007111F1"/>
    <w:rsid w:val="00711324"/>
    <w:rsid w:val="00711A5B"/>
    <w:rsid w:val="00711D96"/>
    <w:rsid w:val="00711F22"/>
    <w:rsid w:val="007121AB"/>
    <w:rsid w:val="007121DA"/>
    <w:rsid w:val="00712ED4"/>
    <w:rsid w:val="00713196"/>
    <w:rsid w:val="007132DF"/>
    <w:rsid w:val="00713403"/>
    <w:rsid w:val="00713842"/>
    <w:rsid w:val="00713882"/>
    <w:rsid w:val="007138B3"/>
    <w:rsid w:val="00713A9A"/>
    <w:rsid w:val="00713B85"/>
    <w:rsid w:val="00713CB4"/>
    <w:rsid w:val="00713D0B"/>
    <w:rsid w:val="00713DD2"/>
    <w:rsid w:val="00713F9C"/>
    <w:rsid w:val="007141E9"/>
    <w:rsid w:val="00714217"/>
    <w:rsid w:val="00714262"/>
    <w:rsid w:val="007143BF"/>
    <w:rsid w:val="00714743"/>
    <w:rsid w:val="00714850"/>
    <w:rsid w:val="00714CDC"/>
    <w:rsid w:val="007152FF"/>
    <w:rsid w:val="007154B5"/>
    <w:rsid w:val="0071554E"/>
    <w:rsid w:val="00715931"/>
    <w:rsid w:val="007159C6"/>
    <w:rsid w:val="0071618D"/>
    <w:rsid w:val="0071622A"/>
    <w:rsid w:val="007162DD"/>
    <w:rsid w:val="0071637F"/>
    <w:rsid w:val="00716529"/>
    <w:rsid w:val="0071653B"/>
    <w:rsid w:val="00716606"/>
    <w:rsid w:val="00716BE1"/>
    <w:rsid w:val="00716EB9"/>
    <w:rsid w:val="00717241"/>
    <w:rsid w:val="00717688"/>
    <w:rsid w:val="007178AD"/>
    <w:rsid w:val="007179BA"/>
    <w:rsid w:val="00717AA3"/>
    <w:rsid w:val="00717AFB"/>
    <w:rsid w:val="00717B3E"/>
    <w:rsid w:val="00717DD0"/>
    <w:rsid w:val="00717ECE"/>
    <w:rsid w:val="00717EE1"/>
    <w:rsid w:val="00717FEA"/>
    <w:rsid w:val="00720069"/>
    <w:rsid w:val="0072057C"/>
    <w:rsid w:val="007207DE"/>
    <w:rsid w:val="00720951"/>
    <w:rsid w:val="00720A45"/>
    <w:rsid w:val="00721151"/>
    <w:rsid w:val="0072123F"/>
    <w:rsid w:val="00721577"/>
    <w:rsid w:val="00721618"/>
    <w:rsid w:val="00721922"/>
    <w:rsid w:val="00721A8D"/>
    <w:rsid w:val="00721FE5"/>
    <w:rsid w:val="00722348"/>
    <w:rsid w:val="007227F8"/>
    <w:rsid w:val="00722A72"/>
    <w:rsid w:val="00722B32"/>
    <w:rsid w:val="00722F3E"/>
    <w:rsid w:val="00722FF5"/>
    <w:rsid w:val="0072306D"/>
    <w:rsid w:val="007231C3"/>
    <w:rsid w:val="0072322F"/>
    <w:rsid w:val="007236A9"/>
    <w:rsid w:val="0072379B"/>
    <w:rsid w:val="00723AB0"/>
    <w:rsid w:val="00723D91"/>
    <w:rsid w:val="00723E60"/>
    <w:rsid w:val="0072426F"/>
    <w:rsid w:val="00724579"/>
    <w:rsid w:val="00724C4F"/>
    <w:rsid w:val="00724DCF"/>
    <w:rsid w:val="00725095"/>
    <w:rsid w:val="007250A3"/>
    <w:rsid w:val="007251B8"/>
    <w:rsid w:val="0072597B"/>
    <w:rsid w:val="00725DED"/>
    <w:rsid w:val="00725FA4"/>
    <w:rsid w:val="00726057"/>
    <w:rsid w:val="007262AF"/>
    <w:rsid w:val="007265A7"/>
    <w:rsid w:val="00726916"/>
    <w:rsid w:val="00726D8E"/>
    <w:rsid w:val="00726E7D"/>
    <w:rsid w:val="00726F56"/>
    <w:rsid w:val="00727086"/>
    <w:rsid w:val="00727151"/>
    <w:rsid w:val="00727428"/>
    <w:rsid w:val="00727474"/>
    <w:rsid w:val="0072753A"/>
    <w:rsid w:val="0072784D"/>
    <w:rsid w:val="007278AC"/>
    <w:rsid w:val="00727ABF"/>
    <w:rsid w:val="00727F9B"/>
    <w:rsid w:val="00730468"/>
    <w:rsid w:val="007305B7"/>
    <w:rsid w:val="00730642"/>
    <w:rsid w:val="00730FA3"/>
    <w:rsid w:val="007315E5"/>
    <w:rsid w:val="00731676"/>
    <w:rsid w:val="00731697"/>
    <w:rsid w:val="007316DA"/>
    <w:rsid w:val="00731822"/>
    <w:rsid w:val="00731A86"/>
    <w:rsid w:val="00731B29"/>
    <w:rsid w:val="00731D24"/>
    <w:rsid w:val="00731FA6"/>
    <w:rsid w:val="0073215A"/>
    <w:rsid w:val="0073230D"/>
    <w:rsid w:val="00732509"/>
    <w:rsid w:val="007327F0"/>
    <w:rsid w:val="007328A4"/>
    <w:rsid w:val="00732B5D"/>
    <w:rsid w:val="00732B64"/>
    <w:rsid w:val="00732FD1"/>
    <w:rsid w:val="0073316F"/>
    <w:rsid w:val="00733222"/>
    <w:rsid w:val="007332D3"/>
    <w:rsid w:val="00733364"/>
    <w:rsid w:val="0073348B"/>
    <w:rsid w:val="007335B8"/>
    <w:rsid w:val="00733679"/>
    <w:rsid w:val="00733C46"/>
    <w:rsid w:val="00734847"/>
    <w:rsid w:val="007348BB"/>
    <w:rsid w:val="00734E18"/>
    <w:rsid w:val="00735068"/>
    <w:rsid w:val="007353DE"/>
    <w:rsid w:val="0073568A"/>
    <w:rsid w:val="007356DD"/>
    <w:rsid w:val="00735715"/>
    <w:rsid w:val="0073574B"/>
    <w:rsid w:val="007357CB"/>
    <w:rsid w:val="0073587C"/>
    <w:rsid w:val="00735C37"/>
    <w:rsid w:val="00735E80"/>
    <w:rsid w:val="00735F69"/>
    <w:rsid w:val="007361A3"/>
    <w:rsid w:val="007361EC"/>
    <w:rsid w:val="00736360"/>
    <w:rsid w:val="00736705"/>
    <w:rsid w:val="00736709"/>
    <w:rsid w:val="007367A7"/>
    <w:rsid w:val="0073684F"/>
    <w:rsid w:val="00736892"/>
    <w:rsid w:val="007369C2"/>
    <w:rsid w:val="00736B29"/>
    <w:rsid w:val="00736BB1"/>
    <w:rsid w:val="007370DF"/>
    <w:rsid w:val="00737145"/>
    <w:rsid w:val="0073730C"/>
    <w:rsid w:val="00737580"/>
    <w:rsid w:val="007377AC"/>
    <w:rsid w:val="0073780B"/>
    <w:rsid w:val="0073795C"/>
    <w:rsid w:val="00737B8C"/>
    <w:rsid w:val="00737BF6"/>
    <w:rsid w:val="00737EAA"/>
    <w:rsid w:val="00737FC1"/>
    <w:rsid w:val="0074013B"/>
    <w:rsid w:val="00740446"/>
    <w:rsid w:val="007408F9"/>
    <w:rsid w:val="00740A19"/>
    <w:rsid w:val="00740B58"/>
    <w:rsid w:val="00740D1F"/>
    <w:rsid w:val="00740E5B"/>
    <w:rsid w:val="00740E7D"/>
    <w:rsid w:val="007410BE"/>
    <w:rsid w:val="00741404"/>
    <w:rsid w:val="0074161F"/>
    <w:rsid w:val="00741728"/>
    <w:rsid w:val="00741761"/>
    <w:rsid w:val="007417EA"/>
    <w:rsid w:val="00741E1C"/>
    <w:rsid w:val="00741F6F"/>
    <w:rsid w:val="0074213B"/>
    <w:rsid w:val="007422B2"/>
    <w:rsid w:val="00742336"/>
    <w:rsid w:val="007423B4"/>
    <w:rsid w:val="007426E5"/>
    <w:rsid w:val="007427E3"/>
    <w:rsid w:val="00743152"/>
    <w:rsid w:val="007432FD"/>
    <w:rsid w:val="00743501"/>
    <w:rsid w:val="0074385E"/>
    <w:rsid w:val="007438A9"/>
    <w:rsid w:val="00743AE3"/>
    <w:rsid w:val="00743BF8"/>
    <w:rsid w:val="00744566"/>
    <w:rsid w:val="00744654"/>
    <w:rsid w:val="0074468D"/>
    <w:rsid w:val="00744724"/>
    <w:rsid w:val="0074491E"/>
    <w:rsid w:val="00744A94"/>
    <w:rsid w:val="00744DA4"/>
    <w:rsid w:val="00744E02"/>
    <w:rsid w:val="00744E16"/>
    <w:rsid w:val="00744F5D"/>
    <w:rsid w:val="00744FF3"/>
    <w:rsid w:val="00745084"/>
    <w:rsid w:val="00745699"/>
    <w:rsid w:val="007459F7"/>
    <w:rsid w:val="00745C51"/>
    <w:rsid w:val="00745F92"/>
    <w:rsid w:val="00746240"/>
    <w:rsid w:val="00746395"/>
    <w:rsid w:val="007464F2"/>
    <w:rsid w:val="007466AB"/>
    <w:rsid w:val="007466D8"/>
    <w:rsid w:val="007467CD"/>
    <w:rsid w:val="007468C0"/>
    <w:rsid w:val="007469B5"/>
    <w:rsid w:val="007469F8"/>
    <w:rsid w:val="00746CB0"/>
    <w:rsid w:val="00746E39"/>
    <w:rsid w:val="0074709E"/>
    <w:rsid w:val="00747103"/>
    <w:rsid w:val="00747135"/>
    <w:rsid w:val="00747500"/>
    <w:rsid w:val="007478A4"/>
    <w:rsid w:val="00747962"/>
    <w:rsid w:val="00747AB5"/>
    <w:rsid w:val="00747AE4"/>
    <w:rsid w:val="00747BD0"/>
    <w:rsid w:val="00747FDA"/>
    <w:rsid w:val="00750016"/>
    <w:rsid w:val="007502F5"/>
    <w:rsid w:val="007507A6"/>
    <w:rsid w:val="007508FA"/>
    <w:rsid w:val="00750A4B"/>
    <w:rsid w:val="00750B80"/>
    <w:rsid w:val="00750B83"/>
    <w:rsid w:val="00750C59"/>
    <w:rsid w:val="00750F0D"/>
    <w:rsid w:val="0075106A"/>
    <w:rsid w:val="007510FE"/>
    <w:rsid w:val="0075127B"/>
    <w:rsid w:val="0075178A"/>
    <w:rsid w:val="00751A47"/>
    <w:rsid w:val="00751A55"/>
    <w:rsid w:val="00751E3B"/>
    <w:rsid w:val="007520BE"/>
    <w:rsid w:val="007526AB"/>
    <w:rsid w:val="00752712"/>
    <w:rsid w:val="0075283D"/>
    <w:rsid w:val="00752EC0"/>
    <w:rsid w:val="00752F55"/>
    <w:rsid w:val="00752F71"/>
    <w:rsid w:val="007530A8"/>
    <w:rsid w:val="0075312E"/>
    <w:rsid w:val="00753146"/>
    <w:rsid w:val="00753265"/>
    <w:rsid w:val="0075377A"/>
    <w:rsid w:val="0075386C"/>
    <w:rsid w:val="00753AAF"/>
    <w:rsid w:val="00753B92"/>
    <w:rsid w:val="00753E39"/>
    <w:rsid w:val="00753FA0"/>
    <w:rsid w:val="0075415C"/>
    <w:rsid w:val="007547A1"/>
    <w:rsid w:val="00754CCA"/>
    <w:rsid w:val="00754E59"/>
    <w:rsid w:val="00754FB3"/>
    <w:rsid w:val="00755060"/>
    <w:rsid w:val="007551B2"/>
    <w:rsid w:val="007555B4"/>
    <w:rsid w:val="00755661"/>
    <w:rsid w:val="007557E9"/>
    <w:rsid w:val="007557F4"/>
    <w:rsid w:val="00755A31"/>
    <w:rsid w:val="00755AEA"/>
    <w:rsid w:val="00755B7E"/>
    <w:rsid w:val="00755EAC"/>
    <w:rsid w:val="0075625C"/>
    <w:rsid w:val="0075637A"/>
    <w:rsid w:val="007564CF"/>
    <w:rsid w:val="00756511"/>
    <w:rsid w:val="00756531"/>
    <w:rsid w:val="00756572"/>
    <w:rsid w:val="00756795"/>
    <w:rsid w:val="007568E2"/>
    <w:rsid w:val="00756AE0"/>
    <w:rsid w:val="00756B64"/>
    <w:rsid w:val="00756B72"/>
    <w:rsid w:val="00756EF8"/>
    <w:rsid w:val="00756FCB"/>
    <w:rsid w:val="0075718C"/>
    <w:rsid w:val="007572FB"/>
    <w:rsid w:val="00757535"/>
    <w:rsid w:val="0075760C"/>
    <w:rsid w:val="0075799A"/>
    <w:rsid w:val="00757B76"/>
    <w:rsid w:val="00757C7E"/>
    <w:rsid w:val="00757EEE"/>
    <w:rsid w:val="007600BD"/>
    <w:rsid w:val="007605C2"/>
    <w:rsid w:val="00760637"/>
    <w:rsid w:val="00760A56"/>
    <w:rsid w:val="00760E8E"/>
    <w:rsid w:val="00761420"/>
    <w:rsid w:val="007616F4"/>
    <w:rsid w:val="0076216E"/>
    <w:rsid w:val="007622E0"/>
    <w:rsid w:val="00762363"/>
    <w:rsid w:val="00762742"/>
    <w:rsid w:val="00762892"/>
    <w:rsid w:val="0076293E"/>
    <w:rsid w:val="00762987"/>
    <w:rsid w:val="007629C3"/>
    <w:rsid w:val="00762A19"/>
    <w:rsid w:val="00762A9A"/>
    <w:rsid w:val="00762CCB"/>
    <w:rsid w:val="00762D58"/>
    <w:rsid w:val="00762E35"/>
    <w:rsid w:val="00762F77"/>
    <w:rsid w:val="00763174"/>
    <w:rsid w:val="00763454"/>
    <w:rsid w:val="00763577"/>
    <w:rsid w:val="00763929"/>
    <w:rsid w:val="00763935"/>
    <w:rsid w:val="00763A15"/>
    <w:rsid w:val="00763A6A"/>
    <w:rsid w:val="00763C91"/>
    <w:rsid w:val="00763E7B"/>
    <w:rsid w:val="00763EC4"/>
    <w:rsid w:val="007641FF"/>
    <w:rsid w:val="007642A1"/>
    <w:rsid w:val="00764504"/>
    <w:rsid w:val="007649BB"/>
    <w:rsid w:val="00764AB4"/>
    <w:rsid w:val="00764AD4"/>
    <w:rsid w:val="00764BD6"/>
    <w:rsid w:val="00764CCA"/>
    <w:rsid w:val="00765052"/>
    <w:rsid w:val="007650DA"/>
    <w:rsid w:val="0076520A"/>
    <w:rsid w:val="00765568"/>
    <w:rsid w:val="007658C4"/>
    <w:rsid w:val="007658C8"/>
    <w:rsid w:val="00765A2B"/>
    <w:rsid w:val="007660EF"/>
    <w:rsid w:val="0076610A"/>
    <w:rsid w:val="00766205"/>
    <w:rsid w:val="007662F3"/>
    <w:rsid w:val="007663B4"/>
    <w:rsid w:val="007663CC"/>
    <w:rsid w:val="007664A8"/>
    <w:rsid w:val="007669F6"/>
    <w:rsid w:val="00766D85"/>
    <w:rsid w:val="00766E0D"/>
    <w:rsid w:val="00766F21"/>
    <w:rsid w:val="00766F35"/>
    <w:rsid w:val="00767033"/>
    <w:rsid w:val="0076713F"/>
    <w:rsid w:val="00767419"/>
    <w:rsid w:val="00767496"/>
    <w:rsid w:val="0076751D"/>
    <w:rsid w:val="0076756E"/>
    <w:rsid w:val="00767586"/>
    <w:rsid w:val="00767635"/>
    <w:rsid w:val="00767D33"/>
    <w:rsid w:val="00767DDD"/>
    <w:rsid w:val="00770107"/>
    <w:rsid w:val="007701EA"/>
    <w:rsid w:val="00770572"/>
    <w:rsid w:val="007706D2"/>
    <w:rsid w:val="00770A17"/>
    <w:rsid w:val="00771027"/>
    <w:rsid w:val="00771060"/>
    <w:rsid w:val="007710BE"/>
    <w:rsid w:val="00771372"/>
    <w:rsid w:val="00771385"/>
    <w:rsid w:val="00771437"/>
    <w:rsid w:val="0077144E"/>
    <w:rsid w:val="00771543"/>
    <w:rsid w:val="00771585"/>
    <w:rsid w:val="00771745"/>
    <w:rsid w:val="007718E5"/>
    <w:rsid w:val="00771B0B"/>
    <w:rsid w:val="00771B72"/>
    <w:rsid w:val="00771CF0"/>
    <w:rsid w:val="00771F54"/>
    <w:rsid w:val="0077209E"/>
    <w:rsid w:val="00772194"/>
    <w:rsid w:val="007725FB"/>
    <w:rsid w:val="00772614"/>
    <w:rsid w:val="00772721"/>
    <w:rsid w:val="0077278E"/>
    <w:rsid w:val="00772F43"/>
    <w:rsid w:val="00773212"/>
    <w:rsid w:val="0077359B"/>
    <w:rsid w:val="00773BE0"/>
    <w:rsid w:val="00773DCD"/>
    <w:rsid w:val="00774364"/>
    <w:rsid w:val="007743DB"/>
    <w:rsid w:val="0077445E"/>
    <w:rsid w:val="0077452D"/>
    <w:rsid w:val="007747F5"/>
    <w:rsid w:val="00774844"/>
    <w:rsid w:val="007748E0"/>
    <w:rsid w:val="00774E4E"/>
    <w:rsid w:val="00774E60"/>
    <w:rsid w:val="007753CE"/>
    <w:rsid w:val="007754A5"/>
    <w:rsid w:val="007754AB"/>
    <w:rsid w:val="007755C8"/>
    <w:rsid w:val="0077563E"/>
    <w:rsid w:val="00775846"/>
    <w:rsid w:val="00775964"/>
    <w:rsid w:val="00775C42"/>
    <w:rsid w:val="00775CC1"/>
    <w:rsid w:val="00775F66"/>
    <w:rsid w:val="007764BB"/>
    <w:rsid w:val="0077682B"/>
    <w:rsid w:val="00776914"/>
    <w:rsid w:val="00776A1C"/>
    <w:rsid w:val="00776B0A"/>
    <w:rsid w:val="00776C74"/>
    <w:rsid w:val="00777390"/>
    <w:rsid w:val="007776B7"/>
    <w:rsid w:val="007777F3"/>
    <w:rsid w:val="00777A7B"/>
    <w:rsid w:val="00777AB3"/>
    <w:rsid w:val="00777AC2"/>
    <w:rsid w:val="00777BC2"/>
    <w:rsid w:val="00777DDB"/>
    <w:rsid w:val="00777E69"/>
    <w:rsid w:val="00777FBF"/>
    <w:rsid w:val="0078029A"/>
    <w:rsid w:val="007805BC"/>
    <w:rsid w:val="0078079B"/>
    <w:rsid w:val="00780864"/>
    <w:rsid w:val="0078088A"/>
    <w:rsid w:val="00780944"/>
    <w:rsid w:val="00780967"/>
    <w:rsid w:val="00780ED9"/>
    <w:rsid w:val="0078119A"/>
    <w:rsid w:val="007813CB"/>
    <w:rsid w:val="00781883"/>
    <w:rsid w:val="00781BF0"/>
    <w:rsid w:val="00781E60"/>
    <w:rsid w:val="00781E85"/>
    <w:rsid w:val="00781FB1"/>
    <w:rsid w:val="0078218F"/>
    <w:rsid w:val="0078258D"/>
    <w:rsid w:val="0078260A"/>
    <w:rsid w:val="00782680"/>
    <w:rsid w:val="007828B7"/>
    <w:rsid w:val="00782E03"/>
    <w:rsid w:val="00782E7A"/>
    <w:rsid w:val="00782F4B"/>
    <w:rsid w:val="007830B4"/>
    <w:rsid w:val="00783159"/>
    <w:rsid w:val="007833B8"/>
    <w:rsid w:val="00783795"/>
    <w:rsid w:val="00783878"/>
    <w:rsid w:val="00783976"/>
    <w:rsid w:val="00783BFA"/>
    <w:rsid w:val="00783F2E"/>
    <w:rsid w:val="00784BD0"/>
    <w:rsid w:val="00784DC5"/>
    <w:rsid w:val="00784FFB"/>
    <w:rsid w:val="00785278"/>
    <w:rsid w:val="007857DE"/>
    <w:rsid w:val="007858B6"/>
    <w:rsid w:val="00785CE0"/>
    <w:rsid w:val="00785E28"/>
    <w:rsid w:val="00786196"/>
    <w:rsid w:val="007861D9"/>
    <w:rsid w:val="007861FC"/>
    <w:rsid w:val="007863D9"/>
    <w:rsid w:val="00786637"/>
    <w:rsid w:val="0078686D"/>
    <w:rsid w:val="00786981"/>
    <w:rsid w:val="00786987"/>
    <w:rsid w:val="007869F4"/>
    <w:rsid w:val="00786A70"/>
    <w:rsid w:val="00786C51"/>
    <w:rsid w:val="00786E0A"/>
    <w:rsid w:val="00786FF4"/>
    <w:rsid w:val="00787099"/>
    <w:rsid w:val="00787154"/>
    <w:rsid w:val="0078717C"/>
    <w:rsid w:val="00787374"/>
    <w:rsid w:val="0078774A"/>
    <w:rsid w:val="007879D8"/>
    <w:rsid w:val="00790377"/>
    <w:rsid w:val="00790431"/>
    <w:rsid w:val="007906BE"/>
    <w:rsid w:val="00790B07"/>
    <w:rsid w:val="00790C31"/>
    <w:rsid w:val="007910E5"/>
    <w:rsid w:val="0079111C"/>
    <w:rsid w:val="007912D6"/>
    <w:rsid w:val="0079167A"/>
    <w:rsid w:val="00791E0A"/>
    <w:rsid w:val="00791E3D"/>
    <w:rsid w:val="00791F75"/>
    <w:rsid w:val="00792180"/>
    <w:rsid w:val="007921A4"/>
    <w:rsid w:val="007922C7"/>
    <w:rsid w:val="007923C8"/>
    <w:rsid w:val="007924A6"/>
    <w:rsid w:val="00792950"/>
    <w:rsid w:val="00792CF1"/>
    <w:rsid w:val="00792D0B"/>
    <w:rsid w:val="007931E0"/>
    <w:rsid w:val="00793265"/>
    <w:rsid w:val="007932C0"/>
    <w:rsid w:val="00793387"/>
    <w:rsid w:val="007936BF"/>
    <w:rsid w:val="0079396E"/>
    <w:rsid w:val="00793A0D"/>
    <w:rsid w:val="007940C3"/>
    <w:rsid w:val="007940EA"/>
    <w:rsid w:val="00794156"/>
    <w:rsid w:val="007941F2"/>
    <w:rsid w:val="007944C0"/>
    <w:rsid w:val="007948B0"/>
    <w:rsid w:val="00794C06"/>
    <w:rsid w:val="00794CB5"/>
    <w:rsid w:val="007951E1"/>
    <w:rsid w:val="00795252"/>
    <w:rsid w:val="007952AB"/>
    <w:rsid w:val="00795338"/>
    <w:rsid w:val="007953DC"/>
    <w:rsid w:val="00795493"/>
    <w:rsid w:val="0079562D"/>
    <w:rsid w:val="00795867"/>
    <w:rsid w:val="00795992"/>
    <w:rsid w:val="00795BFB"/>
    <w:rsid w:val="00795C8D"/>
    <w:rsid w:val="00795FDE"/>
    <w:rsid w:val="00796054"/>
    <w:rsid w:val="00796146"/>
    <w:rsid w:val="00796303"/>
    <w:rsid w:val="007964B2"/>
    <w:rsid w:val="007966FD"/>
    <w:rsid w:val="00796740"/>
    <w:rsid w:val="007967AA"/>
    <w:rsid w:val="00796858"/>
    <w:rsid w:val="00796B57"/>
    <w:rsid w:val="00797618"/>
    <w:rsid w:val="007A02CA"/>
    <w:rsid w:val="007A04E0"/>
    <w:rsid w:val="007A0D18"/>
    <w:rsid w:val="007A10AA"/>
    <w:rsid w:val="007A117F"/>
    <w:rsid w:val="007A13BF"/>
    <w:rsid w:val="007A1435"/>
    <w:rsid w:val="007A1881"/>
    <w:rsid w:val="007A19AD"/>
    <w:rsid w:val="007A1B9D"/>
    <w:rsid w:val="007A1C5E"/>
    <w:rsid w:val="007A2468"/>
    <w:rsid w:val="007A29E4"/>
    <w:rsid w:val="007A2AF8"/>
    <w:rsid w:val="007A31E4"/>
    <w:rsid w:val="007A329E"/>
    <w:rsid w:val="007A45E7"/>
    <w:rsid w:val="007A4B36"/>
    <w:rsid w:val="007A4CC5"/>
    <w:rsid w:val="007A4DB1"/>
    <w:rsid w:val="007A4ED6"/>
    <w:rsid w:val="007A4EDD"/>
    <w:rsid w:val="007A500B"/>
    <w:rsid w:val="007A5260"/>
    <w:rsid w:val="007A5570"/>
    <w:rsid w:val="007A566B"/>
    <w:rsid w:val="007A56BE"/>
    <w:rsid w:val="007A5AF7"/>
    <w:rsid w:val="007A5B06"/>
    <w:rsid w:val="007A5F3B"/>
    <w:rsid w:val="007A5F62"/>
    <w:rsid w:val="007A62DE"/>
    <w:rsid w:val="007A652F"/>
    <w:rsid w:val="007A672F"/>
    <w:rsid w:val="007A6A52"/>
    <w:rsid w:val="007A6C99"/>
    <w:rsid w:val="007A6CA1"/>
    <w:rsid w:val="007A6DC0"/>
    <w:rsid w:val="007A6EC3"/>
    <w:rsid w:val="007A72D6"/>
    <w:rsid w:val="007A7552"/>
    <w:rsid w:val="007A757B"/>
    <w:rsid w:val="007A75F6"/>
    <w:rsid w:val="007A76C0"/>
    <w:rsid w:val="007A779E"/>
    <w:rsid w:val="007A781C"/>
    <w:rsid w:val="007A7883"/>
    <w:rsid w:val="007A78C5"/>
    <w:rsid w:val="007A7A63"/>
    <w:rsid w:val="007A7F67"/>
    <w:rsid w:val="007B022B"/>
    <w:rsid w:val="007B0450"/>
    <w:rsid w:val="007B0548"/>
    <w:rsid w:val="007B09F9"/>
    <w:rsid w:val="007B0A1A"/>
    <w:rsid w:val="007B0A94"/>
    <w:rsid w:val="007B0BC8"/>
    <w:rsid w:val="007B0D28"/>
    <w:rsid w:val="007B0DE6"/>
    <w:rsid w:val="007B11D1"/>
    <w:rsid w:val="007B1201"/>
    <w:rsid w:val="007B1342"/>
    <w:rsid w:val="007B14B1"/>
    <w:rsid w:val="007B176B"/>
    <w:rsid w:val="007B185E"/>
    <w:rsid w:val="007B1936"/>
    <w:rsid w:val="007B1AE8"/>
    <w:rsid w:val="007B1C32"/>
    <w:rsid w:val="007B1F2F"/>
    <w:rsid w:val="007B1F82"/>
    <w:rsid w:val="007B202A"/>
    <w:rsid w:val="007B20A7"/>
    <w:rsid w:val="007B235E"/>
    <w:rsid w:val="007B2362"/>
    <w:rsid w:val="007B26F8"/>
    <w:rsid w:val="007B2760"/>
    <w:rsid w:val="007B278E"/>
    <w:rsid w:val="007B2843"/>
    <w:rsid w:val="007B2972"/>
    <w:rsid w:val="007B2B9F"/>
    <w:rsid w:val="007B2CB2"/>
    <w:rsid w:val="007B2F75"/>
    <w:rsid w:val="007B2FD0"/>
    <w:rsid w:val="007B2FE1"/>
    <w:rsid w:val="007B301F"/>
    <w:rsid w:val="007B3104"/>
    <w:rsid w:val="007B322A"/>
    <w:rsid w:val="007B322D"/>
    <w:rsid w:val="007B3244"/>
    <w:rsid w:val="007B3691"/>
    <w:rsid w:val="007B3806"/>
    <w:rsid w:val="007B386D"/>
    <w:rsid w:val="007B3A2B"/>
    <w:rsid w:val="007B3AC3"/>
    <w:rsid w:val="007B3BB3"/>
    <w:rsid w:val="007B3C2F"/>
    <w:rsid w:val="007B3C3E"/>
    <w:rsid w:val="007B3DC0"/>
    <w:rsid w:val="007B3E1B"/>
    <w:rsid w:val="007B3F0E"/>
    <w:rsid w:val="007B41C2"/>
    <w:rsid w:val="007B4726"/>
    <w:rsid w:val="007B4832"/>
    <w:rsid w:val="007B4B5F"/>
    <w:rsid w:val="007B4D60"/>
    <w:rsid w:val="007B50E8"/>
    <w:rsid w:val="007B5171"/>
    <w:rsid w:val="007B5286"/>
    <w:rsid w:val="007B52DD"/>
    <w:rsid w:val="007B531C"/>
    <w:rsid w:val="007B55E6"/>
    <w:rsid w:val="007B593B"/>
    <w:rsid w:val="007B5A69"/>
    <w:rsid w:val="007B5B2A"/>
    <w:rsid w:val="007B5D72"/>
    <w:rsid w:val="007B5ECD"/>
    <w:rsid w:val="007B5FEB"/>
    <w:rsid w:val="007B6273"/>
    <w:rsid w:val="007B6518"/>
    <w:rsid w:val="007B6693"/>
    <w:rsid w:val="007B698E"/>
    <w:rsid w:val="007B6D5F"/>
    <w:rsid w:val="007B6F62"/>
    <w:rsid w:val="007B746E"/>
    <w:rsid w:val="007B74D7"/>
    <w:rsid w:val="007B7595"/>
    <w:rsid w:val="007B7815"/>
    <w:rsid w:val="007B7842"/>
    <w:rsid w:val="007B7C36"/>
    <w:rsid w:val="007B7D19"/>
    <w:rsid w:val="007B7F35"/>
    <w:rsid w:val="007C0636"/>
    <w:rsid w:val="007C0652"/>
    <w:rsid w:val="007C07F7"/>
    <w:rsid w:val="007C08BD"/>
    <w:rsid w:val="007C0BAE"/>
    <w:rsid w:val="007C110F"/>
    <w:rsid w:val="007C1C6A"/>
    <w:rsid w:val="007C1D0D"/>
    <w:rsid w:val="007C1D3E"/>
    <w:rsid w:val="007C21BF"/>
    <w:rsid w:val="007C23CF"/>
    <w:rsid w:val="007C2684"/>
    <w:rsid w:val="007C289F"/>
    <w:rsid w:val="007C28FF"/>
    <w:rsid w:val="007C2A6E"/>
    <w:rsid w:val="007C2BAD"/>
    <w:rsid w:val="007C2DBA"/>
    <w:rsid w:val="007C2FE3"/>
    <w:rsid w:val="007C32B6"/>
    <w:rsid w:val="007C32D2"/>
    <w:rsid w:val="007C34B3"/>
    <w:rsid w:val="007C38A3"/>
    <w:rsid w:val="007C3A31"/>
    <w:rsid w:val="007C3B88"/>
    <w:rsid w:val="007C3CB0"/>
    <w:rsid w:val="007C469F"/>
    <w:rsid w:val="007C46A3"/>
    <w:rsid w:val="007C47EC"/>
    <w:rsid w:val="007C48DE"/>
    <w:rsid w:val="007C4E69"/>
    <w:rsid w:val="007C4F88"/>
    <w:rsid w:val="007C5545"/>
    <w:rsid w:val="007C57B0"/>
    <w:rsid w:val="007C5895"/>
    <w:rsid w:val="007C5A6E"/>
    <w:rsid w:val="007C5DE5"/>
    <w:rsid w:val="007C5F83"/>
    <w:rsid w:val="007C64A4"/>
    <w:rsid w:val="007C66F3"/>
    <w:rsid w:val="007C67AC"/>
    <w:rsid w:val="007C6948"/>
    <w:rsid w:val="007C6A36"/>
    <w:rsid w:val="007C6C41"/>
    <w:rsid w:val="007C70C5"/>
    <w:rsid w:val="007C7478"/>
    <w:rsid w:val="007C74D5"/>
    <w:rsid w:val="007C7508"/>
    <w:rsid w:val="007C7605"/>
    <w:rsid w:val="007C77B0"/>
    <w:rsid w:val="007C7927"/>
    <w:rsid w:val="007C7B49"/>
    <w:rsid w:val="007C7D5B"/>
    <w:rsid w:val="007C7D63"/>
    <w:rsid w:val="007C7E88"/>
    <w:rsid w:val="007D0452"/>
    <w:rsid w:val="007D06A8"/>
    <w:rsid w:val="007D0961"/>
    <w:rsid w:val="007D0E58"/>
    <w:rsid w:val="007D1006"/>
    <w:rsid w:val="007D10C6"/>
    <w:rsid w:val="007D11A6"/>
    <w:rsid w:val="007D1226"/>
    <w:rsid w:val="007D1232"/>
    <w:rsid w:val="007D123B"/>
    <w:rsid w:val="007D136A"/>
    <w:rsid w:val="007D18C2"/>
    <w:rsid w:val="007D1997"/>
    <w:rsid w:val="007D19F7"/>
    <w:rsid w:val="007D1CA4"/>
    <w:rsid w:val="007D1E58"/>
    <w:rsid w:val="007D20C2"/>
    <w:rsid w:val="007D21F1"/>
    <w:rsid w:val="007D2678"/>
    <w:rsid w:val="007D2806"/>
    <w:rsid w:val="007D2AEB"/>
    <w:rsid w:val="007D2DD6"/>
    <w:rsid w:val="007D2F77"/>
    <w:rsid w:val="007D3045"/>
    <w:rsid w:val="007D358F"/>
    <w:rsid w:val="007D3714"/>
    <w:rsid w:val="007D393C"/>
    <w:rsid w:val="007D3B64"/>
    <w:rsid w:val="007D3C4C"/>
    <w:rsid w:val="007D3CCE"/>
    <w:rsid w:val="007D40BB"/>
    <w:rsid w:val="007D426C"/>
    <w:rsid w:val="007D42DA"/>
    <w:rsid w:val="007D48A9"/>
    <w:rsid w:val="007D49F9"/>
    <w:rsid w:val="007D4BD2"/>
    <w:rsid w:val="007D4FCE"/>
    <w:rsid w:val="007D500F"/>
    <w:rsid w:val="007D527B"/>
    <w:rsid w:val="007D531E"/>
    <w:rsid w:val="007D542E"/>
    <w:rsid w:val="007D5548"/>
    <w:rsid w:val="007D561B"/>
    <w:rsid w:val="007D5724"/>
    <w:rsid w:val="007D597E"/>
    <w:rsid w:val="007D5D42"/>
    <w:rsid w:val="007D5E4C"/>
    <w:rsid w:val="007D5F3A"/>
    <w:rsid w:val="007D62BF"/>
    <w:rsid w:val="007D643D"/>
    <w:rsid w:val="007D6E9F"/>
    <w:rsid w:val="007D7083"/>
    <w:rsid w:val="007D73AE"/>
    <w:rsid w:val="007D7470"/>
    <w:rsid w:val="007D7B30"/>
    <w:rsid w:val="007D7B88"/>
    <w:rsid w:val="007D7FF3"/>
    <w:rsid w:val="007E014C"/>
    <w:rsid w:val="007E062A"/>
    <w:rsid w:val="007E06E5"/>
    <w:rsid w:val="007E0781"/>
    <w:rsid w:val="007E095D"/>
    <w:rsid w:val="007E0A91"/>
    <w:rsid w:val="007E0C58"/>
    <w:rsid w:val="007E16A0"/>
    <w:rsid w:val="007E17C4"/>
    <w:rsid w:val="007E18CB"/>
    <w:rsid w:val="007E1A1E"/>
    <w:rsid w:val="007E1A68"/>
    <w:rsid w:val="007E1A89"/>
    <w:rsid w:val="007E1DAC"/>
    <w:rsid w:val="007E20F8"/>
    <w:rsid w:val="007E2174"/>
    <w:rsid w:val="007E260B"/>
    <w:rsid w:val="007E299A"/>
    <w:rsid w:val="007E29A7"/>
    <w:rsid w:val="007E3019"/>
    <w:rsid w:val="007E305A"/>
    <w:rsid w:val="007E32B9"/>
    <w:rsid w:val="007E341A"/>
    <w:rsid w:val="007E3476"/>
    <w:rsid w:val="007E38DA"/>
    <w:rsid w:val="007E4079"/>
    <w:rsid w:val="007E4087"/>
    <w:rsid w:val="007E40D0"/>
    <w:rsid w:val="007E45A5"/>
    <w:rsid w:val="007E4922"/>
    <w:rsid w:val="007E4A59"/>
    <w:rsid w:val="007E4B4C"/>
    <w:rsid w:val="007E4CB2"/>
    <w:rsid w:val="007E4CCA"/>
    <w:rsid w:val="007E4CD5"/>
    <w:rsid w:val="007E4F33"/>
    <w:rsid w:val="007E4F43"/>
    <w:rsid w:val="007E54C1"/>
    <w:rsid w:val="007E5939"/>
    <w:rsid w:val="007E5A3A"/>
    <w:rsid w:val="007E5C87"/>
    <w:rsid w:val="007E6005"/>
    <w:rsid w:val="007E605B"/>
    <w:rsid w:val="007E60FC"/>
    <w:rsid w:val="007E612C"/>
    <w:rsid w:val="007E62A5"/>
    <w:rsid w:val="007E62F6"/>
    <w:rsid w:val="007E6678"/>
    <w:rsid w:val="007E66FE"/>
    <w:rsid w:val="007E6A59"/>
    <w:rsid w:val="007E6AC1"/>
    <w:rsid w:val="007E6DA3"/>
    <w:rsid w:val="007E6E01"/>
    <w:rsid w:val="007E748B"/>
    <w:rsid w:val="007E74E4"/>
    <w:rsid w:val="007E7651"/>
    <w:rsid w:val="007E7677"/>
    <w:rsid w:val="007E76B0"/>
    <w:rsid w:val="007E78EC"/>
    <w:rsid w:val="007E7D72"/>
    <w:rsid w:val="007E7DA9"/>
    <w:rsid w:val="007F0586"/>
    <w:rsid w:val="007F0A40"/>
    <w:rsid w:val="007F0BD2"/>
    <w:rsid w:val="007F0D10"/>
    <w:rsid w:val="007F1069"/>
    <w:rsid w:val="007F131A"/>
    <w:rsid w:val="007F1600"/>
    <w:rsid w:val="007F1B45"/>
    <w:rsid w:val="007F1E5D"/>
    <w:rsid w:val="007F2145"/>
    <w:rsid w:val="007F2204"/>
    <w:rsid w:val="007F234B"/>
    <w:rsid w:val="007F239B"/>
    <w:rsid w:val="007F24C6"/>
    <w:rsid w:val="007F25FF"/>
    <w:rsid w:val="007F279F"/>
    <w:rsid w:val="007F2A04"/>
    <w:rsid w:val="007F2AF9"/>
    <w:rsid w:val="007F2CC5"/>
    <w:rsid w:val="007F2FCC"/>
    <w:rsid w:val="007F345E"/>
    <w:rsid w:val="007F34ED"/>
    <w:rsid w:val="007F35C8"/>
    <w:rsid w:val="007F3901"/>
    <w:rsid w:val="007F3CA9"/>
    <w:rsid w:val="007F3E25"/>
    <w:rsid w:val="007F3E71"/>
    <w:rsid w:val="007F4155"/>
    <w:rsid w:val="007F43E0"/>
    <w:rsid w:val="007F4673"/>
    <w:rsid w:val="007F47B4"/>
    <w:rsid w:val="007F4818"/>
    <w:rsid w:val="007F4862"/>
    <w:rsid w:val="007F4AC8"/>
    <w:rsid w:val="007F4B53"/>
    <w:rsid w:val="007F4C38"/>
    <w:rsid w:val="007F4F17"/>
    <w:rsid w:val="007F5112"/>
    <w:rsid w:val="007F51CA"/>
    <w:rsid w:val="007F54F4"/>
    <w:rsid w:val="007F5841"/>
    <w:rsid w:val="007F5C61"/>
    <w:rsid w:val="007F5CC5"/>
    <w:rsid w:val="007F5EFD"/>
    <w:rsid w:val="007F6111"/>
    <w:rsid w:val="007F6336"/>
    <w:rsid w:val="007F6422"/>
    <w:rsid w:val="007F6659"/>
    <w:rsid w:val="007F68AD"/>
    <w:rsid w:val="007F6DB2"/>
    <w:rsid w:val="007F6FF1"/>
    <w:rsid w:val="007F715E"/>
    <w:rsid w:val="007F761C"/>
    <w:rsid w:val="007F7710"/>
    <w:rsid w:val="007F78DE"/>
    <w:rsid w:val="007F7C8D"/>
    <w:rsid w:val="007F7C95"/>
    <w:rsid w:val="007F7D76"/>
    <w:rsid w:val="00800061"/>
    <w:rsid w:val="00800169"/>
    <w:rsid w:val="008002CA"/>
    <w:rsid w:val="008002FA"/>
    <w:rsid w:val="0080047B"/>
    <w:rsid w:val="008004D2"/>
    <w:rsid w:val="0080063B"/>
    <w:rsid w:val="0080082E"/>
    <w:rsid w:val="0080094C"/>
    <w:rsid w:val="00800A77"/>
    <w:rsid w:val="008010A2"/>
    <w:rsid w:val="008011B6"/>
    <w:rsid w:val="008016F4"/>
    <w:rsid w:val="008018D1"/>
    <w:rsid w:val="00801A04"/>
    <w:rsid w:val="00801A66"/>
    <w:rsid w:val="00801B15"/>
    <w:rsid w:val="00801D18"/>
    <w:rsid w:val="00801D39"/>
    <w:rsid w:val="00801E5E"/>
    <w:rsid w:val="00801F33"/>
    <w:rsid w:val="00801F4A"/>
    <w:rsid w:val="00801F76"/>
    <w:rsid w:val="00802074"/>
    <w:rsid w:val="008020AA"/>
    <w:rsid w:val="008020EC"/>
    <w:rsid w:val="008021E0"/>
    <w:rsid w:val="00802249"/>
    <w:rsid w:val="008026E4"/>
    <w:rsid w:val="00802BBC"/>
    <w:rsid w:val="00802D4E"/>
    <w:rsid w:val="00802E71"/>
    <w:rsid w:val="0080303F"/>
    <w:rsid w:val="008033B2"/>
    <w:rsid w:val="00803C10"/>
    <w:rsid w:val="00803D9D"/>
    <w:rsid w:val="00804028"/>
    <w:rsid w:val="00804353"/>
    <w:rsid w:val="00804643"/>
    <w:rsid w:val="008046DB"/>
    <w:rsid w:val="00804B5B"/>
    <w:rsid w:val="00804C95"/>
    <w:rsid w:val="00804D8F"/>
    <w:rsid w:val="00804EDA"/>
    <w:rsid w:val="00805007"/>
    <w:rsid w:val="00805026"/>
    <w:rsid w:val="00805065"/>
    <w:rsid w:val="008054FD"/>
    <w:rsid w:val="0080589F"/>
    <w:rsid w:val="008059E0"/>
    <w:rsid w:val="00805B81"/>
    <w:rsid w:val="00805D73"/>
    <w:rsid w:val="00805E41"/>
    <w:rsid w:val="00805EDC"/>
    <w:rsid w:val="00806072"/>
    <w:rsid w:val="008061CF"/>
    <w:rsid w:val="008061EC"/>
    <w:rsid w:val="008061EE"/>
    <w:rsid w:val="008063C3"/>
    <w:rsid w:val="008065FE"/>
    <w:rsid w:val="0080669B"/>
    <w:rsid w:val="008067C6"/>
    <w:rsid w:val="008068B7"/>
    <w:rsid w:val="00806938"/>
    <w:rsid w:val="00806C01"/>
    <w:rsid w:val="00806E93"/>
    <w:rsid w:val="0080736F"/>
    <w:rsid w:val="0080795A"/>
    <w:rsid w:val="00807B6B"/>
    <w:rsid w:val="00807C18"/>
    <w:rsid w:val="00807CCE"/>
    <w:rsid w:val="00807E2D"/>
    <w:rsid w:val="00807ECD"/>
    <w:rsid w:val="00810248"/>
    <w:rsid w:val="00810491"/>
    <w:rsid w:val="00810B3A"/>
    <w:rsid w:val="00810D02"/>
    <w:rsid w:val="00810D5C"/>
    <w:rsid w:val="00810E67"/>
    <w:rsid w:val="0081107F"/>
    <w:rsid w:val="008112C7"/>
    <w:rsid w:val="00811313"/>
    <w:rsid w:val="008114E6"/>
    <w:rsid w:val="00811978"/>
    <w:rsid w:val="00811B9C"/>
    <w:rsid w:val="00812019"/>
    <w:rsid w:val="008121E1"/>
    <w:rsid w:val="00812287"/>
    <w:rsid w:val="0081240F"/>
    <w:rsid w:val="008125A9"/>
    <w:rsid w:val="00812943"/>
    <w:rsid w:val="008129A9"/>
    <w:rsid w:val="00812ACC"/>
    <w:rsid w:val="00812CF6"/>
    <w:rsid w:val="00812D5A"/>
    <w:rsid w:val="0081329D"/>
    <w:rsid w:val="0081335F"/>
    <w:rsid w:val="00813401"/>
    <w:rsid w:val="00813430"/>
    <w:rsid w:val="0081400F"/>
    <w:rsid w:val="0081409C"/>
    <w:rsid w:val="00814403"/>
    <w:rsid w:val="008148CC"/>
    <w:rsid w:val="008148FE"/>
    <w:rsid w:val="00814B1A"/>
    <w:rsid w:val="00814B82"/>
    <w:rsid w:val="00814CAF"/>
    <w:rsid w:val="00814CC3"/>
    <w:rsid w:val="00814D00"/>
    <w:rsid w:val="00814E5A"/>
    <w:rsid w:val="00814F33"/>
    <w:rsid w:val="00814F48"/>
    <w:rsid w:val="00814F78"/>
    <w:rsid w:val="008154E9"/>
    <w:rsid w:val="00815620"/>
    <w:rsid w:val="00815E82"/>
    <w:rsid w:val="008160F1"/>
    <w:rsid w:val="00816215"/>
    <w:rsid w:val="00816344"/>
    <w:rsid w:val="008166F7"/>
    <w:rsid w:val="0081673A"/>
    <w:rsid w:val="0081673F"/>
    <w:rsid w:val="00816B0B"/>
    <w:rsid w:val="00816B9A"/>
    <w:rsid w:val="00816C55"/>
    <w:rsid w:val="00816D63"/>
    <w:rsid w:val="00816FC0"/>
    <w:rsid w:val="00817189"/>
    <w:rsid w:val="00817442"/>
    <w:rsid w:val="00817565"/>
    <w:rsid w:val="0081756E"/>
    <w:rsid w:val="00817773"/>
    <w:rsid w:val="00817996"/>
    <w:rsid w:val="00817C4A"/>
    <w:rsid w:val="00817D0B"/>
    <w:rsid w:val="0082001F"/>
    <w:rsid w:val="00820149"/>
    <w:rsid w:val="008201BE"/>
    <w:rsid w:val="008203C9"/>
    <w:rsid w:val="00820BE0"/>
    <w:rsid w:val="00820DAB"/>
    <w:rsid w:val="00820F9B"/>
    <w:rsid w:val="008211A4"/>
    <w:rsid w:val="008211FC"/>
    <w:rsid w:val="008213EB"/>
    <w:rsid w:val="008214C0"/>
    <w:rsid w:val="00821507"/>
    <w:rsid w:val="008221C7"/>
    <w:rsid w:val="0082240F"/>
    <w:rsid w:val="0082289B"/>
    <w:rsid w:val="00822B30"/>
    <w:rsid w:val="00822CED"/>
    <w:rsid w:val="00822DFD"/>
    <w:rsid w:val="00822E56"/>
    <w:rsid w:val="00823606"/>
    <w:rsid w:val="00823F0C"/>
    <w:rsid w:val="0082434F"/>
    <w:rsid w:val="008244CA"/>
    <w:rsid w:val="008249CE"/>
    <w:rsid w:val="00824A4C"/>
    <w:rsid w:val="00824D7A"/>
    <w:rsid w:val="00824F6F"/>
    <w:rsid w:val="0082521C"/>
    <w:rsid w:val="00825550"/>
    <w:rsid w:val="0082579D"/>
    <w:rsid w:val="0082595A"/>
    <w:rsid w:val="00825C1F"/>
    <w:rsid w:val="0082623B"/>
    <w:rsid w:val="008262D5"/>
    <w:rsid w:val="00826572"/>
    <w:rsid w:val="008266EB"/>
    <w:rsid w:val="00826724"/>
    <w:rsid w:val="008268A5"/>
    <w:rsid w:val="00826E4F"/>
    <w:rsid w:val="00827087"/>
    <w:rsid w:val="008272DD"/>
    <w:rsid w:val="008273F3"/>
    <w:rsid w:val="00827449"/>
    <w:rsid w:val="00827668"/>
    <w:rsid w:val="008276C3"/>
    <w:rsid w:val="00827950"/>
    <w:rsid w:val="008279B7"/>
    <w:rsid w:val="0083008B"/>
    <w:rsid w:val="00830265"/>
    <w:rsid w:val="008305CE"/>
    <w:rsid w:val="00830674"/>
    <w:rsid w:val="008307BC"/>
    <w:rsid w:val="008308C2"/>
    <w:rsid w:val="00830B0B"/>
    <w:rsid w:val="00830C08"/>
    <w:rsid w:val="00830CBA"/>
    <w:rsid w:val="00830E76"/>
    <w:rsid w:val="00831005"/>
    <w:rsid w:val="00831108"/>
    <w:rsid w:val="008312AC"/>
    <w:rsid w:val="00831460"/>
    <w:rsid w:val="008315CE"/>
    <w:rsid w:val="008316F2"/>
    <w:rsid w:val="00831930"/>
    <w:rsid w:val="00831AA4"/>
    <w:rsid w:val="00831DD2"/>
    <w:rsid w:val="00832089"/>
    <w:rsid w:val="0083218E"/>
    <w:rsid w:val="0083225E"/>
    <w:rsid w:val="00832370"/>
    <w:rsid w:val="00832981"/>
    <w:rsid w:val="00832C93"/>
    <w:rsid w:val="00832D8E"/>
    <w:rsid w:val="008333EC"/>
    <w:rsid w:val="00833487"/>
    <w:rsid w:val="0083398A"/>
    <w:rsid w:val="00833C0A"/>
    <w:rsid w:val="00833F56"/>
    <w:rsid w:val="0083407D"/>
    <w:rsid w:val="00834278"/>
    <w:rsid w:val="00834519"/>
    <w:rsid w:val="008346CD"/>
    <w:rsid w:val="008347D6"/>
    <w:rsid w:val="00834FD3"/>
    <w:rsid w:val="008350FC"/>
    <w:rsid w:val="00835977"/>
    <w:rsid w:val="008359E9"/>
    <w:rsid w:val="00835B25"/>
    <w:rsid w:val="00835B4E"/>
    <w:rsid w:val="00835BA9"/>
    <w:rsid w:val="00836258"/>
    <w:rsid w:val="0083631F"/>
    <w:rsid w:val="00836528"/>
    <w:rsid w:val="008365BD"/>
    <w:rsid w:val="008365C0"/>
    <w:rsid w:val="0083674A"/>
    <w:rsid w:val="0083675C"/>
    <w:rsid w:val="0083679F"/>
    <w:rsid w:val="00836AA1"/>
    <w:rsid w:val="00836D9C"/>
    <w:rsid w:val="00836F5C"/>
    <w:rsid w:val="008374E4"/>
    <w:rsid w:val="00837883"/>
    <w:rsid w:val="00837CB3"/>
    <w:rsid w:val="00837FD1"/>
    <w:rsid w:val="008400CA"/>
    <w:rsid w:val="00840B14"/>
    <w:rsid w:val="00840CB3"/>
    <w:rsid w:val="00840E2C"/>
    <w:rsid w:val="00840EAC"/>
    <w:rsid w:val="00840EE8"/>
    <w:rsid w:val="00841562"/>
    <w:rsid w:val="0084166E"/>
    <w:rsid w:val="008416BA"/>
    <w:rsid w:val="008419AA"/>
    <w:rsid w:val="00841A6A"/>
    <w:rsid w:val="00841AFB"/>
    <w:rsid w:val="00841D12"/>
    <w:rsid w:val="00841E7B"/>
    <w:rsid w:val="008421FF"/>
    <w:rsid w:val="0084240D"/>
    <w:rsid w:val="00842BF8"/>
    <w:rsid w:val="00842CB1"/>
    <w:rsid w:val="00842F6A"/>
    <w:rsid w:val="00843247"/>
    <w:rsid w:val="0084345B"/>
    <w:rsid w:val="00843882"/>
    <w:rsid w:val="008439F9"/>
    <w:rsid w:val="00843D19"/>
    <w:rsid w:val="00844617"/>
    <w:rsid w:val="0084469C"/>
    <w:rsid w:val="00844FD0"/>
    <w:rsid w:val="00845035"/>
    <w:rsid w:val="00845984"/>
    <w:rsid w:val="0084625C"/>
    <w:rsid w:val="0084632A"/>
    <w:rsid w:val="00846333"/>
    <w:rsid w:val="00846381"/>
    <w:rsid w:val="0084665F"/>
    <w:rsid w:val="008469FB"/>
    <w:rsid w:val="00846B38"/>
    <w:rsid w:val="00846BA0"/>
    <w:rsid w:val="00846C6C"/>
    <w:rsid w:val="00846F87"/>
    <w:rsid w:val="0084701F"/>
    <w:rsid w:val="008473B9"/>
    <w:rsid w:val="008473C7"/>
    <w:rsid w:val="008475AF"/>
    <w:rsid w:val="0084780F"/>
    <w:rsid w:val="00847B44"/>
    <w:rsid w:val="00847E4E"/>
    <w:rsid w:val="00847E96"/>
    <w:rsid w:val="00850017"/>
    <w:rsid w:val="008500AE"/>
    <w:rsid w:val="00850164"/>
    <w:rsid w:val="008503C0"/>
    <w:rsid w:val="008507E8"/>
    <w:rsid w:val="0085094C"/>
    <w:rsid w:val="00850E7C"/>
    <w:rsid w:val="0085109C"/>
    <w:rsid w:val="008511D1"/>
    <w:rsid w:val="008511D3"/>
    <w:rsid w:val="0085126A"/>
    <w:rsid w:val="008512DF"/>
    <w:rsid w:val="008515C8"/>
    <w:rsid w:val="00851F3C"/>
    <w:rsid w:val="008521A4"/>
    <w:rsid w:val="00852249"/>
    <w:rsid w:val="008522C3"/>
    <w:rsid w:val="00852372"/>
    <w:rsid w:val="008523DE"/>
    <w:rsid w:val="008523E1"/>
    <w:rsid w:val="00852650"/>
    <w:rsid w:val="00852651"/>
    <w:rsid w:val="0085274D"/>
    <w:rsid w:val="008528C2"/>
    <w:rsid w:val="00852BCB"/>
    <w:rsid w:val="00852D82"/>
    <w:rsid w:val="00852F54"/>
    <w:rsid w:val="00852FF3"/>
    <w:rsid w:val="00853064"/>
    <w:rsid w:val="00853152"/>
    <w:rsid w:val="0085322A"/>
    <w:rsid w:val="00853295"/>
    <w:rsid w:val="00853411"/>
    <w:rsid w:val="00853415"/>
    <w:rsid w:val="008537A0"/>
    <w:rsid w:val="00853A8C"/>
    <w:rsid w:val="00853C62"/>
    <w:rsid w:val="00853C93"/>
    <w:rsid w:val="00854031"/>
    <w:rsid w:val="00854051"/>
    <w:rsid w:val="0085444F"/>
    <w:rsid w:val="008548E4"/>
    <w:rsid w:val="008549F5"/>
    <w:rsid w:val="00854A73"/>
    <w:rsid w:val="00854A91"/>
    <w:rsid w:val="00854D36"/>
    <w:rsid w:val="00854E3E"/>
    <w:rsid w:val="00854EFA"/>
    <w:rsid w:val="00855038"/>
    <w:rsid w:val="00855323"/>
    <w:rsid w:val="00855A5A"/>
    <w:rsid w:val="00855F4E"/>
    <w:rsid w:val="00855FC3"/>
    <w:rsid w:val="00856044"/>
    <w:rsid w:val="00856661"/>
    <w:rsid w:val="00856669"/>
    <w:rsid w:val="0085667B"/>
    <w:rsid w:val="008566EC"/>
    <w:rsid w:val="00856C2E"/>
    <w:rsid w:val="00856DF7"/>
    <w:rsid w:val="00856E69"/>
    <w:rsid w:val="00856F0C"/>
    <w:rsid w:val="00857600"/>
    <w:rsid w:val="0085763F"/>
    <w:rsid w:val="00857787"/>
    <w:rsid w:val="008577CC"/>
    <w:rsid w:val="00857B2A"/>
    <w:rsid w:val="00857C26"/>
    <w:rsid w:val="00857FF0"/>
    <w:rsid w:val="00860065"/>
    <w:rsid w:val="00860123"/>
    <w:rsid w:val="00860223"/>
    <w:rsid w:val="00860224"/>
    <w:rsid w:val="008603B3"/>
    <w:rsid w:val="008603FA"/>
    <w:rsid w:val="00860A53"/>
    <w:rsid w:val="00860F2C"/>
    <w:rsid w:val="008613B0"/>
    <w:rsid w:val="00861524"/>
    <w:rsid w:val="00861665"/>
    <w:rsid w:val="00861703"/>
    <w:rsid w:val="00861B60"/>
    <w:rsid w:val="00861D9E"/>
    <w:rsid w:val="00861FE5"/>
    <w:rsid w:val="008620F1"/>
    <w:rsid w:val="008620F2"/>
    <w:rsid w:val="0086246C"/>
    <w:rsid w:val="00862552"/>
    <w:rsid w:val="008626C6"/>
    <w:rsid w:val="0086279B"/>
    <w:rsid w:val="0086286E"/>
    <w:rsid w:val="00862BA6"/>
    <w:rsid w:val="00862CCA"/>
    <w:rsid w:val="00862CE4"/>
    <w:rsid w:val="00862F78"/>
    <w:rsid w:val="008630EC"/>
    <w:rsid w:val="0086320A"/>
    <w:rsid w:val="008635FE"/>
    <w:rsid w:val="0086379E"/>
    <w:rsid w:val="00863911"/>
    <w:rsid w:val="0086396D"/>
    <w:rsid w:val="00863F5D"/>
    <w:rsid w:val="00863F8C"/>
    <w:rsid w:val="00863FC4"/>
    <w:rsid w:val="00864041"/>
    <w:rsid w:val="008640D6"/>
    <w:rsid w:val="0086422C"/>
    <w:rsid w:val="0086446D"/>
    <w:rsid w:val="0086450F"/>
    <w:rsid w:val="0086460C"/>
    <w:rsid w:val="008649B9"/>
    <w:rsid w:val="00864CFF"/>
    <w:rsid w:val="008650FA"/>
    <w:rsid w:val="008651BF"/>
    <w:rsid w:val="0086541B"/>
    <w:rsid w:val="0086568A"/>
    <w:rsid w:val="008657D6"/>
    <w:rsid w:val="00865859"/>
    <w:rsid w:val="0086586B"/>
    <w:rsid w:val="00865AB0"/>
    <w:rsid w:val="00865C9B"/>
    <w:rsid w:val="00865F90"/>
    <w:rsid w:val="00865FFE"/>
    <w:rsid w:val="00866058"/>
    <w:rsid w:val="00866214"/>
    <w:rsid w:val="008663CD"/>
    <w:rsid w:val="00866407"/>
    <w:rsid w:val="0086650B"/>
    <w:rsid w:val="0086677E"/>
    <w:rsid w:val="00866B76"/>
    <w:rsid w:val="00866C87"/>
    <w:rsid w:val="00866D4D"/>
    <w:rsid w:val="00866ED2"/>
    <w:rsid w:val="0086772E"/>
    <w:rsid w:val="008679D4"/>
    <w:rsid w:val="008679F8"/>
    <w:rsid w:val="00867ACB"/>
    <w:rsid w:val="00867ACC"/>
    <w:rsid w:val="00867C4E"/>
    <w:rsid w:val="00867E34"/>
    <w:rsid w:val="00867FA7"/>
    <w:rsid w:val="008701A2"/>
    <w:rsid w:val="0087038E"/>
    <w:rsid w:val="00870499"/>
    <w:rsid w:val="00870703"/>
    <w:rsid w:val="00870F89"/>
    <w:rsid w:val="00871250"/>
    <w:rsid w:val="00871380"/>
    <w:rsid w:val="008718B3"/>
    <w:rsid w:val="00871C32"/>
    <w:rsid w:val="00871D14"/>
    <w:rsid w:val="008720E6"/>
    <w:rsid w:val="00872768"/>
    <w:rsid w:val="00872B08"/>
    <w:rsid w:val="00872DD8"/>
    <w:rsid w:val="008730C9"/>
    <w:rsid w:val="00873150"/>
    <w:rsid w:val="008731B6"/>
    <w:rsid w:val="0087356B"/>
    <w:rsid w:val="008736A7"/>
    <w:rsid w:val="008736F6"/>
    <w:rsid w:val="0087388B"/>
    <w:rsid w:val="00873960"/>
    <w:rsid w:val="00873985"/>
    <w:rsid w:val="00873A2A"/>
    <w:rsid w:val="00873E19"/>
    <w:rsid w:val="00874050"/>
    <w:rsid w:val="008747D5"/>
    <w:rsid w:val="00874884"/>
    <w:rsid w:val="008749A3"/>
    <w:rsid w:val="00874D02"/>
    <w:rsid w:val="00874D10"/>
    <w:rsid w:val="008750D9"/>
    <w:rsid w:val="008756B0"/>
    <w:rsid w:val="008756B2"/>
    <w:rsid w:val="008756F3"/>
    <w:rsid w:val="0087574B"/>
    <w:rsid w:val="008760B6"/>
    <w:rsid w:val="00876465"/>
    <w:rsid w:val="0087657D"/>
    <w:rsid w:val="00876826"/>
    <w:rsid w:val="0087696D"/>
    <w:rsid w:val="00876A5D"/>
    <w:rsid w:val="00876B95"/>
    <w:rsid w:val="008770D0"/>
    <w:rsid w:val="008771CF"/>
    <w:rsid w:val="00877581"/>
    <w:rsid w:val="00877742"/>
    <w:rsid w:val="0087786A"/>
    <w:rsid w:val="008779E5"/>
    <w:rsid w:val="00877B66"/>
    <w:rsid w:val="00877C51"/>
    <w:rsid w:val="00877CD8"/>
    <w:rsid w:val="00877EB5"/>
    <w:rsid w:val="00877F01"/>
    <w:rsid w:val="00880095"/>
    <w:rsid w:val="008803D5"/>
    <w:rsid w:val="008803E4"/>
    <w:rsid w:val="008803EF"/>
    <w:rsid w:val="0088043A"/>
    <w:rsid w:val="008807D5"/>
    <w:rsid w:val="00880832"/>
    <w:rsid w:val="00880867"/>
    <w:rsid w:val="008808DC"/>
    <w:rsid w:val="00880C0F"/>
    <w:rsid w:val="00880FE0"/>
    <w:rsid w:val="008810BC"/>
    <w:rsid w:val="00881BDE"/>
    <w:rsid w:val="00881FC7"/>
    <w:rsid w:val="00882092"/>
    <w:rsid w:val="008821B1"/>
    <w:rsid w:val="00882236"/>
    <w:rsid w:val="00882380"/>
    <w:rsid w:val="0088242D"/>
    <w:rsid w:val="008825C8"/>
    <w:rsid w:val="008827E2"/>
    <w:rsid w:val="00882E6B"/>
    <w:rsid w:val="0088392A"/>
    <w:rsid w:val="00883B2D"/>
    <w:rsid w:val="00883CCB"/>
    <w:rsid w:val="008842C1"/>
    <w:rsid w:val="00884432"/>
    <w:rsid w:val="008844BF"/>
    <w:rsid w:val="00884950"/>
    <w:rsid w:val="00884994"/>
    <w:rsid w:val="00884BD8"/>
    <w:rsid w:val="00884DFD"/>
    <w:rsid w:val="00885757"/>
    <w:rsid w:val="00885AC7"/>
    <w:rsid w:val="00885B6D"/>
    <w:rsid w:val="00885DCC"/>
    <w:rsid w:val="00885FE2"/>
    <w:rsid w:val="00886000"/>
    <w:rsid w:val="00886317"/>
    <w:rsid w:val="00886886"/>
    <w:rsid w:val="0088692C"/>
    <w:rsid w:val="00886B25"/>
    <w:rsid w:val="00886DBD"/>
    <w:rsid w:val="00886EE1"/>
    <w:rsid w:val="00887012"/>
    <w:rsid w:val="0088727D"/>
    <w:rsid w:val="008873A9"/>
    <w:rsid w:val="00887700"/>
    <w:rsid w:val="00887A23"/>
    <w:rsid w:val="00887B5E"/>
    <w:rsid w:val="00887E07"/>
    <w:rsid w:val="00887FAB"/>
    <w:rsid w:val="008900CB"/>
    <w:rsid w:val="00890D0C"/>
    <w:rsid w:val="008911F7"/>
    <w:rsid w:val="0089137F"/>
    <w:rsid w:val="008913CA"/>
    <w:rsid w:val="0089163D"/>
    <w:rsid w:val="0089172B"/>
    <w:rsid w:val="00891772"/>
    <w:rsid w:val="00891A35"/>
    <w:rsid w:val="00891CC9"/>
    <w:rsid w:val="00891F6C"/>
    <w:rsid w:val="0089245A"/>
    <w:rsid w:val="00892640"/>
    <w:rsid w:val="00892679"/>
    <w:rsid w:val="00892A8E"/>
    <w:rsid w:val="00892CF7"/>
    <w:rsid w:val="00892EAE"/>
    <w:rsid w:val="00892EE6"/>
    <w:rsid w:val="00892EFB"/>
    <w:rsid w:val="008931D4"/>
    <w:rsid w:val="00893289"/>
    <w:rsid w:val="00893523"/>
    <w:rsid w:val="00893525"/>
    <w:rsid w:val="008937A3"/>
    <w:rsid w:val="00893FC4"/>
    <w:rsid w:val="00893FE4"/>
    <w:rsid w:val="00893FEF"/>
    <w:rsid w:val="008940EB"/>
    <w:rsid w:val="0089446F"/>
    <w:rsid w:val="00894520"/>
    <w:rsid w:val="0089452B"/>
    <w:rsid w:val="00894974"/>
    <w:rsid w:val="00894B0B"/>
    <w:rsid w:val="00894B64"/>
    <w:rsid w:val="00894F42"/>
    <w:rsid w:val="0089508C"/>
    <w:rsid w:val="00895303"/>
    <w:rsid w:val="0089531F"/>
    <w:rsid w:val="008953D9"/>
    <w:rsid w:val="00895426"/>
    <w:rsid w:val="00895430"/>
    <w:rsid w:val="008957E5"/>
    <w:rsid w:val="00895807"/>
    <w:rsid w:val="008959CD"/>
    <w:rsid w:val="00895C96"/>
    <w:rsid w:val="00896316"/>
    <w:rsid w:val="008963CE"/>
    <w:rsid w:val="0089666B"/>
    <w:rsid w:val="0089676F"/>
    <w:rsid w:val="008967F2"/>
    <w:rsid w:val="00896E8E"/>
    <w:rsid w:val="00897307"/>
    <w:rsid w:val="008973D0"/>
    <w:rsid w:val="00897B10"/>
    <w:rsid w:val="00897C75"/>
    <w:rsid w:val="00897E5E"/>
    <w:rsid w:val="00897F54"/>
    <w:rsid w:val="008A0010"/>
    <w:rsid w:val="008A0195"/>
    <w:rsid w:val="008A06C1"/>
    <w:rsid w:val="008A07DC"/>
    <w:rsid w:val="008A0C2F"/>
    <w:rsid w:val="008A0C6F"/>
    <w:rsid w:val="008A0F17"/>
    <w:rsid w:val="008A1235"/>
    <w:rsid w:val="008A15B6"/>
    <w:rsid w:val="008A1638"/>
    <w:rsid w:val="008A1661"/>
    <w:rsid w:val="008A179E"/>
    <w:rsid w:val="008A18CC"/>
    <w:rsid w:val="008A1C58"/>
    <w:rsid w:val="008A1DC1"/>
    <w:rsid w:val="008A1ED0"/>
    <w:rsid w:val="008A2108"/>
    <w:rsid w:val="008A2264"/>
    <w:rsid w:val="008A23F4"/>
    <w:rsid w:val="008A2849"/>
    <w:rsid w:val="008A29B2"/>
    <w:rsid w:val="008A2C30"/>
    <w:rsid w:val="008A2C49"/>
    <w:rsid w:val="008A2EEF"/>
    <w:rsid w:val="008A2F18"/>
    <w:rsid w:val="008A306E"/>
    <w:rsid w:val="008A30AD"/>
    <w:rsid w:val="008A3229"/>
    <w:rsid w:val="008A34FA"/>
    <w:rsid w:val="008A3691"/>
    <w:rsid w:val="008A36ED"/>
    <w:rsid w:val="008A3AC8"/>
    <w:rsid w:val="008A3CF8"/>
    <w:rsid w:val="008A3D74"/>
    <w:rsid w:val="008A3E1C"/>
    <w:rsid w:val="008A3FAC"/>
    <w:rsid w:val="008A43D2"/>
    <w:rsid w:val="008A4430"/>
    <w:rsid w:val="008A443E"/>
    <w:rsid w:val="008A45A1"/>
    <w:rsid w:val="008A465E"/>
    <w:rsid w:val="008A4925"/>
    <w:rsid w:val="008A4A87"/>
    <w:rsid w:val="008A4E84"/>
    <w:rsid w:val="008A4FBC"/>
    <w:rsid w:val="008A50BA"/>
    <w:rsid w:val="008A515F"/>
    <w:rsid w:val="008A516C"/>
    <w:rsid w:val="008A5175"/>
    <w:rsid w:val="008A539C"/>
    <w:rsid w:val="008A55DA"/>
    <w:rsid w:val="008A5674"/>
    <w:rsid w:val="008A56FD"/>
    <w:rsid w:val="008A5864"/>
    <w:rsid w:val="008A5B1A"/>
    <w:rsid w:val="008A5DE2"/>
    <w:rsid w:val="008A5F63"/>
    <w:rsid w:val="008A60C6"/>
    <w:rsid w:val="008A61A7"/>
    <w:rsid w:val="008A6542"/>
    <w:rsid w:val="008A67D5"/>
    <w:rsid w:val="008A68C7"/>
    <w:rsid w:val="008A6930"/>
    <w:rsid w:val="008A6EF9"/>
    <w:rsid w:val="008A71BF"/>
    <w:rsid w:val="008A7213"/>
    <w:rsid w:val="008B00E4"/>
    <w:rsid w:val="008B0170"/>
    <w:rsid w:val="008B0173"/>
    <w:rsid w:val="008B0D33"/>
    <w:rsid w:val="008B1228"/>
    <w:rsid w:val="008B122D"/>
    <w:rsid w:val="008B12F8"/>
    <w:rsid w:val="008B1630"/>
    <w:rsid w:val="008B19DE"/>
    <w:rsid w:val="008B1F40"/>
    <w:rsid w:val="008B1F49"/>
    <w:rsid w:val="008B239C"/>
    <w:rsid w:val="008B27B0"/>
    <w:rsid w:val="008B2C24"/>
    <w:rsid w:val="008B2C5C"/>
    <w:rsid w:val="008B2CF8"/>
    <w:rsid w:val="008B2D9A"/>
    <w:rsid w:val="008B2EB6"/>
    <w:rsid w:val="008B2F4B"/>
    <w:rsid w:val="008B2FBE"/>
    <w:rsid w:val="008B335B"/>
    <w:rsid w:val="008B368D"/>
    <w:rsid w:val="008B380F"/>
    <w:rsid w:val="008B3A25"/>
    <w:rsid w:val="008B3B45"/>
    <w:rsid w:val="008B3EAA"/>
    <w:rsid w:val="008B3EF5"/>
    <w:rsid w:val="008B42E7"/>
    <w:rsid w:val="008B46A1"/>
    <w:rsid w:val="008B4736"/>
    <w:rsid w:val="008B47B4"/>
    <w:rsid w:val="008B48AD"/>
    <w:rsid w:val="008B4C27"/>
    <w:rsid w:val="008B4C2B"/>
    <w:rsid w:val="008B4D73"/>
    <w:rsid w:val="008B4E26"/>
    <w:rsid w:val="008B50BC"/>
    <w:rsid w:val="008B51EF"/>
    <w:rsid w:val="008B5397"/>
    <w:rsid w:val="008B53CB"/>
    <w:rsid w:val="008B53EC"/>
    <w:rsid w:val="008B5488"/>
    <w:rsid w:val="008B57FF"/>
    <w:rsid w:val="008B595D"/>
    <w:rsid w:val="008B5B8F"/>
    <w:rsid w:val="008B5E3A"/>
    <w:rsid w:val="008B5FE8"/>
    <w:rsid w:val="008B60DE"/>
    <w:rsid w:val="008B646B"/>
    <w:rsid w:val="008B67CF"/>
    <w:rsid w:val="008B6868"/>
    <w:rsid w:val="008B6B28"/>
    <w:rsid w:val="008B6C0C"/>
    <w:rsid w:val="008B7337"/>
    <w:rsid w:val="008B74BC"/>
    <w:rsid w:val="008B76A4"/>
    <w:rsid w:val="008B77A1"/>
    <w:rsid w:val="008B77C9"/>
    <w:rsid w:val="008B79F3"/>
    <w:rsid w:val="008B7B82"/>
    <w:rsid w:val="008B7C1C"/>
    <w:rsid w:val="008B7D82"/>
    <w:rsid w:val="008B7DC5"/>
    <w:rsid w:val="008B7DF4"/>
    <w:rsid w:val="008C01B5"/>
    <w:rsid w:val="008C03AD"/>
    <w:rsid w:val="008C0897"/>
    <w:rsid w:val="008C0C02"/>
    <w:rsid w:val="008C0D13"/>
    <w:rsid w:val="008C0ED9"/>
    <w:rsid w:val="008C104F"/>
    <w:rsid w:val="008C1130"/>
    <w:rsid w:val="008C1187"/>
    <w:rsid w:val="008C1464"/>
    <w:rsid w:val="008C1684"/>
    <w:rsid w:val="008C1A58"/>
    <w:rsid w:val="008C1B83"/>
    <w:rsid w:val="008C1C4C"/>
    <w:rsid w:val="008C1F73"/>
    <w:rsid w:val="008C2529"/>
    <w:rsid w:val="008C258C"/>
    <w:rsid w:val="008C2612"/>
    <w:rsid w:val="008C266C"/>
    <w:rsid w:val="008C2749"/>
    <w:rsid w:val="008C2869"/>
    <w:rsid w:val="008C2926"/>
    <w:rsid w:val="008C2AD1"/>
    <w:rsid w:val="008C2D56"/>
    <w:rsid w:val="008C2DF0"/>
    <w:rsid w:val="008C2DFC"/>
    <w:rsid w:val="008C2F19"/>
    <w:rsid w:val="008C2F90"/>
    <w:rsid w:val="008C386A"/>
    <w:rsid w:val="008C3AC8"/>
    <w:rsid w:val="008C3AE7"/>
    <w:rsid w:val="008C3BCE"/>
    <w:rsid w:val="008C3BD8"/>
    <w:rsid w:val="008C3D88"/>
    <w:rsid w:val="008C3DCA"/>
    <w:rsid w:val="008C42CA"/>
    <w:rsid w:val="008C431C"/>
    <w:rsid w:val="008C4B31"/>
    <w:rsid w:val="008C4E37"/>
    <w:rsid w:val="008C5249"/>
    <w:rsid w:val="008C5290"/>
    <w:rsid w:val="008C5607"/>
    <w:rsid w:val="008C593C"/>
    <w:rsid w:val="008C5968"/>
    <w:rsid w:val="008C5DA4"/>
    <w:rsid w:val="008C6029"/>
    <w:rsid w:val="008C64D2"/>
    <w:rsid w:val="008C683F"/>
    <w:rsid w:val="008C6A19"/>
    <w:rsid w:val="008C6BCE"/>
    <w:rsid w:val="008C6CCD"/>
    <w:rsid w:val="008C701D"/>
    <w:rsid w:val="008C70E6"/>
    <w:rsid w:val="008C72EE"/>
    <w:rsid w:val="008C7361"/>
    <w:rsid w:val="008C73B5"/>
    <w:rsid w:val="008C74BD"/>
    <w:rsid w:val="008C75DF"/>
    <w:rsid w:val="008C7790"/>
    <w:rsid w:val="008C7BE3"/>
    <w:rsid w:val="008C7D68"/>
    <w:rsid w:val="008D019D"/>
    <w:rsid w:val="008D0307"/>
    <w:rsid w:val="008D0343"/>
    <w:rsid w:val="008D039E"/>
    <w:rsid w:val="008D0484"/>
    <w:rsid w:val="008D06E2"/>
    <w:rsid w:val="008D06F7"/>
    <w:rsid w:val="008D0818"/>
    <w:rsid w:val="008D087D"/>
    <w:rsid w:val="008D08D7"/>
    <w:rsid w:val="008D09E0"/>
    <w:rsid w:val="008D0E50"/>
    <w:rsid w:val="008D1014"/>
    <w:rsid w:val="008D14C3"/>
    <w:rsid w:val="008D17F6"/>
    <w:rsid w:val="008D18E6"/>
    <w:rsid w:val="008D1C58"/>
    <w:rsid w:val="008D1F89"/>
    <w:rsid w:val="008D2337"/>
    <w:rsid w:val="008D246C"/>
    <w:rsid w:val="008D268E"/>
    <w:rsid w:val="008D28A2"/>
    <w:rsid w:val="008D2BBA"/>
    <w:rsid w:val="008D2F9E"/>
    <w:rsid w:val="008D312F"/>
    <w:rsid w:val="008D31C2"/>
    <w:rsid w:val="008D3642"/>
    <w:rsid w:val="008D3785"/>
    <w:rsid w:val="008D3838"/>
    <w:rsid w:val="008D3875"/>
    <w:rsid w:val="008D3E77"/>
    <w:rsid w:val="008D3E7B"/>
    <w:rsid w:val="008D3EE0"/>
    <w:rsid w:val="008D3F4C"/>
    <w:rsid w:val="008D4131"/>
    <w:rsid w:val="008D426E"/>
    <w:rsid w:val="008D431A"/>
    <w:rsid w:val="008D43EC"/>
    <w:rsid w:val="008D4557"/>
    <w:rsid w:val="008D4814"/>
    <w:rsid w:val="008D488E"/>
    <w:rsid w:val="008D4C61"/>
    <w:rsid w:val="008D4D97"/>
    <w:rsid w:val="008D4E51"/>
    <w:rsid w:val="008D500F"/>
    <w:rsid w:val="008D5347"/>
    <w:rsid w:val="008D53D1"/>
    <w:rsid w:val="008D54EB"/>
    <w:rsid w:val="008D5537"/>
    <w:rsid w:val="008D57C6"/>
    <w:rsid w:val="008D5955"/>
    <w:rsid w:val="008D595C"/>
    <w:rsid w:val="008D5AAC"/>
    <w:rsid w:val="008D5DA3"/>
    <w:rsid w:val="008D5F23"/>
    <w:rsid w:val="008D600A"/>
    <w:rsid w:val="008D6015"/>
    <w:rsid w:val="008D62B7"/>
    <w:rsid w:val="008D63E9"/>
    <w:rsid w:val="008D6596"/>
    <w:rsid w:val="008D7267"/>
    <w:rsid w:val="008D7614"/>
    <w:rsid w:val="008D76A2"/>
    <w:rsid w:val="008D7A9B"/>
    <w:rsid w:val="008D7BF6"/>
    <w:rsid w:val="008D7C67"/>
    <w:rsid w:val="008D7D4E"/>
    <w:rsid w:val="008D7E10"/>
    <w:rsid w:val="008D7F49"/>
    <w:rsid w:val="008D7FCA"/>
    <w:rsid w:val="008E03FD"/>
    <w:rsid w:val="008E060A"/>
    <w:rsid w:val="008E06C8"/>
    <w:rsid w:val="008E0998"/>
    <w:rsid w:val="008E0B0E"/>
    <w:rsid w:val="008E0E0A"/>
    <w:rsid w:val="008E14FF"/>
    <w:rsid w:val="008E1729"/>
    <w:rsid w:val="008E1796"/>
    <w:rsid w:val="008E1A70"/>
    <w:rsid w:val="008E1C60"/>
    <w:rsid w:val="008E1D1E"/>
    <w:rsid w:val="008E1D3D"/>
    <w:rsid w:val="008E248A"/>
    <w:rsid w:val="008E24C0"/>
    <w:rsid w:val="008E24EE"/>
    <w:rsid w:val="008E25CC"/>
    <w:rsid w:val="008E2704"/>
    <w:rsid w:val="008E310D"/>
    <w:rsid w:val="008E38AF"/>
    <w:rsid w:val="008E3BFF"/>
    <w:rsid w:val="008E3C51"/>
    <w:rsid w:val="008E3C92"/>
    <w:rsid w:val="008E3E65"/>
    <w:rsid w:val="008E3F16"/>
    <w:rsid w:val="008E4037"/>
    <w:rsid w:val="008E40B1"/>
    <w:rsid w:val="008E4524"/>
    <w:rsid w:val="008E482A"/>
    <w:rsid w:val="008E4859"/>
    <w:rsid w:val="008E48D3"/>
    <w:rsid w:val="008E4B81"/>
    <w:rsid w:val="008E4C4D"/>
    <w:rsid w:val="008E4CEA"/>
    <w:rsid w:val="008E4E15"/>
    <w:rsid w:val="008E4F7B"/>
    <w:rsid w:val="008E556E"/>
    <w:rsid w:val="008E5812"/>
    <w:rsid w:val="008E5891"/>
    <w:rsid w:val="008E5B06"/>
    <w:rsid w:val="008E5B4D"/>
    <w:rsid w:val="008E5B50"/>
    <w:rsid w:val="008E5D98"/>
    <w:rsid w:val="008E5E03"/>
    <w:rsid w:val="008E5FDE"/>
    <w:rsid w:val="008E6151"/>
    <w:rsid w:val="008E6185"/>
    <w:rsid w:val="008E64B8"/>
    <w:rsid w:val="008E64DC"/>
    <w:rsid w:val="008E65FD"/>
    <w:rsid w:val="008E6A09"/>
    <w:rsid w:val="008E6BE9"/>
    <w:rsid w:val="008E6E61"/>
    <w:rsid w:val="008E6E73"/>
    <w:rsid w:val="008E72DF"/>
    <w:rsid w:val="008E73C3"/>
    <w:rsid w:val="008E75E9"/>
    <w:rsid w:val="008E760B"/>
    <w:rsid w:val="008E76AC"/>
    <w:rsid w:val="008E780D"/>
    <w:rsid w:val="008E7A4B"/>
    <w:rsid w:val="008E7AAD"/>
    <w:rsid w:val="008E7CD0"/>
    <w:rsid w:val="008E7DA8"/>
    <w:rsid w:val="008E7F7F"/>
    <w:rsid w:val="008F0017"/>
    <w:rsid w:val="008F0060"/>
    <w:rsid w:val="008F00A7"/>
    <w:rsid w:val="008F0520"/>
    <w:rsid w:val="008F075F"/>
    <w:rsid w:val="008F0AED"/>
    <w:rsid w:val="008F0B60"/>
    <w:rsid w:val="008F0E90"/>
    <w:rsid w:val="008F10FE"/>
    <w:rsid w:val="008F1495"/>
    <w:rsid w:val="008F15DB"/>
    <w:rsid w:val="008F175F"/>
    <w:rsid w:val="008F17F7"/>
    <w:rsid w:val="008F18B3"/>
    <w:rsid w:val="008F1A2A"/>
    <w:rsid w:val="008F1C01"/>
    <w:rsid w:val="008F1DC8"/>
    <w:rsid w:val="008F1E89"/>
    <w:rsid w:val="008F21F6"/>
    <w:rsid w:val="008F2745"/>
    <w:rsid w:val="008F2797"/>
    <w:rsid w:val="008F27E5"/>
    <w:rsid w:val="008F27E9"/>
    <w:rsid w:val="008F2921"/>
    <w:rsid w:val="008F2B1F"/>
    <w:rsid w:val="008F2B55"/>
    <w:rsid w:val="008F2C4C"/>
    <w:rsid w:val="008F3010"/>
    <w:rsid w:val="008F30EB"/>
    <w:rsid w:val="008F32AB"/>
    <w:rsid w:val="008F36FA"/>
    <w:rsid w:val="008F37C1"/>
    <w:rsid w:val="008F38CC"/>
    <w:rsid w:val="008F3C06"/>
    <w:rsid w:val="008F3DAD"/>
    <w:rsid w:val="008F3E09"/>
    <w:rsid w:val="008F3E5D"/>
    <w:rsid w:val="008F4326"/>
    <w:rsid w:val="008F4406"/>
    <w:rsid w:val="008F448F"/>
    <w:rsid w:val="008F4588"/>
    <w:rsid w:val="008F476E"/>
    <w:rsid w:val="008F47EC"/>
    <w:rsid w:val="008F49D8"/>
    <w:rsid w:val="008F4FC1"/>
    <w:rsid w:val="008F5055"/>
    <w:rsid w:val="008F5098"/>
    <w:rsid w:val="008F50D7"/>
    <w:rsid w:val="008F5118"/>
    <w:rsid w:val="008F511E"/>
    <w:rsid w:val="008F517A"/>
    <w:rsid w:val="008F5206"/>
    <w:rsid w:val="008F5362"/>
    <w:rsid w:val="008F5768"/>
    <w:rsid w:val="008F5D76"/>
    <w:rsid w:val="008F5E4B"/>
    <w:rsid w:val="008F5E58"/>
    <w:rsid w:val="008F5E6E"/>
    <w:rsid w:val="008F6252"/>
    <w:rsid w:val="008F63DE"/>
    <w:rsid w:val="008F6433"/>
    <w:rsid w:val="008F643B"/>
    <w:rsid w:val="008F64AE"/>
    <w:rsid w:val="008F67FF"/>
    <w:rsid w:val="008F6B8F"/>
    <w:rsid w:val="008F6C38"/>
    <w:rsid w:val="008F70E4"/>
    <w:rsid w:val="008F771E"/>
    <w:rsid w:val="008F7B03"/>
    <w:rsid w:val="008F7C41"/>
    <w:rsid w:val="008F7CD6"/>
    <w:rsid w:val="008F7D70"/>
    <w:rsid w:val="008F7D8E"/>
    <w:rsid w:val="008F7F08"/>
    <w:rsid w:val="0090006E"/>
    <w:rsid w:val="0090025B"/>
    <w:rsid w:val="00900707"/>
    <w:rsid w:val="0090090C"/>
    <w:rsid w:val="00900A04"/>
    <w:rsid w:val="00900B7B"/>
    <w:rsid w:val="00900C60"/>
    <w:rsid w:val="0090157D"/>
    <w:rsid w:val="00901990"/>
    <w:rsid w:val="00901C0D"/>
    <w:rsid w:val="00901D61"/>
    <w:rsid w:val="0090204D"/>
    <w:rsid w:val="009025D4"/>
    <w:rsid w:val="009026B6"/>
    <w:rsid w:val="0090295D"/>
    <w:rsid w:val="00902AFC"/>
    <w:rsid w:val="00902C18"/>
    <w:rsid w:val="0090352B"/>
    <w:rsid w:val="00903B37"/>
    <w:rsid w:val="00903CC3"/>
    <w:rsid w:val="00903CF3"/>
    <w:rsid w:val="00904038"/>
    <w:rsid w:val="00904195"/>
    <w:rsid w:val="00904371"/>
    <w:rsid w:val="00904826"/>
    <w:rsid w:val="00904953"/>
    <w:rsid w:val="00904977"/>
    <w:rsid w:val="00904EC3"/>
    <w:rsid w:val="009051A1"/>
    <w:rsid w:val="009052FD"/>
    <w:rsid w:val="00905C17"/>
    <w:rsid w:val="00905C92"/>
    <w:rsid w:val="00905EB9"/>
    <w:rsid w:val="0090600C"/>
    <w:rsid w:val="0090679D"/>
    <w:rsid w:val="009068EB"/>
    <w:rsid w:val="00906AA6"/>
    <w:rsid w:val="00906B59"/>
    <w:rsid w:val="00906BB4"/>
    <w:rsid w:val="0090708D"/>
    <w:rsid w:val="00907135"/>
    <w:rsid w:val="0090714A"/>
    <w:rsid w:val="009072EA"/>
    <w:rsid w:val="00907469"/>
    <w:rsid w:val="00907C39"/>
    <w:rsid w:val="00907C5C"/>
    <w:rsid w:val="00907C6A"/>
    <w:rsid w:val="0091032B"/>
    <w:rsid w:val="00910348"/>
    <w:rsid w:val="009105EB"/>
    <w:rsid w:val="00910639"/>
    <w:rsid w:val="00910684"/>
    <w:rsid w:val="009108D7"/>
    <w:rsid w:val="009109AD"/>
    <w:rsid w:val="00910D49"/>
    <w:rsid w:val="0091108C"/>
    <w:rsid w:val="0091111C"/>
    <w:rsid w:val="00911528"/>
    <w:rsid w:val="00911760"/>
    <w:rsid w:val="00911A52"/>
    <w:rsid w:val="00911DC2"/>
    <w:rsid w:val="00911F53"/>
    <w:rsid w:val="0091200B"/>
    <w:rsid w:val="009122DE"/>
    <w:rsid w:val="009123ED"/>
    <w:rsid w:val="00912566"/>
    <w:rsid w:val="009127F9"/>
    <w:rsid w:val="00912B9C"/>
    <w:rsid w:val="009134B5"/>
    <w:rsid w:val="0091363B"/>
    <w:rsid w:val="00913B4F"/>
    <w:rsid w:val="00913D27"/>
    <w:rsid w:val="00913FD6"/>
    <w:rsid w:val="00914048"/>
    <w:rsid w:val="0091450F"/>
    <w:rsid w:val="009147D9"/>
    <w:rsid w:val="00914880"/>
    <w:rsid w:val="00914C90"/>
    <w:rsid w:val="00914CCF"/>
    <w:rsid w:val="00914D70"/>
    <w:rsid w:val="00914DAD"/>
    <w:rsid w:val="00914FF6"/>
    <w:rsid w:val="009150AA"/>
    <w:rsid w:val="00915115"/>
    <w:rsid w:val="009152F2"/>
    <w:rsid w:val="0091531E"/>
    <w:rsid w:val="00915513"/>
    <w:rsid w:val="0091598A"/>
    <w:rsid w:val="00915CDD"/>
    <w:rsid w:val="00915DE2"/>
    <w:rsid w:val="00915EB9"/>
    <w:rsid w:val="00915F1E"/>
    <w:rsid w:val="00916099"/>
    <w:rsid w:val="009165B8"/>
    <w:rsid w:val="009167A3"/>
    <w:rsid w:val="00916A17"/>
    <w:rsid w:val="00916B00"/>
    <w:rsid w:val="00916B95"/>
    <w:rsid w:val="00916DD6"/>
    <w:rsid w:val="00916F7B"/>
    <w:rsid w:val="00916FB1"/>
    <w:rsid w:val="00917256"/>
    <w:rsid w:val="009174AD"/>
    <w:rsid w:val="00917AF5"/>
    <w:rsid w:val="00917BC2"/>
    <w:rsid w:val="00917BE3"/>
    <w:rsid w:val="00917EB7"/>
    <w:rsid w:val="00917F05"/>
    <w:rsid w:val="00917F30"/>
    <w:rsid w:val="00917F76"/>
    <w:rsid w:val="009200FD"/>
    <w:rsid w:val="00920929"/>
    <w:rsid w:val="00920948"/>
    <w:rsid w:val="00920AF4"/>
    <w:rsid w:val="00920B66"/>
    <w:rsid w:val="0092104E"/>
    <w:rsid w:val="009211E1"/>
    <w:rsid w:val="0092128E"/>
    <w:rsid w:val="009213B6"/>
    <w:rsid w:val="009217A9"/>
    <w:rsid w:val="00921829"/>
    <w:rsid w:val="00921A00"/>
    <w:rsid w:val="00921CE9"/>
    <w:rsid w:val="00921DA2"/>
    <w:rsid w:val="00921EB0"/>
    <w:rsid w:val="00922208"/>
    <w:rsid w:val="0092257C"/>
    <w:rsid w:val="009228A4"/>
    <w:rsid w:val="00922BD6"/>
    <w:rsid w:val="00923141"/>
    <w:rsid w:val="009232AA"/>
    <w:rsid w:val="00923403"/>
    <w:rsid w:val="009235F1"/>
    <w:rsid w:val="00923651"/>
    <w:rsid w:val="009239E8"/>
    <w:rsid w:val="00923A74"/>
    <w:rsid w:val="00923B60"/>
    <w:rsid w:val="009240A5"/>
    <w:rsid w:val="009240AB"/>
    <w:rsid w:val="00924246"/>
    <w:rsid w:val="00924327"/>
    <w:rsid w:val="00924414"/>
    <w:rsid w:val="009247E1"/>
    <w:rsid w:val="00924BA2"/>
    <w:rsid w:val="00924D28"/>
    <w:rsid w:val="00924F78"/>
    <w:rsid w:val="0092511D"/>
    <w:rsid w:val="009251E7"/>
    <w:rsid w:val="0092521E"/>
    <w:rsid w:val="009255B3"/>
    <w:rsid w:val="00925654"/>
    <w:rsid w:val="009258FD"/>
    <w:rsid w:val="0092591B"/>
    <w:rsid w:val="00925A24"/>
    <w:rsid w:val="00925AEA"/>
    <w:rsid w:val="00925C2D"/>
    <w:rsid w:val="00925D63"/>
    <w:rsid w:val="00925D98"/>
    <w:rsid w:val="00925D99"/>
    <w:rsid w:val="00925DD2"/>
    <w:rsid w:val="009266AC"/>
    <w:rsid w:val="00926897"/>
    <w:rsid w:val="00926C6F"/>
    <w:rsid w:val="00927345"/>
    <w:rsid w:val="00927507"/>
    <w:rsid w:val="009275E7"/>
    <w:rsid w:val="00927888"/>
    <w:rsid w:val="009279DB"/>
    <w:rsid w:val="00927D20"/>
    <w:rsid w:val="00927F3E"/>
    <w:rsid w:val="009300AE"/>
    <w:rsid w:val="009309A8"/>
    <w:rsid w:val="00930B70"/>
    <w:rsid w:val="00930BA4"/>
    <w:rsid w:val="00930F98"/>
    <w:rsid w:val="00931055"/>
    <w:rsid w:val="00931198"/>
    <w:rsid w:val="0093167A"/>
    <w:rsid w:val="009318BD"/>
    <w:rsid w:val="00931CF6"/>
    <w:rsid w:val="00931EA6"/>
    <w:rsid w:val="00931F1E"/>
    <w:rsid w:val="0093212A"/>
    <w:rsid w:val="009323FB"/>
    <w:rsid w:val="00932490"/>
    <w:rsid w:val="009324CD"/>
    <w:rsid w:val="00932952"/>
    <w:rsid w:val="00932A3B"/>
    <w:rsid w:val="00932A9E"/>
    <w:rsid w:val="00932E98"/>
    <w:rsid w:val="009331B2"/>
    <w:rsid w:val="009334DC"/>
    <w:rsid w:val="00933609"/>
    <w:rsid w:val="00933A5C"/>
    <w:rsid w:val="00933B1D"/>
    <w:rsid w:val="00933EF3"/>
    <w:rsid w:val="00934077"/>
    <w:rsid w:val="00934155"/>
    <w:rsid w:val="00934210"/>
    <w:rsid w:val="0093428C"/>
    <w:rsid w:val="0093436D"/>
    <w:rsid w:val="009343EC"/>
    <w:rsid w:val="00934725"/>
    <w:rsid w:val="00934889"/>
    <w:rsid w:val="00934891"/>
    <w:rsid w:val="00934912"/>
    <w:rsid w:val="00934925"/>
    <w:rsid w:val="00934C71"/>
    <w:rsid w:val="00934D10"/>
    <w:rsid w:val="0093503D"/>
    <w:rsid w:val="0093514D"/>
    <w:rsid w:val="00935386"/>
    <w:rsid w:val="00935420"/>
    <w:rsid w:val="009354CD"/>
    <w:rsid w:val="00935899"/>
    <w:rsid w:val="00935B81"/>
    <w:rsid w:val="00935D23"/>
    <w:rsid w:val="00935F53"/>
    <w:rsid w:val="00936040"/>
    <w:rsid w:val="00936306"/>
    <w:rsid w:val="0093680B"/>
    <w:rsid w:val="00936ADD"/>
    <w:rsid w:val="00936BC6"/>
    <w:rsid w:val="00936C3C"/>
    <w:rsid w:val="00936EC1"/>
    <w:rsid w:val="00937411"/>
    <w:rsid w:val="009376D8"/>
    <w:rsid w:val="00937A1F"/>
    <w:rsid w:val="00937AB8"/>
    <w:rsid w:val="00937D46"/>
    <w:rsid w:val="00940027"/>
    <w:rsid w:val="0094004C"/>
    <w:rsid w:val="009400A7"/>
    <w:rsid w:val="00940226"/>
    <w:rsid w:val="009405F4"/>
    <w:rsid w:val="00940699"/>
    <w:rsid w:val="00940872"/>
    <w:rsid w:val="009409DB"/>
    <w:rsid w:val="00940BF4"/>
    <w:rsid w:val="009411B8"/>
    <w:rsid w:val="009415F8"/>
    <w:rsid w:val="0094161B"/>
    <w:rsid w:val="00941A07"/>
    <w:rsid w:val="009420BE"/>
    <w:rsid w:val="0094222E"/>
    <w:rsid w:val="0094231E"/>
    <w:rsid w:val="009427DD"/>
    <w:rsid w:val="00942849"/>
    <w:rsid w:val="009428D8"/>
    <w:rsid w:val="00942DAA"/>
    <w:rsid w:val="00943185"/>
    <w:rsid w:val="009432EB"/>
    <w:rsid w:val="009434BB"/>
    <w:rsid w:val="00943571"/>
    <w:rsid w:val="00943633"/>
    <w:rsid w:val="00943721"/>
    <w:rsid w:val="00943C63"/>
    <w:rsid w:val="00943FFB"/>
    <w:rsid w:val="0094406B"/>
    <w:rsid w:val="00944410"/>
    <w:rsid w:val="00944441"/>
    <w:rsid w:val="009444B5"/>
    <w:rsid w:val="0094456E"/>
    <w:rsid w:val="0094468D"/>
    <w:rsid w:val="00944841"/>
    <w:rsid w:val="00944903"/>
    <w:rsid w:val="0094495D"/>
    <w:rsid w:val="00944A62"/>
    <w:rsid w:val="00944CDB"/>
    <w:rsid w:val="00945336"/>
    <w:rsid w:val="009455C4"/>
    <w:rsid w:val="0094562B"/>
    <w:rsid w:val="0094599A"/>
    <w:rsid w:val="00945A81"/>
    <w:rsid w:val="00945C5D"/>
    <w:rsid w:val="00945C6B"/>
    <w:rsid w:val="00945CCF"/>
    <w:rsid w:val="009464FC"/>
    <w:rsid w:val="00946524"/>
    <w:rsid w:val="009466A5"/>
    <w:rsid w:val="00946816"/>
    <w:rsid w:val="009468ED"/>
    <w:rsid w:val="00946AB7"/>
    <w:rsid w:val="0094705A"/>
    <w:rsid w:val="00947085"/>
    <w:rsid w:val="009471A6"/>
    <w:rsid w:val="00947283"/>
    <w:rsid w:val="00947517"/>
    <w:rsid w:val="00947662"/>
    <w:rsid w:val="00947778"/>
    <w:rsid w:val="00947779"/>
    <w:rsid w:val="00947991"/>
    <w:rsid w:val="00947B7D"/>
    <w:rsid w:val="00947BE8"/>
    <w:rsid w:val="00947F15"/>
    <w:rsid w:val="00947FD5"/>
    <w:rsid w:val="00950292"/>
    <w:rsid w:val="009502F4"/>
    <w:rsid w:val="009503A8"/>
    <w:rsid w:val="0095056A"/>
    <w:rsid w:val="00950CA3"/>
    <w:rsid w:val="00950D12"/>
    <w:rsid w:val="00950D74"/>
    <w:rsid w:val="00950F29"/>
    <w:rsid w:val="009510CC"/>
    <w:rsid w:val="00951541"/>
    <w:rsid w:val="009515CC"/>
    <w:rsid w:val="0095174B"/>
    <w:rsid w:val="00951914"/>
    <w:rsid w:val="009519A5"/>
    <w:rsid w:val="00951BF2"/>
    <w:rsid w:val="00951F79"/>
    <w:rsid w:val="00952151"/>
    <w:rsid w:val="00952256"/>
    <w:rsid w:val="009522CB"/>
    <w:rsid w:val="009525AB"/>
    <w:rsid w:val="009527E7"/>
    <w:rsid w:val="009528AB"/>
    <w:rsid w:val="00952992"/>
    <w:rsid w:val="009529F9"/>
    <w:rsid w:val="00952C57"/>
    <w:rsid w:val="00952DF7"/>
    <w:rsid w:val="00953035"/>
    <w:rsid w:val="00953045"/>
    <w:rsid w:val="009531E6"/>
    <w:rsid w:val="00953462"/>
    <w:rsid w:val="00953515"/>
    <w:rsid w:val="00953560"/>
    <w:rsid w:val="00953654"/>
    <w:rsid w:val="0095369E"/>
    <w:rsid w:val="00953708"/>
    <w:rsid w:val="009537D3"/>
    <w:rsid w:val="00953A68"/>
    <w:rsid w:val="00953BFD"/>
    <w:rsid w:val="00953C78"/>
    <w:rsid w:val="00953D39"/>
    <w:rsid w:val="00953F01"/>
    <w:rsid w:val="00954314"/>
    <w:rsid w:val="0095443D"/>
    <w:rsid w:val="00954675"/>
    <w:rsid w:val="0095492C"/>
    <w:rsid w:val="00954AFF"/>
    <w:rsid w:val="00954C1D"/>
    <w:rsid w:val="00954DD2"/>
    <w:rsid w:val="00954FCB"/>
    <w:rsid w:val="009551E3"/>
    <w:rsid w:val="00955544"/>
    <w:rsid w:val="00955A78"/>
    <w:rsid w:val="00955B9E"/>
    <w:rsid w:val="00955BEA"/>
    <w:rsid w:val="00955C87"/>
    <w:rsid w:val="00955D86"/>
    <w:rsid w:val="00955E29"/>
    <w:rsid w:val="009560F9"/>
    <w:rsid w:val="0095610B"/>
    <w:rsid w:val="0095625A"/>
    <w:rsid w:val="009565AF"/>
    <w:rsid w:val="009565DA"/>
    <w:rsid w:val="00956651"/>
    <w:rsid w:val="00956832"/>
    <w:rsid w:val="00956A64"/>
    <w:rsid w:val="00956AA4"/>
    <w:rsid w:val="00956B26"/>
    <w:rsid w:val="00956E33"/>
    <w:rsid w:val="00956F98"/>
    <w:rsid w:val="00957036"/>
    <w:rsid w:val="009576DA"/>
    <w:rsid w:val="009578B7"/>
    <w:rsid w:val="00957C17"/>
    <w:rsid w:val="00957C61"/>
    <w:rsid w:val="00957C66"/>
    <w:rsid w:val="0096015E"/>
    <w:rsid w:val="00960505"/>
    <w:rsid w:val="009605E8"/>
    <w:rsid w:val="0096086A"/>
    <w:rsid w:val="00960AEF"/>
    <w:rsid w:val="00960BC2"/>
    <w:rsid w:val="00960BED"/>
    <w:rsid w:val="00960D3B"/>
    <w:rsid w:val="00960F5E"/>
    <w:rsid w:val="00961586"/>
    <w:rsid w:val="00961740"/>
    <w:rsid w:val="00961A37"/>
    <w:rsid w:val="00961B3E"/>
    <w:rsid w:val="00961EAA"/>
    <w:rsid w:val="00962459"/>
    <w:rsid w:val="00962604"/>
    <w:rsid w:val="0096265E"/>
    <w:rsid w:val="009627A7"/>
    <w:rsid w:val="00962C49"/>
    <w:rsid w:val="00962DF4"/>
    <w:rsid w:val="0096319D"/>
    <w:rsid w:val="00963207"/>
    <w:rsid w:val="009632F0"/>
    <w:rsid w:val="0096345F"/>
    <w:rsid w:val="0096398B"/>
    <w:rsid w:val="00963A69"/>
    <w:rsid w:val="00963D1C"/>
    <w:rsid w:val="00963DFB"/>
    <w:rsid w:val="00964915"/>
    <w:rsid w:val="009649D6"/>
    <w:rsid w:val="00964C56"/>
    <w:rsid w:val="00964E6C"/>
    <w:rsid w:val="00964F3C"/>
    <w:rsid w:val="00964FAF"/>
    <w:rsid w:val="009656EA"/>
    <w:rsid w:val="00965E35"/>
    <w:rsid w:val="00966591"/>
    <w:rsid w:val="0096688E"/>
    <w:rsid w:val="00966A12"/>
    <w:rsid w:val="00966D05"/>
    <w:rsid w:val="0096740C"/>
    <w:rsid w:val="0096756F"/>
    <w:rsid w:val="009675EE"/>
    <w:rsid w:val="00967714"/>
    <w:rsid w:val="009677BE"/>
    <w:rsid w:val="009679BB"/>
    <w:rsid w:val="00967B82"/>
    <w:rsid w:val="00967CD3"/>
    <w:rsid w:val="00967D4C"/>
    <w:rsid w:val="00967D8E"/>
    <w:rsid w:val="00967F32"/>
    <w:rsid w:val="00970216"/>
    <w:rsid w:val="00970233"/>
    <w:rsid w:val="00970411"/>
    <w:rsid w:val="009704FC"/>
    <w:rsid w:val="009707E4"/>
    <w:rsid w:val="0097092D"/>
    <w:rsid w:val="00970934"/>
    <w:rsid w:val="00970B17"/>
    <w:rsid w:val="00970CDB"/>
    <w:rsid w:val="0097132B"/>
    <w:rsid w:val="0097134A"/>
    <w:rsid w:val="009716D7"/>
    <w:rsid w:val="0097175C"/>
    <w:rsid w:val="00971970"/>
    <w:rsid w:val="00971B8C"/>
    <w:rsid w:val="00971C79"/>
    <w:rsid w:val="00971DE2"/>
    <w:rsid w:val="00971F03"/>
    <w:rsid w:val="00971F56"/>
    <w:rsid w:val="00972531"/>
    <w:rsid w:val="00972811"/>
    <w:rsid w:val="009728B5"/>
    <w:rsid w:val="00972A4D"/>
    <w:rsid w:val="00972EDB"/>
    <w:rsid w:val="00973015"/>
    <w:rsid w:val="00973654"/>
    <w:rsid w:val="009736AA"/>
    <w:rsid w:val="00973819"/>
    <w:rsid w:val="00973A05"/>
    <w:rsid w:val="00973BE2"/>
    <w:rsid w:val="00973CF9"/>
    <w:rsid w:val="00973D54"/>
    <w:rsid w:val="00974047"/>
    <w:rsid w:val="00974272"/>
    <w:rsid w:val="009744F7"/>
    <w:rsid w:val="0097450D"/>
    <w:rsid w:val="0097461F"/>
    <w:rsid w:val="00974809"/>
    <w:rsid w:val="009748EF"/>
    <w:rsid w:val="00974AB5"/>
    <w:rsid w:val="00974D53"/>
    <w:rsid w:val="00974EC6"/>
    <w:rsid w:val="00975504"/>
    <w:rsid w:val="00975A24"/>
    <w:rsid w:val="00975A8D"/>
    <w:rsid w:val="00975CB8"/>
    <w:rsid w:val="00975D69"/>
    <w:rsid w:val="00975F12"/>
    <w:rsid w:val="0097684D"/>
    <w:rsid w:val="009769B4"/>
    <w:rsid w:val="009769C6"/>
    <w:rsid w:val="00976CE4"/>
    <w:rsid w:val="00976D88"/>
    <w:rsid w:val="00976E7E"/>
    <w:rsid w:val="00977318"/>
    <w:rsid w:val="00977322"/>
    <w:rsid w:val="009774C5"/>
    <w:rsid w:val="00977534"/>
    <w:rsid w:val="0097760A"/>
    <w:rsid w:val="0097774D"/>
    <w:rsid w:val="00977C55"/>
    <w:rsid w:val="00977E19"/>
    <w:rsid w:val="0098008B"/>
    <w:rsid w:val="00980153"/>
    <w:rsid w:val="0098020C"/>
    <w:rsid w:val="009802C1"/>
    <w:rsid w:val="0098052E"/>
    <w:rsid w:val="009805B7"/>
    <w:rsid w:val="009807E6"/>
    <w:rsid w:val="0098089A"/>
    <w:rsid w:val="00980E47"/>
    <w:rsid w:val="00981033"/>
    <w:rsid w:val="00981122"/>
    <w:rsid w:val="009813C4"/>
    <w:rsid w:val="009813D9"/>
    <w:rsid w:val="009816DF"/>
    <w:rsid w:val="0098192C"/>
    <w:rsid w:val="00981941"/>
    <w:rsid w:val="00981A25"/>
    <w:rsid w:val="00981AC8"/>
    <w:rsid w:val="00981E55"/>
    <w:rsid w:val="00981EB3"/>
    <w:rsid w:val="0098208E"/>
    <w:rsid w:val="0098221C"/>
    <w:rsid w:val="009827E3"/>
    <w:rsid w:val="00983027"/>
    <w:rsid w:val="0098389B"/>
    <w:rsid w:val="00983CA5"/>
    <w:rsid w:val="00983CCF"/>
    <w:rsid w:val="00983E29"/>
    <w:rsid w:val="00983F4A"/>
    <w:rsid w:val="00984621"/>
    <w:rsid w:val="00984DAE"/>
    <w:rsid w:val="0098512B"/>
    <w:rsid w:val="0098516B"/>
    <w:rsid w:val="00985290"/>
    <w:rsid w:val="00985771"/>
    <w:rsid w:val="00985824"/>
    <w:rsid w:val="009858D6"/>
    <w:rsid w:val="0098598E"/>
    <w:rsid w:val="00985EF3"/>
    <w:rsid w:val="0098619D"/>
    <w:rsid w:val="0098620E"/>
    <w:rsid w:val="0098643E"/>
    <w:rsid w:val="00986A01"/>
    <w:rsid w:val="00986F8A"/>
    <w:rsid w:val="0098706D"/>
    <w:rsid w:val="00987485"/>
    <w:rsid w:val="009874B8"/>
    <w:rsid w:val="00987510"/>
    <w:rsid w:val="009877B2"/>
    <w:rsid w:val="0098792D"/>
    <w:rsid w:val="00987A78"/>
    <w:rsid w:val="009900EC"/>
    <w:rsid w:val="00990424"/>
    <w:rsid w:val="0099050A"/>
    <w:rsid w:val="00990A36"/>
    <w:rsid w:val="00990B31"/>
    <w:rsid w:val="0099119C"/>
    <w:rsid w:val="00991334"/>
    <w:rsid w:val="0099137D"/>
    <w:rsid w:val="00991495"/>
    <w:rsid w:val="00991DE8"/>
    <w:rsid w:val="009921BE"/>
    <w:rsid w:val="00992257"/>
    <w:rsid w:val="00992893"/>
    <w:rsid w:val="009929C9"/>
    <w:rsid w:val="00992AC6"/>
    <w:rsid w:val="00992D4E"/>
    <w:rsid w:val="00993005"/>
    <w:rsid w:val="00993176"/>
    <w:rsid w:val="00993351"/>
    <w:rsid w:val="00993394"/>
    <w:rsid w:val="0099357D"/>
    <w:rsid w:val="009935E4"/>
    <w:rsid w:val="009935FB"/>
    <w:rsid w:val="0099363D"/>
    <w:rsid w:val="00993686"/>
    <w:rsid w:val="009937E5"/>
    <w:rsid w:val="009939B2"/>
    <w:rsid w:val="00993A96"/>
    <w:rsid w:val="00993E09"/>
    <w:rsid w:val="00993F22"/>
    <w:rsid w:val="00993F6B"/>
    <w:rsid w:val="00994178"/>
    <w:rsid w:val="009941DC"/>
    <w:rsid w:val="00994591"/>
    <w:rsid w:val="0099479B"/>
    <w:rsid w:val="009947EE"/>
    <w:rsid w:val="00994A68"/>
    <w:rsid w:val="00994E94"/>
    <w:rsid w:val="00995248"/>
    <w:rsid w:val="00995328"/>
    <w:rsid w:val="00995553"/>
    <w:rsid w:val="0099577E"/>
    <w:rsid w:val="0099585D"/>
    <w:rsid w:val="00995898"/>
    <w:rsid w:val="0099590E"/>
    <w:rsid w:val="00995B41"/>
    <w:rsid w:val="00995C57"/>
    <w:rsid w:val="00995E3C"/>
    <w:rsid w:val="00995F6E"/>
    <w:rsid w:val="00995FD8"/>
    <w:rsid w:val="00996122"/>
    <w:rsid w:val="009961CE"/>
    <w:rsid w:val="0099632F"/>
    <w:rsid w:val="00996482"/>
    <w:rsid w:val="00996648"/>
    <w:rsid w:val="00996651"/>
    <w:rsid w:val="009966D1"/>
    <w:rsid w:val="00996865"/>
    <w:rsid w:val="009968DC"/>
    <w:rsid w:val="00996929"/>
    <w:rsid w:val="00996A12"/>
    <w:rsid w:val="00996D53"/>
    <w:rsid w:val="00996DFD"/>
    <w:rsid w:val="00996E46"/>
    <w:rsid w:val="00996F92"/>
    <w:rsid w:val="0099718F"/>
    <w:rsid w:val="00997427"/>
    <w:rsid w:val="009974DA"/>
    <w:rsid w:val="0099774D"/>
    <w:rsid w:val="00997A12"/>
    <w:rsid w:val="00997B36"/>
    <w:rsid w:val="009A02E9"/>
    <w:rsid w:val="009A0308"/>
    <w:rsid w:val="009A0434"/>
    <w:rsid w:val="009A0694"/>
    <w:rsid w:val="009A06E8"/>
    <w:rsid w:val="009A08C3"/>
    <w:rsid w:val="009A0977"/>
    <w:rsid w:val="009A0CD7"/>
    <w:rsid w:val="009A0E83"/>
    <w:rsid w:val="009A0EFD"/>
    <w:rsid w:val="009A1285"/>
    <w:rsid w:val="009A1334"/>
    <w:rsid w:val="009A15E6"/>
    <w:rsid w:val="009A17EA"/>
    <w:rsid w:val="009A1C42"/>
    <w:rsid w:val="009A1D91"/>
    <w:rsid w:val="009A20BD"/>
    <w:rsid w:val="009A213B"/>
    <w:rsid w:val="009A232A"/>
    <w:rsid w:val="009A24B5"/>
    <w:rsid w:val="009A269F"/>
    <w:rsid w:val="009A274A"/>
    <w:rsid w:val="009A27D2"/>
    <w:rsid w:val="009A2CAD"/>
    <w:rsid w:val="009A322B"/>
    <w:rsid w:val="009A32CA"/>
    <w:rsid w:val="009A33D4"/>
    <w:rsid w:val="009A3A24"/>
    <w:rsid w:val="009A3D4F"/>
    <w:rsid w:val="009A447B"/>
    <w:rsid w:val="009A47B1"/>
    <w:rsid w:val="009A4A0A"/>
    <w:rsid w:val="009A4ACA"/>
    <w:rsid w:val="009A4C14"/>
    <w:rsid w:val="009A504A"/>
    <w:rsid w:val="009A51CA"/>
    <w:rsid w:val="009A549A"/>
    <w:rsid w:val="009A59C5"/>
    <w:rsid w:val="009A5B28"/>
    <w:rsid w:val="009A5D0B"/>
    <w:rsid w:val="009A62AF"/>
    <w:rsid w:val="009A632E"/>
    <w:rsid w:val="009A6484"/>
    <w:rsid w:val="009A6963"/>
    <w:rsid w:val="009A6F62"/>
    <w:rsid w:val="009A708C"/>
    <w:rsid w:val="009A70D7"/>
    <w:rsid w:val="009A73E9"/>
    <w:rsid w:val="009A74B3"/>
    <w:rsid w:val="009A770B"/>
    <w:rsid w:val="009A7C3C"/>
    <w:rsid w:val="009A7CB9"/>
    <w:rsid w:val="009A7ED1"/>
    <w:rsid w:val="009A7F11"/>
    <w:rsid w:val="009B00C8"/>
    <w:rsid w:val="009B04DD"/>
    <w:rsid w:val="009B051A"/>
    <w:rsid w:val="009B0ACE"/>
    <w:rsid w:val="009B0DAB"/>
    <w:rsid w:val="009B1280"/>
    <w:rsid w:val="009B136B"/>
    <w:rsid w:val="009B1422"/>
    <w:rsid w:val="009B1459"/>
    <w:rsid w:val="009B15A1"/>
    <w:rsid w:val="009B1887"/>
    <w:rsid w:val="009B1CD7"/>
    <w:rsid w:val="009B1D4D"/>
    <w:rsid w:val="009B2537"/>
    <w:rsid w:val="009B25B2"/>
    <w:rsid w:val="009B25B5"/>
    <w:rsid w:val="009B27B9"/>
    <w:rsid w:val="009B2D7D"/>
    <w:rsid w:val="009B30ED"/>
    <w:rsid w:val="009B3192"/>
    <w:rsid w:val="009B38BC"/>
    <w:rsid w:val="009B395A"/>
    <w:rsid w:val="009B3967"/>
    <w:rsid w:val="009B3A0D"/>
    <w:rsid w:val="009B3A9A"/>
    <w:rsid w:val="009B3E8C"/>
    <w:rsid w:val="009B3FCC"/>
    <w:rsid w:val="009B4114"/>
    <w:rsid w:val="009B41AC"/>
    <w:rsid w:val="009B4829"/>
    <w:rsid w:val="009B48CD"/>
    <w:rsid w:val="009B4CC1"/>
    <w:rsid w:val="009B4E0A"/>
    <w:rsid w:val="009B51D2"/>
    <w:rsid w:val="009B557E"/>
    <w:rsid w:val="009B557F"/>
    <w:rsid w:val="009B55E0"/>
    <w:rsid w:val="009B5602"/>
    <w:rsid w:val="009B5DF1"/>
    <w:rsid w:val="009B5E9D"/>
    <w:rsid w:val="009B5F3E"/>
    <w:rsid w:val="009B6264"/>
    <w:rsid w:val="009B6689"/>
    <w:rsid w:val="009B6F3A"/>
    <w:rsid w:val="009B71B3"/>
    <w:rsid w:val="009B7288"/>
    <w:rsid w:val="009B73BE"/>
    <w:rsid w:val="009B78EE"/>
    <w:rsid w:val="009B78F1"/>
    <w:rsid w:val="009B7D3A"/>
    <w:rsid w:val="009B7D4A"/>
    <w:rsid w:val="009B7D79"/>
    <w:rsid w:val="009C01C3"/>
    <w:rsid w:val="009C06AC"/>
    <w:rsid w:val="009C09C3"/>
    <w:rsid w:val="009C0CB0"/>
    <w:rsid w:val="009C0CCA"/>
    <w:rsid w:val="009C0D8E"/>
    <w:rsid w:val="009C0FC6"/>
    <w:rsid w:val="009C1595"/>
    <w:rsid w:val="009C1944"/>
    <w:rsid w:val="009C1A5D"/>
    <w:rsid w:val="009C2C5D"/>
    <w:rsid w:val="009C2C6D"/>
    <w:rsid w:val="009C2D80"/>
    <w:rsid w:val="009C2EA6"/>
    <w:rsid w:val="009C2EB8"/>
    <w:rsid w:val="009C324C"/>
    <w:rsid w:val="009C328D"/>
    <w:rsid w:val="009C32DB"/>
    <w:rsid w:val="009C33F3"/>
    <w:rsid w:val="009C399A"/>
    <w:rsid w:val="009C39BC"/>
    <w:rsid w:val="009C39E3"/>
    <w:rsid w:val="009C4658"/>
    <w:rsid w:val="009C471B"/>
    <w:rsid w:val="009C4A8D"/>
    <w:rsid w:val="009C4AB1"/>
    <w:rsid w:val="009C4AFC"/>
    <w:rsid w:val="009C4CED"/>
    <w:rsid w:val="009C4D90"/>
    <w:rsid w:val="009C4FB8"/>
    <w:rsid w:val="009C5073"/>
    <w:rsid w:val="009C5096"/>
    <w:rsid w:val="009C5390"/>
    <w:rsid w:val="009C56EA"/>
    <w:rsid w:val="009C57D5"/>
    <w:rsid w:val="009C59CC"/>
    <w:rsid w:val="009C5F68"/>
    <w:rsid w:val="009C5FCC"/>
    <w:rsid w:val="009C61B5"/>
    <w:rsid w:val="009C61EA"/>
    <w:rsid w:val="009C6B4E"/>
    <w:rsid w:val="009C6C3E"/>
    <w:rsid w:val="009C702C"/>
    <w:rsid w:val="009C7039"/>
    <w:rsid w:val="009C7203"/>
    <w:rsid w:val="009C7211"/>
    <w:rsid w:val="009C74E6"/>
    <w:rsid w:val="009C7A94"/>
    <w:rsid w:val="009C7E12"/>
    <w:rsid w:val="009C7F08"/>
    <w:rsid w:val="009D01D0"/>
    <w:rsid w:val="009D0B99"/>
    <w:rsid w:val="009D0F48"/>
    <w:rsid w:val="009D11E7"/>
    <w:rsid w:val="009D1271"/>
    <w:rsid w:val="009D1D7D"/>
    <w:rsid w:val="009D1F3A"/>
    <w:rsid w:val="009D202E"/>
    <w:rsid w:val="009D20A2"/>
    <w:rsid w:val="009D21DA"/>
    <w:rsid w:val="009D2262"/>
    <w:rsid w:val="009D2263"/>
    <w:rsid w:val="009D2592"/>
    <w:rsid w:val="009D2A65"/>
    <w:rsid w:val="009D2C47"/>
    <w:rsid w:val="009D2D92"/>
    <w:rsid w:val="009D2E0E"/>
    <w:rsid w:val="009D2E6D"/>
    <w:rsid w:val="009D3067"/>
    <w:rsid w:val="009D3424"/>
    <w:rsid w:val="009D3433"/>
    <w:rsid w:val="009D3641"/>
    <w:rsid w:val="009D3A09"/>
    <w:rsid w:val="009D3D38"/>
    <w:rsid w:val="009D3E9D"/>
    <w:rsid w:val="009D417D"/>
    <w:rsid w:val="009D42D9"/>
    <w:rsid w:val="009D47DC"/>
    <w:rsid w:val="009D4BB6"/>
    <w:rsid w:val="009D4C7F"/>
    <w:rsid w:val="009D4DE6"/>
    <w:rsid w:val="009D521C"/>
    <w:rsid w:val="009D5280"/>
    <w:rsid w:val="009D5474"/>
    <w:rsid w:val="009D5686"/>
    <w:rsid w:val="009D5E99"/>
    <w:rsid w:val="009D6115"/>
    <w:rsid w:val="009D6177"/>
    <w:rsid w:val="009D6180"/>
    <w:rsid w:val="009D62E6"/>
    <w:rsid w:val="009D6429"/>
    <w:rsid w:val="009D6527"/>
    <w:rsid w:val="009D664D"/>
    <w:rsid w:val="009D6998"/>
    <w:rsid w:val="009D69D4"/>
    <w:rsid w:val="009D6A52"/>
    <w:rsid w:val="009D6C3B"/>
    <w:rsid w:val="009D6C55"/>
    <w:rsid w:val="009D6DA1"/>
    <w:rsid w:val="009D74E7"/>
    <w:rsid w:val="009D78A7"/>
    <w:rsid w:val="009D7A03"/>
    <w:rsid w:val="009D7A09"/>
    <w:rsid w:val="009D7A75"/>
    <w:rsid w:val="009D7B81"/>
    <w:rsid w:val="009D7C85"/>
    <w:rsid w:val="009D7D86"/>
    <w:rsid w:val="009D7DE8"/>
    <w:rsid w:val="009D7E16"/>
    <w:rsid w:val="009D7E6A"/>
    <w:rsid w:val="009D7EAF"/>
    <w:rsid w:val="009E01C3"/>
    <w:rsid w:val="009E01DB"/>
    <w:rsid w:val="009E0208"/>
    <w:rsid w:val="009E056B"/>
    <w:rsid w:val="009E07CE"/>
    <w:rsid w:val="009E09CB"/>
    <w:rsid w:val="009E0A9C"/>
    <w:rsid w:val="009E0BA4"/>
    <w:rsid w:val="009E0CF5"/>
    <w:rsid w:val="009E0DB4"/>
    <w:rsid w:val="009E0EF8"/>
    <w:rsid w:val="009E1008"/>
    <w:rsid w:val="009E16A0"/>
    <w:rsid w:val="009E16EE"/>
    <w:rsid w:val="009E1715"/>
    <w:rsid w:val="009E1772"/>
    <w:rsid w:val="009E18A8"/>
    <w:rsid w:val="009E1959"/>
    <w:rsid w:val="009E1AF7"/>
    <w:rsid w:val="009E1CD9"/>
    <w:rsid w:val="009E2397"/>
    <w:rsid w:val="009E250C"/>
    <w:rsid w:val="009E2562"/>
    <w:rsid w:val="009E268E"/>
    <w:rsid w:val="009E26E5"/>
    <w:rsid w:val="009E26F7"/>
    <w:rsid w:val="009E29F7"/>
    <w:rsid w:val="009E2A12"/>
    <w:rsid w:val="009E2AE7"/>
    <w:rsid w:val="009E2C22"/>
    <w:rsid w:val="009E2D68"/>
    <w:rsid w:val="009E2D75"/>
    <w:rsid w:val="009E2F9E"/>
    <w:rsid w:val="009E308B"/>
    <w:rsid w:val="009E3303"/>
    <w:rsid w:val="009E339E"/>
    <w:rsid w:val="009E34FF"/>
    <w:rsid w:val="009E376F"/>
    <w:rsid w:val="009E38C8"/>
    <w:rsid w:val="009E39C1"/>
    <w:rsid w:val="009E3B45"/>
    <w:rsid w:val="009E3B64"/>
    <w:rsid w:val="009E3EE9"/>
    <w:rsid w:val="009E3F1E"/>
    <w:rsid w:val="009E4122"/>
    <w:rsid w:val="009E41FF"/>
    <w:rsid w:val="009E422F"/>
    <w:rsid w:val="009E42C7"/>
    <w:rsid w:val="009E46A5"/>
    <w:rsid w:val="009E487F"/>
    <w:rsid w:val="009E4B1F"/>
    <w:rsid w:val="009E4E08"/>
    <w:rsid w:val="009E4F24"/>
    <w:rsid w:val="009E5015"/>
    <w:rsid w:val="009E52CF"/>
    <w:rsid w:val="009E533A"/>
    <w:rsid w:val="009E5576"/>
    <w:rsid w:val="009E56B8"/>
    <w:rsid w:val="009E5983"/>
    <w:rsid w:val="009E5EA1"/>
    <w:rsid w:val="009E62C3"/>
    <w:rsid w:val="009E62F9"/>
    <w:rsid w:val="009E63EC"/>
    <w:rsid w:val="009E643F"/>
    <w:rsid w:val="009E66BC"/>
    <w:rsid w:val="009E67EE"/>
    <w:rsid w:val="009E67F7"/>
    <w:rsid w:val="009E69CE"/>
    <w:rsid w:val="009E6A76"/>
    <w:rsid w:val="009E6DBB"/>
    <w:rsid w:val="009E6E95"/>
    <w:rsid w:val="009E6F48"/>
    <w:rsid w:val="009E702D"/>
    <w:rsid w:val="009E7405"/>
    <w:rsid w:val="009E740A"/>
    <w:rsid w:val="009E744E"/>
    <w:rsid w:val="009E74C7"/>
    <w:rsid w:val="009E785A"/>
    <w:rsid w:val="009E7A1E"/>
    <w:rsid w:val="009E7A6A"/>
    <w:rsid w:val="009E7D15"/>
    <w:rsid w:val="009E7D56"/>
    <w:rsid w:val="009E7E60"/>
    <w:rsid w:val="009F0021"/>
    <w:rsid w:val="009F01F9"/>
    <w:rsid w:val="009F0248"/>
    <w:rsid w:val="009F0767"/>
    <w:rsid w:val="009F08F6"/>
    <w:rsid w:val="009F0D60"/>
    <w:rsid w:val="009F0E50"/>
    <w:rsid w:val="009F0F0D"/>
    <w:rsid w:val="009F1E51"/>
    <w:rsid w:val="009F2123"/>
    <w:rsid w:val="009F2181"/>
    <w:rsid w:val="009F2230"/>
    <w:rsid w:val="009F23EE"/>
    <w:rsid w:val="009F29AB"/>
    <w:rsid w:val="009F2A2D"/>
    <w:rsid w:val="009F2B9F"/>
    <w:rsid w:val="009F2BBD"/>
    <w:rsid w:val="009F2E9E"/>
    <w:rsid w:val="009F2FFC"/>
    <w:rsid w:val="009F30C8"/>
    <w:rsid w:val="009F3191"/>
    <w:rsid w:val="009F343B"/>
    <w:rsid w:val="009F36EA"/>
    <w:rsid w:val="009F3818"/>
    <w:rsid w:val="009F3C61"/>
    <w:rsid w:val="009F3D82"/>
    <w:rsid w:val="009F3E20"/>
    <w:rsid w:val="009F41C4"/>
    <w:rsid w:val="009F4839"/>
    <w:rsid w:val="009F4A54"/>
    <w:rsid w:val="009F4BEC"/>
    <w:rsid w:val="009F4CD9"/>
    <w:rsid w:val="009F5105"/>
    <w:rsid w:val="009F51B0"/>
    <w:rsid w:val="009F51B5"/>
    <w:rsid w:val="009F5348"/>
    <w:rsid w:val="009F5623"/>
    <w:rsid w:val="009F5674"/>
    <w:rsid w:val="009F58BC"/>
    <w:rsid w:val="009F5ED7"/>
    <w:rsid w:val="009F5F71"/>
    <w:rsid w:val="009F5F81"/>
    <w:rsid w:val="009F5FB3"/>
    <w:rsid w:val="009F603B"/>
    <w:rsid w:val="009F6112"/>
    <w:rsid w:val="009F657E"/>
    <w:rsid w:val="009F66E6"/>
    <w:rsid w:val="009F6B07"/>
    <w:rsid w:val="009F6B6D"/>
    <w:rsid w:val="009F6EEE"/>
    <w:rsid w:val="009F719F"/>
    <w:rsid w:val="009F7361"/>
    <w:rsid w:val="009F7521"/>
    <w:rsid w:val="009F7600"/>
    <w:rsid w:val="009F77FF"/>
    <w:rsid w:val="009F7B60"/>
    <w:rsid w:val="009F7CFA"/>
    <w:rsid w:val="009F7E76"/>
    <w:rsid w:val="00A00054"/>
    <w:rsid w:val="00A000F7"/>
    <w:rsid w:val="00A002E0"/>
    <w:rsid w:val="00A00476"/>
    <w:rsid w:val="00A00974"/>
    <w:rsid w:val="00A00B27"/>
    <w:rsid w:val="00A00C15"/>
    <w:rsid w:val="00A00E5D"/>
    <w:rsid w:val="00A014A6"/>
    <w:rsid w:val="00A01588"/>
    <w:rsid w:val="00A0173C"/>
    <w:rsid w:val="00A01780"/>
    <w:rsid w:val="00A01A2D"/>
    <w:rsid w:val="00A01C3D"/>
    <w:rsid w:val="00A01E75"/>
    <w:rsid w:val="00A0212A"/>
    <w:rsid w:val="00A021E1"/>
    <w:rsid w:val="00A024F5"/>
    <w:rsid w:val="00A027E4"/>
    <w:rsid w:val="00A02A91"/>
    <w:rsid w:val="00A02E08"/>
    <w:rsid w:val="00A03199"/>
    <w:rsid w:val="00A038D0"/>
    <w:rsid w:val="00A03FA5"/>
    <w:rsid w:val="00A0413C"/>
    <w:rsid w:val="00A041AC"/>
    <w:rsid w:val="00A042C6"/>
    <w:rsid w:val="00A047FB"/>
    <w:rsid w:val="00A048C6"/>
    <w:rsid w:val="00A04ADF"/>
    <w:rsid w:val="00A051C9"/>
    <w:rsid w:val="00A0540B"/>
    <w:rsid w:val="00A05B42"/>
    <w:rsid w:val="00A05F40"/>
    <w:rsid w:val="00A0604A"/>
    <w:rsid w:val="00A060EE"/>
    <w:rsid w:val="00A0612F"/>
    <w:rsid w:val="00A063C2"/>
    <w:rsid w:val="00A0657C"/>
    <w:rsid w:val="00A06800"/>
    <w:rsid w:val="00A06B92"/>
    <w:rsid w:val="00A0704F"/>
    <w:rsid w:val="00A0730B"/>
    <w:rsid w:val="00A07345"/>
    <w:rsid w:val="00A074C5"/>
    <w:rsid w:val="00A075A4"/>
    <w:rsid w:val="00A0788C"/>
    <w:rsid w:val="00A07CBC"/>
    <w:rsid w:val="00A07ED2"/>
    <w:rsid w:val="00A1004C"/>
    <w:rsid w:val="00A102A2"/>
    <w:rsid w:val="00A103FC"/>
    <w:rsid w:val="00A106FA"/>
    <w:rsid w:val="00A10A76"/>
    <w:rsid w:val="00A10FD2"/>
    <w:rsid w:val="00A11097"/>
    <w:rsid w:val="00A112DD"/>
    <w:rsid w:val="00A113A6"/>
    <w:rsid w:val="00A113D0"/>
    <w:rsid w:val="00A11441"/>
    <w:rsid w:val="00A11846"/>
    <w:rsid w:val="00A11948"/>
    <w:rsid w:val="00A11B6A"/>
    <w:rsid w:val="00A12036"/>
    <w:rsid w:val="00A12147"/>
    <w:rsid w:val="00A1240A"/>
    <w:rsid w:val="00A126A3"/>
    <w:rsid w:val="00A127CF"/>
    <w:rsid w:val="00A1305A"/>
    <w:rsid w:val="00A13241"/>
    <w:rsid w:val="00A13547"/>
    <w:rsid w:val="00A13650"/>
    <w:rsid w:val="00A13658"/>
    <w:rsid w:val="00A13662"/>
    <w:rsid w:val="00A13677"/>
    <w:rsid w:val="00A13857"/>
    <w:rsid w:val="00A138D3"/>
    <w:rsid w:val="00A13938"/>
    <w:rsid w:val="00A13B7F"/>
    <w:rsid w:val="00A13F17"/>
    <w:rsid w:val="00A1428B"/>
    <w:rsid w:val="00A145B1"/>
    <w:rsid w:val="00A14671"/>
    <w:rsid w:val="00A14678"/>
    <w:rsid w:val="00A14802"/>
    <w:rsid w:val="00A149C8"/>
    <w:rsid w:val="00A14A66"/>
    <w:rsid w:val="00A14CAF"/>
    <w:rsid w:val="00A14E3A"/>
    <w:rsid w:val="00A150E1"/>
    <w:rsid w:val="00A1527D"/>
    <w:rsid w:val="00A152E1"/>
    <w:rsid w:val="00A15990"/>
    <w:rsid w:val="00A1625E"/>
    <w:rsid w:val="00A1635C"/>
    <w:rsid w:val="00A16478"/>
    <w:rsid w:val="00A16607"/>
    <w:rsid w:val="00A167B5"/>
    <w:rsid w:val="00A16817"/>
    <w:rsid w:val="00A16CFD"/>
    <w:rsid w:val="00A16F66"/>
    <w:rsid w:val="00A1709F"/>
    <w:rsid w:val="00A17524"/>
    <w:rsid w:val="00A17728"/>
    <w:rsid w:val="00A17A7C"/>
    <w:rsid w:val="00A17A9C"/>
    <w:rsid w:val="00A17D84"/>
    <w:rsid w:val="00A17E0A"/>
    <w:rsid w:val="00A17E6C"/>
    <w:rsid w:val="00A201E0"/>
    <w:rsid w:val="00A20201"/>
    <w:rsid w:val="00A203DD"/>
    <w:rsid w:val="00A20401"/>
    <w:rsid w:val="00A2084A"/>
    <w:rsid w:val="00A20AA4"/>
    <w:rsid w:val="00A21464"/>
    <w:rsid w:val="00A215FB"/>
    <w:rsid w:val="00A2167A"/>
    <w:rsid w:val="00A21694"/>
    <w:rsid w:val="00A216B9"/>
    <w:rsid w:val="00A217AA"/>
    <w:rsid w:val="00A21990"/>
    <w:rsid w:val="00A21B63"/>
    <w:rsid w:val="00A21C7A"/>
    <w:rsid w:val="00A22107"/>
    <w:rsid w:val="00A221AB"/>
    <w:rsid w:val="00A22208"/>
    <w:rsid w:val="00A22728"/>
    <w:rsid w:val="00A2295D"/>
    <w:rsid w:val="00A22CFB"/>
    <w:rsid w:val="00A22D03"/>
    <w:rsid w:val="00A22D6E"/>
    <w:rsid w:val="00A22E8D"/>
    <w:rsid w:val="00A22F01"/>
    <w:rsid w:val="00A22F9D"/>
    <w:rsid w:val="00A231E3"/>
    <w:rsid w:val="00A23288"/>
    <w:rsid w:val="00A2334B"/>
    <w:rsid w:val="00A2378C"/>
    <w:rsid w:val="00A23DDF"/>
    <w:rsid w:val="00A23FBC"/>
    <w:rsid w:val="00A241A1"/>
    <w:rsid w:val="00A247A6"/>
    <w:rsid w:val="00A24A44"/>
    <w:rsid w:val="00A24C1E"/>
    <w:rsid w:val="00A24FA7"/>
    <w:rsid w:val="00A25304"/>
    <w:rsid w:val="00A25A0E"/>
    <w:rsid w:val="00A25CF7"/>
    <w:rsid w:val="00A25E3B"/>
    <w:rsid w:val="00A25FD7"/>
    <w:rsid w:val="00A26244"/>
    <w:rsid w:val="00A264CE"/>
    <w:rsid w:val="00A268B5"/>
    <w:rsid w:val="00A269B5"/>
    <w:rsid w:val="00A269F3"/>
    <w:rsid w:val="00A2706D"/>
    <w:rsid w:val="00A27188"/>
    <w:rsid w:val="00A271A2"/>
    <w:rsid w:val="00A27375"/>
    <w:rsid w:val="00A27476"/>
    <w:rsid w:val="00A2754C"/>
    <w:rsid w:val="00A27563"/>
    <w:rsid w:val="00A27714"/>
    <w:rsid w:val="00A277A4"/>
    <w:rsid w:val="00A30412"/>
    <w:rsid w:val="00A3048B"/>
    <w:rsid w:val="00A305B7"/>
    <w:rsid w:val="00A30844"/>
    <w:rsid w:val="00A3084F"/>
    <w:rsid w:val="00A30867"/>
    <w:rsid w:val="00A30CD4"/>
    <w:rsid w:val="00A30DC4"/>
    <w:rsid w:val="00A312D5"/>
    <w:rsid w:val="00A31391"/>
    <w:rsid w:val="00A31492"/>
    <w:rsid w:val="00A31F2C"/>
    <w:rsid w:val="00A31FCF"/>
    <w:rsid w:val="00A32168"/>
    <w:rsid w:val="00A3257D"/>
    <w:rsid w:val="00A3263C"/>
    <w:rsid w:val="00A32FF5"/>
    <w:rsid w:val="00A3302E"/>
    <w:rsid w:val="00A332B0"/>
    <w:rsid w:val="00A334E9"/>
    <w:rsid w:val="00A3355E"/>
    <w:rsid w:val="00A336A6"/>
    <w:rsid w:val="00A343CF"/>
    <w:rsid w:val="00A343D8"/>
    <w:rsid w:val="00A34835"/>
    <w:rsid w:val="00A34C0E"/>
    <w:rsid w:val="00A34C8B"/>
    <w:rsid w:val="00A34CE2"/>
    <w:rsid w:val="00A34D4E"/>
    <w:rsid w:val="00A35351"/>
    <w:rsid w:val="00A3550C"/>
    <w:rsid w:val="00A35949"/>
    <w:rsid w:val="00A35ABE"/>
    <w:rsid w:val="00A35CBC"/>
    <w:rsid w:val="00A35F6F"/>
    <w:rsid w:val="00A3607D"/>
    <w:rsid w:val="00A3608A"/>
    <w:rsid w:val="00A36540"/>
    <w:rsid w:val="00A3660A"/>
    <w:rsid w:val="00A36670"/>
    <w:rsid w:val="00A367CF"/>
    <w:rsid w:val="00A3696B"/>
    <w:rsid w:val="00A369C6"/>
    <w:rsid w:val="00A36B11"/>
    <w:rsid w:val="00A36E25"/>
    <w:rsid w:val="00A372D4"/>
    <w:rsid w:val="00A37432"/>
    <w:rsid w:val="00A3747F"/>
    <w:rsid w:val="00A37502"/>
    <w:rsid w:val="00A37D4E"/>
    <w:rsid w:val="00A4006B"/>
    <w:rsid w:val="00A4016F"/>
    <w:rsid w:val="00A401FA"/>
    <w:rsid w:val="00A4024E"/>
    <w:rsid w:val="00A40330"/>
    <w:rsid w:val="00A403A0"/>
    <w:rsid w:val="00A4060D"/>
    <w:rsid w:val="00A40702"/>
    <w:rsid w:val="00A4082A"/>
    <w:rsid w:val="00A419A9"/>
    <w:rsid w:val="00A41A00"/>
    <w:rsid w:val="00A41B65"/>
    <w:rsid w:val="00A41F0E"/>
    <w:rsid w:val="00A41FA3"/>
    <w:rsid w:val="00A424F7"/>
    <w:rsid w:val="00A4252D"/>
    <w:rsid w:val="00A42596"/>
    <w:rsid w:val="00A42715"/>
    <w:rsid w:val="00A42847"/>
    <w:rsid w:val="00A42934"/>
    <w:rsid w:val="00A42B51"/>
    <w:rsid w:val="00A42DC6"/>
    <w:rsid w:val="00A42FFB"/>
    <w:rsid w:val="00A431C8"/>
    <w:rsid w:val="00A4320A"/>
    <w:rsid w:val="00A4339C"/>
    <w:rsid w:val="00A43430"/>
    <w:rsid w:val="00A43441"/>
    <w:rsid w:val="00A43585"/>
    <w:rsid w:val="00A435AC"/>
    <w:rsid w:val="00A436AC"/>
    <w:rsid w:val="00A436B5"/>
    <w:rsid w:val="00A4393B"/>
    <w:rsid w:val="00A439B2"/>
    <w:rsid w:val="00A43AFF"/>
    <w:rsid w:val="00A43BA6"/>
    <w:rsid w:val="00A446A0"/>
    <w:rsid w:val="00A446AA"/>
    <w:rsid w:val="00A446B0"/>
    <w:rsid w:val="00A447FB"/>
    <w:rsid w:val="00A449E6"/>
    <w:rsid w:val="00A44B0D"/>
    <w:rsid w:val="00A44ECA"/>
    <w:rsid w:val="00A44F4B"/>
    <w:rsid w:val="00A453E9"/>
    <w:rsid w:val="00A4540C"/>
    <w:rsid w:val="00A4544E"/>
    <w:rsid w:val="00A458DC"/>
    <w:rsid w:val="00A45987"/>
    <w:rsid w:val="00A45ADB"/>
    <w:rsid w:val="00A45E79"/>
    <w:rsid w:val="00A45F19"/>
    <w:rsid w:val="00A45F92"/>
    <w:rsid w:val="00A464BD"/>
    <w:rsid w:val="00A464F7"/>
    <w:rsid w:val="00A468C0"/>
    <w:rsid w:val="00A46905"/>
    <w:rsid w:val="00A46D42"/>
    <w:rsid w:val="00A46EC3"/>
    <w:rsid w:val="00A471B1"/>
    <w:rsid w:val="00A473E9"/>
    <w:rsid w:val="00A47562"/>
    <w:rsid w:val="00A47E81"/>
    <w:rsid w:val="00A47F78"/>
    <w:rsid w:val="00A47FEE"/>
    <w:rsid w:val="00A501CC"/>
    <w:rsid w:val="00A505C9"/>
    <w:rsid w:val="00A50A73"/>
    <w:rsid w:val="00A50B67"/>
    <w:rsid w:val="00A50B92"/>
    <w:rsid w:val="00A50B9A"/>
    <w:rsid w:val="00A50F5A"/>
    <w:rsid w:val="00A5153F"/>
    <w:rsid w:val="00A5167C"/>
    <w:rsid w:val="00A51853"/>
    <w:rsid w:val="00A518AA"/>
    <w:rsid w:val="00A51AF4"/>
    <w:rsid w:val="00A51E7F"/>
    <w:rsid w:val="00A524C1"/>
    <w:rsid w:val="00A5280C"/>
    <w:rsid w:val="00A5282C"/>
    <w:rsid w:val="00A528B3"/>
    <w:rsid w:val="00A52905"/>
    <w:rsid w:val="00A53248"/>
    <w:rsid w:val="00A533F3"/>
    <w:rsid w:val="00A537A8"/>
    <w:rsid w:val="00A53932"/>
    <w:rsid w:val="00A53BBC"/>
    <w:rsid w:val="00A53C83"/>
    <w:rsid w:val="00A53F6C"/>
    <w:rsid w:val="00A540D6"/>
    <w:rsid w:val="00A542E3"/>
    <w:rsid w:val="00A5454C"/>
    <w:rsid w:val="00A5460E"/>
    <w:rsid w:val="00A5474C"/>
    <w:rsid w:val="00A54A93"/>
    <w:rsid w:val="00A54B6F"/>
    <w:rsid w:val="00A54B9E"/>
    <w:rsid w:val="00A55111"/>
    <w:rsid w:val="00A5535B"/>
    <w:rsid w:val="00A558D6"/>
    <w:rsid w:val="00A558F2"/>
    <w:rsid w:val="00A55A29"/>
    <w:rsid w:val="00A55B90"/>
    <w:rsid w:val="00A55CEE"/>
    <w:rsid w:val="00A55FDC"/>
    <w:rsid w:val="00A56344"/>
    <w:rsid w:val="00A564BF"/>
    <w:rsid w:val="00A56603"/>
    <w:rsid w:val="00A56D1C"/>
    <w:rsid w:val="00A56D2C"/>
    <w:rsid w:val="00A56DA5"/>
    <w:rsid w:val="00A56DF4"/>
    <w:rsid w:val="00A56FF9"/>
    <w:rsid w:val="00A5705F"/>
    <w:rsid w:val="00A57121"/>
    <w:rsid w:val="00A57138"/>
    <w:rsid w:val="00A571E1"/>
    <w:rsid w:val="00A57279"/>
    <w:rsid w:val="00A576A6"/>
    <w:rsid w:val="00A5776B"/>
    <w:rsid w:val="00A57875"/>
    <w:rsid w:val="00A57A60"/>
    <w:rsid w:val="00A57B77"/>
    <w:rsid w:val="00A57DCE"/>
    <w:rsid w:val="00A60325"/>
    <w:rsid w:val="00A6083E"/>
    <w:rsid w:val="00A6084D"/>
    <w:rsid w:val="00A6120C"/>
    <w:rsid w:val="00A61A87"/>
    <w:rsid w:val="00A61B18"/>
    <w:rsid w:val="00A61D30"/>
    <w:rsid w:val="00A61F5B"/>
    <w:rsid w:val="00A62392"/>
    <w:rsid w:val="00A62F10"/>
    <w:rsid w:val="00A634E0"/>
    <w:rsid w:val="00A638F9"/>
    <w:rsid w:val="00A63A78"/>
    <w:rsid w:val="00A63D36"/>
    <w:rsid w:val="00A63E97"/>
    <w:rsid w:val="00A64066"/>
    <w:rsid w:val="00A640FD"/>
    <w:rsid w:val="00A64252"/>
    <w:rsid w:val="00A64564"/>
    <w:rsid w:val="00A64663"/>
    <w:rsid w:val="00A646A3"/>
    <w:rsid w:val="00A64922"/>
    <w:rsid w:val="00A64A00"/>
    <w:rsid w:val="00A64A6A"/>
    <w:rsid w:val="00A64A7E"/>
    <w:rsid w:val="00A64E06"/>
    <w:rsid w:val="00A650A5"/>
    <w:rsid w:val="00A65100"/>
    <w:rsid w:val="00A6519E"/>
    <w:rsid w:val="00A655BF"/>
    <w:rsid w:val="00A6596D"/>
    <w:rsid w:val="00A65BF8"/>
    <w:rsid w:val="00A65C6D"/>
    <w:rsid w:val="00A65E4D"/>
    <w:rsid w:val="00A65F7D"/>
    <w:rsid w:val="00A66324"/>
    <w:rsid w:val="00A666FF"/>
    <w:rsid w:val="00A66871"/>
    <w:rsid w:val="00A66907"/>
    <w:rsid w:val="00A66B86"/>
    <w:rsid w:val="00A66D9C"/>
    <w:rsid w:val="00A675B5"/>
    <w:rsid w:val="00A67718"/>
    <w:rsid w:val="00A67A3F"/>
    <w:rsid w:val="00A67BA6"/>
    <w:rsid w:val="00A67E2E"/>
    <w:rsid w:val="00A70609"/>
    <w:rsid w:val="00A70740"/>
    <w:rsid w:val="00A70B33"/>
    <w:rsid w:val="00A71546"/>
    <w:rsid w:val="00A71632"/>
    <w:rsid w:val="00A71829"/>
    <w:rsid w:val="00A71A94"/>
    <w:rsid w:val="00A71CA2"/>
    <w:rsid w:val="00A71D2E"/>
    <w:rsid w:val="00A71E65"/>
    <w:rsid w:val="00A72145"/>
    <w:rsid w:val="00A72500"/>
    <w:rsid w:val="00A727EA"/>
    <w:rsid w:val="00A72B39"/>
    <w:rsid w:val="00A72E4D"/>
    <w:rsid w:val="00A73078"/>
    <w:rsid w:val="00A7314D"/>
    <w:rsid w:val="00A73150"/>
    <w:rsid w:val="00A73151"/>
    <w:rsid w:val="00A73482"/>
    <w:rsid w:val="00A735F4"/>
    <w:rsid w:val="00A73BA7"/>
    <w:rsid w:val="00A73C13"/>
    <w:rsid w:val="00A73CC8"/>
    <w:rsid w:val="00A74264"/>
    <w:rsid w:val="00A74266"/>
    <w:rsid w:val="00A742E4"/>
    <w:rsid w:val="00A744D6"/>
    <w:rsid w:val="00A74831"/>
    <w:rsid w:val="00A74B6D"/>
    <w:rsid w:val="00A74BE3"/>
    <w:rsid w:val="00A74D62"/>
    <w:rsid w:val="00A7581C"/>
    <w:rsid w:val="00A75ABA"/>
    <w:rsid w:val="00A75AEB"/>
    <w:rsid w:val="00A75BE3"/>
    <w:rsid w:val="00A7656B"/>
    <w:rsid w:val="00A76741"/>
    <w:rsid w:val="00A769A6"/>
    <w:rsid w:val="00A76A9B"/>
    <w:rsid w:val="00A76C2A"/>
    <w:rsid w:val="00A76F60"/>
    <w:rsid w:val="00A771AB"/>
    <w:rsid w:val="00A7770E"/>
    <w:rsid w:val="00A77863"/>
    <w:rsid w:val="00A7793A"/>
    <w:rsid w:val="00A77A47"/>
    <w:rsid w:val="00A77E68"/>
    <w:rsid w:val="00A80062"/>
    <w:rsid w:val="00A800AB"/>
    <w:rsid w:val="00A801D7"/>
    <w:rsid w:val="00A805A0"/>
    <w:rsid w:val="00A80642"/>
    <w:rsid w:val="00A80693"/>
    <w:rsid w:val="00A80770"/>
    <w:rsid w:val="00A80C68"/>
    <w:rsid w:val="00A81005"/>
    <w:rsid w:val="00A816DC"/>
    <w:rsid w:val="00A81C54"/>
    <w:rsid w:val="00A81E4F"/>
    <w:rsid w:val="00A81F54"/>
    <w:rsid w:val="00A82179"/>
    <w:rsid w:val="00A8220C"/>
    <w:rsid w:val="00A8254B"/>
    <w:rsid w:val="00A8259C"/>
    <w:rsid w:val="00A827EB"/>
    <w:rsid w:val="00A82B14"/>
    <w:rsid w:val="00A82CD6"/>
    <w:rsid w:val="00A82DCB"/>
    <w:rsid w:val="00A83524"/>
    <w:rsid w:val="00A8383B"/>
    <w:rsid w:val="00A838AB"/>
    <w:rsid w:val="00A83B84"/>
    <w:rsid w:val="00A83BFE"/>
    <w:rsid w:val="00A83E86"/>
    <w:rsid w:val="00A83EB5"/>
    <w:rsid w:val="00A84053"/>
    <w:rsid w:val="00A8433B"/>
    <w:rsid w:val="00A84369"/>
    <w:rsid w:val="00A843B8"/>
    <w:rsid w:val="00A844EE"/>
    <w:rsid w:val="00A844FE"/>
    <w:rsid w:val="00A8453A"/>
    <w:rsid w:val="00A84626"/>
    <w:rsid w:val="00A84781"/>
    <w:rsid w:val="00A847EA"/>
    <w:rsid w:val="00A847FD"/>
    <w:rsid w:val="00A84AC9"/>
    <w:rsid w:val="00A84ADD"/>
    <w:rsid w:val="00A84B92"/>
    <w:rsid w:val="00A84CC5"/>
    <w:rsid w:val="00A84E05"/>
    <w:rsid w:val="00A852CC"/>
    <w:rsid w:val="00A8537C"/>
    <w:rsid w:val="00A8547E"/>
    <w:rsid w:val="00A85503"/>
    <w:rsid w:val="00A85716"/>
    <w:rsid w:val="00A85DD1"/>
    <w:rsid w:val="00A85E32"/>
    <w:rsid w:val="00A85E36"/>
    <w:rsid w:val="00A85F00"/>
    <w:rsid w:val="00A8608F"/>
    <w:rsid w:val="00A862B8"/>
    <w:rsid w:val="00A864F6"/>
    <w:rsid w:val="00A86758"/>
    <w:rsid w:val="00A86951"/>
    <w:rsid w:val="00A869A6"/>
    <w:rsid w:val="00A86D77"/>
    <w:rsid w:val="00A86F3F"/>
    <w:rsid w:val="00A87342"/>
    <w:rsid w:val="00A87659"/>
    <w:rsid w:val="00A87782"/>
    <w:rsid w:val="00A877AC"/>
    <w:rsid w:val="00A877CA"/>
    <w:rsid w:val="00A87808"/>
    <w:rsid w:val="00A9000B"/>
    <w:rsid w:val="00A90164"/>
    <w:rsid w:val="00A901B9"/>
    <w:rsid w:val="00A90662"/>
    <w:rsid w:val="00A908CE"/>
    <w:rsid w:val="00A90AE6"/>
    <w:rsid w:val="00A90BAF"/>
    <w:rsid w:val="00A90C5A"/>
    <w:rsid w:val="00A90D66"/>
    <w:rsid w:val="00A90E93"/>
    <w:rsid w:val="00A90FEC"/>
    <w:rsid w:val="00A91069"/>
    <w:rsid w:val="00A91152"/>
    <w:rsid w:val="00A9148D"/>
    <w:rsid w:val="00A91740"/>
    <w:rsid w:val="00A9180E"/>
    <w:rsid w:val="00A91E7B"/>
    <w:rsid w:val="00A91F31"/>
    <w:rsid w:val="00A91F65"/>
    <w:rsid w:val="00A92452"/>
    <w:rsid w:val="00A9264D"/>
    <w:rsid w:val="00A92734"/>
    <w:rsid w:val="00A927A5"/>
    <w:rsid w:val="00A928B5"/>
    <w:rsid w:val="00A92977"/>
    <w:rsid w:val="00A92E4C"/>
    <w:rsid w:val="00A9314A"/>
    <w:rsid w:val="00A9321E"/>
    <w:rsid w:val="00A933B5"/>
    <w:rsid w:val="00A934CF"/>
    <w:rsid w:val="00A93925"/>
    <w:rsid w:val="00A93A61"/>
    <w:rsid w:val="00A94058"/>
    <w:rsid w:val="00A942B9"/>
    <w:rsid w:val="00A942F7"/>
    <w:rsid w:val="00A9439F"/>
    <w:rsid w:val="00A944ED"/>
    <w:rsid w:val="00A946BB"/>
    <w:rsid w:val="00A94745"/>
    <w:rsid w:val="00A94859"/>
    <w:rsid w:val="00A94A79"/>
    <w:rsid w:val="00A94B8A"/>
    <w:rsid w:val="00A94EC0"/>
    <w:rsid w:val="00A951B1"/>
    <w:rsid w:val="00A95648"/>
    <w:rsid w:val="00A95A48"/>
    <w:rsid w:val="00A95AB3"/>
    <w:rsid w:val="00A95B91"/>
    <w:rsid w:val="00A95CD7"/>
    <w:rsid w:val="00A95F61"/>
    <w:rsid w:val="00A96033"/>
    <w:rsid w:val="00A96203"/>
    <w:rsid w:val="00A9632A"/>
    <w:rsid w:val="00A966D7"/>
    <w:rsid w:val="00A9673F"/>
    <w:rsid w:val="00A96913"/>
    <w:rsid w:val="00A96B05"/>
    <w:rsid w:val="00A96D21"/>
    <w:rsid w:val="00A9704B"/>
    <w:rsid w:val="00A97265"/>
    <w:rsid w:val="00A972E5"/>
    <w:rsid w:val="00A9744D"/>
    <w:rsid w:val="00A9764E"/>
    <w:rsid w:val="00A9767C"/>
    <w:rsid w:val="00A97762"/>
    <w:rsid w:val="00A97AD9"/>
    <w:rsid w:val="00A97F9A"/>
    <w:rsid w:val="00A97FCB"/>
    <w:rsid w:val="00A97FDD"/>
    <w:rsid w:val="00AA049F"/>
    <w:rsid w:val="00AA0866"/>
    <w:rsid w:val="00AA0A23"/>
    <w:rsid w:val="00AA0A83"/>
    <w:rsid w:val="00AA0C34"/>
    <w:rsid w:val="00AA0F52"/>
    <w:rsid w:val="00AA1012"/>
    <w:rsid w:val="00AA1043"/>
    <w:rsid w:val="00AA11E7"/>
    <w:rsid w:val="00AA156F"/>
    <w:rsid w:val="00AA1667"/>
    <w:rsid w:val="00AA1769"/>
    <w:rsid w:val="00AA1C1E"/>
    <w:rsid w:val="00AA20A7"/>
    <w:rsid w:val="00AA211D"/>
    <w:rsid w:val="00AA24E0"/>
    <w:rsid w:val="00AA24EA"/>
    <w:rsid w:val="00AA25CF"/>
    <w:rsid w:val="00AA26E4"/>
    <w:rsid w:val="00AA2764"/>
    <w:rsid w:val="00AA27F2"/>
    <w:rsid w:val="00AA28B8"/>
    <w:rsid w:val="00AA2949"/>
    <w:rsid w:val="00AA2993"/>
    <w:rsid w:val="00AA2B7E"/>
    <w:rsid w:val="00AA2EE9"/>
    <w:rsid w:val="00AA30D5"/>
    <w:rsid w:val="00AA33FA"/>
    <w:rsid w:val="00AA3520"/>
    <w:rsid w:val="00AA369F"/>
    <w:rsid w:val="00AA3AF2"/>
    <w:rsid w:val="00AA3B7D"/>
    <w:rsid w:val="00AA3C44"/>
    <w:rsid w:val="00AA3E42"/>
    <w:rsid w:val="00AA3FEC"/>
    <w:rsid w:val="00AA4111"/>
    <w:rsid w:val="00AA422F"/>
    <w:rsid w:val="00AA42BE"/>
    <w:rsid w:val="00AA45E0"/>
    <w:rsid w:val="00AA4711"/>
    <w:rsid w:val="00AA4954"/>
    <w:rsid w:val="00AA5006"/>
    <w:rsid w:val="00AA506A"/>
    <w:rsid w:val="00AA53AA"/>
    <w:rsid w:val="00AA53EB"/>
    <w:rsid w:val="00AA56EC"/>
    <w:rsid w:val="00AA5763"/>
    <w:rsid w:val="00AA57C1"/>
    <w:rsid w:val="00AA58A0"/>
    <w:rsid w:val="00AA596B"/>
    <w:rsid w:val="00AA603C"/>
    <w:rsid w:val="00AA60B2"/>
    <w:rsid w:val="00AA61A4"/>
    <w:rsid w:val="00AA62CD"/>
    <w:rsid w:val="00AA64E9"/>
    <w:rsid w:val="00AA666B"/>
    <w:rsid w:val="00AA6E4A"/>
    <w:rsid w:val="00AA6F6B"/>
    <w:rsid w:val="00AA70D9"/>
    <w:rsid w:val="00AA73C8"/>
    <w:rsid w:val="00AA7718"/>
    <w:rsid w:val="00AA7B69"/>
    <w:rsid w:val="00AA7B93"/>
    <w:rsid w:val="00AA7C90"/>
    <w:rsid w:val="00AA7F3C"/>
    <w:rsid w:val="00AB00BD"/>
    <w:rsid w:val="00AB01A1"/>
    <w:rsid w:val="00AB02EE"/>
    <w:rsid w:val="00AB06AA"/>
    <w:rsid w:val="00AB0A1B"/>
    <w:rsid w:val="00AB114B"/>
    <w:rsid w:val="00AB133C"/>
    <w:rsid w:val="00AB1EF4"/>
    <w:rsid w:val="00AB1F8C"/>
    <w:rsid w:val="00AB1FEB"/>
    <w:rsid w:val="00AB2345"/>
    <w:rsid w:val="00AB2775"/>
    <w:rsid w:val="00AB28F5"/>
    <w:rsid w:val="00AB29CC"/>
    <w:rsid w:val="00AB2F14"/>
    <w:rsid w:val="00AB3A8B"/>
    <w:rsid w:val="00AB3D47"/>
    <w:rsid w:val="00AB3E51"/>
    <w:rsid w:val="00AB434C"/>
    <w:rsid w:val="00AB438D"/>
    <w:rsid w:val="00AB4817"/>
    <w:rsid w:val="00AB486D"/>
    <w:rsid w:val="00AB4C65"/>
    <w:rsid w:val="00AB50B0"/>
    <w:rsid w:val="00AB5595"/>
    <w:rsid w:val="00AB584E"/>
    <w:rsid w:val="00AB5AF7"/>
    <w:rsid w:val="00AB5DCE"/>
    <w:rsid w:val="00AB5ED0"/>
    <w:rsid w:val="00AB6072"/>
    <w:rsid w:val="00AB610F"/>
    <w:rsid w:val="00AB612D"/>
    <w:rsid w:val="00AB64F7"/>
    <w:rsid w:val="00AB654D"/>
    <w:rsid w:val="00AB66D8"/>
    <w:rsid w:val="00AB6960"/>
    <w:rsid w:val="00AB6CA7"/>
    <w:rsid w:val="00AB6FED"/>
    <w:rsid w:val="00AB72D9"/>
    <w:rsid w:val="00AB73E3"/>
    <w:rsid w:val="00AB745A"/>
    <w:rsid w:val="00AB766F"/>
    <w:rsid w:val="00AB7718"/>
    <w:rsid w:val="00AB77E8"/>
    <w:rsid w:val="00AB781A"/>
    <w:rsid w:val="00AB78CE"/>
    <w:rsid w:val="00AB79EC"/>
    <w:rsid w:val="00AB7B2B"/>
    <w:rsid w:val="00AB7CDA"/>
    <w:rsid w:val="00AB7D0B"/>
    <w:rsid w:val="00AC02C5"/>
    <w:rsid w:val="00AC0C15"/>
    <w:rsid w:val="00AC0D1E"/>
    <w:rsid w:val="00AC1086"/>
    <w:rsid w:val="00AC12FF"/>
    <w:rsid w:val="00AC15D2"/>
    <w:rsid w:val="00AC1646"/>
    <w:rsid w:val="00AC1AF8"/>
    <w:rsid w:val="00AC1C91"/>
    <w:rsid w:val="00AC1E43"/>
    <w:rsid w:val="00AC246B"/>
    <w:rsid w:val="00AC258C"/>
    <w:rsid w:val="00AC26C3"/>
    <w:rsid w:val="00AC29D1"/>
    <w:rsid w:val="00AC2A9D"/>
    <w:rsid w:val="00AC2C69"/>
    <w:rsid w:val="00AC2D70"/>
    <w:rsid w:val="00AC2EFA"/>
    <w:rsid w:val="00AC2F87"/>
    <w:rsid w:val="00AC3166"/>
    <w:rsid w:val="00AC32FC"/>
    <w:rsid w:val="00AC35D1"/>
    <w:rsid w:val="00AC384C"/>
    <w:rsid w:val="00AC38AE"/>
    <w:rsid w:val="00AC3903"/>
    <w:rsid w:val="00AC3B91"/>
    <w:rsid w:val="00AC3DBB"/>
    <w:rsid w:val="00AC3E0C"/>
    <w:rsid w:val="00AC3E46"/>
    <w:rsid w:val="00AC3F2F"/>
    <w:rsid w:val="00AC40BF"/>
    <w:rsid w:val="00AC42CB"/>
    <w:rsid w:val="00AC4831"/>
    <w:rsid w:val="00AC4F03"/>
    <w:rsid w:val="00AC5485"/>
    <w:rsid w:val="00AC59A0"/>
    <w:rsid w:val="00AC5B83"/>
    <w:rsid w:val="00AC5BEC"/>
    <w:rsid w:val="00AC5DAD"/>
    <w:rsid w:val="00AC62B9"/>
    <w:rsid w:val="00AC690B"/>
    <w:rsid w:val="00AC698B"/>
    <w:rsid w:val="00AC6A1F"/>
    <w:rsid w:val="00AC6BC0"/>
    <w:rsid w:val="00AC6BF6"/>
    <w:rsid w:val="00AC6DBA"/>
    <w:rsid w:val="00AC6E38"/>
    <w:rsid w:val="00AC6EB0"/>
    <w:rsid w:val="00AC6ECC"/>
    <w:rsid w:val="00AC70D3"/>
    <w:rsid w:val="00AC7717"/>
    <w:rsid w:val="00AC77FA"/>
    <w:rsid w:val="00AC78CE"/>
    <w:rsid w:val="00AC7902"/>
    <w:rsid w:val="00AC7B8F"/>
    <w:rsid w:val="00AD00DF"/>
    <w:rsid w:val="00AD013C"/>
    <w:rsid w:val="00AD0178"/>
    <w:rsid w:val="00AD01E4"/>
    <w:rsid w:val="00AD02B3"/>
    <w:rsid w:val="00AD0583"/>
    <w:rsid w:val="00AD0858"/>
    <w:rsid w:val="00AD08E2"/>
    <w:rsid w:val="00AD08F7"/>
    <w:rsid w:val="00AD0AE9"/>
    <w:rsid w:val="00AD0F54"/>
    <w:rsid w:val="00AD12F8"/>
    <w:rsid w:val="00AD141C"/>
    <w:rsid w:val="00AD19CD"/>
    <w:rsid w:val="00AD1A82"/>
    <w:rsid w:val="00AD1B3C"/>
    <w:rsid w:val="00AD1BFB"/>
    <w:rsid w:val="00AD1DD7"/>
    <w:rsid w:val="00AD1F5B"/>
    <w:rsid w:val="00AD2060"/>
    <w:rsid w:val="00AD2138"/>
    <w:rsid w:val="00AD2CC3"/>
    <w:rsid w:val="00AD2D0E"/>
    <w:rsid w:val="00AD2F59"/>
    <w:rsid w:val="00AD2F60"/>
    <w:rsid w:val="00AD2F92"/>
    <w:rsid w:val="00AD31BF"/>
    <w:rsid w:val="00AD31CA"/>
    <w:rsid w:val="00AD3704"/>
    <w:rsid w:val="00AD37D5"/>
    <w:rsid w:val="00AD3B04"/>
    <w:rsid w:val="00AD3F4A"/>
    <w:rsid w:val="00AD40C3"/>
    <w:rsid w:val="00AD4221"/>
    <w:rsid w:val="00AD44CD"/>
    <w:rsid w:val="00AD450E"/>
    <w:rsid w:val="00AD48DD"/>
    <w:rsid w:val="00AD4921"/>
    <w:rsid w:val="00AD49B8"/>
    <w:rsid w:val="00AD4CA6"/>
    <w:rsid w:val="00AD4FB4"/>
    <w:rsid w:val="00AD5352"/>
    <w:rsid w:val="00AD57A0"/>
    <w:rsid w:val="00AD58C8"/>
    <w:rsid w:val="00AD594A"/>
    <w:rsid w:val="00AD5CB9"/>
    <w:rsid w:val="00AD5E5E"/>
    <w:rsid w:val="00AD5E76"/>
    <w:rsid w:val="00AD5EB1"/>
    <w:rsid w:val="00AD624D"/>
    <w:rsid w:val="00AD6555"/>
    <w:rsid w:val="00AD65A2"/>
    <w:rsid w:val="00AD69B1"/>
    <w:rsid w:val="00AD6AE1"/>
    <w:rsid w:val="00AD6E84"/>
    <w:rsid w:val="00AD7113"/>
    <w:rsid w:val="00AD735B"/>
    <w:rsid w:val="00AD76B5"/>
    <w:rsid w:val="00AD79AB"/>
    <w:rsid w:val="00AD7AA2"/>
    <w:rsid w:val="00AD7E5C"/>
    <w:rsid w:val="00AD7F0E"/>
    <w:rsid w:val="00AE012F"/>
    <w:rsid w:val="00AE0434"/>
    <w:rsid w:val="00AE047D"/>
    <w:rsid w:val="00AE07C7"/>
    <w:rsid w:val="00AE07FA"/>
    <w:rsid w:val="00AE083F"/>
    <w:rsid w:val="00AE0915"/>
    <w:rsid w:val="00AE0C09"/>
    <w:rsid w:val="00AE0D14"/>
    <w:rsid w:val="00AE0D31"/>
    <w:rsid w:val="00AE0F3B"/>
    <w:rsid w:val="00AE11EF"/>
    <w:rsid w:val="00AE12BA"/>
    <w:rsid w:val="00AE1AB1"/>
    <w:rsid w:val="00AE1B93"/>
    <w:rsid w:val="00AE1E9D"/>
    <w:rsid w:val="00AE2151"/>
    <w:rsid w:val="00AE21C4"/>
    <w:rsid w:val="00AE27FA"/>
    <w:rsid w:val="00AE2A60"/>
    <w:rsid w:val="00AE2C80"/>
    <w:rsid w:val="00AE2E96"/>
    <w:rsid w:val="00AE2EE4"/>
    <w:rsid w:val="00AE2FF8"/>
    <w:rsid w:val="00AE318C"/>
    <w:rsid w:val="00AE3325"/>
    <w:rsid w:val="00AE3386"/>
    <w:rsid w:val="00AE341D"/>
    <w:rsid w:val="00AE3615"/>
    <w:rsid w:val="00AE38CF"/>
    <w:rsid w:val="00AE3955"/>
    <w:rsid w:val="00AE3DB5"/>
    <w:rsid w:val="00AE3EE1"/>
    <w:rsid w:val="00AE3F73"/>
    <w:rsid w:val="00AE409C"/>
    <w:rsid w:val="00AE40CE"/>
    <w:rsid w:val="00AE4459"/>
    <w:rsid w:val="00AE44A3"/>
    <w:rsid w:val="00AE4670"/>
    <w:rsid w:val="00AE4924"/>
    <w:rsid w:val="00AE4AFB"/>
    <w:rsid w:val="00AE4D03"/>
    <w:rsid w:val="00AE4F10"/>
    <w:rsid w:val="00AE51CC"/>
    <w:rsid w:val="00AE53C3"/>
    <w:rsid w:val="00AE5423"/>
    <w:rsid w:val="00AE5521"/>
    <w:rsid w:val="00AE5B01"/>
    <w:rsid w:val="00AE5D7D"/>
    <w:rsid w:val="00AE5DFD"/>
    <w:rsid w:val="00AE601A"/>
    <w:rsid w:val="00AE6309"/>
    <w:rsid w:val="00AE65E1"/>
    <w:rsid w:val="00AE6640"/>
    <w:rsid w:val="00AE6718"/>
    <w:rsid w:val="00AE671C"/>
    <w:rsid w:val="00AE68AD"/>
    <w:rsid w:val="00AE69C4"/>
    <w:rsid w:val="00AE6A0B"/>
    <w:rsid w:val="00AE6F90"/>
    <w:rsid w:val="00AE6F9C"/>
    <w:rsid w:val="00AE7221"/>
    <w:rsid w:val="00AE72C2"/>
    <w:rsid w:val="00AE7340"/>
    <w:rsid w:val="00AE7523"/>
    <w:rsid w:val="00AE7A92"/>
    <w:rsid w:val="00AE7AFA"/>
    <w:rsid w:val="00AE7FD5"/>
    <w:rsid w:val="00AF020E"/>
    <w:rsid w:val="00AF02AE"/>
    <w:rsid w:val="00AF02D9"/>
    <w:rsid w:val="00AF03FA"/>
    <w:rsid w:val="00AF0415"/>
    <w:rsid w:val="00AF0946"/>
    <w:rsid w:val="00AF0D12"/>
    <w:rsid w:val="00AF0F02"/>
    <w:rsid w:val="00AF10D6"/>
    <w:rsid w:val="00AF1301"/>
    <w:rsid w:val="00AF1524"/>
    <w:rsid w:val="00AF1BBD"/>
    <w:rsid w:val="00AF1CC9"/>
    <w:rsid w:val="00AF1DC7"/>
    <w:rsid w:val="00AF1DD8"/>
    <w:rsid w:val="00AF208C"/>
    <w:rsid w:val="00AF20F0"/>
    <w:rsid w:val="00AF21F8"/>
    <w:rsid w:val="00AF24FB"/>
    <w:rsid w:val="00AF26AD"/>
    <w:rsid w:val="00AF2753"/>
    <w:rsid w:val="00AF27F6"/>
    <w:rsid w:val="00AF29C4"/>
    <w:rsid w:val="00AF2A45"/>
    <w:rsid w:val="00AF2B01"/>
    <w:rsid w:val="00AF2E9E"/>
    <w:rsid w:val="00AF341D"/>
    <w:rsid w:val="00AF3924"/>
    <w:rsid w:val="00AF3A37"/>
    <w:rsid w:val="00AF3BEB"/>
    <w:rsid w:val="00AF3C1E"/>
    <w:rsid w:val="00AF3C9B"/>
    <w:rsid w:val="00AF3CEB"/>
    <w:rsid w:val="00AF3CFC"/>
    <w:rsid w:val="00AF40B9"/>
    <w:rsid w:val="00AF440A"/>
    <w:rsid w:val="00AF443C"/>
    <w:rsid w:val="00AF44B9"/>
    <w:rsid w:val="00AF4556"/>
    <w:rsid w:val="00AF4633"/>
    <w:rsid w:val="00AF465A"/>
    <w:rsid w:val="00AF4850"/>
    <w:rsid w:val="00AF4959"/>
    <w:rsid w:val="00AF50F1"/>
    <w:rsid w:val="00AF530D"/>
    <w:rsid w:val="00AF5372"/>
    <w:rsid w:val="00AF5435"/>
    <w:rsid w:val="00AF5496"/>
    <w:rsid w:val="00AF54B8"/>
    <w:rsid w:val="00AF55E7"/>
    <w:rsid w:val="00AF590A"/>
    <w:rsid w:val="00AF5C14"/>
    <w:rsid w:val="00AF5D42"/>
    <w:rsid w:val="00AF619D"/>
    <w:rsid w:val="00AF6287"/>
    <w:rsid w:val="00AF67EF"/>
    <w:rsid w:val="00AF6AB3"/>
    <w:rsid w:val="00AF6AFC"/>
    <w:rsid w:val="00AF6D07"/>
    <w:rsid w:val="00AF6F00"/>
    <w:rsid w:val="00AF6F38"/>
    <w:rsid w:val="00AF6FAF"/>
    <w:rsid w:val="00AF6FB5"/>
    <w:rsid w:val="00AF703D"/>
    <w:rsid w:val="00AF7094"/>
    <w:rsid w:val="00AF70AC"/>
    <w:rsid w:val="00AF72CB"/>
    <w:rsid w:val="00AF7337"/>
    <w:rsid w:val="00AF7504"/>
    <w:rsid w:val="00AF778B"/>
    <w:rsid w:val="00AF7CC9"/>
    <w:rsid w:val="00AF7DEF"/>
    <w:rsid w:val="00AF7F19"/>
    <w:rsid w:val="00AF7F83"/>
    <w:rsid w:val="00B001F1"/>
    <w:rsid w:val="00B002F7"/>
    <w:rsid w:val="00B00674"/>
    <w:rsid w:val="00B00A07"/>
    <w:rsid w:val="00B00E1D"/>
    <w:rsid w:val="00B014DA"/>
    <w:rsid w:val="00B01C0A"/>
    <w:rsid w:val="00B01D07"/>
    <w:rsid w:val="00B01D2A"/>
    <w:rsid w:val="00B01D5B"/>
    <w:rsid w:val="00B01D60"/>
    <w:rsid w:val="00B01FA8"/>
    <w:rsid w:val="00B024D5"/>
    <w:rsid w:val="00B0259D"/>
    <w:rsid w:val="00B0265D"/>
    <w:rsid w:val="00B028C6"/>
    <w:rsid w:val="00B02985"/>
    <w:rsid w:val="00B03096"/>
    <w:rsid w:val="00B0320E"/>
    <w:rsid w:val="00B035F1"/>
    <w:rsid w:val="00B0392B"/>
    <w:rsid w:val="00B0394E"/>
    <w:rsid w:val="00B03CAD"/>
    <w:rsid w:val="00B03D29"/>
    <w:rsid w:val="00B03E0F"/>
    <w:rsid w:val="00B03F0D"/>
    <w:rsid w:val="00B04067"/>
    <w:rsid w:val="00B044C3"/>
    <w:rsid w:val="00B04606"/>
    <w:rsid w:val="00B04705"/>
    <w:rsid w:val="00B04A2A"/>
    <w:rsid w:val="00B0538F"/>
    <w:rsid w:val="00B0580B"/>
    <w:rsid w:val="00B058A5"/>
    <w:rsid w:val="00B05AEA"/>
    <w:rsid w:val="00B05D0C"/>
    <w:rsid w:val="00B05DAF"/>
    <w:rsid w:val="00B05FD7"/>
    <w:rsid w:val="00B061F6"/>
    <w:rsid w:val="00B06350"/>
    <w:rsid w:val="00B0641F"/>
    <w:rsid w:val="00B066D3"/>
    <w:rsid w:val="00B06844"/>
    <w:rsid w:val="00B0688B"/>
    <w:rsid w:val="00B06930"/>
    <w:rsid w:val="00B069DB"/>
    <w:rsid w:val="00B06D55"/>
    <w:rsid w:val="00B06D5A"/>
    <w:rsid w:val="00B06E7B"/>
    <w:rsid w:val="00B06F90"/>
    <w:rsid w:val="00B06FFF"/>
    <w:rsid w:val="00B07897"/>
    <w:rsid w:val="00B078F1"/>
    <w:rsid w:val="00B07A38"/>
    <w:rsid w:val="00B07D08"/>
    <w:rsid w:val="00B07D66"/>
    <w:rsid w:val="00B07EB8"/>
    <w:rsid w:val="00B07F4B"/>
    <w:rsid w:val="00B10050"/>
    <w:rsid w:val="00B10207"/>
    <w:rsid w:val="00B105F2"/>
    <w:rsid w:val="00B1068E"/>
    <w:rsid w:val="00B10926"/>
    <w:rsid w:val="00B1093B"/>
    <w:rsid w:val="00B10C49"/>
    <w:rsid w:val="00B10C73"/>
    <w:rsid w:val="00B10C87"/>
    <w:rsid w:val="00B10E0D"/>
    <w:rsid w:val="00B10FA0"/>
    <w:rsid w:val="00B110B4"/>
    <w:rsid w:val="00B1111F"/>
    <w:rsid w:val="00B115E9"/>
    <w:rsid w:val="00B11624"/>
    <w:rsid w:val="00B11CEE"/>
    <w:rsid w:val="00B11D14"/>
    <w:rsid w:val="00B12683"/>
    <w:rsid w:val="00B1280A"/>
    <w:rsid w:val="00B12AFF"/>
    <w:rsid w:val="00B12EB1"/>
    <w:rsid w:val="00B12EB2"/>
    <w:rsid w:val="00B13020"/>
    <w:rsid w:val="00B13187"/>
    <w:rsid w:val="00B137F2"/>
    <w:rsid w:val="00B138EF"/>
    <w:rsid w:val="00B13B9F"/>
    <w:rsid w:val="00B13D78"/>
    <w:rsid w:val="00B13EA6"/>
    <w:rsid w:val="00B141E7"/>
    <w:rsid w:val="00B1425E"/>
    <w:rsid w:val="00B1446C"/>
    <w:rsid w:val="00B14653"/>
    <w:rsid w:val="00B14667"/>
    <w:rsid w:val="00B147C3"/>
    <w:rsid w:val="00B147FA"/>
    <w:rsid w:val="00B148AC"/>
    <w:rsid w:val="00B14DAE"/>
    <w:rsid w:val="00B14FC8"/>
    <w:rsid w:val="00B14FEE"/>
    <w:rsid w:val="00B151E9"/>
    <w:rsid w:val="00B152D1"/>
    <w:rsid w:val="00B154DE"/>
    <w:rsid w:val="00B15663"/>
    <w:rsid w:val="00B15808"/>
    <w:rsid w:val="00B1594B"/>
    <w:rsid w:val="00B1599A"/>
    <w:rsid w:val="00B15E8E"/>
    <w:rsid w:val="00B15F79"/>
    <w:rsid w:val="00B160E7"/>
    <w:rsid w:val="00B160F8"/>
    <w:rsid w:val="00B1650D"/>
    <w:rsid w:val="00B165EE"/>
    <w:rsid w:val="00B167EC"/>
    <w:rsid w:val="00B16D9A"/>
    <w:rsid w:val="00B171E8"/>
    <w:rsid w:val="00B1731E"/>
    <w:rsid w:val="00B173F1"/>
    <w:rsid w:val="00B17667"/>
    <w:rsid w:val="00B1772E"/>
    <w:rsid w:val="00B17914"/>
    <w:rsid w:val="00B1797B"/>
    <w:rsid w:val="00B17C89"/>
    <w:rsid w:val="00B20066"/>
    <w:rsid w:val="00B2013E"/>
    <w:rsid w:val="00B20382"/>
    <w:rsid w:val="00B204E2"/>
    <w:rsid w:val="00B20509"/>
    <w:rsid w:val="00B2061F"/>
    <w:rsid w:val="00B20AC8"/>
    <w:rsid w:val="00B20B18"/>
    <w:rsid w:val="00B20B82"/>
    <w:rsid w:val="00B20C2C"/>
    <w:rsid w:val="00B20C4B"/>
    <w:rsid w:val="00B20CDE"/>
    <w:rsid w:val="00B20D88"/>
    <w:rsid w:val="00B20ED3"/>
    <w:rsid w:val="00B211DB"/>
    <w:rsid w:val="00B212E8"/>
    <w:rsid w:val="00B21B52"/>
    <w:rsid w:val="00B21C6A"/>
    <w:rsid w:val="00B21D94"/>
    <w:rsid w:val="00B224C6"/>
    <w:rsid w:val="00B224F6"/>
    <w:rsid w:val="00B22794"/>
    <w:rsid w:val="00B227A0"/>
    <w:rsid w:val="00B22848"/>
    <w:rsid w:val="00B2288A"/>
    <w:rsid w:val="00B22C5F"/>
    <w:rsid w:val="00B22D99"/>
    <w:rsid w:val="00B2303B"/>
    <w:rsid w:val="00B23119"/>
    <w:rsid w:val="00B232DF"/>
    <w:rsid w:val="00B236E9"/>
    <w:rsid w:val="00B23736"/>
    <w:rsid w:val="00B2398E"/>
    <w:rsid w:val="00B23B9F"/>
    <w:rsid w:val="00B23C53"/>
    <w:rsid w:val="00B23CA6"/>
    <w:rsid w:val="00B23D63"/>
    <w:rsid w:val="00B23F2C"/>
    <w:rsid w:val="00B24173"/>
    <w:rsid w:val="00B242C5"/>
    <w:rsid w:val="00B24478"/>
    <w:rsid w:val="00B246DD"/>
    <w:rsid w:val="00B2477A"/>
    <w:rsid w:val="00B24B1F"/>
    <w:rsid w:val="00B24F2E"/>
    <w:rsid w:val="00B24F86"/>
    <w:rsid w:val="00B2511A"/>
    <w:rsid w:val="00B253A1"/>
    <w:rsid w:val="00B2564B"/>
    <w:rsid w:val="00B25896"/>
    <w:rsid w:val="00B25973"/>
    <w:rsid w:val="00B259B0"/>
    <w:rsid w:val="00B25A7E"/>
    <w:rsid w:val="00B2620C"/>
    <w:rsid w:val="00B26587"/>
    <w:rsid w:val="00B26AD8"/>
    <w:rsid w:val="00B26B31"/>
    <w:rsid w:val="00B26DE5"/>
    <w:rsid w:val="00B2721C"/>
    <w:rsid w:val="00B2724A"/>
    <w:rsid w:val="00B27317"/>
    <w:rsid w:val="00B27426"/>
    <w:rsid w:val="00B27473"/>
    <w:rsid w:val="00B27597"/>
    <w:rsid w:val="00B2760E"/>
    <w:rsid w:val="00B27782"/>
    <w:rsid w:val="00B278AE"/>
    <w:rsid w:val="00B27A28"/>
    <w:rsid w:val="00B27FA4"/>
    <w:rsid w:val="00B3001D"/>
    <w:rsid w:val="00B3016B"/>
    <w:rsid w:val="00B30188"/>
    <w:rsid w:val="00B30204"/>
    <w:rsid w:val="00B3026F"/>
    <w:rsid w:val="00B302CC"/>
    <w:rsid w:val="00B303B2"/>
    <w:rsid w:val="00B3069E"/>
    <w:rsid w:val="00B306AF"/>
    <w:rsid w:val="00B30A42"/>
    <w:rsid w:val="00B31053"/>
    <w:rsid w:val="00B3120D"/>
    <w:rsid w:val="00B31568"/>
    <w:rsid w:val="00B31664"/>
    <w:rsid w:val="00B316BF"/>
    <w:rsid w:val="00B31892"/>
    <w:rsid w:val="00B3192F"/>
    <w:rsid w:val="00B31ABE"/>
    <w:rsid w:val="00B321E6"/>
    <w:rsid w:val="00B321E8"/>
    <w:rsid w:val="00B3225E"/>
    <w:rsid w:val="00B32464"/>
    <w:rsid w:val="00B3278D"/>
    <w:rsid w:val="00B32860"/>
    <w:rsid w:val="00B328C8"/>
    <w:rsid w:val="00B32B41"/>
    <w:rsid w:val="00B32CF8"/>
    <w:rsid w:val="00B32D3C"/>
    <w:rsid w:val="00B32EDE"/>
    <w:rsid w:val="00B33196"/>
    <w:rsid w:val="00B3347E"/>
    <w:rsid w:val="00B33487"/>
    <w:rsid w:val="00B33587"/>
    <w:rsid w:val="00B335CD"/>
    <w:rsid w:val="00B339EF"/>
    <w:rsid w:val="00B33A82"/>
    <w:rsid w:val="00B33CC2"/>
    <w:rsid w:val="00B33DB0"/>
    <w:rsid w:val="00B3404F"/>
    <w:rsid w:val="00B34076"/>
    <w:rsid w:val="00B343C8"/>
    <w:rsid w:val="00B344A7"/>
    <w:rsid w:val="00B344AC"/>
    <w:rsid w:val="00B3471A"/>
    <w:rsid w:val="00B3487C"/>
    <w:rsid w:val="00B349EE"/>
    <w:rsid w:val="00B34D55"/>
    <w:rsid w:val="00B34F48"/>
    <w:rsid w:val="00B34FEF"/>
    <w:rsid w:val="00B350A0"/>
    <w:rsid w:val="00B351B4"/>
    <w:rsid w:val="00B3537D"/>
    <w:rsid w:val="00B355F4"/>
    <w:rsid w:val="00B3563C"/>
    <w:rsid w:val="00B35801"/>
    <w:rsid w:val="00B35C83"/>
    <w:rsid w:val="00B35EE3"/>
    <w:rsid w:val="00B3607C"/>
    <w:rsid w:val="00B3655F"/>
    <w:rsid w:val="00B36570"/>
    <w:rsid w:val="00B36D02"/>
    <w:rsid w:val="00B36FCB"/>
    <w:rsid w:val="00B375FB"/>
    <w:rsid w:val="00B37655"/>
    <w:rsid w:val="00B376F8"/>
    <w:rsid w:val="00B37BC0"/>
    <w:rsid w:val="00B37DF3"/>
    <w:rsid w:val="00B401F5"/>
    <w:rsid w:val="00B40503"/>
    <w:rsid w:val="00B405AD"/>
    <w:rsid w:val="00B4066E"/>
    <w:rsid w:val="00B40670"/>
    <w:rsid w:val="00B407C9"/>
    <w:rsid w:val="00B40B77"/>
    <w:rsid w:val="00B40C86"/>
    <w:rsid w:val="00B411A6"/>
    <w:rsid w:val="00B413D5"/>
    <w:rsid w:val="00B41D35"/>
    <w:rsid w:val="00B41FEE"/>
    <w:rsid w:val="00B421D0"/>
    <w:rsid w:val="00B42235"/>
    <w:rsid w:val="00B422A0"/>
    <w:rsid w:val="00B4272C"/>
    <w:rsid w:val="00B427A3"/>
    <w:rsid w:val="00B427F4"/>
    <w:rsid w:val="00B42A0E"/>
    <w:rsid w:val="00B42B0F"/>
    <w:rsid w:val="00B42F13"/>
    <w:rsid w:val="00B430DD"/>
    <w:rsid w:val="00B4316D"/>
    <w:rsid w:val="00B4318F"/>
    <w:rsid w:val="00B43371"/>
    <w:rsid w:val="00B43555"/>
    <w:rsid w:val="00B43732"/>
    <w:rsid w:val="00B43A68"/>
    <w:rsid w:val="00B43B24"/>
    <w:rsid w:val="00B43BF6"/>
    <w:rsid w:val="00B43C12"/>
    <w:rsid w:val="00B43DF6"/>
    <w:rsid w:val="00B43E26"/>
    <w:rsid w:val="00B43FDD"/>
    <w:rsid w:val="00B4431D"/>
    <w:rsid w:val="00B4437E"/>
    <w:rsid w:val="00B44615"/>
    <w:rsid w:val="00B44F24"/>
    <w:rsid w:val="00B44F7F"/>
    <w:rsid w:val="00B4515F"/>
    <w:rsid w:val="00B4534B"/>
    <w:rsid w:val="00B45554"/>
    <w:rsid w:val="00B455AF"/>
    <w:rsid w:val="00B45835"/>
    <w:rsid w:val="00B45A8F"/>
    <w:rsid w:val="00B45AAD"/>
    <w:rsid w:val="00B45AF8"/>
    <w:rsid w:val="00B45F4E"/>
    <w:rsid w:val="00B4601E"/>
    <w:rsid w:val="00B4607E"/>
    <w:rsid w:val="00B46216"/>
    <w:rsid w:val="00B4666A"/>
    <w:rsid w:val="00B46BCA"/>
    <w:rsid w:val="00B46FDB"/>
    <w:rsid w:val="00B47119"/>
    <w:rsid w:val="00B47159"/>
    <w:rsid w:val="00B4743E"/>
    <w:rsid w:val="00B475A5"/>
    <w:rsid w:val="00B47E79"/>
    <w:rsid w:val="00B47F39"/>
    <w:rsid w:val="00B502E5"/>
    <w:rsid w:val="00B506B1"/>
    <w:rsid w:val="00B506CB"/>
    <w:rsid w:val="00B50831"/>
    <w:rsid w:val="00B50DF5"/>
    <w:rsid w:val="00B50FD3"/>
    <w:rsid w:val="00B51060"/>
    <w:rsid w:val="00B510F5"/>
    <w:rsid w:val="00B51470"/>
    <w:rsid w:val="00B51B68"/>
    <w:rsid w:val="00B51D11"/>
    <w:rsid w:val="00B51E27"/>
    <w:rsid w:val="00B520F3"/>
    <w:rsid w:val="00B5230B"/>
    <w:rsid w:val="00B52568"/>
    <w:rsid w:val="00B527CB"/>
    <w:rsid w:val="00B52814"/>
    <w:rsid w:val="00B5292C"/>
    <w:rsid w:val="00B529C9"/>
    <w:rsid w:val="00B52B2D"/>
    <w:rsid w:val="00B52B35"/>
    <w:rsid w:val="00B52C1E"/>
    <w:rsid w:val="00B52C7E"/>
    <w:rsid w:val="00B52DE0"/>
    <w:rsid w:val="00B52F87"/>
    <w:rsid w:val="00B533E7"/>
    <w:rsid w:val="00B533F3"/>
    <w:rsid w:val="00B5370B"/>
    <w:rsid w:val="00B53819"/>
    <w:rsid w:val="00B53ACE"/>
    <w:rsid w:val="00B53B6E"/>
    <w:rsid w:val="00B53E2D"/>
    <w:rsid w:val="00B53E5E"/>
    <w:rsid w:val="00B54072"/>
    <w:rsid w:val="00B54143"/>
    <w:rsid w:val="00B54217"/>
    <w:rsid w:val="00B54374"/>
    <w:rsid w:val="00B54513"/>
    <w:rsid w:val="00B54704"/>
    <w:rsid w:val="00B549F4"/>
    <w:rsid w:val="00B552D1"/>
    <w:rsid w:val="00B55650"/>
    <w:rsid w:val="00B55B52"/>
    <w:rsid w:val="00B55BB0"/>
    <w:rsid w:val="00B55C00"/>
    <w:rsid w:val="00B55CE1"/>
    <w:rsid w:val="00B568D5"/>
    <w:rsid w:val="00B57038"/>
    <w:rsid w:val="00B571A3"/>
    <w:rsid w:val="00B574AE"/>
    <w:rsid w:val="00B577E1"/>
    <w:rsid w:val="00B5792A"/>
    <w:rsid w:val="00B579C7"/>
    <w:rsid w:val="00B57A29"/>
    <w:rsid w:val="00B6001D"/>
    <w:rsid w:val="00B60365"/>
    <w:rsid w:val="00B606E2"/>
    <w:rsid w:val="00B606FD"/>
    <w:rsid w:val="00B608F4"/>
    <w:rsid w:val="00B609E2"/>
    <w:rsid w:val="00B60B5B"/>
    <w:rsid w:val="00B60F00"/>
    <w:rsid w:val="00B60F4E"/>
    <w:rsid w:val="00B613AE"/>
    <w:rsid w:val="00B61479"/>
    <w:rsid w:val="00B61514"/>
    <w:rsid w:val="00B61563"/>
    <w:rsid w:val="00B6160C"/>
    <w:rsid w:val="00B616AB"/>
    <w:rsid w:val="00B61777"/>
    <w:rsid w:val="00B6187E"/>
    <w:rsid w:val="00B61D21"/>
    <w:rsid w:val="00B61FDD"/>
    <w:rsid w:val="00B62595"/>
    <w:rsid w:val="00B62648"/>
    <w:rsid w:val="00B628D7"/>
    <w:rsid w:val="00B62976"/>
    <w:rsid w:val="00B62ADA"/>
    <w:rsid w:val="00B62AFA"/>
    <w:rsid w:val="00B63153"/>
    <w:rsid w:val="00B631D8"/>
    <w:rsid w:val="00B633A1"/>
    <w:rsid w:val="00B6390B"/>
    <w:rsid w:val="00B63982"/>
    <w:rsid w:val="00B63BB5"/>
    <w:rsid w:val="00B63BFD"/>
    <w:rsid w:val="00B63C24"/>
    <w:rsid w:val="00B63C98"/>
    <w:rsid w:val="00B63E44"/>
    <w:rsid w:val="00B63F62"/>
    <w:rsid w:val="00B64168"/>
    <w:rsid w:val="00B64779"/>
    <w:rsid w:val="00B647BB"/>
    <w:rsid w:val="00B64B04"/>
    <w:rsid w:val="00B64B52"/>
    <w:rsid w:val="00B64C39"/>
    <w:rsid w:val="00B64FF6"/>
    <w:rsid w:val="00B650E6"/>
    <w:rsid w:val="00B656DF"/>
    <w:rsid w:val="00B657B0"/>
    <w:rsid w:val="00B657B5"/>
    <w:rsid w:val="00B659A9"/>
    <w:rsid w:val="00B659BC"/>
    <w:rsid w:val="00B65E90"/>
    <w:rsid w:val="00B662C8"/>
    <w:rsid w:val="00B6635D"/>
    <w:rsid w:val="00B665C0"/>
    <w:rsid w:val="00B66611"/>
    <w:rsid w:val="00B666E8"/>
    <w:rsid w:val="00B66A36"/>
    <w:rsid w:val="00B66BB6"/>
    <w:rsid w:val="00B66BC8"/>
    <w:rsid w:val="00B66D7C"/>
    <w:rsid w:val="00B66D84"/>
    <w:rsid w:val="00B66EE7"/>
    <w:rsid w:val="00B67059"/>
    <w:rsid w:val="00B6715A"/>
    <w:rsid w:val="00B671EC"/>
    <w:rsid w:val="00B673C3"/>
    <w:rsid w:val="00B67536"/>
    <w:rsid w:val="00B67804"/>
    <w:rsid w:val="00B679BE"/>
    <w:rsid w:val="00B67A8A"/>
    <w:rsid w:val="00B67E5C"/>
    <w:rsid w:val="00B67E6F"/>
    <w:rsid w:val="00B7004C"/>
    <w:rsid w:val="00B701F4"/>
    <w:rsid w:val="00B70241"/>
    <w:rsid w:val="00B70367"/>
    <w:rsid w:val="00B704EB"/>
    <w:rsid w:val="00B705C2"/>
    <w:rsid w:val="00B7073C"/>
    <w:rsid w:val="00B70884"/>
    <w:rsid w:val="00B708A7"/>
    <w:rsid w:val="00B7095B"/>
    <w:rsid w:val="00B709C4"/>
    <w:rsid w:val="00B70BCF"/>
    <w:rsid w:val="00B70DDF"/>
    <w:rsid w:val="00B70E3B"/>
    <w:rsid w:val="00B71089"/>
    <w:rsid w:val="00B713F3"/>
    <w:rsid w:val="00B7143C"/>
    <w:rsid w:val="00B71485"/>
    <w:rsid w:val="00B716B4"/>
    <w:rsid w:val="00B72016"/>
    <w:rsid w:val="00B72160"/>
    <w:rsid w:val="00B723E6"/>
    <w:rsid w:val="00B7245C"/>
    <w:rsid w:val="00B725B2"/>
    <w:rsid w:val="00B7266D"/>
    <w:rsid w:val="00B728C2"/>
    <w:rsid w:val="00B7294C"/>
    <w:rsid w:val="00B72AA8"/>
    <w:rsid w:val="00B72AFE"/>
    <w:rsid w:val="00B72EA6"/>
    <w:rsid w:val="00B732D6"/>
    <w:rsid w:val="00B734E2"/>
    <w:rsid w:val="00B73D9C"/>
    <w:rsid w:val="00B7400B"/>
    <w:rsid w:val="00B74072"/>
    <w:rsid w:val="00B74170"/>
    <w:rsid w:val="00B74202"/>
    <w:rsid w:val="00B74352"/>
    <w:rsid w:val="00B74A24"/>
    <w:rsid w:val="00B74D08"/>
    <w:rsid w:val="00B74D8A"/>
    <w:rsid w:val="00B75028"/>
    <w:rsid w:val="00B752B9"/>
    <w:rsid w:val="00B755BB"/>
    <w:rsid w:val="00B75967"/>
    <w:rsid w:val="00B75AD0"/>
    <w:rsid w:val="00B75CC3"/>
    <w:rsid w:val="00B75E49"/>
    <w:rsid w:val="00B75F38"/>
    <w:rsid w:val="00B762C4"/>
    <w:rsid w:val="00B766DA"/>
    <w:rsid w:val="00B766F2"/>
    <w:rsid w:val="00B76917"/>
    <w:rsid w:val="00B76C39"/>
    <w:rsid w:val="00B76C53"/>
    <w:rsid w:val="00B76C56"/>
    <w:rsid w:val="00B76D36"/>
    <w:rsid w:val="00B76F21"/>
    <w:rsid w:val="00B7735F"/>
    <w:rsid w:val="00B774E6"/>
    <w:rsid w:val="00B77585"/>
    <w:rsid w:val="00B777AA"/>
    <w:rsid w:val="00B77839"/>
    <w:rsid w:val="00B778A0"/>
    <w:rsid w:val="00B77B16"/>
    <w:rsid w:val="00B77BA1"/>
    <w:rsid w:val="00B77D99"/>
    <w:rsid w:val="00B77F06"/>
    <w:rsid w:val="00B80105"/>
    <w:rsid w:val="00B8033C"/>
    <w:rsid w:val="00B80479"/>
    <w:rsid w:val="00B8058E"/>
    <w:rsid w:val="00B807CF"/>
    <w:rsid w:val="00B807F2"/>
    <w:rsid w:val="00B808D8"/>
    <w:rsid w:val="00B810A7"/>
    <w:rsid w:val="00B81698"/>
    <w:rsid w:val="00B81C0F"/>
    <w:rsid w:val="00B81E0F"/>
    <w:rsid w:val="00B81E81"/>
    <w:rsid w:val="00B82006"/>
    <w:rsid w:val="00B8214F"/>
    <w:rsid w:val="00B8269B"/>
    <w:rsid w:val="00B8275F"/>
    <w:rsid w:val="00B82865"/>
    <w:rsid w:val="00B829C0"/>
    <w:rsid w:val="00B82A7A"/>
    <w:rsid w:val="00B82BF1"/>
    <w:rsid w:val="00B82E1C"/>
    <w:rsid w:val="00B82EC0"/>
    <w:rsid w:val="00B82F38"/>
    <w:rsid w:val="00B82F87"/>
    <w:rsid w:val="00B83173"/>
    <w:rsid w:val="00B832FE"/>
    <w:rsid w:val="00B8331C"/>
    <w:rsid w:val="00B833A2"/>
    <w:rsid w:val="00B838FD"/>
    <w:rsid w:val="00B83957"/>
    <w:rsid w:val="00B839B9"/>
    <w:rsid w:val="00B83A56"/>
    <w:rsid w:val="00B83A8A"/>
    <w:rsid w:val="00B83BDE"/>
    <w:rsid w:val="00B83D43"/>
    <w:rsid w:val="00B83E5E"/>
    <w:rsid w:val="00B83F0D"/>
    <w:rsid w:val="00B8411E"/>
    <w:rsid w:val="00B8416A"/>
    <w:rsid w:val="00B8439D"/>
    <w:rsid w:val="00B847D1"/>
    <w:rsid w:val="00B84857"/>
    <w:rsid w:val="00B85247"/>
    <w:rsid w:val="00B85275"/>
    <w:rsid w:val="00B853C6"/>
    <w:rsid w:val="00B85422"/>
    <w:rsid w:val="00B85B8C"/>
    <w:rsid w:val="00B86226"/>
    <w:rsid w:val="00B86550"/>
    <w:rsid w:val="00B865BA"/>
    <w:rsid w:val="00B865EC"/>
    <w:rsid w:val="00B8717D"/>
    <w:rsid w:val="00B872A6"/>
    <w:rsid w:val="00B87806"/>
    <w:rsid w:val="00B8799A"/>
    <w:rsid w:val="00B87A2D"/>
    <w:rsid w:val="00B87EC9"/>
    <w:rsid w:val="00B87FC7"/>
    <w:rsid w:val="00B9016E"/>
    <w:rsid w:val="00B9025C"/>
    <w:rsid w:val="00B90322"/>
    <w:rsid w:val="00B90458"/>
    <w:rsid w:val="00B90565"/>
    <w:rsid w:val="00B9086F"/>
    <w:rsid w:val="00B90AEC"/>
    <w:rsid w:val="00B90B35"/>
    <w:rsid w:val="00B90BB9"/>
    <w:rsid w:val="00B9100C"/>
    <w:rsid w:val="00B912CA"/>
    <w:rsid w:val="00B914E7"/>
    <w:rsid w:val="00B916E9"/>
    <w:rsid w:val="00B91727"/>
    <w:rsid w:val="00B91CFA"/>
    <w:rsid w:val="00B91FC3"/>
    <w:rsid w:val="00B920CD"/>
    <w:rsid w:val="00B92397"/>
    <w:rsid w:val="00B92473"/>
    <w:rsid w:val="00B92971"/>
    <w:rsid w:val="00B92998"/>
    <w:rsid w:val="00B92BB0"/>
    <w:rsid w:val="00B92F03"/>
    <w:rsid w:val="00B9306B"/>
    <w:rsid w:val="00B933BE"/>
    <w:rsid w:val="00B9357D"/>
    <w:rsid w:val="00B9388A"/>
    <w:rsid w:val="00B93CC7"/>
    <w:rsid w:val="00B93D63"/>
    <w:rsid w:val="00B93F3C"/>
    <w:rsid w:val="00B9414D"/>
    <w:rsid w:val="00B94467"/>
    <w:rsid w:val="00B94489"/>
    <w:rsid w:val="00B94773"/>
    <w:rsid w:val="00B94AD2"/>
    <w:rsid w:val="00B94E59"/>
    <w:rsid w:val="00B95062"/>
    <w:rsid w:val="00B95441"/>
    <w:rsid w:val="00B955E7"/>
    <w:rsid w:val="00B9569E"/>
    <w:rsid w:val="00B956D6"/>
    <w:rsid w:val="00B95D06"/>
    <w:rsid w:val="00B95EA9"/>
    <w:rsid w:val="00B95EAC"/>
    <w:rsid w:val="00B95F44"/>
    <w:rsid w:val="00B95FC4"/>
    <w:rsid w:val="00B96334"/>
    <w:rsid w:val="00B963D4"/>
    <w:rsid w:val="00B964F3"/>
    <w:rsid w:val="00B96508"/>
    <w:rsid w:val="00B965B4"/>
    <w:rsid w:val="00B9660A"/>
    <w:rsid w:val="00B968D3"/>
    <w:rsid w:val="00B969C1"/>
    <w:rsid w:val="00B96AEC"/>
    <w:rsid w:val="00B96D64"/>
    <w:rsid w:val="00B96F35"/>
    <w:rsid w:val="00B97111"/>
    <w:rsid w:val="00B97359"/>
    <w:rsid w:val="00B9798F"/>
    <w:rsid w:val="00BA040D"/>
    <w:rsid w:val="00BA0501"/>
    <w:rsid w:val="00BA07A6"/>
    <w:rsid w:val="00BA07C4"/>
    <w:rsid w:val="00BA0A65"/>
    <w:rsid w:val="00BA0AA0"/>
    <w:rsid w:val="00BA0BE0"/>
    <w:rsid w:val="00BA0DA6"/>
    <w:rsid w:val="00BA12BA"/>
    <w:rsid w:val="00BA16B1"/>
    <w:rsid w:val="00BA1729"/>
    <w:rsid w:val="00BA19BE"/>
    <w:rsid w:val="00BA1D4F"/>
    <w:rsid w:val="00BA1EA1"/>
    <w:rsid w:val="00BA2168"/>
    <w:rsid w:val="00BA27D5"/>
    <w:rsid w:val="00BA290E"/>
    <w:rsid w:val="00BA293E"/>
    <w:rsid w:val="00BA302F"/>
    <w:rsid w:val="00BA33C9"/>
    <w:rsid w:val="00BA35E1"/>
    <w:rsid w:val="00BA3859"/>
    <w:rsid w:val="00BA397A"/>
    <w:rsid w:val="00BA39C7"/>
    <w:rsid w:val="00BA3C5A"/>
    <w:rsid w:val="00BA3E9E"/>
    <w:rsid w:val="00BA44BF"/>
    <w:rsid w:val="00BA45DF"/>
    <w:rsid w:val="00BA46A0"/>
    <w:rsid w:val="00BA46E9"/>
    <w:rsid w:val="00BA4D04"/>
    <w:rsid w:val="00BA4D12"/>
    <w:rsid w:val="00BA4D87"/>
    <w:rsid w:val="00BA53D8"/>
    <w:rsid w:val="00BA5465"/>
    <w:rsid w:val="00BA566C"/>
    <w:rsid w:val="00BA59CA"/>
    <w:rsid w:val="00BA5B8A"/>
    <w:rsid w:val="00BA5C3D"/>
    <w:rsid w:val="00BA5D5B"/>
    <w:rsid w:val="00BA5F2E"/>
    <w:rsid w:val="00BA61AF"/>
    <w:rsid w:val="00BA6917"/>
    <w:rsid w:val="00BA6B10"/>
    <w:rsid w:val="00BA6D93"/>
    <w:rsid w:val="00BA6EF5"/>
    <w:rsid w:val="00BA6F7F"/>
    <w:rsid w:val="00BA7108"/>
    <w:rsid w:val="00BA71CF"/>
    <w:rsid w:val="00BA7505"/>
    <w:rsid w:val="00BA75AE"/>
    <w:rsid w:val="00BA783A"/>
    <w:rsid w:val="00BA7941"/>
    <w:rsid w:val="00BA7EA1"/>
    <w:rsid w:val="00BB00BA"/>
    <w:rsid w:val="00BB04E4"/>
    <w:rsid w:val="00BB050F"/>
    <w:rsid w:val="00BB0728"/>
    <w:rsid w:val="00BB074E"/>
    <w:rsid w:val="00BB0C70"/>
    <w:rsid w:val="00BB0D98"/>
    <w:rsid w:val="00BB157F"/>
    <w:rsid w:val="00BB181A"/>
    <w:rsid w:val="00BB1AC8"/>
    <w:rsid w:val="00BB1BFB"/>
    <w:rsid w:val="00BB1DA0"/>
    <w:rsid w:val="00BB1FC7"/>
    <w:rsid w:val="00BB23A1"/>
    <w:rsid w:val="00BB24C6"/>
    <w:rsid w:val="00BB25E0"/>
    <w:rsid w:val="00BB2736"/>
    <w:rsid w:val="00BB2BC2"/>
    <w:rsid w:val="00BB2C65"/>
    <w:rsid w:val="00BB2D48"/>
    <w:rsid w:val="00BB2F1C"/>
    <w:rsid w:val="00BB2F3E"/>
    <w:rsid w:val="00BB349E"/>
    <w:rsid w:val="00BB37D6"/>
    <w:rsid w:val="00BB39E0"/>
    <w:rsid w:val="00BB3EE5"/>
    <w:rsid w:val="00BB3F39"/>
    <w:rsid w:val="00BB3F51"/>
    <w:rsid w:val="00BB3FB4"/>
    <w:rsid w:val="00BB416D"/>
    <w:rsid w:val="00BB421C"/>
    <w:rsid w:val="00BB4299"/>
    <w:rsid w:val="00BB43B3"/>
    <w:rsid w:val="00BB44B6"/>
    <w:rsid w:val="00BB4515"/>
    <w:rsid w:val="00BB45A9"/>
    <w:rsid w:val="00BB45AC"/>
    <w:rsid w:val="00BB4652"/>
    <w:rsid w:val="00BB493F"/>
    <w:rsid w:val="00BB4BBE"/>
    <w:rsid w:val="00BB501F"/>
    <w:rsid w:val="00BB5513"/>
    <w:rsid w:val="00BB5771"/>
    <w:rsid w:val="00BB57C8"/>
    <w:rsid w:val="00BB604A"/>
    <w:rsid w:val="00BB616A"/>
    <w:rsid w:val="00BB6220"/>
    <w:rsid w:val="00BB6434"/>
    <w:rsid w:val="00BB6435"/>
    <w:rsid w:val="00BB64DA"/>
    <w:rsid w:val="00BB684B"/>
    <w:rsid w:val="00BB7479"/>
    <w:rsid w:val="00BB78C3"/>
    <w:rsid w:val="00BB790C"/>
    <w:rsid w:val="00BB7A1B"/>
    <w:rsid w:val="00BB7D99"/>
    <w:rsid w:val="00BC0068"/>
    <w:rsid w:val="00BC0118"/>
    <w:rsid w:val="00BC0190"/>
    <w:rsid w:val="00BC0193"/>
    <w:rsid w:val="00BC01C0"/>
    <w:rsid w:val="00BC070E"/>
    <w:rsid w:val="00BC0775"/>
    <w:rsid w:val="00BC09BB"/>
    <w:rsid w:val="00BC0B32"/>
    <w:rsid w:val="00BC0F7D"/>
    <w:rsid w:val="00BC102A"/>
    <w:rsid w:val="00BC119B"/>
    <w:rsid w:val="00BC11B7"/>
    <w:rsid w:val="00BC11E3"/>
    <w:rsid w:val="00BC1461"/>
    <w:rsid w:val="00BC15C2"/>
    <w:rsid w:val="00BC17A2"/>
    <w:rsid w:val="00BC198E"/>
    <w:rsid w:val="00BC1A7D"/>
    <w:rsid w:val="00BC1CDC"/>
    <w:rsid w:val="00BC1D6E"/>
    <w:rsid w:val="00BC1DAF"/>
    <w:rsid w:val="00BC21F3"/>
    <w:rsid w:val="00BC22DC"/>
    <w:rsid w:val="00BC25DD"/>
    <w:rsid w:val="00BC28AD"/>
    <w:rsid w:val="00BC2AD5"/>
    <w:rsid w:val="00BC2BDC"/>
    <w:rsid w:val="00BC2C7F"/>
    <w:rsid w:val="00BC2CD6"/>
    <w:rsid w:val="00BC3021"/>
    <w:rsid w:val="00BC32E3"/>
    <w:rsid w:val="00BC38FD"/>
    <w:rsid w:val="00BC3A09"/>
    <w:rsid w:val="00BC3AE1"/>
    <w:rsid w:val="00BC3C03"/>
    <w:rsid w:val="00BC3EF7"/>
    <w:rsid w:val="00BC4117"/>
    <w:rsid w:val="00BC4556"/>
    <w:rsid w:val="00BC4BB5"/>
    <w:rsid w:val="00BC4EC7"/>
    <w:rsid w:val="00BC50F7"/>
    <w:rsid w:val="00BC5303"/>
    <w:rsid w:val="00BC531D"/>
    <w:rsid w:val="00BC5376"/>
    <w:rsid w:val="00BC5399"/>
    <w:rsid w:val="00BC55F2"/>
    <w:rsid w:val="00BC580B"/>
    <w:rsid w:val="00BC5ACA"/>
    <w:rsid w:val="00BC5CC2"/>
    <w:rsid w:val="00BC6018"/>
    <w:rsid w:val="00BC6030"/>
    <w:rsid w:val="00BC621F"/>
    <w:rsid w:val="00BC6268"/>
    <w:rsid w:val="00BC65EA"/>
    <w:rsid w:val="00BC65FE"/>
    <w:rsid w:val="00BC660E"/>
    <w:rsid w:val="00BC6A99"/>
    <w:rsid w:val="00BC6BD8"/>
    <w:rsid w:val="00BC6DE5"/>
    <w:rsid w:val="00BC6EA6"/>
    <w:rsid w:val="00BC6F28"/>
    <w:rsid w:val="00BC749E"/>
    <w:rsid w:val="00BC779C"/>
    <w:rsid w:val="00BC781C"/>
    <w:rsid w:val="00BC7BC4"/>
    <w:rsid w:val="00BC7D81"/>
    <w:rsid w:val="00BC7E36"/>
    <w:rsid w:val="00BD00CC"/>
    <w:rsid w:val="00BD0439"/>
    <w:rsid w:val="00BD0459"/>
    <w:rsid w:val="00BD04C6"/>
    <w:rsid w:val="00BD07B8"/>
    <w:rsid w:val="00BD0890"/>
    <w:rsid w:val="00BD0D37"/>
    <w:rsid w:val="00BD0DC3"/>
    <w:rsid w:val="00BD0E59"/>
    <w:rsid w:val="00BD0E86"/>
    <w:rsid w:val="00BD12E2"/>
    <w:rsid w:val="00BD13DA"/>
    <w:rsid w:val="00BD14A5"/>
    <w:rsid w:val="00BD1565"/>
    <w:rsid w:val="00BD16F2"/>
    <w:rsid w:val="00BD18DB"/>
    <w:rsid w:val="00BD18F9"/>
    <w:rsid w:val="00BD200E"/>
    <w:rsid w:val="00BD2172"/>
    <w:rsid w:val="00BD2290"/>
    <w:rsid w:val="00BD23F5"/>
    <w:rsid w:val="00BD2B31"/>
    <w:rsid w:val="00BD3533"/>
    <w:rsid w:val="00BD3BE7"/>
    <w:rsid w:val="00BD3D0F"/>
    <w:rsid w:val="00BD3E8B"/>
    <w:rsid w:val="00BD4109"/>
    <w:rsid w:val="00BD4222"/>
    <w:rsid w:val="00BD4560"/>
    <w:rsid w:val="00BD4C71"/>
    <w:rsid w:val="00BD54D7"/>
    <w:rsid w:val="00BD55BC"/>
    <w:rsid w:val="00BD5C11"/>
    <w:rsid w:val="00BD5C30"/>
    <w:rsid w:val="00BD5FAF"/>
    <w:rsid w:val="00BD631C"/>
    <w:rsid w:val="00BD6854"/>
    <w:rsid w:val="00BD6B18"/>
    <w:rsid w:val="00BD6DB1"/>
    <w:rsid w:val="00BD6DD3"/>
    <w:rsid w:val="00BD6ECE"/>
    <w:rsid w:val="00BD71E8"/>
    <w:rsid w:val="00BD7B49"/>
    <w:rsid w:val="00BD7C20"/>
    <w:rsid w:val="00BD7C95"/>
    <w:rsid w:val="00BD7F1D"/>
    <w:rsid w:val="00BD7FF6"/>
    <w:rsid w:val="00BE0099"/>
    <w:rsid w:val="00BE0110"/>
    <w:rsid w:val="00BE0480"/>
    <w:rsid w:val="00BE04AD"/>
    <w:rsid w:val="00BE04F2"/>
    <w:rsid w:val="00BE05E2"/>
    <w:rsid w:val="00BE06B9"/>
    <w:rsid w:val="00BE071F"/>
    <w:rsid w:val="00BE0CB9"/>
    <w:rsid w:val="00BE0DC4"/>
    <w:rsid w:val="00BE14E1"/>
    <w:rsid w:val="00BE159F"/>
    <w:rsid w:val="00BE192B"/>
    <w:rsid w:val="00BE19C8"/>
    <w:rsid w:val="00BE1A2A"/>
    <w:rsid w:val="00BE1C09"/>
    <w:rsid w:val="00BE1CD6"/>
    <w:rsid w:val="00BE1F23"/>
    <w:rsid w:val="00BE2084"/>
    <w:rsid w:val="00BE21BA"/>
    <w:rsid w:val="00BE2271"/>
    <w:rsid w:val="00BE24EE"/>
    <w:rsid w:val="00BE2618"/>
    <w:rsid w:val="00BE2A92"/>
    <w:rsid w:val="00BE3130"/>
    <w:rsid w:val="00BE3179"/>
    <w:rsid w:val="00BE31DD"/>
    <w:rsid w:val="00BE34BF"/>
    <w:rsid w:val="00BE34C2"/>
    <w:rsid w:val="00BE3878"/>
    <w:rsid w:val="00BE3F84"/>
    <w:rsid w:val="00BE42A3"/>
    <w:rsid w:val="00BE4619"/>
    <w:rsid w:val="00BE4749"/>
    <w:rsid w:val="00BE5184"/>
    <w:rsid w:val="00BE51D2"/>
    <w:rsid w:val="00BE52B2"/>
    <w:rsid w:val="00BE52FB"/>
    <w:rsid w:val="00BE5489"/>
    <w:rsid w:val="00BE55BE"/>
    <w:rsid w:val="00BE560B"/>
    <w:rsid w:val="00BE56E1"/>
    <w:rsid w:val="00BE5729"/>
    <w:rsid w:val="00BE5913"/>
    <w:rsid w:val="00BE5945"/>
    <w:rsid w:val="00BE5FB1"/>
    <w:rsid w:val="00BE6112"/>
    <w:rsid w:val="00BE6197"/>
    <w:rsid w:val="00BE62C5"/>
    <w:rsid w:val="00BE62C8"/>
    <w:rsid w:val="00BE6445"/>
    <w:rsid w:val="00BE6615"/>
    <w:rsid w:val="00BE6653"/>
    <w:rsid w:val="00BE68F0"/>
    <w:rsid w:val="00BE6A67"/>
    <w:rsid w:val="00BE6DBC"/>
    <w:rsid w:val="00BE6E56"/>
    <w:rsid w:val="00BE6EF7"/>
    <w:rsid w:val="00BE7586"/>
    <w:rsid w:val="00BE77AC"/>
    <w:rsid w:val="00BE7D3E"/>
    <w:rsid w:val="00BE7EAE"/>
    <w:rsid w:val="00BF0168"/>
    <w:rsid w:val="00BF0227"/>
    <w:rsid w:val="00BF0367"/>
    <w:rsid w:val="00BF03EB"/>
    <w:rsid w:val="00BF05E9"/>
    <w:rsid w:val="00BF0AB9"/>
    <w:rsid w:val="00BF0B0A"/>
    <w:rsid w:val="00BF105F"/>
    <w:rsid w:val="00BF1448"/>
    <w:rsid w:val="00BF154F"/>
    <w:rsid w:val="00BF1768"/>
    <w:rsid w:val="00BF1890"/>
    <w:rsid w:val="00BF1937"/>
    <w:rsid w:val="00BF19B6"/>
    <w:rsid w:val="00BF1A49"/>
    <w:rsid w:val="00BF1B6B"/>
    <w:rsid w:val="00BF1D7B"/>
    <w:rsid w:val="00BF204C"/>
    <w:rsid w:val="00BF20B6"/>
    <w:rsid w:val="00BF267C"/>
    <w:rsid w:val="00BF2750"/>
    <w:rsid w:val="00BF2752"/>
    <w:rsid w:val="00BF287F"/>
    <w:rsid w:val="00BF28F7"/>
    <w:rsid w:val="00BF29D3"/>
    <w:rsid w:val="00BF2C81"/>
    <w:rsid w:val="00BF2E3C"/>
    <w:rsid w:val="00BF2F9D"/>
    <w:rsid w:val="00BF306C"/>
    <w:rsid w:val="00BF3171"/>
    <w:rsid w:val="00BF31FA"/>
    <w:rsid w:val="00BF3650"/>
    <w:rsid w:val="00BF36ED"/>
    <w:rsid w:val="00BF3896"/>
    <w:rsid w:val="00BF3A04"/>
    <w:rsid w:val="00BF3BC7"/>
    <w:rsid w:val="00BF3CC7"/>
    <w:rsid w:val="00BF3E5A"/>
    <w:rsid w:val="00BF404A"/>
    <w:rsid w:val="00BF4940"/>
    <w:rsid w:val="00BF4AEC"/>
    <w:rsid w:val="00BF4F27"/>
    <w:rsid w:val="00BF4FA4"/>
    <w:rsid w:val="00BF56C1"/>
    <w:rsid w:val="00BF5EB0"/>
    <w:rsid w:val="00BF6166"/>
    <w:rsid w:val="00BF61EF"/>
    <w:rsid w:val="00BF62AB"/>
    <w:rsid w:val="00BF6879"/>
    <w:rsid w:val="00BF68A7"/>
    <w:rsid w:val="00BF6C36"/>
    <w:rsid w:val="00BF7153"/>
    <w:rsid w:val="00BF7342"/>
    <w:rsid w:val="00BF7534"/>
    <w:rsid w:val="00BF76BC"/>
    <w:rsid w:val="00BF78E7"/>
    <w:rsid w:val="00BF7983"/>
    <w:rsid w:val="00BF7A13"/>
    <w:rsid w:val="00BF7D4E"/>
    <w:rsid w:val="00BF7F43"/>
    <w:rsid w:val="00C0033E"/>
    <w:rsid w:val="00C00545"/>
    <w:rsid w:val="00C0098D"/>
    <w:rsid w:val="00C00A5B"/>
    <w:rsid w:val="00C01377"/>
    <w:rsid w:val="00C015C2"/>
    <w:rsid w:val="00C0170F"/>
    <w:rsid w:val="00C01DC1"/>
    <w:rsid w:val="00C01DF3"/>
    <w:rsid w:val="00C01E2E"/>
    <w:rsid w:val="00C0246F"/>
    <w:rsid w:val="00C02788"/>
    <w:rsid w:val="00C02835"/>
    <w:rsid w:val="00C02898"/>
    <w:rsid w:val="00C02947"/>
    <w:rsid w:val="00C02AD2"/>
    <w:rsid w:val="00C02CB5"/>
    <w:rsid w:val="00C02DAA"/>
    <w:rsid w:val="00C02FB5"/>
    <w:rsid w:val="00C0302D"/>
    <w:rsid w:val="00C031B9"/>
    <w:rsid w:val="00C033B8"/>
    <w:rsid w:val="00C03423"/>
    <w:rsid w:val="00C034CB"/>
    <w:rsid w:val="00C03543"/>
    <w:rsid w:val="00C03544"/>
    <w:rsid w:val="00C03584"/>
    <w:rsid w:val="00C036AE"/>
    <w:rsid w:val="00C038D9"/>
    <w:rsid w:val="00C03B1B"/>
    <w:rsid w:val="00C03B42"/>
    <w:rsid w:val="00C03B9F"/>
    <w:rsid w:val="00C03CFB"/>
    <w:rsid w:val="00C03FCE"/>
    <w:rsid w:val="00C0435B"/>
    <w:rsid w:val="00C0447F"/>
    <w:rsid w:val="00C04670"/>
    <w:rsid w:val="00C0469A"/>
    <w:rsid w:val="00C04814"/>
    <w:rsid w:val="00C04975"/>
    <w:rsid w:val="00C04C31"/>
    <w:rsid w:val="00C04C9D"/>
    <w:rsid w:val="00C04DC7"/>
    <w:rsid w:val="00C04E8B"/>
    <w:rsid w:val="00C051A8"/>
    <w:rsid w:val="00C0527E"/>
    <w:rsid w:val="00C05461"/>
    <w:rsid w:val="00C054BC"/>
    <w:rsid w:val="00C0579C"/>
    <w:rsid w:val="00C05857"/>
    <w:rsid w:val="00C058DE"/>
    <w:rsid w:val="00C059F4"/>
    <w:rsid w:val="00C05CDA"/>
    <w:rsid w:val="00C06048"/>
    <w:rsid w:val="00C0613B"/>
    <w:rsid w:val="00C062DC"/>
    <w:rsid w:val="00C06653"/>
    <w:rsid w:val="00C06ABA"/>
    <w:rsid w:val="00C07550"/>
    <w:rsid w:val="00C078DF"/>
    <w:rsid w:val="00C07B5C"/>
    <w:rsid w:val="00C07B72"/>
    <w:rsid w:val="00C07ECA"/>
    <w:rsid w:val="00C07F53"/>
    <w:rsid w:val="00C1002E"/>
    <w:rsid w:val="00C10072"/>
    <w:rsid w:val="00C10174"/>
    <w:rsid w:val="00C102B4"/>
    <w:rsid w:val="00C1038E"/>
    <w:rsid w:val="00C10457"/>
    <w:rsid w:val="00C106B6"/>
    <w:rsid w:val="00C108A9"/>
    <w:rsid w:val="00C108C8"/>
    <w:rsid w:val="00C10AE3"/>
    <w:rsid w:val="00C10B1E"/>
    <w:rsid w:val="00C10D41"/>
    <w:rsid w:val="00C10D51"/>
    <w:rsid w:val="00C10D78"/>
    <w:rsid w:val="00C10F0A"/>
    <w:rsid w:val="00C10F95"/>
    <w:rsid w:val="00C10FBC"/>
    <w:rsid w:val="00C115E8"/>
    <w:rsid w:val="00C11633"/>
    <w:rsid w:val="00C1186B"/>
    <w:rsid w:val="00C11908"/>
    <w:rsid w:val="00C11A15"/>
    <w:rsid w:val="00C11A3C"/>
    <w:rsid w:val="00C11B93"/>
    <w:rsid w:val="00C120DC"/>
    <w:rsid w:val="00C1238F"/>
    <w:rsid w:val="00C12740"/>
    <w:rsid w:val="00C12816"/>
    <w:rsid w:val="00C12837"/>
    <w:rsid w:val="00C12B58"/>
    <w:rsid w:val="00C12B74"/>
    <w:rsid w:val="00C12C7C"/>
    <w:rsid w:val="00C1316E"/>
    <w:rsid w:val="00C13249"/>
    <w:rsid w:val="00C13501"/>
    <w:rsid w:val="00C1394D"/>
    <w:rsid w:val="00C13ABA"/>
    <w:rsid w:val="00C13C5B"/>
    <w:rsid w:val="00C13CD8"/>
    <w:rsid w:val="00C13F1D"/>
    <w:rsid w:val="00C13F69"/>
    <w:rsid w:val="00C14094"/>
    <w:rsid w:val="00C14318"/>
    <w:rsid w:val="00C1445E"/>
    <w:rsid w:val="00C14491"/>
    <w:rsid w:val="00C144F8"/>
    <w:rsid w:val="00C1476A"/>
    <w:rsid w:val="00C147E6"/>
    <w:rsid w:val="00C14805"/>
    <w:rsid w:val="00C14822"/>
    <w:rsid w:val="00C14AC8"/>
    <w:rsid w:val="00C14CB9"/>
    <w:rsid w:val="00C14F73"/>
    <w:rsid w:val="00C1504A"/>
    <w:rsid w:val="00C15315"/>
    <w:rsid w:val="00C154D3"/>
    <w:rsid w:val="00C155C9"/>
    <w:rsid w:val="00C1563C"/>
    <w:rsid w:val="00C156DD"/>
    <w:rsid w:val="00C157E6"/>
    <w:rsid w:val="00C159AF"/>
    <w:rsid w:val="00C15ABB"/>
    <w:rsid w:val="00C15C87"/>
    <w:rsid w:val="00C15CBE"/>
    <w:rsid w:val="00C15D4D"/>
    <w:rsid w:val="00C15E57"/>
    <w:rsid w:val="00C15FDF"/>
    <w:rsid w:val="00C15FF6"/>
    <w:rsid w:val="00C1608A"/>
    <w:rsid w:val="00C16097"/>
    <w:rsid w:val="00C16195"/>
    <w:rsid w:val="00C161F6"/>
    <w:rsid w:val="00C16320"/>
    <w:rsid w:val="00C16334"/>
    <w:rsid w:val="00C16557"/>
    <w:rsid w:val="00C16564"/>
    <w:rsid w:val="00C16709"/>
    <w:rsid w:val="00C168AF"/>
    <w:rsid w:val="00C16E79"/>
    <w:rsid w:val="00C16F7B"/>
    <w:rsid w:val="00C17049"/>
    <w:rsid w:val="00C17242"/>
    <w:rsid w:val="00C17305"/>
    <w:rsid w:val="00C1734E"/>
    <w:rsid w:val="00C17664"/>
    <w:rsid w:val="00C1788D"/>
    <w:rsid w:val="00C17897"/>
    <w:rsid w:val="00C17A57"/>
    <w:rsid w:val="00C17B33"/>
    <w:rsid w:val="00C17D15"/>
    <w:rsid w:val="00C20080"/>
    <w:rsid w:val="00C200EA"/>
    <w:rsid w:val="00C201FC"/>
    <w:rsid w:val="00C20B25"/>
    <w:rsid w:val="00C20F48"/>
    <w:rsid w:val="00C21487"/>
    <w:rsid w:val="00C216A7"/>
    <w:rsid w:val="00C218FD"/>
    <w:rsid w:val="00C21A09"/>
    <w:rsid w:val="00C21ACE"/>
    <w:rsid w:val="00C221C1"/>
    <w:rsid w:val="00C22266"/>
    <w:rsid w:val="00C2232B"/>
    <w:rsid w:val="00C223E4"/>
    <w:rsid w:val="00C224FB"/>
    <w:rsid w:val="00C225CD"/>
    <w:rsid w:val="00C2273A"/>
    <w:rsid w:val="00C2285C"/>
    <w:rsid w:val="00C229AE"/>
    <w:rsid w:val="00C22AFA"/>
    <w:rsid w:val="00C22C34"/>
    <w:rsid w:val="00C22FBB"/>
    <w:rsid w:val="00C22FF6"/>
    <w:rsid w:val="00C234B6"/>
    <w:rsid w:val="00C23569"/>
    <w:rsid w:val="00C236F4"/>
    <w:rsid w:val="00C23868"/>
    <w:rsid w:val="00C23E7E"/>
    <w:rsid w:val="00C23FB9"/>
    <w:rsid w:val="00C244BC"/>
    <w:rsid w:val="00C2456C"/>
    <w:rsid w:val="00C24661"/>
    <w:rsid w:val="00C24909"/>
    <w:rsid w:val="00C24A85"/>
    <w:rsid w:val="00C24B9B"/>
    <w:rsid w:val="00C24D24"/>
    <w:rsid w:val="00C25153"/>
    <w:rsid w:val="00C25474"/>
    <w:rsid w:val="00C25572"/>
    <w:rsid w:val="00C259AF"/>
    <w:rsid w:val="00C25AA4"/>
    <w:rsid w:val="00C25AD1"/>
    <w:rsid w:val="00C25B78"/>
    <w:rsid w:val="00C25E47"/>
    <w:rsid w:val="00C25FD9"/>
    <w:rsid w:val="00C25FF2"/>
    <w:rsid w:val="00C25FF6"/>
    <w:rsid w:val="00C2623E"/>
    <w:rsid w:val="00C265DD"/>
    <w:rsid w:val="00C26989"/>
    <w:rsid w:val="00C26F9F"/>
    <w:rsid w:val="00C27049"/>
    <w:rsid w:val="00C271F8"/>
    <w:rsid w:val="00C27229"/>
    <w:rsid w:val="00C27306"/>
    <w:rsid w:val="00C277DB"/>
    <w:rsid w:val="00C27A63"/>
    <w:rsid w:val="00C27A79"/>
    <w:rsid w:val="00C27BE9"/>
    <w:rsid w:val="00C27E04"/>
    <w:rsid w:val="00C27FDE"/>
    <w:rsid w:val="00C3004A"/>
    <w:rsid w:val="00C300C2"/>
    <w:rsid w:val="00C30187"/>
    <w:rsid w:val="00C3021B"/>
    <w:rsid w:val="00C3046B"/>
    <w:rsid w:val="00C304A0"/>
    <w:rsid w:val="00C306BF"/>
    <w:rsid w:val="00C30707"/>
    <w:rsid w:val="00C30859"/>
    <w:rsid w:val="00C30EDD"/>
    <w:rsid w:val="00C30F9C"/>
    <w:rsid w:val="00C312EB"/>
    <w:rsid w:val="00C31570"/>
    <w:rsid w:val="00C31D98"/>
    <w:rsid w:val="00C31DB9"/>
    <w:rsid w:val="00C31EEC"/>
    <w:rsid w:val="00C31EED"/>
    <w:rsid w:val="00C31F23"/>
    <w:rsid w:val="00C3204D"/>
    <w:rsid w:val="00C320CC"/>
    <w:rsid w:val="00C3212F"/>
    <w:rsid w:val="00C32195"/>
    <w:rsid w:val="00C3234C"/>
    <w:rsid w:val="00C3244F"/>
    <w:rsid w:val="00C325C4"/>
    <w:rsid w:val="00C32603"/>
    <w:rsid w:val="00C329BB"/>
    <w:rsid w:val="00C32A19"/>
    <w:rsid w:val="00C32E7E"/>
    <w:rsid w:val="00C332F3"/>
    <w:rsid w:val="00C33712"/>
    <w:rsid w:val="00C33885"/>
    <w:rsid w:val="00C339E0"/>
    <w:rsid w:val="00C33A42"/>
    <w:rsid w:val="00C33CD3"/>
    <w:rsid w:val="00C33E11"/>
    <w:rsid w:val="00C33F32"/>
    <w:rsid w:val="00C340B4"/>
    <w:rsid w:val="00C341BE"/>
    <w:rsid w:val="00C342CF"/>
    <w:rsid w:val="00C34334"/>
    <w:rsid w:val="00C34468"/>
    <w:rsid w:val="00C344F2"/>
    <w:rsid w:val="00C345BF"/>
    <w:rsid w:val="00C347D3"/>
    <w:rsid w:val="00C35146"/>
    <w:rsid w:val="00C35516"/>
    <w:rsid w:val="00C35574"/>
    <w:rsid w:val="00C357EA"/>
    <w:rsid w:val="00C358DB"/>
    <w:rsid w:val="00C35980"/>
    <w:rsid w:val="00C35A24"/>
    <w:rsid w:val="00C35EC2"/>
    <w:rsid w:val="00C35FA2"/>
    <w:rsid w:val="00C3612F"/>
    <w:rsid w:val="00C361A6"/>
    <w:rsid w:val="00C36250"/>
    <w:rsid w:val="00C36489"/>
    <w:rsid w:val="00C364B3"/>
    <w:rsid w:val="00C365EA"/>
    <w:rsid w:val="00C365FF"/>
    <w:rsid w:val="00C3688F"/>
    <w:rsid w:val="00C3694B"/>
    <w:rsid w:val="00C369DB"/>
    <w:rsid w:val="00C36A64"/>
    <w:rsid w:val="00C37114"/>
    <w:rsid w:val="00C37421"/>
    <w:rsid w:val="00C37675"/>
    <w:rsid w:val="00C376E9"/>
    <w:rsid w:val="00C37895"/>
    <w:rsid w:val="00C40021"/>
    <w:rsid w:val="00C403C6"/>
    <w:rsid w:val="00C40668"/>
    <w:rsid w:val="00C4070A"/>
    <w:rsid w:val="00C4075D"/>
    <w:rsid w:val="00C40771"/>
    <w:rsid w:val="00C407A4"/>
    <w:rsid w:val="00C407B8"/>
    <w:rsid w:val="00C408E1"/>
    <w:rsid w:val="00C409D5"/>
    <w:rsid w:val="00C40B89"/>
    <w:rsid w:val="00C40FB0"/>
    <w:rsid w:val="00C40FED"/>
    <w:rsid w:val="00C41483"/>
    <w:rsid w:val="00C419B7"/>
    <w:rsid w:val="00C41BA6"/>
    <w:rsid w:val="00C41E97"/>
    <w:rsid w:val="00C421D4"/>
    <w:rsid w:val="00C423D0"/>
    <w:rsid w:val="00C42D9D"/>
    <w:rsid w:val="00C42DA4"/>
    <w:rsid w:val="00C435C3"/>
    <w:rsid w:val="00C4372D"/>
    <w:rsid w:val="00C43AA3"/>
    <w:rsid w:val="00C43CBB"/>
    <w:rsid w:val="00C43F95"/>
    <w:rsid w:val="00C440A6"/>
    <w:rsid w:val="00C443DC"/>
    <w:rsid w:val="00C44534"/>
    <w:rsid w:val="00C445B1"/>
    <w:rsid w:val="00C4481A"/>
    <w:rsid w:val="00C449A0"/>
    <w:rsid w:val="00C44AA7"/>
    <w:rsid w:val="00C44B52"/>
    <w:rsid w:val="00C4509A"/>
    <w:rsid w:val="00C4529E"/>
    <w:rsid w:val="00C453BE"/>
    <w:rsid w:val="00C456CF"/>
    <w:rsid w:val="00C458B1"/>
    <w:rsid w:val="00C459BA"/>
    <w:rsid w:val="00C45A28"/>
    <w:rsid w:val="00C45A2F"/>
    <w:rsid w:val="00C46083"/>
    <w:rsid w:val="00C4684A"/>
    <w:rsid w:val="00C46922"/>
    <w:rsid w:val="00C46A83"/>
    <w:rsid w:val="00C46B87"/>
    <w:rsid w:val="00C46DE4"/>
    <w:rsid w:val="00C4739E"/>
    <w:rsid w:val="00C478E0"/>
    <w:rsid w:val="00C4791D"/>
    <w:rsid w:val="00C47AFD"/>
    <w:rsid w:val="00C47C24"/>
    <w:rsid w:val="00C47FB1"/>
    <w:rsid w:val="00C5031E"/>
    <w:rsid w:val="00C5059A"/>
    <w:rsid w:val="00C505E1"/>
    <w:rsid w:val="00C508B3"/>
    <w:rsid w:val="00C508DD"/>
    <w:rsid w:val="00C50AB2"/>
    <w:rsid w:val="00C50C3A"/>
    <w:rsid w:val="00C50D1F"/>
    <w:rsid w:val="00C5133A"/>
    <w:rsid w:val="00C515E4"/>
    <w:rsid w:val="00C516B1"/>
    <w:rsid w:val="00C51700"/>
    <w:rsid w:val="00C5181D"/>
    <w:rsid w:val="00C51F1F"/>
    <w:rsid w:val="00C520EB"/>
    <w:rsid w:val="00C524C9"/>
    <w:rsid w:val="00C524F9"/>
    <w:rsid w:val="00C525A9"/>
    <w:rsid w:val="00C5276F"/>
    <w:rsid w:val="00C52A8D"/>
    <w:rsid w:val="00C52CD7"/>
    <w:rsid w:val="00C52EC2"/>
    <w:rsid w:val="00C52F0B"/>
    <w:rsid w:val="00C52F81"/>
    <w:rsid w:val="00C5314B"/>
    <w:rsid w:val="00C5357E"/>
    <w:rsid w:val="00C535CB"/>
    <w:rsid w:val="00C53643"/>
    <w:rsid w:val="00C5373A"/>
    <w:rsid w:val="00C53A14"/>
    <w:rsid w:val="00C53BD1"/>
    <w:rsid w:val="00C53DEF"/>
    <w:rsid w:val="00C5415B"/>
    <w:rsid w:val="00C5435A"/>
    <w:rsid w:val="00C544D2"/>
    <w:rsid w:val="00C54578"/>
    <w:rsid w:val="00C54BE0"/>
    <w:rsid w:val="00C54CD6"/>
    <w:rsid w:val="00C54D7C"/>
    <w:rsid w:val="00C54DF0"/>
    <w:rsid w:val="00C54E64"/>
    <w:rsid w:val="00C54F82"/>
    <w:rsid w:val="00C55320"/>
    <w:rsid w:val="00C55551"/>
    <w:rsid w:val="00C55576"/>
    <w:rsid w:val="00C556BC"/>
    <w:rsid w:val="00C557B4"/>
    <w:rsid w:val="00C56021"/>
    <w:rsid w:val="00C56148"/>
    <w:rsid w:val="00C56407"/>
    <w:rsid w:val="00C5652E"/>
    <w:rsid w:val="00C565FF"/>
    <w:rsid w:val="00C56ED5"/>
    <w:rsid w:val="00C56FF4"/>
    <w:rsid w:val="00C573ED"/>
    <w:rsid w:val="00C57780"/>
    <w:rsid w:val="00C578D0"/>
    <w:rsid w:val="00C578E1"/>
    <w:rsid w:val="00C57C15"/>
    <w:rsid w:val="00C57E92"/>
    <w:rsid w:val="00C60390"/>
    <w:rsid w:val="00C60424"/>
    <w:rsid w:val="00C60691"/>
    <w:rsid w:val="00C609DD"/>
    <w:rsid w:val="00C60B79"/>
    <w:rsid w:val="00C60E0E"/>
    <w:rsid w:val="00C60EA0"/>
    <w:rsid w:val="00C61268"/>
    <w:rsid w:val="00C61474"/>
    <w:rsid w:val="00C61940"/>
    <w:rsid w:val="00C61C5D"/>
    <w:rsid w:val="00C61FE8"/>
    <w:rsid w:val="00C6207D"/>
    <w:rsid w:val="00C6230A"/>
    <w:rsid w:val="00C62324"/>
    <w:rsid w:val="00C6234B"/>
    <w:rsid w:val="00C62648"/>
    <w:rsid w:val="00C627BC"/>
    <w:rsid w:val="00C62892"/>
    <w:rsid w:val="00C62A7A"/>
    <w:rsid w:val="00C62A88"/>
    <w:rsid w:val="00C62B01"/>
    <w:rsid w:val="00C62C79"/>
    <w:rsid w:val="00C62D90"/>
    <w:rsid w:val="00C62E7E"/>
    <w:rsid w:val="00C63144"/>
    <w:rsid w:val="00C63193"/>
    <w:rsid w:val="00C63628"/>
    <w:rsid w:val="00C636D6"/>
    <w:rsid w:val="00C638FA"/>
    <w:rsid w:val="00C639A2"/>
    <w:rsid w:val="00C63CD7"/>
    <w:rsid w:val="00C63EAE"/>
    <w:rsid w:val="00C6402D"/>
    <w:rsid w:val="00C6420F"/>
    <w:rsid w:val="00C64259"/>
    <w:rsid w:val="00C647C0"/>
    <w:rsid w:val="00C6482F"/>
    <w:rsid w:val="00C64AF5"/>
    <w:rsid w:val="00C64B8D"/>
    <w:rsid w:val="00C6534B"/>
    <w:rsid w:val="00C6565A"/>
    <w:rsid w:val="00C65946"/>
    <w:rsid w:val="00C65DA7"/>
    <w:rsid w:val="00C65ED9"/>
    <w:rsid w:val="00C66428"/>
    <w:rsid w:val="00C66922"/>
    <w:rsid w:val="00C6696F"/>
    <w:rsid w:val="00C669ED"/>
    <w:rsid w:val="00C66B00"/>
    <w:rsid w:val="00C67020"/>
    <w:rsid w:val="00C6727D"/>
    <w:rsid w:val="00C67283"/>
    <w:rsid w:val="00C67672"/>
    <w:rsid w:val="00C67888"/>
    <w:rsid w:val="00C678F3"/>
    <w:rsid w:val="00C67B31"/>
    <w:rsid w:val="00C67CE2"/>
    <w:rsid w:val="00C67CED"/>
    <w:rsid w:val="00C702D3"/>
    <w:rsid w:val="00C7063A"/>
    <w:rsid w:val="00C70753"/>
    <w:rsid w:val="00C707AF"/>
    <w:rsid w:val="00C709EF"/>
    <w:rsid w:val="00C70B9B"/>
    <w:rsid w:val="00C70C50"/>
    <w:rsid w:val="00C70C54"/>
    <w:rsid w:val="00C712CF"/>
    <w:rsid w:val="00C71654"/>
    <w:rsid w:val="00C71910"/>
    <w:rsid w:val="00C71E91"/>
    <w:rsid w:val="00C720B6"/>
    <w:rsid w:val="00C72288"/>
    <w:rsid w:val="00C7237E"/>
    <w:rsid w:val="00C72440"/>
    <w:rsid w:val="00C72536"/>
    <w:rsid w:val="00C725E4"/>
    <w:rsid w:val="00C72962"/>
    <w:rsid w:val="00C72B66"/>
    <w:rsid w:val="00C72C12"/>
    <w:rsid w:val="00C72CC5"/>
    <w:rsid w:val="00C72EEA"/>
    <w:rsid w:val="00C72F1A"/>
    <w:rsid w:val="00C73508"/>
    <w:rsid w:val="00C73A22"/>
    <w:rsid w:val="00C73F43"/>
    <w:rsid w:val="00C740CA"/>
    <w:rsid w:val="00C7438D"/>
    <w:rsid w:val="00C743D7"/>
    <w:rsid w:val="00C744ED"/>
    <w:rsid w:val="00C74819"/>
    <w:rsid w:val="00C74B16"/>
    <w:rsid w:val="00C74FDC"/>
    <w:rsid w:val="00C754E9"/>
    <w:rsid w:val="00C7571D"/>
    <w:rsid w:val="00C75909"/>
    <w:rsid w:val="00C75C2B"/>
    <w:rsid w:val="00C75D0A"/>
    <w:rsid w:val="00C75FC0"/>
    <w:rsid w:val="00C7617B"/>
    <w:rsid w:val="00C7629F"/>
    <w:rsid w:val="00C763FC"/>
    <w:rsid w:val="00C76409"/>
    <w:rsid w:val="00C7670F"/>
    <w:rsid w:val="00C769B9"/>
    <w:rsid w:val="00C76A64"/>
    <w:rsid w:val="00C76C68"/>
    <w:rsid w:val="00C76CD9"/>
    <w:rsid w:val="00C76DB4"/>
    <w:rsid w:val="00C76FA7"/>
    <w:rsid w:val="00C77015"/>
    <w:rsid w:val="00C7751B"/>
    <w:rsid w:val="00C7768A"/>
    <w:rsid w:val="00C77B1D"/>
    <w:rsid w:val="00C77BB7"/>
    <w:rsid w:val="00C77F81"/>
    <w:rsid w:val="00C77FBD"/>
    <w:rsid w:val="00C80123"/>
    <w:rsid w:val="00C80153"/>
    <w:rsid w:val="00C803D1"/>
    <w:rsid w:val="00C80479"/>
    <w:rsid w:val="00C80482"/>
    <w:rsid w:val="00C80585"/>
    <w:rsid w:val="00C80639"/>
    <w:rsid w:val="00C807CE"/>
    <w:rsid w:val="00C80C70"/>
    <w:rsid w:val="00C80D67"/>
    <w:rsid w:val="00C811A7"/>
    <w:rsid w:val="00C81413"/>
    <w:rsid w:val="00C814F6"/>
    <w:rsid w:val="00C817CC"/>
    <w:rsid w:val="00C81975"/>
    <w:rsid w:val="00C81A8A"/>
    <w:rsid w:val="00C81E12"/>
    <w:rsid w:val="00C82071"/>
    <w:rsid w:val="00C82269"/>
    <w:rsid w:val="00C82D71"/>
    <w:rsid w:val="00C83A1C"/>
    <w:rsid w:val="00C83B4F"/>
    <w:rsid w:val="00C83C28"/>
    <w:rsid w:val="00C83D2A"/>
    <w:rsid w:val="00C83F2F"/>
    <w:rsid w:val="00C83FA2"/>
    <w:rsid w:val="00C83FF1"/>
    <w:rsid w:val="00C843FD"/>
    <w:rsid w:val="00C84D31"/>
    <w:rsid w:val="00C852B1"/>
    <w:rsid w:val="00C8532A"/>
    <w:rsid w:val="00C85424"/>
    <w:rsid w:val="00C856B9"/>
    <w:rsid w:val="00C85740"/>
    <w:rsid w:val="00C85821"/>
    <w:rsid w:val="00C85A7F"/>
    <w:rsid w:val="00C85AB6"/>
    <w:rsid w:val="00C85BC7"/>
    <w:rsid w:val="00C85ED8"/>
    <w:rsid w:val="00C85F26"/>
    <w:rsid w:val="00C8606A"/>
    <w:rsid w:val="00C86218"/>
    <w:rsid w:val="00C864B4"/>
    <w:rsid w:val="00C8661B"/>
    <w:rsid w:val="00C8710D"/>
    <w:rsid w:val="00C87120"/>
    <w:rsid w:val="00C8735C"/>
    <w:rsid w:val="00C87591"/>
    <w:rsid w:val="00C875B6"/>
    <w:rsid w:val="00C877C0"/>
    <w:rsid w:val="00C87B48"/>
    <w:rsid w:val="00C87CB2"/>
    <w:rsid w:val="00C87D7F"/>
    <w:rsid w:val="00C87E44"/>
    <w:rsid w:val="00C87FEC"/>
    <w:rsid w:val="00C90A37"/>
    <w:rsid w:val="00C90D2F"/>
    <w:rsid w:val="00C911CE"/>
    <w:rsid w:val="00C91CD3"/>
    <w:rsid w:val="00C91FA9"/>
    <w:rsid w:val="00C92060"/>
    <w:rsid w:val="00C922D7"/>
    <w:rsid w:val="00C92323"/>
    <w:rsid w:val="00C92455"/>
    <w:rsid w:val="00C924D1"/>
    <w:rsid w:val="00C92AEE"/>
    <w:rsid w:val="00C92AF8"/>
    <w:rsid w:val="00C92B33"/>
    <w:rsid w:val="00C92B7F"/>
    <w:rsid w:val="00C92E28"/>
    <w:rsid w:val="00C93310"/>
    <w:rsid w:val="00C93740"/>
    <w:rsid w:val="00C93768"/>
    <w:rsid w:val="00C9389B"/>
    <w:rsid w:val="00C93960"/>
    <w:rsid w:val="00C939C9"/>
    <w:rsid w:val="00C93D21"/>
    <w:rsid w:val="00C93F20"/>
    <w:rsid w:val="00C942C8"/>
    <w:rsid w:val="00C94406"/>
    <w:rsid w:val="00C9453B"/>
    <w:rsid w:val="00C9466F"/>
    <w:rsid w:val="00C94671"/>
    <w:rsid w:val="00C948B0"/>
    <w:rsid w:val="00C94DAF"/>
    <w:rsid w:val="00C95A3B"/>
    <w:rsid w:val="00C95A3C"/>
    <w:rsid w:val="00C95D98"/>
    <w:rsid w:val="00C95E76"/>
    <w:rsid w:val="00C95EDE"/>
    <w:rsid w:val="00C96205"/>
    <w:rsid w:val="00C962CC"/>
    <w:rsid w:val="00C96479"/>
    <w:rsid w:val="00C964CB"/>
    <w:rsid w:val="00C96520"/>
    <w:rsid w:val="00C96757"/>
    <w:rsid w:val="00C96802"/>
    <w:rsid w:val="00C96857"/>
    <w:rsid w:val="00C968C9"/>
    <w:rsid w:val="00C96AD1"/>
    <w:rsid w:val="00C96AF0"/>
    <w:rsid w:val="00C96BD4"/>
    <w:rsid w:val="00C96C37"/>
    <w:rsid w:val="00C97232"/>
    <w:rsid w:val="00C97265"/>
    <w:rsid w:val="00C977B8"/>
    <w:rsid w:val="00C97887"/>
    <w:rsid w:val="00C978A5"/>
    <w:rsid w:val="00C9790F"/>
    <w:rsid w:val="00C97B23"/>
    <w:rsid w:val="00C97CD7"/>
    <w:rsid w:val="00C97CF9"/>
    <w:rsid w:val="00C97D8F"/>
    <w:rsid w:val="00CA0051"/>
    <w:rsid w:val="00CA0063"/>
    <w:rsid w:val="00CA0201"/>
    <w:rsid w:val="00CA0748"/>
    <w:rsid w:val="00CA07D8"/>
    <w:rsid w:val="00CA0A25"/>
    <w:rsid w:val="00CA0BDA"/>
    <w:rsid w:val="00CA0CEB"/>
    <w:rsid w:val="00CA0EB0"/>
    <w:rsid w:val="00CA0EDE"/>
    <w:rsid w:val="00CA12EE"/>
    <w:rsid w:val="00CA139A"/>
    <w:rsid w:val="00CA160E"/>
    <w:rsid w:val="00CA18ED"/>
    <w:rsid w:val="00CA1B5E"/>
    <w:rsid w:val="00CA21B2"/>
    <w:rsid w:val="00CA24D7"/>
    <w:rsid w:val="00CA24EC"/>
    <w:rsid w:val="00CA27C8"/>
    <w:rsid w:val="00CA2801"/>
    <w:rsid w:val="00CA2899"/>
    <w:rsid w:val="00CA2C74"/>
    <w:rsid w:val="00CA2E0F"/>
    <w:rsid w:val="00CA2F47"/>
    <w:rsid w:val="00CA3446"/>
    <w:rsid w:val="00CA348C"/>
    <w:rsid w:val="00CA3542"/>
    <w:rsid w:val="00CA354E"/>
    <w:rsid w:val="00CA38FA"/>
    <w:rsid w:val="00CA39AD"/>
    <w:rsid w:val="00CA3BEA"/>
    <w:rsid w:val="00CA3DE0"/>
    <w:rsid w:val="00CA4187"/>
    <w:rsid w:val="00CA432C"/>
    <w:rsid w:val="00CA48A8"/>
    <w:rsid w:val="00CA4AAD"/>
    <w:rsid w:val="00CA4BAF"/>
    <w:rsid w:val="00CA4F3A"/>
    <w:rsid w:val="00CA4FA8"/>
    <w:rsid w:val="00CA5666"/>
    <w:rsid w:val="00CA5764"/>
    <w:rsid w:val="00CA5AC6"/>
    <w:rsid w:val="00CA60D5"/>
    <w:rsid w:val="00CA6369"/>
    <w:rsid w:val="00CA63E5"/>
    <w:rsid w:val="00CA64E6"/>
    <w:rsid w:val="00CA65D3"/>
    <w:rsid w:val="00CA65FB"/>
    <w:rsid w:val="00CA6671"/>
    <w:rsid w:val="00CA68C6"/>
    <w:rsid w:val="00CA6A07"/>
    <w:rsid w:val="00CA6A26"/>
    <w:rsid w:val="00CA6A5F"/>
    <w:rsid w:val="00CA6C5B"/>
    <w:rsid w:val="00CA6E56"/>
    <w:rsid w:val="00CA74F1"/>
    <w:rsid w:val="00CA77FB"/>
    <w:rsid w:val="00CA7BDA"/>
    <w:rsid w:val="00CA7C98"/>
    <w:rsid w:val="00CA7D32"/>
    <w:rsid w:val="00CB00B1"/>
    <w:rsid w:val="00CB0317"/>
    <w:rsid w:val="00CB062E"/>
    <w:rsid w:val="00CB06D0"/>
    <w:rsid w:val="00CB0BBA"/>
    <w:rsid w:val="00CB0E3D"/>
    <w:rsid w:val="00CB112A"/>
    <w:rsid w:val="00CB1224"/>
    <w:rsid w:val="00CB13BE"/>
    <w:rsid w:val="00CB1446"/>
    <w:rsid w:val="00CB16F6"/>
    <w:rsid w:val="00CB1AB2"/>
    <w:rsid w:val="00CB1AEC"/>
    <w:rsid w:val="00CB1B2E"/>
    <w:rsid w:val="00CB1C1D"/>
    <w:rsid w:val="00CB1C36"/>
    <w:rsid w:val="00CB1FD6"/>
    <w:rsid w:val="00CB236E"/>
    <w:rsid w:val="00CB2BA9"/>
    <w:rsid w:val="00CB2D91"/>
    <w:rsid w:val="00CB3292"/>
    <w:rsid w:val="00CB338A"/>
    <w:rsid w:val="00CB3578"/>
    <w:rsid w:val="00CB3700"/>
    <w:rsid w:val="00CB370C"/>
    <w:rsid w:val="00CB373A"/>
    <w:rsid w:val="00CB379B"/>
    <w:rsid w:val="00CB3844"/>
    <w:rsid w:val="00CB395C"/>
    <w:rsid w:val="00CB3A28"/>
    <w:rsid w:val="00CB3A2C"/>
    <w:rsid w:val="00CB3A65"/>
    <w:rsid w:val="00CB423F"/>
    <w:rsid w:val="00CB4364"/>
    <w:rsid w:val="00CB4491"/>
    <w:rsid w:val="00CB47F1"/>
    <w:rsid w:val="00CB4A91"/>
    <w:rsid w:val="00CB4BAC"/>
    <w:rsid w:val="00CB4BE0"/>
    <w:rsid w:val="00CB58E7"/>
    <w:rsid w:val="00CB5DD0"/>
    <w:rsid w:val="00CB5EF3"/>
    <w:rsid w:val="00CB64FA"/>
    <w:rsid w:val="00CB6684"/>
    <w:rsid w:val="00CB6737"/>
    <w:rsid w:val="00CB68D7"/>
    <w:rsid w:val="00CB6EC6"/>
    <w:rsid w:val="00CB7082"/>
    <w:rsid w:val="00CB739B"/>
    <w:rsid w:val="00CB75AF"/>
    <w:rsid w:val="00CB7691"/>
    <w:rsid w:val="00CB79DF"/>
    <w:rsid w:val="00CB7EF5"/>
    <w:rsid w:val="00CB7F4D"/>
    <w:rsid w:val="00CC0001"/>
    <w:rsid w:val="00CC0201"/>
    <w:rsid w:val="00CC0E60"/>
    <w:rsid w:val="00CC1249"/>
    <w:rsid w:val="00CC138B"/>
    <w:rsid w:val="00CC1440"/>
    <w:rsid w:val="00CC1457"/>
    <w:rsid w:val="00CC15D3"/>
    <w:rsid w:val="00CC1729"/>
    <w:rsid w:val="00CC1891"/>
    <w:rsid w:val="00CC1946"/>
    <w:rsid w:val="00CC1A43"/>
    <w:rsid w:val="00CC1C9B"/>
    <w:rsid w:val="00CC24BD"/>
    <w:rsid w:val="00CC257C"/>
    <w:rsid w:val="00CC26CF"/>
    <w:rsid w:val="00CC26FA"/>
    <w:rsid w:val="00CC28B0"/>
    <w:rsid w:val="00CC2D06"/>
    <w:rsid w:val="00CC2D20"/>
    <w:rsid w:val="00CC32E7"/>
    <w:rsid w:val="00CC3575"/>
    <w:rsid w:val="00CC3839"/>
    <w:rsid w:val="00CC386C"/>
    <w:rsid w:val="00CC3871"/>
    <w:rsid w:val="00CC3A1A"/>
    <w:rsid w:val="00CC3D71"/>
    <w:rsid w:val="00CC3F4D"/>
    <w:rsid w:val="00CC405A"/>
    <w:rsid w:val="00CC45EE"/>
    <w:rsid w:val="00CC476C"/>
    <w:rsid w:val="00CC48CD"/>
    <w:rsid w:val="00CC4950"/>
    <w:rsid w:val="00CC4C57"/>
    <w:rsid w:val="00CC4C6F"/>
    <w:rsid w:val="00CC4D26"/>
    <w:rsid w:val="00CC4F27"/>
    <w:rsid w:val="00CC51D4"/>
    <w:rsid w:val="00CC52A7"/>
    <w:rsid w:val="00CC55B1"/>
    <w:rsid w:val="00CC5B72"/>
    <w:rsid w:val="00CC5F02"/>
    <w:rsid w:val="00CC61BA"/>
    <w:rsid w:val="00CC6269"/>
    <w:rsid w:val="00CC62B4"/>
    <w:rsid w:val="00CC64B9"/>
    <w:rsid w:val="00CC64D0"/>
    <w:rsid w:val="00CC653F"/>
    <w:rsid w:val="00CC65DA"/>
    <w:rsid w:val="00CC6C40"/>
    <w:rsid w:val="00CC6FF3"/>
    <w:rsid w:val="00CC75EE"/>
    <w:rsid w:val="00CC7888"/>
    <w:rsid w:val="00CC78A9"/>
    <w:rsid w:val="00CC79CE"/>
    <w:rsid w:val="00CC7A1F"/>
    <w:rsid w:val="00CC7AB7"/>
    <w:rsid w:val="00CC7ECF"/>
    <w:rsid w:val="00CD00F2"/>
    <w:rsid w:val="00CD029B"/>
    <w:rsid w:val="00CD02E4"/>
    <w:rsid w:val="00CD0442"/>
    <w:rsid w:val="00CD0837"/>
    <w:rsid w:val="00CD0849"/>
    <w:rsid w:val="00CD1288"/>
    <w:rsid w:val="00CD1349"/>
    <w:rsid w:val="00CD180B"/>
    <w:rsid w:val="00CD1899"/>
    <w:rsid w:val="00CD1BDF"/>
    <w:rsid w:val="00CD20B5"/>
    <w:rsid w:val="00CD211D"/>
    <w:rsid w:val="00CD24F7"/>
    <w:rsid w:val="00CD28AA"/>
    <w:rsid w:val="00CD29C3"/>
    <w:rsid w:val="00CD2C6B"/>
    <w:rsid w:val="00CD2DE8"/>
    <w:rsid w:val="00CD30BA"/>
    <w:rsid w:val="00CD30BF"/>
    <w:rsid w:val="00CD313F"/>
    <w:rsid w:val="00CD354C"/>
    <w:rsid w:val="00CD383D"/>
    <w:rsid w:val="00CD39E8"/>
    <w:rsid w:val="00CD3F27"/>
    <w:rsid w:val="00CD412F"/>
    <w:rsid w:val="00CD41B5"/>
    <w:rsid w:val="00CD4240"/>
    <w:rsid w:val="00CD44E8"/>
    <w:rsid w:val="00CD4611"/>
    <w:rsid w:val="00CD463C"/>
    <w:rsid w:val="00CD490B"/>
    <w:rsid w:val="00CD4A9B"/>
    <w:rsid w:val="00CD4C84"/>
    <w:rsid w:val="00CD4D0C"/>
    <w:rsid w:val="00CD5163"/>
    <w:rsid w:val="00CD53D3"/>
    <w:rsid w:val="00CD54CB"/>
    <w:rsid w:val="00CD5ADD"/>
    <w:rsid w:val="00CD5F08"/>
    <w:rsid w:val="00CD5F2A"/>
    <w:rsid w:val="00CD5F95"/>
    <w:rsid w:val="00CD6278"/>
    <w:rsid w:val="00CD628D"/>
    <w:rsid w:val="00CD628F"/>
    <w:rsid w:val="00CD63F6"/>
    <w:rsid w:val="00CD6728"/>
    <w:rsid w:val="00CD6A93"/>
    <w:rsid w:val="00CD6AAD"/>
    <w:rsid w:val="00CD702F"/>
    <w:rsid w:val="00CD7162"/>
    <w:rsid w:val="00CD74FC"/>
    <w:rsid w:val="00CD75FC"/>
    <w:rsid w:val="00CD7796"/>
    <w:rsid w:val="00CD77BC"/>
    <w:rsid w:val="00CD797D"/>
    <w:rsid w:val="00CE02DE"/>
    <w:rsid w:val="00CE098E"/>
    <w:rsid w:val="00CE0ACB"/>
    <w:rsid w:val="00CE0D89"/>
    <w:rsid w:val="00CE11BA"/>
    <w:rsid w:val="00CE13B3"/>
    <w:rsid w:val="00CE1AAC"/>
    <w:rsid w:val="00CE1FFD"/>
    <w:rsid w:val="00CE2248"/>
    <w:rsid w:val="00CE23F3"/>
    <w:rsid w:val="00CE2663"/>
    <w:rsid w:val="00CE29C1"/>
    <w:rsid w:val="00CE2A98"/>
    <w:rsid w:val="00CE2B9D"/>
    <w:rsid w:val="00CE3048"/>
    <w:rsid w:val="00CE3414"/>
    <w:rsid w:val="00CE348D"/>
    <w:rsid w:val="00CE3737"/>
    <w:rsid w:val="00CE38D0"/>
    <w:rsid w:val="00CE3913"/>
    <w:rsid w:val="00CE3AB3"/>
    <w:rsid w:val="00CE3BCF"/>
    <w:rsid w:val="00CE3D0E"/>
    <w:rsid w:val="00CE3E98"/>
    <w:rsid w:val="00CE4049"/>
    <w:rsid w:val="00CE41E5"/>
    <w:rsid w:val="00CE41ED"/>
    <w:rsid w:val="00CE42F1"/>
    <w:rsid w:val="00CE44C5"/>
    <w:rsid w:val="00CE474B"/>
    <w:rsid w:val="00CE4868"/>
    <w:rsid w:val="00CE48A3"/>
    <w:rsid w:val="00CE4B7F"/>
    <w:rsid w:val="00CE5045"/>
    <w:rsid w:val="00CE515C"/>
    <w:rsid w:val="00CE574D"/>
    <w:rsid w:val="00CE577E"/>
    <w:rsid w:val="00CE5961"/>
    <w:rsid w:val="00CE59BA"/>
    <w:rsid w:val="00CE5D32"/>
    <w:rsid w:val="00CE5E1C"/>
    <w:rsid w:val="00CE5F3B"/>
    <w:rsid w:val="00CE61E2"/>
    <w:rsid w:val="00CE6355"/>
    <w:rsid w:val="00CE6732"/>
    <w:rsid w:val="00CE68FD"/>
    <w:rsid w:val="00CE6915"/>
    <w:rsid w:val="00CE6CD2"/>
    <w:rsid w:val="00CE6CDA"/>
    <w:rsid w:val="00CE6CEE"/>
    <w:rsid w:val="00CE6CF4"/>
    <w:rsid w:val="00CE7214"/>
    <w:rsid w:val="00CE7230"/>
    <w:rsid w:val="00CE73B3"/>
    <w:rsid w:val="00CE777D"/>
    <w:rsid w:val="00CF0175"/>
    <w:rsid w:val="00CF01E3"/>
    <w:rsid w:val="00CF0B7F"/>
    <w:rsid w:val="00CF0B8B"/>
    <w:rsid w:val="00CF0C2C"/>
    <w:rsid w:val="00CF0C5F"/>
    <w:rsid w:val="00CF0D69"/>
    <w:rsid w:val="00CF0F13"/>
    <w:rsid w:val="00CF1127"/>
    <w:rsid w:val="00CF15B0"/>
    <w:rsid w:val="00CF1723"/>
    <w:rsid w:val="00CF1732"/>
    <w:rsid w:val="00CF19FC"/>
    <w:rsid w:val="00CF1E3C"/>
    <w:rsid w:val="00CF1E85"/>
    <w:rsid w:val="00CF1F4B"/>
    <w:rsid w:val="00CF1FCC"/>
    <w:rsid w:val="00CF209D"/>
    <w:rsid w:val="00CF21B9"/>
    <w:rsid w:val="00CF2225"/>
    <w:rsid w:val="00CF244F"/>
    <w:rsid w:val="00CF25D8"/>
    <w:rsid w:val="00CF2990"/>
    <w:rsid w:val="00CF2AF8"/>
    <w:rsid w:val="00CF2C5F"/>
    <w:rsid w:val="00CF2E8E"/>
    <w:rsid w:val="00CF2F12"/>
    <w:rsid w:val="00CF334E"/>
    <w:rsid w:val="00CF33EC"/>
    <w:rsid w:val="00CF3807"/>
    <w:rsid w:val="00CF3B1A"/>
    <w:rsid w:val="00CF3BC9"/>
    <w:rsid w:val="00CF3E6D"/>
    <w:rsid w:val="00CF400F"/>
    <w:rsid w:val="00CF4265"/>
    <w:rsid w:val="00CF4329"/>
    <w:rsid w:val="00CF438F"/>
    <w:rsid w:val="00CF4456"/>
    <w:rsid w:val="00CF452F"/>
    <w:rsid w:val="00CF45DF"/>
    <w:rsid w:val="00CF46AE"/>
    <w:rsid w:val="00CF4D3C"/>
    <w:rsid w:val="00CF4EBB"/>
    <w:rsid w:val="00CF5058"/>
    <w:rsid w:val="00CF50A8"/>
    <w:rsid w:val="00CF5482"/>
    <w:rsid w:val="00CF582A"/>
    <w:rsid w:val="00CF5B00"/>
    <w:rsid w:val="00CF5B0C"/>
    <w:rsid w:val="00CF5BBA"/>
    <w:rsid w:val="00CF6BF9"/>
    <w:rsid w:val="00CF720B"/>
    <w:rsid w:val="00CF76AC"/>
    <w:rsid w:val="00CF7F82"/>
    <w:rsid w:val="00D00454"/>
    <w:rsid w:val="00D00474"/>
    <w:rsid w:val="00D00551"/>
    <w:rsid w:val="00D005DF"/>
    <w:rsid w:val="00D00910"/>
    <w:rsid w:val="00D00A12"/>
    <w:rsid w:val="00D00CCA"/>
    <w:rsid w:val="00D00D98"/>
    <w:rsid w:val="00D00E1E"/>
    <w:rsid w:val="00D00E9C"/>
    <w:rsid w:val="00D00EEC"/>
    <w:rsid w:val="00D00F0A"/>
    <w:rsid w:val="00D01242"/>
    <w:rsid w:val="00D01357"/>
    <w:rsid w:val="00D0180D"/>
    <w:rsid w:val="00D01835"/>
    <w:rsid w:val="00D01C91"/>
    <w:rsid w:val="00D01EC5"/>
    <w:rsid w:val="00D01FE3"/>
    <w:rsid w:val="00D020B7"/>
    <w:rsid w:val="00D02132"/>
    <w:rsid w:val="00D02864"/>
    <w:rsid w:val="00D028F7"/>
    <w:rsid w:val="00D02949"/>
    <w:rsid w:val="00D02B7A"/>
    <w:rsid w:val="00D02C32"/>
    <w:rsid w:val="00D02D53"/>
    <w:rsid w:val="00D02D5B"/>
    <w:rsid w:val="00D02D6D"/>
    <w:rsid w:val="00D03161"/>
    <w:rsid w:val="00D0327A"/>
    <w:rsid w:val="00D03800"/>
    <w:rsid w:val="00D03ABC"/>
    <w:rsid w:val="00D04052"/>
    <w:rsid w:val="00D04123"/>
    <w:rsid w:val="00D042C7"/>
    <w:rsid w:val="00D0439F"/>
    <w:rsid w:val="00D044C2"/>
    <w:rsid w:val="00D04A0E"/>
    <w:rsid w:val="00D04A3E"/>
    <w:rsid w:val="00D04E04"/>
    <w:rsid w:val="00D050AC"/>
    <w:rsid w:val="00D050D1"/>
    <w:rsid w:val="00D053E7"/>
    <w:rsid w:val="00D0564F"/>
    <w:rsid w:val="00D05876"/>
    <w:rsid w:val="00D05890"/>
    <w:rsid w:val="00D058F8"/>
    <w:rsid w:val="00D05C7D"/>
    <w:rsid w:val="00D0656F"/>
    <w:rsid w:val="00D065D3"/>
    <w:rsid w:val="00D06927"/>
    <w:rsid w:val="00D069AF"/>
    <w:rsid w:val="00D06BD8"/>
    <w:rsid w:val="00D06C14"/>
    <w:rsid w:val="00D06C3E"/>
    <w:rsid w:val="00D06CE1"/>
    <w:rsid w:val="00D06D4D"/>
    <w:rsid w:val="00D06ECA"/>
    <w:rsid w:val="00D06F3A"/>
    <w:rsid w:val="00D07075"/>
    <w:rsid w:val="00D07179"/>
    <w:rsid w:val="00D0760D"/>
    <w:rsid w:val="00D0764F"/>
    <w:rsid w:val="00D0771A"/>
    <w:rsid w:val="00D077B0"/>
    <w:rsid w:val="00D07962"/>
    <w:rsid w:val="00D079D9"/>
    <w:rsid w:val="00D07AB4"/>
    <w:rsid w:val="00D07F94"/>
    <w:rsid w:val="00D1013B"/>
    <w:rsid w:val="00D101CB"/>
    <w:rsid w:val="00D106B3"/>
    <w:rsid w:val="00D10A89"/>
    <w:rsid w:val="00D11099"/>
    <w:rsid w:val="00D11102"/>
    <w:rsid w:val="00D112DD"/>
    <w:rsid w:val="00D11589"/>
    <w:rsid w:val="00D115E1"/>
    <w:rsid w:val="00D1163F"/>
    <w:rsid w:val="00D1179E"/>
    <w:rsid w:val="00D117F1"/>
    <w:rsid w:val="00D11A37"/>
    <w:rsid w:val="00D11B2C"/>
    <w:rsid w:val="00D122EE"/>
    <w:rsid w:val="00D125E8"/>
    <w:rsid w:val="00D12755"/>
    <w:rsid w:val="00D1278E"/>
    <w:rsid w:val="00D12B07"/>
    <w:rsid w:val="00D12B4C"/>
    <w:rsid w:val="00D12D35"/>
    <w:rsid w:val="00D12EDC"/>
    <w:rsid w:val="00D130C6"/>
    <w:rsid w:val="00D1319C"/>
    <w:rsid w:val="00D133D9"/>
    <w:rsid w:val="00D139D6"/>
    <w:rsid w:val="00D13A45"/>
    <w:rsid w:val="00D13BCA"/>
    <w:rsid w:val="00D13CC8"/>
    <w:rsid w:val="00D13DDE"/>
    <w:rsid w:val="00D13EF6"/>
    <w:rsid w:val="00D14195"/>
    <w:rsid w:val="00D1433E"/>
    <w:rsid w:val="00D14365"/>
    <w:rsid w:val="00D143C0"/>
    <w:rsid w:val="00D14614"/>
    <w:rsid w:val="00D14694"/>
    <w:rsid w:val="00D14C94"/>
    <w:rsid w:val="00D14DF7"/>
    <w:rsid w:val="00D15149"/>
    <w:rsid w:val="00D15870"/>
    <w:rsid w:val="00D1611A"/>
    <w:rsid w:val="00D16604"/>
    <w:rsid w:val="00D16C8B"/>
    <w:rsid w:val="00D16CFE"/>
    <w:rsid w:val="00D17284"/>
    <w:rsid w:val="00D17652"/>
    <w:rsid w:val="00D17CC0"/>
    <w:rsid w:val="00D200E7"/>
    <w:rsid w:val="00D200F3"/>
    <w:rsid w:val="00D2017E"/>
    <w:rsid w:val="00D20430"/>
    <w:rsid w:val="00D205CA"/>
    <w:rsid w:val="00D206D6"/>
    <w:rsid w:val="00D2076A"/>
    <w:rsid w:val="00D20A6A"/>
    <w:rsid w:val="00D20ADA"/>
    <w:rsid w:val="00D215FA"/>
    <w:rsid w:val="00D21652"/>
    <w:rsid w:val="00D21BC3"/>
    <w:rsid w:val="00D21C84"/>
    <w:rsid w:val="00D223FF"/>
    <w:rsid w:val="00D224DF"/>
    <w:rsid w:val="00D22628"/>
    <w:rsid w:val="00D22C0D"/>
    <w:rsid w:val="00D22FA0"/>
    <w:rsid w:val="00D230D2"/>
    <w:rsid w:val="00D230DF"/>
    <w:rsid w:val="00D232A4"/>
    <w:rsid w:val="00D2353F"/>
    <w:rsid w:val="00D23612"/>
    <w:rsid w:val="00D236B3"/>
    <w:rsid w:val="00D2389E"/>
    <w:rsid w:val="00D23951"/>
    <w:rsid w:val="00D23977"/>
    <w:rsid w:val="00D2429D"/>
    <w:rsid w:val="00D245A5"/>
    <w:rsid w:val="00D247A9"/>
    <w:rsid w:val="00D24DB9"/>
    <w:rsid w:val="00D2500F"/>
    <w:rsid w:val="00D251A7"/>
    <w:rsid w:val="00D25265"/>
    <w:rsid w:val="00D2566B"/>
    <w:rsid w:val="00D2567B"/>
    <w:rsid w:val="00D2572C"/>
    <w:rsid w:val="00D25B43"/>
    <w:rsid w:val="00D25C12"/>
    <w:rsid w:val="00D25E61"/>
    <w:rsid w:val="00D267AB"/>
    <w:rsid w:val="00D26802"/>
    <w:rsid w:val="00D2696B"/>
    <w:rsid w:val="00D26A06"/>
    <w:rsid w:val="00D26B0D"/>
    <w:rsid w:val="00D26C53"/>
    <w:rsid w:val="00D26C98"/>
    <w:rsid w:val="00D27303"/>
    <w:rsid w:val="00D273D5"/>
    <w:rsid w:val="00D27450"/>
    <w:rsid w:val="00D2766B"/>
    <w:rsid w:val="00D27B15"/>
    <w:rsid w:val="00D27DF0"/>
    <w:rsid w:val="00D27EF7"/>
    <w:rsid w:val="00D27FBA"/>
    <w:rsid w:val="00D300EF"/>
    <w:rsid w:val="00D30116"/>
    <w:rsid w:val="00D3013F"/>
    <w:rsid w:val="00D3054F"/>
    <w:rsid w:val="00D305D7"/>
    <w:rsid w:val="00D305F1"/>
    <w:rsid w:val="00D30618"/>
    <w:rsid w:val="00D3067B"/>
    <w:rsid w:val="00D30998"/>
    <w:rsid w:val="00D30B18"/>
    <w:rsid w:val="00D30B53"/>
    <w:rsid w:val="00D30F94"/>
    <w:rsid w:val="00D31284"/>
    <w:rsid w:val="00D31394"/>
    <w:rsid w:val="00D315F4"/>
    <w:rsid w:val="00D31788"/>
    <w:rsid w:val="00D31B76"/>
    <w:rsid w:val="00D32251"/>
    <w:rsid w:val="00D323A7"/>
    <w:rsid w:val="00D3309F"/>
    <w:rsid w:val="00D331A2"/>
    <w:rsid w:val="00D33A54"/>
    <w:rsid w:val="00D33B08"/>
    <w:rsid w:val="00D33D4F"/>
    <w:rsid w:val="00D341ED"/>
    <w:rsid w:val="00D34282"/>
    <w:rsid w:val="00D342A6"/>
    <w:rsid w:val="00D346CD"/>
    <w:rsid w:val="00D34863"/>
    <w:rsid w:val="00D34886"/>
    <w:rsid w:val="00D34A56"/>
    <w:rsid w:val="00D34B7B"/>
    <w:rsid w:val="00D34B83"/>
    <w:rsid w:val="00D34D77"/>
    <w:rsid w:val="00D34EF9"/>
    <w:rsid w:val="00D34F55"/>
    <w:rsid w:val="00D352B5"/>
    <w:rsid w:val="00D35648"/>
    <w:rsid w:val="00D359E8"/>
    <w:rsid w:val="00D35C73"/>
    <w:rsid w:val="00D35D06"/>
    <w:rsid w:val="00D35F7A"/>
    <w:rsid w:val="00D36555"/>
    <w:rsid w:val="00D365F2"/>
    <w:rsid w:val="00D369BE"/>
    <w:rsid w:val="00D36A60"/>
    <w:rsid w:val="00D36ACF"/>
    <w:rsid w:val="00D36B20"/>
    <w:rsid w:val="00D36BE4"/>
    <w:rsid w:val="00D36D73"/>
    <w:rsid w:val="00D36E66"/>
    <w:rsid w:val="00D36EE4"/>
    <w:rsid w:val="00D37476"/>
    <w:rsid w:val="00D376A3"/>
    <w:rsid w:val="00D37A91"/>
    <w:rsid w:val="00D40353"/>
    <w:rsid w:val="00D40599"/>
    <w:rsid w:val="00D40748"/>
    <w:rsid w:val="00D4087A"/>
    <w:rsid w:val="00D40A7F"/>
    <w:rsid w:val="00D40CB9"/>
    <w:rsid w:val="00D40F03"/>
    <w:rsid w:val="00D4113B"/>
    <w:rsid w:val="00D411FA"/>
    <w:rsid w:val="00D4127E"/>
    <w:rsid w:val="00D416B1"/>
    <w:rsid w:val="00D41976"/>
    <w:rsid w:val="00D41B85"/>
    <w:rsid w:val="00D42126"/>
    <w:rsid w:val="00D4270F"/>
    <w:rsid w:val="00D427FF"/>
    <w:rsid w:val="00D42952"/>
    <w:rsid w:val="00D42F21"/>
    <w:rsid w:val="00D431AA"/>
    <w:rsid w:val="00D43654"/>
    <w:rsid w:val="00D438F8"/>
    <w:rsid w:val="00D439C8"/>
    <w:rsid w:val="00D43B61"/>
    <w:rsid w:val="00D43C1A"/>
    <w:rsid w:val="00D43DD6"/>
    <w:rsid w:val="00D44969"/>
    <w:rsid w:val="00D44983"/>
    <w:rsid w:val="00D44A9C"/>
    <w:rsid w:val="00D44CAA"/>
    <w:rsid w:val="00D44D3A"/>
    <w:rsid w:val="00D44EAF"/>
    <w:rsid w:val="00D44F27"/>
    <w:rsid w:val="00D4515C"/>
    <w:rsid w:val="00D45479"/>
    <w:rsid w:val="00D456DA"/>
    <w:rsid w:val="00D45794"/>
    <w:rsid w:val="00D457D7"/>
    <w:rsid w:val="00D458EC"/>
    <w:rsid w:val="00D45CC0"/>
    <w:rsid w:val="00D45E80"/>
    <w:rsid w:val="00D4602B"/>
    <w:rsid w:val="00D4625C"/>
    <w:rsid w:val="00D4632C"/>
    <w:rsid w:val="00D464BF"/>
    <w:rsid w:val="00D466C2"/>
    <w:rsid w:val="00D46914"/>
    <w:rsid w:val="00D469CB"/>
    <w:rsid w:val="00D475FB"/>
    <w:rsid w:val="00D47842"/>
    <w:rsid w:val="00D478D5"/>
    <w:rsid w:val="00D47AA7"/>
    <w:rsid w:val="00D47BF0"/>
    <w:rsid w:val="00D47EB6"/>
    <w:rsid w:val="00D47F54"/>
    <w:rsid w:val="00D5016A"/>
    <w:rsid w:val="00D503B3"/>
    <w:rsid w:val="00D50513"/>
    <w:rsid w:val="00D50542"/>
    <w:rsid w:val="00D50894"/>
    <w:rsid w:val="00D50B2B"/>
    <w:rsid w:val="00D50DE3"/>
    <w:rsid w:val="00D510BB"/>
    <w:rsid w:val="00D510E2"/>
    <w:rsid w:val="00D5110C"/>
    <w:rsid w:val="00D519BF"/>
    <w:rsid w:val="00D51A57"/>
    <w:rsid w:val="00D51B3C"/>
    <w:rsid w:val="00D51BA1"/>
    <w:rsid w:val="00D51E68"/>
    <w:rsid w:val="00D51F4A"/>
    <w:rsid w:val="00D52207"/>
    <w:rsid w:val="00D5220F"/>
    <w:rsid w:val="00D5225E"/>
    <w:rsid w:val="00D52319"/>
    <w:rsid w:val="00D523A5"/>
    <w:rsid w:val="00D52493"/>
    <w:rsid w:val="00D5264D"/>
    <w:rsid w:val="00D52BC5"/>
    <w:rsid w:val="00D53408"/>
    <w:rsid w:val="00D5357B"/>
    <w:rsid w:val="00D53586"/>
    <w:rsid w:val="00D5384E"/>
    <w:rsid w:val="00D5394F"/>
    <w:rsid w:val="00D53BD8"/>
    <w:rsid w:val="00D53C45"/>
    <w:rsid w:val="00D53E26"/>
    <w:rsid w:val="00D53FF9"/>
    <w:rsid w:val="00D5452C"/>
    <w:rsid w:val="00D547CA"/>
    <w:rsid w:val="00D54911"/>
    <w:rsid w:val="00D54A42"/>
    <w:rsid w:val="00D54B36"/>
    <w:rsid w:val="00D54EDC"/>
    <w:rsid w:val="00D5516C"/>
    <w:rsid w:val="00D55509"/>
    <w:rsid w:val="00D555C5"/>
    <w:rsid w:val="00D555CB"/>
    <w:rsid w:val="00D555F2"/>
    <w:rsid w:val="00D55668"/>
    <w:rsid w:val="00D556E9"/>
    <w:rsid w:val="00D556F8"/>
    <w:rsid w:val="00D55861"/>
    <w:rsid w:val="00D55949"/>
    <w:rsid w:val="00D55F0A"/>
    <w:rsid w:val="00D55F46"/>
    <w:rsid w:val="00D560CE"/>
    <w:rsid w:val="00D56168"/>
    <w:rsid w:val="00D56238"/>
    <w:rsid w:val="00D5636A"/>
    <w:rsid w:val="00D56731"/>
    <w:rsid w:val="00D56845"/>
    <w:rsid w:val="00D569F6"/>
    <w:rsid w:val="00D56A13"/>
    <w:rsid w:val="00D570E8"/>
    <w:rsid w:val="00D57117"/>
    <w:rsid w:val="00D571E0"/>
    <w:rsid w:val="00D57976"/>
    <w:rsid w:val="00D57A39"/>
    <w:rsid w:val="00D57BE1"/>
    <w:rsid w:val="00D57D41"/>
    <w:rsid w:val="00D57FC3"/>
    <w:rsid w:val="00D60671"/>
    <w:rsid w:val="00D60737"/>
    <w:rsid w:val="00D60B73"/>
    <w:rsid w:val="00D60C13"/>
    <w:rsid w:val="00D60E92"/>
    <w:rsid w:val="00D60EFB"/>
    <w:rsid w:val="00D61011"/>
    <w:rsid w:val="00D61060"/>
    <w:rsid w:val="00D61083"/>
    <w:rsid w:val="00D616A8"/>
    <w:rsid w:val="00D6190F"/>
    <w:rsid w:val="00D61966"/>
    <w:rsid w:val="00D61A3A"/>
    <w:rsid w:val="00D61EB4"/>
    <w:rsid w:val="00D61F38"/>
    <w:rsid w:val="00D62001"/>
    <w:rsid w:val="00D6217D"/>
    <w:rsid w:val="00D623C5"/>
    <w:rsid w:val="00D62830"/>
    <w:rsid w:val="00D62904"/>
    <w:rsid w:val="00D62B41"/>
    <w:rsid w:val="00D62D4D"/>
    <w:rsid w:val="00D62DC4"/>
    <w:rsid w:val="00D62F65"/>
    <w:rsid w:val="00D62F97"/>
    <w:rsid w:val="00D6309F"/>
    <w:rsid w:val="00D63105"/>
    <w:rsid w:val="00D63330"/>
    <w:rsid w:val="00D6344C"/>
    <w:rsid w:val="00D63A9D"/>
    <w:rsid w:val="00D63A9E"/>
    <w:rsid w:val="00D63ABE"/>
    <w:rsid w:val="00D6402B"/>
    <w:rsid w:val="00D6422A"/>
    <w:rsid w:val="00D64330"/>
    <w:rsid w:val="00D645B0"/>
    <w:rsid w:val="00D64734"/>
    <w:rsid w:val="00D6489C"/>
    <w:rsid w:val="00D6509F"/>
    <w:rsid w:val="00D652CC"/>
    <w:rsid w:val="00D652E4"/>
    <w:rsid w:val="00D65771"/>
    <w:rsid w:val="00D65896"/>
    <w:rsid w:val="00D65D26"/>
    <w:rsid w:val="00D65DC2"/>
    <w:rsid w:val="00D65F54"/>
    <w:rsid w:val="00D66064"/>
    <w:rsid w:val="00D6612E"/>
    <w:rsid w:val="00D66276"/>
    <w:rsid w:val="00D66404"/>
    <w:rsid w:val="00D664BB"/>
    <w:rsid w:val="00D664EA"/>
    <w:rsid w:val="00D6690F"/>
    <w:rsid w:val="00D669B5"/>
    <w:rsid w:val="00D66FB1"/>
    <w:rsid w:val="00D66FFD"/>
    <w:rsid w:val="00D671EA"/>
    <w:rsid w:val="00D67978"/>
    <w:rsid w:val="00D67A9A"/>
    <w:rsid w:val="00D67D3F"/>
    <w:rsid w:val="00D67E01"/>
    <w:rsid w:val="00D67E98"/>
    <w:rsid w:val="00D70371"/>
    <w:rsid w:val="00D70589"/>
    <w:rsid w:val="00D7071B"/>
    <w:rsid w:val="00D707F9"/>
    <w:rsid w:val="00D71287"/>
    <w:rsid w:val="00D713B8"/>
    <w:rsid w:val="00D71563"/>
    <w:rsid w:val="00D71639"/>
    <w:rsid w:val="00D716FE"/>
    <w:rsid w:val="00D71B5C"/>
    <w:rsid w:val="00D71C57"/>
    <w:rsid w:val="00D71EC3"/>
    <w:rsid w:val="00D7257E"/>
    <w:rsid w:val="00D72732"/>
    <w:rsid w:val="00D7282C"/>
    <w:rsid w:val="00D72A09"/>
    <w:rsid w:val="00D72A12"/>
    <w:rsid w:val="00D72CEC"/>
    <w:rsid w:val="00D72E54"/>
    <w:rsid w:val="00D7396B"/>
    <w:rsid w:val="00D73C58"/>
    <w:rsid w:val="00D73C61"/>
    <w:rsid w:val="00D73E09"/>
    <w:rsid w:val="00D73E91"/>
    <w:rsid w:val="00D73EBB"/>
    <w:rsid w:val="00D742DF"/>
    <w:rsid w:val="00D744B4"/>
    <w:rsid w:val="00D74726"/>
    <w:rsid w:val="00D74896"/>
    <w:rsid w:val="00D74A4A"/>
    <w:rsid w:val="00D74A67"/>
    <w:rsid w:val="00D74B89"/>
    <w:rsid w:val="00D753CF"/>
    <w:rsid w:val="00D753F9"/>
    <w:rsid w:val="00D7556E"/>
    <w:rsid w:val="00D755FD"/>
    <w:rsid w:val="00D75652"/>
    <w:rsid w:val="00D756F7"/>
    <w:rsid w:val="00D75727"/>
    <w:rsid w:val="00D759AE"/>
    <w:rsid w:val="00D75AA9"/>
    <w:rsid w:val="00D75DB2"/>
    <w:rsid w:val="00D75E9D"/>
    <w:rsid w:val="00D762CD"/>
    <w:rsid w:val="00D7647A"/>
    <w:rsid w:val="00D76D1C"/>
    <w:rsid w:val="00D76DAB"/>
    <w:rsid w:val="00D77072"/>
    <w:rsid w:val="00D7717F"/>
    <w:rsid w:val="00D7729B"/>
    <w:rsid w:val="00D775BE"/>
    <w:rsid w:val="00D779A9"/>
    <w:rsid w:val="00D77A9D"/>
    <w:rsid w:val="00D77CBB"/>
    <w:rsid w:val="00D80059"/>
    <w:rsid w:val="00D800ED"/>
    <w:rsid w:val="00D800EF"/>
    <w:rsid w:val="00D80124"/>
    <w:rsid w:val="00D801D7"/>
    <w:rsid w:val="00D80480"/>
    <w:rsid w:val="00D80916"/>
    <w:rsid w:val="00D80B9F"/>
    <w:rsid w:val="00D80E6C"/>
    <w:rsid w:val="00D80EC0"/>
    <w:rsid w:val="00D81214"/>
    <w:rsid w:val="00D812B3"/>
    <w:rsid w:val="00D81AB2"/>
    <w:rsid w:val="00D81C61"/>
    <w:rsid w:val="00D81FEF"/>
    <w:rsid w:val="00D82065"/>
    <w:rsid w:val="00D820F3"/>
    <w:rsid w:val="00D82109"/>
    <w:rsid w:val="00D821A5"/>
    <w:rsid w:val="00D8241E"/>
    <w:rsid w:val="00D824D4"/>
    <w:rsid w:val="00D825FF"/>
    <w:rsid w:val="00D8264F"/>
    <w:rsid w:val="00D82761"/>
    <w:rsid w:val="00D8287F"/>
    <w:rsid w:val="00D829D0"/>
    <w:rsid w:val="00D82A15"/>
    <w:rsid w:val="00D82E71"/>
    <w:rsid w:val="00D82F5F"/>
    <w:rsid w:val="00D830E2"/>
    <w:rsid w:val="00D831F6"/>
    <w:rsid w:val="00D833D1"/>
    <w:rsid w:val="00D83409"/>
    <w:rsid w:val="00D8368F"/>
    <w:rsid w:val="00D836B1"/>
    <w:rsid w:val="00D83756"/>
    <w:rsid w:val="00D837A7"/>
    <w:rsid w:val="00D83AB1"/>
    <w:rsid w:val="00D8401F"/>
    <w:rsid w:val="00D8409E"/>
    <w:rsid w:val="00D84164"/>
    <w:rsid w:val="00D841CE"/>
    <w:rsid w:val="00D84952"/>
    <w:rsid w:val="00D84C4E"/>
    <w:rsid w:val="00D84EE3"/>
    <w:rsid w:val="00D850B4"/>
    <w:rsid w:val="00D8524C"/>
    <w:rsid w:val="00D8536E"/>
    <w:rsid w:val="00D85454"/>
    <w:rsid w:val="00D85480"/>
    <w:rsid w:val="00D8574C"/>
    <w:rsid w:val="00D85A89"/>
    <w:rsid w:val="00D85C03"/>
    <w:rsid w:val="00D85CA4"/>
    <w:rsid w:val="00D85CCC"/>
    <w:rsid w:val="00D85D68"/>
    <w:rsid w:val="00D85F94"/>
    <w:rsid w:val="00D8604D"/>
    <w:rsid w:val="00D8614B"/>
    <w:rsid w:val="00D865E9"/>
    <w:rsid w:val="00D86879"/>
    <w:rsid w:val="00D86CE6"/>
    <w:rsid w:val="00D86E50"/>
    <w:rsid w:val="00D87072"/>
    <w:rsid w:val="00D871A3"/>
    <w:rsid w:val="00D87350"/>
    <w:rsid w:val="00D87544"/>
    <w:rsid w:val="00D8798C"/>
    <w:rsid w:val="00D87E24"/>
    <w:rsid w:val="00D90056"/>
    <w:rsid w:val="00D90492"/>
    <w:rsid w:val="00D908C5"/>
    <w:rsid w:val="00D908DA"/>
    <w:rsid w:val="00D90958"/>
    <w:rsid w:val="00D909AA"/>
    <w:rsid w:val="00D90B48"/>
    <w:rsid w:val="00D90C28"/>
    <w:rsid w:val="00D912D8"/>
    <w:rsid w:val="00D915D8"/>
    <w:rsid w:val="00D918E4"/>
    <w:rsid w:val="00D91A1F"/>
    <w:rsid w:val="00D91A35"/>
    <w:rsid w:val="00D91C8B"/>
    <w:rsid w:val="00D91D0A"/>
    <w:rsid w:val="00D91D45"/>
    <w:rsid w:val="00D91DDC"/>
    <w:rsid w:val="00D91F7F"/>
    <w:rsid w:val="00D91FA6"/>
    <w:rsid w:val="00D9220E"/>
    <w:rsid w:val="00D92572"/>
    <w:rsid w:val="00D927BB"/>
    <w:rsid w:val="00D928B4"/>
    <w:rsid w:val="00D92DBE"/>
    <w:rsid w:val="00D92F4A"/>
    <w:rsid w:val="00D93036"/>
    <w:rsid w:val="00D9344A"/>
    <w:rsid w:val="00D9354F"/>
    <w:rsid w:val="00D93904"/>
    <w:rsid w:val="00D93AC0"/>
    <w:rsid w:val="00D93C52"/>
    <w:rsid w:val="00D94777"/>
    <w:rsid w:val="00D94B0D"/>
    <w:rsid w:val="00D94BAC"/>
    <w:rsid w:val="00D94C3C"/>
    <w:rsid w:val="00D94C82"/>
    <w:rsid w:val="00D94D3C"/>
    <w:rsid w:val="00D94D7F"/>
    <w:rsid w:val="00D95176"/>
    <w:rsid w:val="00D955CE"/>
    <w:rsid w:val="00D9569E"/>
    <w:rsid w:val="00D95ABA"/>
    <w:rsid w:val="00D95F0E"/>
    <w:rsid w:val="00D96102"/>
    <w:rsid w:val="00D96475"/>
    <w:rsid w:val="00D9677D"/>
    <w:rsid w:val="00D96A58"/>
    <w:rsid w:val="00D96C84"/>
    <w:rsid w:val="00D96CFD"/>
    <w:rsid w:val="00D97268"/>
    <w:rsid w:val="00D97273"/>
    <w:rsid w:val="00D976DE"/>
    <w:rsid w:val="00D977A7"/>
    <w:rsid w:val="00D9797F"/>
    <w:rsid w:val="00D97C92"/>
    <w:rsid w:val="00D97F50"/>
    <w:rsid w:val="00DA0293"/>
    <w:rsid w:val="00DA060F"/>
    <w:rsid w:val="00DA06A4"/>
    <w:rsid w:val="00DA06FA"/>
    <w:rsid w:val="00DA0754"/>
    <w:rsid w:val="00DA0B61"/>
    <w:rsid w:val="00DA11C5"/>
    <w:rsid w:val="00DA1273"/>
    <w:rsid w:val="00DA12EB"/>
    <w:rsid w:val="00DA142D"/>
    <w:rsid w:val="00DA14D6"/>
    <w:rsid w:val="00DA1703"/>
    <w:rsid w:val="00DA17F8"/>
    <w:rsid w:val="00DA18FA"/>
    <w:rsid w:val="00DA198E"/>
    <w:rsid w:val="00DA1C25"/>
    <w:rsid w:val="00DA1CAD"/>
    <w:rsid w:val="00DA1CD0"/>
    <w:rsid w:val="00DA1ECF"/>
    <w:rsid w:val="00DA2012"/>
    <w:rsid w:val="00DA2192"/>
    <w:rsid w:val="00DA21C3"/>
    <w:rsid w:val="00DA232E"/>
    <w:rsid w:val="00DA2392"/>
    <w:rsid w:val="00DA247F"/>
    <w:rsid w:val="00DA28C3"/>
    <w:rsid w:val="00DA290E"/>
    <w:rsid w:val="00DA29C8"/>
    <w:rsid w:val="00DA2B25"/>
    <w:rsid w:val="00DA2B80"/>
    <w:rsid w:val="00DA2CF4"/>
    <w:rsid w:val="00DA2EB5"/>
    <w:rsid w:val="00DA33B7"/>
    <w:rsid w:val="00DA365F"/>
    <w:rsid w:val="00DA36E1"/>
    <w:rsid w:val="00DA37F4"/>
    <w:rsid w:val="00DA38D7"/>
    <w:rsid w:val="00DA39AC"/>
    <w:rsid w:val="00DA39EA"/>
    <w:rsid w:val="00DA3CE1"/>
    <w:rsid w:val="00DA3F7C"/>
    <w:rsid w:val="00DA402C"/>
    <w:rsid w:val="00DA4154"/>
    <w:rsid w:val="00DA43B5"/>
    <w:rsid w:val="00DA4845"/>
    <w:rsid w:val="00DA489D"/>
    <w:rsid w:val="00DA4984"/>
    <w:rsid w:val="00DA4E37"/>
    <w:rsid w:val="00DA5091"/>
    <w:rsid w:val="00DA50C3"/>
    <w:rsid w:val="00DA54BD"/>
    <w:rsid w:val="00DA5540"/>
    <w:rsid w:val="00DA5671"/>
    <w:rsid w:val="00DA5C1B"/>
    <w:rsid w:val="00DA5CB7"/>
    <w:rsid w:val="00DA5D2D"/>
    <w:rsid w:val="00DA5DFA"/>
    <w:rsid w:val="00DA5F32"/>
    <w:rsid w:val="00DA5FB0"/>
    <w:rsid w:val="00DA6198"/>
    <w:rsid w:val="00DA6835"/>
    <w:rsid w:val="00DA6A1C"/>
    <w:rsid w:val="00DA6DA5"/>
    <w:rsid w:val="00DA6E0D"/>
    <w:rsid w:val="00DA6EFC"/>
    <w:rsid w:val="00DA6F9F"/>
    <w:rsid w:val="00DA76FF"/>
    <w:rsid w:val="00DA783B"/>
    <w:rsid w:val="00DA79E8"/>
    <w:rsid w:val="00DA7B86"/>
    <w:rsid w:val="00DA7CC7"/>
    <w:rsid w:val="00DA7DDF"/>
    <w:rsid w:val="00DA7E06"/>
    <w:rsid w:val="00DA7E47"/>
    <w:rsid w:val="00DA7F61"/>
    <w:rsid w:val="00DB0091"/>
    <w:rsid w:val="00DB00A4"/>
    <w:rsid w:val="00DB02D6"/>
    <w:rsid w:val="00DB0453"/>
    <w:rsid w:val="00DB0A45"/>
    <w:rsid w:val="00DB0A5F"/>
    <w:rsid w:val="00DB0CF1"/>
    <w:rsid w:val="00DB0E08"/>
    <w:rsid w:val="00DB0FF2"/>
    <w:rsid w:val="00DB10EC"/>
    <w:rsid w:val="00DB12C9"/>
    <w:rsid w:val="00DB13C8"/>
    <w:rsid w:val="00DB164A"/>
    <w:rsid w:val="00DB1813"/>
    <w:rsid w:val="00DB26F6"/>
    <w:rsid w:val="00DB27B4"/>
    <w:rsid w:val="00DB27FB"/>
    <w:rsid w:val="00DB2875"/>
    <w:rsid w:val="00DB2940"/>
    <w:rsid w:val="00DB2B3F"/>
    <w:rsid w:val="00DB2CAD"/>
    <w:rsid w:val="00DB2FC5"/>
    <w:rsid w:val="00DB34E1"/>
    <w:rsid w:val="00DB35A9"/>
    <w:rsid w:val="00DB3730"/>
    <w:rsid w:val="00DB3773"/>
    <w:rsid w:val="00DB39A9"/>
    <w:rsid w:val="00DB3B6C"/>
    <w:rsid w:val="00DB3EB9"/>
    <w:rsid w:val="00DB3EC7"/>
    <w:rsid w:val="00DB3FAE"/>
    <w:rsid w:val="00DB4296"/>
    <w:rsid w:val="00DB4738"/>
    <w:rsid w:val="00DB491C"/>
    <w:rsid w:val="00DB4B1F"/>
    <w:rsid w:val="00DB4E2D"/>
    <w:rsid w:val="00DB4E37"/>
    <w:rsid w:val="00DB5201"/>
    <w:rsid w:val="00DB5487"/>
    <w:rsid w:val="00DB57CC"/>
    <w:rsid w:val="00DB5845"/>
    <w:rsid w:val="00DB6627"/>
    <w:rsid w:val="00DB6848"/>
    <w:rsid w:val="00DB6AA5"/>
    <w:rsid w:val="00DB7163"/>
    <w:rsid w:val="00DB72A0"/>
    <w:rsid w:val="00DB7411"/>
    <w:rsid w:val="00DB74A7"/>
    <w:rsid w:val="00DB765C"/>
    <w:rsid w:val="00DB7BE5"/>
    <w:rsid w:val="00DB7C2E"/>
    <w:rsid w:val="00DB7C80"/>
    <w:rsid w:val="00DB7CF8"/>
    <w:rsid w:val="00DB7D20"/>
    <w:rsid w:val="00DB7D8F"/>
    <w:rsid w:val="00DB7E5C"/>
    <w:rsid w:val="00DB7E62"/>
    <w:rsid w:val="00DB7F09"/>
    <w:rsid w:val="00DB7FDD"/>
    <w:rsid w:val="00DC0167"/>
    <w:rsid w:val="00DC0354"/>
    <w:rsid w:val="00DC0439"/>
    <w:rsid w:val="00DC05AF"/>
    <w:rsid w:val="00DC0674"/>
    <w:rsid w:val="00DC0B4E"/>
    <w:rsid w:val="00DC0C5E"/>
    <w:rsid w:val="00DC0F0E"/>
    <w:rsid w:val="00DC0F2A"/>
    <w:rsid w:val="00DC1055"/>
    <w:rsid w:val="00DC122D"/>
    <w:rsid w:val="00DC154E"/>
    <w:rsid w:val="00DC1656"/>
    <w:rsid w:val="00DC17EE"/>
    <w:rsid w:val="00DC1897"/>
    <w:rsid w:val="00DC1B23"/>
    <w:rsid w:val="00DC1BC5"/>
    <w:rsid w:val="00DC1C6B"/>
    <w:rsid w:val="00DC2179"/>
    <w:rsid w:val="00DC231A"/>
    <w:rsid w:val="00DC29E4"/>
    <w:rsid w:val="00DC2AA3"/>
    <w:rsid w:val="00DC2B4E"/>
    <w:rsid w:val="00DC2C08"/>
    <w:rsid w:val="00DC2C44"/>
    <w:rsid w:val="00DC3050"/>
    <w:rsid w:val="00DC32F6"/>
    <w:rsid w:val="00DC369D"/>
    <w:rsid w:val="00DC395D"/>
    <w:rsid w:val="00DC3980"/>
    <w:rsid w:val="00DC3A56"/>
    <w:rsid w:val="00DC3B94"/>
    <w:rsid w:val="00DC3E3F"/>
    <w:rsid w:val="00DC3EB7"/>
    <w:rsid w:val="00DC4290"/>
    <w:rsid w:val="00DC4321"/>
    <w:rsid w:val="00DC444B"/>
    <w:rsid w:val="00DC47F9"/>
    <w:rsid w:val="00DC482F"/>
    <w:rsid w:val="00DC48D1"/>
    <w:rsid w:val="00DC4BFE"/>
    <w:rsid w:val="00DC4CF0"/>
    <w:rsid w:val="00DC4D48"/>
    <w:rsid w:val="00DC4E09"/>
    <w:rsid w:val="00DC4F13"/>
    <w:rsid w:val="00DC53D3"/>
    <w:rsid w:val="00DC61E8"/>
    <w:rsid w:val="00DC6634"/>
    <w:rsid w:val="00DC6A50"/>
    <w:rsid w:val="00DC6BAD"/>
    <w:rsid w:val="00DC701B"/>
    <w:rsid w:val="00DC7142"/>
    <w:rsid w:val="00DC72C0"/>
    <w:rsid w:val="00DC7687"/>
    <w:rsid w:val="00DC7928"/>
    <w:rsid w:val="00DC7AB9"/>
    <w:rsid w:val="00DC7CAA"/>
    <w:rsid w:val="00DD001C"/>
    <w:rsid w:val="00DD065B"/>
    <w:rsid w:val="00DD08EE"/>
    <w:rsid w:val="00DD09F7"/>
    <w:rsid w:val="00DD0B5E"/>
    <w:rsid w:val="00DD0B7C"/>
    <w:rsid w:val="00DD0C15"/>
    <w:rsid w:val="00DD0D0A"/>
    <w:rsid w:val="00DD0EF9"/>
    <w:rsid w:val="00DD1278"/>
    <w:rsid w:val="00DD1453"/>
    <w:rsid w:val="00DD1520"/>
    <w:rsid w:val="00DD1DA1"/>
    <w:rsid w:val="00DD1DF9"/>
    <w:rsid w:val="00DD221D"/>
    <w:rsid w:val="00DD236B"/>
    <w:rsid w:val="00DD2420"/>
    <w:rsid w:val="00DD244A"/>
    <w:rsid w:val="00DD253A"/>
    <w:rsid w:val="00DD25A7"/>
    <w:rsid w:val="00DD2AB9"/>
    <w:rsid w:val="00DD2D43"/>
    <w:rsid w:val="00DD2F67"/>
    <w:rsid w:val="00DD307C"/>
    <w:rsid w:val="00DD30AF"/>
    <w:rsid w:val="00DD3228"/>
    <w:rsid w:val="00DD325C"/>
    <w:rsid w:val="00DD32C0"/>
    <w:rsid w:val="00DD38C5"/>
    <w:rsid w:val="00DD3AB0"/>
    <w:rsid w:val="00DD3B77"/>
    <w:rsid w:val="00DD3E4B"/>
    <w:rsid w:val="00DD3F13"/>
    <w:rsid w:val="00DD422D"/>
    <w:rsid w:val="00DD42CB"/>
    <w:rsid w:val="00DD4349"/>
    <w:rsid w:val="00DD43A8"/>
    <w:rsid w:val="00DD4497"/>
    <w:rsid w:val="00DD4912"/>
    <w:rsid w:val="00DD49F9"/>
    <w:rsid w:val="00DD4B61"/>
    <w:rsid w:val="00DD4F0E"/>
    <w:rsid w:val="00DD4FC1"/>
    <w:rsid w:val="00DD5282"/>
    <w:rsid w:val="00DD52F0"/>
    <w:rsid w:val="00DD5451"/>
    <w:rsid w:val="00DD5849"/>
    <w:rsid w:val="00DD59F9"/>
    <w:rsid w:val="00DD5C2C"/>
    <w:rsid w:val="00DD5D46"/>
    <w:rsid w:val="00DD5F28"/>
    <w:rsid w:val="00DD62EA"/>
    <w:rsid w:val="00DD65F7"/>
    <w:rsid w:val="00DD664D"/>
    <w:rsid w:val="00DD66AD"/>
    <w:rsid w:val="00DD6709"/>
    <w:rsid w:val="00DD67BE"/>
    <w:rsid w:val="00DD6D2F"/>
    <w:rsid w:val="00DD7237"/>
    <w:rsid w:val="00DD74AB"/>
    <w:rsid w:val="00DD74EF"/>
    <w:rsid w:val="00DD7649"/>
    <w:rsid w:val="00DD7787"/>
    <w:rsid w:val="00DD78D0"/>
    <w:rsid w:val="00DD79DC"/>
    <w:rsid w:val="00DE0524"/>
    <w:rsid w:val="00DE0580"/>
    <w:rsid w:val="00DE05E4"/>
    <w:rsid w:val="00DE07A3"/>
    <w:rsid w:val="00DE07F0"/>
    <w:rsid w:val="00DE0972"/>
    <w:rsid w:val="00DE097A"/>
    <w:rsid w:val="00DE0C46"/>
    <w:rsid w:val="00DE1296"/>
    <w:rsid w:val="00DE1336"/>
    <w:rsid w:val="00DE140E"/>
    <w:rsid w:val="00DE17F0"/>
    <w:rsid w:val="00DE18D2"/>
    <w:rsid w:val="00DE191B"/>
    <w:rsid w:val="00DE1B47"/>
    <w:rsid w:val="00DE1E21"/>
    <w:rsid w:val="00DE232E"/>
    <w:rsid w:val="00DE24D4"/>
    <w:rsid w:val="00DE2D52"/>
    <w:rsid w:val="00DE2DF1"/>
    <w:rsid w:val="00DE31B9"/>
    <w:rsid w:val="00DE3315"/>
    <w:rsid w:val="00DE3360"/>
    <w:rsid w:val="00DE33F8"/>
    <w:rsid w:val="00DE3401"/>
    <w:rsid w:val="00DE354B"/>
    <w:rsid w:val="00DE3873"/>
    <w:rsid w:val="00DE3966"/>
    <w:rsid w:val="00DE397C"/>
    <w:rsid w:val="00DE3B09"/>
    <w:rsid w:val="00DE3C91"/>
    <w:rsid w:val="00DE3DEA"/>
    <w:rsid w:val="00DE3F44"/>
    <w:rsid w:val="00DE4016"/>
    <w:rsid w:val="00DE432F"/>
    <w:rsid w:val="00DE4545"/>
    <w:rsid w:val="00DE45D9"/>
    <w:rsid w:val="00DE473B"/>
    <w:rsid w:val="00DE4DE9"/>
    <w:rsid w:val="00DE58EF"/>
    <w:rsid w:val="00DE5B26"/>
    <w:rsid w:val="00DE5C43"/>
    <w:rsid w:val="00DE5C99"/>
    <w:rsid w:val="00DE5D02"/>
    <w:rsid w:val="00DE5F57"/>
    <w:rsid w:val="00DE6425"/>
    <w:rsid w:val="00DE645B"/>
    <w:rsid w:val="00DE64F3"/>
    <w:rsid w:val="00DE681A"/>
    <w:rsid w:val="00DE6B67"/>
    <w:rsid w:val="00DE6B93"/>
    <w:rsid w:val="00DE6C56"/>
    <w:rsid w:val="00DE7162"/>
    <w:rsid w:val="00DE723D"/>
    <w:rsid w:val="00DE7350"/>
    <w:rsid w:val="00DE7628"/>
    <w:rsid w:val="00DE7815"/>
    <w:rsid w:val="00DE7A7B"/>
    <w:rsid w:val="00DE7D38"/>
    <w:rsid w:val="00DE7D6C"/>
    <w:rsid w:val="00DE7F55"/>
    <w:rsid w:val="00DF01F3"/>
    <w:rsid w:val="00DF06B4"/>
    <w:rsid w:val="00DF07D1"/>
    <w:rsid w:val="00DF0806"/>
    <w:rsid w:val="00DF0C07"/>
    <w:rsid w:val="00DF1221"/>
    <w:rsid w:val="00DF127D"/>
    <w:rsid w:val="00DF14D4"/>
    <w:rsid w:val="00DF174F"/>
    <w:rsid w:val="00DF17F8"/>
    <w:rsid w:val="00DF1B28"/>
    <w:rsid w:val="00DF1B3D"/>
    <w:rsid w:val="00DF2117"/>
    <w:rsid w:val="00DF21B5"/>
    <w:rsid w:val="00DF223A"/>
    <w:rsid w:val="00DF243F"/>
    <w:rsid w:val="00DF24DB"/>
    <w:rsid w:val="00DF2576"/>
    <w:rsid w:val="00DF2CC3"/>
    <w:rsid w:val="00DF30D7"/>
    <w:rsid w:val="00DF311A"/>
    <w:rsid w:val="00DF3234"/>
    <w:rsid w:val="00DF3279"/>
    <w:rsid w:val="00DF349B"/>
    <w:rsid w:val="00DF34FB"/>
    <w:rsid w:val="00DF38DA"/>
    <w:rsid w:val="00DF3BC2"/>
    <w:rsid w:val="00DF3BD9"/>
    <w:rsid w:val="00DF421A"/>
    <w:rsid w:val="00DF44F0"/>
    <w:rsid w:val="00DF4672"/>
    <w:rsid w:val="00DF4A67"/>
    <w:rsid w:val="00DF4D7A"/>
    <w:rsid w:val="00DF4FBF"/>
    <w:rsid w:val="00DF5289"/>
    <w:rsid w:val="00DF554B"/>
    <w:rsid w:val="00DF57FB"/>
    <w:rsid w:val="00DF59BA"/>
    <w:rsid w:val="00DF5B49"/>
    <w:rsid w:val="00DF5D8A"/>
    <w:rsid w:val="00DF5FAE"/>
    <w:rsid w:val="00DF5FFD"/>
    <w:rsid w:val="00DF61C4"/>
    <w:rsid w:val="00DF6331"/>
    <w:rsid w:val="00DF63C3"/>
    <w:rsid w:val="00DF63FA"/>
    <w:rsid w:val="00DF6A74"/>
    <w:rsid w:val="00DF6AB9"/>
    <w:rsid w:val="00DF6BA4"/>
    <w:rsid w:val="00DF7073"/>
    <w:rsid w:val="00DF7117"/>
    <w:rsid w:val="00DF739F"/>
    <w:rsid w:val="00DF76FA"/>
    <w:rsid w:val="00DF7832"/>
    <w:rsid w:val="00DF787D"/>
    <w:rsid w:val="00DF78BB"/>
    <w:rsid w:val="00DF7925"/>
    <w:rsid w:val="00DF7AC0"/>
    <w:rsid w:val="00DF7C89"/>
    <w:rsid w:val="00DF7D08"/>
    <w:rsid w:val="00DF7E20"/>
    <w:rsid w:val="00DF7EF1"/>
    <w:rsid w:val="00E00042"/>
    <w:rsid w:val="00E00481"/>
    <w:rsid w:val="00E0055B"/>
    <w:rsid w:val="00E0078C"/>
    <w:rsid w:val="00E007DB"/>
    <w:rsid w:val="00E007DF"/>
    <w:rsid w:val="00E00CCA"/>
    <w:rsid w:val="00E00DD7"/>
    <w:rsid w:val="00E00F5D"/>
    <w:rsid w:val="00E013CE"/>
    <w:rsid w:val="00E01505"/>
    <w:rsid w:val="00E01544"/>
    <w:rsid w:val="00E01947"/>
    <w:rsid w:val="00E01C99"/>
    <w:rsid w:val="00E01CAE"/>
    <w:rsid w:val="00E02073"/>
    <w:rsid w:val="00E0216B"/>
    <w:rsid w:val="00E025EF"/>
    <w:rsid w:val="00E02811"/>
    <w:rsid w:val="00E02A8E"/>
    <w:rsid w:val="00E02C1D"/>
    <w:rsid w:val="00E02D3D"/>
    <w:rsid w:val="00E02EA3"/>
    <w:rsid w:val="00E031E7"/>
    <w:rsid w:val="00E03B9E"/>
    <w:rsid w:val="00E03D10"/>
    <w:rsid w:val="00E04440"/>
    <w:rsid w:val="00E04B86"/>
    <w:rsid w:val="00E04F7A"/>
    <w:rsid w:val="00E04FD6"/>
    <w:rsid w:val="00E0543B"/>
    <w:rsid w:val="00E05751"/>
    <w:rsid w:val="00E05B32"/>
    <w:rsid w:val="00E05E0A"/>
    <w:rsid w:val="00E05EDB"/>
    <w:rsid w:val="00E065C6"/>
    <w:rsid w:val="00E06CBA"/>
    <w:rsid w:val="00E06D57"/>
    <w:rsid w:val="00E07200"/>
    <w:rsid w:val="00E0748C"/>
    <w:rsid w:val="00E077DE"/>
    <w:rsid w:val="00E07D55"/>
    <w:rsid w:val="00E07D56"/>
    <w:rsid w:val="00E07E60"/>
    <w:rsid w:val="00E101E5"/>
    <w:rsid w:val="00E102DB"/>
    <w:rsid w:val="00E103CC"/>
    <w:rsid w:val="00E1057C"/>
    <w:rsid w:val="00E10785"/>
    <w:rsid w:val="00E10C7B"/>
    <w:rsid w:val="00E10DE2"/>
    <w:rsid w:val="00E1136C"/>
    <w:rsid w:val="00E11376"/>
    <w:rsid w:val="00E1184E"/>
    <w:rsid w:val="00E11AF7"/>
    <w:rsid w:val="00E11DDB"/>
    <w:rsid w:val="00E11F7C"/>
    <w:rsid w:val="00E12196"/>
    <w:rsid w:val="00E123C1"/>
    <w:rsid w:val="00E12427"/>
    <w:rsid w:val="00E12882"/>
    <w:rsid w:val="00E13013"/>
    <w:rsid w:val="00E13058"/>
    <w:rsid w:val="00E1310B"/>
    <w:rsid w:val="00E13448"/>
    <w:rsid w:val="00E13636"/>
    <w:rsid w:val="00E136E4"/>
    <w:rsid w:val="00E138E0"/>
    <w:rsid w:val="00E13BC7"/>
    <w:rsid w:val="00E13DA7"/>
    <w:rsid w:val="00E13E5A"/>
    <w:rsid w:val="00E13FB5"/>
    <w:rsid w:val="00E14124"/>
    <w:rsid w:val="00E14225"/>
    <w:rsid w:val="00E142A8"/>
    <w:rsid w:val="00E14375"/>
    <w:rsid w:val="00E14602"/>
    <w:rsid w:val="00E14928"/>
    <w:rsid w:val="00E14CE6"/>
    <w:rsid w:val="00E151C1"/>
    <w:rsid w:val="00E1539A"/>
    <w:rsid w:val="00E15805"/>
    <w:rsid w:val="00E15A4B"/>
    <w:rsid w:val="00E15CE2"/>
    <w:rsid w:val="00E15D63"/>
    <w:rsid w:val="00E15DD8"/>
    <w:rsid w:val="00E16162"/>
    <w:rsid w:val="00E16205"/>
    <w:rsid w:val="00E163A2"/>
    <w:rsid w:val="00E163CF"/>
    <w:rsid w:val="00E1649D"/>
    <w:rsid w:val="00E165D3"/>
    <w:rsid w:val="00E16785"/>
    <w:rsid w:val="00E1688A"/>
    <w:rsid w:val="00E16A1F"/>
    <w:rsid w:val="00E16B99"/>
    <w:rsid w:val="00E16BD8"/>
    <w:rsid w:val="00E16EF1"/>
    <w:rsid w:val="00E17225"/>
    <w:rsid w:val="00E173A0"/>
    <w:rsid w:val="00E1750F"/>
    <w:rsid w:val="00E1752A"/>
    <w:rsid w:val="00E17C77"/>
    <w:rsid w:val="00E17FB0"/>
    <w:rsid w:val="00E203A9"/>
    <w:rsid w:val="00E2042D"/>
    <w:rsid w:val="00E2075D"/>
    <w:rsid w:val="00E20772"/>
    <w:rsid w:val="00E20966"/>
    <w:rsid w:val="00E20AC0"/>
    <w:rsid w:val="00E20E5F"/>
    <w:rsid w:val="00E21237"/>
    <w:rsid w:val="00E21732"/>
    <w:rsid w:val="00E21793"/>
    <w:rsid w:val="00E2181E"/>
    <w:rsid w:val="00E2191C"/>
    <w:rsid w:val="00E21972"/>
    <w:rsid w:val="00E219A0"/>
    <w:rsid w:val="00E219D2"/>
    <w:rsid w:val="00E21A77"/>
    <w:rsid w:val="00E21C55"/>
    <w:rsid w:val="00E21E81"/>
    <w:rsid w:val="00E220C1"/>
    <w:rsid w:val="00E22387"/>
    <w:rsid w:val="00E22513"/>
    <w:rsid w:val="00E2274E"/>
    <w:rsid w:val="00E227E9"/>
    <w:rsid w:val="00E22804"/>
    <w:rsid w:val="00E22848"/>
    <w:rsid w:val="00E2295D"/>
    <w:rsid w:val="00E22A34"/>
    <w:rsid w:val="00E22E21"/>
    <w:rsid w:val="00E22E63"/>
    <w:rsid w:val="00E22F2E"/>
    <w:rsid w:val="00E23031"/>
    <w:rsid w:val="00E230F7"/>
    <w:rsid w:val="00E23119"/>
    <w:rsid w:val="00E23134"/>
    <w:rsid w:val="00E23203"/>
    <w:rsid w:val="00E23357"/>
    <w:rsid w:val="00E23474"/>
    <w:rsid w:val="00E234F0"/>
    <w:rsid w:val="00E23685"/>
    <w:rsid w:val="00E23751"/>
    <w:rsid w:val="00E23B82"/>
    <w:rsid w:val="00E23D3E"/>
    <w:rsid w:val="00E23D66"/>
    <w:rsid w:val="00E23DF2"/>
    <w:rsid w:val="00E24054"/>
    <w:rsid w:val="00E240DB"/>
    <w:rsid w:val="00E241CD"/>
    <w:rsid w:val="00E2427D"/>
    <w:rsid w:val="00E2452C"/>
    <w:rsid w:val="00E245B3"/>
    <w:rsid w:val="00E2499C"/>
    <w:rsid w:val="00E24B93"/>
    <w:rsid w:val="00E25177"/>
    <w:rsid w:val="00E251F7"/>
    <w:rsid w:val="00E26BE8"/>
    <w:rsid w:val="00E270F1"/>
    <w:rsid w:val="00E27302"/>
    <w:rsid w:val="00E27685"/>
    <w:rsid w:val="00E27867"/>
    <w:rsid w:val="00E278DE"/>
    <w:rsid w:val="00E27E88"/>
    <w:rsid w:val="00E27F4A"/>
    <w:rsid w:val="00E27FBD"/>
    <w:rsid w:val="00E300A9"/>
    <w:rsid w:val="00E300BB"/>
    <w:rsid w:val="00E30460"/>
    <w:rsid w:val="00E30831"/>
    <w:rsid w:val="00E309EB"/>
    <w:rsid w:val="00E30AAC"/>
    <w:rsid w:val="00E30B3C"/>
    <w:rsid w:val="00E30B5B"/>
    <w:rsid w:val="00E30BE1"/>
    <w:rsid w:val="00E30BF1"/>
    <w:rsid w:val="00E310BC"/>
    <w:rsid w:val="00E31144"/>
    <w:rsid w:val="00E3120C"/>
    <w:rsid w:val="00E312D3"/>
    <w:rsid w:val="00E31301"/>
    <w:rsid w:val="00E31739"/>
    <w:rsid w:val="00E31DE5"/>
    <w:rsid w:val="00E31EF0"/>
    <w:rsid w:val="00E32199"/>
    <w:rsid w:val="00E32279"/>
    <w:rsid w:val="00E3232B"/>
    <w:rsid w:val="00E325D2"/>
    <w:rsid w:val="00E32752"/>
    <w:rsid w:val="00E32B66"/>
    <w:rsid w:val="00E32DDE"/>
    <w:rsid w:val="00E3324A"/>
    <w:rsid w:val="00E33651"/>
    <w:rsid w:val="00E33748"/>
    <w:rsid w:val="00E33808"/>
    <w:rsid w:val="00E3387E"/>
    <w:rsid w:val="00E33A28"/>
    <w:rsid w:val="00E33A99"/>
    <w:rsid w:val="00E33C25"/>
    <w:rsid w:val="00E33C2E"/>
    <w:rsid w:val="00E33C94"/>
    <w:rsid w:val="00E33E62"/>
    <w:rsid w:val="00E33FA8"/>
    <w:rsid w:val="00E34104"/>
    <w:rsid w:val="00E34352"/>
    <w:rsid w:val="00E344C1"/>
    <w:rsid w:val="00E344E8"/>
    <w:rsid w:val="00E34519"/>
    <w:rsid w:val="00E34629"/>
    <w:rsid w:val="00E34757"/>
    <w:rsid w:val="00E347BC"/>
    <w:rsid w:val="00E34D85"/>
    <w:rsid w:val="00E35829"/>
    <w:rsid w:val="00E3595D"/>
    <w:rsid w:val="00E35B3D"/>
    <w:rsid w:val="00E35B45"/>
    <w:rsid w:val="00E35C7B"/>
    <w:rsid w:val="00E35E1C"/>
    <w:rsid w:val="00E360C3"/>
    <w:rsid w:val="00E3642B"/>
    <w:rsid w:val="00E3688A"/>
    <w:rsid w:val="00E370B3"/>
    <w:rsid w:val="00E37167"/>
    <w:rsid w:val="00E37417"/>
    <w:rsid w:val="00E3761D"/>
    <w:rsid w:val="00E37681"/>
    <w:rsid w:val="00E377F3"/>
    <w:rsid w:val="00E37C42"/>
    <w:rsid w:val="00E37E27"/>
    <w:rsid w:val="00E37E5D"/>
    <w:rsid w:val="00E37F27"/>
    <w:rsid w:val="00E37F4E"/>
    <w:rsid w:val="00E40542"/>
    <w:rsid w:val="00E40694"/>
    <w:rsid w:val="00E406F0"/>
    <w:rsid w:val="00E4077F"/>
    <w:rsid w:val="00E408BB"/>
    <w:rsid w:val="00E40ADE"/>
    <w:rsid w:val="00E40B76"/>
    <w:rsid w:val="00E40F94"/>
    <w:rsid w:val="00E410D6"/>
    <w:rsid w:val="00E4134B"/>
    <w:rsid w:val="00E4197A"/>
    <w:rsid w:val="00E41A89"/>
    <w:rsid w:val="00E41ADC"/>
    <w:rsid w:val="00E41B19"/>
    <w:rsid w:val="00E41FDD"/>
    <w:rsid w:val="00E42023"/>
    <w:rsid w:val="00E42365"/>
    <w:rsid w:val="00E423AE"/>
    <w:rsid w:val="00E42748"/>
    <w:rsid w:val="00E42867"/>
    <w:rsid w:val="00E42951"/>
    <w:rsid w:val="00E42B9E"/>
    <w:rsid w:val="00E42BB2"/>
    <w:rsid w:val="00E42BC6"/>
    <w:rsid w:val="00E42F60"/>
    <w:rsid w:val="00E430F1"/>
    <w:rsid w:val="00E431D0"/>
    <w:rsid w:val="00E431DE"/>
    <w:rsid w:val="00E43279"/>
    <w:rsid w:val="00E43310"/>
    <w:rsid w:val="00E43338"/>
    <w:rsid w:val="00E435D7"/>
    <w:rsid w:val="00E43DCB"/>
    <w:rsid w:val="00E43EA2"/>
    <w:rsid w:val="00E43EDC"/>
    <w:rsid w:val="00E43F39"/>
    <w:rsid w:val="00E43F4C"/>
    <w:rsid w:val="00E4407C"/>
    <w:rsid w:val="00E440D1"/>
    <w:rsid w:val="00E441A5"/>
    <w:rsid w:val="00E442F6"/>
    <w:rsid w:val="00E443D6"/>
    <w:rsid w:val="00E4467E"/>
    <w:rsid w:val="00E4490F"/>
    <w:rsid w:val="00E44D51"/>
    <w:rsid w:val="00E44E31"/>
    <w:rsid w:val="00E44EC8"/>
    <w:rsid w:val="00E45099"/>
    <w:rsid w:val="00E45354"/>
    <w:rsid w:val="00E456CD"/>
    <w:rsid w:val="00E45D36"/>
    <w:rsid w:val="00E45D3C"/>
    <w:rsid w:val="00E45D92"/>
    <w:rsid w:val="00E4609A"/>
    <w:rsid w:val="00E461C4"/>
    <w:rsid w:val="00E46212"/>
    <w:rsid w:val="00E4676E"/>
    <w:rsid w:val="00E46789"/>
    <w:rsid w:val="00E467E4"/>
    <w:rsid w:val="00E4686B"/>
    <w:rsid w:val="00E469E2"/>
    <w:rsid w:val="00E46CB5"/>
    <w:rsid w:val="00E472B8"/>
    <w:rsid w:val="00E4746A"/>
    <w:rsid w:val="00E4754A"/>
    <w:rsid w:val="00E47773"/>
    <w:rsid w:val="00E4778C"/>
    <w:rsid w:val="00E478B1"/>
    <w:rsid w:val="00E47AC9"/>
    <w:rsid w:val="00E47BAC"/>
    <w:rsid w:val="00E47D15"/>
    <w:rsid w:val="00E47D5D"/>
    <w:rsid w:val="00E47E36"/>
    <w:rsid w:val="00E47E8F"/>
    <w:rsid w:val="00E47EE7"/>
    <w:rsid w:val="00E47F1D"/>
    <w:rsid w:val="00E50019"/>
    <w:rsid w:val="00E5038C"/>
    <w:rsid w:val="00E509DD"/>
    <w:rsid w:val="00E50A17"/>
    <w:rsid w:val="00E50C3D"/>
    <w:rsid w:val="00E50D8A"/>
    <w:rsid w:val="00E50DE9"/>
    <w:rsid w:val="00E50E03"/>
    <w:rsid w:val="00E512FD"/>
    <w:rsid w:val="00E51318"/>
    <w:rsid w:val="00E5131A"/>
    <w:rsid w:val="00E51479"/>
    <w:rsid w:val="00E51748"/>
    <w:rsid w:val="00E5179C"/>
    <w:rsid w:val="00E51AE3"/>
    <w:rsid w:val="00E51E1B"/>
    <w:rsid w:val="00E52026"/>
    <w:rsid w:val="00E52143"/>
    <w:rsid w:val="00E52716"/>
    <w:rsid w:val="00E527D9"/>
    <w:rsid w:val="00E527E3"/>
    <w:rsid w:val="00E52815"/>
    <w:rsid w:val="00E5289F"/>
    <w:rsid w:val="00E52960"/>
    <w:rsid w:val="00E5299F"/>
    <w:rsid w:val="00E529A1"/>
    <w:rsid w:val="00E52C34"/>
    <w:rsid w:val="00E52E30"/>
    <w:rsid w:val="00E52E37"/>
    <w:rsid w:val="00E52F6D"/>
    <w:rsid w:val="00E5323E"/>
    <w:rsid w:val="00E534CF"/>
    <w:rsid w:val="00E53B2B"/>
    <w:rsid w:val="00E53DAE"/>
    <w:rsid w:val="00E53E21"/>
    <w:rsid w:val="00E53EE5"/>
    <w:rsid w:val="00E53FF2"/>
    <w:rsid w:val="00E54371"/>
    <w:rsid w:val="00E5438E"/>
    <w:rsid w:val="00E5487C"/>
    <w:rsid w:val="00E548B0"/>
    <w:rsid w:val="00E548FB"/>
    <w:rsid w:val="00E54C73"/>
    <w:rsid w:val="00E54FDE"/>
    <w:rsid w:val="00E5528D"/>
    <w:rsid w:val="00E55A7F"/>
    <w:rsid w:val="00E55DD5"/>
    <w:rsid w:val="00E55E73"/>
    <w:rsid w:val="00E56118"/>
    <w:rsid w:val="00E5622E"/>
    <w:rsid w:val="00E5634A"/>
    <w:rsid w:val="00E5661E"/>
    <w:rsid w:val="00E566D9"/>
    <w:rsid w:val="00E56727"/>
    <w:rsid w:val="00E56815"/>
    <w:rsid w:val="00E56994"/>
    <w:rsid w:val="00E56A42"/>
    <w:rsid w:val="00E56B2B"/>
    <w:rsid w:val="00E56C1B"/>
    <w:rsid w:val="00E56CC9"/>
    <w:rsid w:val="00E56F5C"/>
    <w:rsid w:val="00E576E0"/>
    <w:rsid w:val="00E57BD5"/>
    <w:rsid w:val="00E57BE4"/>
    <w:rsid w:val="00E6006E"/>
    <w:rsid w:val="00E601B3"/>
    <w:rsid w:val="00E60258"/>
    <w:rsid w:val="00E60313"/>
    <w:rsid w:val="00E60389"/>
    <w:rsid w:val="00E605E5"/>
    <w:rsid w:val="00E60693"/>
    <w:rsid w:val="00E60B63"/>
    <w:rsid w:val="00E60BD9"/>
    <w:rsid w:val="00E60E6C"/>
    <w:rsid w:val="00E61004"/>
    <w:rsid w:val="00E610EF"/>
    <w:rsid w:val="00E61152"/>
    <w:rsid w:val="00E6126C"/>
    <w:rsid w:val="00E61549"/>
    <w:rsid w:val="00E615F7"/>
    <w:rsid w:val="00E6162C"/>
    <w:rsid w:val="00E61BDD"/>
    <w:rsid w:val="00E625EE"/>
    <w:rsid w:val="00E62854"/>
    <w:rsid w:val="00E62AD8"/>
    <w:rsid w:val="00E62AE9"/>
    <w:rsid w:val="00E62DA7"/>
    <w:rsid w:val="00E62EE4"/>
    <w:rsid w:val="00E63158"/>
    <w:rsid w:val="00E63512"/>
    <w:rsid w:val="00E63823"/>
    <w:rsid w:val="00E63999"/>
    <w:rsid w:val="00E63A0D"/>
    <w:rsid w:val="00E63C42"/>
    <w:rsid w:val="00E63D88"/>
    <w:rsid w:val="00E6447D"/>
    <w:rsid w:val="00E645C9"/>
    <w:rsid w:val="00E64AAA"/>
    <w:rsid w:val="00E64F19"/>
    <w:rsid w:val="00E6520C"/>
    <w:rsid w:val="00E655A1"/>
    <w:rsid w:val="00E658A2"/>
    <w:rsid w:val="00E65BEE"/>
    <w:rsid w:val="00E665A5"/>
    <w:rsid w:val="00E665FE"/>
    <w:rsid w:val="00E66620"/>
    <w:rsid w:val="00E6666F"/>
    <w:rsid w:val="00E66785"/>
    <w:rsid w:val="00E667B0"/>
    <w:rsid w:val="00E669B5"/>
    <w:rsid w:val="00E66DDD"/>
    <w:rsid w:val="00E673B6"/>
    <w:rsid w:val="00E67A12"/>
    <w:rsid w:val="00E67A94"/>
    <w:rsid w:val="00E67EBE"/>
    <w:rsid w:val="00E70032"/>
    <w:rsid w:val="00E70460"/>
    <w:rsid w:val="00E70876"/>
    <w:rsid w:val="00E708E2"/>
    <w:rsid w:val="00E70AD4"/>
    <w:rsid w:val="00E70D43"/>
    <w:rsid w:val="00E70DF8"/>
    <w:rsid w:val="00E70E16"/>
    <w:rsid w:val="00E71109"/>
    <w:rsid w:val="00E71164"/>
    <w:rsid w:val="00E71246"/>
    <w:rsid w:val="00E71741"/>
    <w:rsid w:val="00E71757"/>
    <w:rsid w:val="00E71BE1"/>
    <w:rsid w:val="00E71D6A"/>
    <w:rsid w:val="00E71DAA"/>
    <w:rsid w:val="00E71F36"/>
    <w:rsid w:val="00E72266"/>
    <w:rsid w:val="00E72282"/>
    <w:rsid w:val="00E7228D"/>
    <w:rsid w:val="00E72615"/>
    <w:rsid w:val="00E72639"/>
    <w:rsid w:val="00E72761"/>
    <w:rsid w:val="00E72A42"/>
    <w:rsid w:val="00E72FF4"/>
    <w:rsid w:val="00E73093"/>
    <w:rsid w:val="00E731D0"/>
    <w:rsid w:val="00E73338"/>
    <w:rsid w:val="00E73405"/>
    <w:rsid w:val="00E734B3"/>
    <w:rsid w:val="00E734DC"/>
    <w:rsid w:val="00E735D5"/>
    <w:rsid w:val="00E737EC"/>
    <w:rsid w:val="00E738CA"/>
    <w:rsid w:val="00E7399A"/>
    <w:rsid w:val="00E73A1F"/>
    <w:rsid w:val="00E73E27"/>
    <w:rsid w:val="00E7414A"/>
    <w:rsid w:val="00E74368"/>
    <w:rsid w:val="00E74422"/>
    <w:rsid w:val="00E74522"/>
    <w:rsid w:val="00E7459E"/>
    <w:rsid w:val="00E747BC"/>
    <w:rsid w:val="00E74A0D"/>
    <w:rsid w:val="00E75423"/>
    <w:rsid w:val="00E7589B"/>
    <w:rsid w:val="00E75AE3"/>
    <w:rsid w:val="00E75CF2"/>
    <w:rsid w:val="00E75D9A"/>
    <w:rsid w:val="00E75E5E"/>
    <w:rsid w:val="00E7602B"/>
    <w:rsid w:val="00E76184"/>
    <w:rsid w:val="00E7683F"/>
    <w:rsid w:val="00E769BE"/>
    <w:rsid w:val="00E76ABF"/>
    <w:rsid w:val="00E76DEA"/>
    <w:rsid w:val="00E76F8A"/>
    <w:rsid w:val="00E770A7"/>
    <w:rsid w:val="00E77370"/>
    <w:rsid w:val="00E77617"/>
    <w:rsid w:val="00E776B0"/>
    <w:rsid w:val="00E77978"/>
    <w:rsid w:val="00E77AC5"/>
    <w:rsid w:val="00E77BEA"/>
    <w:rsid w:val="00E77FAB"/>
    <w:rsid w:val="00E80513"/>
    <w:rsid w:val="00E80DA9"/>
    <w:rsid w:val="00E80F73"/>
    <w:rsid w:val="00E80F94"/>
    <w:rsid w:val="00E8118C"/>
    <w:rsid w:val="00E8183C"/>
    <w:rsid w:val="00E81B9E"/>
    <w:rsid w:val="00E81BF0"/>
    <w:rsid w:val="00E81C3B"/>
    <w:rsid w:val="00E81CB4"/>
    <w:rsid w:val="00E81CCB"/>
    <w:rsid w:val="00E81D03"/>
    <w:rsid w:val="00E81EC6"/>
    <w:rsid w:val="00E81FB1"/>
    <w:rsid w:val="00E82D10"/>
    <w:rsid w:val="00E82DD6"/>
    <w:rsid w:val="00E82DE1"/>
    <w:rsid w:val="00E830C8"/>
    <w:rsid w:val="00E83446"/>
    <w:rsid w:val="00E83452"/>
    <w:rsid w:val="00E83653"/>
    <w:rsid w:val="00E83678"/>
    <w:rsid w:val="00E83A0F"/>
    <w:rsid w:val="00E83B03"/>
    <w:rsid w:val="00E83BA9"/>
    <w:rsid w:val="00E83F2C"/>
    <w:rsid w:val="00E8418D"/>
    <w:rsid w:val="00E84302"/>
    <w:rsid w:val="00E8461C"/>
    <w:rsid w:val="00E84703"/>
    <w:rsid w:val="00E84950"/>
    <w:rsid w:val="00E84A28"/>
    <w:rsid w:val="00E84A29"/>
    <w:rsid w:val="00E84D03"/>
    <w:rsid w:val="00E84DAB"/>
    <w:rsid w:val="00E84DB5"/>
    <w:rsid w:val="00E85010"/>
    <w:rsid w:val="00E85493"/>
    <w:rsid w:val="00E8561F"/>
    <w:rsid w:val="00E85773"/>
    <w:rsid w:val="00E8585B"/>
    <w:rsid w:val="00E858DE"/>
    <w:rsid w:val="00E85AB1"/>
    <w:rsid w:val="00E85CA7"/>
    <w:rsid w:val="00E86230"/>
    <w:rsid w:val="00E86318"/>
    <w:rsid w:val="00E86504"/>
    <w:rsid w:val="00E869FB"/>
    <w:rsid w:val="00E86A48"/>
    <w:rsid w:val="00E86E0D"/>
    <w:rsid w:val="00E8731C"/>
    <w:rsid w:val="00E874A3"/>
    <w:rsid w:val="00E874D1"/>
    <w:rsid w:val="00E875CB"/>
    <w:rsid w:val="00E877AA"/>
    <w:rsid w:val="00E87967"/>
    <w:rsid w:val="00E879F6"/>
    <w:rsid w:val="00E87CFE"/>
    <w:rsid w:val="00E87D8E"/>
    <w:rsid w:val="00E87E9C"/>
    <w:rsid w:val="00E9009E"/>
    <w:rsid w:val="00E90650"/>
    <w:rsid w:val="00E9065E"/>
    <w:rsid w:val="00E909F2"/>
    <w:rsid w:val="00E90C61"/>
    <w:rsid w:val="00E90D65"/>
    <w:rsid w:val="00E9101C"/>
    <w:rsid w:val="00E91710"/>
    <w:rsid w:val="00E917D1"/>
    <w:rsid w:val="00E9198D"/>
    <w:rsid w:val="00E91B55"/>
    <w:rsid w:val="00E91BDD"/>
    <w:rsid w:val="00E91C96"/>
    <w:rsid w:val="00E91C9A"/>
    <w:rsid w:val="00E921D3"/>
    <w:rsid w:val="00E92300"/>
    <w:rsid w:val="00E92309"/>
    <w:rsid w:val="00E92438"/>
    <w:rsid w:val="00E925A9"/>
    <w:rsid w:val="00E92722"/>
    <w:rsid w:val="00E92B6D"/>
    <w:rsid w:val="00E92E40"/>
    <w:rsid w:val="00E92EC6"/>
    <w:rsid w:val="00E9333E"/>
    <w:rsid w:val="00E9359D"/>
    <w:rsid w:val="00E93710"/>
    <w:rsid w:val="00E93C5C"/>
    <w:rsid w:val="00E93D6F"/>
    <w:rsid w:val="00E940BF"/>
    <w:rsid w:val="00E94139"/>
    <w:rsid w:val="00E94412"/>
    <w:rsid w:val="00E945A4"/>
    <w:rsid w:val="00E94AE0"/>
    <w:rsid w:val="00E9524D"/>
    <w:rsid w:val="00E9531E"/>
    <w:rsid w:val="00E95713"/>
    <w:rsid w:val="00E95750"/>
    <w:rsid w:val="00E95AB4"/>
    <w:rsid w:val="00E95E35"/>
    <w:rsid w:val="00E95F7C"/>
    <w:rsid w:val="00E95FCF"/>
    <w:rsid w:val="00E96099"/>
    <w:rsid w:val="00E9623B"/>
    <w:rsid w:val="00E963D9"/>
    <w:rsid w:val="00E964CC"/>
    <w:rsid w:val="00E964D4"/>
    <w:rsid w:val="00E96504"/>
    <w:rsid w:val="00E967AA"/>
    <w:rsid w:val="00E96874"/>
    <w:rsid w:val="00E96F80"/>
    <w:rsid w:val="00E96FA5"/>
    <w:rsid w:val="00E971A2"/>
    <w:rsid w:val="00E97256"/>
    <w:rsid w:val="00E97309"/>
    <w:rsid w:val="00E97625"/>
    <w:rsid w:val="00E97864"/>
    <w:rsid w:val="00E9787D"/>
    <w:rsid w:val="00E97E60"/>
    <w:rsid w:val="00EA00D2"/>
    <w:rsid w:val="00EA00E4"/>
    <w:rsid w:val="00EA0252"/>
    <w:rsid w:val="00EA0362"/>
    <w:rsid w:val="00EA0406"/>
    <w:rsid w:val="00EA074E"/>
    <w:rsid w:val="00EA07CB"/>
    <w:rsid w:val="00EA090F"/>
    <w:rsid w:val="00EA0AC8"/>
    <w:rsid w:val="00EA0DAF"/>
    <w:rsid w:val="00EA1606"/>
    <w:rsid w:val="00EA18C1"/>
    <w:rsid w:val="00EA19E6"/>
    <w:rsid w:val="00EA2218"/>
    <w:rsid w:val="00EA230D"/>
    <w:rsid w:val="00EA2364"/>
    <w:rsid w:val="00EA25FA"/>
    <w:rsid w:val="00EA281C"/>
    <w:rsid w:val="00EA292F"/>
    <w:rsid w:val="00EA2D4C"/>
    <w:rsid w:val="00EA2E4B"/>
    <w:rsid w:val="00EA2EA8"/>
    <w:rsid w:val="00EA2F13"/>
    <w:rsid w:val="00EA39ED"/>
    <w:rsid w:val="00EA3A6F"/>
    <w:rsid w:val="00EA3B34"/>
    <w:rsid w:val="00EA3D03"/>
    <w:rsid w:val="00EA3EC8"/>
    <w:rsid w:val="00EA3EE2"/>
    <w:rsid w:val="00EA3F15"/>
    <w:rsid w:val="00EA403D"/>
    <w:rsid w:val="00EA41AA"/>
    <w:rsid w:val="00EA4336"/>
    <w:rsid w:val="00EA454C"/>
    <w:rsid w:val="00EA457A"/>
    <w:rsid w:val="00EA4619"/>
    <w:rsid w:val="00EA474D"/>
    <w:rsid w:val="00EA4E74"/>
    <w:rsid w:val="00EA4F15"/>
    <w:rsid w:val="00EA4F8A"/>
    <w:rsid w:val="00EA5048"/>
    <w:rsid w:val="00EA5185"/>
    <w:rsid w:val="00EA51DA"/>
    <w:rsid w:val="00EA54BB"/>
    <w:rsid w:val="00EA55FC"/>
    <w:rsid w:val="00EA56A3"/>
    <w:rsid w:val="00EA56CA"/>
    <w:rsid w:val="00EA576F"/>
    <w:rsid w:val="00EA5970"/>
    <w:rsid w:val="00EA5D74"/>
    <w:rsid w:val="00EA5F70"/>
    <w:rsid w:val="00EA5F7F"/>
    <w:rsid w:val="00EA5FA6"/>
    <w:rsid w:val="00EA617C"/>
    <w:rsid w:val="00EA625C"/>
    <w:rsid w:val="00EA62D9"/>
    <w:rsid w:val="00EA68CF"/>
    <w:rsid w:val="00EA6981"/>
    <w:rsid w:val="00EA6D22"/>
    <w:rsid w:val="00EA7298"/>
    <w:rsid w:val="00EA74A0"/>
    <w:rsid w:val="00EA75F7"/>
    <w:rsid w:val="00EA76F3"/>
    <w:rsid w:val="00EA7847"/>
    <w:rsid w:val="00EA7926"/>
    <w:rsid w:val="00EA7CC5"/>
    <w:rsid w:val="00EB034A"/>
    <w:rsid w:val="00EB0A2E"/>
    <w:rsid w:val="00EB0F1B"/>
    <w:rsid w:val="00EB1402"/>
    <w:rsid w:val="00EB1594"/>
    <w:rsid w:val="00EB16C5"/>
    <w:rsid w:val="00EB1775"/>
    <w:rsid w:val="00EB17F8"/>
    <w:rsid w:val="00EB1842"/>
    <w:rsid w:val="00EB1981"/>
    <w:rsid w:val="00EB215F"/>
    <w:rsid w:val="00EB27DF"/>
    <w:rsid w:val="00EB2BF0"/>
    <w:rsid w:val="00EB3000"/>
    <w:rsid w:val="00EB39DB"/>
    <w:rsid w:val="00EB3E87"/>
    <w:rsid w:val="00EB3FF9"/>
    <w:rsid w:val="00EB41E4"/>
    <w:rsid w:val="00EB4285"/>
    <w:rsid w:val="00EB4493"/>
    <w:rsid w:val="00EB4FB8"/>
    <w:rsid w:val="00EB50FC"/>
    <w:rsid w:val="00EB54F9"/>
    <w:rsid w:val="00EB5591"/>
    <w:rsid w:val="00EB5D29"/>
    <w:rsid w:val="00EB618A"/>
    <w:rsid w:val="00EB633A"/>
    <w:rsid w:val="00EB673B"/>
    <w:rsid w:val="00EB6B67"/>
    <w:rsid w:val="00EB6E46"/>
    <w:rsid w:val="00EB6FDD"/>
    <w:rsid w:val="00EB7252"/>
    <w:rsid w:val="00EB7D0C"/>
    <w:rsid w:val="00EC000D"/>
    <w:rsid w:val="00EC021B"/>
    <w:rsid w:val="00EC0251"/>
    <w:rsid w:val="00EC0273"/>
    <w:rsid w:val="00EC0530"/>
    <w:rsid w:val="00EC0541"/>
    <w:rsid w:val="00EC0626"/>
    <w:rsid w:val="00EC075A"/>
    <w:rsid w:val="00EC07E6"/>
    <w:rsid w:val="00EC07F8"/>
    <w:rsid w:val="00EC08A3"/>
    <w:rsid w:val="00EC08B6"/>
    <w:rsid w:val="00EC09C9"/>
    <w:rsid w:val="00EC0A15"/>
    <w:rsid w:val="00EC0A65"/>
    <w:rsid w:val="00EC0B9D"/>
    <w:rsid w:val="00EC0C57"/>
    <w:rsid w:val="00EC0C6F"/>
    <w:rsid w:val="00EC0CD3"/>
    <w:rsid w:val="00EC0E7A"/>
    <w:rsid w:val="00EC0E7E"/>
    <w:rsid w:val="00EC10F3"/>
    <w:rsid w:val="00EC1353"/>
    <w:rsid w:val="00EC1385"/>
    <w:rsid w:val="00EC139B"/>
    <w:rsid w:val="00EC1544"/>
    <w:rsid w:val="00EC15A7"/>
    <w:rsid w:val="00EC1695"/>
    <w:rsid w:val="00EC1986"/>
    <w:rsid w:val="00EC199A"/>
    <w:rsid w:val="00EC1B00"/>
    <w:rsid w:val="00EC1BAB"/>
    <w:rsid w:val="00EC1EC9"/>
    <w:rsid w:val="00EC1F7A"/>
    <w:rsid w:val="00EC2048"/>
    <w:rsid w:val="00EC280C"/>
    <w:rsid w:val="00EC28F8"/>
    <w:rsid w:val="00EC290E"/>
    <w:rsid w:val="00EC2DA0"/>
    <w:rsid w:val="00EC2DB1"/>
    <w:rsid w:val="00EC3010"/>
    <w:rsid w:val="00EC3134"/>
    <w:rsid w:val="00EC342D"/>
    <w:rsid w:val="00EC35AB"/>
    <w:rsid w:val="00EC3A07"/>
    <w:rsid w:val="00EC3E15"/>
    <w:rsid w:val="00EC40EA"/>
    <w:rsid w:val="00EC416D"/>
    <w:rsid w:val="00EC456E"/>
    <w:rsid w:val="00EC4781"/>
    <w:rsid w:val="00EC48D4"/>
    <w:rsid w:val="00EC4BAF"/>
    <w:rsid w:val="00EC4DCB"/>
    <w:rsid w:val="00EC5130"/>
    <w:rsid w:val="00EC5D3F"/>
    <w:rsid w:val="00EC5E2A"/>
    <w:rsid w:val="00EC5F94"/>
    <w:rsid w:val="00EC629C"/>
    <w:rsid w:val="00EC67EE"/>
    <w:rsid w:val="00EC6A09"/>
    <w:rsid w:val="00EC6DE4"/>
    <w:rsid w:val="00EC6F73"/>
    <w:rsid w:val="00EC70CB"/>
    <w:rsid w:val="00EC73CB"/>
    <w:rsid w:val="00EC7424"/>
    <w:rsid w:val="00EC7EB2"/>
    <w:rsid w:val="00ED012C"/>
    <w:rsid w:val="00ED017D"/>
    <w:rsid w:val="00ED023E"/>
    <w:rsid w:val="00ED035F"/>
    <w:rsid w:val="00ED039D"/>
    <w:rsid w:val="00ED044B"/>
    <w:rsid w:val="00ED0495"/>
    <w:rsid w:val="00ED05FA"/>
    <w:rsid w:val="00ED08AC"/>
    <w:rsid w:val="00ED0DD8"/>
    <w:rsid w:val="00ED10B8"/>
    <w:rsid w:val="00ED10EE"/>
    <w:rsid w:val="00ED11CB"/>
    <w:rsid w:val="00ED121F"/>
    <w:rsid w:val="00ED1231"/>
    <w:rsid w:val="00ED12C7"/>
    <w:rsid w:val="00ED1452"/>
    <w:rsid w:val="00ED154C"/>
    <w:rsid w:val="00ED15A4"/>
    <w:rsid w:val="00ED1693"/>
    <w:rsid w:val="00ED178D"/>
    <w:rsid w:val="00ED1E44"/>
    <w:rsid w:val="00ED233D"/>
    <w:rsid w:val="00ED27D6"/>
    <w:rsid w:val="00ED2829"/>
    <w:rsid w:val="00ED28C9"/>
    <w:rsid w:val="00ED2CC0"/>
    <w:rsid w:val="00ED2E27"/>
    <w:rsid w:val="00ED38B8"/>
    <w:rsid w:val="00ED3C31"/>
    <w:rsid w:val="00ED3D38"/>
    <w:rsid w:val="00ED3EC6"/>
    <w:rsid w:val="00ED4376"/>
    <w:rsid w:val="00ED4550"/>
    <w:rsid w:val="00ED4684"/>
    <w:rsid w:val="00ED4B44"/>
    <w:rsid w:val="00ED4CF3"/>
    <w:rsid w:val="00ED51E6"/>
    <w:rsid w:val="00ED533B"/>
    <w:rsid w:val="00ED596C"/>
    <w:rsid w:val="00ED5A2B"/>
    <w:rsid w:val="00ED5AE6"/>
    <w:rsid w:val="00ED6009"/>
    <w:rsid w:val="00ED61D0"/>
    <w:rsid w:val="00ED6465"/>
    <w:rsid w:val="00ED64F7"/>
    <w:rsid w:val="00ED654C"/>
    <w:rsid w:val="00ED6721"/>
    <w:rsid w:val="00ED699D"/>
    <w:rsid w:val="00ED6B74"/>
    <w:rsid w:val="00ED7150"/>
    <w:rsid w:val="00ED7281"/>
    <w:rsid w:val="00ED767B"/>
    <w:rsid w:val="00ED77F0"/>
    <w:rsid w:val="00ED7B31"/>
    <w:rsid w:val="00ED7B74"/>
    <w:rsid w:val="00ED7D3B"/>
    <w:rsid w:val="00EE0040"/>
    <w:rsid w:val="00EE0816"/>
    <w:rsid w:val="00EE081E"/>
    <w:rsid w:val="00EE08F4"/>
    <w:rsid w:val="00EE098A"/>
    <w:rsid w:val="00EE1093"/>
    <w:rsid w:val="00EE1197"/>
    <w:rsid w:val="00EE1423"/>
    <w:rsid w:val="00EE1512"/>
    <w:rsid w:val="00EE1930"/>
    <w:rsid w:val="00EE1A4C"/>
    <w:rsid w:val="00EE1ACE"/>
    <w:rsid w:val="00EE22BE"/>
    <w:rsid w:val="00EE2894"/>
    <w:rsid w:val="00EE2ABC"/>
    <w:rsid w:val="00EE2AC4"/>
    <w:rsid w:val="00EE2E6E"/>
    <w:rsid w:val="00EE2F8C"/>
    <w:rsid w:val="00EE3289"/>
    <w:rsid w:val="00EE3A86"/>
    <w:rsid w:val="00EE3D6A"/>
    <w:rsid w:val="00EE3F50"/>
    <w:rsid w:val="00EE4113"/>
    <w:rsid w:val="00EE4468"/>
    <w:rsid w:val="00EE464E"/>
    <w:rsid w:val="00EE4672"/>
    <w:rsid w:val="00EE489F"/>
    <w:rsid w:val="00EE4ABD"/>
    <w:rsid w:val="00EE4ACA"/>
    <w:rsid w:val="00EE4FBD"/>
    <w:rsid w:val="00EE5142"/>
    <w:rsid w:val="00EE5472"/>
    <w:rsid w:val="00EE5565"/>
    <w:rsid w:val="00EE573E"/>
    <w:rsid w:val="00EE5860"/>
    <w:rsid w:val="00EE5867"/>
    <w:rsid w:val="00EE58D4"/>
    <w:rsid w:val="00EE5C44"/>
    <w:rsid w:val="00EE5E2E"/>
    <w:rsid w:val="00EE5EBA"/>
    <w:rsid w:val="00EE60F0"/>
    <w:rsid w:val="00EE6495"/>
    <w:rsid w:val="00EE69A0"/>
    <w:rsid w:val="00EE6DAF"/>
    <w:rsid w:val="00EE6DC9"/>
    <w:rsid w:val="00EE741A"/>
    <w:rsid w:val="00EE7426"/>
    <w:rsid w:val="00EE752E"/>
    <w:rsid w:val="00EE778D"/>
    <w:rsid w:val="00EE77F4"/>
    <w:rsid w:val="00EE7C15"/>
    <w:rsid w:val="00EF07CF"/>
    <w:rsid w:val="00EF0BA2"/>
    <w:rsid w:val="00EF0FCC"/>
    <w:rsid w:val="00EF0FE3"/>
    <w:rsid w:val="00EF0FF1"/>
    <w:rsid w:val="00EF15FA"/>
    <w:rsid w:val="00EF19F4"/>
    <w:rsid w:val="00EF1A75"/>
    <w:rsid w:val="00EF1B21"/>
    <w:rsid w:val="00EF1BA0"/>
    <w:rsid w:val="00EF1C3C"/>
    <w:rsid w:val="00EF1CF4"/>
    <w:rsid w:val="00EF1E6F"/>
    <w:rsid w:val="00EF1FC1"/>
    <w:rsid w:val="00EF20B5"/>
    <w:rsid w:val="00EF26B2"/>
    <w:rsid w:val="00EF26E2"/>
    <w:rsid w:val="00EF28DA"/>
    <w:rsid w:val="00EF2CC4"/>
    <w:rsid w:val="00EF2F8B"/>
    <w:rsid w:val="00EF3158"/>
    <w:rsid w:val="00EF318C"/>
    <w:rsid w:val="00EF3451"/>
    <w:rsid w:val="00EF3653"/>
    <w:rsid w:val="00EF3794"/>
    <w:rsid w:val="00EF3A0D"/>
    <w:rsid w:val="00EF3B2B"/>
    <w:rsid w:val="00EF3DD0"/>
    <w:rsid w:val="00EF3E5E"/>
    <w:rsid w:val="00EF3E95"/>
    <w:rsid w:val="00EF3E97"/>
    <w:rsid w:val="00EF41C1"/>
    <w:rsid w:val="00EF4468"/>
    <w:rsid w:val="00EF4AC0"/>
    <w:rsid w:val="00EF4B6A"/>
    <w:rsid w:val="00EF4C4B"/>
    <w:rsid w:val="00EF4C87"/>
    <w:rsid w:val="00EF4D6B"/>
    <w:rsid w:val="00EF5410"/>
    <w:rsid w:val="00EF559A"/>
    <w:rsid w:val="00EF57EF"/>
    <w:rsid w:val="00EF5947"/>
    <w:rsid w:val="00EF5D20"/>
    <w:rsid w:val="00EF5D68"/>
    <w:rsid w:val="00EF602C"/>
    <w:rsid w:val="00EF643E"/>
    <w:rsid w:val="00EF6477"/>
    <w:rsid w:val="00EF66AE"/>
    <w:rsid w:val="00EF6760"/>
    <w:rsid w:val="00EF6893"/>
    <w:rsid w:val="00EF69D8"/>
    <w:rsid w:val="00EF6FE5"/>
    <w:rsid w:val="00EF71D1"/>
    <w:rsid w:val="00EF782C"/>
    <w:rsid w:val="00EF7C34"/>
    <w:rsid w:val="00EF7D42"/>
    <w:rsid w:val="00EF7E08"/>
    <w:rsid w:val="00EF7FC7"/>
    <w:rsid w:val="00F004A2"/>
    <w:rsid w:val="00F00A2A"/>
    <w:rsid w:val="00F00E7E"/>
    <w:rsid w:val="00F011E1"/>
    <w:rsid w:val="00F0122E"/>
    <w:rsid w:val="00F01252"/>
    <w:rsid w:val="00F013D8"/>
    <w:rsid w:val="00F01471"/>
    <w:rsid w:val="00F014CA"/>
    <w:rsid w:val="00F01594"/>
    <w:rsid w:val="00F01628"/>
    <w:rsid w:val="00F01632"/>
    <w:rsid w:val="00F019C9"/>
    <w:rsid w:val="00F01A01"/>
    <w:rsid w:val="00F01D6D"/>
    <w:rsid w:val="00F02164"/>
    <w:rsid w:val="00F02763"/>
    <w:rsid w:val="00F027CC"/>
    <w:rsid w:val="00F02E3C"/>
    <w:rsid w:val="00F0315D"/>
    <w:rsid w:val="00F03563"/>
    <w:rsid w:val="00F035E6"/>
    <w:rsid w:val="00F03944"/>
    <w:rsid w:val="00F03C94"/>
    <w:rsid w:val="00F03D78"/>
    <w:rsid w:val="00F044AE"/>
    <w:rsid w:val="00F04660"/>
    <w:rsid w:val="00F04714"/>
    <w:rsid w:val="00F0478F"/>
    <w:rsid w:val="00F04858"/>
    <w:rsid w:val="00F0492A"/>
    <w:rsid w:val="00F04CF8"/>
    <w:rsid w:val="00F04F68"/>
    <w:rsid w:val="00F04F7A"/>
    <w:rsid w:val="00F0513C"/>
    <w:rsid w:val="00F051C5"/>
    <w:rsid w:val="00F052C5"/>
    <w:rsid w:val="00F05464"/>
    <w:rsid w:val="00F054D9"/>
    <w:rsid w:val="00F057B4"/>
    <w:rsid w:val="00F059FC"/>
    <w:rsid w:val="00F05DE1"/>
    <w:rsid w:val="00F05E2E"/>
    <w:rsid w:val="00F05EC8"/>
    <w:rsid w:val="00F05F3F"/>
    <w:rsid w:val="00F05FEE"/>
    <w:rsid w:val="00F060AB"/>
    <w:rsid w:val="00F06141"/>
    <w:rsid w:val="00F062BA"/>
    <w:rsid w:val="00F066EB"/>
    <w:rsid w:val="00F0678D"/>
    <w:rsid w:val="00F06B65"/>
    <w:rsid w:val="00F06BD5"/>
    <w:rsid w:val="00F06C1F"/>
    <w:rsid w:val="00F06F75"/>
    <w:rsid w:val="00F0759E"/>
    <w:rsid w:val="00F07D67"/>
    <w:rsid w:val="00F07EBE"/>
    <w:rsid w:val="00F101CF"/>
    <w:rsid w:val="00F10438"/>
    <w:rsid w:val="00F10608"/>
    <w:rsid w:val="00F106BD"/>
    <w:rsid w:val="00F10758"/>
    <w:rsid w:val="00F1079A"/>
    <w:rsid w:val="00F107AD"/>
    <w:rsid w:val="00F107C7"/>
    <w:rsid w:val="00F10882"/>
    <w:rsid w:val="00F10A10"/>
    <w:rsid w:val="00F10B55"/>
    <w:rsid w:val="00F10D1E"/>
    <w:rsid w:val="00F10FA2"/>
    <w:rsid w:val="00F11219"/>
    <w:rsid w:val="00F112A5"/>
    <w:rsid w:val="00F112D3"/>
    <w:rsid w:val="00F11A48"/>
    <w:rsid w:val="00F11E19"/>
    <w:rsid w:val="00F1263E"/>
    <w:rsid w:val="00F12699"/>
    <w:rsid w:val="00F127CB"/>
    <w:rsid w:val="00F12963"/>
    <w:rsid w:val="00F129EF"/>
    <w:rsid w:val="00F12AA0"/>
    <w:rsid w:val="00F13046"/>
    <w:rsid w:val="00F130BA"/>
    <w:rsid w:val="00F132B1"/>
    <w:rsid w:val="00F13337"/>
    <w:rsid w:val="00F13361"/>
    <w:rsid w:val="00F13949"/>
    <w:rsid w:val="00F13A92"/>
    <w:rsid w:val="00F13F6C"/>
    <w:rsid w:val="00F141F8"/>
    <w:rsid w:val="00F14223"/>
    <w:rsid w:val="00F14358"/>
    <w:rsid w:val="00F145A3"/>
    <w:rsid w:val="00F149CE"/>
    <w:rsid w:val="00F14FE2"/>
    <w:rsid w:val="00F1505F"/>
    <w:rsid w:val="00F150F0"/>
    <w:rsid w:val="00F15791"/>
    <w:rsid w:val="00F157D0"/>
    <w:rsid w:val="00F1599F"/>
    <w:rsid w:val="00F15C92"/>
    <w:rsid w:val="00F15FD9"/>
    <w:rsid w:val="00F160A8"/>
    <w:rsid w:val="00F160B8"/>
    <w:rsid w:val="00F16F39"/>
    <w:rsid w:val="00F1736C"/>
    <w:rsid w:val="00F174DA"/>
    <w:rsid w:val="00F17599"/>
    <w:rsid w:val="00F178BA"/>
    <w:rsid w:val="00F178DB"/>
    <w:rsid w:val="00F17FF2"/>
    <w:rsid w:val="00F20037"/>
    <w:rsid w:val="00F2007C"/>
    <w:rsid w:val="00F2014A"/>
    <w:rsid w:val="00F20430"/>
    <w:rsid w:val="00F204D0"/>
    <w:rsid w:val="00F20708"/>
    <w:rsid w:val="00F20783"/>
    <w:rsid w:val="00F207DE"/>
    <w:rsid w:val="00F209F3"/>
    <w:rsid w:val="00F20BC0"/>
    <w:rsid w:val="00F20CFD"/>
    <w:rsid w:val="00F20E38"/>
    <w:rsid w:val="00F20E9F"/>
    <w:rsid w:val="00F210E6"/>
    <w:rsid w:val="00F21242"/>
    <w:rsid w:val="00F2143A"/>
    <w:rsid w:val="00F2171B"/>
    <w:rsid w:val="00F21CBC"/>
    <w:rsid w:val="00F21D4C"/>
    <w:rsid w:val="00F21F51"/>
    <w:rsid w:val="00F22076"/>
    <w:rsid w:val="00F220DF"/>
    <w:rsid w:val="00F22229"/>
    <w:rsid w:val="00F225C6"/>
    <w:rsid w:val="00F225D0"/>
    <w:rsid w:val="00F22B96"/>
    <w:rsid w:val="00F22C8B"/>
    <w:rsid w:val="00F22D97"/>
    <w:rsid w:val="00F22ECC"/>
    <w:rsid w:val="00F230AA"/>
    <w:rsid w:val="00F232E4"/>
    <w:rsid w:val="00F2338D"/>
    <w:rsid w:val="00F233B6"/>
    <w:rsid w:val="00F23837"/>
    <w:rsid w:val="00F23D1D"/>
    <w:rsid w:val="00F23D80"/>
    <w:rsid w:val="00F23DF3"/>
    <w:rsid w:val="00F23FD2"/>
    <w:rsid w:val="00F242CF"/>
    <w:rsid w:val="00F244EB"/>
    <w:rsid w:val="00F245A2"/>
    <w:rsid w:val="00F2468C"/>
    <w:rsid w:val="00F24866"/>
    <w:rsid w:val="00F24945"/>
    <w:rsid w:val="00F24A0F"/>
    <w:rsid w:val="00F24A19"/>
    <w:rsid w:val="00F24A73"/>
    <w:rsid w:val="00F24C1A"/>
    <w:rsid w:val="00F24D10"/>
    <w:rsid w:val="00F24D22"/>
    <w:rsid w:val="00F24D43"/>
    <w:rsid w:val="00F24D7D"/>
    <w:rsid w:val="00F24E52"/>
    <w:rsid w:val="00F24FB3"/>
    <w:rsid w:val="00F24FDA"/>
    <w:rsid w:val="00F24FE3"/>
    <w:rsid w:val="00F2517B"/>
    <w:rsid w:val="00F2543B"/>
    <w:rsid w:val="00F254F1"/>
    <w:rsid w:val="00F25731"/>
    <w:rsid w:val="00F257C9"/>
    <w:rsid w:val="00F25A57"/>
    <w:rsid w:val="00F25AA9"/>
    <w:rsid w:val="00F25CF7"/>
    <w:rsid w:val="00F25D6F"/>
    <w:rsid w:val="00F25D78"/>
    <w:rsid w:val="00F264A1"/>
    <w:rsid w:val="00F264D4"/>
    <w:rsid w:val="00F2653C"/>
    <w:rsid w:val="00F2655A"/>
    <w:rsid w:val="00F26A2A"/>
    <w:rsid w:val="00F26EBB"/>
    <w:rsid w:val="00F26FF3"/>
    <w:rsid w:val="00F2719B"/>
    <w:rsid w:val="00F277A2"/>
    <w:rsid w:val="00F27B77"/>
    <w:rsid w:val="00F303D4"/>
    <w:rsid w:val="00F30599"/>
    <w:rsid w:val="00F305C7"/>
    <w:rsid w:val="00F30FD9"/>
    <w:rsid w:val="00F3112B"/>
    <w:rsid w:val="00F31578"/>
    <w:rsid w:val="00F3194A"/>
    <w:rsid w:val="00F31EA2"/>
    <w:rsid w:val="00F3235F"/>
    <w:rsid w:val="00F32A26"/>
    <w:rsid w:val="00F32B37"/>
    <w:rsid w:val="00F32C31"/>
    <w:rsid w:val="00F32DC1"/>
    <w:rsid w:val="00F32EFF"/>
    <w:rsid w:val="00F332AB"/>
    <w:rsid w:val="00F334B6"/>
    <w:rsid w:val="00F33738"/>
    <w:rsid w:val="00F33793"/>
    <w:rsid w:val="00F337D4"/>
    <w:rsid w:val="00F33940"/>
    <w:rsid w:val="00F339DB"/>
    <w:rsid w:val="00F33AB9"/>
    <w:rsid w:val="00F33AC4"/>
    <w:rsid w:val="00F33D7D"/>
    <w:rsid w:val="00F33E36"/>
    <w:rsid w:val="00F33E67"/>
    <w:rsid w:val="00F33F67"/>
    <w:rsid w:val="00F33FBD"/>
    <w:rsid w:val="00F3404F"/>
    <w:rsid w:val="00F34355"/>
    <w:rsid w:val="00F34411"/>
    <w:rsid w:val="00F344DF"/>
    <w:rsid w:val="00F34978"/>
    <w:rsid w:val="00F34B2B"/>
    <w:rsid w:val="00F34D1C"/>
    <w:rsid w:val="00F34D86"/>
    <w:rsid w:val="00F352AF"/>
    <w:rsid w:val="00F35517"/>
    <w:rsid w:val="00F355D6"/>
    <w:rsid w:val="00F35BF5"/>
    <w:rsid w:val="00F35C1D"/>
    <w:rsid w:val="00F35C26"/>
    <w:rsid w:val="00F360C8"/>
    <w:rsid w:val="00F3616F"/>
    <w:rsid w:val="00F36172"/>
    <w:rsid w:val="00F36453"/>
    <w:rsid w:val="00F365E4"/>
    <w:rsid w:val="00F3660A"/>
    <w:rsid w:val="00F3668B"/>
    <w:rsid w:val="00F36883"/>
    <w:rsid w:val="00F36893"/>
    <w:rsid w:val="00F36999"/>
    <w:rsid w:val="00F36A77"/>
    <w:rsid w:val="00F36B43"/>
    <w:rsid w:val="00F36E2A"/>
    <w:rsid w:val="00F37119"/>
    <w:rsid w:val="00F3716C"/>
    <w:rsid w:val="00F37525"/>
    <w:rsid w:val="00F37600"/>
    <w:rsid w:val="00F37665"/>
    <w:rsid w:val="00F37C19"/>
    <w:rsid w:val="00F40018"/>
    <w:rsid w:val="00F40039"/>
    <w:rsid w:val="00F400D6"/>
    <w:rsid w:val="00F401DA"/>
    <w:rsid w:val="00F406CB"/>
    <w:rsid w:val="00F40CE3"/>
    <w:rsid w:val="00F40D9B"/>
    <w:rsid w:val="00F40E6F"/>
    <w:rsid w:val="00F41125"/>
    <w:rsid w:val="00F41386"/>
    <w:rsid w:val="00F414C3"/>
    <w:rsid w:val="00F41647"/>
    <w:rsid w:val="00F417F7"/>
    <w:rsid w:val="00F4194A"/>
    <w:rsid w:val="00F419A3"/>
    <w:rsid w:val="00F419DD"/>
    <w:rsid w:val="00F42AFD"/>
    <w:rsid w:val="00F42B45"/>
    <w:rsid w:val="00F42CA5"/>
    <w:rsid w:val="00F42FF6"/>
    <w:rsid w:val="00F432A7"/>
    <w:rsid w:val="00F433FA"/>
    <w:rsid w:val="00F43595"/>
    <w:rsid w:val="00F435DE"/>
    <w:rsid w:val="00F437A7"/>
    <w:rsid w:val="00F438E3"/>
    <w:rsid w:val="00F4398C"/>
    <w:rsid w:val="00F43B24"/>
    <w:rsid w:val="00F43CCE"/>
    <w:rsid w:val="00F43D21"/>
    <w:rsid w:val="00F44051"/>
    <w:rsid w:val="00F441C9"/>
    <w:rsid w:val="00F44285"/>
    <w:rsid w:val="00F4490B"/>
    <w:rsid w:val="00F449C2"/>
    <w:rsid w:val="00F4537F"/>
    <w:rsid w:val="00F454C8"/>
    <w:rsid w:val="00F45607"/>
    <w:rsid w:val="00F45670"/>
    <w:rsid w:val="00F45795"/>
    <w:rsid w:val="00F46066"/>
    <w:rsid w:val="00F463CB"/>
    <w:rsid w:val="00F46533"/>
    <w:rsid w:val="00F46643"/>
    <w:rsid w:val="00F468CB"/>
    <w:rsid w:val="00F46969"/>
    <w:rsid w:val="00F46BBD"/>
    <w:rsid w:val="00F46EAA"/>
    <w:rsid w:val="00F47102"/>
    <w:rsid w:val="00F473D6"/>
    <w:rsid w:val="00F47495"/>
    <w:rsid w:val="00F4749C"/>
    <w:rsid w:val="00F4751D"/>
    <w:rsid w:val="00F4793A"/>
    <w:rsid w:val="00F47941"/>
    <w:rsid w:val="00F47BCC"/>
    <w:rsid w:val="00F50537"/>
    <w:rsid w:val="00F506A7"/>
    <w:rsid w:val="00F50853"/>
    <w:rsid w:val="00F50F5E"/>
    <w:rsid w:val="00F51065"/>
    <w:rsid w:val="00F5146D"/>
    <w:rsid w:val="00F51710"/>
    <w:rsid w:val="00F51744"/>
    <w:rsid w:val="00F51A11"/>
    <w:rsid w:val="00F51E83"/>
    <w:rsid w:val="00F51F18"/>
    <w:rsid w:val="00F51FD2"/>
    <w:rsid w:val="00F52051"/>
    <w:rsid w:val="00F5216D"/>
    <w:rsid w:val="00F523A8"/>
    <w:rsid w:val="00F52706"/>
    <w:rsid w:val="00F52792"/>
    <w:rsid w:val="00F5283A"/>
    <w:rsid w:val="00F5288E"/>
    <w:rsid w:val="00F529CD"/>
    <w:rsid w:val="00F52B9C"/>
    <w:rsid w:val="00F52C65"/>
    <w:rsid w:val="00F52FB2"/>
    <w:rsid w:val="00F5306B"/>
    <w:rsid w:val="00F5308A"/>
    <w:rsid w:val="00F53328"/>
    <w:rsid w:val="00F53391"/>
    <w:rsid w:val="00F533D2"/>
    <w:rsid w:val="00F5363F"/>
    <w:rsid w:val="00F53693"/>
    <w:rsid w:val="00F53781"/>
    <w:rsid w:val="00F53ABD"/>
    <w:rsid w:val="00F53C64"/>
    <w:rsid w:val="00F53E72"/>
    <w:rsid w:val="00F53E9C"/>
    <w:rsid w:val="00F54234"/>
    <w:rsid w:val="00F543FD"/>
    <w:rsid w:val="00F54426"/>
    <w:rsid w:val="00F54801"/>
    <w:rsid w:val="00F54977"/>
    <w:rsid w:val="00F54C9B"/>
    <w:rsid w:val="00F54CAF"/>
    <w:rsid w:val="00F54CD7"/>
    <w:rsid w:val="00F54D1E"/>
    <w:rsid w:val="00F5512A"/>
    <w:rsid w:val="00F55494"/>
    <w:rsid w:val="00F55503"/>
    <w:rsid w:val="00F556B2"/>
    <w:rsid w:val="00F55EC1"/>
    <w:rsid w:val="00F563AF"/>
    <w:rsid w:val="00F563EC"/>
    <w:rsid w:val="00F564CB"/>
    <w:rsid w:val="00F5651A"/>
    <w:rsid w:val="00F5682D"/>
    <w:rsid w:val="00F56851"/>
    <w:rsid w:val="00F56953"/>
    <w:rsid w:val="00F5698A"/>
    <w:rsid w:val="00F56D0E"/>
    <w:rsid w:val="00F56D8F"/>
    <w:rsid w:val="00F56F13"/>
    <w:rsid w:val="00F57077"/>
    <w:rsid w:val="00F5712A"/>
    <w:rsid w:val="00F571DC"/>
    <w:rsid w:val="00F57475"/>
    <w:rsid w:val="00F60203"/>
    <w:rsid w:val="00F602A3"/>
    <w:rsid w:val="00F60576"/>
    <w:rsid w:val="00F6087A"/>
    <w:rsid w:val="00F608EF"/>
    <w:rsid w:val="00F614AE"/>
    <w:rsid w:val="00F615BA"/>
    <w:rsid w:val="00F61670"/>
    <w:rsid w:val="00F616B4"/>
    <w:rsid w:val="00F617F8"/>
    <w:rsid w:val="00F61898"/>
    <w:rsid w:val="00F61DB6"/>
    <w:rsid w:val="00F625BA"/>
    <w:rsid w:val="00F6290A"/>
    <w:rsid w:val="00F629E5"/>
    <w:rsid w:val="00F62B77"/>
    <w:rsid w:val="00F62E25"/>
    <w:rsid w:val="00F62E92"/>
    <w:rsid w:val="00F62EF9"/>
    <w:rsid w:val="00F63063"/>
    <w:rsid w:val="00F63646"/>
    <w:rsid w:val="00F638F6"/>
    <w:rsid w:val="00F63CAE"/>
    <w:rsid w:val="00F63CEA"/>
    <w:rsid w:val="00F640B5"/>
    <w:rsid w:val="00F64314"/>
    <w:rsid w:val="00F645A5"/>
    <w:rsid w:val="00F64A28"/>
    <w:rsid w:val="00F64BDE"/>
    <w:rsid w:val="00F64C7C"/>
    <w:rsid w:val="00F64CDC"/>
    <w:rsid w:val="00F6507D"/>
    <w:rsid w:val="00F65481"/>
    <w:rsid w:val="00F6562C"/>
    <w:rsid w:val="00F6572D"/>
    <w:rsid w:val="00F658E7"/>
    <w:rsid w:val="00F65B22"/>
    <w:rsid w:val="00F65BEB"/>
    <w:rsid w:val="00F65ECF"/>
    <w:rsid w:val="00F65FBF"/>
    <w:rsid w:val="00F66479"/>
    <w:rsid w:val="00F6693B"/>
    <w:rsid w:val="00F66B02"/>
    <w:rsid w:val="00F66B38"/>
    <w:rsid w:val="00F66B67"/>
    <w:rsid w:val="00F66C2C"/>
    <w:rsid w:val="00F67241"/>
    <w:rsid w:val="00F6729D"/>
    <w:rsid w:val="00F672CB"/>
    <w:rsid w:val="00F674AC"/>
    <w:rsid w:val="00F675C4"/>
    <w:rsid w:val="00F677FC"/>
    <w:rsid w:val="00F67868"/>
    <w:rsid w:val="00F67890"/>
    <w:rsid w:val="00F6796F"/>
    <w:rsid w:val="00F67A12"/>
    <w:rsid w:val="00F67CC1"/>
    <w:rsid w:val="00F70023"/>
    <w:rsid w:val="00F70050"/>
    <w:rsid w:val="00F7015D"/>
    <w:rsid w:val="00F70289"/>
    <w:rsid w:val="00F702BF"/>
    <w:rsid w:val="00F703CB"/>
    <w:rsid w:val="00F7073C"/>
    <w:rsid w:val="00F70C56"/>
    <w:rsid w:val="00F711F5"/>
    <w:rsid w:val="00F712FA"/>
    <w:rsid w:val="00F71650"/>
    <w:rsid w:val="00F7171D"/>
    <w:rsid w:val="00F717E8"/>
    <w:rsid w:val="00F7188A"/>
    <w:rsid w:val="00F71A74"/>
    <w:rsid w:val="00F71C09"/>
    <w:rsid w:val="00F71C7F"/>
    <w:rsid w:val="00F71DBB"/>
    <w:rsid w:val="00F71E24"/>
    <w:rsid w:val="00F71FA9"/>
    <w:rsid w:val="00F71FB0"/>
    <w:rsid w:val="00F722E0"/>
    <w:rsid w:val="00F723B6"/>
    <w:rsid w:val="00F727A9"/>
    <w:rsid w:val="00F72F81"/>
    <w:rsid w:val="00F7356B"/>
    <w:rsid w:val="00F73746"/>
    <w:rsid w:val="00F73F36"/>
    <w:rsid w:val="00F740FE"/>
    <w:rsid w:val="00F74232"/>
    <w:rsid w:val="00F74290"/>
    <w:rsid w:val="00F742FD"/>
    <w:rsid w:val="00F74699"/>
    <w:rsid w:val="00F74792"/>
    <w:rsid w:val="00F7479D"/>
    <w:rsid w:val="00F747D1"/>
    <w:rsid w:val="00F748BC"/>
    <w:rsid w:val="00F749A8"/>
    <w:rsid w:val="00F749DC"/>
    <w:rsid w:val="00F74A77"/>
    <w:rsid w:val="00F74C2A"/>
    <w:rsid w:val="00F75299"/>
    <w:rsid w:val="00F752F1"/>
    <w:rsid w:val="00F75306"/>
    <w:rsid w:val="00F753D7"/>
    <w:rsid w:val="00F75489"/>
    <w:rsid w:val="00F7556C"/>
    <w:rsid w:val="00F757B8"/>
    <w:rsid w:val="00F75E58"/>
    <w:rsid w:val="00F75EB2"/>
    <w:rsid w:val="00F76441"/>
    <w:rsid w:val="00F76966"/>
    <w:rsid w:val="00F769C5"/>
    <w:rsid w:val="00F769F7"/>
    <w:rsid w:val="00F76D05"/>
    <w:rsid w:val="00F76DC9"/>
    <w:rsid w:val="00F76F0D"/>
    <w:rsid w:val="00F7722E"/>
    <w:rsid w:val="00F773CE"/>
    <w:rsid w:val="00F7759B"/>
    <w:rsid w:val="00F77626"/>
    <w:rsid w:val="00F777B9"/>
    <w:rsid w:val="00F77A1C"/>
    <w:rsid w:val="00F800A5"/>
    <w:rsid w:val="00F802B7"/>
    <w:rsid w:val="00F80389"/>
    <w:rsid w:val="00F803CA"/>
    <w:rsid w:val="00F80423"/>
    <w:rsid w:val="00F8063D"/>
    <w:rsid w:val="00F80707"/>
    <w:rsid w:val="00F80B11"/>
    <w:rsid w:val="00F812F8"/>
    <w:rsid w:val="00F814A8"/>
    <w:rsid w:val="00F81542"/>
    <w:rsid w:val="00F8191A"/>
    <w:rsid w:val="00F81A77"/>
    <w:rsid w:val="00F81CAF"/>
    <w:rsid w:val="00F81E24"/>
    <w:rsid w:val="00F82127"/>
    <w:rsid w:val="00F8214E"/>
    <w:rsid w:val="00F8219B"/>
    <w:rsid w:val="00F821A3"/>
    <w:rsid w:val="00F8222C"/>
    <w:rsid w:val="00F82264"/>
    <w:rsid w:val="00F823C7"/>
    <w:rsid w:val="00F823EA"/>
    <w:rsid w:val="00F825F1"/>
    <w:rsid w:val="00F8275C"/>
    <w:rsid w:val="00F82832"/>
    <w:rsid w:val="00F82D98"/>
    <w:rsid w:val="00F82E72"/>
    <w:rsid w:val="00F83000"/>
    <w:rsid w:val="00F83135"/>
    <w:rsid w:val="00F836A5"/>
    <w:rsid w:val="00F8381A"/>
    <w:rsid w:val="00F8395D"/>
    <w:rsid w:val="00F839D1"/>
    <w:rsid w:val="00F83C95"/>
    <w:rsid w:val="00F83EA8"/>
    <w:rsid w:val="00F842CD"/>
    <w:rsid w:val="00F842E6"/>
    <w:rsid w:val="00F8438C"/>
    <w:rsid w:val="00F84F55"/>
    <w:rsid w:val="00F8529D"/>
    <w:rsid w:val="00F854F0"/>
    <w:rsid w:val="00F855DB"/>
    <w:rsid w:val="00F85926"/>
    <w:rsid w:val="00F85BC8"/>
    <w:rsid w:val="00F8612E"/>
    <w:rsid w:val="00F861E5"/>
    <w:rsid w:val="00F8647A"/>
    <w:rsid w:val="00F8659E"/>
    <w:rsid w:val="00F865ED"/>
    <w:rsid w:val="00F86884"/>
    <w:rsid w:val="00F86928"/>
    <w:rsid w:val="00F869B8"/>
    <w:rsid w:val="00F86AA1"/>
    <w:rsid w:val="00F86F50"/>
    <w:rsid w:val="00F87484"/>
    <w:rsid w:val="00F87544"/>
    <w:rsid w:val="00F8759E"/>
    <w:rsid w:val="00F8778A"/>
    <w:rsid w:val="00F87FBD"/>
    <w:rsid w:val="00F87FF9"/>
    <w:rsid w:val="00F90719"/>
    <w:rsid w:val="00F90A31"/>
    <w:rsid w:val="00F90A6F"/>
    <w:rsid w:val="00F912A1"/>
    <w:rsid w:val="00F915CF"/>
    <w:rsid w:val="00F919A8"/>
    <w:rsid w:val="00F919D7"/>
    <w:rsid w:val="00F91BBA"/>
    <w:rsid w:val="00F91E89"/>
    <w:rsid w:val="00F91FE9"/>
    <w:rsid w:val="00F924B4"/>
    <w:rsid w:val="00F9264B"/>
    <w:rsid w:val="00F928D3"/>
    <w:rsid w:val="00F9296C"/>
    <w:rsid w:val="00F92B31"/>
    <w:rsid w:val="00F92F1C"/>
    <w:rsid w:val="00F92FAB"/>
    <w:rsid w:val="00F9314A"/>
    <w:rsid w:val="00F934B4"/>
    <w:rsid w:val="00F93956"/>
    <w:rsid w:val="00F93A1B"/>
    <w:rsid w:val="00F93E14"/>
    <w:rsid w:val="00F93FE8"/>
    <w:rsid w:val="00F9447A"/>
    <w:rsid w:val="00F945F3"/>
    <w:rsid w:val="00F94842"/>
    <w:rsid w:val="00F948B0"/>
    <w:rsid w:val="00F94B93"/>
    <w:rsid w:val="00F94C63"/>
    <w:rsid w:val="00F94E09"/>
    <w:rsid w:val="00F94EFF"/>
    <w:rsid w:val="00F9510D"/>
    <w:rsid w:val="00F951ED"/>
    <w:rsid w:val="00F9552E"/>
    <w:rsid w:val="00F9557F"/>
    <w:rsid w:val="00F958B3"/>
    <w:rsid w:val="00F95929"/>
    <w:rsid w:val="00F9593E"/>
    <w:rsid w:val="00F95942"/>
    <w:rsid w:val="00F95ACF"/>
    <w:rsid w:val="00F95B04"/>
    <w:rsid w:val="00F95E94"/>
    <w:rsid w:val="00F95EF9"/>
    <w:rsid w:val="00F9626E"/>
    <w:rsid w:val="00F963D8"/>
    <w:rsid w:val="00F9641A"/>
    <w:rsid w:val="00F966B8"/>
    <w:rsid w:val="00F967A4"/>
    <w:rsid w:val="00F96933"/>
    <w:rsid w:val="00F96A44"/>
    <w:rsid w:val="00F96B0B"/>
    <w:rsid w:val="00F974D3"/>
    <w:rsid w:val="00F97611"/>
    <w:rsid w:val="00F979D9"/>
    <w:rsid w:val="00F97A95"/>
    <w:rsid w:val="00F97BBE"/>
    <w:rsid w:val="00FA01CD"/>
    <w:rsid w:val="00FA03A1"/>
    <w:rsid w:val="00FA0772"/>
    <w:rsid w:val="00FA0AA1"/>
    <w:rsid w:val="00FA115C"/>
    <w:rsid w:val="00FA132B"/>
    <w:rsid w:val="00FA13E3"/>
    <w:rsid w:val="00FA1C3F"/>
    <w:rsid w:val="00FA1DAD"/>
    <w:rsid w:val="00FA1F09"/>
    <w:rsid w:val="00FA2103"/>
    <w:rsid w:val="00FA22DC"/>
    <w:rsid w:val="00FA25F2"/>
    <w:rsid w:val="00FA276A"/>
    <w:rsid w:val="00FA27AD"/>
    <w:rsid w:val="00FA2854"/>
    <w:rsid w:val="00FA2B54"/>
    <w:rsid w:val="00FA2E23"/>
    <w:rsid w:val="00FA2F0D"/>
    <w:rsid w:val="00FA2FF2"/>
    <w:rsid w:val="00FA303E"/>
    <w:rsid w:val="00FA3100"/>
    <w:rsid w:val="00FA31CA"/>
    <w:rsid w:val="00FA33E8"/>
    <w:rsid w:val="00FA3406"/>
    <w:rsid w:val="00FA349E"/>
    <w:rsid w:val="00FA34FD"/>
    <w:rsid w:val="00FA365F"/>
    <w:rsid w:val="00FA3730"/>
    <w:rsid w:val="00FA3CFA"/>
    <w:rsid w:val="00FA405D"/>
    <w:rsid w:val="00FA413E"/>
    <w:rsid w:val="00FA4157"/>
    <w:rsid w:val="00FA43FD"/>
    <w:rsid w:val="00FA4521"/>
    <w:rsid w:val="00FA455F"/>
    <w:rsid w:val="00FA46A6"/>
    <w:rsid w:val="00FA47B2"/>
    <w:rsid w:val="00FA4809"/>
    <w:rsid w:val="00FA4846"/>
    <w:rsid w:val="00FA484E"/>
    <w:rsid w:val="00FA4890"/>
    <w:rsid w:val="00FA4DB4"/>
    <w:rsid w:val="00FA4DF8"/>
    <w:rsid w:val="00FA5292"/>
    <w:rsid w:val="00FA5399"/>
    <w:rsid w:val="00FA53F4"/>
    <w:rsid w:val="00FA54CF"/>
    <w:rsid w:val="00FA579E"/>
    <w:rsid w:val="00FA58F7"/>
    <w:rsid w:val="00FA590A"/>
    <w:rsid w:val="00FA5A43"/>
    <w:rsid w:val="00FA5C22"/>
    <w:rsid w:val="00FA5E06"/>
    <w:rsid w:val="00FA5EB6"/>
    <w:rsid w:val="00FA5EEC"/>
    <w:rsid w:val="00FA6B27"/>
    <w:rsid w:val="00FA70E7"/>
    <w:rsid w:val="00FA7111"/>
    <w:rsid w:val="00FA71C3"/>
    <w:rsid w:val="00FA75C4"/>
    <w:rsid w:val="00FA7660"/>
    <w:rsid w:val="00FA79D2"/>
    <w:rsid w:val="00FA7F90"/>
    <w:rsid w:val="00FB00B6"/>
    <w:rsid w:val="00FB01BA"/>
    <w:rsid w:val="00FB0233"/>
    <w:rsid w:val="00FB0499"/>
    <w:rsid w:val="00FB04F2"/>
    <w:rsid w:val="00FB0640"/>
    <w:rsid w:val="00FB0679"/>
    <w:rsid w:val="00FB0739"/>
    <w:rsid w:val="00FB08F0"/>
    <w:rsid w:val="00FB0A23"/>
    <w:rsid w:val="00FB0AEF"/>
    <w:rsid w:val="00FB0CF2"/>
    <w:rsid w:val="00FB0CFF"/>
    <w:rsid w:val="00FB0D51"/>
    <w:rsid w:val="00FB0FB9"/>
    <w:rsid w:val="00FB156D"/>
    <w:rsid w:val="00FB18E2"/>
    <w:rsid w:val="00FB1CA3"/>
    <w:rsid w:val="00FB1E94"/>
    <w:rsid w:val="00FB1EF4"/>
    <w:rsid w:val="00FB2101"/>
    <w:rsid w:val="00FB2210"/>
    <w:rsid w:val="00FB22D4"/>
    <w:rsid w:val="00FB244D"/>
    <w:rsid w:val="00FB26B5"/>
    <w:rsid w:val="00FB2750"/>
    <w:rsid w:val="00FB281B"/>
    <w:rsid w:val="00FB2AB5"/>
    <w:rsid w:val="00FB2BEC"/>
    <w:rsid w:val="00FB2FF0"/>
    <w:rsid w:val="00FB331A"/>
    <w:rsid w:val="00FB33F5"/>
    <w:rsid w:val="00FB344F"/>
    <w:rsid w:val="00FB35BB"/>
    <w:rsid w:val="00FB3642"/>
    <w:rsid w:val="00FB3691"/>
    <w:rsid w:val="00FB3760"/>
    <w:rsid w:val="00FB37AD"/>
    <w:rsid w:val="00FB3862"/>
    <w:rsid w:val="00FB3875"/>
    <w:rsid w:val="00FB395C"/>
    <w:rsid w:val="00FB3E52"/>
    <w:rsid w:val="00FB3FC8"/>
    <w:rsid w:val="00FB40F9"/>
    <w:rsid w:val="00FB4209"/>
    <w:rsid w:val="00FB424D"/>
    <w:rsid w:val="00FB4654"/>
    <w:rsid w:val="00FB4974"/>
    <w:rsid w:val="00FB4C02"/>
    <w:rsid w:val="00FB4CDA"/>
    <w:rsid w:val="00FB4E7C"/>
    <w:rsid w:val="00FB523E"/>
    <w:rsid w:val="00FB54F3"/>
    <w:rsid w:val="00FB563A"/>
    <w:rsid w:val="00FB564C"/>
    <w:rsid w:val="00FB567A"/>
    <w:rsid w:val="00FB577A"/>
    <w:rsid w:val="00FB5901"/>
    <w:rsid w:val="00FB5999"/>
    <w:rsid w:val="00FB5E59"/>
    <w:rsid w:val="00FB5E9D"/>
    <w:rsid w:val="00FB5F1D"/>
    <w:rsid w:val="00FB5FE4"/>
    <w:rsid w:val="00FB62DD"/>
    <w:rsid w:val="00FB63AC"/>
    <w:rsid w:val="00FB684B"/>
    <w:rsid w:val="00FB6C43"/>
    <w:rsid w:val="00FB6D45"/>
    <w:rsid w:val="00FB701E"/>
    <w:rsid w:val="00FB74C5"/>
    <w:rsid w:val="00FB77DB"/>
    <w:rsid w:val="00FB78FF"/>
    <w:rsid w:val="00FB79D2"/>
    <w:rsid w:val="00FC0060"/>
    <w:rsid w:val="00FC0091"/>
    <w:rsid w:val="00FC01D4"/>
    <w:rsid w:val="00FC0200"/>
    <w:rsid w:val="00FC022D"/>
    <w:rsid w:val="00FC0696"/>
    <w:rsid w:val="00FC0D73"/>
    <w:rsid w:val="00FC0DE2"/>
    <w:rsid w:val="00FC109B"/>
    <w:rsid w:val="00FC11E8"/>
    <w:rsid w:val="00FC1272"/>
    <w:rsid w:val="00FC142E"/>
    <w:rsid w:val="00FC1604"/>
    <w:rsid w:val="00FC1634"/>
    <w:rsid w:val="00FC1E8B"/>
    <w:rsid w:val="00FC1E8C"/>
    <w:rsid w:val="00FC21AD"/>
    <w:rsid w:val="00FC2252"/>
    <w:rsid w:val="00FC22BD"/>
    <w:rsid w:val="00FC22FE"/>
    <w:rsid w:val="00FC256A"/>
    <w:rsid w:val="00FC273A"/>
    <w:rsid w:val="00FC2B31"/>
    <w:rsid w:val="00FC2BEC"/>
    <w:rsid w:val="00FC2E29"/>
    <w:rsid w:val="00FC338E"/>
    <w:rsid w:val="00FC339A"/>
    <w:rsid w:val="00FC339D"/>
    <w:rsid w:val="00FC33C0"/>
    <w:rsid w:val="00FC3465"/>
    <w:rsid w:val="00FC3A98"/>
    <w:rsid w:val="00FC3D2E"/>
    <w:rsid w:val="00FC4095"/>
    <w:rsid w:val="00FC4425"/>
    <w:rsid w:val="00FC4967"/>
    <w:rsid w:val="00FC4C13"/>
    <w:rsid w:val="00FC51DE"/>
    <w:rsid w:val="00FC5316"/>
    <w:rsid w:val="00FC53A2"/>
    <w:rsid w:val="00FC574D"/>
    <w:rsid w:val="00FC586A"/>
    <w:rsid w:val="00FC58EF"/>
    <w:rsid w:val="00FC5999"/>
    <w:rsid w:val="00FC5B62"/>
    <w:rsid w:val="00FC60CE"/>
    <w:rsid w:val="00FC616E"/>
    <w:rsid w:val="00FC6306"/>
    <w:rsid w:val="00FC65CD"/>
    <w:rsid w:val="00FC6876"/>
    <w:rsid w:val="00FC6A2D"/>
    <w:rsid w:val="00FC6B96"/>
    <w:rsid w:val="00FC7336"/>
    <w:rsid w:val="00FC753C"/>
    <w:rsid w:val="00FC773D"/>
    <w:rsid w:val="00FC78A8"/>
    <w:rsid w:val="00FC79BB"/>
    <w:rsid w:val="00FD007D"/>
    <w:rsid w:val="00FD01CA"/>
    <w:rsid w:val="00FD04A7"/>
    <w:rsid w:val="00FD0554"/>
    <w:rsid w:val="00FD0557"/>
    <w:rsid w:val="00FD0937"/>
    <w:rsid w:val="00FD0CA3"/>
    <w:rsid w:val="00FD0FF2"/>
    <w:rsid w:val="00FD12DD"/>
    <w:rsid w:val="00FD1327"/>
    <w:rsid w:val="00FD14C6"/>
    <w:rsid w:val="00FD1624"/>
    <w:rsid w:val="00FD1BCD"/>
    <w:rsid w:val="00FD1EED"/>
    <w:rsid w:val="00FD21F1"/>
    <w:rsid w:val="00FD2323"/>
    <w:rsid w:val="00FD23CD"/>
    <w:rsid w:val="00FD260D"/>
    <w:rsid w:val="00FD2670"/>
    <w:rsid w:val="00FD2AD6"/>
    <w:rsid w:val="00FD30FA"/>
    <w:rsid w:val="00FD3367"/>
    <w:rsid w:val="00FD33DF"/>
    <w:rsid w:val="00FD34CE"/>
    <w:rsid w:val="00FD38CC"/>
    <w:rsid w:val="00FD3CDF"/>
    <w:rsid w:val="00FD4402"/>
    <w:rsid w:val="00FD45D4"/>
    <w:rsid w:val="00FD4615"/>
    <w:rsid w:val="00FD47A7"/>
    <w:rsid w:val="00FD4854"/>
    <w:rsid w:val="00FD48A4"/>
    <w:rsid w:val="00FD48E3"/>
    <w:rsid w:val="00FD4A67"/>
    <w:rsid w:val="00FD4D81"/>
    <w:rsid w:val="00FD50FA"/>
    <w:rsid w:val="00FD52A3"/>
    <w:rsid w:val="00FD532D"/>
    <w:rsid w:val="00FD533F"/>
    <w:rsid w:val="00FD5360"/>
    <w:rsid w:val="00FD57F7"/>
    <w:rsid w:val="00FD6267"/>
    <w:rsid w:val="00FD635C"/>
    <w:rsid w:val="00FD640C"/>
    <w:rsid w:val="00FD6565"/>
    <w:rsid w:val="00FD69BE"/>
    <w:rsid w:val="00FD6A23"/>
    <w:rsid w:val="00FD6BBC"/>
    <w:rsid w:val="00FD6EF4"/>
    <w:rsid w:val="00FD716F"/>
    <w:rsid w:val="00FD717F"/>
    <w:rsid w:val="00FD7195"/>
    <w:rsid w:val="00FD71B4"/>
    <w:rsid w:val="00FD72C7"/>
    <w:rsid w:val="00FD74B3"/>
    <w:rsid w:val="00FD74E7"/>
    <w:rsid w:val="00FD75DE"/>
    <w:rsid w:val="00FD773F"/>
    <w:rsid w:val="00FE000E"/>
    <w:rsid w:val="00FE0098"/>
    <w:rsid w:val="00FE0473"/>
    <w:rsid w:val="00FE085F"/>
    <w:rsid w:val="00FE08F0"/>
    <w:rsid w:val="00FE0BAB"/>
    <w:rsid w:val="00FE0EA8"/>
    <w:rsid w:val="00FE144D"/>
    <w:rsid w:val="00FE175E"/>
    <w:rsid w:val="00FE1F1C"/>
    <w:rsid w:val="00FE203E"/>
    <w:rsid w:val="00FE218B"/>
    <w:rsid w:val="00FE233C"/>
    <w:rsid w:val="00FE247B"/>
    <w:rsid w:val="00FE24F7"/>
    <w:rsid w:val="00FE253C"/>
    <w:rsid w:val="00FE2A45"/>
    <w:rsid w:val="00FE2D4C"/>
    <w:rsid w:val="00FE2E07"/>
    <w:rsid w:val="00FE2E9C"/>
    <w:rsid w:val="00FE32F7"/>
    <w:rsid w:val="00FE3386"/>
    <w:rsid w:val="00FE346A"/>
    <w:rsid w:val="00FE3492"/>
    <w:rsid w:val="00FE39D7"/>
    <w:rsid w:val="00FE3A1F"/>
    <w:rsid w:val="00FE3CFD"/>
    <w:rsid w:val="00FE3DAB"/>
    <w:rsid w:val="00FE3E89"/>
    <w:rsid w:val="00FE4009"/>
    <w:rsid w:val="00FE420E"/>
    <w:rsid w:val="00FE42A7"/>
    <w:rsid w:val="00FE47F1"/>
    <w:rsid w:val="00FE4EE2"/>
    <w:rsid w:val="00FE51BD"/>
    <w:rsid w:val="00FE56F1"/>
    <w:rsid w:val="00FE5738"/>
    <w:rsid w:val="00FE5802"/>
    <w:rsid w:val="00FE591F"/>
    <w:rsid w:val="00FE59D7"/>
    <w:rsid w:val="00FE5DBA"/>
    <w:rsid w:val="00FE5DE0"/>
    <w:rsid w:val="00FE5EF5"/>
    <w:rsid w:val="00FE5FAE"/>
    <w:rsid w:val="00FE6042"/>
    <w:rsid w:val="00FE6315"/>
    <w:rsid w:val="00FE634C"/>
    <w:rsid w:val="00FE6B62"/>
    <w:rsid w:val="00FE6E4D"/>
    <w:rsid w:val="00FE7154"/>
    <w:rsid w:val="00FE721C"/>
    <w:rsid w:val="00FE73A1"/>
    <w:rsid w:val="00FE78EF"/>
    <w:rsid w:val="00FE7C82"/>
    <w:rsid w:val="00FE7CCF"/>
    <w:rsid w:val="00FE7D5E"/>
    <w:rsid w:val="00FE7FEC"/>
    <w:rsid w:val="00FF00F5"/>
    <w:rsid w:val="00FF0721"/>
    <w:rsid w:val="00FF0AB9"/>
    <w:rsid w:val="00FF0D99"/>
    <w:rsid w:val="00FF0E03"/>
    <w:rsid w:val="00FF1193"/>
    <w:rsid w:val="00FF1600"/>
    <w:rsid w:val="00FF18C8"/>
    <w:rsid w:val="00FF1E2C"/>
    <w:rsid w:val="00FF1F54"/>
    <w:rsid w:val="00FF1FFE"/>
    <w:rsid w:val="00FF2190"/>
    <w:rsid w:val="00FF2887"/>
    <w:rsid w:val="00FF28D5"/>
    <w:rsid w:val="00FF2A0A"/>
    <w:rsid w:val="00FF2A2F"/>
    <w:rsid w:val="00FF2A82"/>
    <w:rsid w:val="00FF2DF4"/>
    <w:rsid w:val="00FF30BC"/>
    <w:rsid w:val="00FF314C"/>
    <w:rsid w:val="00FF3600"/>
    <w:rsid w:val="00FF376C"/>
    <w:rsid w:val="00FF3E7D"/>
    <w:rsid w:val="00FF4448"/>
    <w:rsid w:val="00FF4661"/>
    <w:rsid w:val="00FF493D"/>
    <w:rsid w:val="00FF4BFB"/>
    <w:rsid w:val="00FF4D44"/>
    <w:rsid w:val="00FF4DE6"/>
    <w:rsid w:val="00FF5135"/>
    <w:rsid w:val="00FF51FA"/>
    <w:rsid w:val="00FF5374"/>
    <w:rsid w:val="00FF5484"/>
    <w:rsid w:val="00FF550D"/>
    <w:rsid w:val="00FF553A"/>
    <w:rsid w:val="00FF5785"/>
    <w:rsid w:val="00FF5D42"/>
    <w:rsid w:val="00FF5E87"/>
    <w:rsid w:val="00FF62FA"/>
    <w:rsid w:val="00FF6350"/>
    <w:rsid w:val="00FF6614"/>
    <w:rsid w:val="00FF66F6"/>
    <w:rsid w:val="00FF67AE"/>
    <w:rsid w:val="00FF6C3B"/>
    <w:rsid w:val="00FF6D66"/>
    <w:rsid w:val="00FF73AA"/>
    <w:rsid w:val="00FF75BA"/>
    <w:rsid w:val="00FF75FF"/>
    <w:rsid w:val="00FF7A54"/>
    <w:rsid w:val="00FF7AC8"/>
    <w:rsid w:val="00FF7B07"/>
    <w:rsid w:val="00FF7B5A"/>
    <w:rsid w:val="00FF7CA2"/>
    <w:rsid w:val="00FF7D06"/>
    <w:rsid w:val="00FF7EEB"/>
    <w:rsid w:val="04A82DFE"/>
    <w:rsid w:val="05389B9C"/>
    <w:rsid w:val="060E432E"/>
    <w:rsid w:val="06757C59"/>
    <w:rsid w:val="08A44755"/>
    <w:rsid w:val="099EFF6C"/>
    <w:rsid w:val="0CE416D7"/>
    <w:rsid w:val="0ECDAA0B"/>
    <w:rsid w:val="0F329920"/>
    <w:rsid w:val="14A6B323"/>
    <w:rsid w:val="14BFAB5E"/>
    <w:rsid w:val="15C1D557"/>
    <w:rsid w:val="19F66CA3"/>
    <w:rsid w:val="1ED534E2"/>
    <w:rsid w:val="21BE9069"/>
    <w:rsid w:val="24AC7611"/>
    <w:rsid w:val="2521CF1F"/>
    <w:rsid w:val="2E48B25B"/>
    <w:rsid w:val="2F4FF5E3"/>
    <w:rsid w:val="307B23CD"/>
    <w:rsid w:val="32A1B005"/>
    <w:rsid w:val="348A1A30"/>
    <w:rsid w:val="35DFA510"/>
    <w:rsid w:val="3AC46E72"/>
    <w:rsid w:val="3CFA8086"/>
    <w:rsid w:val="3D236B59"/>
    <w:rsid w:val="3EB782A4"/>
    <w:rsid w:val="41C69BE7"/>
    <w:rsid w:val="420C339C"/>
    <w:rsid w:val="46FEF584"/>
    <w:rsid w:val="48196AD7"/>
    <w:rsid w:val="48944C34"/>
    <w:rsid w:val="48D94173"/>
    <w:rsid w:val="4F064B06"/>
    <w:rsid w:val="4F2A0C3B"/>
    <w:rsid w:val="511A95F1"/>
    <w:rsid w:val="5BFD215F"/>
    <w:rsid w:val="6095EE7E"/>
    <w:rsid w:val="62A45727"/>
    <w:rsid w:val="64485240"/>
    <w:rsid w:val="662B8E67"/>
    <w:rsid w:val="6B80E483"/>
    <w:rsid w:val="6D755AE2"/>
    <w:rsid w:val="6EC31F05"/>
    <w:rsid w:val="7336B329"/>
    <w:rsid w:val="76269B3D"/>
    <w:rsid w:val="7898F53A"/>
    <w:rsid w:val="79449F63"/>
    <w:rsid w:val="7A0A3461"/>
    <w:rsid w:val="7EDA0E0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02228"/>
  <w15:docId w15:val="{C6E87BA1-CA8E-4490-9522-7478B764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92"/>
    <w:rPr>
      <w:sz w:val="24"/>
      <w:szCs w:val="24"/>
      <w:lang w:eastAsia="es-ES_tradnl"/>
    </w:rPr>
  </w:style>
  <w:style w:type="paragraph" w:styleId="Ttulo1">
    <w:name w:val="heading 1"/>
    <w:basedOn w:val="Normal"/>
    <w:next w:val="Normal"/>
    <w:link w:val="Ttulo1Car"/>
    <w:qFormat/>
    <w:rsid w:val="00F87FF9"/>
    <w:pPr>
      <w:keepNext/>
      <w:jc w:val="both"/>
      <w:outlineLvl w:val="0"/>
    </w:pPr>
    <w:rPr>
      <w:rFonts w:ascii="Bookman Old Style" w:hAnsi="Bookman Old Style"/>
      <w:b/>
      <w:szCs w:val="20"/>
      <w:lang w:eastAsia="es-ES"/>
    </w:rPr>
  </w:style>
  <w:style w:type="paragraph" w:styleId="Ttulo2">
    <w:name w:val="heading 2"/>
    <w:aliases w:val="Neg"/>
    <w:basedOn w:val="Normal"/>
    <w:next w:val="Normal"/>
    <w:link w:val="Ttulo2Car"/>
    <w:qFormat/>
    <w:rsid w:val="003A5D10"/>
    <w:pPr>
      <w:keepNext/>
      <w:widowControl w:val="0"/>
      <w:adjustRightInd w:val="0"/>
      <w:spacing w:line="360" w:lineRule="auto"/>
      <w:jc w:val="both"/>
      <w:textAlignment w:val="baseline"/>
      <w:outlineLvl w:val="1"/>
    </w:pPr>
    <w:rPr>
      <w:rFonts w:ascii="Bookman Old Style" w:hAnsi="Bookman Old Style"/>
      <w:b/>
      <w:bCs/>
      <w:lang w:val="es-ES" w:eastAsia="es-ES"/>
    </w:rPr>
  </w:style>
  <w:style w:type="paragraph" w:styleId="Ttulo3">
    <w:name w:val="heading 3"/>
    <w:basedOn w:val="Normal"/>
    <w:next w:val="Normal"/>
    <w:link w:val="Ttulo3Car"/>
    <w:qFormat/>
    <w:rsid w:val="00C17305"/>
    <w:pPr>
      <w:keepNext/>
      <w:jc w:val="both"/>
      <w:outlineLvl w:val="2"/>
    </w:pPr>
    <w:rPr>
      <w:rFonts w:ascii="Bookman Old Style" w:hAnsi="Bookman Old Style"/>
      <w:b/>
      <w:snapToGrid w:val="0"/>
      <w:color w:val="000000"/>
      <w:szCs w:val="20"/>
      <w:lang w:val="es-ES_tradnl" w:eastAsia="es-ES"/>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qFormat/>
    <w:rsid w:val="00B82006"/>
    <w:pPr>
      <w:keepNext/>
      <w:widowControl w:val="0"/>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uiPriority w:val="99"/>
    <w:rsid w:val="003101DA"/>
    <w:pPr>
      <w:tabs>
        <w:tab w:val="center" w:pos="4252"/>
        <w:tab w:val="right" w:pos="8504"/>
      </w:tabs>
      <w:jc w:val="both"/>
    </w:pPr>
    <w:rPr>
      <w:rFonts w:ascii="Bookman Old Style" w:hAnsi="Bookman Old Style"/>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next w:val="NormalWeb"/>
    <w:link w:val="PrrafodelistaCar"/>
    <w:qFormat/>
    <w:rsid w:val="00F87FF9"/>
    <w:pPr>
      <w:ind w:left="708"/>
      <w:jc w:val="both"/>
    </w:pPr>
    <w:rPr>
      <w:rFonts w:ascii="Bookman Old Style" w:hAnsi="Bookman Old Style"/>
      <w:szCs w:val="20"/>
      <w:lang w:eastAsia="es-ES"/>
    </w:rPr>
  </w:style>
  <w:style w:type="character" w:customStyle="1" w:styleId="PrrafodelistaCar">
    <w:name w:val="Párrafo de lista Car"/>
    <w:link w:val="Prrafodelista"/>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rFonts w:ascii="Bookman Old Style" w:hAnsi="Bookman Old Style"/>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rsid w:val="003A5D10"/>
    <w:rPr>
      <w:rFonts w:ascii="Bookman Old Style" w:hAnsi="Bookman Old Style"/>
      <w:b/>
      <w:bCs/>
      <w:sz w:val="24"/>
      <w:szCs w:val="24"/>
      <w:lang w:val="es-ES" w:eastAsia="es-ES"/>
    </w:rPr>
  </w:style>
  <w:style w:type="character" w:customStyle="1" w:styleId="Ttulo7Car">
    <w:name w:val="Título 7 Car"/>
    <w:link w:val="Ttulo7"/>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ind w:left="576" w:hanging="576"/>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ind w:left="720" w:hanging="720"/>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rFonts w:ascii="Bookman Old Style" w:hAnsi="Bookman Old Style"/>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rFonts w:ascii="Bookman Old Style" w:hAnsi="Bookman Old Style"/>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rFonts w:ascii="Bookman Old Style" w:hAnsi="Bookman Old Style"/>
      <w:sz w:val="22"/>
      <w:szCs w:val="20"/>
      <w:lang w:val="nb-NO"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rFonts w:ascii="Bookman Old Style" w:hAnsi="Bookman Old Style"/>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uiPriority w:val="99"/>
    <w:rsid w:val="00B82006"/>
    <w:rPr>
      <w:sz w:val="16"/>
      <w:szCs w:val="16"/>
    </w:rPr>
  </w:style>
  <w:style w:type="paragraph" w:styleId="Textocomentario">
    <w:name w:val="annotation text"/>
    <w:basedOn w:val="Normal"/>
    <w:link w:val="TextocomentarioCar"/>
    <w:uiPriority w:val="99"/>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comentarioCar">
    <w:name w:val="Texto comentario Car"/>
    <w:link w:val="Textocomentario"/>
    <w:uiPriority w:val="99"/>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rFonts w:ascii="Bookman Old Style" w:hAnsi="Bookman Old Style"/>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rFonts w:ascii="Bookman Old Style" w:hAnsi="Bookman Old Style"/>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rFonts w:ascii="Bookman Old Style" w:hAnsi="Bookman Old Style"/>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rFonts w:ascii="Bookman Old Style" w:hAnsi="Bookman Old Style"/>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rFonts w:ascii="Bookman Old Style" w:hAnsi="Bookman Old Style"/>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rFonts w:ascii="Bookman Old Style" w:hAnsi="Bookman Old Style"/>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ascii="Bookman Old Style" w:hAnsi="Bookman Old Style"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ascii="Bookman Old Style" w:eastAsia="Arial Unicode MS" w:hAnsi="Bookman Old Style"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rFonts w:ascii="Bookman Old Style" w:hAnsi="Bookman Old Style"/>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B82006"/>
    <w:pPr>
      <w:keepNext/>
      <w:numPr>
        <w:numId w:val="19"/>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20"/>
      </w:numPr>
      <w:tabs>
        <w:tab w:val="left" w:pos="-720"/>
        <w:tab w:val="left" w:pos="1620"/>
      </w:tabs>
      <w:suppressAutoHyphens/>
      <w:spacing w:before="240"/>
      <w:jc w:val="both"/>
    </w:pPr>
    <w:rPr>
      <w:rFonts w:ascii="Bookman Old Style" w:hAnsi="Bookman Old Style"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9"/>
      </w:numPr>
    </w:pPr>
  </w:style>
  <w:style w:type="numbering" w:customStyle="1" w:styleId="Transporte">
    <w:name w:val="Transporte"/>
    <w:uiPriority w:val="99"/>
    <w:rsid w:val="00B82006"/>
    <w:pPr>
      <w:numPr>
        <w:numId w:val="10"/>
      </w:numPr>
    </w:pPr>
  </w:style>
  <w:style w:type="numbering" w:customStyle="1" w:styleId="Estilo12">
    <w:name w:val="Estilo12"/>
    <w:uiPriority w:val="99"/>
    <w:rsid w:val="00B82006"/>
    <w:pPr>
      <w:numPr>
        <w:numId w:val="11"/>
      </w:numPr>
    </w:pPr>
  </w:style>
  <w:style w:type="numbering" w:customStyle="1" w:styleId="Estilo13">
    <w:name w:val="Estilo13"/>
    <w:uiPriority w:val="99"/>
    <w:rsid w:val="00B82006"/>
    <w:pPr>
      <w:numPr>
        <w:numId w:val="12"/>
      </w:numPr>
    </w:pPr>
  </w:style>
  <w:style w:type="numbering" w:customStyle="1" w:styleId="Estilo14">
    <w:name w:val="Estilo14"/>
    <w:uiPriority w:val="99"/>
    <w:rsid w:val="00B82006"/>
    <w:pPr>
      <w:numPr>
        <w:numId w:val="13"/>
      </w:numPr>
    </w:pPr>
  </w:style>
  <w:style w:type="numbering" w:customStyle="1" w:styleId="Estilo15">
    <w:name w:val="Estilo15"/>
    <w:uiPriority w:val="99"/>
    <w:rsid w:val="00B82006"/>
    <w:pPr>
      <w:numPr>
        <w:numId w:val="14"/>
      </w:numPr>
    </w:pPr>
  </w:style>
  <w:style w:type="numbering" w:customStyle="1" w:styleId="TGas">
    <w:name w:val="T Gas"/>
    <w:uiPriority w:val="99"/>
    <w:rsid w:val="00B82006"/>
    <w:pPr>
      <w:numPr>
        <w:numId w:val="15"/>
      </w:numPr>
    </w:pPr>
  </w:style>
  <w:style w:type="numbering" w:customStyle="1" w:styleId="Estilo16">
    <w:name w:val="Estilo16"/>
    <w:uiPriority w:val="99"/>
    <w:rsid w:val="00B82006"/>
    <w:pPr>
      <w:numPr>
        <w:numId w:val="16"/>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rFonts w:ascii="Bookman Old Style" w:hAnsi="Bookman Old Style"/>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rFonts w:ascii="Bookman Old Style" w:hAnsi="Bookman Old Style"/>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4710C0"/>
    <w:pPr>
      <w:widowControl w:val="0"/>
      <w:numPr>
        <w:numId w:val="17"/>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4710C0"/>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rFonts w:ascii="Bookman Old Style" w:hAnsi="Bookman Old Style"/>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rFonts w:ascii="Bookman Old Style" w:hAnsi="Bookman Old Style"/>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styleId="Mencinsinresolver">
    <w:name w:val="Unresolved Mention"/>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6">
    <w:name w:val="xl116"/>
    <w:basedOn w:val="Normal"/>
    <w:rsid w:val="000C7F97"/>
    <w:pPr>
      <w:spacing w:before="100" w:beforeAutospacing="1" w:after="100" w:afterAutospacing="1"/>
    </w:pPr>
    <w:rPr>
      <w:rFonts w:ascii="Bookman Old Style" w:hAnsi="Bookman Old Style"/>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rFonts w:ascii="Bookman Old Style" w:hAnsi="Bookman Old Style"/>
      <w:lang w:eastAsia="es-CO"/>
    </w:rPr>
  </w:style>
  <w:style w:type="paragraph" w:customStyle="1" w:styleId="xl119">
    <w:name w:val="xl119"/>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rFonts w:ascii="Bookman Old Style" w:hAnsi="Bookman Old Style"/>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1">
    <w:name w:val="xl151"/>
    <w:basedOn w:val="Normal"/>
    <w:rsid w:val="000C7F97"/>
    <w:pPr>
      <w:spacing w:before="100" w:beforeAutospacing="1" w:after="100" w:afterAutospacing="1"/>
    </w:pPr>
    <w:rPr>
      <w:rFonts w:ascii="Bookman Old Style" w:hAnsi="Bookman Old Style"/>
      <w:b/>
      <w:bCs/>
      <w:lang w:eastAsia="es-CO"/>
    </w:rPr>
  </w:style>
  <w:style w:type="paragraph" w:customStyle="1" w:styleId="xl152">
    <w:name w:val="xl152"/>
    <w:basedOn w:val="Normal"/>
    <w:rsid w:val="000C7F97"/>
    <w:pPr>
      <w:spacing w:before="100" w:beforeAutospacing="1" w:after="100" w:afterAutospacing="1"/>
      <w:textAlignment w:val="center"/>
    </w:pPr>
    <w:rPr>
      <w:rFonts w:ascii="Bookman Old Style" w:hAnsi="Bookman Old Style"/>
      <w:lang w:eastAsia="es-CO"/>
    </w:rPr>
  </w:style>
  <w:style w:type="paragraph" w:customStyle="1" w:styleId="xl153">
    <w:name w:val="xl153"/>
    <w:basedOn w:val="Normal"/>
    <w:rsid w:val="000C7F97"/>
    <w:pPr>
      <w:pBdr>
        <w:right w:val="single" w:sz="4" w:space="0" w:color="auto"/>
      </w:pBdr>
      <w:spacing w:before="100" w:beforeAutospacing="1" w:after="100" w:afterAutospacing="1"/>
    </w:pPr>
    <w:rPr>
      <w:rFonts w:ascii="Bookman Old Style" w:hAnsi="Bookman Old Style"/>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69">
    <w:name w:val="xl169"/>
    <w:basedOn w:val="Normal"/>
    <w:rsid w:val="000C7F97"/>
    <w:pPr>
      <w:spacing w:before="100" w:beforeAutospacing="1" w:after="100" w:afterAutospacing="1"/>
    </w:pPr>
    <w:rPr>
      <w:rFonts w:ascii="Bookman Old Style" w:hAnsi="Bookman Old Style"/>
      <w:b/>
      <w:bCs/>
      <w:lang w:eastAsia="es-CO"/>
    </w:rPr>
  </w:style>
  <w:style w:type="paragraph" w:customStyle="1" w:styleId="xl170">
    <w:name w:val="xl170"/>
    <w:basedOn w:val="Normal"/>
    <w:rsid w:val="000C7F97"/>
    <w:pPr>
      <w:spacing w:before="100" w:beforeAutospacing="1" w:after="100" w:afterAutospacing="1"/>
    </w:pPr>
    <w:rPr>
      <w:rFonts w:ascii="Bookman Old Style" w:hAnsi="Bookman Old Style"/>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rFonts w:ascii="Bookman Old Style" w:hAnsi="Bookman Old Style"/>
      <w:b/>
      <w:bCs/>
      <w:lang w:eastAsia="es-CO"/>
    </w:rPr>
  </w:style>
  <w:style w:type="paragraph" w:customStyle="1" w:styleId="xl218">
    <w:name w:val="xl218"/>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rFonts w:ascii="Bookman Old Style" w:hAnsi="Bookman Old Style"/>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baj">
    <w:name w:val="b_aj"/>
    <w:basedOn w:val="Fuentedeprrafopredeter"/>
    <w:rsid w:val="00FE7C82"/>
  </w:style>
  <w:style w:type="table" w:styleId="Tablanormal1">
    <w:name w:val="Plain Table 1"/>
    <w:basedOn w:val="Tablanormal"/>
    <w:uiPriority w:val="41"/>
    <w:rsid w:val="00FE7C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onar">
    <w:name w:val="Mention"/>
    <w:basedOn w:val="Fuentedeprrafopredeter"/>
    <w:uiPriority w:val="99"/>
    <w:unhideWhenUsed/>
    <w:rsid w:val="0078088A"/>
    <w:rPr>
      <w:color w:val="2B579A"/>
      <w:shd w:val="clear" w:color="auto" w:fill="E1DFDD"/>
    </w:rPr>
  </w:style>
  <w:style w:type="numbering" w:customStyle="1" w:styleId="Listaactual1">
    <w:name w:val="Lista actual1"/>
    <w:uiPriority w:val="99"/>
    <w:rsid w:val="002D2DCD"/>
    <w:pPr>
      <w:numPr>
        <w:numId w:val="28"/>
      </w:numPr>
    </w:pPr>
  </w:style>
  <w:style w:type="character" w:customStyle="1" w:styleId="normaltextrun">
    <w:name w:val="normaltextrun"/>
    <w:basedOn w:val="Fuentedeprrafopredeter"/>
    <w:rsid w:val="002864AA"/>
  </w:style>
  <w:style w:type="paragraph" w:customStyle="1" w:styleId="paragraph">
    <w:name w:val="paragraph"/>
    <w:basedOn w:val="Normal"/>
    <w:rsid w:val="00BF29D3"/>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68721400">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197399022">
      <w:bodyDiv w:val="1"/>
      <w:marLeft w:val="0"/>
      <w:marRight w:val="0"/>
      <w:marTop w:val="0"/>
      <w:marBottom w:val="0"/>
      <w:divBdr>
        <w:top w:val="none" w:sz="0" w:space="0" w:color="auto"/>
        <w:left w:val="none" w:sz="0" w:space="0" w:color="auto"/>
        <w:bottom w:val="none" w:sz="0" w:space="0" w:color="auto"/>
        <w:right w:val="none" w:sz="0" w:space="0" w:color="auto"/>
      </w:divBdr>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37719472">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497506435">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67762766">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599527020">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83156751">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43347984">
      <w:bodyDiv w:val="1"/>
      <w:marLeft w:val="0"/>
      <w:marRight w:val="0"/>
      <w:marTop w:val="0"/>
      <w:marBottom w:val="0"/>
      <w:divBdr>
        <w:top w:val="none" w:sz="0" w:space="0" w:color="auto"/>
        <w:left w:val="none" w:sz="0" w:space="0" w:color="auto"/>
        <w:bottom w:val="none" w:sz="0" w:space="0" w:color="auto"/>
        <w:right w:val="none" w:sz="0" w:space="0" w:color="auto"/>
      </w:divBdr>
      <w:divsChild>
        <w:div w:id="1010642105">
          <w:marLeft w:val="1166"/>
          <w:marRight w:val="0"/>
          <w:marTop w:val="0"/>
          <w:marBottom w:val="0"/>
          <w:divBdr>
            <w:top w:val="none" w:sz="0" w:space="0" w:color="auto"/>
            <w:left w:val="none" w:sz="0" w:space="0" w:color="auto"/>
            <w:bottom w:val="none" w:sz="0" w:space="0" w:color="auto"/>
            <w:right w:val="none" w:sz="0" w:space="0" w:color="auto"/>
          </w:divBdr>
        </w:div>
      </w:divsChild>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4113228">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083600512">
      <w:bodyDiv w:val="1"/>
      <w:marLeft w:val="0"/>
      <w:marRight w:val="0"/>
      <w:marTop w:val="0"/>
      <w:marBottom w:val="0"/>
      <w:divBdr>
        <w:top w:val="none" w:sz="0" w:space="0" w:color="auto"/>
        <w:left w:val="none" w:sz="0" w:space="0" w:color="auto"/>
        <w:bottom w:val="none" w:sz="0" w:space="0" w:color="auto"/>
        <w:right w:val="none" w:sz="0" w:space="0" w:color="auto"/>
      </w:divBdr>
    </w:div>
    <w:div w:id="1100445126">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55184780">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42286811">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596667001">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4779113">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59472750">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089226715">
      <w:bodyDiv w:val="1"/>
      <w:marLeft w:val="0"/>
      <w:marRight w:val="0"/>
      <w:marTop w:val="0"/>
      <w:marBottom w:val="0"/>
      <w:divBdr>
        <w:top w:val="none" w:sz="0" w:space="0" w:color="auto"/>
        <w:left w:val="none" w:sz="0" w:space="0" w:color="auto"/>
        <w:bottom w:val="none" w:sz="0" w:space="0" w:color="auto"/>
        <w:right w:val="none" w:sz="0" w:space="0" w:color="auto"/>
      </w:divBdr>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09612827">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stornormativo.creg.gov.co/gestor/entorno/docs/ley_0142_1994.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stornormativo.creg.gov.co/gestor/entorno/docs/resolucion_creg_0175_2021.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stornormativo.creg.gov.co/gestor/entorno/docs/ley_2099_202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34339ab-555d-41ee-a400-3aa7e74f922f">
      <UserInfo>
        <DisplayName>Henry Navarro Sanchez</DisplayName>
        <AccountId>13</AccountId>
        <AccountType/>
      </UserInfo>
      <UserInfo>
        <DisplayName>Jorge Andres Amaya Montejo</DisplayName>
        <AccountId>11</AccountId>
        <AccountType/>
      </UserInfo>
      <UserInfo>
        <DisplayName>Juan Carlos Bonilla Borda</DisplayName>
        <AccountId>12</AccountId>
        <AccountType/>
      </UserInfo>
      <UserInfo>
        <DisplayName>Luis Fernando León Granados</DisplayName>
        <AccountId>14</AccountId>
        <AccountType/>
      </UserInfo>
    </SharedWithUsers>
    <lcf76f155ced4ddcb4097134ff3c332f xmlns="1f8cd00a-7ed1-45f4-a1d2-11fa5d528c74">
      <Terms xmlns="http://schemas.microsoft.com/office/infopath/2007/PartnerControls"/>
    </lcf76f155ced4ddcb4097134ff3c332f>
    <TaxCatchAll xmlns="b34339ab-555d-41ee-a400-3aa7e74f92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151584D72037D418DBB71F692B269A1" ma:contentTypeVersion="18" ma:contentTypeDescription="Crear nuevo documento." ma:contentTypeScope="" ma:versionID="12964ebb45ebb012121731c3ef5d6508">
  <xsd:schema xmlns:xsd="http://www.w3.org/2001/XMLSchema" xmlns:xs="http://www.w3.org/2001/XMLSchema" xmlns:p="http://schemas.microsoft.com/office/2006/metadata/properties" xmlns:ns2="1f8cd00a-7ed1-45f4-a1d2-11fa5d528c74" xmlns:ns3="b34339ab-555d-41ee-a400-3aa7e74f922f" targetNamespace="http://schemas.microsoft.com/office/2006/metadata/properties" ma:root="true" ma:fieldsID="eb24a1f56b309d394c017a7bc0252361" ns2:_="" ns3:_="">
    <xsd:import namespace="1f8cd00a-7ed1-45f4-a1d2-11fa5d528c74"/>
    <xsd:import namespace="b34339ab-555d-41ee-a400-3aa7e74f9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cd00a-7ed1-45f4-a1d2-11fa5d528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339ab-555d-41ee-a400-3aa7e74f922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4e612de-b658-42e2-a180-6e7e5b079436}" ma:internalName="TaxCatchAll" ma:showField="CatchAllData" ma:web="b34339ab-555d-41ee-a400-3aa7e74f9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F34D4-8BD4-4080-B772-FF5062D40100}">
  <ds:schemaRefs>
    <ds:schemaRef ds:uri="http://schemas.openxmlformats.org/officeDocument/2006/bibliography"/>
  </ds:schemaRefs>
</ds:datastoreItem>
</file>

<file path=customXml/itemProps2.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b34339ab-555d-41ee-a400-3aa7e74f922f"/>
    <ds:schemaRef ds:uri="1f8cd00a-7ed1-45f4-a1d2-11fa5d528c74"/>
  </ds:schemaRefs>
</ds:datastoreItem>
</file>

<file path=customXml/itemProps3.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4.xml><?xml version="1.0" encoding="utf-8"?>
<ds:datastoreItem xmlns:ds="http://schemas.openxmlformats.org/officeDocument/2006/customXml" ds:itemID="{923F0B25-BAB1-4D8E-BD36-0D1F0CD0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cd00a-7ed1-45f4-a1d2-11fa5d528c74"/>
    <ds:schemaRef ds:uri="b34339ab-555d-41ee-a400-3aa7e74f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6</TotalTime>
  <Pages>38</Pages>
  <Words>15508</Words>
  <Characters>85299</Characters>
  <Application>Microsoft Office Word</Application>
  <DocSecurity>0</DocSecurity>
  <Lines>710</Lines>
  <Paragraphs>201</Paragraphs>
  <ScaleCrop>false</ScaleCrop>
  <Company>CREG</Company>
  <LinksUpToDate>false</LinksUpToDate>
  <CharactersWithSpaces>100606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5</cp:revision>
  <cp:lastPrinted>2024-07-05T11:49:00Z</cp:lastPrinted>
  <dcterms:created xsi:type="dcterms:W3CDTF">2024-07-04T17:56:00Z</dcterms:created>
  <dcterms:modified xsi:type="dcterms:W3CDTF">2024-07-05T11:49:00Z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0x0101009151584D72037D418DBB71F692B269A1</vt:lpwstr>
  </property>
  <property fmtid="{D5CDD505-2E9C-101B-9397-08002B2CF9AE}" pid="23" name="MediaServiceImageTags">
    <vt:lpwstr/>
  </property>
</Properties>
</file>