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BB7E" w14:textId="75620214" w:rsidR="00BA6D78" w:rsidRDefault="00BA6D78" w:rsidP="00BA6D7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24 de junio de 2024</w:t>
      </w:r>
      <w:r>
        <w:rPr>
          <w:rFonts w:ascii="Arial" w:hAnsi="Arial" w:cs="Arial"/>
          <w:sz w:val="22"/>
          <w:szCs w:val="22"/>
          <w:lang w:val="es-MX"/>
        </w:rPr>
        <w:fldChar w:fldCharType="end"/>
      </w:r>
    </w:p>
    <w:p w14:paraId="4BF6BC04" w14:textId="77777777" w:rsidR="00BA6D78" w:rsidRDefault="00BA6D78" w:rsidP="00BA6D78">
      <w:pPr>
        <w:rPr>
          <w:rFonts w:ascii="Arial" w:hAnsi="Arial" w:cs="Arial"/>
          <w:sz w:val="22"/>
          <w:szCs w:val="22"/>
          <w:lang w:val="es-MX"/>
        </w:rPr>
      </w:pPr>
    </w:p>
    <w:p w14:paraId="2DF36FC6" w14:textId="33257262"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037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142B1">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PRESTADORES DEL SERVICIO DE ENERGÍA ELÉCTRICA Y ADMINISTRADOR DEL SISTEMA DE INTERCAMBIOS COMERCIALES, ASIC</w:t>
      </w:r>
      <w:r>
        <w:rPr>
          <w:rFonts w:ascii="Arial" w:hAnsi="Arial" w:cs="Arial"/>
          <w:b/>
        </w:rPr>
        <w:fldChar w:fldCharType="end"/>
      </w:r>
    </w:p>
    <w:p w14:paraId="047A3184" w14:textId="77777777" w:rsidR="00BA6D78" w:rsidRDefault="00BA6D78" w:rsidP="00BA6D78">
      <w:pPr>
        <w:spacing w:line="216" w:lineRule="auto"/>
        <w:ind w:left="1410" w:hanging="1410"/>
        <w:rPr>
          <w:rFonts w:ascii="Arial" w:hAnsi="Arial" w:cs="Arial"/>
          <w:b/>
        </w:rPr>
      </w:pPr>
    </w:p>
    <w:p w14:paraId="5ECA4954" w14:textId="77777777" w:rsidR="00BA6D78" w:rsidRDefault="00BA6D78" w:rsidP="00BA6D78">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116BF416" w14:textId="77777777" w:rsidR="00BA6D78" w:rsidRDefault="00BA6D78" w:rsidP="00BA6D78">
      <w:pPr>
        <w:spacing w:line="216" w:lineRule="auto"/>
        <w:ind w:left="1410" w:hanging="1410"/>
        <w:rPr>
          <w:rFonts w:ascii="Arial" w:hAnsi="Arial" w:cs="Arial"/>
          <w:b/>
        </w:rPr>
      </w:pPr>
    </w:p>
    <w:p w14:paraId="757F97ED" w14:textId="77777777" w:rsidR="00BA6D78" w:rsidRDefault="00BA6D78" w:rsidP="00BA6D78">
      <w:pPr>
        <w:spacing w:line="216" w:lineRule="auto"/>
        <w:rPr>
          <w:rFonts w:ascii="Arial" w:hAnsi="Arial" w:cs="Arial"/>
        </w:rPr>
      </w:pPr>
    </w:p>
    <w:p w14:paraId="3AF4582F" w14:textId="77777777" w:rsidR="00BA6D78" w:rsidRDefault="00BA6D78" w:rsidP="00BA6D78">
      <w:pPr>
        <w:pStyle w:val="Sangradetextonormal"/>
        <w:ind w:left="1410" w:hanging="1410"/>
        <w:rPr>
          <w:rFonts w:ascii="Arial" w:hAnsi="Arial" w:cs="Arial"/>
          <w:b/>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MECANISMO ALTERNATIVO TRANSITORIO PARA GARANTIZAR TRANSACCIONES EN EL MERCADO DE ENERGÍA MAYORISTA</w:t>
      </w:r>
      <w:r>
        <w:rPr>
          <w:rFonts w:ascii="Arial" w:hAnsi="Arial" w:cs="Arial"/>
          <w:b/>
        </w:rPr>
        <w:fldChar w:fldCharType="end"/>
      </w:r>
    </w:p>
    <w:p w14:paraId="4AE7CAEE" w14:textId="77777777" w:rsidR="00BA6D78" w:rsidRDefault="00BA6D78" w:rsidP="00BA6D78">
      <w:pPr>
        <w:pStyle w:val="Textoindependiente"/>
        <w:spacing w:after="0" w:line="240" w:lineRule="auto"/>
        <w:ind w:left="1410" w:hanging="1410"/>
        <w:rPr>
          <w:rFonts w:cs="Arial"/>
          <w:sz w:val="22"/>
          <w:szCs w:val="22"/>
        </w:rPr>
      </w:pPr>
    </w:p>
    <w:p w14:paraId="3960EDB8" w14:textId="77777777" w:rsidR="00BA6D78" w:rsidRDefault="00BA6D78" w:rsidP="00BA6D78">
      <w:pPr>
        <w:rPr>
          <w:rFonts w:ascii="Arial" w:hAnsi="Arial" w:cs="Arial"/>
          <w:sz w:val="22"/>
          <w:szCs w:val="22"/>
        </w:rPr>
      </w:pPr>
    </w:p>
    <w:p w14:paraId="3683F744" w14:textId="138F1C7D" w:rsidR="003B393C" w:rsidRPr="00050171" w:rsidRDefault="003B393C" w:rsidP="003B393C">
      <w:pPr>
        <w:pStyle w:val="Textoindependiente"/>
        <w:spacing w:before="240" w:after="0" w:line="360" w:lineRule="auto"/>
        <w:rPr>
          <w:rFonts w:cs="Arial"/>
          <w:sz w:val="24"/>
          <w:szCs w:val="24"/>
        </w:rPr>
      </w:pPr>
      <w:r w:rsidRPr="00050171">
        <w:rPr>
          <w:rFonts w:cs="Arial"/>
          <w:sz w:val="24"/>
          <w:szCs w:val="24"/>
        </w:rPr>
        <w:t xml:space="preserve">En cumplimiento de lo establecido en el parágrafo 2 del artículo 3 </w:t>
      </w:r>
      <w:r>
        <w:rPr>
          <w:rFonts w:cs="Arial"/>
          <w:sz w:val="24"/>
          <w:szCs w:val="24"/>
        </w:rPr>
        <w:t xml:space="preserve">del Anexo </w:t>
      </w:r>
      <w:r w:rsidRPr="00050171">
        <w:rPr>
          <w:rFonts w:cs="Arial"/>
          <w:sz w:val="24"/>
          <w:szCs w:val="24"/>
        </w:rPr>
        <w:t xml:space="preserve">de la Resolución CREG 019 de 2006, tal como fue modificado por la Resolución CREG 158 de 2011, el Director Ejecutivo de la Comisión de Regulación de Energía y Gas </w:t>
      </w:r>
      <w:r w:rsidR="00A91C71">
        <w:rPr>
          <w:rFonts w:cs="Arial"/>
          <w:sz w:val="24"/>
          <w:szCs w:val="24"/>
        </w:rPr>
        <w:t xml:space="preserve">(CREG) </w:t>
      </w:r>
      <w:r w:rsidRPr="00050171">
        <w:rPr>
          <w:rFonts w:cs="Arial"/>
          <w:sz w:val="24"/>
          <w:szCs w:val="24"/>
        </w:rPr>
        <w:t>hace saber que:</w:t>
      </w:r>
    </w:p>
    <w:p w14:paraId="7FB1B49B" w14:textId="6E12EB49" w:rsidR="003B393C" w:rsidRDefault="00A91C71" w:rsidP="003B393C">
      <w:pPr>
        <w:pStyle w:val="Textoindependiente"/>
        <w:numPr>
          <w:ilvl w:val="0"/>
          <w:numId w:val="2"/>
        </w:numPr>
        <w:spacing w:before="240" w:after="0" w:line="360" w:lineRule="auto"/>
        <w:rPr>
          <w:rFonts w:cs="Arial"/>
          <w:sz w:val="24"/>
          <w:szCs w:val="24"/>
        </w:rPr>
      </w:pPr>
      <w:r w:rsidRPr="0037388B">
        <w:rPr>
          <w:rFonts w:cs="Arial"/>
          <w:sz w:val="24"/>
          <w:szCs w:val="24"/>
        </w:rPr>
        <w:t>XM S.A. E.S.P.</w:t>
      </w:r>
      <w:r>
        <w:rPr>
          <w:rFonts w:cs="Arial"/>
          <w:sz w:val="24"/>
          <w:szCs w:val="24"/>
        </w:rPr>
        <w:t xml:space="preserve"> (XM)</w:t>
      </w:r>
      <w:r w:rsidR="003B393C" w:rsidRPr="00050171">
        <w:rPr>
          <w:rFonts w:cs="Arial"/>
          <w:sz w:val="24"/>
          <w:szCs w:val="24"/>
        </w:rPr>
        <w:t xml:space="preserve">, en su calidad de </w:t>
      </w:r>
      <w:r>
        <w:rPr>
          <w:rFonts w:cs="Arial"/>
          <w:sz w:val="24"/>
          <w:szCs w:val="24"/>
        </w:rPr>
        <w:t>A</w:t>
      </w:r>
      <w:r w:rsidR="003B393C" w:rsidRPr="00050171">
        <w:rPr>
          <w:rFonts w:cs="Arial"/>
          <w:sz w:val="24"/>
          <w:szCs w:val="24"/>
        </w:rPr>
        <w:t xml:space="preserve">dministrador de </w:t>
      </w:r>
      <w:r>
        <w:rPr>
          <w:rFonts w:cs="Arial"/>
          <w:sz w:val="24"/>
          <w:szCs w:val="24"/>
        </w:rPr>
        <w:t>I</w:t>
      </w:r>
      <w:r w:rsidR="003B393C" w:rsidRPr="00050171">
        <w:rPr>
          <w:rFonts w:cs="Arial"/>
          <w:sz w:val="24"/>
          <w:szCs w:val="24"/>
        </w:rPr>
        <w:t xml:space="preserve">ntercambios </w:t>
      </w:r>
      <w:r>
        <w:rPr>
          <w:rFonts w:cs="Arial"/>
          <w:sz w:val="24"/>
          <w:szCs w:val="24"/>
        </w:rPr>
        <w:t>C</w:t>
      </w:r>
      <w:r w:rsidR="003B393C" w:rsidRPr="00050171">
        <w:rPr>
          <w:rFonts w:cs="Arial"/>
          <w:sz w:val="24"/>
          <w:szCs w:val="24"/>
        </w:rPr>
        <w:t>omerciales</w:t>
      </w:r>
      <w:r>
        <w:rPr>
          <w:rFonts w:cs="Arial"/>
          <w:sz w:val="24"/>
          <w:szCs w:val="24"/>
        </w:rPr>
        <w:t xml:space="preserve"> (ASIC)</w:t>
      </w:r>
      <w:r w:rsidR="003B393C" w:rsidRPr="00050171">
        <w:rPr>
          <w:rFonts w:cs="Arial"/>
          <w:sz w:val="24"/>
          <w:szCs w:val="24"/>
        </w:rPr>
        <w:t xml:space="preserve">, presentó a la CREG una propuesta de mecanismo </w:t>
      </w:r>
      <w:r w:rsidR="003B393C">
        <w:rPr>
          <w:rFonts w:cs="Arial"/>
          <w:sz w:val="24"/>
          <w:szCs w:val="24"/>
        </w:rPr>
        <w:t>temporal de cobertura para las obligaciones d</w:t>
      </w:r>
      <w:r w:rsidR="003B393C" w:rsidRPr="00050171">
        <w:rPr>
          <w:rFonts w:cs="Arial"/>
          <w:sz w:val="24"/>
          <w:szCs w:val="24"/>
        </w:rPr>
        <w:t xml:space="preserve">el </w:t>
      </w:r>
      <w:r w:rsidR="003B393C">
        <w:rPr>
          <w:rFonts w:cs="Arial"/>
          <w:sz w:val="24"/>
          <w:szCs w:val="24"/>
        </w:rPr>
        <w:t>M</w:t>
      </w:r>
      <w:r w:rsidR="003B393C" w:rsidRPr="00050171">
        <w:rPr>
          <w:rFonts w:cs="Arial"/>
          <w:sz w:val="24"/>
          <w:szCs w:val="24"/>
        </w:rPr>
        <w:t xml:space="preserve">ercado de </w:t>
      </w:r>
      <w:r w:rsidR="003B393C">
        <w:rPr>
          <w:rFonts w:cs="Arial"/>
          <w:sz w:val="24"/>
          <w:szCs w:val="24"/>
        </w:rPr>
        <w:t>E</w:t>
      </w:r>
      <w:r w:rsidR="003B393C" w:rsidRPr="00050171">
        <w:rPr>
          <w:rFonts w:cs="Arial"/>
          <w:sz w:val="24"/>
          <w:szCs w:val="24"/>
        </w:rPr>
        <w:t>nergía</w:t>
      </w:r>
      <w:r w:rsidR="003B393C">
        <w:rPr>
          <w:rFonts w:cs="Arial"/>
          <w:sz w:val="24"/>
          <w:szCs w:val="24"/>
        </w:rPr>
        <w:t xml:space="preserve"> M</w:t>
      </w:r>
      <w:r w:rsidR="003B393C" w:rsidRPr="00050171">
        <w:rPr>
          <w:rFonts w:cs="Arial"/>
          <w:sz w:val="24"/>
          <w:szCs w:val="24"/>
        </w:rPr>
        <w:t>ayorista</w:t>
      </w:r>
      <w:r w:rsidR="003B393C">
        <w:rPr>
          <w:rFonts w:cs="Arial"/>
          <w:sz w:val="24"/>
          <w:szCs w:val="24"/>
        </w:rPr>
        <w:t xml:space="preserve"> (MEM)</w:t>
      </w:r>
      <w:r w:rsidR="003B393C" w:rsidRPr="00050171">
        <w:rPr>
          <w:rFonts w:cs="Arial"/>
          <w:sz w:val="24"/>
          <w:szCs w:val="24"/>
        </w:rPr>
        <w:t xml:space="preserve">, </w:t>
      </w:r>
      <w:r w:rsidR="003B393C">
        <w:rPr>
          <w:rFonts w:cs="Arial"/>
          <w:sz w:val="24"/>
          <w:szCs w:val="24"/>
        </w:rPr>
        <w:t>y</w:t>
      </w:r>
      <w:r w:rsidR="003B393C" w:rsidRPr="00050171">
        <w:rPr>
          <w:rFonts w:cs="Arial"/>
          <w:sz w:val="24"/>
          <w:szCs w:val="24"/>
        </w:rPr>
        <w:t xml:space="preserve"> </w:t>
      </w:r>
      <w:r w:rsidR="003B393C">
        <w:rPr>
          <w:rFonts w:cs="Arial"/>
          <w:sz w:val="24"/>
          <w:szCs w:val="24"/>
        </w:rPr>
        <w:t>puso a consideración las condiciones de</w:t>
      </w:r>
      <w:r w:rsidR="003B393C" w:rsidRPr="00050171">
        <w:rPr>
          <w:rFonts w:cs="Arial"/>
          <w:sz w:val="24"/>
          <w:szCs w:val="24"/>
        </w:rPr>
        <w:t xml:space="preserve">l mecanismo propuesto </w:t>
      </w:r>
      <w:r w:rsidR="003B393C">
        <w:rPr>
          <w:rFonts w:cs="Arial"/>
          <w:sz w:val="24"/>
          <w:szCs w:val="24"/>
        </w:rPr>
        <w:t xml:space="preserve">para cumplir </w:t>
      </w:r>
      <w:r w:rsidR="003B393C" w:rsidRPr="00050171">
        <w:rPr>
          <w:rFonts w:cs="Arial"/>
          <w:sz w:val="24"/>
          <w:szCs w:val="24"/>
        </w:rPr>
        <w:t>con los criterios establecidos en el artículo 2 de la Resolución CREG 019 de 2006.</w:t>
      </w:r>
    </w:p>
    <w:p w14:paraId="53D96CCE" w14:textId="156067F9" w:rsidR="00692E71" w:rsidRPr="00692E71" w:rsidRDefault="00692E71" w:rsidP="00692E71">
      <w:pPr>
        <w:pStyle w:val="Textoindependiente"/>
        <w:numPr>
          <w:ilvl w:val="0"/>
          <w:numId w:val="2"/>
        </w:numPr>
        <w:spacing w:before="240" w:after="0" w:line="360" w:lineRule="auto"/>
        <w:rPr>
          <w:rFonts w:cs="Arial"/>
          <w:sz w:val="24"/>
          <w:szCs w:val="24"/>
        </w:rPr>
      </w:pPr>
      <w:r w:rsidRPr="00692E71">
        <w:rPr>
          <w:rFonts w:cs="Arial"/>
          <w:sz w:val="24"/>
          <w:szCs w:val="24"/>
        </w:rPr>
        <w:lastRenderedPageBreak/>
        <w:t xml:space="preserve">Se trata de un mecanismo alternativo de garantía que se aplicará únicamente a comercializadores que tengan saldos pendientes de recuperación por la aplicación de la opción tarifaria y, máximo, hasta lo primero que ocurra entre: i) el mes siguiente al último mes de recuperación informado por el comercializador, y </w:t>
      </w:r>
      <w:proofErr w:type="spellStart"/>
      <w:r w:rsidRPr="00692E71">
        <w:rPr>
          <w:rFonts w:cs="Arial"/>
          <w:sz w:val="24"/>
          <w:szCs w:val="24"/>
        </w:rPr>
        <w:t>ii</w:t>
      </w:r>
      <w:proofErr w:type="spellEnd"/>
      <w:r w:rsidRPr="00692E71">
        <w:rPr>
          <w:rFonts w:cs="Arial"/>
          <w:sz w:val="24"/>
          <w:szCs w:val="24"/>
        </w:rPr>
        <w:t xml:space="preserve">) el mes de </w:t>
      </w:r>
      <w:r w:rsidR="0042759A">
        <w:rPr>
          <w:rFonts w:cs="Arial"/>
          <w:sz w:val="24"/>
          <w:szCs w:val="24"/>
        </w:rPr>
        <w:t xml:space="preserve">junio </w:t>
      </w:r>
      <w:r w:rsidRPr="00692E71">
        <w:rPr>
          <w:rFonts w:cs="Arial"/>
          <w:sz w:val="24"/>
          <w:szCs w:val="24"/>
        </w:rPr>
        <w:t>de 202</w:t>
      </w:r>
      <w:r w:rsidR="0042759A">
        <w:rPr>
          <w:rFonts w:cs="Arial"/>
          <w:sz w:val="24"/>
          <w:szCs w:val="24"/>
        </w:rPr>
        <w:t>7</w:t>
      </w:r>
      <w:r w:rsidRPr="00692E71">
        <w:rPr>
          <w:rFonts w:cs="Arial"/>
          <w:sz w:val="24"/>
          <w:szCs w:val="24"/>
        </w:rPr>
        <w:t xml:space="preserve">.  </w:t>
      </w:r>
    </w:p>
    <w:p w14:paraId="576789DC" w14:textId="04A30084" w:rsidR="00692E71" w:rsidRPr="00050171" w:rsidRDefault="00692E71" w:rsidP="00692E71">
      <w:pPr>
        <w:pStyle w:val="Textoindependiente"/>
        <w:numPr>
          <w:ilvl w:val="0"/>
          <w:numId w:val="2"/>
        </w:numPr>
        <w:spacing w:before="240" w:after="0" w:line="360" w:lineRule="auto"/>
        <w:rPr>
          <w:rFonts w:cs="Arial"/>
          <w:sz w:val="24"/>
          <w:szCs w:val="24"/>
        </w:rPr>
      </w:pPr>
      <w:r w:rsidRPr="00692E71">
        <w:rPr>
          <w:rFonts w:cs="Arial"/>
          <w:sz w:val="24"/>
          <w:szCs w:val="24"/>
        </w:rPr>
        <w:t xml:space="preserve">XM verificará que el valor máximo a garantizar en un mes con este mecanismo no supere: i) ni el valor recaudado en el mes anterior, para el cual se tenga información, por concepto de recuperación de la opción tarifaria, </w:t>
      </w:r>
      <w:proofErr w:type="spellStart"/>
      <w:r w:rsidRPr="00692E71">
        <w:rPr>
          <w:rFonts w:cs="Arial"/>
          <w:sz w:val="24"/>
          <w:szCs w:val="24"/>
        </w:rPr>
        <w:t>ii</w:t>
      </w:r>
      <w:proofErr w:type="spellEnd"/>
      <w:r w:rsidRPr="00692E71">
        <w:rPr>
          <w:rFonts w:cs="Arial"/>
          <w:sz w:val="24"/>
          <w:szCs w:val="24"/>
        </w:rPr>
        <w:t>) ni el saldo pendiente por recuperar. Para esto, el comercializador que haga uso de este mecanismo deberá declararle a XM, con copia a la Superintendencia de Servicios Públicos Domiciliarios, el monto del valor recaudado por</w:t>
      </w:r>
      <w:r w:rsidR="00CD0E49">
        <w:rPr>
          <w:rFonts w:cs="Arial"/>
          <w:sz w:val="24"/>
          <w:szCs w:val="24"/>
        </w:rPr>
        <w:t xml:space="preserve"> Costo de Opción Tarifaria</w:t>
      </w:r>
      <w:r w:rsidRPr="00692E71">
        <w:rPr>
          <w:rFonts w:cs="Arial"/>
          <w:sz w:val="24"/>
          <w:szCs w:val="24"/>
        </w:rPr>
        <w:t xml:space="preserve"> </w:t>
      </w:r>
      <w:r w:rsidR="00B7008B">
        <w:rPr>
          <w:rFonts w:cs="Arial"/>
          <w:sz w:val="24"/>
          <w:szCs w:val="24"/>
        </w:rPr>
        <w:t>(</w:t>
      </w:r>
      <w:r w:rsidRPr="00B7008B">
        <w:rPr>
          <w:rFonts w:cs="Arial"/>
          <w:sz w:val="24"/>
          <w:szCs w:val="24"/>
        </w:rPr>
        <w:t>COT</w:t>
      </w:r>
      <w:r w:rsidR="00B7008B">
        <w:rPr>
          <w:rFonts w:cs="Arial"/>
          <w:sz w:val="24"/>
          <w:szCs w:val="24"/>
        </w:rPr>
        <w:t>)</w:t>
      </w:r>
      <w:r w:rsidRPr="00692E71">
        <w:rPr>
          <w:rFonts w:cs="Arial"/>
          <w:sz w:val="24"/>
          <w:szCs w:val="24"/>
        </w:rPr>
        <w:t xml:space="preserve"> durante el mes anterior y el saldo pendiente por recuperar.</w:t>
      </w:r>
    </w:p>
    <w:p w14:paraId="16CBCAB9" w14:textId="564A2226" w:rsidR="003B393C" w:rsidRPr="00050171" w:rsidRDefault="003B393C" w:rsidP="003B393C">
      <w:pPr>
        <w:pStyle w:val="Textoindependiente"/>
        <w:numPr>
          <w:ilvl w:val="0"/>
          <w:numId w:val="2"/>
        </w:numPr>
        <w:spacing w:before="240" w:after="0" w:line="360" w:lineRule="auto"/>
        <w:rPr>
          <w:rFonts w:cs="Arial"/>
          <w:sz w:val="24"/>
          <w:szCs w:val="24"/>
        </w:rPr>
      </w:pPr>
      <w:r w:rsidRPr="00050171">
        <w:rPr>
          <w:rFonts w:cs="Arial"/>
          <w:sz w:val="24"/>
          <w:szCs w:val="24"/>
        </w:rPr>
        <w:t xml:space="preserve">La CREG, en su sesión </w:t>
      </w:r>
      <w:r w:rsidR="0042759A">
        <w:rPr>
          <w:rFonts w:cs="Arial"/>
          <w:sz w:val="24"/>
          <w:szCs w:val="24"/>
        </w:rPr>
        <w:t xml:space="preserve">1323 del 24 </w:t>
      </w:r>
      <w:r w:rsidRPr="00050171">
        <w:rPr>
          <w:rFonts w:cs="Arial"/>
          <w:sz w:val="24"/>
          <w:szCs w:val="24"/>
        </w:rPr>
        <w:t xml:space="preserve">de </w:t>
      </w:r>
      <w:r>
        <w:rPr>
          <w:rFonts w:cs="Arial"/>
          <w:sz w:val="24"/>
          <w:szCs w:val="24"/>
        </w:rPr>
        <w:t>junio</w:t>
      </w:r>
      <w:r w:rsidR="00A91C71">
        <w:rPr>
          <w:rFonts w:cs="Arial"/>
          <w:sz w:val="24"/>
          <w:szCs w:val="24"/>
        </w:rPr>
        <w:t xml:space="preserve"> de 2024</w:t>
      </w:r>
      <w:r w:rsidRPr="00050171">
        <w:rPr>
          <w:rFonts w:cs="Arial"/>
          <w:sz w:val="24"/>
          <w:szCs w:val="24"/>
        </w:rPr>
        <w:t xml:space="preserve">, analizó la propuesta de XM y consideró </w:t>
      </w:r>
      <w:r>
        <w:rPr>
          <w:rFonts w:cs="Arial"/>
          <w:sz w:val="24"/>
          <w:szCs w:val="24"/>
        </w:rPr>
        <w:t>conveniente permitir de manera transitoria la utilización de este mecanismo de cobertura</w:t>
      </w:r>
      <w:r w:rsidRPr="00050171">
        <w:rPr>
          <w:rFonts w:cs="Arial"/>
          <w:sz w:val="24"/>
          <w:szCs w:val="24"/>
        </w:rPr>
        <w:t>.</w:t>
      </w:r>
    </w:p>
    <w:p w14:paraId="232CE17E" w14:textId="38C59EC3" w:rsidR="003B393C" w:rsidRPr="00050171" w:rsidRDefault="003B393C" w:rsidP="003B393C">
      <w:pPr>
        <w:pStyle w:val="Textoindependiente"/>
        <w:numPr>
          <w:ilvl w:val="0"/>
          <w:numId w:val="2"/>
        </w:numPr>
        <w:spacing w:before="240" w:after="0" w:line="360" w:lineRule="auto"/>
        <w:rPr>
          <w:rFonts w:cs="Arial"/>
          <w:sz w:val="24"/>
          <w:szCs w:val="24"/>
        </w:rPr>
      </w:pPr>
      <w:r w:rsidRPr="00050171">
        <w:rPr>
          <w:rFonts w:cs="Arial"/>
          <w:sz w:val="24"/>
          <w:szCs w:val="24"/>
        </w:rPr>
        <w:t>La CREG acordó publicar mediante circular</w:t>
      </w:r>
      <w:r w:rsidR="0042759A">
        <w:rPr>
          <w:rFonts w:cs="Arial"/>
          <w:sz w:val="24"/>
          <w:szCs w:val="24"/>
        </w:rPr>
        <w:t>,</w:t>
      </w:r>
      <w:r>
        <w:rPr>
          <w:rFonts w:cs="Arial"/>
          <w:sz w:val="24"/>
          <w:szCs w:val="24"/>
        </w:rPr>
        <w:t xml:space="preserve"> de acuerdo con lo previsto en</w:t>
      </w:r>
      <w:r w:rsidRPr="00050171">
        <w:rPr>
          <w:rFonts w:cs="Arial"/>
          <w:sz w:val="24"/>
          <w:szCs w:val="24"/>
        </w:rPr>
        <w:t xml:space="preserve"> el parágrafo 2 del artículo 3 </w:t>
      </w:r>
      <w:r>
        <w:rPr>
          <w:rFonts w:cs="Arial"/>
          <w:sz w:val="24"/>
          <w:szCs w:val="24"/>
        </w:rPr>
        <w:t xml:space="preserve">del Anexo </w:t>
      </w:r>
      <w:r w:rsidRPr="00050171">
        <w:rPr>
          <w:rFonts w:cs="Arial"/>
          <w:sz w:val="24"/>
          <w:szCs w:val="24"/>
        </w:rPr>
        <w:t>de la Resolución CREG 019 de 2006</w:t>
      </w:r>
      <w:r>
        <w:rPr>
          <w:rFonts w:cs="Arial"/>
          <w:sz w:val="24"/>
          <w:szCs w:val="24"/>
        </w:rPr>
        <w:t xml:space="preserve">, </w:t>
      </w:r>
      <w:r w:rsidRPr="00050171">
        <w:rPr>
          <w:rFonts w:cs="Arial"/>
          <w:sz w:val="24"/>
          <w:szCs w:val="24"/>
        </w:rPr>
        <w:t xml:space="preserve">el </w:t>
      </w:r>
      <w:r>
        <w:rPr>
          <w:rFonts w:cs="Arial"/>
          <w:sz w:val="24"/>
          <w:szCs w:val="24"/>
        </w:rPr>
        <w:t xml:space="preserve">nuevo </w:t>
      </w:r>
      <w:r w:rsidRPr="00050171">
        <w:rPr>
          <w:rFonts w:cs="Arial"/>
          <w:sz w:val="24"/>
          <w:szCs w:val="24"/>
        </w:rPr>
        <w:t xml:space="preserve">mecanismo </w:t>
      </w:r>
      <w:r>
        <w:rPr>
          <w:rFonts w:cs="Arial"/>
          <w:sz w:val="24"/>
          <w:szCs w:val="24"/>
        </w:rPr>
        <w:t>de cobertura aprobado de manera temporal, el cual debe cumplir con las condiciones que se listan a continuación</w:t>
      </w:r>
      <w:r w:rsidRPr="00050171">
        <w:rPr>
          <w:rFonts w:cs="Arial"/>
          <w:sz w:val="24"/>
          <w:szCs w:val="24"/>
        </w:rPr>
        <w:t>.</w:t>
      </w:r>
    </w:p>
    <w:p w14:paraId="0BD360CA" w14:textId="44759DCF" w:rsidR="003B393C" w:rsidRPr="002E53DB" w:rsidRDefault="003B393C" w:rsidP="003B393C">
      <w:pPr>
        <w:pStyle w:val="Textoindependiente"/>
        <w:spacing w:before="240" w:after="0" w:line="360" w:lineRule="auto"/>
        <w:rPr>
          <w:rFonts w:cs="Arial"/>
          <w:sz w:val="24"/>
          <w:szCs w:val="24"/>
        </w:rPr>
      </w:pPr>
      <w:r w:rsidRPr="002E53DB">
        <w:rPr>
          <w:rFonts w:cs="Arial"/>
          <w:sz w:val="24"/>
          <w:szCs w:val="24"/>
        </w:rPr>
        <w:t>Cond</w:t>
      </w:r>
      <w:r>
        <w:rPr>
          <w:rFonts w:cs="Arial"/>
          <w:sz w:val="24"/>
          <w:szCs w:val="24"/>
        </w:rPr>
        <w:t>i</w:t>
      </w:r>
      <w:r w:rsidRPr="002E53DB">
        <w:rPr>
          <w:rFonts w:cs="Arial"/>
          <w:sz w:val="24"/>
          <w:szCs w:val="24"/>
        </w:rPr>
        <w:t xml:space="preserve">ciones para </w:t>
      </w:r>
      <w:r>
        <w:rPr>
          <w:rFonts w:cs="Arial"/>
          <w:sz w:val="24"/>
          <w:szCs w:val="24"/>
        </w:rPr>
        <w:t>el</w:t>
      </w:r>
      <w:r w:rsidRPr="002E53DB">
        <w:rPr>
          <w:rFonts w:cs="Arial"/>
          <w:sz w:val="24"/>
          <w:szCs w:val="24"/>
        </w:rPr>
        <w:t xml:space="preserve"> contrato de Fiducia de Administración y Fuente de Pago como cobertura en el MEM</w:t>
      </w:r>
      <w:r w:rsidR="00A91C71">
        <w:rPr>
          <w:rFonts w:cs="Arial"/>
          <w:sz w:val="24"/>
          <w:szCs w:val="24"/>
        </w:rPr>
        <w:t>.</w:t>
      </w:r>
    </w:p>
    <w:p w14:paraId="4734D9D5" w14:textId="3A418FF8" w:rsidR="003B393C" w:rsidRDefault="003B393C" w:rsidP="003B393C">
      <w:pPr>
        <w:pStyle w:val="Textoindependiente"/>
        <w:numPr>
          <w:ilvl w:val="0"/>
          <w:numId w:val="1"/>
        </w:numPr>
        <w:spacing w:before="240" w:after="0" w:line="360" w:lineRule="auto"/>
        <w:rPr>
          <w:rFonts w:cs="Arial"/>
          <w:sz w:val="24"/>
          <w:szCs w:val="24"/>
        </w:rPr>
      </w:pPr>
      <w:r>
        <w:rPr>
          <w:rFonts w:cs="Arial"/>
          <w:sz w:val="24"/>
          <w:szCs w:val="24"/>
        </w:rPr>
        <w:t>E</w:t>
      </w:r>
      <w:r w:rsidRPr="0037388B">
        <w:rPr>
          <w:rFonts w:cs="Arial"/>
          <w:sz w:val="24"/>
          <w:szCs w:val="24"/>
        </w:rPr>
        <w:t xml:space="preserve">l contrato de Fiducia de Administración y Fuente de Pago </w:t>
      </w:r>
      <w:r>
        <w:rPr>
          <w:rFonts w:cs="Arial"/>
          <w:sz w:val="24"/>
          <w:szCs w:val="24"/>
        </w:rPr>
        <w:t>debe estar</w:t>
      </w:r>
      <w:r w:rsidRPr="0037388B">
        <w:rPr>
          <w:rFonts w:cs="Arial"/>
          <w:sz w:val="24"/>
          <w:szCs w:val="24"/>
        </w:rPr>
        <w:t xml:space="preserve"> suscrito por el agente comercializador con una entidad fiduciaria con domicilio en Colombia y </w:t>
      </w:r>
      <w:r w:rsidRPr="0037388B">
        <w:rPr>
          <w:rFonts w:cs="Arial"/>
          <w:sz w:val="24"/>
          <w:szCs w:val="24"/>
        </w:rPr>
        <w:lastRenderedPageBreak/>
        <w:t xml:space="preserve">autorizada por la Superintendencia Financiera de Colombia. Contrato en el cual </w:t>
      </w:r>
      <w:proofErr w:type="spellStart"/>
      <w:r w:rsidRPr="0037388B">
        <w:rPr>
          <w:rFonts w:cs="Arial"/>
          <w:sz w:val="24"/>
          <w:szCs w:val="24"/>
        </w:rPr>
        <w:t>XM</w:t>
      </w:r>
      <w:proofErr w:type="spellEnd"/>
      <w:r w:rsidRPr="0037388B">
        <w:rPr>
          <w:rFonts w:cs="Arial"/>
          <w:sz w:val="24"/>
          <w:szCs w:val="24"/>
        </w:rPr>
        <w:t xml:space="preserve"> en su calidad de ASIC y L</w:t>
      </w:r>
      <w:r w:rsidR="00A91C71">
        <w:rPr>
          <w:rFonts w:cs="Arial"/>
          <w:sz w:val="24"/>
          <w:szCs w:val="24"/>
        </w:rPr>
        <w:t>iquidador y Administrador de Cuentas (L</w:t>
      </w:r>
      <w:r w:rsidRPr="0037388B">
        <w:rPr>
          <w:rFonts w:cs="Arial"/>
          <w:sz w:val="24"/>
          <w:szCs w:val="24"/>
        </w:rPr>
        <w:t>AC</w:t>
      </w:r>
      <w:r w:rsidR="00A91C71">
        <w:rPr>
          <w:rFonts w:cs="Arial"/>
          <w:sz w:val="24"/>
          <w:szCs w:val="24"/>
        </w:rPr>
        <w:t>)</w:t>
      </w:r>
      <w:r w:rsidRPr="0037388B">
        <w:rPr>
          <w:rFonts w:cs="Arial"/>
          <w:sz w:val="24"/>
          <w:szCs w:val="24"/>
        </w:rPr>
        <w:t xml:space="preserve"> es el </w:t>
      </w:r>
      <w:r w:rsidR="00A91C71">
        <w:rPr>
          <w:rFonts w:cs="Arial"/>
          <w:sz w:val="24"/>
          <w:szCs w:val="24"/>
        </w:rPr>
        <w:t>b</w:t>
      </w:r>
      <w:r w:rsidRPr="0037388B">
        <w:rPr>
          <w:rFonts w:cs="Arial"/>
          <w:sz w:val="24"/>
          <w:szCs w:val="24"/>
        </w:rPr>
        <w:t>eneficiario.</w:t>
      </w:r>
    </w:p>
    <w:p w14:paraId="51959FE9" w14:textId="77777777" w:rsidR="003B393C" w:rsidRDefault="003B393C" w:rsidP="003B393C">
      <w:pPr>
        <w:pStyle w:val="Textoindependiente"/>
        <w:numPr>
          <w:ilvl w:val="0"/>
          <w:numId w:val="1"/>
        </w:numPr>
        <w:spacing w:before="240" w:after="0" w:line="360" w:lineRule="auto"/>
        <w:rPr>
          <w:rFonts w:cs="Arial"/>
          <w:sz w:val="24"/>
          <w:szCs w:val="24"/>
        </w:rPr>
      </w:pPr>
      <w:r>
        <w:rPr>
          <w:rFonts w:cs="Arial"/>
          <w:sz w:val="24"/>
          <w:szCs w:val="24"/>
        </w:rPr>
        <w:t>E</w:t>
      </w:r>
      <w:r w:rsidRPr="0037388B">
        <w:rPr>
          <w:rFonts w:cs="Arial"/>
          <w:sz w:val="24"/>
          <w:szCs w:val="24"/>
        </w:rPr>
        <w:t xml:space="preserve">l Fideicomitente </w:t>
      </w:r>
      <w:r>
        <w:rPr>
          <w:rFonts w:cs="Arial"/>
          <w:sz w:val="24"/>
          <w:szCs w:val="24"/>
        </w:rPr>
        <w:t xml:space="preserve">debe </w:t>
      </w:r>
      <w:r w:rsidRPr="0037388B">
        <w:rPr>
          <w:rFonts w:cs="Arial"/>
          <w:sz w:val="24"/>
          <w:szCs w:val="24"/>
        </w:rPr>
        <w:t>emit</w:t>
      </w:r>
      <w:r>
        <w:rPr>
          <w:rFonts w:cs="Arial"/>
          <w:sz w:val="24"/>
          <w:szCs w:val="24"/>
        </w:rPr>
        <w:t>ir</w:t>
      </w:r>
      <w:r w:rsidRPr="0037388B">
        <w:rPr>
          <w:rFonts w:cs="Arial"/>
          <w:sz w:val="24"/>
          <w:szCs w:val="24"/>
        </w:rPr>
        <w:t xml:space="preserve"> una orden irrevocable e incondicional a la entidad Fiduciaria, para que los recursos del patrimonio autónomo sean destinados exclusivamente al pago de las obligaciones que tiene el Fideicomitente con el Mercado de Energía Mayorista por concepto de las transacciones en e</w:t>
      </w:r>
      <w:r>
        <w:rPr>
          <w:rFonts w:cs="Arial"/>
          <w:sz w:val="24"/>
          <w:szCs w:val="24"/>
        </w:rPr>
        <w:t>ste m</w:t>
      </w:r>
      <w:r w:rsidRPr="0037388B">
        <w:rPr>
          <w:rFonts w:cs="Arial"/>
          <w:sz w:val="24"/>
          <w:szCs w:val="24"/>
        </w:rPr>
        <w:t>ercado.</w:t>
      </w:r>
    </w:p>
    <w:p w14:paraId="74249E2F" w14:textId="55972EA6" w:rsidR="003B393C" w:rsidRDefault="003B393C" w:rsidP="003B393C">
      <w:pPr>
        <w:pStyle w:val="Textoindependiente"/>
        <w:numPr>
          <w:ilvl w:val="0"/>
          <w:numId w:val="1"/>
        </w:numPr>
        <w:spacing w:before="240" w:after="0" w:line="360" w:lineRule="auto"/>
        <w:rPr>
          <w:rFonts w:cs="Arial"/>
          <w:sz w:val="24"/>
          <w:szCs w:val="24"/>
        </w:rPr>
      </w:pPr>
      <w:r>
        <w:rPr>
          <w:rFonts w:cs="Arial"/>
          <w:sz w:val="24"/>
          <w:szCs w:val="24"/>
        </w:rPr>
        <w:t>E</w:t>
      </w:r>
      <w:r w:rsidRPr="00EF46D8">
        <w:rPr>
          <w:rFonts w:cs="Arial"/>
          <w:sz w:val="24"/>
          <w:szCs w:val="24"/>
        </w:rPr>
        <w:t xml:space="preserve">l contrato de Fiducia </w:t>
      </w:r>
      <w:r>
        <w:rPr>
          <w:rFonts w:cs="Arial"/>
          <w:sz w:val="24"/>
          <w:szCs w:val="24"/>
        </w:rPr>
        <w:t>debe hacer</w:t>
      </w:r>
      <w:r w:rsidRPr="00EF46D8">
        <w:rPr>
          <w:rFonts w:cs="Arial"/>
          <w:sz w:val="24"/>
          <w:szCs w:val="24"/>
        </w:rPr>
        <w:t xml:space="preserve"> referencia a los montos que se espera recaudar de forma mensual</w:t>
      </w:r>
      <w:r w:rsidR="0042759A">
        <w:rPr>
          <w:rFonts w:cs="Arial"/>
          <w:sz w:val="24"/>
          <w:szCs w:val="24"/>
        </w:rPr>
        <w:t>.</w:t>
      </w:r>
      <w:r w:rsidRPr="00EF46D8">
        <w:rPr>
          <w:rFonts w:cs="Arial"/>
          <w:sz w:val="24"/>
          <w:szCs w:val="24"/>
        </w:rPr>
        <w:t xml:space="preserve"> </w:t>
      </w:r>
      <w:r w:rsidR="0042759A">
        <w:rPr>
          <w:rFonts w:cs="Arial"/>
          <w:sz w:val="24"/>
          <w:szCs w:val="24"/>
        </w:rPr>
        <w:t>E</w:t>
      </w:r>
      <w:r w:rsidRPr="00EF46D8">
        <w:rPr>
          <w:rFonts w:cs="Arial"/>
          <w:sz w:val="24"/>
          <w:szCs w:val="24"/>
        </w:rPr>
        <w:t xml:space="preserve">l saldo disponible en la fiducia determinará el valor </w:t>
      </w:r>
      <w:r>
        <w:rPr>
          <w:rFonts w:cs="Arial"/>
          <w:sz w:val="24"/>
          <w:szCs w:val="24"/>
        </w:rPr>
        <w:t xml:space="preserve">máximo </w:t>
      </w:r>
      <w:r w:rsidRPr="00EF46D8">
        <w:rPr>
          <w:rFonts w:cs="Arial"/>
          <w:sz w:val="24"/>
          <w:szCs w:val="24"/>
        </w:rPr>
        <w:t>a cubrir por el mecanismo</w:t>
      </w:r>
      <w:r>
        <w:rPr>
          <w:rFonts w:cs="Arial"/>
          <w:sz w:val="24"/>
          <w:szCs w:val="24"/>
        </w:rPr>
        <w:t>, cuando este sea inferior al monto del valor recaudado por COT durante el mes anterior.</w:t>
      </w:r>
    </w:p>
    <w:p w14:paraId="3BD56A89" w14:textId="77777777" w:rsidR="003B393C" w:rsidRDefault="003B393C" w:rsidP="003B393C">
      <w:pPr>
        <w:pStyle w:val="Textoindependiente"/>
        <w:numPr>
          <w:ilvl w:val="0"/>
          <w:numId w:val="1"/>
        </w:numPr>
        <w:spacing w:before="240" w:after="0" w:line="360" w:lineRule="auto"/>
        <w:rPr>
          <w:rFonts w:cs="Arial"/>
          <w:sz w:val="24"/>
          <w:szCs w:val="24"/>
        </w:rPr>
      </w:pPr>
      <w:r>
        <w:rPr>
          <w:rFonts w:cs="Arial"/>
          <w:sz w:val="24"/>
          <w:szCs w:val="24"/>
        </w:rPr>
        <w:t>E</w:t>
      </w:r>
      <w:r w:rsidRPr="00EF46D8">
        <w:rPr>
          <w:rFonts w:cs="Arial"/>
          <w:sz w:val="24"/>
          <w:szCs w:val="24"/>
        </w:rPr>
        <w:t xml:space="preserve">l contrato de Fiducia </w:t>
      </w:r>
      <w:r>
        <w:rPr>
          <w:rFonts w:cs="Arial"/>
          <w:sz w:val="24"/>
          <w:szCs w:val="24"/>
        </w:rPr>
        <w:t xml:space="preserve">debe </w:t>
      </w:r>
      <w:r w:rsidRPr="00EF46D8">
        <w:rPr>
          <w:rFonts w:cs="Arial"/>
          <w:sz w:val="24"/>
          <w:szCs w:val="24"/>
        </w:rPr>
        <w:t>ten</w:t>
      </w:r>
      <w:r>
        <w:rPr>
          <w:rFonts w:cs="Arial"/>
          <w:sz w:val="24"/>
          <w:szCs w:val="24"/>
        </w:rPr>
        <w:t>er</w:t>
      </w:r>
      <w:r w:rsidRPr="00EF46D8">
        <w:rPr>
          <w:rFonts w:cs="Arial"/>
          <w:sz w:val="24"/>
          <w:szCs w:val="24"/>
        </w:rPr>
        <w:t xml:space="preserve"> como mínimo una duración de 3 meses posteriores a la presentación de la fiducia. Así mismo, para cubrir un periodo, se debe garantizar que la fiducia est</w:t>
      </w:r>
      <w:r>
        <w:rPr>
          <w:rFonts w:cs="Arial"/>
          <w:sz w:val="24"/>
          <w:szCs w:val="24"/>
        </w:rPr>
        <w:t>é</w:t>
      </w:r>
      <w:r w:rsidRPr="00EF46D8">
        <w:rPr>
          <w:rFonts w:cs="Arial"/>
          <w:sz w:val="24"/>
          <w:szCs w:val="24"/>
        </w:rPr>
        <w:t xml:space="preserve"> vigente como mínimo, hasta el último día del mes, donde se factura el periodo cubierto. La terminación anticipada o cualquier modificación del mismo requiere el consentimiento previo de XM como beneficiario de la Fiducia de Administración y Fuente de Pago.</w:t>
      </w:r>
    </w:p>
    <w:p w14:paraId="0564CE2F" w14:textId="3BF4365A" w:rsidR="003B393C" w:rsidRDefault="003B393C" w:rsidP="003B393C">
      <w:pPr>
        <w:pStyle w:val="Textoindependiente"/>
        <w:numPr>
          <w:ilvl w:val="0"/>
          <w:numId w:val="1"/>
        </w:numPr>
        <w:spacing w:before="240" w:after="0" w:line="360" w:lineRule="auto"/>
        <w:rPr>
          <w:rFonts w:cs="Arial"/>
          <w:sz w:val="24"/>
          <w:szCs w:val="24"/>
        </w:rPr>
      </w:pPr>
      <w:r>
        <w:rPr>
          <w:rFonts w:cs="Arial"/>
          <w:sz w:val="24"/>
          <w:szCs w:val="24"/>
        </w:rPr>
        <w:t>P</w:t>
      </w:r>
      <w:r w:rsidRPr="00EF46D8">
        <w:rPr>
          <w:rFonts w:cs="Arial"/>
          <w:sz w:val="24"/>
          <w:szCs w:val="24"/>
        </w:rPr>
        <w:t xml:space="preserve">ara hacer efectiva la garantía, bastará con que </w:t>
      </w:r>
      <w:proofErr w:type="spellStart"/>
      <w:r w:rsidRPr="00EF46D8">
        <w:rPr>
          <w:rFonts w:cs="Arial"/>
          <w:sz w:val="24"/>
          <w:szCs w:val="24"/>
        </w:rPr>
        <w:t>XM</w:t>
      </w:r>
      <w:proofErr w:type="spellEnd"/>
      <w:r>
        <w:rPr>
          <w:rFonts w:cs="Arial"/>
          <w:sz w:val="24"/>
          <w:szCs w:val="24"/>
        </w:rPr>
        <w:t>,</w:t>
      </w:r>
      <w:r w:rsidRPr="00EF46D8">
        <w:rPr>
          <w:rFonts w:cs="Arial"/>
          <w:sz w:val="24"/>
          <w:szCs w:val="24"/>
        </w:rPr>
        <w:t xml:space="preserve"> en calidad de </w:t>
      </w:r>
      <w:r w:rsidR="00A91C71">
        <w:rPr>
          <w:rFonts w:cs="Arial"/>
          <w:sz w:val="24"/>
          <w:szCs w:val="24"/>
        </w:rPr>
        <w:t>b</w:t>
      </w:r>
      <w:r w:rsidRPr="00EF46D8">
        <w:rPr>
          <w:rFonts w:cs="Arial"/>
          <w:sz w:val="24"/>
          <w:szCs w:val="24"/>
        </w:rPr>
        <w:t>eneficiario de la Fiducia de Administración y Fuente de Pago, reclame por escrito a la Fiduciaria</w:t>
      </w:r>
      <w:r>
        <w:rPr>
          <w:rFonts w:cs="Arial"/>
          <w:sz w:val="24"/>
          <w:szCs w:val="24"/>
        </w:rPr>
        <w:t>,</w:t>
      </w:r>
      <w:r w:rsidRPr="00EF46D8">
        <w:rPr>
          <w:rFonts w:cs="Arial"/>
          <w:sz w:val="24"/>
          <w:szCs w:val="24"/>
        </w:rPr>
        <w:t xml:space="preserve"> con cargo al patrimonio autónomo, el pago de las obligaciones insolutas del Fideicomitente, para lo cual el ASIC o LAC, expedirán el certificado del monto de las obligaciones en mora.</w:t>
      </w:r>
    </w:p>
    <w:p w14:paraId="07468E56" w14:textId="77777777" w:rsidR="003B393C" w:rsidRDefault="003B393C" w:rsidP="003B393C">
      <w:pPr>
        <w:pStyle w:val="Textoindependiente"/>
        <w:numPr>
          <w:ilvl w:val="0"/>
          <w:numId w:val="1"/>
        </w:numPr>
        <w:spacing w:before="240" w:after="0" w:line="360" w:lineRule="auto"/>
        <w:rPr>
          <w:rFonts w:cs="Arial"/>
          <w:sz w:val="24"/>
          <w:szCs w:val="24"/>
        </w:rPr>
      </w:pPr>
      <w:r w:rsidRPr="00EF46D8">
        <w:rPr>
          <w:rFonts w:cs="Arial"/>
          <w:sz w:val="24"/>
          <w:szCs w:val="24"/>
        </w:rPr>
        <w:lastRenderedPageBreak/>
        <w:t>La entidad fiduciaria se obliga a pagar dentro de los dos (2) días hábiles siguientes a la fecha en que se realice el primer requerimiento.</w:t>
      </w:r>
    </w:p>
    <w:p w14:paraId="1082CF9D" w14:textId="22D5FA02" w:rsidR="00A91C71" w:rsidRDefault="003B393C" w:rsidP="00A91C71">
      <w:pPr>
        <w:pStyle w:val="Textoindependiente"/>
        <w:numPr>
          <w:ilvl w:val="0"/>
          <w:numId w:val="1"/>
        </w:numPr>
        <w:spacing w:before="240" w:after="0" w:line="360" w:lineRule="auto"/>
        <w:rPr>
          <w:rFonts w:cs="Arial"/>
          <w:sz w:val="24"/>
          <w:szCs w:val="24"/>
        </w:rPr>
      </w:pPr>
      <w:r w:rsidRPr="00EF46D8">
        <w:rPr>
          <w:rFonts w:cs="Arial"/>
          <w:sz w:val="24"/>
          <w:szCs w:val="24"/>
        </w:rPr>
        <w:t>Una vez reclamado el valor de las obligaciones en mora, el valor pagado por la entidad fiduciaria debe ser neto, libre de cualquier tipo de deducción, depósito, comisión, encaje, impuesto, tasa, contribución, afectación o retención por parte de la entidad financiera otorgante.</w:t>
      </w:r>
    </w:p>
    <w:p w14:paraId="5CF7E72D" w14:textId="77777777" w:rsidR="00BA6D78" w:rsidRDefault="00BA6D78" w:rsidP="00666302">
      <w:pPr>
        <w:pStyle w:val="Textoindependiente"/>
        <w:spacing w:before="240" w:after="0" w:line="360" w:lineRule="auto"/>
        <w:rPr>
          <w:rFonts w:cs="Arial"/>
          <w:sz w:val="22"/>
          <w:szCs w:val="22"/>
        </w:rPr>
      </w:pPr>
    </w:p>
    <w:p w14:paraId="2D6C9818" w14:textId="77777777" w:rsidR="00BA6D78" w:rsidRPr="00666302" w:rsidRDefault="00BA6D78" w:rsidP="00BA6D78">
      <w:pPr>
        <w:pStyle w:val="Textoindependiente"/>
        <w:spacing w:after="0" w:line="240" w:lineRule="auto"/>
        <w:rPr>
          <w:rFonts w:cs="Arial"/>
          <w:sz w:val="24"/>
          <w:szCs w:val="24"/>
        </w:rPr>
      </w:pPr>
      <w:r w:rsidRPr="00666302">
        <w:rPr>
          <w:rFonts w:cs="Arial"/>
          <w:sz w:val="24"/>
          <w:szCs w:val="24"/>
        </w:rPr>
        <w:t>Cordialmente,</w:t>
      </w:r>
    </w:p>
    <w:p w14:paraId="5D3B937D" w14:textId="77777777" w:rsidR="00BA6D78" w:rsidRPr="00666302" w:rsidRDefault="00BA6D78" w:rsidP="00BA6D78">
      <w:pPr>
        <w:pStyle w:val="Textoindependiente"/>
        <w:spacing w:after="0" w:line="240" w:lineRule="auto"/>
        <w:rPr>
          <w:rFonts w:cs="Arial"/>
          <w:sz w:val="24"/>
          <w:szCs w:val="24"/>
        </w:rPr>
      </w:pPr>
    </w:p>
    <w:p w14:paraId="519602C4" w14:textId="77777777" w:rsidR="00BA6D78" w:rsidRPr="00666302" w:rsidRDefault="00BA6D78" w:rsidP="00BA6D78">
      <w:pPr>
        <w:pStyle w:val="Textoindependiente"/>
        <w:spacing w:after="0" w:line="240" w:lineRule="auto"/>
        <w:rPr>
          <w:rFonts w:cs="Arial"/>
          <w:sz w:val="24"/>
          <w:szCs w:val="24"/>
        </w:rPr>
      </w:pPr>
    </w:p>
    <w:p w14:paraId="1C8396D3" w14:textId="77777777" w:rsidR="00666302" w:rsidRPr="00666302" w:rsidRDefault="00666302" w:rsidP="00666302">
      <w:pPr>
        <w:spacing w:after="0" w:line="240" w:lineRule="auto"/>
        <w:jc w:val="center"/>
        <w:rPr>
          <w:rFonts w:ascii="Arial" w:eastAsia="Times New Roman" w:hAnsi="Arial" w:cs="Arial"/>
          <w:b/>
          <w:bCs/>
          <w:spacing w:val="-5"/>
        </w:rPr>
      </w:pPr>
      <w:r w:rsidRPr="00666302">
        <w:rPr>
          <w:rFonts w:ascii="Arial" w:eastAsia="Times New Roman" w:hAnsi="Arial" w:cs="Arial"/>
          <w:b/>
          <w:bCs/>
          <w:spacing w:val="-5"/>
        </w:rPr>
        <w:t>OMAR PRIAS CAICEDO</w:t>
      </w:r>
    </w:p>
    <w:p w14:paraId="713319D2" w14:textId="3B117520" w:rsidR="008066FD" w:rsidRPr="00325EDC" w:rsidRDefault="00666302" w:rsidP="00325EDC">
      <w:pPr>
        <w:spacing w:after="0" w:line="240" w:lineRule="auto"/>
        <w:jc w:val="center"/>
        <w:rPr>
          <w:rFonts w:ascii="Arial" w:eastAsia="Times New Roman" w:hAnsi="Arial" w:cs="Arial"/>
          <w:spacing w:val="-5"/>
        </w:rPr>
      </w:pPr>
      <w:r w:rsidRPr="00666302">
        <w:rPr>
          <w:rFonts w:ascii="Arial" w:eastAsia="Times New Roman" w:hAnsi="Arial" w:cs="Arial"/>
          <w:spacing w:val="-5"/>
        </w:rPr>
        <w:t>Director ejecutivo</w:t>
      </w:r>
    </w:p>
    <w:sectPr w:rsidR="008066FD" w:rsidRPr="00325EDC" w:rsidSect="00666302">
      <w:headerReference w:type="default" r:id="rId8"/>
      <w:footerReference w:type="default" r:id="rId9"/>
      <w:headerReference w:type="first" r:id="rId10"/>
      <w:footerReference w:type="first" r:id="rId11"/>
      <w:pgSz w:w="12240" w:h="15840"/>
      <w:pgMar w:top="1979" w:right="1418" w:bottom="1985" w:left="1418" w:header="15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90D4" w14:textId="77777777" w:rsidR="006F30A4" w:rsidRDefault="006F30A4" w:rsidP="00AA0519">
      <w:r>
        <w:separator/>
      </w:r>
    </w:p>
  </w:endnote>
  <w:endnote w:type="continuationSeparator" w:id="0">
    <w:p w14:paraId="675BC12C" w14:textId="77777777" w:rsidR="006F30A4" w:rsidRDefault="006F30A4"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701C" w14:textId="067C75E3" w:rsidR="00666302" w:rsidRDefault="00666302" w:rsidP="006F5C85">
    <w:pPr>
      <w:spacing w:after="0" w:line="240" w:lineRule="auto"/>
      <w:rPr>
        <w:rStyle w:val="nfasis"/>
      </w:rPr>
    </w:pPr>
    <w:r w:rsidRPr="00C37978">
      <w:rPr>
        <w:rStyle w:val="nfasis"/>
      </w:rPr>
      <w:t>___________________________________________________________________</w:t>
    </w:r>
    <w:r w:rsidRPr="00C37978">
      <w:rPr>
        <w:rStyle w:val="nfasis"/>
      </w:rPr>
      <w:t>______</w:t>
    </w:r>
    <w:r w:rsidRPr="00C37978">
      <w:rPr>
        <w:rStyle w:val="nfasis"/>
      </w:rPr>
      <w:t>___________</w:t>
    </w:r>
  </w:p>
  <w:p w14:paraId="41F84EE2" w14:textId="43542655" w:rsidR="00666302" w:rsidRPr="00C37978" w:rsidRDefault="00666302" w:rsidP="006F5C85">
    <w:pPr>
      <w:spacing w:after="0" w:line="240" w:lineRule="auto"/>
      <w:rPr>
        <w:rStyle w:val="nfasis"/>
      </w:rPr>
    </w:pPr>
    <w:r w:rsidRPr="00C37978">
      <w:rPr>
        <w:rStyle w:val="nfasis"/>
      </w:rPr>
      <w:t>Comisión de Regulación de Energía y Gas</w:t>
    </w:r>
  </w:p>
  <w:p w14:paraId="6DF70D1D" w14:textId="77777777" w:rsidR="00666302" w:rsidRPr="00C37978" w:rsidRDefault="00666302" w:rsidP="006F5C85">
    <w:pPr>
      <w:spacing w:after="0" w:line="240" w:lineRule="auto"/>
      <w:rPr>
        <w:rStyle w:val="nfasis"/>
      </w:rPr>
    </w:pPr>
    <w:r w:rsidRPr="00C37978">
      <w:rPr>
        <w:rStyle w:val="nfasis"/>
      </w:rPr>
      <w:t>Dirección: Calle 116 No.</w:t>
    </w:r>
    <w:r>
      <w:rPr>
        <w:rStyle w:val="nfasis"/>
      </w:rPr>
      <w:t xml:space="preserve"> </w:t>
    </w:r>
    <w:r w:rsidRPr="00C37978">
      <w:rPr>
        <w:rStyle w:val="nfasis"/>
      </w:rPr>
      <w:t>7 - 15, Bogotá D.C., Colombia</w:t>
    </w:r>
  </w:p>
  <w:p w14:paraId="39BF09A5" w14:textId="77777777" w:rsidR="00666302" w:rsidRPr="00C37978" w:rsidRDefault="00666302" w:rsidP="006F5C85">
    <w:pPr>
      <w:spacing w:after="0" w:line="240" w:lineRule="auto"/>
      <w:rPr>
        <w:rStyle w:val="nfasis"/>
      </w:rPr>
    </w:pPr>
    <w:r w:rsidRPr="00C37978">
      <w:rPr>
        <w:rStyle w:val="nfasis"/>
      </w:rPr>
      <w:t>Conmutador: (+57) 601 603 2020</w:t>
    </w:r>
  </w:p>
  <w:p w14:paraId="12EB656D" w14:textId="70E1DF5F" w:rsidR="00735E1F" w:rsidRDefault="00666302" w:rsidP="00666302">
    <w:r w:rsidRPr="00C37978">
      <w:rPr>
        <w:rStyle w:val="nfasis"/>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89B" w14:textId="1ED06985" w:rsidR="003F2F4B" w:rsidRDefault="003B1FEC" w:rsidP="003F2F4B">
    <w:pPr>
      <w:jc w:val="center"/>
    </w:pPr>
    <w:r>
      <w:rPr>
        <w:noProof/>
      </w:rPr>
      <w:drawing>
        <wp:anchor distT="0" distB="0" distL="114300" distR="114300" simplePos="0" relativeHeight="251664384" behindDoc="1" locked="0" layoutInCell="1" allowOverlap="1" wp14:anchorId="7CCCAF8A" wp14:editId="5E0A0A50">
          <wp:simplePos x="0" y="0"/>
          <wp:positionH relativeFrom="page">
            <wp:align>right</wp:align>
          </wp:positionH>
          <wp:positionV relativeFrom="paragraph">
            <wp:posOffset>-401247</wp:posOffset>
          </wp:positionV>
          <wp:extent cx="7750098" cy="1248555"/>
          <wp:effectExtent l="0" t="0" r="3810" b="8890"/>
          <wp:wrapNone/>
          <wp:docPr id="894432480" name="Imagen 89443248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50098" cy="1248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7EFE" w14:textId="77777777" w:rsidR="006F30A4" w:rsidRDefault="006F30A4" w:rsidP="00AA0519">
      <w:r>
        <w:separator/>
      </w:r>
    </w:p>
  </w:footnote>
  <w:footnote w:type="continuationSeparator" w:id="0">
    <w:p w14:paraId="478FAF5C" w14:textId="77777777" w:rsidR="006F30A4" w:rsidRDefault="006F30A4"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244A9B7A" w:rsidR="003F2F4B" w:rsidRPr="008C0A5F" w:rsidRDefault="00666302" w:rsidP="008C0A5F">
    <w:pPr>
      <w:pStyle w:val="Destinario"/>
      <w:spacing w:before="240"/>
      <w:ind w:left="708" w:hanging="708"/>
      <w:rPr>
        <w:sz w:val="22"/>
        <w:szCs w:val="22"/>
      </w:rPr>
    </w:pPr>
    <w:r w:rsidRPr="00666302">
      <w:rPr>
        <w:noProof/>
        <w:sz w:val="22"/>
        <w:szCs w:val="22"/>
      </w:rPr>
      <w:drawing>
        <wp:anchor distT="0" distB="0" distL="114300" distR="114300" simplePos="0" relativeHeight="251668480" behindDoc="0" locked="0" layoutInCell="1" allowOverlap="1" wp14:anchorId="5D3B59B5" wp14:editId="5E167E8E">
          <wp:simplePos x="0" y="0"/>
          <wp:positionH relativeFrom="column">
            <wp:posOffset>1270</wp:posOffset>
          </wp:positionH>
          <wp:positionV relativeFrom="paragraph">
            <wp:posOffset>-342900</wp:posOffset>
          </wp:positionV>
          <wp:extent cx="5971540" cy="412678"/>
          <wp:effectExtent l="0" t="0" r="0" b="6985"/>
          <wp:wrapNone/>
          <wp:docPr id="1743019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4126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48E7994E" w:rsidR="00F82573" w:rsidRDefault="00902889" w:rsidP="005B5736">
    <w:pPr>
      <w:pStyle w:val="Encabezado"/>
      <w:tabs>
        <w:tab w:val="clear" w:pos="4419"/>
        <w:tab w:val="left" w:pos="7274"/>
      </w:tabs>
      <w:ind w:right="-1369"/>
    </w:pPr>
    <w:r>
      <w:rPr>
        <w:noProof/>
      </w:rPr>
      <w:drawing>
        <wp:anchor distT="0" distB="0" distL="114300" distR="114300" simplePos="0" relativeHeight="251667456" behindDoc="1" locked="0" layoutInCell="1" allowOverlap="1" wp14:anchorId="77F127B7" wp14:editId="190BA8CC">
          <wp:simplePos x="0" y="0"/>
          <wp:positionH relativeFrom="column">
            <wp:posOffset>3197951</wp:posOffset>
          </wp:positionH>
          <wp:positionV relativeFrom="paragraph">
            <wp:posOffset>-297180</wp:posOffset>
          </wp:positionV>
          <wp:extent cx="3345815" cy="527685"/>
          <wp:effectExtent l="0" t="0" r="6985" b="5715"/>
          <wp:wrapNone/>
          <wp:docPr id="933974174" name="Imagen 93397417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45815" cy="527685"/>
                  </a:xfrm>
                  <a:prstGeom prst="rect">
                    <a:avLst/>
                  </a:prstGeom>
                </pic:spPr>
              </pic:pic>
            </a:graphicData>
          </a:graphic>
          <wp14:sizeRelH relativeFrom="page">
            <wp14:pctWidth>0</wp14:pctWidth>
          </wp14:sizeRelH>
          <wp14:sizeRelV relativeFrom="page">
            <wp14:pctHeight>0</wp14:pctHeight>
          </wp14:sizeRelV>
        </wp:anchor>
      </w:drawing>
    </w:r>
    <w:r w:rsidR="00401E61">
      <w:rPr>
        <w:noProof/>
      </w:rPr>
      <w:t xml:space="preserve">                                   </w:t>
    </w:r>
    <w:r w:rsidR="00F82573">
      <w:rPr>
        <w:noProof/>
      </w:rPr>
      <w:drawing>
        <wp:anchor distT="0" distB="0" distL="114300" distR="114300" simplePos="0" relativeHeight="251655168" behindDoc="1" locked="0" layoutInCell="1" allowOverlap="1" wp14:anchorId="12C51612" wp14:editId="21CF4D24">
          <wp:simplePos x="0" y="0"/>
          <wp:positionH relativeFrom="column">
            <wp:posOffset>-481330</wp:posOffset>
          </wp:positionH>
          <wp:positionV relativeFrom="paragraph">
            <wp:posOffset>-346710</wp:posOffset>
          </wp:positionV>
          <wp:extent cx="1104900" cy="618490"/>
          <wp:effectExtent l="0" t="0" r="0" b="0"/>
          <wp:wrapNone/>
          <wp:docPr id="1601866966" name="Imagen 1601866966" descr="Logo de la Comisión de Regulación de Energía y Gas, 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 de la Comisión de Regulación de Energía y Gas, CR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61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251B"/>
    <w:multiLevelType w:val="hybridMultilevel"/>
    <w:tmpl w:val="A0127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4614199"/>
    <w:multiLevelType w:val="hybridMultilevel"/>
    <w:tmpl w:val="7422A016"/>
    <w:lvl w:ilvl="0" w:tplc="EC425A2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1431346">
    <w:abstractNumId w:val="0"/>
  </w:num>
  <w:num w:numId="2" w16cid:durableId="176560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5443"/>
    <w:rsid w:val="00046BDF"/>
    <w:rsid w:val="00071BA7"/>
    <w:rsid w:val="00074D17"/>
    <w:rsid w:val="000B439A"/>
    <w:rsid w:val="000F11F6"/>
    <w:rsid w:val="000F38B4"/>
    <w:rsid w:val="001215BB"/>
    <w:rsid w:val="00124C31"/>
    <w:rsid w:val="0014353D"/>
    <w:rsid w:val="00153BE7"/>
    <w:rsid w:val="00180F65"/>
    <w:rsid w:val="001E2DD2"/>
    <w:rsid w:val="001F303A"/>
    <w:rsid w:val="001F47AB"/>
    <w:rsid w:val="00212267"/>
    <w:rsid w:val="0024085D"/>
    <w:rsid w:val="002C26C3"/>
    <w:rsid w:val="00324760"/>
    <w:rsid w:val="00325EDC"/>
    <w:rsid w:val="00353D1D"/>
    <w:rsid w:val="0035632E"/>
    <w:rsid w:val="00361DFF"/>
    <w:rsid w:val="0038014E"/>
    <w:rsid w:val="003A7FC9"/>
    <w:rsid w:val="003B1FEC"/>
    <w:rsid w:val="003B393C"/>
    <w:rsid w:val="003C7E1C"/>
    <w:rsid w:val="003F2F4B"/>
    <w:rsid w:val="00401E61"/>
    <w:rsid w:val="004142B1"/>
    <w:rsid w:val="004170AF"/>
    <w:rsid w:val="00425268"/>
    <w:rsid w:val="0042759A"/>
    <w:rsid w:val="00456720"/>
    <w:rsid w:val="00457CC2"/>
    <w:rsid w:val="00483D6B"/>
    <w:rsid w:val="004A6CAB"/>
    <w:rsid w:val="004C0855"/>
    <w:rsid w:val="004C69B7"/>
    <w:rsid w:val="004E017D"/>
    <w:rsid w:val="00515BEF"/>
    <w:rsid w:val="0053330D"/>
    <w:rsid w:val="005604AC"/>
    <w:rsid w:val="005723D7"/>
    <w:rsid w:val="00587F12"/>
    <w:rsid w:val="005A4453"/>
    <w:rsid w:val="005B4F83"/>
    <w:rsid w:val="005B53D9"/>
    <w:rsid w:val="005B5736"/>
    <w:rsid w:val="005C287A"/>
    <w:rsid w:val="005C42EC"/>
    <w:rsid w:val="005D7D66"/>
    <w:rsid w:val="005E366C"/>
    <w:rsid w:val="005F6877"/>
    <w:rsid w:val="00602072"/>
    <w:rsid w:val="00616A96"/>
    <w:rsid w:val="00651863"/>
    <w:rsid w:val="006629AD"/>
    <w:rsid w:val="00666302"/>
    <w:rsid w:val="00692E71"/>
    <w:rsid w:val="006B3103"/>
    <w:rsid w:val="006E1726"/>
    <w:rsid w:val="006E22E8"/>
    <w:rsid w:val="006F30A4"/>
    <w:rsid w:val="00717096"/>
    <w:rsid w:val="007247FF"/>
    <w:rsid w:val="00735E1F"/>
    <w:rsid w:val="0074199A"/>
    <w:rsid w:val="00752DEC"/>
    <w:rsid w:val="00762CBD"/>
    <w:rsid w:val="0078631A"/>
    <w:rsid w:val="007A7C1D"/>
    <w:rsid w:val="007F42E3"/>
    <w:rsid w:val="007F4E31"/>
    <w:rsid w:val="008066FD"/>
    <w:rsid w:val="00823401"/>
    <w:rsid w:val="00847FE4"/>
    <w:rsid w:val="008776E3"/>
    <w:rsid w:val="008B0943"/>
    <w:rsid w:val="008C0A5F"/>
    <w:rsid w:val="00902889"/>
    <w:rsid w:val="00930F73"/>
    <w:rsid w:val="00940D8C"/>
    <w:rsid w:val="00957BE3"/>
    <w:rsid w:val="00976702"/>
    <w:rsid w:val="00980584"/>
    <w:rsid w:val="009A3312"/>
    <w:rsid w:val="009E7865"/>
    <w:rsid w:val="009F3478"/>
    <w:rsid w:val="009F5428"/>
    <w:rsid w:val="00A15CDD"/>
    <w:rsid w:val="00A15D55"/>
    <w:rsid w:val="00A84924"/>
    <w:rsid w:val="00A90A86"/>
    <w:rsid w:val="00A91C71"/>
    <w:rsid w:val="00A92B44"/>
    <w:rsid w:val="00AA0519"/>
    <w:rsid w:val="00AA7A5F"/>
    <w:rsid w:val="00B117AB"/>
    <w:rsid w:val="00B37FAA"/>
    <w:rsid w:val="00B7008B"/>
    <w:rsid w:val="00B74DFE"/>
    <w:rsid w:val="00BA6D78"/>
    <w:rsid w:val="00C81E1F"/>
    <w:rsid w:val="00C85649"/>
    <w:rsid w:val="00C9169C"/>
    <w:rsid w:val="00C93328"/>
    <w:rsid w:val="00CB3666"/>
    <w:rsid w:val="00CD0E49"/>
    <w:rsid w:val="00CD6394"/>
    <w:rsid w:val="00CE66F4"/>
    <w:rsid w:val="00D05858"/>
    <w:rsid w:val="00D31768"/>
    <w:rsid w:val="00D754A1"/>
    <w:rsid w:val="00D915DC"/>
    <w:rsid w:val="00DF79E2"/>
    <w:rsid w:val="00E035CC"/>
    <w:rsid w:val="00E56853"/>
    <w:rsid w:val="00E77923"/>
    <w:rsid w:val="00EC5291"/>
    <w:rsid w:val="00F02D43"/>
    <w:rsid w:val="00F13D47"/>
    <w:rsid w:val="00F35EFC"/>
    <w:rsid w:val="00F66BF3"/>
    <w:rsid w:val="00F80B1D"/>
    <w:rsid w:val="00F82573"/>
    <w:rsid w:val="00F96469"/>
    <w:rsid w:val="00FA6661"/>
    <w:rsid w:val="00FB07C1"/>
    <w:rsid w:val="00FC759B"/>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paragraph" w:styleId="Revisin">
    <w:name w:val="Revision"/>
    <w:hidden/>
    <w:uiPriority w:val="99"/>
    <w:semiHidden/>
    <w:rsid w:val="00A91C71"/>
    <w:pPr>
      <w:spacing w:line="240" w:lineRule="auto"/>
    </w:pPr>
  </w:style>
  <w:style w:type="character" w:styleId="nfasis">
    <w:name w:val="Emphasis"/>
    <w:uiPriority w:val="20"/>
    <w:qFormat/>
    <w:rsid w:val="00666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7</cp:revision>
  <cp:lastPrinted>2024-06-25T00:07:00Z</cp:lastPrinted>
  <dcterms:created xsi:type="dcterms:W3CDTF">2024-06-24T20:30:00Z</dcterms:created>
  <dcterms:modified xsi:type="dcterms:W3CDTF">2024-06-25T00:07:00Z</dcterms:modified>
</cp:coreProperties>
</file>