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1F4E" w14:textId="21A2910E" w:rsidR="00913F4D" w:rsidRPr="004F5CFD" w:rsidRDefault="00913F4D" w:rsidP="00913F4D">
      <w:pPr>
        <w:rPr>
          <w:rFonts w:ascii="Arial" w:hAnsi="Arial" w:cs="Arial"/>
          <w:lang w:val="es-MX"/>
        </w:rPr>
      </w:pPr>
      <w:r w:rsidRPr="004F5CFD">
        <w:rPr>
          <w:rFonts w:ascii="Arial" w:hAnsi="Arial" w:cs="Arial"/>
          <w:lang w:val="es-MX"/>
        </w:rPr>
        <w:t xml:space="preserve">Bogotá, D. C.,  </w:t>
      </w:r>
      <w:r w:rsidRPr="004F5CFD">
        <w:rPr>
          <w:rFonts w:ascii="Arial" w:hAnsi="Arial" w:cs="Arial"/>
          <w:lang w:val="es-MX"/>
        </w:rPr>
        <w:fldChar w:fldCharType="begin"/>
      </w:r>
      <w:r w:rsidRPr="004F5CFD">
        <w:rPr>
          <w:rFonts w:ascii="Arial" w:hAnsi="Arial" w:cs="Arial"/>
          <w:lang w:val="es-MX"/>
        </w:rPr>
        <w:instrText xml:space="preserve"> MERGEFIELD  Fecha  \* MERGEFORMAT </w:instrText>
      </w:r>
      <w:r w:rsidRPr="004F5CFD">
        <w:rPr>
          <w:rFonts w:ascii="Arial" w:hAnsi="Arial" w:cs="Arial"/>
          <w:lang w:val="es-MX"/>
        </w:rPr>
        <w:fldChar w:fldCharType="separate"/>
      </w:r>
      <w:r w:rsidRPr="004F5CFD">
        <w:rPr>
          <w:rFonts w:ascii="Arial" w:hAnsi="Arial" w:cs="Arial"/>
          <w:noProof/>
          <w:lang w:val="es-MX"/>
        </w:rPr>
        <w:t>25 de junio de 2024</w:t>
      </w:r>
      <w:r w:rsidRPr="004F5CFD">
        <w:rPr>
          <w:rFonts w:ascii="Arial" w:hAnsi="Arial" w:cs="Arial"/>
          <w:lang w:val="es-MX"/>
        </w:rPr>
        <w:fldChar w:fldCharType="end"/>
      </w:r>
    </w:p>
    <w:p w14:paraId="4BF6BC04" w14:textId="77777777" w:rsidR="00BA6D78" w:rsidRPr="004F5CFD" w:rsidRDefault="00BA6D78" w:rsidP="00BA6D78">
      <w:pPr>
        <w:rPr>
          <w:rFonts w:ascii="Arial" w:hAnsi="Arial" w:cs="Arial"/>
          <w:lang w:val="es-MX"/>
        </w:rPr>
      </w:pPr>
    </w:p>
    <w:p w14:paraId="0494DD4C" w14:textId="77777777" w:rsidR="00913F4D" w:rsidRPr="004F5CFD" w:rsidRDefault="00913F4D" w:rsidP="00913F4D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040 de 2024</w:t>
      </w:r>
      <w:r w:rsidRPr="004F5CFD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4F5CFD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</w:rPr>
      </w:pPr>
    </w:p>
    <w:p w14:paraId="5456442B" w14:textId="77777777" w:rsidR="00B979CA" w:rsidRPr="004F5CFD" w:rsidRDefault="00B979CA" w:rsidP="004F5CFD">
      <w:pPr>
        <w:spacing w:line="240" w:lineRule="auto"/>
      </w:pPr>
    </w:p>
    <w:p w14:paraId="74FF62B2" w14:textId="4D1632E7" w:rsidR="00BA6D78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4F5CFD">
        <w:rPr>
          <w:rFonts w:ascii="Arial" w:hAnsi="Arial" w:cs="Arial"/>
          <w:b/>
        </w:rPr>
        <w:t>PARA:</w:t>
      </w:r>
      <w:r w:rsidRPr="004F5CFD">
        <w:rPr>
          <w:rFonts w:ascii="Arial" w:hAnsi="Arial" w:cs="Arial"/>
          <w:b/>
        </w:rPr>
        <w:tab/>
      </w:r>
      <w:r w:rsidRPr="004F5CFD">
        <w:rPr>
          <w:rFonts w:ascii="Arial" w:hAnsi="Arial" w:cs="Arial"/>
          <w:b/>
        </w:rPr>
        <w:fldChar w:fldCharType="begin"/>
      </w:r>
      <w:r w:rsidRPr="004F5CFD">
        <w:rPr>
          <w:rFonts w:ascii="Arial" w:hAnsi="Arial" w:cs="Arial"/>
          <w:b/>
        </w:rPr>
        <w:instrText xml:space="preserve"> MERGEFIELD  Destinatario  \* MERGEFORMAT </w:instrText>
      </w:r>
      <w:r w:rsidRPr="004F5CFD">
        <w:rPr>
          <w:rFonts w:ascii="Arial" w:hAnsi="Arial" w:cs="Arial"/>
          <w:b/>
        </w:rPr>
        <w:fldChar w:fldCharType="separate"/>
      </w:r>
      <w:r w:rsidRPr="004F5CFD">
        <w:rPr>
          <w:rFonts w:ascii="Arial" w:hAnsi="Arial" w:cs="Arial"/>
          <w:b/>
          <w:noProof/>
        </w:rPr>
        <w:t xml:space="preserve">AGENTES DEL MERCADO </w:t>
      </w:r>
      <w:r w:rsidR="00B269BC" w:rsidRPr="004F5CFD">
        <w:rPr>
          <w:rFonts w:ascii="Arial" w:hAnsi="Arial" w:cs="Arial"/>
          <w:b/>
          <w:noProof/>
        </w:rPr>
        <w:t xml:space="preserve">MAYORISTA </w:t>
      </w:r>
      <w:r w:rsidRPr="004F5CFD">
        <w:rPr>
          <w:rFonts w:ascii="Arial" w:hAnsi="Arial" w:cs="Arial"/>
          <w:b/>
          <w:noProof/>
        </w:rPr>
        <w:t>DE GAS NATURAL</w:t>
      </w:r>
      <w:r w:rsidRPr="004F5CFD">
        <w:rPr>
          <w:rFonts w:ascii="Arial" w:hAnsi="Arial" w:cs="Arial"/>
          <w:b/>
        </w:rPr>
        <w:fldChar w:fldCharType="end"/>
      </w:r>
    </w:p>
    <w:p w14:paraId="0E6359D3" w14:textId="77777777" w:rsidR="004F5CFD" w:rsidRPr="004F5CFD" w:rsidRDefault="004F5CFD" w:rsidP="004F5CFD">
      <w:pPr>
        <w:tabs>
          <w:tab w:val="left" w:pos="709"/>
        </w:tabs>
        <w:spacing w:line="276" w:lineRule="auto"/>
        <w:ind w:left="1276" w:hanging="1276"/>
        <w:jc w:val="both"/>
        <w:rPr>
          <w:rFonts w:ascii="Arial" w:eastAsia="Times New Roman" w:hAnsi="Arial" w:cs="Arial"/>
          <w:spacing w:val="-5"/>
        </w:rPr>
      </w:pPr>
    </w:p>
    <w:p w14:paraId="5ECA4954" w14:textId="3712B499" w:rsidR="00BA6D78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4F5CFD">
        <w:rPr>
          <w:rFonts w:ascii="Arial" w:hAnsi="Arial" w:cs="Arial"/>
          <w:b/>
        </w:rPr>
        <w:t>DE:</w:t>
      </w:r>
      <w:r w:rsidRPr="004F5CFD">
        <w:rPr>
          <w:rFonts w:ascii="Arial" w:hAnsi="Arial" w:cs="Arial"/>
          <w:b/>
        </w:rPr>
        <w:tab/>
      </w:r>
      <w:r w:rsidR="00993610" w:rsidRPr="004F5CFD">
        <w:rPr>
          <w:rFonts w:ascii="Arial" w:hAnsi="Arial" w:cs="Arial"/>
          <w:b/>
        </w:rPr>
        <w:tab/>
      </w:r>
      <w:r w:rsidRPr="004F5CFD">
        <w:rPr>
          <w:rFonts w:ascii="Arial" w:hAnsi="Arial" w:cs="Arial"/>
          <w:b/>
        </w:rPr>
        <w:fldChar w:fldCharType="begin"/>
      </w:r>
      <w:r w:rsidRPr="004F5CFD">
        <w:rPr>
          <w:rFonts w:ascii="Arial" w:hAnsi="Arial" w:cs="Arial"/>
          <w:b/>
        </w:rPr>
        <w:instrText xml:space="preserve"> MERGEFIELD  Remitente  \* MERGEFORMAT </w:instrText>
      </w:r>
      <w:r w:rsidRPr="004F5CFD">
        <w:rPr>
          <w:rFonts w:ascii="Arial" w:hAnsi="Arial" w:cs="Arial"/>
          <w:b/>
        </w:rPr>
        <w:fldChar w:fldCharType="separate"/>
      </w:r>
      <w:r w:rsidRPr="004F5CFD">
        <w:rPr>
          <w:rFonts w:ascii="Arial" w:hAnsi="Arial" w:cs="Arial"/>
          <w:b/>
          <w:noProof/>
        </w:rPr>
        <w:t>DIRECCIÓN EJECUTIVA</w:t>
      </w:r>
      <w:r w:rsidRPr="004F5CFD">
        <w:rPr>
          <w:rFonts w:ascii="Arial" w:hAnsi="Arial" w:cs="Arial"/>
          <w:b/>
        </w:rPr>
        <w:fldChar w:fldCharType="end"/>
      </w:r>
    </w:p>
    <w:p w14:paraId="1C5D9406" w14:textId="77777777" w:rsidR="004F5CFD" w:rsidRPr="004F5CFD" w:rsidRDefault="004F5CFD" w:rsidP="004F5CFD">
      <w:pPr>
        <w:tabs>
          <w:tab w:val="left" w:pos="709"/>
        </w:tabs>
        <w:spacing w:line="276" w:lineRule="auto"/>
        <w:ind w:left="1276" w:hanging="1276"/>
        <w:jc w:val="both"/>
        <w:rPr>
          <w:rFonts w:ascii="Arial" w:hAnsi="Arial" w:cs="Arial"/>
          <w:b/>
        </w:rPr>
      </w:pPr>
    </w:p>
    <w:p w14:paraId="3AF4582F" w14:textId="63D26EEA" w:rsidR="00BA6D78" w:rsidRPr="004F5CFD" w:rsidRDefault="00BA6D78" w:rsidP="00993610">
      <w:pPr>
        <w:tabs>
          <w:tab w:val="left" w:pos="709"/>
        </w:tabs>
        <w:ind w:left="1276" w:hanging="1276"/>
        <w:jc w:val="both"/>
        <w:rPr>
          <w:rFonts w:ascii="Arial" w:hAnsi="Arial" w:cs="Arial"/>
          <w:b/>
        </w:rPr>
      </w:pPr>
      <w:r w:rsidRPr="004F5CFD">
        <w:rPr>
          <w:rFonts w:ascii="Arial" w:hAnsi="Arial" w:cs="Arial"/>
          <w:b/>
        </w:rPr>
        <w:t>ASUNTO:</w:t>
      </w:r>
      <w:r w:rsidRPr="004F5CFD">
        <w:rPr>
          <w:rFonts w:ascii="Arial" w:hAnsi="Arial" w:cs="Arial"/>
          <w:b/>
        </w:rPr>
        <w:tab/>
      </w:r>
      <w:r w:rsidRPr="004F5CFD">
        <w:rPr>
          <w:rFonts w:ascii="Arial" w:hAnsi="Arial" w:cs="Arial"/>
          <w:b/>
        </w:rPr>
        <w:fldChar w:fldCharType="begin"/>
      </w:r>
      <w:r w:rsidRPr="004F5CFD">
        <w:rPr>
          <w:rFonts w:ascii="Arial" w:hAnsi="Arial" w:cs="Arial"/>
          <w:b/>
        </w:rPr>
        <w:instrText xml:space="preserve"> MERGEFIELD  Asunto  \* MERGEFORMAT </w:instrText>
      </w:r>
      <w:r w:rsidRPr="004F5CFD">
        <w:rPr>
          <w:rFonts w:ascii="Arial" w:hAnsi="Arial" w:cs="Arial"/>
          <w:b/>
        </w:rPr>
        <w:fldChar w:fldCharType="separate"/>
      </w:r>
      <w:r w:rsidRPr="004F5CFD">
        <w:rPr>
          <w:rFonts w:ascii="Arial" w:hAnsi="Arial" w:cs="Arial"/>
          <w:b/>
          <w:noProof/>
        </w:rPr>
        <w:t xml:space="preserve">CRONOGRAMA DE COMERCIALIZACIÓN DE GAS NATURAL </w:t>
      </w:r>
      <w:r w:rsidR="00ED13AA" w:rsidRPr="004F5CFD">
        <w:rPr>
          <w:rFonts w:ascii="Arial" w:hAnsi="Arial" w:cs="Arial"/>
          <w:b/>
          <w:noProof/>
        </w:rPr>
        <w:t xml:space="preserve">DEL </w:t>
      </w:r>
      <w:r w:rsidRPr="004F5CFD">
        <w:rPr>
          <w:rFonts w:ascii="Arial" w:hAnsi="Arial" w:cs="Arial"/>
          <w:b/>
          <w:noProof/>
        </w:rPr>
        <w:t>AÑO 202</w:t>
      </w:r>
      <w:r w:rsidR="002406B0" w:rsidRPr="004F5CFD">
        <w:rPr>
          <w:rFonts w:ascii="Arial" w:hAnsi="Arial" w:cs="Arial"/>
          <w:b/>
          <w:noProof/>
        </w:rPr>
        <w:t>4</w:t>
      </w:r>
      <w:r w:rsidRPr="004F5CFD">
        <w:rPr>
          <w:rFonts w:ascii="Arial" w:hAnsi="Arial" w:cs="Arial"/>
          <w:b/>
        </w:rPr>
        <w:fldChar w:fldCharType="end"/>
      </w:r>
      <w:r w:rsidR="00ED13AA" w:rsidRPr="004F5CFD">
        <w:rPr>
          <w:rFonts w:ascii="Arial" w:hAnsi="Arial" w:cs="Arial"/>
          <w:b/>
        </w:rPr>
        <w:t xml:space="preserve"> </w:t>
      </w:r>
    </w:p>
    <w:p w14:paraId="3960EDB8" w14:textId="77777777" w:rsidR="00BA6D78" w:rsidRPr="004F5CFD" w:rsidRDefault="00BA6D78" w:rsidP="00993610">
      <w:pPr>
        <w:spacing w:after="0"/>
        <w:rPr>
          <w:rFonts w:ascii="Arial" w:hAnsi="Arial" w:cs="Arial"/>
        </w:rPr>
      </w:pPr>
    </w:p>
    <w:p w14:paraId="1F62CF78" w14:textId="3D1CEF14" w:rsidR="008071CC" w:rsidRPr="004F5CFD" w:rsidRDefault="008071CC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4F5CFD">
        <w:rPr>
          <w:rFonts w:cs="Arial"/>
          <w:sz w:val="24"/>
          <w:szCs w:val="24"/>
        </w:rPr>
        <w:t xml:space="preserve">La Dirección Ejecutiva de la Comisión de Regulación de Energía y Gas </w:t>
      </w:r>
      <w:r w:rsidR="00DF65C1" w:rsidRPr="004F5CFD">
        <w:rPr>
          <w:rFonts w:cs="Arial"/>
          <w:sz w:val="24"/>
          <w:szCs w:val="24"/>
        </w:rPr>
        <w:t>(</w:t>
      </w:r>
      <w:r w:rsidRPr="004F5CFD">
        <w:rPr>
          <w:rFonts w:cs="Arial"/>
          <w:sz w:val="24"/>
          <w:szCs w:val="24"/>
        </w:rPr>
        <w:t>CREG</w:t>
      </w:r>
      <w:r w:rsidR="00DF65C1" w:rsidRPr="004F5CFD">
        <w:rPr>
          <w:rFonts w:cs="Arial"/>
          <w:sz w:val="24"/>
          <w:szCs w:val="24"/>
        </w:rPr>
        <w:t>)</w:t>
      </w:r>
      <w:r w:rsidRPr="004F5CFD">
        <w:rPr>
          <w:rFonts w:cs="Arial"/>
          <w:sz w:val="24"/>
          <w:szCs w:val="24"/>
        </w:rPr>
        <w:t>, t</w:t>
      </w:r>
      <w:r w:rsidR="00ED13AA" w:rsidRPr="004F5CFD">
        <w:rPr>
          <w:rFonts w:cs="Arial"/>
          <w:sz w:val="24"/>
          <w:szCs w:val="24"/>
        </w:rPr>
        <w:t xml:space="preserve">eniendo en cuenta lo dispuesto en el </w:t>
      </w:r>
      <w:r w:rsidR="00DF65C1" w:rsidRPr="004F5CFD">
        <w:rPr>
          <w:rFonts w:cs="Arial"/>
          <w:sz w:val="24"/>
          <w:szCs w:val="24"/>
        </w:rPr>
        <w:t>a</w:t>
      </w:r>
      <w:r w:rsidR="00ED13AA" w:rsidRPr="004F5CFD">
        <w:rPr>
          <w:rFonts w:cs="Arial"/>
          <w:sz w:val="24"/>
          <w:szCs w:val="24"/>
        </w:rPr>
        <w:t>rtículo 22 de la Resolución CREG 186 de 2020</w:t>
      </w:r>
      <w:r w:rsidR="00DF65C1" w:rsidRPr="004F5CFD">
        <w:rPr>
          <w:rFonts w:cs="Arial"/>
          <w:sz w:val="24"/>
          <w:szCs w:val="24"/>
        </w:rPr>
        <w:t>,</w:t>
      </w:r>
      <w:r w:rsidR="00ED13AA" w:rsidRPr="004F5CFD">
        <w:rPr>
          <w:rFonts w:cs="Arial"/>
          <w:sz w:val="24"/>
          <w:szCs w:val="24"/>
        </w:rPr>
        <w:t xml:space="preserve"> </w:t>
      </w:r>
      <w:r w:rsidR="00AC5CA5" w:rsidRPr="004F5CFD">
        <w:rPr>
          <w:rFonts w:cs="Arial"/>
          <w:sz w:val="24"/>
          <w:szCs w:val="24"/>
        </w:rPr>
        <w:t>public</w:t>
      </w:r>
      <w:r w:rsidRPr="004F5CFD">
        <w:rPr>
          <w:rFonts w:cs="Arial"/>
          <w:sz w:val="24"/>
          <w:szCs w:val="24"/>
        </w:rPr>
        <w:t xml:space="preserve">a </w:t>
      </w:r>
      <w:r w:rsidR="00015369" w:rsidRPr="004F5CFD">
        <w:rPr>
          <w:rFonts w:cs="Arial"/>
          <w:sz w:val="24"/>
          <w:szCs w:val="24"/>
        </w:rPr>
        <w:t>a</w:t>
      </w:r>
      <w:r w:rsidRPr="004F5CFD">
        <w:rPr>
          <w:rFonts w:cs="Arial"/>
          <w:sz w:val="24"/>
          <w:szCs w:val="24"/>
        </w:rPr>
        <w:t xml:space="preserve">nexo </w:t>
      </w:r>
      <w:r w:rsidR="00015369" w:rsidRPr="004F5CFD">
        <w:rPr>
          <w:rFonts w:cs="Arial"/>
          <w:sz w:val="24"/>
          <w:szCs w:val="24"/>
        </w:rPr>
        <w:t>a la presente</w:t>
      </w:r>
      <w:r w:rsidR="00DF65C1" w:rsidRPr="004F5CFD">
        <w:rPr>
          <w:rFonts w:cs="Arial"/>
          <w:sz w:val="24"/>
          <w:szCs w:val="24"/>
        </w:rPr>
        <w:t xml:space="preserve"> Circular</w:t>
      </w:r>
      <w:r w:rsidR="0078044B" w:rsidRPr="004F5CFD">
        <w:rPr>
          <w:rFonts w:cs="Arial"/>
          <w:sz w:val="24"/>
          <w:szCs w:val="24"/>
        </w:rPr>
        <w:t>,</w:t>
      </w:r>
      <w:r w:rsidR="00015369" w:rsidRPr="004F5CFD">
        <w:rPr>
          <w:rFonts w:cs="Arial"/>
          <w:sz w:val="24"/>
          <w:szCs w:val="24"/>
        </w:rPr>
        <w:t xml:space="preserve"> </w:t>
      </w:r>
      <w:r w:rsidRPr="004F5CFD">
        <w:rPr>
          <w:rFonts w:cs="Arial"/>
          <w:sz w:val="24"/>
          <w:szCs w:val="24"/>
        </w:rPr>
        <w:t xml:space="preserve">el cronograma de comercialización del mercado mayorista de gas natural a ser tenido en cuenta </w:t>
      </w:r>
      <w:r w:rsidR="0078044B" w:rsidRPr="004F5CFD">
        <w:rPr>
          <w:rFonts w:cs="Arial"/>
          <w:sz w:val="24"/>
          <w:szCs w:val="24"/>
        </w:rPr>
        <w:t>durante el año 2024</w:t>
      </w:r>
      <w:r w:rsidR="000A4390" w:rsidRPr="004F5CFD">
        <w:rPr>
          <w:rFonts w:cs="Arial"/>
          <w:sz w:val="24"/>
          <w:szCs w:val="24"/>
        </w:rPr>
        <w:t>,</w:t>
      </w:r>
      <w:r w:rsidR="0078044B" w:rsidRPr="004F5CFD">
        <w:rPr>
          <w:rFonts w:cs="Arial"/>
          <w:sz w:val="24"/>
          <w:szCs w:val="24"/>
        </w:rPr>
        <w:t xml:space="preserve"> </w:t>
      </w:r>
      <w:r w:rsidRPr="004F5CFD">
        <w:rPr>
          <w:rFonts w:cs="Arial"/>
          <w:sz w:val="24"/>
          <w:szCs w:val="24"/>
        </w:rPr>
        <w:t xml:space="preserve">para el desarrollo de las negociaciones </w:t>
      </w:r>
      <w:r w:rsidR="00015369" w:rsidRPr="004F5CFD">
        <w:rPr>
          <w:rFonts w:cs="Arial"/>
          <w:sz w:val="24"/>
          <w:szCs w:val="24"/>
        </w:rPr>
        <w:t>y registro de los contratos de suministro resultantes</w:t>
      </w:r>
      <w:r w:rsidRPr="004F5CFD">
        <w:rPr>
          <w:rFonts w:cs="Arial"/>
          <w:sz w:val="24"/>
          <w:szCs w:val="24"/>
        </w:rPr>
        <w:t xml:space="preserve">. </w:t>
      </w:r>
      <w:r w:rsidR="00ED13AA" w:rsidRPr="004F5CFD">
        <w:rPr>
          <w:rFonts w:cs="Arial"/>
          <w:sz w:val="24"/>
          <w:szCs w:val="24"/>
        </w:rPr>
        <w:t xml:space="preserve"> </w:t>
      </w:r>
    </w:p>
    <w:p w14:paraId="0CFB0E2E" w14:textId="77777777" w:rsidR="008071CC" w:rsidRPr="004F5CFD" w:rsidRDefault="008071CC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3D512865" w14:textId="1A0CA032" w:rsidR="00097A89" w:rsidRPr="004F5CFD" w:rsidRDefault="008071CC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4F5CFD">
        <w:rPr>
          <w:rFonts w:cs="Arial"/>
          <w:sz w:val="24"/>
          <w:szCs w:val="24"/>
        </w:rPr>
        <w:t>Se debe tener en cuenta que la CREG publicó el pasado 31 de mayo</w:t>
      </w:r>
      <w:r w:rsidR="00015369" w:rsidRPr="004F5CFD">
        <w:rPr>
          <w:rFonts w:cs="Arial"/>
          <w:sz w:val="24"/>
          <w:szCs w:val="24"/>
        </w:rPr>
        <w:t>,</w:t>
      </w:r>
      <w:r w:rsidRPr="004F5CFD">
        <w:rPr>
          <w:rFonts w:cs="Arial"/>
          <w:sz w:val="24"/>
          <w:szCs w:val="24"/>
        </w:rPr>
        <w:t xml:space="preserve"> el Proyecto de Resolución 702 006 de 2024 que modifica la Resolución CREG 186 de 2020. </w:t>
      </w:r>
      <w:r w:rsidR="00015369" w:rsidRPr="004F5CFD">
        <w:rPr>
          <w:rFonts w:cs="Arial"/>
          <w:sz w:val="24"/>
          <w:szCs w:val="24"/>
        </w:rPr>
        <w:t>Por tal razón y d</w:t>
      </w:r>
      <w:r w:rsidRPr="004F5CFD">
        <w:rPr>
          <w:rFonts w:cs="Arial"/>
          <w:sz w:val="24"/>
          <w:szCs w:val="24"/>
        </w:rPr>
        <w:t xml:space="preserve">ado el caso que el Proyecto en mención sea adoptado en forma definitiva, el presente cronograma </w:t>
      </w:r>
      <w:r w:rsidR="0078044B" w:rsidRPr="004F5CFD">
        <w:rPr>
          <w:rFonts w:cs="Arial"/>
          <w:sz w:val="24"/>
          <w:szCs w:val="24"/>
        </w:rPr>
        <w:t xml:space="preserve">podrá </w:t>
      </w:r>
      <w:r w:rsidRPr="004F5CFD">
        <w:rPr>
          <w:rFonts w:cs="Arial"/>
          <w:sz w:val="24"/>
          <w:szCs w:val="24"/>
        </w:rPr>
        <w:t xml:space="preserve">ser sujeto de modificaciones para hacer los ajustes </w:t>
      </w:r>
      <w:r w:rsidR="000A4390" w:rsidRPr="004F5CFD">
        <w:rPr>
          <w:rFonts w:cs="Arial"/>
          <w:sz w:val="24"/>
          <w:szCs w:val="24"/>
        </w:rPr>
        <w:t xml:space="preserve">correspondientes </w:t>
      </w:r>
      <w:r w:rsidRPr="004F5CFD">
        <w:rPr>
          <w:rFonts w:cs="Arial"/>
          <w:sz w:val="24"/>
          <w:szCs w:val="24"/>
        </w:rPr>
        <w:t>que sean necesarios</w:t>
      </w:r>
      <w:r w:rsidR="00097A89" w:rsidRPr="004F5CFD">
        <w:rPr>
          <w:rFonts w:cs="Arial"/>
          <w:sz w:val="24"/>
          <w:szCs w:val="24"/>
        </w:rPr>
        <w:t xml:space="preserve">. </w:t>
      </w:r>
    </w:p>
    <w:p w14:paraId="4095F429" w14:textId="77777777" w:rsidR="00AC5CA5" w:rsidRPr="004F5CFD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53C4A31B" w14:textId="77777777" w:rsidR="00AC5CA5" w:rsidRPr="004F5CFD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  <w:r w:rsidRPr="004F5CFD">
        <w:rPr>
          <w:rFonts w:cs="Arial"/>
          <w:sz w:val="24"/>
          <w:szCs w:val="24"/>
        </w:rPr>
        <w:lastRenderedPageBreak/>
        <w:t>Cordialmente,</w:t>
      </w:r>
    </w:p>
    <w:p w14:paraId="39B23753" w14:textId="77777777" w:rsidR="00AC5CA5" w:rsidRPr="004F5CFD" w:rsidRDefault="00AC5CA5" w:rsidP="00993610">
      <w:pPr>
        <w:spacing w:before="0" w:after="0"/>
        <w:jc w:val="center"/>
        <w:rPr>
          <w:rFonts w:ascii="Arial" w:hAnsi="Arial" w:cs="Arial"/>
        </w:rPr>
      </w:pPr>
    </w:p>
    <w:p w14:paraId="05012FF1" w14:textId="77777777" w:rsidR="00AC5CA5" w:rsidRPr="004F5CFD" w:rsidRDefault="00AC5CA5" w:rsidP="00993610">
      <w:pPr>
        <w:pStyle w:val="Textoindependiente"/>
        <w:spacing w:before="0" w:after="0" w:line="360" w:lineRule="auto"/>
        <w:rPr>
          <w:rFonts w:cs="Arial"/>
          <w:sz w:val="24"/>
          <w:szCs w:val="24"/>
        </w:rPr>
      </w:pPr>
    </w:p>
    <w:p w14:paraId="1998DA4A" w14:textId="716A4E0A" w:rsidR="00AC5CA5" w:rsidRPr="004F5CFD" w:rsidRDefault="00B269BC" w:rsidP="00993610">
      <w:pPr>
        <w:pStyle w:val="Textoindependiente"/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4F5CFD">
        <w:rPr>
          <w:rFonts w:cs="Arial"/>
          <w:b/>
          <w:bCs/>
          <w:sz w:val="24"/>
          <w:szCs w:val="24"/>
        </w:rPr>
        <w:t>OMAR PR</w:t>
      </w:r>
      <w:r w:rsidR="00DF65C1" w:rsidRPr="004F5CFD">
        <w:rPr>
          <w:rFonts w:cs="Arial"/>
          <w:b/>
          <w:bCs/>
          <w:sz w:val="24"/>
          <w:szCs w:val="24"/>
        </w:rPr>
        <w:t>I</w:t>
      </w:r>
      <w:r w:rsidRPr="004F5CFD">
        <w:rPr>
          <w:rFonts w:cs="Arial"/>
          <w:b/>
          <w:bCs/>
          <w:sz w:val="24"/>
          <w:szCs w:val="24"/>
        </w:rPr>
        <w:t>AS CAICEDO</w:t>
      </w:r>
    </w:p>
    <w:p w14:paraId="5B617E0F" w14:textId="03DE63A9" w:rsidR="00993610" w:rsidRDefault="00AC6933" w:rsidP="00993610">
      <w:pPr>
        <w:spacing w:before="0" w:after="0"/>
        <w:jc w:val="center"/>
        <w:rPr>
          <w:rFonts w:cs="Arial"/>
        </w:rPr>
      </w:pPr>
      <w:r w:rsidRPr="004F5CFD">
        <w:rPr>
          <w:rFonts w:cs="Arial"/>
        </w:rPr>
        <w:t>Director Ejecutiv</w:t>
      </w:r>
      <w:r w:rsidR="00B269BC" w:rsidRPr="004F5CFD">
        <w:rPr>
          <w:rFonts w:cs="Arial"/>
        </w:rPr>
        <w:t>o</w:t>
      </w:r>
    </w:p>
    <w:p w14:paraId="3320F6BB" w14:textId="77777777" w:rsidR="004F5CFD" w:rsidRDefault="004F5CFD" w:rsidP="00993610">
      <w:pPr>
        <w:spacing w:before="0" w:after="0"/>
        <w:jc w:val="center"/>
        <w:rPr>
          <w:rFonts w:cs="Arial"/>
        </w:rPr>
      </w:pPr>
    </w:p>
    <w:p w14:paraId="350DF35A" w14:textId="77777777" w:rsidR="004F5CFD" w:rsidRPr="004F5CFD" w:rsidRDefault="004F5CFD" w:rsidP="004F5CFD">
      <w:pPr>
        <w:spacing w:before="0" w:after="0"/>
        <w:jc w:val="both"/>
        <w:rPr>
          <w:rFonts w:cs="Arial"/>
        </w:rPr>
      </w:pPr>
    </w:p>
    <w:p w14:paraId="17FB0308" w14:textId="5EFE431C" w:rsidR="00AC5CA5" w:rsidRPr="00BC2D8F" w:rsidRDefault="00AC5CA5" w:rsidP="00993610">
      <w:pPr>
        <w:spacing w:before="0" w:after="0"/>
        <w:jc w:val="center"/>
        <w:rPr>
          <w:rFonts w:ascii="Arial" w:eastAsia="Times New Roman" w:hAnsi="Arial" w:cs="Arial"/>
          <w:spacing w:val="-5"/>
        </w:rPr>
      </w:pPr>
      <w:r w:rsidRPr="00BC2D8F">
        <w:rPr>
          <w:rFonts w:cs="Arial"/>
        </w:rPr>
        <w:br w:type="page"/>
      </w:r>
    </w:p>
    <w:p w14:paraId="61536D60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</w:p>
    <w:p w14:paraId="5897EB71" w14:textId="77777777" w:rsidR="00AC5CA5" w:rsidRPr="00BC2D8F" w:rsidRDefault="00AC5CA5" w:rsidP="00AC5CA5">
      <w:pPr>
        <w:pStyle w:val="Textoindependiente"/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ANEXO</w:t>
      </w:r>
    </w:p>
    <w:p w14:paraId="573039A6" w14:textId="5C2D7E9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C2D8F">
        <w:rPr>
          <w:rFonts w:cs="Arial"/>
          <w:b/>
          <w:sz w:val="24"/>
          <w:szCs w:val="24"/>
        </w:rPr>
        <w:t>Cronograma de la Comercialización de Gas Natural del año 202</w:t>
      </w:r>
      <w:r w:rsidR="00D91B7A">
        <w:rPr>
          <w:rFonts w:cs="Arial"/>
          <w:b/>
          <w:sz w:val="24"/>
          <w:szCs w:val="24"/>
        </w:rPr>
        <w:t>4</w:t>
      </w:r>
    </w:p>
    <w:p w14:paraId="702068D9" w14:textId="77777777" w:rsidR="00AC5CA5" w:rsidRPr="00BC2D8F" w:rsidRDefault="00AC5CA5" w:rsidP="00AC5CA5">
      <w:pPr>
        <w:pStyle w:val="Textoindependiente"/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820"/>
        <w:gridCol w:w="2522"/>
        <w:gridCol w:w="1515"/>
      </w:tblGrid>
      <w:tr w:rsidR="000E5AAE" w:rsidRPr="00BC2D8F" w14:paraId="46FA8BF8" w14:textId="77777777" w:rsidTr="000A22D5">
        <w:trPr>
          <w:trHeight w:val="315"/>
          <w:tblHeader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406F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2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1D05C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Actividad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72A1E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739A7D" w14:textId="346F7E2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Fecha</w:t>
            </w:r>
            <w:r w:rsidR="00896CB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 xml:space="preserve"> límite</w:t>
            </w:r>
          </w:p>
        </w:tc>
      </w:tr>
      <w:tr w:rsidR="000E5AAE" w:rsidRPr="00BC2D8F" w14:paraId="3689873A" w14:textId="77777777" w:rsidTr="000A22D5">
        <w:trPr>
          <w:trHeight w:val="123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8BC7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0D3C" w14:textId="3CA69E6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 información acerca de contratos de suministro y transporte vigentes registrados </w:t>
            </w:r>
            <w:r w:rsidR="00BA24A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ante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Gestor del Mercado.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9CA0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A25D" w14:textId="02F33BDE" w:rsidR="00BC2D8F" w:rsidRPr="00BC2D8F" w:rsidRDefault="00F45CF7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D91B7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1E9D8869" w14:textId="77777777" w:rsidTr="000A22D5">
        <w:trPr>
          <w:trHeight w:val="2399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93C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60F0" w14:textId="639F9A6B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</w:t>
            </w:r>
            <w:r w:rsidR="00912E59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al Gestor del Mercado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cantidades anticipadas de excedentes de gas </w:t>
            </w:r>
            <w:r w:rsidR="00912E59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por fuente</w:t>
            </w:r>
            <w:r w:rsidR="00912E59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y su precio de reserva</w:t>
            </w:r>
            <w:r w:rsidR="00912E59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ser comercializad</w:t>
            </w:r>
            <w:r w:rsidR="00D91B7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 mediante subastas de contratos bimestrales,</w:t>
            </w:r>
            <w:r w:rsidR="00912E59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B0E0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CE297" w14:textId="33DB424B" w:rsidR="00BC2D8F" w:rsidRPr="00BC2D8F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11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7136144B" w14:textId="77777777" w:rsidTr="000A22D5">
        <w:trPr>
          <w:trHeight w:val="18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D78C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7E08F" w14:textId="34C6A80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la oferta PTDVF y CIDVF,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ED1D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E72E9" w14:textId="2BA08656" w:rsidR="00724E36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/07/202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  <w:p w14:paraId="4FEA7923" w14:textId="142F4248" w:rsidR="00BC2D8F" w:rsidRPr="00BC2D8F" w:rsidRDefault="00724E3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(fecha única)</w:t>
            </w:r>
          </w:p>
        </w:tc>
      </w:tr>
      <w:tr w:rsidR="000E5AAE" w:rsidRPr="00BC2D8F" w14:paraId="1D2F4904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869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4187" w14:textId="4CDD838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definitiva de la oferta PTDVF y CIDVF,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artículo 22 de la Resolución CREG 186 de 2020 y demás regulación vigente en la fecha de la declaración del numeral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A19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24F0C" w14:textId="52EB9480" w:rsidR="00BC2D8F" w:rsidRPr="00BC2D8F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1FE90D04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E72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E489" w14:textId="357345B0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cantidades anticipadas de excedentes de gas a ser comercializad</w:t>
            </w:r>
            <w:r w:rsidR="00D91B7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s mediante subastas de contratos bimestrales,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Parágrafo 1 del Artículo 5 de la Resolución CREG 136 de 2014, adicionado por la Resolución CREG 005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25C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4896E" w14:textId="7A0E42D9" w:rsidR="00BC2D8F" w:rsidRPr="00BC2D8F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4730E5" w:rsidRPr="00BC2D8F" w14:paraId="0B6F2D38" w14:textId="77777777" w:rsidTr="000A22D5">
        <w:trPr>
          <w:trHeight w:val="116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18064" w14:textId="44303EAF" w:rsidR="00D91B7A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6E25" w14:textId="0ED75564" w:rsidR="00D91B7A" w:rsidRPr="00BC2D8F" w:rsidRDefault="00D91B7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las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negociaciones directas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establecidas en el Artículo 22 de la Resolución CREG 186 de 2020 </w:t>
            </w:r>
            <w:r w:rsidR="00A73321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y demás regulación vigente.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57FC" w14:textId="7415E4CF" w:rsidR="00D91B7A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13085" w14:textId="7A0B12A4" w:rsidR="00D91B7A" w:rsidRPr="009A0717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29/07/2024</w:t>
            </w:r>
          </w:p>
        </w:tc>
      </w:tr>
      <w:tr w:rsidR="000E5AAE" w:rsidRPr="00BC2D8F" w14:paraId="00F419D9" w14:textId="77777777" w:rsidTr="000A22D5">
        <w:trPr>
          <w:trHeight w:val="209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13F1" w14:textId="2F8500A5" w:rsidR="00BC2D8F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D4F3" w14:textId="032D474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Inicio de registro de contratos de gas de largo plazo a los que se hace referencia en el artículo 22 de la Resolución CREG 186 de 2020 y demás regulación vigente en la fecha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del registro del contrato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444B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E3A01" w14:textId="190C370B" w:rsidR="00BC2D8F" w:rsidRPr="009A0717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  <w:r w:rsidR="00BC2D8F" w:rsidRPr="009A0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9A0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BC2D8F" w:rsidRPr="009A0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0E5AAE" w:rsidRPr="00BC2D8F" w14:paraId="04DA8143" w14:textId="77777777" w:rsidTr="000A22D5">
        <w:trPr>
          <w:trHeight w:val="188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595F" w14:textId="0B7AB80E" w:rsidR="00BC2D8F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6C8D" w14:textId="472F7877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la CREG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el(los) reglamento(s) de las subastas de productos C1 y C2</w:t>
            </w:r>
            <w:r w:rsidR="009B403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,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</w:t>
            </w:r>
            <w:r w:rsidR="00EC082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c) del 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36C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CB5E3" w14:textId="69177413" w:rsidR="001E0356" w:rsidRPr="00BC2D8F" w:rsidRDefault="00BC2D8F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282E6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3BA2CF3E" w14:textId="77777777" w:rsidTr="000A22D5">
        <w:trPr>
          <w:trHeight w:val="159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FCBA" w14:textId="09DDED19" w:rsidR="00AA1AA3" w:rsidRDefault="00010A7C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B3FB7" w14:textId="7D3CC67D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 de los textos de los contratos C1 y C2 de los vendedores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lo dispuesto en el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a)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828A5" w14:textId="1F97A498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C21A0" w14:textId="2F72FB17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E4BEEF7" w14:textId="77777777" w:rsidTr="000A22D5">
        <w:trPr>
          <w:trHeight w:val="159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DA45E" w14:textId="7997A094" w:rsidR="00BC2D8F" w:rsidRPr="00BC2D8F" w:rsidRDefault="00010A7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7951C" w14:textId="5800FDF3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auditor de las subastas</w:t>
            </w:r>
            <w:r w:rsidR="009B403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</w:t>
            </w:r>
            <w:r w:rsidR="00EC082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f)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24F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E1D8ED" w14:textId="15FD3F52" w:rsidR="00BC2D8F" w:rsidRPr="00BC2D8F" w:rsidRDefault="00282E6A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14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1E035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0E5AAE" w:rsidRPr="00BC2D8F" w14:paraId="29D0A046" w14:textId="77777777" w:rsidTr="000A22D5">
        <w:trPr>
          <w:trHeight w:val="125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B3EAB" w14:textId="7794E31E" w:rsidR="00BC2D8F" w:rsidRPr="00BC2D8F" w:rsidRDefault="00A73321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010A7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FDDCB" w14:textId="10639969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subastador</w:t>
            </w:r>
            <w:r w:rsidR="009B403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479C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el </w:t>
            </w:r>
            <w:r w:rsidR="00EC082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g)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8D03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88EF2" w14:textId="703E02C5" w:rsidR="001E0356" w:rsidRPr="00BC2D8F" w:rsidRDefault="00D3663C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14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/08/202</w:t>
            </w:r>
            <w:r w:rsidR="00A7332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01733E17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16669" w14:textId="35B31BF3" w:rsidR="00AA1AA3" w:rsidRPr="00BC2D8F" w:rsidRDefault="00010A7C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A0D7" w14:textId="1E6AD39A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Cierre d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 registro de contratos de gas de largo plazo a los que hace referencia el artículo 22 de la Resolución CREG 186 de 2020 y demás regulación vigente en la fecha de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registro del contrato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111A7" w14:textId="03447BF3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y vendedores a que hacen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62701" w14:textId="7553CF8F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21</w:t>
            </w:r>
            <w:r w:rsidRPr="009A0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9A0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479F0DCC" w14:textId="77777777" w:rsidTr="000A22D5">
        <w:trPr>
          <w:trHeight w:val="182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C541B" w14:textId="2BD3CF06" w:rsidR="00AA1AA3" w:rsidRPr="00BC2D8F" w:rsidRDefault="00010A7C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7C15" w14:textId="1E529578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en el BEC de los resultados agregados de la comercialización de contratos de largo plazo a los que hacen referencia el artículo 22 de la Resolución CREG 186 de 2020 y demás regulación vigente en la fecha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máxima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registro de los contratos </w:t>
            </w:r>
            <w:r w:rsidRPr="00201DD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del numeral </w:t>
            </w:r>
            <w:r w:rsidR="00201DD5" w:rsidRPr="00201DD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  <w:r w:rsidRPr="00201DD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BF729" w14:textId="26FE8B14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del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5CF50" w14:textId="0E2A46E0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742D55" w:rsidRPr="00BC2D8F" w14:paraId="7EF8D553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C236" w14:textId="43CC7FA2" w:rsidR="00742D55" w:rsidRDefault="00742D55" w:rsidP="00742D5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8804A" w14:textId="0F1E8C22" w:rsidR="00742D55" w:rsidRPr="00BC2D8F" w:rsidRDefault="00742D55" w:rsidP="00742D5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nvío al Gestor del Mercado de criterios objetivos para la verificación de idoneidad de compradores y vendedores que participen en la comercialización mediante subasta, conforme a lo dispuesto en los numerales 5.12 y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E5538" w14:textId="21F2BAB6" w:rsidR="00742D55" w:rsidRPr="00BC2D8F" w:rsidRDefault="00742D55" w:rsidP="00742D5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84A58" w14:textId="4DCDA8C9" w:rsidR="00742D55" w:rsidRDefault="00742D55" w:rsidP="00742D5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840C7E" w:rsidRPr="00BC2D8F" w14:paraId="4C354C39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2195A" w14:textId="70BC5094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35F53" w14:textId="7E68C69E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Emisión de no objeción de la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CREG a los reglamentos de las subastas de productos C1 y C2, conforme a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dispuesto en 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literal c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CAD86" w14:textId="1498A186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69B444" w14:textId="1A0163FC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6D31E47E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A1423" w14:textId="6819C14A" w:rsidR="00457A00" w:rsidRPr="00BC2D8F" w:rsidRDefault="006F46D9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5A62" w14:textId="1CB585B8" w:rsidR="00457A00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los textos de los contratos C1 y C2 de los vendedores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lo dispuesto en el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literal a) del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2901" w14:textId="7AD7B686" w:rsidR="00457A00" w:rsidRPr="00BC2D8F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050F89" w14:textId="15516FE3" w:rsidR="001E0356" w:rsidRDefault="006A3AF0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25F06200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9AEE" w14:textId="43CDAEBA" w:rsidR="00457A00" w:rsidRPr="00BC2D8F" w:rsidRDefault="006F46D9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F5854" w14:textId="58DE0C75" w:rsidR="00457A00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ublicación de criterios objetivos para la verificación de idoneidad de compradores y vendedores que participen en la comercialización mediante subasta, conforme a lo dispuesto en los numerales 5.12 y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6D60" w14:textId="5990DAAA" w:rsidR="00457A00" w:rsidRPr="00BC2D8F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CD411" w14:textId="29D61787" w:rsidR="001E0356" w:rsidRDefault="006A3AF0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558F0919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12850" w14:textId="6B62CB8C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2DC0" w14:textId="4E9AF788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Definición e información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del instrumento fiduciario mediante el cual se administrarán los mecanismos de cubrimiento de participación de las subastas de productos C1 y C2, conforme a lo dispuesto en el literal h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BEA6E" w14:textId="2A16F62C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D42F8" w14:textId="7E3A9E41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840C7E" w:rsidRPr="00BC2D8F" w14:paraId="6ECD5A55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508E8" w14:textId="368CEFF9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8F09" w14:textId="26C0CBC6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Disposición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los sistemas de las subastas de productos C1 y C2, conforme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 establecido en 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literal a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358B" w14:textId="4D562AEB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39F733" w14:textId="7DCB7839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7980919F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EA3FA" w14:textId="106F0D17" w:rsidR="00AA1AA3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5906E" w14:textId="02E5D9C4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los participantes de las subastas acerca de los mecanismos de contingencia ante fallas del sistema de las subastas C1 y C2, conforme a lo dispuesto en el numeral 4.7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280F0" w14:textId="46DFEE92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E93AC5" w14:textId="6C11B431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201DD5" w:rsidRPr="00BC2D8F" w14:paraId="0EA39BEE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46F8F" w14:textId="37C6C7CC" w:rsidR="00201DD5" w:rsidRDefault="00840C7E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8A919" w14:textId="4BE14616" w:rsidR="00201DD5" w:rsidRPr="00BC2D8F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Solicitud de reserva de gas conforme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C1081" w14:textId="1C4A8EF7" w:rsidR="00201DD5" w:rsidRPr="00BC2D8F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Comercializadores que atienden usuarios regulados y decidan reservar volúmenes de gas para la atención de esa demanda.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1F868" w14:textId="735B4C74" w:rsidR="00201DD5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2D424611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73DF" w14:textId="4935C4F0" w:rsidR="00AA1AA3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51178" w14:textId="205582FD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Adjudicación de reserva de gas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C122B" w14:textId="0B8EF5CF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Gestor de Mercado.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41D2D7" w14:textId="0678CE22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26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 (fecha única)</w:t>
            </w:r>
          </w:p>
        </w:tc>
      </w:tr>
      <w:tr w:rsidR="00AA1AA3" w:rsidRPr="00BC2D8F" w14:paraId="1EED28D2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E15AA" w14:textId="26C88C0A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EE13" w14:textId="0DDCFADC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egistro de contratos de reserva de gas, conforme a lo dispuesto en el literal A del artículo 23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74E82" w14:textId="71908B55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a los que hace referencia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B9197" w14:textId="513E2BAC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27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BC3311F" w14:textId="77777777" w:rsidTr="000A22D5">
        <w:trPr>
          <w:trHeight w:val="21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8D939" w14:textId="060A03E5" w:rsidR="00457A00" w:rsidRPr="00BC2D8F" w:rsidRDefault="00010A7C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2478E" w14:textId="7B8F650D" w:rsidR="00457A00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una auditoría operativa y de los sistemas de las subastas de productos C1 y C2, conforme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 lo dispuesto en 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literal b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00959" w14:textId="472495C3" w:rsidR="00457A00" w:rsidRPr="00BC2D8F" w:rsidRDefault="00457A00" w:rsidP="00457A0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3716C" w14:textId="416F3CB1" w:rsidR="001E0356" w:rsidRDefault="006A3AF0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457A00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205A70C7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2C8F4" w14:textId="52F7D709" w:rsidR="00544844" w:rsidRPr="00BC2D8F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06F1" w14:textId="4B5F8BC5" w:rsidR="00544844" w:rsidRPr="00BC2D8F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 garantías de participación por parte de los participantes de las subastas de productos C1 y C2, conforme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 lo dispuesto en 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numeral 4.1.5. del Anexo de la Resolución CREG 065 de 2015, modificada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1E45" w14:textId="2B81EC0B" w:rsidR="00544844" w:rsidRPr="00BC2D8F" w:rsidRDefault="00544844" w:rsidP="0054484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52B49" w14:textId="637818E2" w:rsidR="009A4F59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</w:t>
            </w:r>
            <w:r w:rsidR="00544844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544844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64276A43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BB78" w14:textId="14CA7B11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51" w14:textId="698C2E7A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vendedores de precios de reserva de productos C1 y C2,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literal b</w:t>
            </w:r>
            <w:r w:rsidR="00EC082A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numeral 4.5 del Anexo 4 de la Resolución CREG 186 de 2020.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9449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de quienes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50682" w14:textId="115F73FD" w:rsidR="001E0356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E2D31C9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7FA7" w14:textId="4A40326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186A" w14:textId="0941CF3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al administrador de las subastas de la oferta para productos C1,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5FD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de quienes hace referencia el Artículo 16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645B6" w14:textId="15F17B3E" w:rsidR="001E0356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3B3121DF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9740" w14:textId="2B0808A9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6B08" w14:textId="318CFFE5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interés de compradores al administrador de las subastas,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0A9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los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1113CB" w14:textId="66D98279" w:rsidR="001E0356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51D278D" w14:textId="77777777" w:rsidTr="000A22D5">
        <w:trPr>
          <w:trHeight w:val="173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6794" w14:textId="50B8FD6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6B90" w14:textId="4EACF86A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Envío a las autoridades competentes de un documento sobre los participantes de las subastas de productos C1 y C2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 el </w:t>
            </w:r>
            <w:r w:rsidR="007422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j)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4.1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422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A1D91" w14:textId="44D8CD75" w:rsidR="001E0356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06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="00911B9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756D9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39630F09" w14:textId="77777777" w:rsidTr="000A22D5">
        <w:trPr>
          <w:trHeight w:val="12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514B" w14:textId="22C17A66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9ADE" w14:textId="099ECC61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 subasta de productos C1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EA6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82A791" w14:textId="36545166" w:rsidR="00BC2D8F" w:rsidRPr="00BC2D8F" w:rsidRDefault="004730E5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13</w:t>
            </w:r>
            <w:r w:rsidR="00BC2D8F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/0</w:t>
            </w:r>
            <w:r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76884217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B04D" w14:textId="6F58CD5A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4041" w14:textId="1E44C106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del informe de auditoría de la subasta de producto C1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 el </w:t>
            </w:r>
            <w:r w:rsidR="007422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g)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E5F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2A799D" w14:textId="4C4EECCD" w:rsidR="001E0356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17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322BC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224F115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6630" w14:textId="71AF9546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6C3" w14:textId="5BF68669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del informe del auditor de la subasta de productos C1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 el </w:t>
            </w:r>
            <w:r w:rsidR="007422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literal g) del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F33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7967C" w14:textId="32A246F9" w:rsidR="00BC2D8F" w:rsidRPr="00BC2D8F" w:rsidRDefault="004730E5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45FA311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8AE6" w14:textId="79ABF18D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4BFB" w14:textId="6D89DD1E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contratos C1 ante el Gestor del Mercado, conforme a lo dispuesto en el numeral 5.12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BF6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 de que tratan los artículos 16 y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A99EB" w14:textId="0ADF5283" w:rsidR="001E0356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420A0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17CF782A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1B24" w14:textId="4C70BEB6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08C0" w14:textId="007F70EB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Determinación y notificación de producto C2 para cada uno de los vendedores,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7677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695A" w14:textId="346D1D7E" w:rsidR="00AF7D71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0E5AA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AFCA1C0" w14:textId="77777777" w:rsidTr="000A22D5">
        <w:trPr>
          <w:trHeight w:val="2023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AE44" w14:textId="6F80614E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35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Cálculo y publicación del porcentaje de firmeza mínima de los contratos de suministro C2, para cada vendedor y por cada campo o punto de entrada, conforme a lo dispuesto en el numeral 6.4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9428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E2C0C" w14:textId="51915A6B" w:rsidR="004B3865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0E5AA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84ACE4D" w14:textId="77777777" w:rsidTr="000A22D5">
        <w:trPr>
          <w:trHeight w:val="217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10F9" w14:textId="4BC2E592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1293" w14:textId="154208E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Declaración de los compradores acerca de la cantidad máxima de energía que están dispuestos a comprar al Administrador de la Subasta de producto C2,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6.5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5D6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000C8" w14:textId="50468CB1" w:rsidR="004B3865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26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0E5AA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2CE60E34" w14:textId="77777777" w:rsidTr="000A22D5">
        <w:trPr>
          <w:trHeight w:val="12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2B0C" w14:textId="5ADD6D1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6BB6" w14:textId="3F2BFAD1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Realización de </w:t>
            </w:r>
            <w:r w:rsidR="00896C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la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subasta de producto C2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04CC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FDFB6" w14:textId="3ECB21A4" w:rsidR="00BC2D8F" w:rsidRPr="00BC2D8F" w:rsidRDefault="004730E5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27</w:t>
            </w:r>
            <w:r w:rsidR="00BC2D8F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 w:rsidR="00042089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D27AC6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</w:t>
            </w:r>
            <w:r w:rsidR="00724E3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única)</w:t>
            </w:r>
          </w:p>
        </w:tc>
      </w:tr>
      <w:tr w:rsidR="000E5AAE" w:rsidRPr="00BC2D8F" w14:paraId="42889763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BA681" w14:textId="2F73B9C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F4C87" w14:textId="23CA75F2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del informe de auditoría de la subasta de producto C2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en 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8A38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F5D8BD" w14:textId="3D9049A1" w:rsidR="004B3865" w:rsidRPr="00BC2D8F" w:rsidRDefault="004730E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02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423BDB8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48ACF" w14:textId="09129570" w:rsidR="00BC2D8F" w:rsidRPr="00BC2D8F" w:rsidRDefault="00010A7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DD282" w14:textId="215D669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del informe del auditor de la subasta de producto C2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4.2 del Anexo 4 de la Resolución CREG 186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19E9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76D838" w14:textId="2DD21558" w:rsidR="00F07944" w:rsidRDefault="004730E5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03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  <w:p w14:paraId="1FC282E1" w14:textId="46F7B8B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</w:t>
            </w:r>
          </w:p>
        </w:tc>
      </w:tr>
      <w:tr w:rsidR="00AA1AA3" w:rsidRPr="00BC2D8F" w14:paraId="3A3379CC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6A3CF" w14:textId="6C1D33A3" w:rsidR="00AA1AA3" w:rsidRPr="00BC2D8F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40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6FE5C" w14:textId="07D4D4F7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Remisión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la CREG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los reglamentos de las subastas del proceso de Úselo o Véndalo de Largo Plazo para obtener su concepto de no objeción, conforme a lo dispuesto en el literal c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F82B" w14:textId="0AFACB52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58747" w14:textId="63656B78" w:rsidR="00AA1AA3" w:rsidRPr="00BC2D8F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35E452D1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0902" w14:textId="6FC7C07A" w:rsidR="00AA1AA3" w:rsidRPr="00BC2D8F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4FFD" w14:textId="1AE52F27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egistro de contratos de productos C2 ante el Gestor del Mercado,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6.12 del Anexo 4 de la Resolución CREG 186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9AF1" w14:textId="654EA53C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Vendedores y Compradores de que tratan los artículos 16 y 17 de la Resolución CREG 186 de 2020.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15D6F5" w14:textId="5436B382" w:rsidR="00AA1AA3" w:rsidRPr="00BC2D8F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6A9F4D1F" w14:textId="77777777" w:rsidTr="000A22D5">
        <w:trPr>
          <w:trHeight w:val="145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1F65C" w14:textId="419857A7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5224F" w14:textId="08B655E6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Contratación del auditor de las subastas del proceso de Úselo o Véndalo de Largo Plazo, conforme a lo dispuesto en el literal f</w:t>
            </w:r>
            <w:r w:rsidR="008D304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DFFB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1C355" w14:textId="0981D0DF" w:rsidR="004B3865" w:rsidRPr="00BC2D8F" w:rsidRDefault="00BC2D8F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F15717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737F948" w14:textId="77777777" w:rsidTr="000A22D5">
        <w:trPr>
          <w:trHeight w:val="159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BA277" w14:textId="788CC0C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B14F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Declaración de información de contratos de suministro y capacidad de transporte, conforme a lo dispuesto en el numeral 5.4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E3C3" w14:textId="43251053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lo definido en el Artículo 17 de la Resolución CREG 186 de 2020.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435FD" w14:textId="3E2E18FF" w:rsidR="004B3865" w:rsidRPr="00BC2D8F" w:rsidRDefault="00B3171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17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0F3B5B5C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B8D3F" w14:textId="53824D82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A045" w14:textId="0D2F1E4A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Publicación de capacidad excedentaria de transporte para cada una de las rutas y por cada uno de los titulares de dicha capacidad, conforme a lo dispuesto en el literal p)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6F9" w14:textId="63A9C5A3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3E455" w14:textId="27B3F797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60E94DAD" w14:textId="77777777" w:rsidTr="00201DD5">
        <w:trPr>
          <w:trHeight w:val="140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CA106" w14:textId="7B513FCC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63C2" w14:textId="5D3B12BF" w:rsidR="00AA1AA3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Presentación de comentarios de la capacidad excedentaria publicada, conforme a lo dispuesto en el literal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g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 numeral 4.4 de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 Anexo 4 de la Resolución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CREG 185 de 2020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7A0" w14:textId="4E647BE7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Vendedores y compradores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A0046" w14:textId="237A58F8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23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AA1AA3" w:rsidRPr="00BC2D8F" w14:paraId="028361C1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5D44A" w14:textId="42D7995C" w:rsidR="00AA1AA3" w:rsidRPr="00BC2D8F" w:rsidRDefault="00010A7C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110C" w14:textId="73D8975A" w:rsidR="00AA1AA3" w:rsidRDefault="00840C7E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Recepción y a</w:t>
            </w:r>
            <w:r w:rsidR="00AA1AA3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tención de los comentarios de la capacidad excedentaria enviados por los vendedores y compradores, conforme a lo dispuesto en el literal q)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BE12" w14:textId="569BB81D" w:rsidR="00AA1AA3" w:rsidRPr="00BC2D8F" w:rsidRDefault="00AA1AA3" w:rsidP="00AA1AA3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A881AB" w14:textId="2BAC3125" w:rsidR="00AA1AA3" w:rsidRDefault="00AA1AA3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24/10/2024</w:t>
            </w:r>
          </w:p>
        </w:tc>
      </w:tr>
      <w:tr w:rsidR="00201DD5" w:rsidRPr="00BC2D8F" w14:paraId="38EFD79A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D4BCC" w14:textId="3888191D" w:rsidR="00201DD5" w:rsidRPr="00BC2D8F" w:rsidRDefault="00010A7C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18675" w14:textId="6B65F7E4" w:rsidR="00201DD5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Ajustes y publicación de capacidad excedentaria de transporte para cada una de las rutas y por cada uno de los titulares de dicha capacidad, conforme a lo dispuesto en el literal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01CEF" w14:textId="41E3CCDB" w:rsidR="00201DD5" w:rsidRPr="00BC2D8F" w:rsidRDefault="00201DD5" w:rsidP="00201DD5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2BBEA" w14:textId="7DDD3E4E" w:rsidR="00201DD5" w:rsidRDefault="00201DD5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70D7A91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3F36" w14:textId="000BD71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  <w:p w14:paraId="2F7CBE6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4432" w14:textId="7B5DA036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listamiento del sistema de las subastas del proceso de Úselo o Véndalo de Largo Plazo y su disponibilidad, conforme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 lo dispuesto en e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literal a) del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F21E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17EE2" w14:textId="42B39162" w:rsidR="00344CB2" w:rsidRPr="00BC2D8F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20A83534" w14:textId="77777777" w:rsidTr="000A22D5">
        <w:trPr>
          <w:trHeight w:val="217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3FE0A" w14:textId="02E89B94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BF18" w14:textId="0C84F175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los participantes de las subastas acerca de los mecanismos de contingencia ante fallas del sistema de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4.6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C00E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771689" w14:textId="263B0ECD" w:rsidR="00E9119E" w:rsidRPr="00BC2D8F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96A9743" w14:textId="77777777" w:rsidTr="000A22D5">
        <w:trPr>
          <w:trHeight w:val="183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DBE8A" w14:textId="7D7EC39C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3AC3E" w14:textId="738B9F1D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Emisión de no objeción</w:t>
            </w:r>
            <w:r w:rsidR="00896CB8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CREG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los reglamentos de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literal c),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3A6F4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98546" w14:textId="55E0A587" w:rsidR="00E9119E" w:rsidRPr="00BC2D8F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4682400" w14:textId="77777777" w:rsidTr="000A22D5">
        <w:trPr>
          <w:trHeight w:val="74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9AE18" w14:textId="14116F20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51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6AEB" w14:textId="4E9B74D1" w:rsid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Información d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 administrador de la subasta a los participantes de las subastas del proceso de Úselo o Véndalo de largo plazo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relacionada con los instrumentos fiduciarios,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6 del Anexo 4 de la Resolución CREG 185 de 2020.</w:t>
            </w:r>
          </w:p>
          <w:p w14:paraId="14D8B6DF" w14:textId="77777777" w:rsidR="0018758F" w:rsidRPr="00BC2D8F" w:rsidRDefault="001875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4EEB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51520" w14:textId="0A937448" w:rsidR="00E9119E" w:rsidRPr="00BC2D8F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25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/10/202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840C7E" w:rsidRPr="00BC2D8F" w14:paraId="04E1752A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63F7A" w14:textId="22CF1012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F3B5" w14:textId="463196BF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Entrega de garantías de participación por parte de los compradores que participarán de las subastas del proceso de úselo o véndalo de largo plazo, conforme a lo dispuesto en el numeral 5.1.4. del Anexo de la Resolución CREG 065 de 2015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05B4" w14:textId="7770EBC2" w:rsidR="00840C7E" w:rsidRPr="00BC2D8F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que hacen referencia el numeral 2 del Anexo 4 de la Resolución CREG 185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67E8B" w14:textId="42117187" w:rsidR="00840C7E" w:rsidRDefault="00840C7E" w:rsidP="00840C7E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1D7B1678" w14:textId="77777777" w:rsidTr="000A22D5">
        <w:trPr>
          <w:trHeight w:val="15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F6C15" w14:textId="5CB702EA" w:rsidR="00BC2D8F" w:rsidRPr="00BC2D8F" w:rsidRDefault="00C41195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2822" w14:textId="2FA1BCC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Realización una auditoría operativa y de los sistemas de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literal h</w:t>
            </w:r>
            <w:r w:rsidR="00297C2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,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9DA2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D50A2" w14:textId="75CB128C" w:rsidR="00344CB2" w:rsidRPr="00BC2D8F" w:rsidRDefault="00F15717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31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 w:rsidR="00344CB2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3A3AC9F7" w14:textId="77777777" w:rsidTr="000A22D5">
        <w:trPr>
          <w:trHeight w:val="190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0B00B" w14:textId="034A332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89B" w14:textId="1C5C5033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Envío a las autoridades competentes de un documento sobre los participantes de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literal i</w:t>
            </w:r>
            <w:r w:rsidR="00297C2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) del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numeral 4.1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1E81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6D7C00" w14:textId="1D2028D4" w:rsidR="00344CB2" w:rsidRPr="00BC2D8F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0A70AAE1" w14:textId="77777777" w:rsidTr="000A22D5">
        <w:trPr>
          <w:trHeight w:val="1677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2EAE2" w14:textId="2143D25E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DE5A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Realización de las subastas del proceso de úselo o véndalo de largo plazo, conforme a lo dispuesto en los numerales 5.7 a 5.10 y 5.12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2572" w14:textId="77777777" w:rsidR="00BC2D8F" w:rsidRPr="00B13BD0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Administrador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7EB19E" w14:textId="2EAF91B3" w:rsidR="00BC2D8F" w:rsidRPr="00B13BD0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15</w:t>
            </w:r>
            <w:r w:rsidR="00BC2D8F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="00724E36" w:rsidRPr="00B13BD0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(fecha única)</w:t>
            </w:r>
          </w:p>
        </w:tc>
      </w:tr>
      <w:tr w:rsidR="000E5AAE" w:rsidRPr="00BC2D8F" w14:paraId="583BFCF1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4139" w14:textId="502FE28F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E620" w14:textId="6C107E6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del informe de auditoría sobre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18DD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Auditor de las subastas.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2F920" w14:textId="5A7D89E6" w:rsidR="00344CB2" w:rsidRPr="00BC2D8F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5159103" w14:textId="77777777" w:rsidTr="000A22D5">
        <w:trPr>
          <w:trHeight w:val="169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8BDC" w14:textId="7A25795B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7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3663" w14:textId="4CF6318C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Publicación del informe de auditoría sobre las subastas del proceso de Úselo o Véndalo de Largo Plazo,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4.2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4809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Dirección Ejecutiva de la CREG.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EE008" w14:textId="53F2C12C" w:rsidR="00BC2D8F" w:rsidRPr="00BC2D8F" w:rsidRDefault="00952406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22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952406" w:rsidRPr="00BC2D8F" w14:paraId="11FFA842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97E7D" w14:textId="3D391C3C" w:rsidR="00952406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4B25" w14:textId="3A586E9D" w:rsidR="00952406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Registro ante el Gestor del Mercado de contratos resultantes de las subastas del proceso de úselo o véndalo de largo plazo, conforme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 lo dispuesto en e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l numeral 5.11 del Anexo 4 de la Resolución CREG 185 de 2020.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73BB" w14:textId="6D985599" w:rsidR="00952406" w:rsidRPr="00BC2D8F" w:rsidRDefault="00952406" w:rsidP="0095240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y vendedores a los que hace referencia el numeral 2 del Anexo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18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8D83A2" w14:textId="5DA85609" w:rsidR="00952406" w:rsidRDefault="00952406" w:rsidP="00B13BD0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41748399" w14:textId="77777777" w:rsidTr="000A22D5">
        <w:trPr>
          <w:trHeight w:val="1886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38DD" w14:textId="4C091DD9" w:rsidR="00BC2D8F" w:rsidRPr="00BC2D8F" w:rsidRDefault="00010A7C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="00840C7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3A2B" w14:textId="5C285B00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capacidad de transporte comercializados,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conforme a lo dispuesto 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en el numeral 5.2 del Anexo de la Resolución CREG 065 de 2015.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7330" w14:textId="4F2CA823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el Artículo </w:t>
            </w:r>
            <w:r w:rsidR="009F7B3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8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18</w:t>
            </w:r>
            <w:r w:rsidR="009F7B3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5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2020.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CE0AF" w14:textId="38DC555F" w:rsidR="00BC2D8F" w:rsidRPr="00BC2D8F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BC2D8F" w14:paraId="758F6ED4" w14:textId="77777777" w:rsidTr="000A22D5">
        <w:trPr>
          <w:trHeight w:val="216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5F3F" w14:textId="3B16E6C1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C57B" w14:textId="77378166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largo plazo de vendedores,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4.3.7 del Anexo de la Resolución CREG 065 de 2015, modificada por la Resolución CREG 120 de 2017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F877" w14:textId="37D706B8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Vendedores a los que hace referencia </w:t>
            </w:r>
            <w:r w:rsidR="008D304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</w:t>
            </w:r>
            <w:r w:rsidR="008D304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de la Resolución CREG </w:t>
            </w:r>
            <w:r w:rsidR="008D304E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186 de 2020</w:t>
            </w: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11A00" w14:textId="63B89658" w:rsidR="00BC2D8F" w:rsidRPr="00BC2D8F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0E5AAE" w:rsidRPr="003F50AD" w14:paraId="6D6B058D" w14:textId="77777777" w:rsidTr="000A22D5">
        <w:trPr>
          <w:trHeight w:val="2286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AC89" w14:textId="0F650D8B" w:rsidR="00BC2D8F" w:rsidRPr="00BC2D8F" w:rsidRDefault="00840C7E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lastRenderedPageBreak/>
              <w:t>61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BE70" w14:textId="3787AAA7" w:rsidR="00BC2D8F" w:rsidRPr="00BC2D8F" w:rsidRDefault="00896CB8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ntrega de las garantías de cumplimiento de los contratos de largo plazo de compradores, </w:t>
            </w:r>
            <w:r w:rsidR="00DF74F6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el numeral 4.3.12 del Anexo de la Resolución CREG 065 de 2015, modificada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B126" w14:textId="77777777" w:rsidR="00BC2D8F" w:rsidRPr="00BC2D8F" w:rsidRDefault="00BC2D8F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Compradores a los que hace referencia el Artículo 17 de la Resolución CREG 186 de 2020.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4F31B4C" w14:textId="52180E87" w:rsidR="00BC2D8F" w:rsidRPr="003F50AD" w:rsidRDefault="00344CB2" w:rsidP="00695B1C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</w:t>
            </w:r>
            <w:r w:rsidR="009F7B31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9</w:t>
            </w:r>
            <w:r w:rsidR="00BC2D8F" w:rsidRPr="00BC2D8F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/11/202</w:t>
            </w:r>
            <w:r w:rsidR="00C4119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4</w:t>
            </w:r>
          </w:p>
        </w:tc>
      </w:tr>
      <w:tr w:rsidR="004C57D2" w:rsidRPr="003F50AD" w14:paraId="0E453D33" w14:textId="77777777" w:rsidTr="000A22D5">
        <w:trPr>
          <w:trHeight w:val="2286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7E121" w14:textId="6AC00C28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62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484EF" w14:textId="1A09513D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Entrega de las garantías de cumplimiento de los contratos de largo plazo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de compradores, 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conforme a lo dispuesto en el numeral 4.2 del Anexo de la Resolución CREG 065 de 2015, modificado por la Resolución CREG 120 de 2017.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4AD74" w14:textId="77777777" w:rsidR="004C57D2" w:rsidRPr="00773235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Compradores a los que hace referencia </w:t>
            </w:r>
            <w:r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el</w:t>
            </w: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 xml:space="preserve"> artículo 17 de la Resolución CREG 186 de</w:t>
            </w:r>
          </w:p>
          <w:p w14:paraId="4B4C8569" w14:textId="6FCF2742" w:rsidR="004C57D2" w:rsidRPr="00BC2D8F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2020.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1A6FD03" w14:textId="7922135F" w:rsidR="004C57D2" w:rsidRDefault="004C57D2" w:rsidP="004C57D2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s-CO"/>
              </w:rPr>
            </w:pPr>
            <w:r w:rsidRPr="00773235">
              <w:rPr>
                <w:rFonts w:asciiTheme="majorHAnsi" w:eastAsia="Times New Roman" w:hAnsiTheme="majorHAnsi" w:cstheme="majorHAnsi"/>
                <w:color w:val="000000"/>
                <w:lang w:eastAsia="es-CO"/>
              </w:rPr>
              <w:t>29/11/2024</w:t>
            </w:r>
          </w:p>
        </w:tc>
      </w:tr>
    </w:tbl>
    <w:p w14:paraId="713319D2" w14:textId="18B2177B" w:rsidR="008066FD" w:rsidRPr="00BA6D78" w:rsidRDefault="008066FD" w:rsidP="00913F4D">
      <w:pPr>
        <w:pStyle w:val="Textoindependiente"/>
        <w:spacing w:after="0" w:line="240" w:lineRule="auto"/>
        <w:rPr>
          <w:rFonts w:cs="Arial"/>
        </w:rPr>
      </w:pPr>
    </w:p>
    <w:sectPr w:rsidR="008066FD" w:rsidRPr="00BA6D78" w:rsidSect="004F5CF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3945" w14:textId="77777777" w:rsidR="003A4B16" w:rsidRDefault="003A4B16" w:rsidP="00AA0519">
      <w:r>
        <w:separator/>
      </w:r>
    </w:p>
  </w:endnote>
  <w:endnote w:type="continuationSeparator" w:id="0">
    <w:p w14:paraId="0F9C53E4" w14:textId="77777777" w:rsidR="003A4B16" w:rsidRDefault="003A4B16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0DA8" w14:textId="58255242" w:rsidR="004F5CFD" w:rsidRDefault="004F5CF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2FFBC22F" w14:textId="0E373B35" w:rsidR="004F5CFD" w:rsidRPr="00C37978" w:rsidRDefault="004F5CF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685554F2" w14:textId="77777777" w:rsidR="004F5CFD" w:rsidRPr="00C37978" w:rsidRDefault="004F5CF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2CA8B9E2" w14:textId="77777777" w:rsidR="004F5CFD" w:rsidRPr="00C37978" w:rsidRDefault="004F5CF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5FEFD124" w:rsidR="00735E1F" w:rsidRDefault="004F5CFD" w:rsidP="004F5CFD"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80CD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bookmarkStart w:id="0" w:name="_Hlk137806203"/>
    <w:r>
      <w:rPr>
        <w:rFonts w:ascii="Helvetica Neue" w:eastAsia="Helvetica Neue" w:hAnsi="Helvetica Neue" w:cs="Helvetica Neue"/>
        <w:b/>
        <w:sz w:val="20"/>
        <w:szCs w:val="20"/>
      </w:rPr>
      <w:t>______________________________________________________________________________</w:t>
    </w:r>
  </w:p>
  <w:p w14:paraId="6F601D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Comisión de Regulación de Energía y Gas</w:t>
    </w:r>
  </w:p>
  <w:p w14:paraId="556604D1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Dirección: Calle 116 No.7 - 15, Bogotá D.C., Colombia</w:t>
    </w:r>
  </w:p>
  <w:p w14:paraId="45D3B0D9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Conmutador: (+57) 601 603 2020</w:t>
    </w:r>
  </w:p>
  <w:p w14:paraId="65345663" w14:textId="77777777" w:rsidR="00497720" w:rsidRDefault="00497720" w:rsidP="00497720">
    <w:pPr>
      <w:spacing w:after="0" w:line="276" w:lineRule="auto"/>
      <w:jc w:val="both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Línea Gratuita: (+57) 01 8000 512734</w:t>
    </w:r>
  </w:p>
  <w:bookmarkEnd w:id="0"/>
  <w:p w14:paraId="726A889B" w14:textId="67777E39" w:rsidR="003F2F4B" w:rsidRDefault="003F2F4B" w:rsidP="003F2F4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24EC" w14:textId="77777777" w:rsidR="003A4B16" w:rsidRDefault="003A4B16" w:rsidP="00AA0519">
      <w:r>
        <w:separator/>
      </w:r>
    </w:p>
  </w:footnote>
  <w:footnote w:type="continuationSeparator" w:id="0">
    <w:p w14:paraId="4194FC24" w14:textId="77777777" w:rsidR="003A4B16" w:rsidRDefault="003A4B16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033A977C" w:rsidR="003F2F4B" w:rsidRPr="008C0A5F" w:rsidRDefault="004F5CFD" w:rsidP="008C0A5F">
    <w:pPr>
      <w:pStyle w:val="Destinario"/>
      <w:spacing w:before="240"/>
      <w:ind w:left="708" w:hanging="708"/>
      <w:rPr>
        <w:sz w:val="22"/>
        <w:szCs w:val="22"/>
      </w:rPr>
    </w:pPr>
    <w:r w:rsidRPr="00497720">
      <w:rPr>
        <w:noProof/>
        <w:sz w:val="22"/>
        <w:szCs w:val="22"/>
      </w:rPr>
      <w:drawing>
        <wp:anchor distT="0" distB="0" distL="114300" distR="114300" simplePos="0" relativeHeight="251662336" behindDoc="0" locked="0" layoutInCell="1" hidden="0" allowOverlap="1" wp14:anchorId="01795D1E" wp14:editId="01394507">
          <wp:simplePos x="0" y="0"/>
          <wp:positionH relativeFrom="margin">
            <wp:posOffset>0</wp:posOffset>
          </wp:positionH>
          <wp:positionV relativeFrom="margin">
            <wp:posOffset>-451485</wp:posOffset>
          </wp:positionV>
          <wp:extent cx="1033145" cy="359410"/>
          <wp:effectExtent l="0" t="0" r="0" b="2540"/>
          <wp:wrapSquare wrapText="bothSides" distT="0" distB="0" distL="114300" distR="114300"/>
          <wp:docPr id="3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7720">
      <w:rPr>
        <w:noProof/>
        <w:sz w:val="22"/>
        <w:szCs w:val="22"/>
      </w:rPr>
      <w:drawing>
        <wp:anchor distT="0" distB="0" distL="114300" distR="114300" simplePos="0" relativeHeight="251663360" behindDoc="0" locked="0" layoutInCell="1" hidden="0" allowOverlap="1" wp14:anchorId="23CA7744" wp14:editId="490934BE">
          <wp:simplePos x="0" y="0"/>
          <wp:positionH relativeFrom="margin">
            <wp:posOffset>4968240</wp:posOffset>
          </wp:positionH>
          <wp:positionV relativeFrom="margin">
            <wp:posOffset>-394666</wp:posOffset>
          </wp:positionV>
          <wp:extent cx="643890" cy="359410"/>
          <wp:effectExtent l="0" t="0" r="3810" b="2540"/>
          <wp:wrapSquare wrapText="bothSides" distT="0" distB="0" distL="114300" distR="114300"/>
          <wp:docPr id="5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4E8D4B12" w:rsidR="00F82573" w:rsidRDefault="004F5CFD" w:rsidP="005B5736">
    <w:pPr>
      <w:pStyle w:val="Encabezado"/>
      <w:tabs>
        <w:tab w:val="clear" w:pos="4419"/>
        <w:tab w:val="left" w:pos="7274"/>
      </w:tabs>
      <w:ind w:right="-1369"/>
    </w:pPr>
    <w:r w:rsidRPr="00497720">
      <w:rPr>
        <w:noProof/>
      </w:rPr>
      <w:drawing>
        <wp:anchor distT="0" distB="0" distL="114300" distR="114300" simplePos="0" relativeHeight="251660288" behindDoc="0" locked="0" layoutInCell="1" hidden="0" allowOverlap="1" wp14:anchorId="1E5F3093" wp14:editId="36BF8B58">
          <wp:simplePos x="0" y="0"/>
          <wp:positionH relativeFrom="margin">
            <wp:posOffset>4920615</wp:posOffset>
          </wp:positionH>
          <wp:positionV relativeFrom="margin">
            <wp:posOffset>-377825</wp:posOffset>
          </wp:positionV>
          <wp:extent cx="643890" cy="359410"/>
          <wp:effectExtent l="0" t="0" r="3810" b="2540"/>
          <wp:wrapSquare wrapText="bothSides" distT="0" distB="0" distL="114300" distR="114300"/>
          <wp:docPr id="2041505643" name="image2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7720">
      <w:rPr>
        <w:noProof/>
      </w:rPr>
      <w:drawing>
        <wp:anchor distT="0" distB="0" distL="114300" distR="114300" simplePos="0" relativeHeight="251659264" behindDoc="0" locked="0" layoutInCell="1" hidden="0" allowOverlap="1" wp14:anchorId="6ECAB9CC" wp14:editId="1D85DE30">
          <wp:simplePos x="0" y="0"/>
          <wp:positionH relativeFrom="margin">
            <wp:posOffset>-47625</wp:posOffset>
          </wp:positionH>
          <wp:positionV relativeFrom="margin">
            <wp:posOffset>-406400</wp:posOffset>
          </wp:positionV>
          <wp:extent cx="1033145" cy="359410"/>
          <wp:effectExtent l="0" t="0" r="0" b="2540"/>
          <wp:wrapSquare wrapText="bothSides" distT="0" distB="0" distL="114300" distR="114300"/>
          <wp:docPr id="2041505642" name="image1.jp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a cara feliz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C1E"/>
    <w:rsid w:val="00010A7C"/>
    <w:rsid w:val="00011EC2"/>
    <w:rsid w:val="00012BA7"/>
    <w:rsid w:val="00015369"/>
    <w:rsid w:val="000224D1"/>
    <w:rsid w:val="00040E20"/>
    <w:rsid w:val="00042089"/>
    <w:rsid w:val="00046BDF"/>
    <w:rsid w:val="00071BA7"/>
    <w:rsid w:val="00074D17"/>
    <w:rsid w:val="00087E56"/>
    <w:rsid w:val="00093709"/>
    <w:rsid w:val="00097A89"/>
    <w:rsid w:val="000A22D5"/>
    <w:rsid w:val="000A4390"/>
    <w:rsid w:val="000B439A"/>
    <w:rsid w:val="000E5AAE"/>
    <w:rsid w:val="000F11F6"/>
    <w:rsid w:val="000F38B4"/>
    <w:rsid w:val="00107909"/>
    <w:rsid w:val="001215BB"/>
    <w:rsid w:val="00124C31"/>
    <w:rsid w:val="001272BE"/>
    <w:rsid w:val="0014353D"/>
    <w:rsid w:val="0015041E"/>
    <w:rsid w:val="00153977"/>
    <w:rsid w:val="00153BE7"/>
    <w:rsid w:val="0018758F"/>
    <w:rsid w:val="001E0356"/>
    <w:rsid w:val="001E2DD2"/>
    <w:rsid w:val="001F303A"/>
    <w:rsid w:val="001F47AB"/>
    <w:rsid w:val="00201DD5"/>
    <w:rsid w:val="00212267"/>
    <w:rsid w:val="002406B0"/>
    <w:rsid w:val="0024085D"/>
    <w:rsid w:val="00282E6A"/>
    <w:rsid w:val="002928E4"/>
    <w:rsid w:val="00297C25"/>
    <w:rsid w:val="002B6097"/>
    <w:rsid w:val="002C0D58"/>
    <w:rsid w:val="002C26C3"/>
    <w:rsid w:val="002C606F"/>
    <w:rsid w:val="00322BC1"/>
    <w:rsid w:val="00324760"/>
    <w:rsid w:val="00344A59"/>
    <w:rsid w:val="00344CB2"/>
    <w:rsid w:val="00353D1D"/>
    <w:rsid w:val="0035632E"/>
    <w:rsid w:val="00356A25"/>
    <w:rsid w:val="00361896"/>
    <w:rsid w:val="00361DFF"/>
    <w:rsid w:val="0038014E"/>
    <w:rsid w:val="003A4B16"/>
    <w:rsid w:val="003A7FC9"/>
    <w:rsid w:val="003B1FEC"/>
    <w:rsid w:val="003C7E1C"/>
    <w:rsid w:val="003E2D6B"/>
    <w:rsid w:val="003F2F4B"/>
    <w:rsid w:val="00401E61"/>
    <w:rsid w:val="004142B1"/>
    <w:rsid w:val="004170AF"/>
    <w:rsid w:val="00420A05"/>
    <w:rsid w:val="00456720"/>
    <w:rsid w:val="00456EEA"/>
    <w:rsid w:val="00457A00"/>
    <w:rsid w:val="00457CC2"/>
    <w:rsid w:val="004730E5"/>
    <w:rsid w:val="00483D6B"/>
    <w:rsid w:val="00497720"/>
    <w:rsid w:val="004A38C1"/>
    <w:rsid w:val="004A6CAB"/>
    <w:rsid w:val="004B3865"/>
    <w:rsid w:val="004B4D4F"/>
    <w:rsid w:val="004C0855"/>
    <w:rsid w:val="004C2412"/>
    <w:rsid w:val="004C57D2"/>
    <w:rsid w:val="004C69B7"/>
    <w:rsid w:val="004D37FD"/>
    <w:rsid w:val="004E017D"/>
    <w:rsid w:val="004F5CFD"/>
    <w:rsid w:val="00515BEF"/>
    <w:rsid w:val="0053330D"/>
    <w:rsid w:val="00544844"/>
    <w:rsid w:val="005604AC"/>
    <w:rsid w:val="00561E52"/>
    <w:rsid w:val="005678F9"/>
    <w:rsid w:val="005723D7"/>
    <w:rsid w:val="0057638B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97322"/>
    <w:rsid w:val="006A3AF0"/>
    <w:rsid w:val="006E1726"/>
    <w:rsid w:val="006E22E8"/>
    <w:rsid w:val="006F401D"/>
    <w:rsid w:val="006F46D9"/>
    <w:rsid w:val="00717096"/>
    <w:rsid w:val="007247FF"/>
    <w:rsid w:val="00724E36"/>
    <w:rsid w:val="00732E53"/>
    <w:rsid w:val="00735E1F"/>
    <w:rsid w:val="0074199A"/>
    <w:rsid w:val="007422B8"/>
    <w:rsid w:val="00742D55"/>
    <w:rsid w:val="00752DEC"/>
    <w:rsid w:val="00756D98"/>
    <w:rsid w:val="00762CBD"/>
    <w:rsid w:val="00763D12"/>
    <w:rsid w:val="00766D22"/>
    <w:rsid w:val="0078044B"/>
    <w:rsid w:val="0078631A"/>
    <w:rsid w:val="007A7C1D"/>
    <w:rsid w:val="007C73B0"/>
    <w:rsid w:val="007F42E3"/>
    <w:rsid w:val="007F4E31"/>
    <w:rsid w:val="008066FD"/>
    <w:rsid w:val="008071CC"/>
    <w:rsid w:val="008112C4"/>
    <w:rsid w:val="00823401"/>
    <w:rsid w:val="00835FFD"/>
    <w:rsid w:val="00840C7E"/>
    <w:rsid w:val="00847F9E"/>
    <w:rsid w:val="00847FE4"/>
    <w:rsid w:val="00851BC8"/>
    <w:rsid w:val="008717FF"/>
    <w:rsid w:val="008776E3"/>
    <w:rsid w:val="00896CB8"/>
    <w:rsid w:val="008A0AF4"/>
    <w:rsid w:val="008B0943"/>
    <w:rsid w:val="008C0A5F"/>
    <w:rsid w:val="008C5DE9"/>
    <w:rsid w:val="008D304E"/>
    <w:rsid w:val="00902889"/>
    <w:rsid w:val="00911B91"/>
    <w:rsid w:val="00912E59"/>
    <w:rsid w:val="00913F4D"/>
    <w:rsid w:val="00930F73"/>
    <w:rsid w:val="00952406"/>
    <w:rsid w:val="00957BE3"/>
    <w:rsid w:val="00976702"/>
    <w:rsid w:val="00993610"/>
    <w:rsid w:val="009A0717"/>
    <w:rsid w:val="009A3312"/>
    <w:rsid w:val="009A4F59"/>
    <w:rsid w:val="009B4037"/>
    <w:rsid w:val="009C0EBF"/>
    <w:rsid w:val="009E7865"/>
    <w:rsid w:val="009F3478"/>
    <w:rsid w:val="009F5428"/>
    <w:rsid w:val="009F7B31"/>
    <w:rsid w:val="00A15CDD"/>
    <w:rsid w:val="00A15D55"/>
    <w:rsid w:val="00A23629"/>
    <w:rsid w:val="00A50843"/>
    <w:rsid w:val="00A73321"/>
    <w:rsid w:val="00A74DF2"/>
    <w:rsid w:val="00A84924"/>
    <w:rsid w:val="00A90A86"/>
    <w:rsid w:val="00A92B44"/>
    <w:rsid w:val="00AA0519"/>
    <w:rsid w:val="00AA1AA3"/>
    <w:rsid w:val="00AA7A5F"/>
    <w:rsid w:val="00AB4F51"/>
    <w:rsid w:val="00AC5CA5"/>
    <w:rsid w:val="00AC6933"/>
    <w:rsid w:val="00AF7D71"/>
    <w:rsid w:val="00B1393C"/>
    <w:rsid w:val="00B13BD0"/>
    <w:rsid w:val="00B269BC"/>
    <w:rsid w:val="00B31716"/>
    <w:rsid w:val="00B37FAA"/>
    <w:rsid w:val="00B42686"/>
    <w:rsid w:val="00B74DFE"/>
    <w:rsid w:val="00B83D8C"/>
    <w:rsid w:val="00B979CA"/>
    <w:rsid w:val="00BA24A5"/>
    <w:rsid w:val="00BA6D78"/>
    <w:rsid w:val="00BC2D8F"/>
    <w:rsid w:val="00C41195"/>
    <w:rsid w:val="00C63771"/>
    <w:rsid w:val="00C81E1F"/>
    <w:rsid w:val="00C82A84"/>
    <w:rsid w:val="00C85649"/>
    <w:rsid w:val="00C9169C"/>
    <w:rsid w:val="00C93328"/>
    <w:rsid w:val="00CB3666"/>
    <w:rsid w:val="00CB7ADA"/>
    <w:rsid w:val="00CC7E2C"/>
    <w:rsid w:val="00CD6394"/>
    <w:rsid w:val="00CE18CB"/>
    <w:rsid w:val="00CE66F4"/>
    <w:rsid w:val="00D27AC6"/>
    <w:rsid w:val="00D31768"/>
    <w:rsid w:val="00D33B83"/>
    <w:rsid w:val="00D3663C"/>
    <w:rsid w:val="00D43016"/>
    <w:rsid w:val="00D754A1"/>
    <w:rsid w:val="00D915DC"/>
    <w:rsid w:val="00D91B7A"/>
    <w:rsid w:val="00D93F92"/>
    <w:rsid w:val="00DA5F1E"/>
    <w:rsid w:val="00DC6E36"/>
    <w:rsid w:val="00DE6466"/>
    <w:rsid w:val="00DF479C"/>
    <w:rsid w:val="00DF65C1"/>
    <w:rsid w:val="00DF74F6"/>
    <w:rsid w:val="00DF79E2"/>
    <w:rsid w:val="00E035CC"/>
    <w:rsid w:val="00E12277"/>
    <w:rsid w:val="00E378EE"/>
    <w:rsid w:val="00E411AE"/>
    <w:rsid w:val="00E54E3B"/>
    <w:rsid w:val="00E56853"/>
    <w:rsid w:val="00E67FBD"/>
    <w:rsid w:val="00E77923"/>
    <w:rsid w:val="00E9119E"/>
    <w:rsid w:val="00E97EAA"/>
    <w:rsid w:val="00EA0440"/>
    <w:rsid w:val="00EC082A"/>
    <w:rsid w:val="00EC1D22"/>
    <w:rsid w:val="00EC5291"/>
    <w:rsid w:val="00ED13AA"/>
    <w:rsid w:val="00ED196E"/>
    <w:rsid w:val="00F02D43"/>
    <w:rsid w:val="00F07944"/>
    <w:rsid w:val="00F13D47"/>
    <w:rsid w:val="00F15717"/>
    <w:rsid w:val="00F35EFC"/>
    <w:rsid w:val="00F45CF7"/>
    <w:rsid w:val="00F66BF3"/>
    <w:rsid w:val="00F7277F"/>
    <w:rsid w:val="00F73A76"/>
    <w:rsid w:val="00F80B1D"/>
    <w:rsid w:val="00F82573"/>
    <w:rsid w:val="00FA6661"/>
    <w:rsid w:val="00FB07C1"/>
    <w:rsid w:val="00FC759B"/>
    <w:rsid w:val="00FC7728"/>
    <w:rsid w:val="00FD2A8B"/>
    <w:rsid w:val="00FD726E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7D2"/>
    <w:rPr>
      <w:sz w:val="20"/>
      <w:szCs w:val="20"/>
    </w:rPr>
  </w:style>
  <w:style w:type="paragraph" w:styleId="Revisin">
    <w:name w:val="Revision"/>
    <w:hidden/>
    <w:uiPriority w:val="99"/>
    <w:semiHidden/>
    <w:rsid w:val="00DF65C1"/>
    <w:pPr>
      <w:spacing w:line="240" w:lineRule="auto"/>
    </w:pPr>
  </w:style>
  <w:style w:type="character" w:styleId="nfasis">
    <w:name w:val="Emphasis"/>
    <w:uiPriority w:val="20"/>
    <w:qFormat/>
    <w:rsid w:val="004F5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941B-AE73-4F73-8413-B70162B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2756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</cp:revision>
  <cp:lastPrinted>2024-06-26T14:41:00Z</cp:lastPrinted>
  <dcterms:created xsi:type="dcterms:W3CDTF">2024-06-25T15:54:00Z</dcterms:created>
  <dcterms:modified xsi:type="dcterms:W3CDTF">2024-06-26T14:43:00Z</dcterms:modified>
</cp:coreProperties>
</file>