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A1BF" w14:textId="77777777" w:rsidR="00625DC6" w:rsidRPr="00E060BE" w:rsidRDefault="00000000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w:object w:dxaOrig="1440" w:dyaOrig="1440" w14:anchorId="51E2E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202.4pt;margin-top:-53.35pt;width:52.5pt;height:48.75pt;z-index:251657728;mso-wrap-edited:f;mso-width-percent:0;mso-height-percent:0;mso-width-percent:0;mso-height-percent:0" fillcolor="#0c9">
            <v:imagedata r:id="rId7" o:title=""/>
          </v:shape>
          <o:OLEObject Type="Embed" ProgID="PBrush" ShapeID="_x0000_s2050" DrawAspect="Content" ObjectID="_1780759875" r:id="rId8"/>
        </w:object>
      </w:r>
    </w:p>
    <w:p w14:paraId="67770A74" w14:textId="77777777" w:rsidR="00625DC6" w:rsidRPr="00E060BE" w:rsidRDefault="00625DC6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</w:p>
    <w:p w14:paraId="5CD8FDD3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noProof/>
          <w:sz w:val="24"/>
          <w:szCs w:val="24"/>
          <w:lang w:val="es-ES"/>
        </w:rPr>
      </w:pPr>
      <w:r w:rsidRPr="00E060BE">
        <w:rPr>
          <w:rFonts w:ascii="Bookman Old Style" w:hAnsi="Bookman Old Style"/>
          <w:b w:val="0"/>
          <w:bCs/>
          <w:sz w:val="24"/>
          <w:szCs w:val="24"/>
        </w:rPr>
        <w:t>Ministerio de Minas y Energía</w:t>
      </w:r>
    </w:p>
    <w:p w14:paraId="0B8E60E5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14:paraId="7027F17A" w14:textId="77777777"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</w:rPr>
      </w:pPr>
      <w:r w:rsidRPr="00E060BE">
        <w:rPr>
          <w:rFonts w:ascii="Bookman Old Style" w:hAnsi="Bookman Old Style" w:cs="Arial"/>
          <w:spacing w:val="20"/>
          <w:szCs w:val="24"/>
        </w:rPr>
        <w:t>COMISIÓN DE REGULACIÓN DE ENERGÍA Y GAS</w:t>
      </w:r>
    </w:p>
    <w:p w14:paraId="4767CFAE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74971183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67AC44F2" w14:textId="7DF42FB7" w:rsidR="00A06511" w:rsidRPr="00E060BE" w:rsidRDefault="007D4E5F" w:rsidP="00A06511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PROYECTO DE </w:t>
      </w:r>
      <w:r w:rsidR="00A06511" w:rsidRPr="00E060BE">
        <w:rPr>
          <w:rFonts w:ascii="Bookman Old Style" w:hAnsi="Bookman Old Style"/>
          <w:sz w:val="24"/>
          <w:szCs w:val="24"/>
        </w:rPr>
        <w:t xml:space="preserve">RESOLUCIÓN No. </w:t>
      </w:r>
      <w:r w:rsidR="00A06511" w:rsidRPr="009D279A">
        <w:rPr>
          <w:rFonts w:ascii="Bookman Old Style" w:hAnsi="Bookman Old Style"/>
          <w:sz w:val="24"/>
          <w:szCs w:val="24"/>
        </w:rPr>
        <w:fldChar w:fldCharType="begin"/>
      </w:r>
      <w:r w:rsidR="00A06511" w:rsidRPr="009D279A">
        <w:rPr>
          <w:rFonts w:ascii="Bookman Old Style" w:hAnsi="Bookman Old Style"/>
          <w:sz w:val="24"/>
          <w:szCs w:val="24"/>
        </w:rPr>
        <w:instrText xml:space="preserve"> MERGEFIELD  NumeroResolucion  \* MERGEFORMAT </w:instrText>
      </w:r>
      <w:r w:rsidR="00A06511" w:rsidRPr="009D279A">
        <w:rPr>
          <w:rFonts w:ascii="Bookman Old Style" w:hAnsi="Bookman Old Style"/>
          <w:sz w:val="24"/>
          <w:szCs w:val="24"/>
        </w:rPr>
        <w:fldChar w:fldCharType="separate"/>
      </w:r>
      <w:r w:rsidR="00A06511" w:rsidRPr="009D279A">
        <w:rPr>
          <w:rFonts w:ascii="Bookman Old Style" w:hAnsi="Bookman Old Style"/>
          <w:sz w:val="24"/>
          <w:szCs w:val="24"/>
        </w:rPr>
        <w:t>701 052</w:t>
      </w:r>
      <w:r w:rsidR="00A06511" w:rsidRPr="009D279A">
        <w:rPr>
          <w:rFonts w:ascii="Bookman Old Style" w:hAnsi="Bookman Old Style"/>
          <w:sz w:val="24"/>
          <w:szCs w:val="24"/>
        </w:rPr>
        <w:fldChar w:fldCharType="end"/>
      </w:r>
      <w:r w:rsidR="00A06511" w:rsidRPr="00E060BE">
        <w:rPr>
          <w:rFonts w:ascii="Bookman Old Style" w:hAnsi="Bookman Old Style"/>
          <w:sz w:val="24"/>
          <w:szCs w:val="24"/>
        </w:rPr>
        <w:t xml:space="preserve"> DE </w:t>
      </w:r>
      <w:r w:rsidR="00A06511">
        <w:rPr>
          <w:rFonts w:ascii="Bookman Old Style" w:hAnsi="Bookman Old Style"/>
          <w:sz w:val="24"/>
          <w:szCs w:val="24"/>
        </w:rPr>
        <w:fldChar w:fldCharType="begin"/>
      </w:r>
      <w:r w:rsidR="00A06511">
        <w:rPr>
          <w:rFonts w:ascii="Bookman Old Style" w:hAnsi="Bookman Old Style"/>
          <w:sz w:val="24"/>
          <w:szCs w:val="24"/>
        </w:rPr>
        <w:instrText xml:space="preserve"> MERGEFIELD  Anio  \* MERGEFORMAT </w:instrText>
      </w:r>
      <w:r w:rsidR="00A06511">
        <w:rPr>
          <w:rFonts w:ascii="Bookman Old Style" w:hAnsi="Bookman Old Style"/>
          <w:sz w:val="24"/>
          <w:szCs w:val="24"/>
        </w:rPr>
        <w:fldChar w:fldCharType="separate"/>
      </w:r>
      <w:r w:rsidR="00A06511">
        <w:rPr>
          <w:rFonts w:ascii="Bookman Old Style" w:hAnsi="Bookman Old Style"/>
          <w:noProof/>
          <w:sz w:val="24"/>
          <w:szCs w:val="24"/>
        </w:rPr>
        <w:t>2024</w:t>
      </w:r>
      <w:r w:rsidR="00A06511">
        <w:rPr>
          <w:rFonts w:ascii="Bookman Old Style" w:hAnsi="Bookman Old Style"/>
          <w:sz w:val="24"/>
          <w:szCs w:val="24"/>
        </w:rPr>
        <w:fldChar w:fldCharType="end"/>
      </w:r>
    </w:p>
    <w:p w14:paraId="0C7D114C" w14:textId="77777777"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 w:cs="Arial"/>
          <w:b/>
          <w:snapToGrid w:val="0"/>
          <w:color w:val="000000"/>
          <w:lang w:val="es-ES_tradnl"/>
        </w:rPr>
      </w:pPr>
    </w:p>
    <w:p w14:paraId="350D3C85" w14:textId="4587CFCC"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szCs w:val="24"/>
        </w:rPr>
      </w:pPr>
      <w:r w:rsidRPr="00E060BE">
        <w:rPr>
          <w:rFonts w:ascii="Bookman Old Style" w:hAnsi="Bookman Old Style"/>
          <w:b w:val="0"/>
          <w:szCs w:val="24"/>
        </w:rPr>
        <w:t>(</w:t>
      </w:r>
      <w:bookmarkStart w:id="0" w:name="_Hlk170146931"/>
      <w:r w:rsidR="008E3D99">
        <w:rPr>
          <w:rFonts w:ascii="Bookman Old Style" w:hAnsi="Bookman Old Style"/>
          <w:bCs/>
          <w:szCs w:val="24"/>
        </w:rPr>
        <w:t>20</w:t>
      </w:r>
      <w:r w:rsidR="00674818">
        <w:rPr>
          <w:rFonts w:ascii="Bookman Old Style" w:hAnsi="Bookman Old Style"/>
          <w:b w:val="0"/>
          <w:szCs w:val="24"/>
        </w:rPr>
        <w:t xml:space="preserve"> </w:t>
      </w:r>
      <w:r w:rsidR="00674818" w:rsidRPr="00B46899">
        <w:rPr>
          <w:rFonts w:ascii="Bookman Old Style" w:hAnsi="Bookman Old Style"/>
          <w:bCs/>
          <w:szCs w:val="24"/>
        </w:rPr>
        <w:t>JUN</w:t>
      </w:r>
      <w:r w:rsidR="00594819" w:rsidRPr="00B46899">
        <w:rPr>
          <w:rFonts w:ascii="Bookman Old Style" w:hAnsi="Bookman Old Style"/>
          <w:bCs/>
          <w:szCs w:val="24"/>
        </w:rPr>
        <w:t>. 2024</w:t>
      </w:r>
      <w:bookmarkEnd w:id="0"/>
      <w:r w:rsidRPr="00E060BE">
        <w:rPr>
          <w:rFonts w:ascii="Bookman Old Style" w:hAnsi="Bookman Old Style"/>
          <w:b w:val="0"/>
          <w:szCs w:val="24"/>
        </w:rPr>
        <w:t>)</w:t>
      </w:r>
    </w:p>
    <w:p w14:paraId="46167241" w14:textId="77777777" w:rsidR="00C72165" w:rsidRDefault="00C72165" w:rsidP="00172F26">
      <w:pPr>
        <w:spacing w:line="259" w:lineRule="auto"/>
        <w:ind w:left="142" w:right="142"/>
        <w:jc w:val="both"/>
        <w:rPr>
          <w:rFonts w:ascii="Bookman Old Style" w:hAnsi="Bookman Old Style"/>
        </w:rPr>
      </w:pPr>
    </w:p>
    <w:p w14:paraId="0410D45F" w14:textId="76A77687" w:rsidR="00172F26" w:rsidRDefault="00172F26" w:rsidP="00172F26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BF3872">
        <w:rPr>
          <w:rFonts w:ascii="Bookman Old Style" w:hAnsi="Bookman Old Style"/>
        </w:rPr>
        <w:t>La Comisión de Regulación de Energía y Gas</w:t>
      </w:r>
      <w:r w:rsidR="00AC51BC">
        <w:rPr>
          <w:rFonts w:ascii="Bookman Old Style" w:hAnsi="Bookman Old Style"/>
        </w:rPr>
        <w:t xml:space="preserve"> (en adelante “CREG” o “Comisión”)</w:t>
      </w:r>
      <w:r w:rsidRPr="00BF3872">
        <w:rPr>
          <w:rFonts w:ascii="Bookman Old Style" w:hAnsi="Bookman Old Style"/>
        </w:rPr>
        <w:t xml:space="preserve">, en su Sesión No. </w:t>
      </w:r>
      <w:r w:rsidRPr="005A23B6">
        <w:rPr>
          <w:rFonts w:ascii="Bookman Old Style" w:hAnsi="Bookman Old Style"/>
        </w:rPr>
        <w:t>13</w:t>
      </w:r>
      <w:r w:rsidR="00C72165" w:rsidRPr="005A23B6">
        <w:rPr>
          <w:rFonts w:ascii="Bookman Old Style" w:hAnsi="Bookman Old Style"/>
        </w:rPr>
        <w:t>2</w:t>
      </w:r>
      <w:r w:rsidR="00C72165">
        <w:rPr>
          <w:rFonts w:ascii="Bookman Old Style" w:hAnsi="Bookman Old Style"/>
        </w:rPr>
        <w:t>3</w:t>
      </w:r>
      <w:r w:rsidRPr="00BF3872">
        <w:rPr>
          <w:rFonts w:ascii="Bookman Old Style" w:hAnsi="Bookman Old Style"/>
        </w:rPr>
        <w:t xml:space="preserve"> del </w:t>
      </w:r>
      <w:r w:rsidR="00C72165">
        <w:rPr>
          <w:rFonts w:ascii="Bookman Old Style" w:hAnsi="Bookman Old Style"/>
        </w:rPr>
        <w:t>2</w:t>
      </w:r>
      <w:r w:rsidR="00554AB5">
        <w:rPr>
          <w:rFonts w:ascii="Bookman Old Style" w:hAnsi="Bookman Old Style"/>
        </w:rPr>
        <w:t>4</w:t>
      </w:r>
      <w:r w:rsidRPr="00BF3872">
        <w:rPr>
          <w:rFonts w:ascii="Bookman Old Style" w:hAnsi="Bookman Old Style"/>
        </w:rPr>
        <w:t xml:space="preserve"> de </w:t>
      </w:r>
      <w:r w:rsidR="00C72165">
        <w:rPr>
          <w:rFonts w:ascii="Bookman Old Style" w:hAnsi="Bookman Old Style"/>
        </w:rPr>
        <w:t>junio</w:t>
      </w:r>
      <w:r w:rsidRPr="00BF3872">
        <w:rPr>
          <w:rFonts w:ascii="Bookman Old Style" w:hAnsi="Bookman Old Style"/>
        </w:rPr>
        <w:t xml:space="preserve"> de 202</w:t>
      </w:r>
      <w:r>
        <w:rPr>
          <w:rFonts w:ascii="Bookman Old Style" w:hAnsi="Bookman Old Style"/>
        </w:rPr>
        <w:t>4</w:t>
      </w:r>
      <w:r w:rsidRPr="00BF3872">
        <w:rPr>
          <w:rFonts w:ascii="Bookman Old Style" w:hAnsi="Bookman Old Style"/>
        </w:rPr>
        <w:t xml:space="preserve">, aprobó someter a consulta pública el presente proyecto de resolución durante </w:t>
      </w:r>
      <w:r w:rsidR="00C72165">
        <w:rPr>
          <w:rFonts w:ascii="Bookman Old Style" w:hAnsi="Bookman Old Style"/>
        </w:rPr>
        <w:t>tres</w:t>
      </w:r>
      <w:r w:rsidRPr="00BF3872">
        <w:rPr>
          <w:rFonts w:ascii="Bookman Old Style" w:hAnsi="Bookman Old Style"/>
        </w:rPr>
        <w:t xml:space="preserve"> (</w:t>
      </w:r>
      <w:r w:rsidR="00C72165">
        <w:rPr>
          <w:rFonts w:ascii="Bookman Old Style" w:hAnsi="Bookman Old Style"/>
        </w:rPr>
        <w:t>3</w:t>
      </w:r>
      <w:r w:rsidRPr="00BF3872">
        <w:rPr>
          <w:rFonts w:ascii="Bookman Old Style" w:hAnsi="Bookman Old Style"/>
        </w:rPr>
        <w:t xml:space="preserve">) días </w:t>
      </w:r>
      <w:r w:rsidR="00C72165">
        <w:rPr>
          <w:rFonts w:ascii="Bookman Old Style" w:hAnsi="Bookman Old Style"/>
        </w:rPr>
        <w:t>calendario</w:t>
      </w:r>
      <w:r w:rsidR="00AC51BC">
        <w:rPr>
          <w:rFonts w:ascii="Bookman Old Style" w:hAnsi="Bookman Old Style"/>
        </w:rPr>
        <w:t>,</w:t>
      </w:r>
      <w:r w:rsidRPr="00BF3872">
        <w:rPr>
          <w:rFonts w:ascii="Bookman Old Style" w:hAnsi="Bookman Old Style"/>
        </w:rPr>
        <w:t xml:space="preserve"> contados a partir del día siguiente a su publicación en el portal web de la CREG.</w:t>
      </w:r>
    </w:p>
    <w:p w14:paraId="14AFE142" w14:textId="77777777" w:rsidR="00172F26" w:rsidRPr="00BF3872" w:rsidRDefault="00172F26" w:rsidP="00172F26">
      <w:pPr>
        <w:spacing w:line="259" w:lineRule="auto"/>
        <w:ind w:left="142" w:right="142"/>
        <w:jc w:val="both"/>
        <w:rPr>
          <w:rFonts w:ascii="Bookman Old Style" w:hAnsi="Bookman Old Style"/>
        </w:rPr>
      </w:pPr>
    </w:p>
    <w:p w14:paraId="3A6162EA" w14:textId="382E7289" w:rsidR="00172F26" w:rsidRDefault="00172F26" w:rsidP="00172F26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BF3872">
        <w:rPr>
          <w:rFonts w:ascii="Bookman Old Style" w:hAnsi="Bookman Old Style"/>
        </w:rPr>
        <w:t>Se invita a los agentes, usuarios, autoridades locales municipales y departamentales competentes, a la Superintendencia de Servicios Públicos Domiciliarios y demás interesados, para que remitan sus observaciones o sugerencias sobre la propuesta, dentro del plazo establecido.</w:t>
      </w:r>
    </w:p>
    <w:p w14:paraId="451C7EDA" w14:textId="77777777" w:rsidR="00172F26" w:rsidRDefault="00172F26" w:rsidP="00172F26">
      <w:pPr>
        <w:spacing w:line="259" w:lineRule="auto"/>
        <w:ind w:left="142" w:right="142"/>
        <w:jc w:val="both"/>
        <w:rPr>
          <w:rFonts w:ascii="Bookman Old Style" w:hAnsi="Bookman Old Style"/>
        </w:rPr>
      </w:pPr>
    </w:p>
    <w:p w14:paraId="713B54D9" w14:textId="4A195D47" w:rsidR="00172F26" w:rsidRPr="00400814" w:rsidRDefault="00172F26" w:rsidP="00172F26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400814">
        <w:rPr>
          <w:rFonts w:ascii="Bookman Old Style" w:hAnsi="Bookman Old Style"/>
        </w:rPr>
        <w:t xml:space="preserve">Los interesados podrán dirigir sus comentarios al director ejecutivo de la Comisión, al correo electrónico creg@creg.gov.co, identificando el mensaje con el siguiente asunto: </w:t>
      </w:r>
      <w:r w:rsidRPr="009674A6">
        <w:rPr>
          <w:rFonts w:ascii="Bookman Old Style" w:hAnsi="Bookman Old Style"/>
        </w:rPr>
        <w:t>“</w:t>
      </w:r>
      <w:r w:rsidRPr="009674A6">
        <w:rPr>
          <w:rFonts w:ascii="Bookman Old Style" w:hAnsi="Bookman Old Style"/>
          <w:i/>
          <w:iCs/>
        </w:rPr>
        <w:t>Proyecto de resolución 701</w:t>
      </w:r>
      <w:r w:rsidR="00E7702E">
        <w:rPr>
          <w:rFonts w:ascii="Bookman Old Style" w:hAnsi="Bookman Old Style"/>
          <w:i/>
          <w:iCs/>
        </w:rPr>
        <w:t xml:space="preserve"> </w:t>
      </w:r>
      <w:r w:rsidR="00E7702E" w:rsidRPr="00E7702E">
        <w:rPr>
          <w:rFonts w:ascii="Bookman Old Style" w:hAnsi="Bookman Old Style"/>
          <w:i/>
          <w:iCs/>
        </w:rPr>
        <w:t>052</w:t>
      </w:r>
      <w:r w:rsidRPr="009674A6">
        <w:rPr>
          <w:rFonts w:ascii="Bookman Old Style" w:hAnsi="Bookman Old Style"/>
          <w:i/>
          <w:iCs/>
        </w:rPr>
        <w:t xml:space="preserve"> de 202</w:t>
      </w:r>
      <w:r w:rsidR="008230EF">
        <w:rPr>
          <w:rFonts w:ascii="Bookman Old Style" w:hAnsi="Bookman Old Style"/>
          <w:i/>
          <w:iCs/>
        </w:rPr>
        <w:t>4</w:t>
      </w:r>
      <w:r w:rsidRPr="009674A6">
        <w:rPr>
          <w:rFonts w:ascii="Bookman Old Style" w:hAnsi="Bookman Old Style"/>
          <w:i/>
          <w:iCs/>
        </w:rPr>
        <w:t xml:space="preserve"> – </w:t>
      </w:r>
      <w:r w:rsidR="005241A4">
        <w:rPr>
          <w:rFonts w:ascii="Bookman Old Style" w:hAnsi="Bookman Old Style"/>
          <w:i/>
          <w:iCs/>
        </w:rPr>
        <w:t>Medidas transitorias desviaciones</w:t>
      </w:r>
      <w:r w:rsidRPr="009674A6">
        <w:rPr>
          <w:rFonts w:ascii="Bookman Old Style" w:hAnsi="Bookman Old Style"/>
        </w:rPr>
        <w:t>”</w:t>
      </w:r>
      <w:r w:rsidR="00AA1B46">
        <w:rPr>
          <w:rFonts w:ascii="Bookman Old Style" w:hAnsi="Bookman Old Style"/>
        </w:rPr>
        <w:t xml:space="preserve"> </w:t>
      </w:r>
      <w:r w:rsidR="00AA1B46" w:rsidRPr="00AA1B46">
        <w:rPr>
          <w:rFonts w:ascii="Bookman Old Style" w:hAnsi="Bookman Old Style"/>
        </w:rPr>
        <w:t>en el formato adjunto “Comentarios_</w:t>
      </w:r>
      <w:r w:rsidR="00AA1B46">
        <w:rPr>
          <w:rFonts w:ascii="Bookman Old Style" w:hAnsi="Bookman Old Style"/>
        </w:rPr>
        <w:t>desviaciones_EE</w:t>
      </w:r>
      <w:r w:rsidR="00AA1B46" w:rsidRPr="00AA1B46">
        <w:rPr>
          <w:rFonts w:ascii="Bookman Old Style" w:hAnsi="Bookman Old Style"/>
        </w:rPr>
        <w:t>.xlsx”</w:t>
      </w:r>
      <w:r w:rsidRPr="00400814">
        <w:rPr>
          <w:rFonts w:ascii="Bookman Old Style" w:hAnsi="Bookman Old Style"/>
        </w:rPr>
        <w:t>.</w:t>
      </w:r>
    </w:p>
    <w:p w14:paraId="0C32F901" w14:textId="77777777" w:rsidR="00172F26" w:rsidRPr="00BF3872" w:rsidRDefault="00172F26" w:rsidP="00172F26">
      <w:pPr>
        <w:spacing w:line="259" w:lineRule="auto"/>
        <w:ind w:left="142" w:right="142"/>
        <w:jc w:val="both"/>
        <w:rPr>
          <w:rFonts w:ascii="Bookman Old Style" w:hAnsi="Bookman Old Style"/>
        </w:rPr>
      </w:pPr>
    </w:p>
    <w:p w14:paraId="1A874BB2" w14:textId="77777777" w:rsidR="00172F26" w:rsidRPr="00BF3872" w:rsidRDefault="00172F26" w:rsidP="00172F26">
      <w:pPr>
        <w:spacing w:line="259" w:lineRule="auto"/>
        <w:ind w:left="142" w:right="142"/>
        <w:jc w:val="both"/>
        <w:rPr>
          <w:rFonts w:ascii="Bookman Old Style" w:hAnsi="Bookman Old Style"/>
        </w:rPr>
      </w:pPr>
      <w:r w:rsidRPr="00BF3872">
        <w:rPr>
          <w:rFonts w:ascii="Bookman Old Style" w:hAnsi="Bookman Old Style"/>
        </w:rPr>
        <w:t>Al vencimiento de la consulta pública, la CREG determinará si el proyecto debe ser informado a la Superintendencia de Industria y Comercio, para el ejercicio de la Abogacía de la Competencia, con fundamento en las disposiciones del Decreto 1074 de 2015, artículo 2.2.2.30.5.</w:t>
      </w:r>
    </w:p>
    <w:p w14:paraId="536FA535" w14:textId="77777777" w:rsidR="00172F26" w:rsidRPr="004007C2" w:rsidRDefault="00172F26" w:rsidP="00172F26">
      <w:pPr>
        <w:pStyle w:val="Textoindependiente3"/>
        <w:spacing w:before="240"/>
        <w:ind w:left="0"/>
        <w:jc w:val="both"/>
        <w:rPr>
          <w:b w:val="0"/>
        </w:rPr>
      </w:pPr>
    </w:p>
    <w:p w14:paraId="7D21CF45" w14:textId="77777777" w:rsidR="00172F26" w:rsidRPr="00982D85" w:rsidRDefault="00172F26" w:rsidP="00172F26">
      <w:pPr>
        <w:ind w:left="0"/>
        <w:jc w:val="center"/>
        <w:rPr>
          <w:rFonts w:ascii="Bookman Old Style" w:hAnsi="Bookman Old Style" w:cs="Arial"/>
          <w:b/>
          <w:color w:val="000000" w:themeColor="text1"/>
          <w:lang w:eastAsia="es-CO"/>
        </w:rPr>
      </w:pPr>
      <w:r w:rsidRPr="00982D85">
        <w:rPr>
          <w:rFonts w:ascii="Bookman Old Style" w:hAnsi="Bookman Old Style" w:cs="Arial"/>
          <w:b/>
          <w:color w:val="000000" w:themeColor="text1"/>
          <w:lang w:eastAsia="es-CO"/>
        </w:rPr>
        <w:t>PROYECTO DE RESOLUCIÓN</w:t>
      </w:r>
    </w:p>
    <w:p w14:paraId="57D77EBA" w14:textId="77777777"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14:paraId="053FCB54" w14:textId="3892030D" w:rsidR="00045D3D" w:rsidRDefault="007D4E5F" w:rsidP="008E3D99">
      <w:pPr>
        <w:ind w:right="51"/>
        <w:jc w:val="center"/>
        <w:rPr>
          <w:rFonts w:ascii="Bookman Old Style" w:hAnsi="Bookman Old Style"/>
        </w:rPr>
      </w:pPr>
      <w:r w:rsidRPr="007D4E5F">
        <w:rPr>
          <w:rFonts w:ascii="Bookman Old Style" w:hAnsi="Bookman Old Style"/>
        </w:rPr>
        <w:t xml:space="preserve">Por la cual se establecen medidas transitorias </w:t>
      </w:r>
      <w:r w:rsidR="00BC180C">
        <w:rPr>
          <w:rFonts w:ascii="Bookman Old Style" w:hAnsi="Bookman Old Style"/>
        </w:rPr>
        <w:t>sobre</w:t>
      </w:r>
      <w:r w:rsidRPr="007D4E5F">
        <w:rPr>
          <w:rFonts w:ascii="Bookman Old Style" w:hAnsi="Bookman Old Style"/>
        </w:rPr>
        <w:t xml:space="preserve"> las desviaciones de las plantas variables</w:t>
      </w:r>
    </w:p>
    <w:p w14:paraId="78FC082F" w14:textId="77777777" w:rsidR="007D4E5F" w:rsidRPr="00C435C3" w:rsidRDefault="007D4E5F" w:rsidP="00045D3D">
      <w:pPr>
        <w:ind w:right="51"/>
        <w:rPr>
          <w:rFonts w:ascii="Bookman Old Style" w:hAnsi="Bookman Old Style"/>
        </w:rPr>
      </w:pPr>
    </w:p>
    <w:p w14:paraId="7B67FAFA" w14:textId="77777777"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 xml:space="preserve">LA COMISIÓN DE REGULACIÓN </w:t>
      </w:r>
      <w:r w:rsidR="007B5A60" w:rsidRPr="00C435C3">
        <w:rPr>
          <w:rFonts w:ascii="Bookman Old Style" w:hAnsi="Bookman Old Style"/>
          <w:b/>
        </w:rPr>
        <w:t>DE ENERGÍA</w:t>
      </w:r>
      <w:r w:rsidRPr="00C435C3">
        <w:rPr>
          <w:rFonts w:ascii="Bookman Old Style" w:hAnsi="Bookman Old Style"/>
          <w:b/>
        </w:rPr>
        <w:t xml:space="preserve"> Y GAS</w:t>
      </w:r>
    </w:p>
    <w:p w14:paraId="5F144221" w14:textId="77777777"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14:paraId="2739C8D4" w14:textId="77777777"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14:paraId="6EDA2283" w14:textId="77777777" w:rsidR="00045D3D" w:rsidRPr="00C435C3" w:rsidRDefault="00045D3D" w:rsidP="00045D3D">
      <w:pPr>
        <w:pStyle w:val="Textoindependiente3"/>
        <w:ind w:left="0"/>
        <w:rPr>
          <w:rFonts w:ascii="Bookman Old Style" w:hAnsi="Bookman Old Style"/>
          <w:b w:val="0"/>
        </w:rPr>
      </w:pPr>
      <w:r w:rsidRPr="00C435C3">
        <w:rPr>
          <w:rFonts w:ascii="Bookman Old Style" w:hAnsi="Bookman Old Style"/>
          <w:b w:val="0"/>
        </w:rPr>
        <w:t xml:space="preserve">En ejercicio de sus atribuciones constitucionales y legales, en especial las conferidas por las </w:t>
      </w:r>
      <w:r w:rsidR="002352B9">
        <w:rPr>
          <w:rFonts w:ascii="Bookman Old Style" w:hAnsi="Bookman Old Style"/>
          <w:b w:val="0"/>
        </w:rPr>
        <w:t>l</w:t>
      </w:r>
      <w:r w:rsidRPr="00C435C3">
        <w:rPr>
          <w:rFonts w:ascii="Bookman Old Style" w:hAnsi="Bookman Old Style"/>
          <w:b w:val="0"/>
        </w:rPr>
        <w:t xml:space="preserve">eyes 142 y 143 de 1994, y en desarrollo de los </w:t>
      </w:r>
      <w:r w:rsidR="002352B9">
        <w:rPr>
          <w:rFonts w:ascii="Bookman Old Style" w:hAnsi="Bookman Old Style"/>
          <w:b w:val="0"/>
        </w:rPr>
        <w:t>d</w:t>
      </w:r>
      <w:r w:rsidRPr="00C435C3">
        <w:rPr>
          <w:rFonts w:ascii="Bookman Old Style" w:hAnsi="Bookman Old Style"/>
          <w:b w:val="0"/>
        </w:rPr>
        <w:t>ecretos 1524 y 2253 de 1994.</w:t>
      </w:r>
    </w:p>
    <w:p w14:paraId="416AEFF4" w14:textId="77777777" w:rsidR="00045D3D" w:rsidRDefault="00045D3D" w:rsidP="00045D3D">
      <w:pPr>
        <w:ind w:right="51"/>
        <w:rPr>
          <w:rFonts w:ascii="Bookman Old Style" w:hAnsi="Bookman Old Style"/>
        </w:rPr>
      </w:pPr>
    </w:p>
    <w:p w14:paraId="3E8440ED" w14:textId="77777777" w:rsidR="00045D3D" w:rsidRDefault="00045D3D" w:rsidP="00045D3D">
      <w:pPr>
        <w:ind w:right="51"/>
        <w:rPr>
          <w:rFonts w:ascii="Bookman Old Style" w:hAnsi="Bookman Old Style"/>
        </w:rPr>
      </w:pPr>
    </w:p>
    <w:p w14:paraId="7A9CBB90" w14:textId="77777777" w:rsidR="009B3644" w:rsidRDefault="009B3644" w:rsidP="00045D3D">
      <w:pPr>
        <w:ind w:right="51"/>
        <w:jc w:val="center"/>
        <w:rPr>
          <w:rFonts w:ascii="Bookman Old Style" w:hAnsi="Bookman Old Style"/>
          <w:b/>
          <w:lang w:val="it-IT"/>
        </w:rPr>
      </w:pPr>
    </w:p>
    <w:p w14:paraId="1A7B1D0C" w14:textId="77777777" w:rsidR="009B3644" w:rsidRDefault="009B3644" w:rsidP="00045D3D">
      <w:pPr>
        <w:ind w:right="51"/>
        <w:jc w:val="center"/>
        <w:rPr>
          <w:rFonts w:ascii="Bookman Old Style" w:hAnsi="Bookman Old Style"/>
          <w:b/>
          <w:lang w:val="it-IT"/>
        </w:rPr>
      </w:pPr>
    </w:p>
    <w:p w14:paraId="6774F5E3" w14:textId="77777777" w:rsidR="009B3644" w:rsidRDefault="009B3644" w:rsidP="00045D3D">
      <w:pPr>
        <w:ind w:right="51"/>
        <w:jc w:val="center"/>
        <w:rPr>
          <w:rFonts w:ascii="Bookman Old Style" w:hAnsi="Bookman Old Style"/>
          <w:b/>
          <w:lang w:val="it-IT"/>
        </w:rPr>
      </w:pPr>
    </w:p>
    <w:p w14:paraId="72BBA367" w14:textId="0D09F9C2" w:rsidR="00045D3D" w:rsidRPr="007D4E5F" w:rsidRDefault="00045D3D" w:rsidP="00045D3D">
      <w:pPr>
        <w:ind w:right="51"/>
        <w:jc w:val="center"/>
        <w:rPr>
          <w:rFonts w:ascii="Bookman Old Style" w:hAnsi="Bookman Old Style"/>
          <w:b/>
          <w:lang w:val="it-IT"/>
        </w:rPr>
      </w:pPr>
      <w:r w:rsidRPr="007D4E5F">
        <w:rPr>
          <w:rFonts w:ascii="Bookman Old Style" w:hAnsi="Bookman Old Style"/>
          <w:b/>
          <w:lang w:val="it-IT"/>
        </w:rPr>
        <w:lastRenderedPageBreak/>
        <w:t xml:space="preserve">C O N S I D E R A N D </w:t>
      </w:r>
      <w:r w:rsidR="007B5A60" w:rsidRPr="007D4E5F">
        <w:rPr>
          <w:rFonts w:ascii="Bookman Old Style" w:hAnsi="Bookman Old Style"/>
          <w:b/>
          <w:lang w:val="it-IT"/>
        </w:rPr>
        <w:t>O</w:t>
      </w:r>
      <w:r w:rsidR="009B3644">
        <w:rPr>
          <w:rFonts w:ascii="Bookman Old Style" w:hAnsi="Bookman Old Style"/>
          <w:b/>
          <w:lang w:val="it-IT"/>
        </w:rPr>
        <w:t xml:space="preserve"> </w:t>
      </w:r>
      <w:r w:rsidR="007B5A60" w:rsidRPr="007D4E5F">
        <w:rPr>
          <w:rFonts w:ascii="Bookman Old Style" w:hAnsi="Bookman Old Style"/>
          <w:b/>
          <w:lang w:val="it-IT"/>
        </w:rPr>
        <w:t xml:space="preserve"> Q</w:t>
      </w:r>
      <w:r w:rsidRPr="007D4E5F">
        <w:rPr>
          <w:rFonts w:ascii="Bookman Old Style" w:hAnsi="Bookman Old Style"/>
          <w:b/>
          <w:lang w:val="it-IT"/>
        </w:rPr>
        <w:t xml:space="preserve"> U E:</w:t>
      </w:r>
    </w:p>
    <w:p w14:paraId="2378A86C" w14:textId="77777777" w:rsidR="00045D3D" w:rsidRPr="007D4E5F" w:rsidRDefault="00045D3D" w:rsidP="00045D3D">
      <w:pPr>
        <w:ind w:right="51"/>
        <w:jc w:val="center"/>
        <w:rPr>
          <w:rFonts w:ascii="Bookman Old Style" w:hAnsi="Bookman Old Style"/>
          <w:b/>
          <w:lang w:val="it-IT"/>
        </w:rPr>
      </w:pPr>
    </w:p>
    <w:p w14:paraId="1C3A7209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El artículo 334 de la Constitución Política establece que corresponde al Estado la dirección general de la economía, para lo cual intervendrá, entre otros asuntos, en los servicios públicos y privados, buscando el mejoramiento de la calidad de vida de los habitantes, la distribución equitativa de las oportunidades y los beneficios del desarrollo, y la preservación de un ambiente sano.</w:t>
      </w:r>
    </w:p>
    <w:p w14:paraId="09357CF8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21419910" w14:textId="5C80318B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El artículo 365 de la misma Carta Política establece que los servicios públicos son inherentes a la finalidad social del Estado y es deber de este, asegurar su prestación eficiente a todos los habitantes del territorio nacional.</w:t>
      </w:r>
    </w:p>
    <w:p w14:paraId="6C99C297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61CB1B81" w14:textId="0CB36C4E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De conformidad con el artículo 2 de la Ley 142 de 1994, la intervención del Estado en la prestación de los servicios públicos domiciliarios debe perseguir</w:t>
      </w:r>
      <w:r w:rsidR="00AC51BC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entre otros fines, la prestación eficiente, continua e ininterrumpida, la libre competencia, y la no utilización abusiva de la posición dominante.</w:t>
      </w:r>
    </w:p>
    <w:p w14:paraId="47EB1F6B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2168AC52" w14:textId="53BDAB5D" w:rsidR="00B96C10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En el artículo 73 de la Ley 142 de 1994</w:t>
      </w:r>
      <w:r w:rsidR="00AC51BC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se señala que las Comisiones de Regulación tienen la función de regular los monopolios en la prestación de los servicios públicos, cuando la competencia no sea, de hecho, posible; y, en los demás casos, la de promover la competencia entre quienes presten servicios públicos, para que las operaciones de los monopolistas o de los competidores sean económicamente eficientes, no impliquen abuso de la posición dominante, y produzcan servicios de calidad</w:t>
      </w:r>
      <w:r w:rsidR="00B96C10">
        <w:rPr>
          <w:rFonts w:ascii="Bookman Old Style" w:hAnsi="Bookman Old Style"/>
          <w:bCs/>
          <w:lang w:val="es-CO"/>
        </w:rPr>
        <w:t>.</w:t>
      </w:r>
    </w:p>
    <w:p w14:paraId="222139DE" w14:textId="425DBEAC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 xml:space="preserve"> </w:t>
      </w:r>
    </w:p>
    <w:p w14:paraId="6FB5C5FF" w14:textId="313EC419" w:rsidR="007D4E5F" w:rsidRPr="007D4E5F" w:rsidRDefault="002A3675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>
        <w:rPr>
          <w:rFonts w:ascii="Bookman Old Style" w:hAnsi="Bookman Old Style"/>
          <w:bCs/>
          <w:lang w:val="es-CO"/>
        </w:rPr>
        <w:t>E</w:t>
      </w:r>
      <w:r w:rsidR="007D4E5F" w:rsidRPr="007D4E5F">
        <w:rPr>
          <w:rFonts w:ascii="Bookman Old Style" w:hAnsi="Bookman Old Style"/>
          <w:bCs/>
          <w:lang w:val="es-CO"/>
        </w:rPr>
        <w:t>l artículo 74 de la Ley 142 de 1994, señala que son funciones y facultades especiales de la CREG, entre otras, regular el ejercicio de las actividades de los sectores de energía y gas combustible para asegurar la disponibilidad de una oferta energética eficiente, propiciar la competencia en el sector de minas y energía y proponer la adopción de las medidas necesarias para impedir abusos de posición dominante y buscar la liberación gradual de los mercados hacia la libre competencia.</w:t>
      </w:r>
    </w:p>
    <w:p w14:paraId="2B79CB5D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7A7B6ED8" w14:textId="71D0317A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Particularmente el numeral 1</w:t>
      </w:r>
      <w:r w:rsidR="00AC51BC">
        <w:rPr>
          <w:rFonts w:ascii="Bookman Old Style" w:hAnsi="Bookman Old Style"/>
          <w:bCs/>
          <w:lang w:val="es-CO"/>
        </w:rPr>
        <w:t xml:space="preserve"> del</w:t>
      </w:r>
      <w:r w:rsidRPr="007D4E5F">
        <w:rPr>
          <w:rFonts w:ascii="Bookman Old Style" w:hAnsi="Bookman Old Style"/>
          <w:bCs/>
          <w:lang w:val="es-CO"/>
        </w:rPr>
        <w:t xml:space="preserve"> literal c) del artículo 74 de la Ley 142 de 1994, le asignó a la CREG la función de expedir el Reglamento de Operación para regular el funcionamiento del Mercado Mayorista de Energía.</w:t>
      </w:r>
    </w:p>
    <w:p w14:paraId="6C586048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1572A843" w14:textId="441F3790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Así mismo</w:t>
      </w:r>
      <w:r w:rsidR="002A3675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el artículo 4</w:t>
      </w:r>
      <w:r w:rsidR="002A3675">
        <w:rPr>
          <w:rFonts w:ascii="Bookman Old Style" w:hAnsi="Bookman Old Style"/>
          <w:bCs/>
          <w:lang w:val="es-CO"/>
        </w:rPr>
        <w:t xml:space="preserve"> de la Ley 143 de 1994</w:t>
      </w:r>
      <w:r w:rsidRPr="007D4E5F">
        <w:rPr>
          <w:rFonts w:ascii="Bookman Old Style" w:hAnsi="Bookman Old Style"/>
          <w:bCs/>
          <w:lang w:val="es-CO"/>
        </w:rPr>
        <w:t xml:space="preserve"> señala </w:t>
      </w:r>
      <w:r w:rsidR="002A3675">
        <w:rPr>
          <w:rFonts w:ascii="Bookman Old Style" w:hAnsi="Bookman Old Style"/>
          <w:bCs/>
          <w:lang w:val="es-CO"/>
        </w:rPr>
        <w:t>que en relación con el servicio de energía, el Estado tendrá como objetivo, entre otros,</w:t>
      </w:r>
      <w:r w:rsidRPr="007D4E5F">
        <w:rPr>
          <w:rFonts w:ascii="Bookman Old Style" w:hAnsi="Bookman Old Style"/>
          <w:bCs/>
          <w:lang w:val="es-CO"/>
        </w:rPr>
        <w:t xml:space="preserve"> </w:t>
      </w:r>
      <w:r w:rsidR="00554DBD">
        <w:rPr>
          <w:rFonts w:ascii="Bookman Old Style" w:hAnsi="Bookman Old Style"/>
          <w:bCs/>
          <w:lang w:val="es-CO"/>
        </w:rPr>
        <w:t>a</w:t>
      </w:r>
      <w:r w:rsidRPr="007D4E5F">
        <w:rPr>
          <w:rFonts w:ascii="Bookman Old Style" w:hAnsi="Bookman Old Style"/>
          <w:bCs/>
          <w:lang w:val="es-CO"/>
        </w:rPr>
        <w:t>bastecer la demanda de electricidad de la comunidad bajo criterios económicos y de viabilidad financiera, asegurando su cubrimiento en un marco de uso racional y eficiente de los diferentes recursos energéticos del país y asegurar una operación eficiente, segura y confiable en las actividades del sector</w:t>
      </w:r>
      <w:r w:rsidR="00AF6543">
        <w:rPr>
          <w:rFonts w:ascii="Bookman Old Style" w:hAnsi="Bookman Old Style"/>
          <w:bCs/>
          <w:lang w:val="es-CO"/>
        </w:rPr>
        <w:t>.</w:t>
      </w:r>
      <w:r w:rsidRPr="007D4E5F">
        <w:rPr>
          <w:rFonts w:ascii="Bookman Old Style" w:hAnsi="Bookman Old Style"/>
          <w:bCs/>
          <w:lang w:val="es-CO"/>
        </w:rPr>
        <w:t xml:space="preserve"> </w:t>
      </w:r>
    </w:p>
    <w:p w14:paraId="6AADE0CA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2B95860B" w14:textId="55801876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El artículo 6 de la Ley 143 de 1994</w:t>
      </w:r>
      <w:r w:rsidR="002A3675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señaló que las actividades relacionadas con el servicio de electricidad se regirían, entre otros principios, por el de adaptabilidad, el cual conduce a la incorporación de los avances de la ciencia y de la tecnología, con el fin de que aporten mayor calidad y eficiencia en la prestación del servicio al menor costo económico.</w:t>
      </w:r>
    </w:p>
    <w:p w14:paraId="2244139D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28B129AE" w14:textId="6232998F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lastRenderedPageBreak/>
        <w:t xml:space="preserve">El </w:t>
      </w:r>
      <w:r w:rsidR="002A3675">
        <w:rPr>
          <w:rFonts w:ascii="Bookman Old Style" w:hAnsi="Bookman Old Style"/>
          <w:bCs/>
          <w:lang w:val="es-CO"/>
        </w:rPr>
        <w:t xml:space="preserve">parágrafo 1 del </w:t>
      </w:r>
      <w:r w:rsidRPr="007D4E5F">
        <w:rPr>
          <w:rFonts w:ascii="Bookman Old Style" w:hAnsi="Bookman Old Style"/>
          <w:bCs/>
          <w:lang w:val="es-CO"/>
        </w:rPr>
        <w:t>artículo 18 de la Ley 143 de 1994</w:t>
      </w:r>
      <w:r w:rsidR="002A3675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</w:t>
      </w:r>
      <w:r w:rsidR="002A3675">
        <w:rPr>
          <w:rFonts w:ascii="Bookman Old Style" w:hAnsi="Bookman Old Style"/>
          <w:bCs/>
          <w:lang w:val="es-CO"/>
        </w:rPr>
        <w:t xml:space="preserve">advierte que le corresponde a la </w:t>
      </w:r>
      <w:r w:rsidRPr="007D4E5F">
        <w:rPr>
          <w:rFonts w:ascii="Bookman Old Style" w:hAnsi="Bookman Old Style"/>
          <w:bCs/>
          <w:lang w:val="es-CO"/>
        </w:rPr>
        <w:t>CREG</w:t>
      </w:r>
      <w:r w:rsidR="002A3675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desarrollar el marco regulatorio que incentive la inversión en expansión de la capacidad de generación y transmisión del Sistema Interconectado Nacional </w:t>
      </w:r>
      <w:r w:rsidR="002A3675">
        <w:rPr>
          <w:rFonts w:ascii="Bookman Old Style" w:hAnsi="Bookman Old Style"/>
          <w:bCs/>
          <w:lang w:val="es-CO"/>
        </w:rPr>
        <w:t>(</w:t>
      </w:r>
      <w:r w:rsidRPr="007D4E5F">
        <w:rPr>
          <w:rFonts w:ascii="Bookman Old Style" w:hAnsi="Bookman Old Style"/>
          <w:bCs/>
          <w:lang w:val="es-CO"/>
        </w:rPr>
        <w:t>SIN</w:t>
      </w:r>
      <w:r w:rsidR="002A3675">
        <w:rPr>
          <w:rFonts w:ascii="Bookman Old Style" w:hAnsi="Bookman Old Style"/>
          <w:bCs/>
          <w:lang w:val="es-CO"/>
        </w:rPr>
        <w:t>)</w:t>
      </w:r>
      <w:r w:rsidRPr="007D4E5F">
        <w:rPr>
          <w:rFonts w:ascii="Bookman Old Style" w:hAnsi="Bookman Old Style"/>
          <w:bCs/>
          <w:lang w:val="es-CO"/>
        </w:rPr>
        <w:t>, por parte de inversionistas estratégicos, y establecer esquemas que promuevan la entrada de nueva capacidad de generación y transmisión.</w:t>
      </w:r>
    </w:p>
    <w:p w14:paraId="2F98C22B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125DA9D1" w14:textId="24AEE418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El artículo 20 de la Ley 143 de 1994</w:t>
      </w:r>
      <w:r w:rsidR="002A3675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definió como objetivo fundamental de la regulación en el sector eléctrico, asegurar una adecuada prestación del servicio mediante el aprovechamiento eficiente de los diferentes recursos energéticos.</w:t>
      </w:r>
    </w:p>
    <w:p w14:paraId="2E486143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29C812DF" w14:textId="2CAC36F5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Para cumplir el objetivo señalado,</w:t>
      </w:r>
      <w:r w:rsidR="00C5704E">
        <w:rPr>
          <w:rFonts w:ascii="Bookman Old Style" w:hAnsi="Bookman Old Style"/>
          <w:bCs/>
          <w:lang w:val="es-CO"/>
        </w:rPr>
        <w:t xml:space="preserve"> el artículo 23 de</w:t>
      </w:r>
      <w:r w:rsidRPr="007D4E5F">
        <w:rPr>
          <w:rFonts w:ascii="Bookman Old Style" w:hAnsi="Bookman Old Style"/>
          <w:bCs/>
          <w:lang w:val="es-CO"/>
        </w:rPr>
        <w:t xml:space="preserve"> la Ley 143 de 1994 </w:t>
      </w:r>
      <w:r w:rsidR="00C5704E">
        <w:rPr>
          <w:rFonts w:ascii="Bookman Old Style" w:hAnsi="Bookman Old Style"/>
          <w:bCs/>
          <w:lang w:val="es-CO"/>
        </w:rPr>
        <w:t xml:space="preserve">estableció como función de </w:t>
      </w:r>
      <w:r w:rsidRPr="007D4E5F">
        <w:rPr>
          <w:rFonts w:ascii="Bookman Old Style" w:hAnsi="Bookman Old Style"/>
          <w:bCs/>
          <w:lang w:val="es-CO"/>
        </w:rPr>
        <w:t>la CREG</w:t>
      </w:r>
      <w:r w:rsidR="00C5704E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crear las condiciones para asegurar la disponibilidad de una oferta energética eficiente capaz de abastecer la demanda bajo criterios sociales, económicos, ambientales y de viabilidad financiera, promover y preservar la competencia.</w:t>
      </w:r>
    </w:p>
    <w:p w14:paraId="7B88AC15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453E8EE0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La Resolución CREG 024 de 1995 reglamenta los aspectos comerciales del mercado mayorista de energía en el SIN, como parte del Reglamento de Operación.</w:t>
      </w:r>
    </w:p>
    <w:p w14:paraId="0BFBFAEC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5CD5F784" w14:textId="54F130B0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La Resolución CREG 060 de 2019</w:t>
      </w:r>
      <w:r w:rsidR="00C5704E">
        <w:rPr>
          <w:rFonts w:ascii="Bookman Old Style" w:hAnsi="Bookman Old Style"/>
          <w:bCs/>
          <w:lang w:val="es-CO"/>
        </w:rPr>
        <w:t>,</w:t>
      </w:r>
      <w:r w:rsidRPr="007D4E5F">
        <w:rPr>
          <w:rFonts w:ascii="Bookman Old Style" w:hAnsi="Bookman Old Style"/>
          <w:bCs/>
          <w:lang w:val="es-CO"/>
        </w:rPr>
        <w:t xml:space="preserve"> incluyó </w:t>
      </w:r>
      <w:r w:rsidR="00C5704E" w:rsidRPr="007D4E5F">
        <w:rPr>
          <w:rFonts w:ascii="Bookman Old Style" w:hAnsi="Bookman Old Style"/>
          <w:bCs/>
          <w:lang w:val="es-CO"/>
        </w:rPr>
        <w:t xml:space="preserve">en su artículo 30 </w:t>
      </w:r>
      <w:r w:rsidRPr="007D4E5F">
        <w:rPr>
          <w:rFonts w:ascii="Bookman Old Style" w:hAnsi="Bookman Old Style"/>
          <w:bCs/>
          <w:lang w:val="es-CO"/>
        </w:rPr>
        <w:t xml:space="preserve">el </w:t>
      </w:r>
      <w:r w:rsidR="00C5704E">
        <w:rPr>
          <w:rFonts w:ascii="Bookman Old Style" w:hAnsi="Bookman Old Style"/>
          <w:bCs/>
          <w:lang w:val="es-CO"/>
        </w:rPr>
        <w:t>proceso de cálculo</w:t>
      </w:r>
      <w:r w:rsidR="00C5704E" w:rsidRPr="007D4E5F">
        <w:rPr>
          <w:rFonts w:ascii="Bookman Old Style" w:hAnsi="Bookman Old Style"/>
          <w:bCs/>
          <w:lang w:val="es-CO"/>
        </w:rPr>
        <w:t xml:space="preserve"> </w:t>
      </w:r>
      <w:r w:rsidRPr="007D4E5F">
        <w:rPr>
          <w:rFonts w:ascii="Bookman Old Style" w:hAnsi="Bookman Old Style"/>
          <w:bCs/>
          <w:lang w:val="es-CO"/>
        </w:rPr>
        <w:t>de desviaciones de plantas de generación variable (plantas eólicas, solares fotovoltaicas y plantas filo de agua, que son despachadas centralmente).</w:t>
      </w:r>
    </w:p>
    <w:p w14:paraId="7256E8A4" w14:textId="77777777" w:rsidR="007D4E5F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</w:p>
    <w:p w14:paraId="66E1F067" w14:textId="0B27C29C" w:rsidR="00045D3D" w:rsidRPr="007D4E5F" w:rsidRDefault="007D4E5F" w:rsidP="008E3D99">
      <w:pPr>
        <w:ind w:left="0"/>
        <w:jc w:val="both"/>
        <w:rPr>
          <w:rFonts w:ascii="Bookman Old Style" w:hAnsi="Bookman Old Style"/>
          <w:bCs/>
          <w:lang w:val="es-CO"/>
        </w:rPr>
      </w:pPr>
      <w:r w:rsidRPr="007D4E5F">
        <w:rPr>
          <w:rFonts w:ascii="Bookman Old Style" w:hAnsi="Bookman Old Style"/>
          <w:bCs/>
          <w:lang w:val="es-CO"/>
        </w:rPr>
        <w:t>En las Resoluciones CREG 025 de 1995, 121 de 1998, 060 de 2019 y 148 de 2021, y en aquellas que las han modificado y adicionado, se presentan disposiciones y lineamientos para las pruebas que deben realizar las plantas de generación. Conforme a la regulación señalada, las plantas en pruebas pueden entregar su energía disponible sin incurrir en desviaciones del programa de generación pues no les aplica.</w:t>
      </w:r>
    </w:p>
    <w:p w14:paraId="04D08FF7" w14:textId="77777777" w:rsidR="00045D3D" w:rsidRDefault="00045D3D" w:rsidP="00045D3D">
      <w:pPr>
        <w:ind w:left="0"/>
        <w:jc w:val="both"/>
        <w:rPr>
          <w:rFonts w:ascii="Bookman Old Style" w:hAnsi="Bookman Old Style"/>
          <w:lang w:val="es-CO"/>
        </w:rPr>
      </w:pPr>
    </w:p>
    <w:p w14:paraId="7DBE4979" w14:textId="3C037B1C" w:rsidR="000E36D0" w:rsidRDefault="00CC5819" w:rsidP="00045D3D">
      <w:pPr>
        <w:ind w:left="0"/>
        <w:jc w:val="both"/>
        <w:rPr>
          <w:rFonts w:ascii="Bookman Old Style" w:hAnsi="Bookman Old Style"/>
          <w:lang w:val="es-CO"/>
        </w:rPr>
      </w:pPr>
      <w:r>
        <w:rPr>
          <w:rFonts w:ascii="Bookman Old Style" w:hAnsi="Bookman Old Style"/>
          <w:lang w:val="es-CO"/>
        </w:rPr>
        <w:t xml:space="preserve">Actualmente, se </w:t>
      </w:r>
      <w:r w:rsidR="00890AEC">
        <w:rPr>
          <w:rFonts w:ascii="Bookman Old Style" w:hAnsi="Bookman Old Style"/>
          <w:lang w:val="es-CO"/>
        </w:rPr>
        <w:t>está realizando</w:t>
      </w:r>
      <w:r>
        <w:rPr>
          <w:rFonts w:ascii="Bookman Old Style" w:hAnsi="Bookman Old Style"/>
          <w:lang w:val="es-CO"/>
        </w:rPr>
        <w:t xml:space="preserve"> </w:t>
      </w:r>
      <w:r w:rsidR="00890AEC">
        <w:rPr>
          <w:rFonts w:ascii="Bookman Old Style" w:hAnsi="Bookman Old Style"/>
          <w:lang w:val="es-CO"/>
        </w:rPr>
        <w:t>u</w:t>
      </w:r>
      <w:r>
        <w:rPr>
          <w:rFonts w:ascii="Bookman Old Style" w:hAnsi="Bookman Old Style"/>
          <w:lang w:val="es-CO"/>
        </w:rPr>
        <w:t>n estudio</w:t>
      </w:r>
      <w:r w:rsidR="00890AEC">
        <w:rPr>
          <w:rFonts w:ascii="Bookman Old Style" w:hAnsi="Bookman Old Style"/>
          <w:lang w:val="es-CO"/>
        </w:rPr>
        <w:t xml:space="preserve"> para determinar</w:t>
      </w:r>
      <w:r>
        <w:rPr>
          <w:rFonts w:ascii="Bookman Old Style" w:hAnsi="Bookman Old Style"/>
          <w:lang w:val="es-CO"/>
        </w:rPr>
        <w:t xml:space="preserve"> </w:t>
      </w:r>
      <w:r w:rsidR="000B6846">
        <w:rPr>
          <w:rFonts w:ascii="Bookman Old Style" w:hAnsi="Bookman Old Style"/>
          <w:lang w:val="es-CO"/>
        </w:rPr>
        <w:t xml:space="preserve">la </w:t>
      </w:r>
      <w:r w:rsidR="00C2373E">
        <w:rPr>
          <w:rFonts w:ascii="Bookman Old Style" w:hAnsi="Bookman Old Style"/>
          <w:lang w:val="es-CO"/>
        </w:rPr>
        <w:t xml:space="preserve">tolerancia máxima de desviaciones y el respectivo pago asociado </w:t>
      </w:r>
      <w:r w:rsidR="00910FD9">
        <w:rPr>
          <w:rFonts w:ascii="Bookman Old Style" w:hAnsi="Bookman Old Style"/>
          <w:lang w:val="es-CO"/>
        </w:rPr>
        <w:t>para</w:t>
      </w:r>
      <w:r w:rsidR="000B6846">
        <w:rPr>
          <w:rFonts w:ascii="Bookman Old Style" w:hAnsi="Bookman Old Style"/>
          <w:lang w:val="es-CO"/>
        </w:rPr>
        <w:t xml:space="preserve"> las plantas variables</w:t>
      </w:r>
      <w:r w:rsidR="00910FD9">
        <w:rPr>
          <w:rFonts w:ascii="Bookman Old Style" w:hAnsi="Bookman Old Style"/>
          <w:lang w:val="es-CO"/>
        </w:rPr>
        <w:t xml:space="preserve"> </w:t>
      </w:r>
      <w:r w:rsidR="001A5819">
        <w:rPr>
          <w:rFonts w:ascii="Bookman Old Style" w:hAnsi="Bookman Old Style"/>
          <w:lang w:val="es-CO"/>
        </w:rPr>
        <w:t>teniendo en cuenta factores como</w:t>
      </w:r>
      <w:r w:rsidR="00910FD9">
        <w:rPr>
          <w:rFonts w:ascii="Bookman Old Style" w:hAnsi="Bookman Old Style"/>
          <w:lang w:val="es-CO"/>
        </w:rPr>
        <w:t xml:space="preserve"> las condiciones </w:t>
      </w:r>
      <w:r w:rsidR="001A5819">
        <w:rPr>
          <w:rFonts w:ascii="Bookman Old Style" w:hAnsi="Bookman Old Style"/>
          <w:lang w:val="es-CO"/>
        </w:rPr>
        <w:t>del estado del tiempo en</w:t>
      </w:r>
      <w:r w:rsidR="00910FD9">
        <w:rPr>
          <w:rFonts w:ascii="Bookman Old Style" w:hAnsi="Bookman Old Style"/>
          <w:lang w:val="es-CO"/>
        </w:rPr>
        <w:t xml:space="preserve"> Colombi</w:t>
      </w:r>
      <w:r w:rsidR="00E26562">
        <w:rPr>
          <w:rFonts w:ascii="Bookman Old Style" w:hAnsi="Bookman Old Style"/>
          <w:lang w:val="es-CO"/>
        </w:rPr>
        <w:t>a.</w:t>
      </w:r>
    </w:p>
    <w:p w14:paraId="42952EBE" w14:textId="77777777" w:rsidR="000E36D0" w:rsidRPr="007D4E5F" w:rsidRDefault="000E36D0" w:rsidP="00045D3D">
      <w:pPr>
        <w:ind w:left="0"/>
        <w:jc w:val="both"/>
        <w:rPr>
          <w:rFonts w:ascii="Bookman Old Style" w:hAnsi="Bookman Old Style"/>
          <w:lang w:val="es-CO"/>
        </w:rPr>
      </w:pPr>
    </w:p>
    <w:p w14:paraId="502FA376" w14:textId="43E5B671" w:rsidR="00045D3D" w:rsidRDefault="00045D3D" w:rsidP="00045D3D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Comisión de Regulación de Energía y Gas, en su Sesión </w:t>
      </w:r>
      <w:r w:rsidR="00E910BA">
        <w:rPr>
          <w:rFonts w:ascii="Bookman Old Style" w:hAnsi="Bookman Old Style"/>
        </w:rPr>
        <w:t>1323</w:t>
      </w:r>
      <w:r w:rsidR="00DF3CA2">
        <w:rPr>
          <w:rFonts w:ascii="Bookman Old Style" w:hAnsi="Bookman Old Style"/>
        </w:rPr>
        <w:t xml:space="preserve"> del </w:t>
      </w:r>
      <w:r w:rsidR="00E910BA">
        <w:rPr>
          <w:rFonts w:ascii="Bookman Old Style" w:hAnsi="Bookman Old Style"/>
        </w:rPr>
        <w:t>2</w:t>
      </w:r>
      <w:r w:rsidR="002A3675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de </w:t>
      </w:r>
      <w:r w:rsidR="00E910BA">
        <w:rPr>
          <w:rFonts w:ascii="Bookman Old Style" w:hAnsi="Bookman Old Style"/>
        </w:rPr>
        <w:t>junio</w:t>
      </w:r>
      <w:r>
        <w:rPr>
          <w:rFonts w:ascii="Bookman Old Style" w:hAnsi="Bookman Old Style"/>
        </w:rPr>
        <w:t xml:space="preserve"> de </w:t>
      </w:r>
      <w:r w:rsidR="00E910BA">
        <w:rPr>
          <w:rFonts w:ascii="Bookman Old Style" w:hAnsi="Bookman Old Style"/>
        </w:rPr>
        <w:t>2024</w:t>
      </w:r>
      <w:r>
        <w:rPr>
          <w:rFonts w:ascii="Bookman Old Style" w:hAnsi="Bookman Old Style"/>
        </w:rPr>
        <w:t>, acordó expedir esta resolución.</w:t>
      </w:r>
    </w:p>
    <w:p w14:paraId="3DB41754" w14:textId="77777777" w:rsidR="00045D3D" w:rsidRDefault="00045D3D" w:rsidP="008E3D99">
      <w:pPr>
        <w:suppressAutoHyphens/>
        <w:ind w:left="0"/>
        <w:rPr>
          <w:rFonts w:ascii="Bookman Old Style" w:hAnsi="Bookman Old Style"/>
          <w:b/>
          <w:spacing w:val="-3"/>
        </w:rPr>
      </w:pPr>
    </w:p>
    <w:p w14:paraId="40EFC463" w14:textId="77777777" w:rsidR="00045D3D" w:rsidRPr="008E3D99" w:rsidRDefault="00045D3D" w:rsidP="00045D3D">
      <w:pPr>
        <w:suppressAutoHyphens/>
        <w:jc w:val="center"/>
        <w:rPr>
          <w:rFonts w:ascii="Bookman Old Style" w:hAnsi="Bookman Old Style"/>
          <w:spacing w:val="-3"/>
          <w:lang w:val="pt-PT"/>
        </w:rPr>
      </w:pPr>
      <w:r w:rsidRPr="008E3D99">
        <w:rPr>
          <w:rFonts w:ascii="Bookman Old Style" w:hAnsi="Bookman Old Style"/>
          <w:b/>
          <w:spacing w:val="-3"/>
          <w:lang w:val="pt-PT"/>
        </w:rPr>
        <w:t>R E S U E L V E:</w:t>
      </w:r>
    </w:p>
    <w:p w14:paraId="494DDFC2" w14:textId="77777777" w:rsidR="00045D3D" w:rsidRPr="008E3D99" w:rsidRDefault="00045D3D" w:rsidP="00045D3D">
      <w:pPr>
        <w:jc w:val="center"/>
        <w:rPr>
          <w:rFonts w:ascii="Bookman Old Style" w:hAnsi="Bookman Old Style"/>
          <w:lang w:val="pt-PT"/>
        </w:rPr>
      </w:pPr>
    </w:p>
    <w:p w14:paraId="4E3752CD" w14:textId="735EE8AB" w:rsidR="007D4E5F" w:rsidRPr="007D4E5F" w:rsidRDefault="007D4E5F" w:rsidP="007D4E5F">
      <w:pPr>
        <w:ind w:left="0"/>
        <w:jc w:val="both"/>
        <w:rPr>
          <w:rFonts w:ascii="Bookman Old Style" w:hAnsi="Bookman Old Style" w:cs="Arial"/>
          <w:bCs/>
        </w:rPr>
      </w:pPr>
      <w:r w:rsidRPr="008E3D99">
        <w:rPr>
          <w:rFonts w:ascii="Bookman Old Style" w:hAnsi="Bookman Old Style" w:cs="Arial"/>
          <w:b/>
          <w:lang w:val="pt-PT"/>
        </w:rPr>
        <w:t xml:space="preserve">ARTÍCULO 1. </w:t>
      </w:r>
      <w:r w:rsidRPr="008E3D99">
        <w:rPr>
          <w:rFonts w:ascii="Bookman Old Style" w:hAnsi="Bookman Old Style" w:cs="Arial"/>
          <w:b/>
        </w:rPr>
        <w:t>Desviaciones</w:t>
      </w:r>
      <w:r w:rsidRPr="007D4E5F">
        <w:rPr>
          <w:rFonts w:ascii="Bookman Old Style" w:hAnsi="Bookman Old Style" w:cs="Arial"/>
          <w:bCs/>
        </w:rPr>
        <w:t xml:space="preserve">. </w:t>
      </w:r>
      <w:r w:rsidRPr="007D4E5F">
        <w:rPr>
          <w:rFonts w:ascii="Bookman Old Style" w:hAnsi="Bookman Old Style" w:cs="Arial"/>
        </w:rPr>
        <w:t>XM S.A</w:t>
      </w:r>
      <w:r w:rsidR="00C5704E">
        <w:rPr>
          <w:rFonts w:ascii="Bookman Old Style" w:hAnsi="Bookman Old Style" w:cs="Arial"/>
        </w:rPr>
        <w:t>.</w:t>
      </w:r>
      <w:r w:rsidRPr="007D4E5F">
        <w:rPr>
          <w:rFonts w:ascii="Bookman Old Style" w:hAnsi="Bookman Old Style" w:cs="Arial"/>
        </w:rPr>
        <w:t xml:space="preserve"> E</w:t>
      </w:r>
      <w:r w:rsidR="00C5704E">
        <w:rPr>
          <w:rFonts w:ascii="Bookman Old Style" w:hAnsi="Bookman Old Style" w:cs="Arial"/>
        </w:rPr>
        <w:t>.</w:t>
      </w:r>
      <w:r w:rsidRPr="007D4E5F">
        <w:rPr>
          <w:rFonts w:ascii="Bookman Old Style" w:hAnsi="Bookman Old Style" w:cs="Arial"/>
        </w:rPr>
        <w:t>S</w:t>
      </w:r>
      <w:r w:rsidR="00C5704E">
        <w:rPr>
          <w:rFonts w:ascii="Bookman Old Style" w:hAnsi="Bookman Old Style" w:cs="Arial"/>
        </w:rPr>
        <w:t>.</w:t>
      </w:r>
      <w:r w:rsidRPr="007D4E5F">
        <w:rPr>
          <w:rFonts w:ascii="Bookman Old Style" w:hAnsi="Bookman Old Style" w:cs="Arial"/>
        </w:rPr>
        <w:t>P</w:t>
      </w:r>
      <w:r w:rsidR="00C5704E">
        <w:rPr>
          <w:rFonts w:ascii="Bookman Old Style" w:hAnsi="Bookman Old Style" w:cs="Arial"/>
        </w:rPr>
        <w:t>.</w:t>
      </w:r>
      <w:r w:rsidRPr="007D4E5F">
        <w:rPr>
          <w:rFonts w:ascii="Bookman Old Style" w:hAnsi="Bookman Old Style" w:cs="Arial"/>
        </w:rPr>
        <w:t xml:space="preserve"> en sus funciones del</w:t>
      </w:r>
      <w:r w:rsidRPr="007D4E5F">
        <w:rPr>
          <w:rFonts w:ascii="Bookman Old Style" w:hAnsi="Bookman Old Style" w:cs="Arial"/>
          <w:bCs/>
        </w:rPr>
        <w:t xml:space="preserve"> Centro Nacional de Despacho (CND) y </w:t>
      </w:r>
      <w:r w:rsidR="00B65C4A">
        <w:rPr>
          <w:rFonts w:ascii="Bookman Old Style" w:hAnsi="Bookman Old Style" w:cs="Arial"/>
          <w:bCs/>
        </w:rPr>
        <w:t>de</w:t>
      </w:r>
      <w:r w:rsidRPr="007D4E5F">
        <w:rPr>
          <w:rFonts w:ascii="Bookman Old Style" w:hAnsi="Bookman Old Style" w:cs="Arial"/>
          <w:bCs/>
        </w:rPr>
        <w:t xml:space="preserve"> Administrador del Sistema de Intercambios Comerciales (ASIC)</w:t>
      </w:r>
      <w:r w:rsidR="0098220F">
        <w:rPr>
          <w:rFonts w:ascii="Bookman Old Style" w:hAnsi="Bookman Old Style" w:cs="Arial"/>
          <w:bCs/>
        </w:rPr>
        <w:t>,</w:t>
      </w:r>
      <w:r w:rsidRPr="007D4E5F">
        <w:rPr>
          <w:rFonts w:ascii="Bookman Old Style" w:hAnsi="Bookman Old Style" w:cs="Arial"/>
          <w:bCs/>
        </w:rPr>
        <w:t xml:space="preserve"> deberá aplicar transitoriamente, según corresponda, para las desviaciones del programa de generación lo siguiente:</w:t>
      </w:r>
    </w:p>
    <w:p w14:paraId="3B7060CF" w14:textId="77777777" w:rsidR="007D4E5F" w:rsidRDefault="007D4E5F" w:rsidP="007D4E5F">
      <w:pPr>
        <w:ind w:left="0"/>
        <w:jc w:val="both"/>
        <w:rPr>
          <w:rFonts w:ascii="Bookman Old Style" w:hAnsi="Bookman Old Style" w:cs="Arial"/>
          <w:bCs/>
        </w:rPr>
      </w:pPr>
    </w:p>
    <w:p w14:paraId="4F99F725" w14:textId="2F9621A4" w:rsidR="005F3DD7" w:rsidRPr="0021241B" w:rsidRDefault="00C05415" w:rsidP="005F3DD7">
      <w:pPr>
        <w:ind w:left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P</w:t>
      </w:r>
      <w:r w:rsidR="005F3DD7" w:rsidRPr="0021241B">
        <w:rPr>
          <w:rFonts w:ascii="Bookman Old Style" w:hAnsi="Bookman Old Style" w:cs="Arial"/>
          <w:bCs/>
        </w:rPr>
        <w:t>ara las plantas de generación variable</w:t>
      </w:r>
      <w:r w:rsidR="005F3DD7">
        <w:rPr>
          <w:rFonts w:ascii="Bookman Old Style" w:hAnsi="Bookman Old Style" w:cs="Arial"/>
          <w:bCs/>
        </w:rPr>
        <w:t xml:space="preserve">, </w:t>
      </w:r>
      <w:r w:rsidR="005F3DD7" w:rsidRPr="0021241B">
        <w:rPr>
          <w:rFonts w:ascii="Bookman Old Style" w:hAnsi="Bookman Old Style" w:cs="Arial"/>
          <w:bCs/>
        </w:rPr>
        <w:t>su desviación diaria y horaria será de cero indistintamente de los valores que se presenten en su programa de generación, programa de redespacho y generación real</w:t>
      </w:r>
      <w:r>
        <w:rPr>
          <w:rFonts w:ascii="Bookman Old Style" w:hAnsi="Bookman Old Style" w:cs="Arial"/>
          <w:bCs/>
        </w:rPr>
        <w:t>, e</w:t>
      </w:r>
      <w:r w:rsidRPr="0021241B">
        <w:rPr>
          <w:rFonts w:ascii="Bookman Old Style" w:hAnsi="Bookman Old Style" w:cs="Arial"/>
          <w:bCs/>
        </w:rPr>
        <w:t xml:space="preserve">n aplicación del literal </w:t>
      </w:r>
      <w:r w:rsidRPr="0021241B">
        <w:rPr>
          <w:rFonts w:ascii="Bookman Old Style" w:hAnsi="Bookman Old Style" w:cs="Arial"/>
          <w:bCs/>
        </w:rPr>
        <w:lastRenderedPageBreak/>
        <w:t xml:space="preserve">b </w:t>
      </w:r>
      <w:r>
        <w:rPr>
          <w:rFonts w:ascii="Bookman Old Style" w:hAnsi="Bookman Old Style" w:cs="Arial"/>
          <w:bCs/>
        </w:rPr>
        <w:t>d</w:t>
      </w:r>
      <w:r w:rsidRPr="0021241B">
        <w:rPr>
          <w:rFonts w:ascii="Bookman Old Style" w:hAnsi="Bookman Old Style" w:cs="Arial"/>
          <w:bCs/>
        </w:rPr>
        <w:t xml:space="preserve">el </w:t>
      </w:r>
      <w:r>
        <w:rPr>
          <w:rFonts w:ascii="Bookman Old Style" w:hAnsi="Bookman Old Style" w:cs="Arial"/>
          <w:bCs/>
        </w:rPr>
        <w:t>n</w:t>
      </w:r>
      <w:r w:rsidRPr="0021241B">
        <w:rPr>
          <w:rFonts w:ascii="Bookman Old Style" w:hAnsi="Bookman Old Style" w:cs="Arial"/>
          <w:bCs/>
        </w:rPr>
        <w:t>umeral 1.1.5 del Anexo A de la Resolución CREG 024 de 1995, modificado por el artículo 30 de la Resolución CREG 060 de 2019</w:t>
      </w:r>
      <w:r>
        <w:rPr>
          <w:rFonts w:ascii="Bookman Old Style" w:hAnsi="Bookman Old Style" w:cs="Arial"/>
          <w:bCs/>
        </w:rPr>
        <w:t>.</w:t>
      </w:r>
    </w:p>
    <w:p w14:paraId="60AB1E09" w14:textId="77777777" w:rsidR="005F3DD7" w:rsidRPr="0021241B" w:rsidRDefault="005F3DD7" w:rsidP="005F3DD7">
      <w:pPr>
        <w:ind w:left="0"/>
        <w:jc w:val="both"/>
        <w:rPr>
          <w:rFonts w:ascii="Bookman Old Style" w:hAnsi="Bookman Old Style" w:cs="Arial"/>
          <w:bCs/>
        </w:rPr>
      </w:pPr>
    </w:p>
    <w:p w14:paraId="7B116D37" w14:textId="77777777" w:rsidR="0021241B" w:rsidRPr="0021241B" w:rsidRDefault="0021241B" w:rsidP="0021241B">
      <w:pPr>
        <w:ind w:left="0"/>
        <w:jc w:val="both"/>
        <w:rPr>
          <w:rFonts w:ascii="Bookman Old Style" w:hAnsi="Bookman Old Style" w:cs="Arial"/>
          <w:bCs/>
        </w:rPr>
      </w:pPr>
    </w:p>
    <w:p w14:paraId="6E1F5276" w14:textId="1B04ABBD" w:rsidR="0021241B" w:rsidRDefault="0021241B" w:rsidP="0021241B">
      <w:pPr>
        <w:ind w:left="0"/>
        <w:jc w:val="both"/>
        <w:rPr>
          <w:rFonts w:ascii="Bookman Old Style" w:hAnsi="Bookman Old Style" w:cs="Arial"/>
          <w:bCs/>
        </w:rPr>
      </w:pPr>
      <w:r w:rsidRPr="0021241B">
        <w:rPr>
          <w:rFonts w:ascii="Bookman Old Style" w:hAnsi="Bookman Old Style" w:cs="Arial"/>
          <w:bCs/>
        </w:rPr>
        <w:t>Las medidas aquí dispuestas están sujetas al cumplimiento de los criterios de seguridad, calidad y confiabilidad del SIN definidos en la regulación vigente. Adicionalmente, esta medida no exime a que los recursos de generación no realicen su mejor estimación de disponibilidad para el despacho y redespacho.</w:t>
      </w:r>
    </w:p>
    <w:p w14:paraId="00549F38" w14:textId="77777777" w:rsidR="0021241B" w:rsidRDefault="0021241B" w:rsidP="007D4E5F">
      <w:pPr>
        <w:ind w:left="0"/>
        <w:jc w:val="both"/>
        <w:rPr>
          <w:rFonts w:ascii="Bookman Old Style" w:hAnsi="Bookman Old Style" w:cs="Arial"/>
          <w:bCs/>
        </w:rPr>
      </w:pPr>
    </w:p>
    <w:p w14:paraId="00DA1F90" w14:textId="4DFA3F0F" w:rsidR="00196F83" w:rsidRDefault="00196F83" w:rsidP="007D4E5F">
      <w:pPr>
        <w:ind w:left="0"/>
        <w:jc w:val="both"/>
        <w:rPr>
          <w:rFonts w:ascii="Bookman Old Style" w:hAnsi="Bookman Old Style" w:cs="Arial"/>
          <w:bCs/>
        </w:rPr>
      </w:pPr>
      <w:r w:rsidRPr="00A05BF8">
        <w:rPr>
          <w:rFonts w:ascii="Bookman Old Style" w:hAnsi="Bookman Old Style" w:cs="Arial"/>
          <w:b/>
        </w:rPr>
        <w:t>Parágrafo.</w:t>
      </w:r>
      <w:r>
        <w:rPr>
          <w:rFonts w:ascii="Bookman Old Style" w:hAnsi="Bookman Old Style" w:cs="Arial"/>
          <w:bCs/>
        </w:rPr>
        <w:t xml:space="preserve"> Una vez cumplido el plazo de que</w:t>
      </w:r>
      <w:r w:rsidR="00FB4A79">
        <w:rPr>
          <w:rFonts w:ascii="Bookman Old Style" w:hAnsi="Bookman Old Style" w:cs="Arial"/>
          <w:bCs/>
        </w:rPr>
        <w:t xml:space="preserve"> trata</w:t>
      </w:r>
      <w:r>
        <w:rPr>
          <w:rFonts w:ascii="Bookman Old Style" w:hAnsi="Bookman Old Style" w:cs="Arial"/>
          <w:bCs/>
        </w:rPr>
        <w:t xml:space="preserve"> el artículo </w:t>
      </w:r>
      <w:r w:rsidR="00C81E65">
        <w:rPr>
          <w:rFonts w:ascii="Bookman Old Style" w:hAnsi="Bookman Old Style" w:cs="Arial"/>
          <w:bCs/>
        </w:rPr>
        <w:t>3</w:t>
      </w:r>
      <w:r w:rsidR="00110450">
        <w:rPr>
          <w:rFonts w:ascii="Bookman Old Style" w:hAnsi="Bookman Old Style" w:cs="Arial"/>
          <w:bCs/>
        </w:rPr>
        <w:t xml:space="preserve"> de la presente resolución, la Comisión estudiará la implementación de una variación </w:t>
      </w:r>
      <w:r w:rsidR="00A37460">
        <w:rPr>
          <w:rFonts w:ascii="Bookman Old Style" w:hAnsi="Bookman Old Style" w:cs="Arial"/>
          <w:bCs/>
        </w:rPr>
        <w:t xml:space="preserve">en la fórmula de </w:t>
      </w:r>
      <w:r w:rsidR="00777635">
        <w:rPr>
          <w:rFonts w:ascii="Bookman Old Style" w:hAnsi="Bookman Old Style" w:cs="Arial"/>
          <w:bCs/>
        </w:rPr>
        <w:t xml:space="preserve">cálculo </w:t>
      </w:r>
      <w:r w:rsidR="00656A26">
        <w:rPr>
          <w:rFonts w:ascii="Bookman Old Style" w:hAnsi="Bookman Old Style" w:cs="Arial"/>
          <w:bCs/>
        </w:rPr>
        <w:t>de las desviaciones y su</w:t>
      </w:r>
      <w:r w:rsidR="00AF10FF">
        <w:rPr>
          <w:rFonts w:ascii="Bookman Old Style" w:hAnsi="Bookman Old Style" w:cs="Arial"/>
          <w:bCs/>
        </w:rPr>
        <w:t xml:space="preserve"> </w:t>
      </w:r>
      <w:r w:rsidR="00A37460">
        <w:rPr>
          <w:rFonts w:ascii="Bookman Old Style" w:hAnsi="Bookman Old Style" w:cs="Arial"/>
          <w:bCs/>
        </w:rPr>
        <w:t xml:space="preserve">pago </w:t>
      </w:r>
      <w:r w:rsidR="00656A26">
        <w:rPr>
          <w:rFonts w:ascii="Bookman Old Style" w:hAnsi="Bookman Old Style" w:cs="Arial"/>
          <w:bCs/>
        </w:rPr>
        <w:t>correspondiente</w:t>
      </w:r>
      <w:r w:rsidR="005404F9">
        <w:rPr>
          <w:rFonts w:ascii="Bookman Old Style" w:hAnsi="Bookman Old Style" w:cs="Arial"/>
          <w:bCs/>
        </w:rPr>
        <w:t>.</w:t>
      </w:r>
    </w:p>
    <w:p w14:paraId="6979C116" w14:textId="77777777" w:rsidR="007D4E5F" w:rsidRPr="007D4E5F" w:rsidRDefault="007D4E5F" w:rsidP="007D4E5F">
      <w:pPr>
        <w:rPr>
          <w:rFonts w:ascii="Bookman Old Style" w:hAnsi="Bookman Old Style" w:cs="Arial"/>
        </w:rPr>
      </w:pPr>
    </w:p>
    <w:p w14:paraId="7EF15004" w14:textId="0E5FD9EB" w:rsidR="007D4E5F" w:rsidRPr="007D4E5F" w:rsidRDefault="007D4E5F" w:rsidP="007D4E5F">
      <w:pPr>
        <w:ind w:left="0"/>
        <w:jc w:val="both"/>
        <w:rPr>
          <w:rFonts w:ascii="Bookman Old Style" w:hAnsi="Bookman Old Style" w:cs="Arial"/>
          <w:bCs/>
        </w:rPr>
      </w:pPr>
      <w:r w:rsidRPr="007D4E5F">
        <w:rPr>
          <w:rFonts w:ascii="Bookman Old Style" w:hAnsi="Bookman Old Style" w:cs="Arial"/>
          <w:b/>
        </w:rPr>
        <w:t xml:space="preserve">ARTÍCULO </w:t>
      </w:r>
      <w:r w:rsidR="00C27CEC">
        <w:rPr>
          <w:rFonts w:ascii="Bookman Old Style" w:hAnsi="Bookman Old Style" w:cs="Arial"/>
          <w:b/>
        </w:rPr>
        <w:t>2</w:t>
      </w:r>
      <w:r w:rsidRPr="007D4E5F">
        <w:rPr>
          <w:rFonts w:ascii="Bookman Old Style" w:hAnsi="Bookman Old Style" w:cs="Arial"/>
          <w:b/>
        </w:rPr>
        <w:t>.</w:t>
      </w:r>
      <w:r w:rsidRPr="007D4E5F">
        <w:rPr>
          <w:rFonts w:ascii="Bookman Old Style" w:hAnsi="Bookman Old Style" w:cs="Arial"/>
          <w:i/>
        </w:rPr>
        <w:t xml:space="preserve"> </w:t>
      </w:r>
      <w:r w:rsidRPr="00C27CEC">
        <w:rPr>
          <w:rFonts w:ascii="Bookman Old Style" w:hAnsi="Bookman Old Style" w:cs="Arial"/>
          <w:b/>
        </w:rPr>
        <w:t>Liquidación de desviaciones.</w:t>
      </w:r>
      <w:r w:rsidRPr="007D4E5F">
        <w:rPr>
          <w:rFonts w:ascii="Bookman Old Style" w:hAnsi="Bookman Old Style" w:cs="Arial"/>
          <w:bCs/>
        </w:rPr>
        <w:t xml:space="preserve"> Las reglas para la liquidación de las desviaciones establecidas en el artículo 1 de la presente resolución deberán ser aplicadas por </w:t>
      </w:r>
      <w:r w:rsidR="008B1007">
        <w:rPr>
          <w:rFonts w:ascii="Bookman Old Style" w:hAnsi="Bookman Old Style" w:cs="Arial"/>
          <w:bCs/>
        </w:rPr>
        <w:t>XM en</w:t>
      </w:r>
      <w:r w:rsidR="00E2247B">
        <w:rPr>
          <w:rFonts w:ascii="Bookman Old Style" w:hAnsi="Bookman Old Style" w:cs="Arial"/>
          <w:bCs/>
        </w:rPr>
        <w:t xml:space="preserve"> su</w:t>
      </w:r>
      <w:r w:rsidR="008B1007">
        <w:rPr>
          <w:rFonts w:ascii="Bookman Old Style" w:hAnsi="Bookman Old Style" w:cs="Arial"/>
          <w:bCs/>
        </w:rPr>
        <w:t xml:space="preserve"> función </w:t>
      </w:r>
      <w:r w:rsidR="00E2247B">
        <w:rPr>
          <w:rFonts w:ascii="Bookman Old Style" w:hAnsi="Bookman Old Style" w:cs="Arial"/>
          <w:bCs/>
        </w:rPr>
        <w:t xml:space="preserve">de </w:t>
      </w:r>
      <w:r w:rsidR="00D61757">
        <w:rPr>
          <w:rFonts w:ascii="Bookman Old Style" w:hAnsi="Bookman Old Style" w:cs="Arial"/>
          <w:bCs/>
        </w:rPr>
        <w:t xml:space="preserve">Administrador </w:t>
      </w:r>
      <w:r w:rsidR="00E2247B">
        <w:rPr>
          <w:rFonts w:ascii="Bookman Old Style" w:hAnsi="Bookman Old Style" w:cs="Arial"/>
          <w:bCs/>
        </w:rPr>
        <w:t xml:space="preserve">del Sistema de Intercambios Comerciales </w:t>
      </w:r>
      <w:r w:rsidR="00FB4A79">
        <w:rPr>
          <w:rFonts w:ascii="Bookman Old Style" w:hAnsi="Bookman Old Style" w:cs="Arial"/>
          <w:bCs/>
        </w:rPr>
        <w:t>(</w:t>
      </w:r>
      <w:r w:rsidRPr="007D4E5F">
        <w:rPr>
          <w:rFonts w:ascii="Bookman Old Style" w:hAnsi="Bookman Old Style" w:cs="Arial"/>
          <w:bCs/>
        </w:rPr>
        <w:t>ASIC</w:t>
      </w:r>
      <w:r w:rsidR="00FB4A79">
        <w:rPr>
          <w:rFonts w:ascii="Bookman Old Style" w:hAnsi="Bookman Old Style" w:cs="Arial"/>
          <w:bCs/>
        </w:rPr>
        <w:t>),</w:t>
      </w:r>
      <w:r w:rsidRPr="007D4E5F">
        <w:rPr>
          <w:rFonts w:ascii="Bookman Old Style" w:hAnsi="Bookman Old Style" w:cs="Arial"/>
          <w:bCs/>
        </w:rPr>
        <w:t xml:space="preserve"> a más tardar en la versión final de la facturación mensual para el mes de aplicación de la presente resolución.</w:t>
      </w:r>
    </w:p>
    <w:p w14:paraId="0A97A04B" w14:textId="77777777" w:rsidR="007D4E5F" w:rsidRPr="007D4E5F" w:rsidRDefault="007D4E5F" w:rsidP="007D4E5F">
      <w:pPr>
        <w:ind w:left="0"/>
        <w:jc w:val="both"/>
        <w:rPr>
          <w:rFonts w:ascii="Bookman Old Style" w:hAnsi="Bookman Old Style" w:cs="Arial"/>
          <w:bCs/>
        </w:rPr>
      </w:pPr>
    </w:p>
    <w:p w14:paraId="7D707677" w14:textId="54D6E8B4" w:rsidR="007D4E5F" w:rsidRPr="007D4E5F" w:rsidRDefault="007D4E5F" w:rsidP="007D4E5F">
      <w:pPr>
        <w:ind w:left="0"/>
        <w:jc w:val="both"/>
        <w:rPr>
          <w:rFonts w:ascii="Bookman Old Style" w:hAnsi="Bookman Old Style" w:cs="Arial"/>
          <w:bCs/>
        </w:rPr>
      </w:pPr>
      <w:r w:rsidRPr="007D4E5F">
        <w:rPr>
          <w:rFonts w:ascii="Bookman Old Style" w:hAnsi="Bookman Old Style" w:cs="Arial"/>
          <w:b/>
        </w:rPr>
        <w:t xml:space="preserve">ARTÍCULO </w:t>
      </w:r>
      <w:r w:rsidR="00C27CEC">
        <w:rPr>
          <w:rFonts w:ascii="Bookman Old Style" w:hAnsi="Bookman Old Style" w:cs="Arial"/>
          <w:b/>
        </w:rPr>
        <w:t>3</w:t>
      </w:r>
      <w:r w:rsidRPr="007D4E5F">
        <w:rPr>
          <w:rFonts w:ascii="Bookman Old Style" w:hAnsi="Bookman Old Style" w:cs="Arial"/>
          <w:b/>
        </w:rPr>
        <w:t>.</w:t>
      </w:r>
      <w:r w:rsidRPr="007D4E5F">
        <w:rPr>
          <w:rFonts w:ascii="Bookman Old Style" w:hAnsi="Bookman Old Style" w:cs="Arial"/>
          <w:bCs/>
        </w:rPr>
        <w:t xml:space="preserve"> </w:t>
      </w:r>
      <w:r w:rsidRPr="007D4E5F">
        <w:rPr>
          <w:rFonts w:ascii="Bookman Old Style" w:hAnsi="Bookman Old Style" w:cs="Arial"/>
          <w:b/>
          <w:bCs/>
        </w:rPr>
        <w:t>Vigencia</w:t>
      </w:r>
      <w:r w:rsidRPr="007D4E5F">
        <w:rPr>
          <w:rFonts w:ascii="Bookman Old Style" w:hAnsi="Bookman Old Style" w:cs="Arial"/>
          <w:bCs/>
        </w:rPr>
        <w:t xml:space="preserve">. </w:t>
      </w:r>
      <w:r w:rsidRPr="007D4E5F">
        <w:rPr>
          <w:rFonts w:ascii="Bookman Old Style" w:hAnsi="Bookman Old Style" w:cs="Arial"/>
          <w:color w:val="000000" w:themeColor="text1"/>
        </w:rPr>
        <w:t>La presente resolución rige a partir de su publicación en el </w:t>
      </w:r>
      <w:r w:rsidRPr="007D4E5F">
        <w:rPr>
          <w:rFonts w:ascii="Bookman Old Style" w:hAnsi="Bookman Old Style" w:cs="Arial"/>
          <w:i/>
          <w:color w:val="000000" w:themeColor="text1"/>
        </w:rPr>
        <w:t>Diario Oficial</w:t>
      </w:r>
      <w:r w:rsidR="000677FA">
        <w:rPr>
          <w:rFonts w:ascii="Bookman Old Style" w:hAnsi="Bookman Old Style" w:cs="Arial"/>
          <w:color w:val="000000" w:themeColor="text1"/>
        </w:rPr>
        <w:t xml:space="preserve"> y hasta por tres (3) meses</w:t>
      </w:r>
      <w:r w:rsidR="00C05415">
        <w:rPr>
          <w:rFonts w:ascii="Bookman Old Style" w:hAnsi="Bookman Old Style" w:cs="Arial"/>
          <w:color w:val="000000" w:themeColor="text1"/>
        </w:rPr>
        <w:t>,</w:t>
      </w:r>
      <w:r w:rsidR="00D21309">
        <w:rPr>
          <w:rFonts w:ascii="Bookman Old Style" w:hAnsi="Bookman Old Style" w:cs="Arial"/>
          <w:color w:val="000000" w:themeColor="text1"/>
        </w:rPr>
        <w:t xml:space="preserve"> término que podrá ser ampliado por la Comisión.</w:t>
      </w:r>
    </w:p>
    <w:p w14:paraId="5E7D9FE0" w14:textId="77777777" w:rsidR="007D4E5F" w:rsidRPr="007D4E5F" w:rsidRDefault="007D4E5F" w:rsidP="007D4E5F">
      <w:pPr>
        <w:jc w:val="both"/>
        <w:rPr>
          <w:rFonts w:ascii="Bookman Old Style" w:hAnsi="Bookman Old Style" w:cs="Arial"/>
          <w:i/>
        </w:rPr>
      </w:pPr>
    </w:p>
    <w:p w14:paraId="4C3505C4" w14:textId="77777777" w:rsidR="00045D3D" w:rsidRPr="007D4E5F" w:rsidRDefault="00045D3D" w:rsidP="00045D3D">
      <w:pPr>
        <w:ind w:left="0"/>
        <w:rPr>
          <w:rFonts w:ascii="Bookman Old Style" w:hAnsi="Bookman Old Style"/>
        </w:rPr>
      </w:pPr>
    </w:p>
    <w:p w14:paraId="292B1F06" w14:textId="77777777" w:rsidR="00045D3D" w:rsidRPr="00C435C3" w:rsidRDefault="002903C0" w:rsidP="00045D3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NOTIFÍQUESE, </w:t>
      </w:r>
      <w:r w:rsidR="00045D3D" w:rsidRPr="00C435C3">
        <w:rPr>
          <w:rFonts w:ascii="Bookman Old Style" w:hAnsi="Bookman Old Style"/>
          <w:b/>
        </w:rPr>
        <w:t>PU</w:t>
      </w:r>
      <w:r w:rsidR="00CA03C8">
        <w:rPr>
          <w:rFonts w:ascii="Bookman Old Style" w:hAnsi="Bookman Old Style"/>
          <w:b/>
        </w:rPr>
        <w:t>B</w:t>
      </w:r>
      <w:r w:rsidR="00045D3D" w:rsidRPr="00C435C3">
        <w:rPr>
          <w:rFonts w:ascii="Bookman Old Style" w:hAnsi="Bookman Old Style"/>
          <w:b/>
        </w:rPr>
        <w:t>LÍQUESE Y CÚMPLASE</w:t>
      </w:r>
    </w:p>
    <w:p w14:paraId="7651F574" w14:textId="77777777" w:rsidR="00045D3D" w:rsidRPr="00C435C3" w:rsidRDefault="00045D3D" w:rsidP="00045D3D">
      <w:pPr>
        <w:rPr>
          <w:rFonts w:ascii="Bookman Old Style" w:hAnsi="Bookman Old Style"/>
        </w:rPr>
      </w:pPr>
    </w:p>
    <w:p w14:paraId="41425FE5" w14:textId="05164F6F" w:rsidR="00045D3D" w:rsidRDefault="00045D3D" w:rsidP="00045D3D">
      <w:pPr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Dada en Bogotá, D.C.</w:t>
      </w:r>
      <w:r w:rsidR="00CA3AA6">
        <w:rPr>
          <w:rFonts w:ascii="Bookman Old Style" w:hAnsi="Bookman Old Style"/>
        </w:rPr>
        <w:t xml:space="preserve"> a</w:t>
      </w:r>
      <w:r w:rsidR="005C6F50">
        <w:rPr>
          <w:rFonts w:ascii="Bookman Old Style" w:hAnsi="Bookman Old Style"/>
        </w:rPr>
        <w:t xml:space="preserve"> los </w:t>
      </w:r>
      <w:r w:rsidR="008E3D99">
        <w:rPr>
          <w:rFonts w:ascii="Bookman Old Style" w:hAnsi="Bookman Old Style"/>
        </w:rPr>
        <w:t>20</w:t>
      </w:r>
      <w:r w:rsidR="005C6F50">
        <w:rPr>
          <w:rFonts w:ascii="Bookman Old Style" w:hAnsi="Bookman Old Style"/>
        </w:rPr>
        <w:t xml:space="preserve"> días del mes de junio de 2024</w:t>
      </w:r>
      <w:r w:rsidR="00686131">
        <w:rPr>
          <w:rFonts w:ascii="Bookman Old Style" w:hAnsi="Bookman Old Style"/>
        </w:rPr>
        <w:t>.</w:t>
      </w:r>
    </w:p>
    <w:sectPr w:rsidR="00045D3D" w:rsidSect="005A59EF">
      <w:headerReference w:type="default" r:id="rId9"/>
      <w:headerReference w:type="first" r:id="rId10"/>
      <w:type w:val="continuous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6C9E" w14:textId="77777777" w:rsidR="008631BE" w:rsidRDefault="008631BE">
      <w:r>
        <w:separator/>
      </w:r>
    </w:p>
  </w:endnote>
  <w:endnote w:type="continuationSeparator" w:id="0">
    <w:p w14:paraId="3BAA1032" w14:textId="77777777" w:rsidR="008631BE" w:rsidRDefault="0086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9CB2" w14:textId="77777777" w:rsidR="008631BE" w:rsidRDefault="008631BE">
      <w:r>
        <w:separator/>
      </w:r>
    </w:p>
  </w:footnote>
  <w:footnote w:type="continuationSeparator" w:id="0">
    <w:p w14:paraId="11C53163" w14:textId="77777777" w:rsidR="008631BE" w:rsidRDefault="0086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87ED" w14:textId="77777777" w:rsidR="00CC51D4" w:rsidRDefault="00CC51D4" w:rsidP="00951F79">
    <w:pPr>
      <w:pStyle w:val="Ttulo1"/>
      <w:ind w:right="6"/>
      <w:jc w:val="left"/>
      <w:rPr>
        <w:rFonts w:ascii="Bookman Old Style" w:hAnsi="Bookman Old Style" w:cs="Arial"/>
        <w:b w:val="0"/>
        <w:sz w:val="22"/>
        <w:szCs w:val="22"/>
      </w:rPr>
    </w:pPr>
  </w:p>
  <w:p w14:paraId="267D8AF5" w14:textId="7FB37DFE" w:rsidR="0087657D" w:rsidRPr="00951F79" w:rsidRDefault="005C6F50" w:rsidP="009F4BEC">
    <w:pPr>
      <w:pStyle w:val="Ttulo1"/>
      <w:ind w:left="0" w:right="6"/>
      <w:jc w:val="left"/>
      <w:rPr>
        <w:rFonts w:ascii="Bookman Old Style" w:hAnsi="Bookman Old Style" w:cs="Arial"/>
        <w:b w:val="0"/>
        <w:sz w:val="22"/>
        <w:szCs w:val="22"/>
      </w:rPr>
    </w:pPr>
    <w:r>
      <w:rPr>
        <w:rFonts w:ascii="Bookman Old Style" w:hAnsi="Bookman Old Style" w:cs="Arial"/>
        <w:b w:val="0"/>
        <w:sz w:val="22"/>
        <w:szCs w:val="22"/>
      </w:rPr>
      <w:t xml:space="preserve">PROYECTO DE </w:t>
    </w:r>
    <w:r w:rsidR="00725FA4" w:rsidRPr="00654384">
      <w:rPr>
        <w:rFonts w:ascii="Bookman Old Style" w:hAnsi="Bookman Old Style" w:cs="Arial"/>
        <w:b w:val="0"/>
        <w:sz w:val="22"/>
        <w:szCs w:val="22"/>
      </w:rPr>
      <w:t>RESOLUCIÓN No.</w:t>
    </w:r>
    <w:r w:rsidR="00951F79">
      <w:rPr>
        <w:rFonts w:ascii="Bookman Old Style" w:hAnsi="Bookman Old Style" w:cs="Arial"/>
        <w:b w:val="0"/>
        <w:sz w:val="22"/>
        <w:szCs w:val="22"/>
      </w:rPr>
      <w:t xml:space="preserve">  </w:t>
    </w:r>
    <w:r w:rsidR="008E3D99" w:rsidRPr="008E3D99">
      <w:rPr>
        <w:rFonts w:ascii="Bookman Old Style" w:hAnsi="Bookman Old Style" w:cs="Arial"/>
        <w:bCs/>
        <w:sz w:val="22"/>
        <w:szCs w:val="22"/>
        <w:u w:val="single"/>
      </w:rPr>
      <w:t>701 052</w:t>
    </w:r>
    <w:r w:rsidR="00725FA4" w:rsidRPr="00654384">
      <w:rPr>
        <w:rFonts w:ascii="Bookman Old Style" w:hAnsi="Bookman Old Style" w:cs="Arial"/>
        <w:b w:val="0"/>
        <w:sz w:val="22"/>
        <w:szCs w:val="22"/>
      </w:rPr>
      <w:tab/>
    </w:r>
    <w:r w:rsidR="00886EE1">
      <w:rPr>
        <w:rFonts w:ascii="Bookman Old Style" w:hAnsi="Bookman Old Style" w:cs="Arial"/>
        <w:b w:val="0"/>
        <w:sz w:val="22"/>
        <w:szCs w:val="22"/>
      </w:rPr>
      <w:t>DE</w:t>
    </w:r>
    <w:r w:rsidR="000D26F8">
      <w:rPr>
        <w:rFonts w:ascii="Bookman Old Style" w:hAnsi="Bookman Old Style" w:cs="Arial"/>
        <w:b w:val="0"/>
        <w:sz w:val="22"/>
        <w:szCs w:val="22"/>
      </w:rPr>
      <w:t xml:space="preserve"> </w:t>
    </w:r>
    <w:r w:rsidR="008E3D99" w:rsidRPr="008E3D99">
      <w:rPr>
        <w:rFonts w:ascii="Bookman Old Style" w:hAnsi="Bookman Old Style" w:cs="Arial"/>
        <w:bCs/>
        <w:sz w:val="22"/>
        <w:szCs w:val="22"/>
        <w:u w:val="single"/>
      </w:rPr>
      <w:t>20 JUN. 2024</w:t>
    </w:r>
    <w:r w:rsidR="003D076C">
      <w:rPr>
        <w:rFonts w:ascii="Bookman Old Style" w:hAnsi="Bookman Old Style" w:cs="Arial"/>
        <w:b w:val="0"/>
        <w:sz w:val="22"/>
        <w:szCs w:val="22"/>
      </w:rPr>
      <w:tab/>
    </w:r>
    <w:r w:rsidR="00725FA4" w:rsidRPr="00654384">
      <w:rPr>
        <w:rFonts w:ascii="Bookman Old Style" w:hAnsi="Bookman Old Style" w:cs="Arial"/>
        <w:b w:val="0"/>
        <w:sz w:val="22"/>
        <w:szCs w:val="22"/>
      </w:rPr>
      <w:t>HOJA No.</w:t>
    </w:r>
    <w:r w:rsidR="00593C4F" w:rsidRPr="00654384">
      <w:rPr>
        <w:rFonts w:ascii="Bookman Old Style" w:hAnsi="Bookman Old Style" w:cs="Arial"/>
        <w:b w:val="0"/>
        <w:sz w:val="22"/>
        <w:szCs w:val="22"/>
      </w:rPr>
      <w:t xml:space="preserve"> 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begin"/>
    </w:r>
    <w:r w:rsidR="00593C4F" w:rsidRPr="00654384">
      <w:rPr>
        <w:rFonts w:ascii="Bookman Old Style" w:hAnsi="Bookman Old Style" w:cs="Arial"/>
        <w:b w:val="0"/>
        <w:sz w:val="22"/>
        <w:szCs w:val="22"/>
      </w:rPr>
      <w:instrText xml:space="preserve"> PAGE   \* MERGEFORMAT </w:instrTex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separate"/>
    </w:r>
    <w:r w:rsidR="00F77D2D">
      <w:rPr>
        <w:rFonts w:ascii="Bookman Old Style" w:hAnsi="Bookman Old Style" w:cs="Arial"/>
        <w:b w:val="0"/>
        <w:noProof/>
        <w:sz w:val="22"/>
        <w:szCs w:val="22"/>
      </w:rPr>
      <w:t>2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end"/>
    </w:r>
    <w:r w:rsidR="00725FA4" w:rsidRPr="00654384">
      <w:rPr>
        <w:rFonts w:ascii="Bookman Old Style" w:hAnsi="Bookman Old Style" w:cs="Arial"/>
        <w:b w:val="0"/>
        <w:sz w:val="22"/>
        <w:szCs w:val="22"/>
      </w:rPr>
      <w:t>/</w:t>
    </w:r>
    <w:fldSimple w:instr=" NUMPAGES  \* MERGEFORMAT ">
      <w:r w:rsidR="00F77D2D" w:rsidRPr="00F77D2D">
        <w:rPr>
          <w:rFonts w:ascii="Bookman Old Style" w:hAnsi="Bookman Old Style" w:cs="Arial"/>
          <w:b w:val="0"/>
          <w:noProof/>
          <w:sz w:val="22"/>
          <w:szCs w:val="22"/>
        </w:rPr>
        <w:t>2</w:t>
      </w:r>
    </w:fldSimple>
  </w:p>
  <w:p w14:paraId="39489639" w14:textId="4A2B8A3C" w:rsidR="006F6D95" w:rsidRPr="00702216" w:rsidRDefault="00DF16F5" w:rsidP="00AD01E4">
    <w:pPr>
      <w:ind w:left="142" w:right="148"/>
      <w:rPr>
        <w:rFonts w:ascii="Bookman Old Style" w:hAnsi="Bookman Old Style" w:cs="Arial"/>
        <w:bCs/>
        <w:sz w:val="28"/>
        <w:szCs w:val="28"/>
      </w:rPr>
    </w:pPr>
    <w:r w:rsidRPr="0042068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ACA9D" wp14:editId="1EC6C2CA">
              <wp:simplePos x="0" y="0"/>
              <wp:positionH relativeFrom="column">
                <wp:posOffset>-175260</wp:posOffset>
              </wp:positionH>
              <wp:positionV relativeFrom="paragraph">
                <wp:posOffset>139065</wp:posOffset>
              </wp:positionV>
              <wp:extent cx="6267450" cy="9900920"/>
              <wp:effectExtent l="15240" t="15240" r="13335" b="184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009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3C70F" id="Rectangle 1" o:spid="_x0000_s1026" style="position:absolute;margin-left:-13.8pt;margin-top:10.95pt;width:493.5pt;height:77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" filled="f" strokeweight="1.5pt"/>
          </w:pict>
        </mc:Fallback>
      </mc:AlternateContent>
    </w:r>
  </w:p>
  <w:p w14:paraId="16086E3D" w14:textId="513EC787" w:rsidR="0044318E" w:rsidRPr="00702216" w:rsidRDefault="0044318E" w:rsidP="008938E5">
    <w:pPr>
      <w:pBdr>
        <w:bottom w:val="single" w:sz="4" w:space="0" w:color="auto"/>
      </w:pBdr>
      <w:ind w:left="142" w:right="148"/>
      <w:rPr>
        <w:rFonts w:ascii="Bookman Old Style" w:hAnsi="Bookman Old Style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DA16" w14:textId="77777777" w:rsidR="00725FA4" w:rsidRDefault="00025383" w:rsidP="00025383">
    <w:pPr>
      <w:pStyle w:val="Encabezado"/>
      <w:jc w:val="both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 xml:space="preserve">                                   </w:t>
    </w:r>
    <w:r w:rsidR="00725FA4">
      <w:rPr>
        <w:rFonts w:ascii="Arial" w:hAnsi="Arial" w:cs="Arial"/>
        <w:spacing w:val="20"/>
        <w:sz w:val="20"/>
      </w:rPr>
      <w:t>República de Colombia</w:t>
    </w:r>
  </w:p>
  <w:p w14:paraId="273850B7" w14:textId="77777777" w:rsidR="00725FA4" w:rsidRDefault="00725FA4">
    <w:pPr>
      <w:pStyle w:val="Encabezado"/>
      <w:jc w:val="center"/>
      <w:rPr>
        <w:rFonts w:ascii="Arial" w:hAnsi="Arial" w:cs="Arial"/>
        <w:spacing w:val="20"/>
        <w:sz w:val="20"/>
      </w:rPr>
    </w:pPr>
  </w:p>
  <w:p w14:paraId="367D4456" w14:textId="76DA3229" w:rsidR="00725FA4" w:rsidRDefault="00DF16F5" w:rsidP="00CA77FB">
    <w:pPr>
      <w:pStyle w:val="Encabezado"/>
      <w:jc w:val="center"/>
    </w:pPr>
    <w:r w:rsidRPr="0042068C">
      <w:rPr>
        <w:rFonts w:ascii="Arial" w:hAnsi="Arial" w:cs="Arial"/>
        <w:noProof/>
        <w:spacing w:val="20"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BBCF4" wp14:editId="53AB8A01">
              <wp:simplePos x="0" y="0"/>
              <wp:positionH relativeFrom="column">
                <wp:posOffset>-213360</wp:posOffset>
              </wp:positionH>
              <wp:positionV relativeFrom="paragraph">
                <wp:posOffset>377190</wp:posOffset>
              </wp:positionV>
              <wp:extent cx="6343650" cy="9839325"/>
              <wp:effectExtent l="9525" t="14605" r="9525" b="139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678AB" id="Rectangle 2" o:spid="_x0000_s1026" style="position:absolute;margin-left:-16.8pt;margin-top:29.7pt;width:499.5pt;height:7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2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1F"/>
    <w:multiLevelType w:val="multilevel"/>
    <w:tmpl w:val="0000001F"/>
    <w:name w:val="WW8StyleNum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1E67325"/>
    <w:multiLevelType w:val="hybridMultilevel"/>
    <w:tmpl w:val="66568F00"/>
    <w:lvl w:ilvl="0" w:tplc="DB8C2DD0">
      <w:start w:val="1"/>
      <w:numFmt w:val="decimal"/>
      <w:lvlText w:val="Artículo %1. "/>
      <w:lvlJc w:val="left"/>
      <w:pPr>
        <w:ind w:left="57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3061BFF"/>
    <w:multiLevelType w:val="hybridMultilevel"/>
    <w:tmpl w:val="78C4842A"/>
    <w:lvl w:ilvl="0" w:tplc="CB589430">
      <w:start w:val="1"/>
      <w:numFmt w:val="decimal"/>
      <w:lvlText w:val="Artículo 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E0429"/>
    <w:multiLevelType w:val="hybridMultilevel"/>
    <w:tmpl w:val="F5D2FE3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F36714"/>
    <w:multiLevelType w:val="hybridMultilevel"/>
    <w:tmpl w:val="0F70A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F6A33A">
      <w:start w:val="1"/>
      <w:numFmt w:val="lowerLetter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00DC7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5D51"/>
    <w:multiLevelType w:val="hybridMultilevel"/>
    <w:tmpl w:val="80327F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3142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D670D"/>
    <w:multiLevelType w:val="hybridMultilevel"/>
    <w:tmpl w:val="619AD000"/>
    <w:lvl w:ilvl="0" w:tplc="2C8EB58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5278E"/>
    <w:multiLevelType w:val="hybridMultilevel"/>
    <w:tmpl w:val="EFD8B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62"/>
    <w:multiLevelType w:val="hybridMultilevel"/>
    <w:tmpl w:val="1388A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C7569"/>
    <w:multiLevelType w:val="hybridMultilevel"/>
    <w:tmpl w:val="F7400AF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9BD2712"/>
    <w:multiLevelType w:val="hybridMultilevel"/>
    <w:tmpl w:val="5E24EA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0D2F"/>
    <w:multiLevelType w:val="multilevel"/>
    <w:tmpl w:val="F0CC82C2"/>
    <w:lvl w:ilvl="0">
      <w:start w:val="1"/>
      <w:numFmt w:val="decimal"/>
      <w:lvlText w:val="Artículo %1."/>
      <w:lvlJc w:val="right"/>
      <w:pPr>
        <w:tabs>
          <w:tab w:val="num" w:pos="1721"/>
        </w:tabs>
        <w:ind w:left="0" w:firstLine="1361"/>
      </w:pPr>
      <w:rPr>
        <w:rFonts w:ascii="Bookman Old Style" w:hAnsi="Bookman Old Style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5">
      <w:start w:val="1"/>
      <w:numFmt w:val="lowerRoman"/>
      <w:lvlText w:val="%6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524B4D29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701BA2"/>
    <w:multiLevelType w:val="hybridMultilevel"/>
    <w:tmpl w:val="7BAE5532"/>
    <w:lvl w:ilvl="0" w:tplc="FDAEAC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510"/>
    <w:multiLevelType w:val="hybridMultilevel"/>
    <w:tmpl w:val="0BE8FE34"/>
    <w:lvl w:ilvl="0" w:tplc="BA30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D0C41"/>
    <w:multiLevelType w:val="hybridMultilevel"/>
    <w:tmpl w:val="69D48B7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D92CEC"/>
    <w:multiLevelType w:val="hybridMultilevel"/>
    <w:tmpl w:val="2C20241E"/>
    <w:lvl w:ilvl="0" w:tplc="137491D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420DC0"/>
    <w:multiLevelType w:val="hybridMultilevel"/>
    <w:tmpl w:val="6C241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51132"/>
    <w:multiLevelType w:val="hybridMultilevel"/>
    <w:tmpl w:val="D234C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601F8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D0067"/>
    <w:multiLevelType w:val="hybridMultilevel"/>
    <w:tmpl w:val="60AAD7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53670">
    <w:abstractNumId w:val="12"/>
  </w:num>
  <w:num w:numId="2" w16cid:durableId="1497382030">
    <w:abstractNumId w:val="5"/>
  </w:num>
  <w:num w:numId="3" w16cid:durableId="1643658739">
    <w:abstractNumId w:val="22"/>
  </w:num>
  <w:num w:numId="4" w16cid:durableId="1416053916">
    <w:abstractNumId w:val="6"/>
  </w:num>
  <w:num w:numId="5" w16cid:durableId="1460681335">
    <w:abstractNumId w:val="16"/>
  </w:num>
  <w:num w:numId="6" w16cid:durableId="432214895">
    <w:abstractNumId w:val="4"/>
  </w:num>
  <w:num w:numId="7" w16cid:durableId="845751384">
    <w:abstractNumId w:val="3"/>
  </w:num>
  <w:num w:numId="8" w16cid:durableId="29301030">
    <w:abstractNumId w:val="18"/>
  </w:num>
  <w:num w:numId="9" w16cid:durableId="2003662021">
    <w:abstractNumId w:val="17"/>
  </w:num>
  <w:num w:numId="10" w16cid:durableId="2014674860">
    <w:abstractNumId w:val="13"/>
  </w:num>
  <w:num w:numId="11" w16cid:durableId="958032325">
    <w:abstractNumId w:val="23"/>
  </w:num>
  <w:num w:numId="12" w16cid:durableId="1838691975">
    <w:abstractNumId w:val="20"/>
  </w:num>
  <w:num w:numId="13" w16cid:durableId="273679532">
    <w:abstractNumId w:val="10"/>
  </w:num>
  <w:num w:numId="14" w16cid:durableId="2070683866">
    <w:abstractNumId w:val="2"/>
  </w:num>
  <w:num w:numId="15" w16cid:durableId="1975476040">
    <w:abstractNumId w:val="14"/>
  </w:num>
  <w:num w:numId="16" w16cid:durableId="83963299">
    <w:abstractNumId w:val="1"/>
  </w:num>
  <w:num w:numId="17" w16cid:durableId="353533871">
    <w:abstractNumId w:val="9"/>
  </w:num>
  <w:num w:numId="18" w16cid:durableId="788664195">
    <w:abstractNumId w:val="0"/>
  </w:num>
  <w:num w:numId="19" w16cid:durableId="1454788596">
    <w:abstractNumId w:val="19"/>
  </w:num>
  <w:num w:numId="20" w16cid:durableId="1999069271">
    <w:abstractNumId w:val="15"/>
  </w:num>
  <w:num w:numId="21" w16cid:durableId="1075667280">
    <w:abstractNumId w:val="7"/>
  </w:num>
  <w:num w:numId="22" w16cid:durableId="40371620">
    <w:abstractNumId w:val="8"/>
  </w:num>
  <w:num w:numId="23" w16cid:durableId="634259047">
    <w:abstractNumId w:val="11"/>
  </w:num>
  <w:num w:numId="24" w16cid:durableId="19368604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0"/>
    <w:rsid w:val="00005E14"/>
    <w:rsid w:val="00006AE2"/>
    <w:rsid w:val="000076A1"/>
    <w:rsid w:val="00007DB2"/>
    <w:rsid w:val="00012259"/>
    <w:rsid w:val="00025383"/>
    <w:rsid w:val="00037404"/>
    <w:rsid w:val="00045D3D"/>
    <w:rsid w:val="00053B31"/>
    <w:rsid w:val="00063657"/>
    <w:rsid w:val="000677FA"/>
    <w:rsid w:val="00076680"/>
    <w:rsid w:val="00076A1D"/>
    <w:rsid w:val="0008073E"/>
    <w:rsid w:val="00091CDB"/>
    <w:rsid w:val="000A0E50"/>
    <w:rsid w:val="000A19AC"/>
    <w:rsid w:val="000B2EC9"/>
    <w:rsid w:val="000B6846"/>
    <w:rsid w:val="000D26F8"/>
    <w:rsid w:val="000E36D0"/>
    <w:rsid w:val="00106654"/>
    <w:rsid w:val="00110450"/>
    <w:rsid w:val="001136F2"/>
    <w:rsid w:val="0013526C"/>
    <w:rsid w:val="001405C6"/>
    <w:rsid w:val="00141013"/>
    <w:rsid w:val="00172F26"/>
    <w:rsid w:val="001733FB"/>
    <w:rsid w:val="00192CBF"/>
    <w:rsid w:val="00192FF1"/>
    <w:rsid w:val="00196F83"/>
    <w:rsid w:val="001A5819"/>
    <w:rsid w:val="001A5F1B"/>
    <w:rsid w:val="001B1C22"/>
    <w:rsid w:val="001B34C6"/>
    <w:rsid w:val="001B4D63"/>
    <w:rsid w:val="001D7832"/>
    <w:rsid w:val="00206EF9"/>
    <w:rsid w:val="00210DC1"/>
    <w:rsid w:val="00211D34"/>
    <w:rsid w:val="0021241B"/>
    <w:rsid w:val="00214F04"/>
    <w:rsid w:val="0022100F"/>
    <w:rsid w:val="002352B9"/>
    <w:rsid w:val="00266CD6"/>
    <w:rsid w:val="002673AC"/>
    <w:rsid w:val="00275DAB"/>
    <w:rsid w:val="002903C0"/>
    <w:rsid w:val="002A3675"/>
    <w:rsid w:val="002A782A"/>
    <w:rsid w:val="002B11E2"/>
    <w:rsid w:val="002B24B8"/>
    <w:rsid w:val="002B70CC"/>
    <w:rsid w:val="002D3AE9"/>
    <w:rsid w:val="002D4510"/>
    <w:rsid w:val="002D4E85"/>
    <w:rsid w:val="002F0734"/>
    <w:rsid w:val="002F175F"/>
    <w:rsid w:val="002F46E7"/>
    <w:rsid w:val="003101DA"/>
    <w:rsid w:val="003111C3"/>
    <w:rsid w:val="00314757"/>
    <w:rsid w:val="003163BC"/>
    <w:rsid w:val="003211CE"/>
    <w:rsid w:val="00323044"/>
    <w:rsid w:val="0035403A"/>
    <w:rsid w:val="0036394B"/>
    <w:rsid w:val="00366DB6"/>
    <w:rsid w:val="003709B5"/>
    <w:rsid w:val="003759C2"/>
    <w:rsid w:val="00397365"/>
    <w:rsid w:val="003A31F6"/>
    <w:rsid w:val="003C3447"/>
    <w:rsid w:val="003D076C"/>
    <w:rsid w:val="003E78B5"/>
    <w:rsid w:val="00415BAB"/>
    <w:rsid w:val="00415ED2"/>
    <w:rsid w:val="0042068C"/>
    <w:rsid w:val="0044318E"/>
    <w:rsid w:val="00443B35"/>
    <w:rsid w:val="0045488D"/>
    <w:rsid w:val="0047122B"/>
    <w:rsid w:val="00471793"/>
    <w:rsid w:val="00473B7A"/>
    <w:rsid w:val="004960E9"/>
    <w:rsid w:val="004A2E88"/>
    <w:rsid w:val="004A5305"/>
    <w:rsid w:val="004D7634"/>
    <w:rsid w:val="004E27F4"/>
    <w:rsid w:val="004E5894"/>
    <w:rsid w:val="004E611A"/>
    <w:rsid w:val="004F6460"/>
    <w:rsid w:val="004F7F3E"/>
    <w:rsid w:val="005241A4"/>
    <w:rsid w:val="005300D3"/>
    <w:rsid w:val="005404F9"/>
    <w:rsid w:val="00542A10"/>
    <w:rsid w:val="00544F82"/>
    <w:rsid w:val="005509D2"/>
    <w:rsid w:val="00554AB5"/>
    <w:rsid w:val="00554DBD"/>
    <w:rsid w:val="00567258"/>
    <w:rsid w:val="00593C4F"/>
    <w:rsid w:val="005946A8"/>
    <w:rsid w:val="00594819"/>
    <w:rsid w:val="005A23B6"/>
    <w:rsid w:val="005A4407"/>
    <w:rsid w:val="005A59EF"/>
    <w:rsid w:val="005B1C7E"/>
    <w:rsid w:val="005C468F"/>
    <w:rsid w:val="005C6976"/>
    <w:rsid w:val="005C6F50"/>
    <w:rsid w:val="005D055A"/>
    <w:rsid w:val="005F3DD7"/>
    <w:rsid w:val="005F6F41"/>
    <w:rsid w:val="00625DC6"/>
    <w:rsid w:val="0064391D"/>
    <w:rsid w:val="0064655E"/>
    <w:rsid w:val="00651821"/>
    <w:rsid w:val="00654384"/>
    <w:rsid w:val="00656A26"/>
    <w:rsid w:val="006675CD"/>
    <w:rsid w:val="00672B07"/>
    <w:rsid w:val="00674818"/>
    <w:rsid w:val="00684D9B"/>
    <w:rsid w:val="0068510A"/>
    <w:rsid w:val="00686131"/>
    <w:rsid w:val="00697556"/>
    <w:rsid w:val="006B4647"/>
    <w:rsid w:val="006B4C2B"/>
    <w:rsid w:val="006B6194"/>
    <w:rsid w:val="006B6D47"/>
    <w:rsid w:val="006C5AFE"/>
    <w:rsid w:val="006F2EC8"/>
    <w:rsid w:val="006F6D95"/>
    <w:rsid w:val="00702216"/>
    <w:rsid w:val="00706F13"/>
    <w:rsid w:val="007072E8"/>
    <w:rsid w:val="0071618D"/>
    <w:rsid w:val="00725FA4"/>
    <w:rsid w:val="00740446"/>
    <w:rsid w:val="007438A9"/>
    <w:rsid w:val="0074491E"/>
    <w:rsid w:val="0076247A"/>
    <w:rsid w:val="00775964"/>
    <w:rsid w:val="007765FE"/>
    <w:rsid w:val="00777635"/>
    <w:rsid w:val="00794E2E"/>
    <w:rsid w:val="00795BFB"/>
    <w:rsid w:val="007A6181"/>
    <w:rsid w:val="007B2760"/>
    <w:rsid w:val="007B5A60"/>
    <w:rsid w:val="007D4E5F"/>
    <w:rsid w:val="00806C01"/>
    <w:rsid w:val="008148CC"/>
    <w:rsid w:val="008211A4"/>
    <w:rsid w:val="008230EF"/>
    <w:rsid w:val="0084693A"/>
    <w:rsid w:val="00855E48"/>
    <w:rsid w:val="00857B54"/>
    <w:rsid w:val="008631BE"/>
    <w:rsid w:val="00873150"/>
    <w:rsid w:val="0087657D"/>
    <w:rsid w:val="008807D5"/>
    <w:rsid w:val="00880832"/>
    <w:rsid w:val="008840FB"/>
    <w:rsid w:val="00886EE1"/>
    <w:rsid w:val="0088727D"/>
    <w:rsid w:val="00890AEC"/>
    <w:rsid w:val="008938E5"/>
    <w:rsid w:val="00897C75"/>
    <w:rsid w:val="008B1007"/>
    <w:rsid w:val="008C1130"/>
    <w:rsid w:val="008D18E6"/>
    <w:rsid w:val="008D7A9B"/>
    <w:rsid w:val="008E0060"/>
    <w:rsid w:val="008E3D99"/>
    <w:rsid w:val="008E7091"/>
    <w:rsid w:val="008E76AC"/>
    <w:rsid w:val="008F21F6"/>
    <w:rsid w:val="00900895"/>
    <w:rsid w:val="00900C09"/>
    <w:rsid w:val="00910FD9"/>
    <w:rsid w:val="00944296"/>
    <w:rsid w:val="00951F79"/>
    <w:rsid w:val="00974AB5"/>
    <w:rsid w:val="0098220F"/>
    <w:rsid w:val="0098706D"/>
    <w:rsid w:val="009935FB"/>
    <w:rsid w:val="009B3644"/>
    <w:rsid w:val="009C69BF"/>
    <w:rsid w:val="009E3691"/>
    <w:rsid w:val="009F4A54"/>
    <w:rsid w:val="009F4BEC"/>
    <w:rsid w:val="009F5874"/>
    <w:rsid w:val="00A04813"/>
    <w:rsid w:val="00A05BF8"/>
    <w:rsid w:val="00A06511"/>
    <w:rsid w:val="00A25FD7"/>
    <w:rsid w:val="00A37460"/>
    <w:rsid w:val="00A43AFF"/>
    <w:rsid w:val="00A7793A"/>
    <w:rsid w:val="00A80AB9"/>
    <w:rsid w:val="00AA1B46"/>
    <w:rsid w:val="00AA4CC7"/>
    <w:rsid w:val="00AA5E8E"/>
    <w:rsid w:val="00AB2BAD"/>
    <w:rsid w:val="00AB5EB5"/>
    <w:rsid w:val="00AB6CA7"/>
    <w:rsid w:val="00AC51BC"/>
    <w:rsid w:val="00AD01E4"/>
    <w:rsid w:val="00AD0858"/>
    <w:rsid w:val="00AE02E3"/>
    <w:rsid w:val="00AE7340"/>
    <w:rsid w:val="00AF10FF"/>
    <w:rsid w:val="00AF1BBD"/>
    <w:rsid w:val="00AF6543"/>
    <w:rsid w:val="00B00BC3"/>
    <w:rsid w:val="00B10207"/>
    <w:rsid w:val="00B141E7"/>
    <w:rsid w:val="00B2062D"/>
    <w:rsid w:val="00B351B4"/>
    <w:rsid w:val="00B3659D"/>
    <w:rsid w:val="00B46899"/>
    <w:rsid w:val="00B46BCA"/>
    <w:rsid w:val="00B478AA"/>
    <w:rsid w:val="00B5250E"/>
    <w:rsid w:val="00B57171"/>
    <w:rsid w:val="00B65C4A"/>
    <w:rsid w:val="00B87806"/>
    <w:rsid w:val="00B87EC9"/>
    <w:rsid w:val="00B96C10"/>
    <w:rsid w:val="00BA0F0D"/>
    <w:rsid w:val="00BA4420"/>
    <w:rsid w:val="00BC180C"/>
    <w:rsid w:val="00BC38FD"/>
    <w:rsid w:val="00C034CB"/>
    <w:rsid w:val="00C051A8"/>
    <w:rsid w:val="00C05415"/>
    <w:rsid w:val="00C054BC"/>
    <w:rsid w:val="00C17897"/>
    <w:rsid w:val="00C2373E"/>
    <w:rsid w:val="00C27CEC"/>
    <w:rsid w:val="00C409D5"/>
    <w:rsid w:val="00C435C3"/>
    <w:rsid w:val="00C44E5F"/>
    <w:rsid w:val="00C51B7C"/>
    <w:rsid w:val="00C5704E"/>
    <w:rsid w:val="00C6234B"/>
    <w:rsid w:val="00C63EAE"/>
    <w:rsid w:val="00C72165"/>
    <w:rsid w:val="00C73260"/>
    <w:rsid w:val="00C7629F"/>
    <w:rsid w:val="00C81E65"/>
    <w:rsid w:val="00C85649"/>
    <w:rsid w:val="00C8661B"/>
    <w:rsid w:val="00CA03C8"/>
    <w:rsid w:val="00CA139A"/>
    <w:rsid w:val="00CA2899"/>
    <w:rsid w:val="00CA3A3D"/>
    <w:rsid w:val="00CA3AA6"/>
    <w:rsid w:val="00CA50BD"/>
    <w:rsid w:val="00CA531A"/>
    <w:rsid w:val="00CA77FB"/>
    <w:rsid w:val="00CB379B"/>
    <w:rsid w:val="00CB5DD0"/>
    <w:rsid w:val="00CC1830"/>
    <w:rsid w:val="00CC51D4"/>
    <w:rsid w:val="00CC5819"/>
    <w:rsid w:val="00CC65DA"/>
    <w:rsid w:val="00CF21B9"/>
    <w:rsid w:val="00CF6BF9"/>
    <w:rsid w:val="00D03800"/>
    <w:rsid w:val="00D065D3"/>
    <w:rsid w:val="00D14C94"/>
    <w:rsid w:val="00D21309"/>
    <w:rsid w:val="00D342A6"/>
    <w:rsid w:val="00D45CA6"/>
    <w:rsid w:val="00D464BF"/>
    <w:rsid w:val="00D53E26"/>
    <w:rsid w:val="00D61757"/>
    <w:rsid w:val="00D83F43"/>
    <w:rsid w:val="00DB182C"/>
    <w:rsid w:val="00DB3D9F"/>
    <w:rsid w:val="00DD1CB9"/>
    <w:rsid w:val="00DD4F0E"/>
    <w:rsid w:val="00DF0BF0"/>
    <w:rsid w:val="00DF16F5"/>
    <w:rsid w:val="00DF3CA2"/>
    <w:rsid w:val="00DF753F"/>
    <w:rsid w:val="00E01463"/>
    <w:rsid w:val="00E05E0A"/>
    <w:rsid w:val="00E060BE"/>
    <w:rsid w:val="00E2247B"/>
    <w:rsid w:val="00E26562"/>
    <w:rsid w:val="00E534CF"/>
    <w:rsid w:val="00E63920"/>
    <w:rsid w:val="00E7702E"/>
    <w:rsid w:val="00E81CB4"/>
    <w:rsid w:val="00E8585B"/>
    <w:rsid w:val="00E87F41"/>
    <w:rsid w:val="00E910BA"/>
    <w:rsid w:val="00EA3F15"/>
    <w:rsid w:val="00EA7847"/>
    <w:rsid w:val="00EB4C2F"/>
    <w:rsid w:val="00EE2E6E"/>
    <w:rsid w:val="00F0759E"/>
    <w:rsid w:val="00F16A43"/>
    <w:rsid w:val="00F46780"/>
    <w:rsid w:val="00F55DB1"/>
    <w:rsid w:val="00F6725F"/>
    <w:rsid w:val="00F75342"/>
    <w:rsid w:val="00F77D2D"/>
    <w:rsid w:val="00F821A3"/>
    <w:rsid w:val="00F9314A"/>
    <w:rsid w:val="00F940B2"/>
    <w:rsid w:val="00FA00C2"/>
    <w:rsid w:val="00FA436A"/>
    <w:rsid w:val="00FB4A79"/>
    <w:rsid w:val="00FC58EF"/>
    <w:rsid w:val="00FD33DF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9E9890C"/>
  <w15:chartTrackingRefBased/>
  <w15:docId w15:val="{9A204BFE-BF51-470B-9C8D-5FFD1F03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uiPriority w:val="34"/>
    <w:rsid w:val="001405C6"/>
    <w:rPr>
      <w:lang w:val="es-CO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customStyle="1" w:styleId="Epgrafe">
    <w:name w:val="Epígrafe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6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7D4E5F"/>
    <w:pPr>
      <w:spacing w:before="100" w:beforeAutospacing="1" w:after="100" w:afterAutospacing="1"/>
      <w:ind w:left="0"/>
    </w:pPr>
    <w:rPr>
      <w:rFonts w:eastAsiaTheme="minorEastAsia"/>
      <w:lang w:val="es-CO" w:eastAsia="es-CO"/>
    </w:rPr>
  </w:style>
  <w:style w:type="paragraph" w:styleId="Revisin">
    <w:name w:val="Revision"/>
    <w:hidden/>
    <w:uiPriority w:val="99"/>
    <w:semiHidden/>
    <w:rsid w:val="00B96C1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7</TotalTime>
  <Pages>1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LSROJAS</dc:creator>
  <cp:keywords/>
  <cp:lastModifiedBy>Wilson Sanchez Sanchez</cp:lastModifiedBy>
  <cp:revision>7</cp:revision>
  <cp:lastPrinted>2024-06-24T23:45:00Z</cp:lastPrinted>
  <dcterms:created xsi:type="dcterms:W3CDTF">2024-06-24T22:51:00Z</dcterms:created>
  <dcterms:modified xsi:type="dcterms:W3CDTF">2024-06-24T23:45:00Z</dcterms:modified>
</cp:coreProperties>
</file>