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4143B" w14:textId="77777777" w:rsidR="00020441" w:rsidRDefault="00000520">
      <w:r>
        <w:rPr>
          <w:noProof/>
          <w:sz w:val="20"/>
          <w:lang w:val="es-CO" w:eastAsia="es-CO"/>
        </w:rPr>
        <w:drawing>
          <wp:anchor distT="0" distB="0" distL="114300" distR="114300" simplePos="0" relativeHeight="251657728"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p w14:paraId="626BE014" w14:textId="77777777" w:rsidR="00020441" w:rsidRDefault="00020441" w:rsidP="003C55ED">
      <w:pPr>
        <w:pStyle w:val="TDC1"/>
      </w:pPr>
    </w:p>
    <w:p w14:paraId="59F27ABD" w14:textId="77777777" w:rsidR="00020441" w:rsidRDefault="00020441" w:rsidP="003C55ED">
      <w:pPr>
        <w:pStyle w:val="TDC1"/>
      </w:pPr>
    </w:p>
    <w:p w14:paraId="465B98F3" w14:textId="77777777" w:rsidR="00020441" w:rsidRDefault="00020441"/>
    <w:p w14:paraId="43077885" w14:textId="77777777" w:rsidR="00020441" w:rsidRDefault="00020441"/>
    <w:p w14:paraId="10A762C8" w14:textId="77777777" w:rsidR="00020441" w:rsidRDefault="00020441"/>
    <w:p w14:paraId="00854BAE" w14:textId="0A4220E4" w:rsidR="00020441" w:rsidRDefault="00322372">
      <w:pPr>
        <w:pStyle w:val="Textoindependiente"/>
        <w:jc w:val="both"/>
        <w:rPr>
          <w:bCs/>
          <w:sz w:val="32"/>
        </w:rPr>
      </w:pPr>
      <w:r w:rsidRPr="00322372">
        <w:rPr>
          <w:sz w:val="40"/>
        </w:rPr>
        <w:t>MEDIDAS TRANSITORIAS PARA EL CÁLCULO Y EL PAGO DE DESVIACIONES DE LAS PLANTAS VARIABLES</w:t>
      </w:r>
    </w:p>
    <w:p w14:paraId="14B50E75" w14:textId="77777777" w:rsidR="00020441" w:rsidRDefault="00020441" w:rsidP="003C55ED">
      <w:pPr>
        <w:pStyle w:val="TDC1"/>
      </w:pPr>
    </w:p>
    <w:p w14:paraId="00F8537C" w14:textId="77777777" w:rsidR="00020441" w:rsidRDefault="00020441"/>
    <w:p w14:paraId="51A764C5" w14:textId="77777777" w:rsidR="00020441" w:rsidRDefault="00020441"/>
    <w:p w14:paraId="1222BB47" w14:textId="77777777" w:rsidR="00020441" w:rsidRDefault="00020441"/>
    <w:p w14:paraId="59776045" w14:textId="77777777" w:rsidR="00020441" w:rsidRDefault="00020441"/>
    <w:p w14:paraId="53B509DC" w14:textId="7D90F736" w:rsidR="00020441" w:rsidRDefault="00020441">
      <w:pPr>
        <w:rPr>
          <w:b/>
          <w:caps/>
          <w:sz w:val="36"/>
          <w:lang w:val="es-ES"/>
        </w:rPr>
      </w:pPr>
      <w:r>
        <w:rPr>
          <w:b/>
          <w:caps/>
          <w:sz w:val="28"/>
          <w:lang w:val="es-ES"/>
        </w:rPr>
        <w:t xml:space="preserve">DOCUMENTO </w:t>
      </w:r>
      <w:r>
        <w:rPr>
          <w:b/>
          <w:caps/>
          <w:sz w:val="40"/>
          <w:lang w:val="es-ES"/>
        </w:rPr>
        <w:t>CREG-</w:t>
      </w:r>
      <w:r w:rsidR="00B425AB" w:rsidRPr="00B425AB">
        <w:rPr>
          <w:rFonts w:cs="Arial"/>
          <w:b/>
          <w:bCs/>
          <w:sz w:val="40"/>
          <w:szCs w:val="40"/>
          <w:lang w:val="es-MX"/>
        </w:rPr>
        <w:fldChar w:fldCharType="begin"/>
      </w:r>
      <w:r w:rsidR="00B425AB" w:rsidRPr="00B425AB">
        <w:rPr>
          <w:rFonts w:cs="Arial"/>
          <w:b/>
          <w:bCs/>
          <w:sz w:val="40"/>
          <w:szCs w:val="40"/>
          <w:lang w:val="es-MX"/>
        </w:rPr>
        <w:instrText xml:space="preserve"> MERGEFIELD  Consecutivo  \* MERGEFORMAT </w:instrText>
      </w:r>
      <w:r w:rsidR="00B425AB" w:rsidRPr="00B425AB">
        <w:rPr>
          <w:rFonts w:cs="Arial"/>
          <w:b/>
          <w:bCs/>
          <w:sz w:val="40"/>
          <w:szCs w:val="40"/>
          <w:lang w:val="es-MX"/>
        </w:rPr>
        <w:fldChar w:fldCharType="separate"/>
      </w:r>
      <w:r w:rsidR="00B425AB" w:rsidRPr="00B425AB">
        <w:rPr>
          <w:rFonts w:cs="Arial"/>
          <w:b/>
          <w:bCs/>
          <w:noProof/>
          <w:sz w:val="40"/>
          <w:szCs w:val="40"/>
          <w:lang w:val="es-MX"/>
        </w:rPr>
        <w:t>901 102</w:t>
      </w:r>
      <w:r w:rsidR="00B425AB" w:rsidRPr="00B425AB">
        <w:rPr>
          <w:rFonts w:cs="Arial"/>
          <w:b/>
          <w:bCs/>
          <w:sz w:val="40"/>
          <w:szCs w:val="40"/>
          <w:lang w:val="es-MX"/>
        </w:rPr>
        <w:fldChar w:fldCharType="end"/>
      </w:r>
    </w:p>
    <w:p w14:paraId="44F07507" w14:textId="3CCCF13F" w:rsidR="000B5AD2" w:rsidRDefault="00F40D91" w:rsidP="00F40D91">
      <w:pPr>
        <w:tabs>
          <w:tab w:val="left" w:pos="9142"/>
        </w:tabs>
        <w:ind w:left="9142" w:hanging="9142"/>
        <w:jc w:val="left"/>
        <w:rPr>
          <w:rFonts w:cs="Arial"/>
          <w:b/>
          <w:bCs/>
          <w:sz w:val="28"/>
          <w:szCs w:val="28"/>
          <w:lang w:val="es-MX"/>
        </w:rPr>
      </w:pPr>
      <w:r w:rsidRPr="00F40D91">
        <w:rPr>
          <w:rFonts w:cs="Arial"/>
          <w:b/>
          <w:bCs/>
          <w:sz w:val="28"/>
          <w:szCs w:val="28"/>
          <w:lang w:val="es-MX"/>
        </w:rPr>
        <w:fldChar w:fldCharType="begin"/>
      </w:r>
      <w:r w:rsidRPr="00F40D91">
        <w:rPr>
          <w:rFonts w:cs="Arial"/>
          <w:b/>
          <w:bCs/>
          <w:sz w:val="28"/>
          <w:szCs w:val="28"/>
          <w:lang w:val="es-MX"/>
        </w:rPr>
        <w:instrText xml:space="preserve"> MERGEFIELD  Fecha  \* MERGEFORMAT </w:instrText>
      </w:r>
      <w:r w:rsidRPr="00F40D91">
        <w:rPr>
          <w:rFonts w:cs="Arial"/>
          <w:b/>
          <w:bCs/>
          <w:sz w:val="28"/>
          <w:szCs w:val="28"/>
          <w:lang w:val="es-MX"/>
        </w:rPr>
        <w:fldChar w:fldCharType="separate"/>
      </w:r>
      <w:r w:rsidRPr="00F40D91">
        <w:rPr>
          <w:rFonts w:cs="Arial"/>
          <w:b/>
          <w:bCs/>
          <w:noProof/>
          <w:sz w:val="28"/>
          <w:szCs w:val="28"/>
          <w:lang w:val="es-MX"/>
        </w:rPr>
        <w:t>24 de junio de 2024</w:t>
      </w:r>
      <w:r w:rsidRPr="00F40D91">
        <w:rPr>
          <w:rFonts w:cs="Arial"/>
          <w:b/>
          <w:bCs/>
          <w:sz w:val="28"/>
          <w:szCs w:val="28"/>
          <w:lang w:val="es-MX"/>
        </w:rPr>
        <w:fldChar w:fldCharType="end"/>
      </w:r>
      <w:r w:rsidR="009C08C1">
        <w:rPr>
          <w:rFonts w:cs="Arial"/>
          <w:b/>
          <w:bCs/>
          <w:sz w:val="28"/>
          <w:szCs w:val="28"/>
          <w:lang w:val="es-MX"/>
        </w:rPr>
        <w:t xml:space="preserve">      </w:t>
      </w:r>
      <w:r w:rsidR="009C08C1">
        <w:rPr>
          <w:rFonts w:cs="Arial"/>
          <w:b/>
          <w:bCs/>
          <w:sz w:val="28"/>
          <w:szCs w:val="28"/>
          <w:lang w:val="es-MX"/>
        </w:rPr>
        <w:tab/>
      </w:r>
    </w:p>
    <w:p w14:paraId="18F1E9BA" w14:textId="075CEE6C" w:rsidR="00E166D7" w:rsidRDefault="00E166D7" w:rsidP="009C08C1">
      <w:pPr>
        <w:tabs>
          <w:tab w:val="left" w:pos="9142"/>
        </w:tabs>
        <w:jc w:val="left"/>
        <w:rPr>
          <w:rFonts w:cs="Arial"/>
          <w:sz w:val="22"/>
          <w:szCs w:val="22"/>
          <w:lang w:val="es-MX"/>
        </w:rPr>
      </w:pPr>
    </w:p>
    <w:p w14:paraId="6E829A66" w14:textId="77777777" w:rsidR="0010544E" w:rsidRPr="00F40D91" w:rsidRDefault="0010544E" w:rsidP="00F40D91">
      <w:pPr>
        <w:tabs>
          <w:tab w:val="left" w:pos="9142"/>
        </w:tabs>
        <w:ind w:left="9142" w:hanging="9142"/>
        <w:jc w:val="left"/>
        <w:rPr>
          <w:sz w:val="28"/>
          <w:szCs w:val="28"/>
        </w:rPr>
      </w:pPr>
    </w:p>
    <w:p w14:paraId="32E55F6B" w14:textId="77777777" w:rsidR="00020441" w:rsidRDefault="00020441">
      <w:pPr>
        <w:ind w:left="4956"/>
        <w:jc w:val="left"/>
        <w:rPr>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5FB9C57C" w14:textId="77777777">
        <w:tc>
          <w:tcPr>
            <w:tcW w:w="4024" w:type="dxa"/>
          </w:tcPr>
          <w:p w14:paraId="248A6A95" w14:textId="77777777" w:rsidR="0077100C" w:rsidRDefault="0077100C">
            <w:pPr>
              <w:jc w:val="left"/>
              <w:rPr>
                <w:b/>
                <w:bCs/>
              </w:rPr>
            </w:pPr>
          </w:p>
          <w:p w14:paraId="6D27A061" w14:textId="77777777" w:rsidR="0077100C" w:rsidRDefault="0077100C">
            <w:pPr>
              <w:jc w:val="left"/>
              <w:rPr>
                <w:b/>
                <w:bCs/>
              </w:rPr>
            </w:pPr>
          </w:p>
          <w:p w14:paraId="2440A9AB" w14:textId="77777777" w:rsidR="00020441" w:rsidRDefault="00020441">
            <w:pPr>
              <w:jc w:val="left"/>
              <w:rPr>
                <w:b/>
                <w:bCs/>
              </w:rPr>
            </w:pPr>
            <w:r>
              <w:rPr>
                <w:b/>
                <w:bCs/>
              </w:rPr>
              <w:t>CIRCULACIÓN:</w:t>
            </w:r>
          </w:p>
        </w:tc>
      </w:tr>
      <w:tr w:rsidR="00020441" w14:paraId="6A659732" w14:textId="77777777">
        <w:tc>
          <w:tcPr>
            <w:tcW w:w="4024" w:type="dxa"/>
          </w:tcPr>
          <w:p w14:paraId="74DA0102" w14:textId="77777777" w:rsidR="00020441" w:rsidRDefault="00020441">
            <w:pPr>
              <w:jc w:val="left"/>
              <w:rPr>
                <w:b/>
                <w:bCs/>
              </w:rPr>
            </w:pPr>
            <w:r>
              <w:rPr>
                <w:b/>
                <w:bCs/>
              </w:rPr>
              <w:t>MIEMBROS DE LA COMISIÓN DE</w:t>
            </w:r>
          </w:p>
        </w:tc>
      </w:tr>
      <w:tr w:rsidR="00020441" w14:paraId="2BED25F3" w14:textId="77777777">
        <w:tc>
          <w:tcPr>
            <w:tcW w:w="4024" w:type="dxa"/>
          </w:tcPr>
          <w:p w14:paraId="5666418A" w14:textId="77777777" w:rsidR="00020441" w:rsidRDefault="00020441">
            <w:pPr>
              <w:tabs>
                <w:tab w:val="left" w:pos="4606"/>
                <w:tab w:val="left" w:pos="9142"/>
              </w:tabs>
              <w:jc w:val="left"/>
              <w:rPr>
                <w:b/>
                <w:bCs/>
              </w:rPr>
            </w:pPr>
            <w:r>
              <w:rPr>
                <w:b/>
                <w:bCs/>
              </w:rPr>
              <w:t>REGULACIÓN DE ENERGÍA Y GAS Arial 12, negrilla, en tabla con líneas ocultas.</w:t>
            </w:r>
          </w:p>
        </w:tc>
      </w:tr>
    </w:tbl>
    <w:p w14:paraId="43D59473" w14:textId="77777777" w:rsidR="00E7209B" w:rsidRDefault="00E7209B" w:rsidP="003C55ED">
      <w:pPr>
        <w:pStyle w:val="Ttulo1"/>
        <w:numPr>
          <w:ilvl w:val="0"/>
          <w:numId w:val="0"/>
        </w:numPr>
        <w:ind w:left="432" w:hanging="432"/>
        <w:jc w:val="center"/>
      </w:pPr>
    </w:p>
    <w:p w14:paraId="36F475BF" w14:textId="77777777" w:rsidR="00C92A22" w:rsidRDefault="00020441" w:rsidP="00C92A22">
      <w:pPr>
        <w:pStyle w:val="TtuloTDC"/>
        <w:jc w:val="center"/>
      </w:pPr>
      <w:r>
        <w:br w:type="page"/>
      </w:r>
      <w:bookmarkStart w:id="0" w:name="_Toc417034533"/>
      <w:bookmarkStart w:id="1" w:name="_Toc429486657"/>
    </w:p>
    <w:sdt>
      <w:sdtPr>
        <w:rPr>
          <w:rFonts w:ascii="Arial" w:eastAsia="Times New Roman" w:hAnsi="Arial" w:cs="Times New Roman"/>
          <w:b/>
          <w:bCs/>
          <w:color w:val="auto"/>
          <w:sz w:val="24"/>
          <w:szCs w:val="20"/>
          <w:lang w:val="es-ES"/>
        </w:rPr>
        <w:id w:val="-1827585778"/>
        <w:docPartObj>
          <w:docPartGallery w:val="Table of Contents"/>
          <w:docPartUnique/>
        </w:docPartObj>
      </w:sdtPr>
      <w:sdtEndPr>
        <w:rPr>
          <w:bCs w:val="0"/>
          <w:szCs w:val="24"/>
        </w:rPr>
      </w:sdtEndPr>
      <w:sdtContent>
        <w:p w14:paraId="208F712F" w14:textId="2045F5D3" w:rsidR="00C92A22" w:rsidRPr="002E3133" w:rsidRDefault="00C92A22" w:rsidP="00C92A22">
          <w:pPr>
            <w:pStyle w:val="TtuloTDC"/>
            <w:jc w:val="center"/>
            <w:rPr>
              <w:b/>
              <w:bCs/>
              <w:color w:val="auto"/>
            </w:rPr>
          </w:pPr>
          <w:r w:rsidRPr="002E3133">
            <w:rPr>
              <w:b/>
              <w:bCs/>
              <w:color w:val="auto"/>
              <w:lang w:val="es-ES"/>
            </w:rPr>
            <w:t>Contenido</w:t>
          </w:r>
        </w:p>
        <w:p w14:paraId="6D9DAD43" w14:textId="7A340F8D" w:rsidR="00C75679" w:rsidRDefault="00C92A22">
          <w:pPr>
            <w:pStyle w:val="TDC1"/>
            <w:rPr>
              <w:rFonts w:asciiTheme="minorHAnsi" w:eastAsiaTheme="minorEastAsia" w:hAnsiTheme="minorHAnsi" w:cstheme="minorBidi"/>
              <w:kern w:val="2"/>
              <w:lang w:val="es-CO" w:eastAsia="es-CO"/>
              <w14:ligatures w14:val="standardContextual"/>
            </w:rPr>
          </w:pPr>
          <w:r>
            <w:fldChar w:fldCharType="begin"/>
          </w:r>
          <w:r>
            <w:instrText xml:space="preserve"> TOC \o "1-3" \h \z \u </w:instrText>
          </w:r>
          <w:r>
            <w:fldChar w:fldCharType="separate"/>
          </w:r>
          <w:hyperlink w:anchor="_Toc169851480" w:history="1">
            <w:r w:rsidR="00C75679" w:rsidRPr="00EB027F">
              <w:rPr>
                <w:rStyle w:val="Hipervnculo"/>
              </w:rPr>
              <w:t>1.</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Pr>
              <w:t>ANTECEDENTES E INFORMACIÓN GENERAL</w:t>
            </w:r>
            <w:r w:rsidR="00C75679">
              <w:rPr>
                <w:webHidden/>
              </w:rPr>
              <w:tab/>
            </w:r>
            <w:r w:rsidR="00C75679">
              <w:rPr>
                <w:webHidden/>
              </w:rPr>
              <w:fldChar w:fldCharType="begin"/>
            </w:r>
            <w:r w:rsidR="00C75679">
              <w:rPr>
                <w:webHidden/>
              </w:rPr>
              <w:instrText xml:space="preserve"> PAGEREF _Toc169851480 \h </w:instrText>
            </w:r>
            <w:r w:rsidR="00C75679">
              <w:rPr>
                <w:webHidden/>
              </w:rPr>
            </w:r>
            <w:r w:rsidR="00C75679">
              <w:rPr>
                <w:webHidden/>
              </w:rPr>
              <w:fldChar w:fldCharType="separate"/>
            </w:r>
            <w:r w:rsidR="00287B4B">
              <w:rPr>
                <w:webHidden/>
              </w:rPr>
              <w:t>3</w:t>
            </w:r>
            <w:r w:rsidR="00C75679">
              <w:rPr>
                <w:webHidden/>
              </w:rPr>
              <w:fldChar w:fldCharType="end"/>
            </w:r>
          </w:hyperlink>
        </w:p>
        <w:p w14:paraId="550CD348" w14:textId="14A56679" w:rsidR="00C75679" w:rsidRDefault="00000000">
          <w:pPr>
            <w:pStyle w:val="TDC1"/>
            <w:rPr>
              <w:rFonts w:asciiTheme="minorHAnsi" w:eastAsiaTheme="minorEastAsia" w:hAnsiTheme="minorHAnsi" w:cstheme="minorBidi"/>
              <w:kern w:val="2"/>
              <w:lang w:val="es-CO" w:eastAsia="es-CO"/>
              <w14:ligatures w14:val="standardContextual"/>
            </w:rPr>
          </w:pPr>
          <w:hyperlink w:anchor="_Toc169851481" w:history="1">
            <w:r w:rsidR="00C75679" w:rsidRPr="00EB027F">
              <w:rPr>
                <w:rStyle w:val="Hipervnculo"/>
              </w:rPr>
              <w:t>2.</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Pr>
              <w:t>DEFINICIÓN DEL PROBLEMA</w:t>
            </w:r>
            <w:r w:rsidR="00C75679">
              <w:rPr>
                <w:webHidden/>
              </w:rPr>
              <w:tab/>
            </w:r>
            <w:r w:rsidR="00C75679">
              <w:rPr>
                <w:webHidden/>
              </w:rPr>
              <w:fldChar w:fldCharType="begin"/>
            </w:r>
            <w:r w:rsidR="00C75679">
              <w:rPr>
                <w:webHidden/>
              </w:rPr>
              <w:instrText xml:space="preserve"> PAGEREF _Toc169851481 \h </w:instrText>
            </w:r>
            <w:r w:rsidR="00C75679">
              <w:rPr>
                <w:webHidden/>
              </w:rPr>
            </w:r>
            <w:r w:rsidR="00C75679">
              <w:rPr>
                <w:webHidden/>
              </w:rPr>
              <w:fldChar w:fldCharType="separate"/>
            </w:r>
            <w:r w:rsidR="00287B4B">
              <w:rPr>
                <w:webHidden/>
              </w:rPr>
              <w:t>4</w:t>
            </w:r>
            <w:r w:rsidR="00C75679">
              <w:rPr>
                <w:webHidden/>
              </w:rPr>
              <w:fldChar w:fldCharType="end"/>
            </w:r>
          </w:hyperlink>
        </w:p>
        <w:p w14:paraId="68125961" w14:textId="77DD0B2E" w:rsidR="00C75679" w:rsidRDefault="00000000">
          <w:pPr>
            <w:pStyle w:val="TDC2"/>
            <w:rPr>
              <w:rFonts w:asciiTheme="minorHAnsi" w:eastAsiaTheme="minorEastAsia" w:hAnsiTheme="minorHAnsi" w:cstheme="minorBidi"/>
              <w:kern w:val="2"/>
              <w:lang w:val="es-CO" w:eastAsia="es-CO"/>
              <w14:ligatures w14:val="standardContextual"/>
            </w:rPr>
          </w:pPr>
          <w:hyperlink w:anchor="_Toc169851482" w:history="1">
            <w:r w:rsidR="00C75679" w:rsidRPr="00EB027F">
              <w:rPr>
                <w:rStyle w:val="Hipervnculo"/>
                <w:rFonts w:cs="Arial"/>
              </w:rPr>
              <w:t>2.1</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Fonts w:cs="Arial"/>
              </w:rPr>
              <w:t>Situación actual</w:t>
            </w:r>
            <w:r w:rsidR="00C75679">
              <w:rPr>
                <w:webHidden/>
              </w:rPr>
              <w:tab/>
            </w:r>
            <w:r w:rsidR="00C75679">
              <w:rPr>
                <w:webHidden/>
              </w:rPr>
              <w:fldChar w:fldCharType="begin"/>
            </w:r>
            <w:r w:rsidR="00C75679">
              <w:rPr>
                <w:webHidden/>
              </w:rPr>
              <w:instrText xml:space="preserve"> PAGEREF _Toc169851482 \h </w:instrText>
            </w:r>
            <w:r w:rsidR="00C75679">
              <w:rPr>
                <w:webHidden/>
              </w:rPr>
            </w:r>
            <w:r w:rsidR="00C75679">
              <w:rPr>
                <w:webHidden/>
              </w:rPr>
              <w:fldChar w:fldCharType="separate"/>
            </w:r>
            <w:r w:rsidR="00287B4B">
              <w:rPr>
                <w:webHidden/>
              </w:rPr>
              <w:t>4</w:t>
            </w:r>
            <w:r w:rsidR="00C75679">
              <w:rPr>
                <w:webHidden/>
              </w:rPr>
              <w:fldChar w:fldCharType="end"/>
            </w:r>
          </w:hyperlink>
        </w:p>
        <w:p w14:paraId="22FBD17B" w14:textId="656A76B9" w:rsidR="00C75679" w:rsidRDefault="00000000">
          <w:pPr>
            <w:pStyle w:val="TDC2"/>
            <w:rPr>
              <w:rFonts w:asciiTheme="minorHAnsi" w:eastAsiaTheme="minorEastAsia" w:hAnsiTheme="minorHAnsi" w:cstheme="minorBidi"/>
              <w:kern w:val="2"/>
              <w:lang w:val="es-CO" w:eastAsia="es-CO"/>
              <w14:ligatures w14:val="standardContextual"/>
            </w:rPr>
          </w:pPr>
          <w:hyperlink w:anchor="_Toc169851483" w:history="1">
            <w:r w:rsidR="00C75679" w:rsidRPr="00EB027F">
              <w:rPr>
                <w:rStyle w:val="Hipervnculo"/>
                <w:rFonts w:cs="Arial"/>
              </w:rPr>
              <w:t>2.2</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Fonts w:cs="Arial"/>
              </w:rPr>
              <w:t>Propuestas recibidas</w:t>
            </w:r>
            <w:r w:rsidR="00C75679">
              <w:rPr>
                <w:webHidden/>
              </w:rPr>
              <w:tab/>
            </w:r>
            <w:r w:rsidR="00C75679">
              <w:rPr>
                <w:webHidden/>
              </w:rPr>
              <w:fldChar w:fldCharType="begin"/>
            </w:r>
            <w:r w:rsidR="00C75679">
              <w:rPr>
                <w:webHidden/>
              </w:rPr>
              <w:instrText xml:space="preserve"> PAGEREF _Toc169851483 \h </w:instrText>
            </w:r>
            <w:r w:rsidR="00C75679">
              <w:rPr>
                <w:webHidden/>
              </w:rPr>
            </w:r>
            <w:r w:rsidR="00C75679">
              <w:rPr>
                <w:webHidden/>
              </w:rPr>
              <w:fldChar w:fldCharType="separate"/>
            </w:r>
            <w:r w:rsidR="00287B4B">
              <w:rPr>
                <w:webHidden/>
              </w:rPr>
              <w:t>9</w:t>
            </w:r>
            <w:r w:rsidR="00C75679">
              <w:rPr>
                <w:webHidden/>
              </w:rPr>
              <w:fldChar w:fldCharType="end"/>
            </w:r>
          </w:hyperlink>
        </w:p>
        <w:p w14:paraId="31A01D19" w14:textId="43AB9B83" w:rsidR="00C7567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9851484" w:history="1">
            <w:r w:rsidR="00C75679" w:rsidRPr="00EB027F">
              <w:rPr>
                <w:rStyle w:val="Hipervnculo"/>
                <w:noProof/>
              </w:rPr>
              <w:t>2.2.1</w:t>
            </w:r>
            <w:r w:rsidR="00C75679">
              <w:rPr>
                <w:rFonts w:asciiTheme="minorHAnsi" w:eastAsiaTheme="minorEastAsia" w:hAnsiTheme="minorHAnsi" w:cstheme="minorBidi"/>
                <w:noProof/>
                <w:kern w:val="2"/>
                <w:lang w:val="es-CO" w:eastAsia="es-CO"/>
                <w14:ligatures w14:val="standardContextual"/>
              </w:rPr>
              <w:tab/>
            </w:r>
            <w:r w:rsidR="00C75679" w:rsidRPr="00EB027F">
              <w:rPr>
                <w:rStyle w:val="Hipervnculo"/>
                <w:noProof/>
              </w:rPr>
              <w:t>Propuesta 1. Modificar las reglas de despacho y redespacho y las fórmulas de pagos</w:t>
            </w:r>
            <w:r w:rsidR="00C75679">
              <w:rPr>
                <w:noProof/>
                <w:webHidden/>
              </w:rPr>
              <w:tab/>
            </w:r>
            <w:r w:rsidR="00C75679">
              <w:rPr>
                <w:noProof/>
                <w:webHidden/>
              </w:rPr>
              <w:fldChar w:fldCharType="begin"/>
            </w:r>
            <w:r w:rsidR="00C75679">
              <w:rPr>
                <w:noProof/>
                <w:webHidden/>
              </w:rPr>
              <w:instrText xml:space="preserve"> PAGEREF _Toc169851484 \h </w:instrText>
            </w:r>
            <w:r w:rsidR="00C75679">
              <w:rPr>
                <w:noProof/>
                <w:webHidden/>
              </w:rPr>
            </w:r>
            <w:r w:rsidR="00C75679">
              <w:rPr>
                <w:noProof/>
                <w:webHidden/>
              </w:rPr>
              <w:fldChar w:fldCharType="separate"/>
            </w:r>
            <w:r w:rsidR="00287B4B">
              <w:rPr>
                <w:noProof/>
                <w:webHidden/>
              </w:rPr>
              <w:t>9</w:t>
            </w:r>
            <w:r w:rsidR="00C75679">
              <w:rPr>
                <w:noProof/>
                <w:webHidden/>
              </w:rPr>
              <w:fldChar w:fldCharType="end"/>
            </w:r>
          </w:hyperlink>
        </w:p>
        <w:p w14:paraId="66891182" w14:textId="40E7692B" w:rsidR="00C7567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9851485" w:history="1">
            <w:r w:rsidR="00C75679" w:rsidRPr="00EB027F">
              <w:rPr>
                <w:rStyle w:val="Hipervnculo"/>
                <w:noProof/>
              </w:rPr>
              <w:t>2.2.2</w:t>
            </w:r>
            <w:r w:rsidR="00C75679">
              <w:rPr>
                <w:rFonts w:asciiTheme="minorHAnsi" w:eastAsiaTheme="minorEastAsia" w:hAnsiTheme="minorHAnsi" w:cstheme="minorBidi"/>
                <w:noProof/>
                <w:kern w:val="2"/>
                <w:lang w:val="es-CO" w:eastAsia="es-CO"/>
                <w14:ligatures w14:val="standardContextual"/>
              </w:rPr>
              <w:tab/>
            </w:r>
            <w:r w:rsidR="00C75679" w:rsidRPr="00EB027F">
              <w:rPr>
                <w:rStyle w:val="Hipervnculo"/>
                <w:noProof/>
              </w:rPr>
              <w:t>Propuesta 2: Definir curvas transitorias de despacho y redespacho para el primer año de operación comercial y definir curvas definitivas a partir del segundo año de operación comercial.</w:t>
            </w:r>
            <w:r w:rsidR="00C75679">
              <w:rPr>
                <w:noProof/>
                <w:webHidden/>
              </w:rPr>
              <w:tab/>
            </w:r>
            <w:r w:rsidR="00C75679">
              <w:rPr>
                <w:noProof/>
                <w:webHidden/>
              </w:rPr>
              <w:fldChar w:fldCharType="begin"/>
            </w:r>
            <w:r w:rsidR="00C75679">
              <w:rPr>
                <w:noProof/>
                <w:webHidden/>
              </w:rPr>
              <w:instrText xml:space="preserve"> PAGEREF _Toc169851485 \h </w:instrText>
            </w:r>
            <w:r w:rsidR="00C75679">
              <w:rPr>
                <w:noProof/>
                <w:webHidden/>
              </w:rPr>
            </w:r>
            <w:r w:rsidR="00C75679">
              <w:rPr>
                <w:noProof/>
                <w:webHidden/>
              </w:rPr>
              <w:fldChar w:fldCharType="separate"/>
            </w:r>
            <w:r w:rsidR="00287B4B">
              <w:rPr>
                <w:noProof/>
                <w:webHidden/>
              </w:rPr>
              <w:t>9</w:t>
            </w:r>
            <w:r w:rsidR="00C75679">
              <w:rPr>
                <w:noProof/>
                <w:webHidden/>
              </w:rPr>
              <w:fldChar w:fldCharType="end"/>
            </w:r>
          </w:hyperlink>
        </w:p>
        <w:p w14:paraId="3371A8BB" w14:textId="7145C9E2" w:rsidR="00C7567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9851486" w:history="1">
            <w:r w:rsidR="00C75679" w:rsidRPr="00EB027F">
              <w:rPr>
                <w:rStyle w:val="Hipervnculo"/>
                <w:noProof/>
              </w:rPr>
              <w:t>2.2.3</w:t>
            </w:r>
            <w:r w:rsidR="00C75679">
              <w:rPr>
                <w:rFonts w:asciiTheme="minorHAnsi" w:eastAsiaTheme="minorEastAsia" w:hAnsiTheme="minorHAnsi" w:cstheme="minorBidi"/>
                <w:noProof/>
                <w:kern w:val="2"/>
                <w:lang w:val="es-CO" w:eastAsia="es-CO"/>
                <w14:ligatures w14:val="standardContextual"/>
              </w:rPr>
              <w:tab/>
            </w:r>
            <w:r w:rsidR="00C75679" w:rsidRPr="00EB027F">
              <w:rPr>
                <w:rStyle w:val="Hipervnculo"/>
                <w:noProof/>
              </w:rPr>
              <w:t>Propuesta 3. Utilizar mecanismos existentes como el AGC para cubrir las desviaciones</w:t>
            </w:r>
            <w:r w:rsidR="00C75679">
              <w:rPr>
                <w:noProof/>
                <w:webHidden/>
              </w:rPr>
              <w:tab/>
            </w:r>
            <w:r w:rsidR="00C75679">
              <w:rPr>
                <w:noProof/>
                <w:webHidden/>
              </w:rPr>
              <w:fldChar w:fldCharType="begin"/>
            </w:r>
            <w:r w:rsidR="00C75679">
              <w:rPr>
                <w:noProof/>
                <w:webHidden/>
              </w:rPr>
              <w:instrText xml:space="preserve"> PAGEREF _Toc169851486 \h </w:instrText>
            </w:r>
            <w:r w:rsidR="00C75679">
              <w:rPr>
                <w:noProof/>
                <w:webHidden/>
              </w:rPr>
            </w:r>
            <w:r w:rsidR="00C75679">
              <w:rPr>
                <w:noProof/>
                <w:webHidden/>
              </w:rPr>
              <w:fldChar w:fldCharType="separate"/>
            </w:r>
            <w:r w:rsidR="00287B4B">
              <w:rPr>
                <w:noProof/>
                <w:webHidden/>
              </w:rPr>
              <w:t>11</w:t>
            </w:r>
            <w:r w:rsidR="00C75679">
              <w:rPr>
                <w:noProof/>
                <w:webHidden/>
              </w:rPr>
              <w:fldChar w:fldCharType="end"/>
            </w:r>
          </w:hyperlink>
        </w:p>
        <w:p w14:paraId="2A62D51E" w14:textId="5C82363C" w:rsidR="00C75679" w:rsidRDefault="00000000">
          <w:pPr>
            <w:pStyle w:val="TDC1"/>
            <w:rPr>
              <w:rFonts w:asciiTheme="minorHAnsi" w:eastAsiaTheme="minorEastAsia" w:hAnsiTheme="minorHAnsi" w:cstheme="minorBidi"/>
              <w:kern w:val="2"/>
              <w:lang w:val="es-CO" w:eastAsia="es-CO"/>
              <w14:ligatures w14:val="standardContextual"/>
            </w:rPr>
          </w:pPr>
          <w:hyperlink w:anchor="_Toc169851487" w:history="1">
            <w:r w:rsidR="00C75679" w:rsidRPr="00EB027F">
              <w:rPr>
                <w:rStyle w:val="Hipervnculo"/>
              </w:rPr>
              <w:t>3.</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Pr>
              <w:t>OBJETIVOS</w:t>
            </w:r>
            <w:r w:rsidR="00C75679">
              <w:rPr>
                <w:webHidden/>
              </w:rPr>
              <w:tab/>
            </w:r>
            <w:r w:rsidR="00C75679">
              <w:rPr>
                <w:webHidden/>
              </w:rPr>
              <w:fldChar w:fldCharType="begin"/>
            </w:r>
            <w:r w:rsidR="00C75679">
              <w:rPr>
                <w:webHidden/>
              </w:rPr>
              <w:instrText xml:space="preserve"> PAGEREF _Toc169851487 \h </w:instrText>
            </w:r>
            <w:r w:rsidR="00C75679">
              <w:rPr>
                <w:webHidden/>
              </w:rPr>
            </w:r>
            <w:r w:rsidR="00C75679">
              <w:rPr>
                <w:webHidden/>
              </w:rPr>
              <w:fldChar w:fldCharType="separate"/>
            </w:r>
            <w:r w:rsidR="00287B4B">
              <w:rPr>
                <w:webHidden/>
              </w:rPr>
              <w:t>12</w:t>
            </w:r>
            <w:r w:rsidR="00C75679">
              <w:rPr>
                <w:webHidden/>
              </w:rPr>
              <w:fldChar w:fldCharType="end"/>
            </w:r>
          </w:hyperlink>
        </w:p>
        <w:p w14:paraId="2C96A8CE" w14:textId="42BBEA7A" w:rsidR="00C75679" w:rsidRDefault="00000000">
          <w:pPr>
            <w:pStyle w:val="TDC1"/>
            <w:rPr>
              <w:rFonts w:asciiTheme="minorHAnsi" w:eastAsiaTheme="minorEastAsia" w:hAnsiTheme="minorHAnsi" w:cstheme="minorBidi"/>
              <w:kern w:val="2"/>
              <w:lang w:val="es-CO" w:eastAsia="es-CO"/>
              <w14:ligatures w14:val="standardContextual"/>
            </w:rPr>
          </w:pPr>
          <w:hyperlink w:anchor="_Toc169851488" w:history="1">
            <w:r w:rsidR="00C75679" w:rsidRPr="00EB027F">
              <w:rPr>
                <w:rStyle w:val="Hipervnculo"/>
              </w:rPr>
              <w:t>4.</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Pr>
              <w:t>ALTERNATIVAS</w:t>
            </w:r>
            <w:r w:rsidR="00C75679">
              <w:rPr>
                <w:webHidden/>
              </w:rPr>
              <w:tab/>
            </w:r>
            <w:r w:rsidR="00C75679">
              <w:rPr>
                <w:webHidden/>
              </w:rPr>
              <w:fldChar w:fldCharType="begin"/>
            </w:r>
            <w:r w:rsidR="00C75679">
              <w:rPr>
                <w:webHidden/>
              </w:rPr>
              <w:instrText xml:space="preserve"> PAGEREF _Toc169851488 \h </w:instrText>
            </w:r>
            <w:r w:rsidR="00C75679">
              <w:rPr>
                <w:webHidden/>
              </w:rPr>
            </w:r>
            <w:r w:rsidR="00C75679">
              <w:rPr>
                <w:webHidden/>
              </w:rPr>
              <w:fldChar w:fldCharType="separate"/>
            </w:r>
            <w:r w:rsidR="00287B4B">
              <w:rPr>
                <w:webHidden/>
              </w:rPr>
              <w:t>12</w:t>
            </w:r>
            <w:r w:rsidR="00C75679">
              <w:rPr>
                <w:webHidden/>
              </w:rPr>
              <w:fldChar w:fldCharType="end"/>
            </w:r>
          </w:hyperlink>
        </w:p>
        <w:p w14:paraId="2AD6B690" w14:textId="49904387" w:rsidR="00C75679" w:rsidRDefault="00000000">
          <w:pPr>
            <w:pStyle w:val="TDC2"/>
            <w:rPr>
              <w:rFonts w:asciiTheme="minorHAnsi" w:eastAsiaTheme="minorEastAsia" w:hAnsiTheme="minorHAnsi" w:cstheme="minorBidi"/>
              <w:kern w:val="2"/>
              <w:lang w:val="es-CO" w:eastAsia="es-CO"/>
              <w14:ligatures w14:val="standardContextual"/>
            </w:rPr>
          </w:pPr>
          <w:hyperlink w:anchor="_Toc169851489" w:history="1">
            <w:r w:rsidR="00C75679" w:rsidRPr="00EB027F">
              <w:rPr>
                <w:rStyle w:val="Hipervnculo"/>
              </w:rPr>
              <w:t>4.1</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Pr>
              <w:t>Alternativa 1: No realizar cambios</w:t>
            </w:r>
            <w:r w:rsidR="00C75679">
              <w:rPr>
                <w:webHidden/>
              </w:rPr>
              <w:tab/>
            </w:r>
            <w:r w:rsidR="00C75679">
              <w:rPr>
                <w:webHidden/>
              </w:rPr>
              <w:fldChar w:fldCharType="begin"/>
            </w:r>
            <w:r w:rsidR="00C75679">
              <w:rPr>
                <w:webHidden/>
              </w:rPr>
              <w:instrText xml:space="preserve"> PAGEREF _Toc169851489 \h </w:instrText>
            </w:r>
            <w:r w:rsidR="00C75679">
              <w:rPr>
                <w:webHidden/>
              </w:rPr>
            </w:r>
            <w:r w:rsidR="00C75679">
              <w:rPr>
                <w:webHidden/>
              </w:rPr>
              <w:fldChar w:fldCharType="separate"/>
            </w:r>
            <w:r w:rsidR="00287B4B">
              <w:rPr>
                <w:webHidden/>
              </w:rPr>
              <w:t>12</w:t>
            </w:r>
            <w:r w:rsidR="00C75679">
              <w:rPr>
                <w:webHidden/>
              </w:rPr>
              <w:fldChar w:fldCharType="end"/>
            </w:r>
          </w:hyperlink>
        </w:p>
        <w:p w14:paraId="0A266FFB" w14:textId="1E4B8145" w:rsidR="00C75679" w:rsidRDefault="00000000">
          <w:pPr>
            <w:pStyle w:val="TDC2"/>
            <w:rPr>
              <w:rFonts w:asciiTheme="minorHAnsi" w:eastAsiaTheme="minorEastAsia" w:hAnsiTheme="minorHAnsi" w:cstheme="minorBidi"/>
              <w:kern w:val="2"/>
              <w:lang w:val="es-CO" w:eastAsia="es-CO"/>
              <w14:ligatures w14:val="standardContextual"/>
            </w:rPr>
          </w:pPr>
          <w:hyperlink w:anchor="_Toc169851490" w:history="1">
            <w:r w:rsidR="00C75679" w:rsidRPr="00EB027F">
              <w:rPr>
                <w:rStyle w:val="Hipervnculo"/>
                <w:rFonts w:cs="Arial"/>
              </w:rPr>
              <w:t>4.2</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Fonts w:cs="Arial"/>
              </w:rPr>
              <w:t>Alternativa 2: modificar la fórmula de pago horario por desviaciones en el despacho y el redespacho</w:t>
            </w:r>
            <w:r w:rsidR="00C75679">
              <w:rPr>
                <w:webHidden/>
              </w:rPr>
              <w:tab/>
            </w:r>
            <w:r w:rsidR="00C75679">
              <w:rPr>
                <w:webHidden/>
              </w:rPr>
              <w:fldChar w:fldCharType="begin"/>
            </w:r>
            <w:r w:rsidR="00C75679">
              <w:rPr>
                <w:webHidden/>
              </w:rPr>
              <w:instrText xml:space="preserve"> PAGEREF _Toc169851490 \h </w:instrText>
            </w:r>
            <w:r w:rsidR="00C75679">
              <w:rPr>
                <w:webHidden/>
              </w:rPr>
            </w:r>
            <w:r w:rsidR="00C75679">
              <w:rPr>
                <w:webHidden/>
              </w:rPr>
              <w:fldChar w:fldCharType="separate"/>
            </w:r>
            <w:r w:rsidR="00287B4B">
              <w:rPr>
                <w:webHidden/>
              </w:rPr>
              <w:t>12</w:t>
            </w:r>
            <w:r w:rsidR="00C75679">
              <w:rPr>
                <w:webHidden/>
              </w:rPr>
              <w:fldChar w:fldCharType="end"/>
            </w:r>
          </w:hyperlink>
        </w:p>
        <w:p w14:paraId="7FA2B676" w14:textId="26841A05" w:rsidR="00C75679" w:rsidRDefault="00000000">
          <w:pPr>
            <w:pStyle w:val="TDC2"/>
            <w:rPr>
              <w:rFonts w:asciiTheme="minorHAnsi" w:eastAsiaTheme="minorEastAsia" w:hAnsiTheme="minorHAnsi" w:cstheme="minorBidi"/>
              <w:kern w:val="2"/>
              <w:lang w:val="es-CO" w:eastAsia="es-CO"/>
              <w14:ligatures w14:val="standardContextual"/>
            </w:rPr>
          </w:pPr>
          <w:hyperlink w:anchor="_Toc169851491" w:history="1">
            <w:r w:rsidR="00C75679" w:rsidRPr="00EB027F">
              <w:rPr>
                <w:rStyle w:val="Hipervnculo"/>
                <w:rFonts w:cs="Arial"/>
              </w:rPr>
              <w:t>4.3</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Fonts w:cs="Arial"/>
              </w:rPr>
              <w:t>Alternativa 3: modificar la decisión de pago horario entre el despacho y el redespacho</w:t>
            </w:r>
            <w:r w:rsidR="00C75679">
              <w:rPr>
                <w:webHidden/>
              </w:rPr>
              <w:tab/>
            </w:r>
            <w:r w:rsidR="00C75679">
              <w:rPr>
                <w:webHidden/>
              </w:rPr>
              <w:fldChar w:fldCharType="begin"/>
            </w:r>
            <w:r w:rsidR="00C75679">
              <w:rPr>
                <w:webHidden/>
              </w:rPr>
              <w:instrText xml:space="preserve"> PAGEREF _Toc169851491 \h </w:instrText>
            </w:r>
            <w:r w:rsidR="00C75679">
              <w:rPr>
                <w:webHidden/>
              </w:rPr>
            </w:r>
            <w:r w:rsidR="00C75679">
              <w:rPr>
                <w:webHidden/>
              </w:rPr>
              <w:fldChar w:fldCharType="separate"/>
            </w:r>
            <w:r w:rsidR="00287B4B">
              <w:rPr>
                <w:webHidden/>
              </w:rPr>
              <w:t>13</w:t>
            </w:r>
            <w:r w:rsidR="00C75679">
              <w:rPr>
                <w:webHidden/>
              </w:rPr>
              <w:fldChar w:fldCharType="end"/>
            </w:r>
          </w:hyperlink>
        </w:p>
        <w:p w14:paraId="203EDB9C" w14:textId="1D556D9D" w:rsidR="00C75679" w:rsidRDefault="00000000">
          <w:pPr>
            <w:pStyle w:val="TDC2"/>
            <w:rPr>
              <w:rFonts w:asciiTheme="minorHAnsi" w:eastAsiaTheme="minorEastAsia" w:hAnsiTheme="minorHAnsi" w:cstheme="minorBidi"/>
              <w:kern w:val="2"/>
              <w:lang w:val="es-CO" w:eastAsia="es-CO"/>
              <w14:ligatures w14:val="standardContextual"/>
            </w:rPr>
          </w:pPr>
          <w:hyperlink w:anchor="_Toc169851492" w:history="1">
            <w:r w:rsidR="00C75679" w:rsidRPr="00EB027F">
              <w:rPr>
                <w:rStyle w:val="Hipervnculo"/>
                <w:rFonts w:cs="Arial"/>
              </w:rPr>
              <w:t>4.4</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Fonts w:cs="Arial"/>
              </w:rPr>
              <w:t>Alternativa 4: modificar la fórmula de pago horario por desviaciones en el despacho y el redespacho y la fórmula para determinar las cantidades máximas de desviación para plantas entre cero y dos meses de operación comercial</w:t>
            </w:r>
            <w:r w:rsidR="00C75679">
              <w:rPr>
                <w:webHidden/>
              </w:rPr>
              <w:tab/>
            </w:r>
            <w:r w:rsidR="00C75679">
              <w:rPr>
                <w:webHidden/>
              </w:rPr>
              <w:fldChar w:fldCharType="begin"/>
            </w:r>
            <w:r w:rsidR="00C75679">
              <w:rPr>
                <w:webHidden/>
              </w:rPr>
              <w:instrText xml:space="preserve"> PAGEREF _Toc169851492 \h </w:instrText>
            </w:r>
            <w:r w:rsidR="00C75679">
              <w:rPr>
                <w:webHidden/>
              </w:rPr>
            </w:r>
            <w:r w:rsidR="00C75679">
              <w:rPr>
                <w:webHidden/>
              </w:rPr>
              <w:fldChar w:fldCharType="separate"/>
            </w:r>
            <w:r w:rsidR="00287B4B">
              <w:rPr>
                <w:webHidden/>
              </w:rPr>
              <w:t>13</w:t>
            </w:r>
            <w:r w:rsidR="00C75679">
              <w:rPr>
                <w:webHidden/>
              </w:rPr>
              <w:fldChar w:fldCharType="end"/>
            </w:r>
          </w:hyperlink>
        </w:p>
        <w:p w14:paraId="267BA433" w14:textId="45992CF1" w:rsidR="00C75679" w:rsidRDefault="00000000">
          <w:pPr>
            <w:pStyle w:val="TDC2"/>
            <w:rPr>
              <w:rFonts w:asciiTheme="minorHAnsi" w:eastAsiaTheme="minorEastAsia" w:hAnsiTheme="minorHAnsi" w:cstheme="minorBidi"/>
              <w:kern w:val="2"/>
              <w:lang w:val="es-CO" w:eastAsia="es-CO"/>
              <w14:ligatures w14:val="standardContextual"/>
            </w:rPr>
          </w:pPr>
          <w:hyperlink w:anchor="_Toc169851493" w:history="1">
            <w:r w:rsidR="00C75679" w:rsidRPr="00EB027F">
              <w:rPr>
                <w:rStyle w:val="Hipervnculo"/>
                <w:rFonts w:cs="Arial"/>
              </w:rPr>
              <w:t>4.5</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Fonts w:cs="Arial"/>
              </w:rPr>
              <w:t>Alternativa 5. Marcha blanca. Extender el período de no pago de desviaciones para las plantas variables</w:t>
            </w:r>
            <w:r w:rsidR="00C75679">
              <w:rPr>
                <w:webHidden/>
              </w:rPr>
              <w:tab/>
            </w:r>
            <w:r w:rsidR="00C75679">
              <w:rPr>
                <w:webHidden/>
              </w:rPr>
              <w:fldChar w:fldCharType="begin"/>
            </w:r>
            <w:r w:rsidR="00C75679">
              <w:rPr>
                <w:webHidden/>
              </w:rPr>
              <w:instrText xml:space="preserve"> PAGEREF _Toc169851493 \h </w:instrText>
            </w:r>
            <w:r w:rsidR="00C75679">
              <w:rPr>
                <w:webHidden/>
              </w:rPr>
            </w:r>
            <w:r w:rsidR="00C75679">
              <w:rPr>
                <w:webHidden/>
              </w:rPr>
              <w:fldChar w:fldCharType="separate"/>
            </w:r>
            <w:r w:rsidR="00287B4B">
              <w:rPr>
                <w:webHidden/>
              </w:rPr>
              <w:t>13</w:t>
            </w:r>
            <w:r w:rsidR="00C75679">
              <w:rPr>
                <w:webHidden/>
              </w:rPr>
              <w:fldChar w:fldCharType="end"/>
            </w:r>
          </w:hyperlink>
        </w:p>
        <w:p w14:paraId="7056F8AA" w14:textId="4EE1D9EA" w:rsidR="00C75679" w:rsidRDefault="00000000">
          <w:pPr>
            <w:pStyle w:val="TDC2"/>
            <w:rPr>
              <w:rFonts w:asciiTheme="minorHAnsi" w:eastAsiaTheme="minorEastAsia" w:hAnsiTheme="minorHAnsi" w:cstheme="minorBidi"/>
              <w:kern w:val="2"/>
              <w:lang w:val="es-CO" w:eastAsia="es-CO"/>
              <w14:ligatures w14:val="standardContextual"/>
            </w:rPr>
          </w:pPr>
          <w:hyperlink w:anchor="_Toc169851494" w:history="1">
            <w:r w:rsidR="00C75679" w:rsidRPr="00EB027F">
              <w:rPr>
                <w:rStyle w:val="Hipervnculo"/>
                <w:rFonts w:cs="Arial"/>
              </w:rPr>
              <w:t>4.6</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Fonts w:cs="Arial"/>
              </w:rPr>
              <w:t>Propuesta</w:t>
            </w:r>
            <w:r w:rsidR="00C75679">
              <w:rPr>
                <w:webHidden/>
              </w:rPr>
              <w:tab/>
            </w:r>
            <w:r w:rsidR="00C75679">
              <w:rPr>
                <w:webHidden/>
              </w:rPr>
              <w:fldChar w:fldCharType="begin"/>
            </w:r>
            <w:r w:rsidR="00C75679">
              <w:rPr>
                <w:webHidden/>
              </w:rPr>
              <w:instrText xml:space="preserve"> PAGEREF _Toc169851494 \h </w:instrText>
            </w:r>
            <w:r w:rsidR="00C75679">
              <w:rPr>
                <w:webHidden/>
              </w:rPr>
            </w:r>
            <w:r w:rsidR="00C75679">
              <w:rPr>
                <w:webHidden/>
              </w:rPr>
              <w:fldChar w:fldCharType="separate"/>
            </w:r>
            <w:r w:rsidR="00287B4B">
              <w:rPr>
                <w:webHidden/>
              </w:rPr>
              <w:t>14</w:t>
            </w:r>
            <w:r w:rsidR="00C75679">
              <w:rPr>
                <w:webHidden/>
              </w:rPr>
              <w:fldChar w:fldCharType="end"/>
            </w:r>
          </w:hyperlink>
        </w:p>
        <w:p w14:paraId="538E7E2E" w14:textId="2C4134DA" w:rsidR="00C75679" w:rsidRDefault="00000000">
          <w:pPr>
            <w:pStyle w:val="TDC1"/>
            <w:rPr>
              <w:rFonts w:asciiTheme="minorHAnsi" w:eastAsiaTheme="minorEastAsia" w:hAnsiTheme="minorHAnsi" w:cstheme="minorBidi"/>
              <w:kern w:val="2"/>
              <w:lang w:val="es-CO" w:eastAsia="es-CO"/>
              <w14:ligatures w14:val="standardContextual"/>
            </w:rPr>
          </w:pPr>
          <w:hyperlink w:anchor="_Toc169851495" w:history="1">
            <w:r w:rsidR="00C75679" w:rsidRPr="00EB027F">
              <w:rPr>
                <w:rStyle w:val="Hipervnculo"/>
                <w:rFonts w:cs="Arial"/>
              </w:rPr>
              <w:t>5.</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Fonts w:cs="Arial"/>
              </w:rPr>
              <w:t>ANALISIS DE IMPACTO</w:t>
            </w:r>
            <w:r w:rsidR="00C75679">
              <w:rPr>
                <w:webHidden/>
              </w:rPr>
              <w:tab/>
            </w:r>
            <w:r w:rsidR="00C75679">
              <w:rPr>
                <w:webHidden/>
              </w:rPr>
              <w:fldChar w:fldCharType="begin"/>
            </w:r>
            <w:r w:rsidR="00C75679">
              <w:rPr>
                <w:webHidden/>
              </w:rPr>
              <w:instrText xml:space="preserve"> PAGEREF _Toc169851495 \h </w:instrText>
            </w:r>
            <w:r w:rsidR="00C75679">
              <w:rPr>
                <w:webHidden/>
              </w:rPr>
            </w:r>
            <w:r w:rsidR="00C75679">
              <w:rPr>
                <w:webHidden/>
              </w:rPr>
              <w:fldChar w:fldCharType="separate"/>
            </w:r>
            <w:r w:rsidR="00287B4B">
              <w:rPr>
                <w:webHidden/>
              </w:rPr>
              <w:t>14</w:t>
            </w:r>
            <w:r w:rsidR="00C75679">
              <w:rPr>
                <w:webHidden/>
              </w:rPr>
              <w:fldChar w:fldCharType="end"/>
            </w:r>
          </w:hyperlink>
        </w:p>
        <w:p w14:paraId="1C8B7E42" w14:textId="65DDCA23" w:rsidR="00C75679" w:rsidRDefault="00000000">
          <w:pPr>
            <w:pStyle w:val="TDC1"/>
            <w:rPr>
              <w:rFonts w:asciiTheme="minorHAnsi" w:eastAsiaTheme="minorEastAsia" w:hAnsiTheme="minorHAnsi" w:cstheme="minorBidi"/>
              <w:kern w:val="2"/>
              <w:lang w:val="es-CO" w:eastAsia="es-CO"/>
              <w14:ligatures w14:val="standardContextual"/>
            </w:rPr>
          </w:pPr>
          <w:hyperlink w:anchor="_Toc169851496" w:history="1">
            <w:r w:rsidR="00C75679" w:rsidRPr="00EB027F">
              <w:rPr>
                <w:rStyle w:val="Hipervnculo"/>
                <w:rFonts w:cs="Arial"/>
              </w:rPr>
              <w:t>6.</w:t>
            </w:r>
            <w:r w:rsidR="00C75679">
              <w:rPr>
                <w:rFonts w:asciiTheme="minorHAnsi" w:eastAsiaTheme="minorEastAsia" w:hAnsiTheme="minorHAnsi" w:cstheme="minorBidi"/>
                <w:kern w:val="2"/>
                <w:lang w:val="es-CO" w:eastAsia="es-CO"/>
                <w14:ligatures w14:val="standardContextual"/>
              </w:rPr>
              <w:tab/>
            </w:r>
            <w:r w:rsidR="00C75679" w:rsidRPr="00EB027F">
              <w:rPr>
                <w:rStyle w:val="Hipervnculo"/>
                <w:rFonts w:cs="Arial"/>
              </w:rPr>
              <w:t>CONSULTA PÚBLICA</w:t>
            </w:r>
            <w:r w:rsidR="00C75679">
              <w:rPr>
                <w:webHidden/>
              </w:rPr>
              <w:tab/>
            </w:r>
            <w:r w:rsidR="00C75679">
              <w:rPr>
                <w:webHidden/>
              </w:rPr>
              <w:fldChar w:fldCharType="begin"/>
            </w:r>
            <w:r w:rsidR="00C75679">
              <w:rPr>
                <w:webHidden/>
              </w:rPr>
              <w:instrText xml:space="preserve"> PAGEREF _Toc169851496 \h </w:instrText>
            </w:r>
            <w:r w:rsidR="00C75679">
              <w:rPr>
                <w:webHidden/>
              </w:rPr>
            </w:r>
            <w:r w:rsidR="00C75679">
              <w:rPr>
                <w:webHidden/>
              </w:rPr>
              <w:fldChar w:fldCharType="separate"/>
            </w:r>
            <w:r w:rsidR="00287B4B">
              <w:rPr>
                <w:webHidden/>
              </w:rPr>
              <w:t>18</w:t>
            </w:r>
            <w:r w:rsidR="00C75679">
              <w:rPr>
                <w:webHidden/>
              </w:rPr>
              <w:fldChar w:fldCharType="end"/>
            </w:r>
          </w:hyperlink>
        </w:p>
        <w:p w14:paraId="689D5A0E" w14:textId="2E7771C2" w:rsidR="00C92A22" w:rsidRDefault="00C92A22" w:rsidP="00C92A22">
          <w:r>
            <w:rPr>
              <w:b/>
              <w:bCs/>
              <w:lang w:val="es-ES"/>
            </w:rPr>
            <w:fldChar w:fldCharType="end"/>
          </w:r>
        </w:p>
      </w:sdtContent>
    </w:sdt>
    <w:p w14:paraId="7794B8C7" w14:textId="77777777" w:rsidR="00C92A22" w:rsidRDefault="00C92A22" w:rsidP="00C92A22">
      <w:pPr>
        <w:jc w:val="left"/>
        <w:rPr>
          <w:sz w:val="22"/>
        </w:rPr>
      </w:pPr>
      <w:r>
        <w:rPr>
          <w:sz w:val="22"/>
        </w:rPr>
        <w:br w:type="page"/>
      </w:r>
    </w:p>
    <w:p w14:paraId="1F81A780" w14:textId="77777777" w:rsidR="00C92A22" w:rsidRDefault="00C92A22" w:rsidP="00C92A22">
      <w:pPr>
        <w:rPr>
          <w:sz w:val="22"/>
        </w:rPr>
      </w:pPr>
    </w:p>
    <w:p w14:paraId="4C03A10E" w14:textId="77777777" w:rsidR="00C92A22" w:rsidRDefault="00C92A22" w:rsidP="00C92A22">
      <w:pPr>
        <w:pStyle w:val="Ttulo1"/>
        <w:numPr>
          <w:ilvl w:val="0"/>
          <w:numId w:val="1"/>
        </w:numPr>
      </w:pPr>
      <w:bookmarkStart w:id="2" w:name="_Toc169851480"/>
      <w:r>
        <w:t xml:space="preserve">ANTECEDENTES E </w:t>
      </w:r>
      <w:r w:rsidRPr="007319DB">
        <w:t>INFORMACIÓN GENERAL</w:t>
      </w:r>
      <w:bookmarkEnd w:id="2"/>
    </w:p>
    <w:p w14:paraId="424681D5" w14:textId="77777777" w:rsidR="00C92A22" w:rsidRDefault="00C92A22" w:rsidP="00C92A22">
      <w:pPr>
        <w:ind w:left="720"/>
        <w:rPr>
          <w:b/>
        </w:rPr>
      </w:pPr>
    </w:p>
    <w:p w14:paraId="25EFA9DD" w14:textId="77777777" w:rsidR="00C92A22" w:rsidRDefault="00C92A22" w:rsidP="00C92A22">
      <w:pPr>
        <w:pStyle w:val="Textoindependiente"/>
        <w:jc w:val="both"/>
        <w:rPr>
          <w:rFonts w:cs="Arial"/>
          <w:b w:val="0"/>
          <w:bCs/>
          <w:sz w:val="24"/>
          <w:szCs w:val="24"/>
        </w:rPr>
      </w:pPr>
      <w:r>
        <w:rPr>
          <w:rFonts w:cs="Arial"/>
          <w:b w:val="0"/>
          <w:bCs/>
          <w:sz w:val="24"/>
          <w:szCs w:val="24"/>
        </w:rPr>
        <w:t xml:space="preserve">El tratamiento de las desviaciones del programa de generación en el Mercado Mayorista de Energía se definió en la Resolución CREG 024 de 1995. </w:t>
      </w:r>
    </w:p>
    <w:p w14:paraId="765442D2" w14:textId="77777777" w:rsidR="00C92A22" w:rsidRDefault="00C92A22" w:rsidP="00C92A22">
      <w:pPr>
        <w:pStyle w:val="Textoindependiente"/>
        <w:jc w:val="both"/>
        <w:rPr>
          <w:rFonts w:cs="Arial"/>
          <w:b w:val="0"/>
          <w:bCs/>
          <w:sz w:val="24"/>
          <w:szCs w:val="24"/>
        </w:rPr>
      </w:pPr>
    </w:p>
    <w:p w14:paraId="199473B1" w14:textId="77777777" w:rsidR="00C92A22" w:rsidRDefault="00C92A22" w:rsidP="00C92A22">
      <w:pPr>
        <w:pStyle w:val="Textoindependiente"/>
        <w:jc w:val="both"/>
        <w:rPr>
          <w:rFonts w:cs="Arial"/>
          <w:b w:val="0"/>
          <w:bCs/>
          <w:sz w:val="24"/>
          <w:szCs w:val="24"/>
        </w:rPr>
      </w:pPr>
      <w:r>
        <w:rPr>
          <w:rFonts w:cs="Arial"/>
          <w:b w:val="0"/>
          <w:bCs/>
          <w:sz w:val="24"/>
          <w:szCs w:val="24"/>
        </w:rPr>
        <w:t>Posteriormente, la Resolución CREG 060 de 2019 modificó dicha disposición, incluyendo el tratamiento de las desviaciones para las plantas de generación variable (plantas solares, eólicas y filo de agua despachadas centralmente), que puede resumirse con la siguiente figura:</w:t>
      </w:r>
    </w:p>
    <w:p w14:paraId="6F271B73" w14:textId="77777777" w:rsidR="00C92A22" w:rsidRDefault="00C92A22" w:rsidP="00C92A22">
      <w:pPr>
        <w:pStyle w:val="Textoindependiente"/>
        <w:jc w:val="both"/>
        <w:rPr>
          <w:rFonts w:cs="Arial"/>
          <w:b w:val="0"/>
          <w:bCs/>
          <w:sz w:val="24"/>
          <w:szCs w:val="24"/>
        </w:rPr>
      </w:pPr>
    </w:p>
    <w:p w14:paraId="4A54F5ED" w14:textId="77777777" w:rsidR="00C92A22" w:rsidRPr="00C712C8" w:rsidRDefault="00C92A22" w:rsidP="00C92A22">
      <w:pPr>
        <w:pStyle w:val="Textoindependiente"/>
        <w:rPr>
          <w:rFonts w:cs="Arial"/>
          <w:szCs w:val="24"/>
        </w:rPr>
      </w:pPr>
      <w:r>
        <w:rPr>
          <w:rFonts w:cs="Arial"/>
          <w:noProof/>
          <w:szCs w:val="24"/>
        </w:rPr>
        <w:drawing>
          <wp:inline distT="0" distB="0" distL="0" distR="0" wp14:anchorId="36536A10" wp14:editId="4537F0C4">
            <wp:extent cx="5696026" cy="2323905"/>
            <wp:effectExtent l="0" t="0" r="0" b="635"/>
            <wp:docPr id="310229508"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29508" name="Imagen 1" descr="Imagen que contiene Interfaz de usuario gráfic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0071" cy="2329635"/>
                    </a:xfrm>
                    <a:prstGeom prst="rect">
                      <a:avLst/>
                    </a:prstGeom>
                    <a:noFill/>
                  </pic:spPr>
                </pic:pic>
              </a:graphicData>
            </a:graphic>
          </wp:inline>
        </w:drawing>
      </w:r>
    </w:p>
    <w:p w14:paraId="386B5559" w14:textId="00767A37" w:rsidR="00C92A22" w:rsidRPr="002A774A" w:rsidRDefault="00C92A22" w:rsidP="00C92A22">
      <w:pPr>
        <w:pStyle w:val="Descripcin"/>
        <w:jc w:val="center"/>
        <w:rPr>
          <w:sz w:val="24"/>
          <w:szCs w:val="24"/>
        </w:rPr>
      </w:pPr>
      <w:r w:rsidRPr="00D962F4">
        <w:rPr>
          <w:rFonts w:cs="Arial"/>
          <w:szCs w:val="24"/>
        </w:rPr>
        <w:t xml:space="preserve"> </w:t>
      </w:r>
      <w:bookmarkStart w:id="3" w:name="_Toc164320921"/>
      <w:r w:rsidRPr="008C7EE6">
        <w:rPr>
          <w:sz w:val="24"/>
          <w:szCs w:val="24"/>
        </w:rPr>
        <w:t xml:space="preserve">Ilustración </w:t>
      </w:r>
      <w:r w:rsidRPr="008C7EE6">
        <w:rPr>
          <w:sz w:val="24"/>
          <w:szCs w:val="24"/>
        </w:rPr>
        <w:fldChar w:fldCharType="begin"/>
      </w:r>
      <w:r w:rsidRPr="008C7EE6">
        <w:rPr>
          <w:sz w:val="24"/>
          <w:szCs w:val="24"/>
        </w:rPr>
        <w:instrText xml:space="preserve"> SEQ Ilustración \* ARABIC </w:instrText>
      </w:r>
      <w:r w:rsidRPr="008C7EE6">
        <w:rPr>
          <w:sz w:val="24"/>
          <w:szCs w:val="24"/>
        </w:rPr>
        <w:fldChar w:fldCharType="separate"/>
      </w:r>
      <w:r w:rsidR="00287B4B">
        <w:rPr>
          <w:noProof/>
          <w:sz w:val="24"/>
          <w:szCs w:val="24"/>
        </w:rPr>
        <w:t>1</w:t>
      </w:r>
      <w:r w:rsidRPr="008C7EE6">
        <w:rPr>
          <w:sz w:val="24"/>
          <w:szCs w:val="24"/>
        </w:rPr>
        <w:fldChar w:fldCharType="end"/>
      </w:r>
      <w:r w:rsidRPr="008C7EE6">
        <w:rPr>
          <w:sz w:val="24"/>
          <w:szCs w:val="24"/>
        </w:rPr>
        <w:t>.</w:t>
      </w:r>
      <w:r w:rsidRPr="009E1F02">
        <w:rPr>
          <w:sz w:val="24"/>
          <w:szCs w:val="24"/>
        </w:rPr>
        <w:t xml:space="preserve"> </w:t>
      </w:r>
      <w:r>
        <w:rPr>
          <w:sz w:val="24"/>
          <w:szCs w:val="24"/>
        </w:rPr>
        <w:t>Regla de desviaciones Resolución CREG 060 de 2019</w:t>
      </w:r>
      <w:bookmarkEnd w:id="3"/>
    </w:p>
    <w:p w14:paraId="08B5FF6B" w14:textId="77777777" w:rsidR="00C92A22" w:rsidRDefault="00C92A22" w:rsidP="00C92A22">
      <w:pPr>
        <w:rPr>
          <w:rFonts w:cs="Arial"/>
          <w:szCs w:val="24"/>
        </w:rPr>
      </w:pPr>
    </w:p>
    <w:p w14:paraId="4914554E" w14:textId="77777777" w:rsidR="00C92A22" w:rsidRDefault="00C92A22" w:rsidP="00C92A22">
      <w:pPr>
        <w:rPr>
          <w:rFonts w:cs="Arial"/>
          <w:szCs w:val="24"/>
        </w:rPr>
      </w:pPr>
      <w:r>
        <w:rPr>
          <w:rFonts w:cs="Arial"/>
          <w:szCs w:val="24"/>
        </w:rPr>
        <w:t>Esta regla funciona de la siguiente forma:</w:t>
      </w:r>
    </w:p>
    <w:p w14:paraId="2C197C56" w14:textId="77777777" w:rsidR="00C92A22" w:rsidRDefault="00C92A22" w:rsidP="00C92A22">
      <w:pPr>
        <w:rPr>
          <w:rFonts w:cs="Arial"/>
          <w:szCs w:val="24"/>
        </w:rPr>
      </w:pPr>
    </w:p>
    <w:p w14:paraId="68C3B167" w14:textId="77777777" w:rsidR="00C92A22" w:rsidRDefault="00C92A22" w:rsidP="00C92A22">
      <w:pPr>
        <w:pStyle w:val="Prrafodelista"/>
        <w:numPr>
          <w:ilvl w:val="0"/>
          <w:numId w:val="16"/>
        </w:numPr>
        <w:rPr>
          <w:rFonts w:cs="Arial"/>
          <w:lang w:val="es-ES"/>
        </w:rPr>
      </w:pPr>
      <w:r w:rsidRPr="341D7B9C">
        <w:rPr>
          <w:rFonts w:cs="Arial"/>
          <w:lang w:val="es-ES"/>
        </w:rPr>
        <w:t>Se determina la desviación diaria de la Regla 1 asociada al despacho programado, como el valor absoluto de la diferencia de su primer despacho (</w:t>
      </w:r>
      <w:proofErr w:type="spellStart"/>
      <w:r w:rsidRPr="341D7B9C">
        <w:rPr>
          <w:rFonts w:cs="Arial"/>
          <w:lang w:val="es-ES"/>
        </w:rPr>
        <w:t>Gpg</w:t>
      </w:r>
      <w:proofErr w:type="spellEnd"/>
      <w:r w:rsidRPr="341D7B9C">
        <w:rPr>
          <w:rFonts w:cs="Arial"/>
          <w:lang w:val="es-ES"/>
        </w:rPr>
        <w:t>) y su generación real (</w:t>
      </w:r>
      <w:proofErr w:type="spellStart"/>
      <w:r w:rsidRPr="341D7B9C">
        <w:rPr>
          <w:rFonts w:cs="Arial"/>
          <w:lang w:val="es-ES"/>
        </w:rPr>
        <w:t>Greal</w:t>
      </w:r>
      <w:proofErr w:type="spellEnd"/>
      <w:r w:rsidRPr="341D7B9C">
        <w:rPr>
          <w:rFonts w:cs="Arial"/>
          <w:lang w:val="es-ES"/>
        </w:rPr>
        <w:t>) diaria, sobre su primer despacho (</w:t>
      </w:r>
      <w:proofErr w:type="spellStart"/>
      <w:r w:rsidRPr="341D7B9C">
        <w:rPr>
          <w:rFonts w:cs="Arial"/>
          <w:lang w:val="es-ES"/>
        </w:rPr>
        <w:t>Gpg</w:t>
      </w:r>
      <w:proofErr w:type="spellEnd"/>
      <w:r w:rsidRPr="341D7B9C">
        <w:rPr>
          <w:rFonts w:cs="Arial"/>
          <w:lang w:val="es-ES"/>
        </w:rPr>
        <w:t>). Se obtiene un valor de desviación que es el que aplicaría como primera referencia a nivel horario.</w:t>
      </w:r>
    </w:p>
    <w:p w14:paraId="3679A52B" w14:textId="77777777" w:rsidR="00C92A22" w:rsidRDefault="00C92A22" w:rsidP="00C92A22">
      <w:pPr>
        <w:pStyle w:val="Prrafodelista"/>
        <w:ind w:left="720"/>
        <w:rPr>
          <w:rFonts w:cs="Arial"/>
          <w:szCs w:val="24"/>
        </w:rPr>
      </w:pPr>
    </w:p>
    <w:p w14:paraId="73C239E9" w14:textId="77777777" w:rsidR="00C92A22" w:rsidRDefault="00C92A22" w:rsidP="00C92A22">
      <w:pPr>
        <w:pStyle w:val="Prrafodelista"/>
        <w:numPr>
          <w:ilvl w:val="0"/>
          <w:numId w:val="16"/>
        </w:numPr>
        <w:rPr>
          <w:rFonts w:cs="Arial"/>
          <w:lang w:val="es-ES"/>
        </w:rPr>
      </w:pPr>
      <w:r w:rsidRPr="341D7B9C">
        <w:rPr>
          <w:rFonts w:cs="Arial"/>
          <w:lang w:val="es-ES"/>
        </w:rPr>
        <w:t>Se determina la desviación diaria de la Regla 2 asociada al redespacho, como el valor absoluto de la diferencia de su despacho programado o redespacho (</w:t>
      </w:r>
      <w:proofErr w:type="spellStart"/>
      <w:r w:rsidRPr="341D7B9C">
        <w:rPr>
          <w:rFonts w:cs="Arial"/>
          <w:lang w:val="es-ES"/>
        </w:rPr>
        <w:t>Grdp</w:t>
      </w:r>
      <w:proofErr w:type="spellEnd"/>
      <w:r w:rsidRPr="341D7B9C">
        <w:rPr>
          <w:rFonts w:cs="Arial"/>
          <w:lang w:val="es-ES"/>
        </w:rPr>
        <w:t>) diario, y su generación real (</w:t>
      </w:r>
      <w:proofErr w:type="spellStart"/>
      <w:r w:rsidRPr="341D7B9C">
        <w:rPr>
          <w:rFonts w:cs="Arial"/>
          <w:lang w:val="es-ES"/>
        </w:rPr>
        <w:t>Greal</w:t>
      </w:r>
      <w:proofErr w:type="spellEnd"/>
      <w:r w:rsidRPr="341D7B9C">
        <w:rPr>
          <w:rFonts w:cs="Arial"/>
          <w:lang w:val="es-ES"/>
        </w:rPr>
        <w:t>) diaria, sobre su despacho programado o redespacho (</w:t>
      </w:r>
      <w:proofErr w:type="spellStart"/>
      <w:r w:rsidRPr="341D7B9C">
        <w:rPr>
          <w:rFonts w:cs="Arial"/>
          <w:lang w:val="es-ES"/>
        </w:rPr>
        <w:t>Grdp</w:t>
      </w:r>
      <w:proofErr w:type="spellEnd"/>
      <w:r w:rsidRPr="341D7B9C">
        <w:rPr>
          <w:rFonts w:cs="Arial"/>
          <w:lang w:val="es-ES"/>
        </w:rPr>
        <w:t>). Se obtiene un valor de desviación que es el que aplicaría como segunda referencia a nivel horario.</w:t>
      </w:r>
    </w:p>
    <w:p w14:paraId="7D3490EF" w14:textId="77777777" w:rsidR="00C92A22" w:rsidRPr="007A7054" w:rsidRDefault="00C92A22" w:rsidP="00C92A22">
      <w:pPr>
        <w:pStyle w:val="Prrafodelista"/>
        <w:rPr>
          <w:rFonts w:cs="Arial"/>
          <w:szCs w:val="24"/>
        </w:rPr>
      </w:pPr>
    </w:p>
    <w:p w14:paraId="64A9133D" w14:textId="77777777" w:rsidR="00C92A22" w:rsidRPr="00771DF8" w:rsidRDefault="00C92A22" w:rsidP="00C92A22">
      <w:pPr>
        <w:pStyle w:val="Prrafodelista"/>
        <w:numPr>
          <w:ilvl w:val="0"/>
          <w:numId w:val="16"/>
        </w:numPr>
        <w:rPr>
          <w:rFonts w:cs="Arial"/>
          <w:szCs w:val="24"/>
        </w:rPr>
      </w:pPr>
      <w:r>
        <w:rPr>
          <w:rFonts w:cs="Arial"/>
          <w:szCs w:val="24"/>
        </w:rPr>
        <w:t xml:space="preserve">Se realiza el proceso de cálculo del pago por desviaciones con ambas reglas de forma independiente y se selecciona el valor a pagar como aquel que de mayor valor. </w:t>
      </w:r>
    </w:p>
    <w:p w14:paraId="4553F316" w14:textId="77777777" w:rsidR="00C92A22" w:rsidRDefault="00C92A22" w:rsidP="00C92A22"/>
    <w:p w14:paraId="40A16A5C" w14:textId="77777777" w:rsidR="00C92A22" w:rsidRDefault="00C92A22" w:rsidP="00C92A22">
      <w:r>
        <w:lastRenderedPageBreak/>
        <w:t>Con motivo de las condiciones de embalse y aportes por debajo del promedio histórico, la Resolución CREG 101 040 de 2024</w:t>
      </w:r>
      <w:r>
        <w:rPr>
          <w:rStyle w:val="Refdenotaalpie"/>
        </w:rPr>
        <w:footnoteReference w:id="1"/>
      </w:r>
      <w:r>
        <w:t xml:space="preserve"> estableció </w:t>
      </w:r>
      <w:r w:rsidRPr="00BB0A34">
        <w:t>medidas transitorias para aumentar la oferta de energía ante el Fenómeno del Niño</w:t>
      </w:r>
      <w:r>
        <w:t xml:space="preserve"> de las plantas de generación variables. Una de las medidas fue la no aplicación de </w:t>
      </w:r>
      <w:r w:rsidRPr="004874AF">
        <w:t>desviaciones del programa de generación</w:t>
      </w:r>
      <w:r>
        <w:t>, “</w:t>
      </w:r>
      <w:r w:rsidRPr="00952AA1">
        <w:rPr>
          <w:i/>
          <w:iCs/>
        </w:rPr>
        <w:t>es decir, su desviación diaria y horaria será de cero indistintamente de los valores que se presenten en su programa de generación, programa de redespacho y generación real</w:t>
      </w:r>
      <w:r>
        <w:t>”</w:t>
      </w:r>
      <w:r w:rsidRPr="00032822">
        <w:t>.</w:t>
      </w:r>
      <w:r>
        <w:t xml:space="preserve"> Asimismo, el artículo 2 de la citada resolución menciona las reglas para liquidar esas desviaciones. Finalmente, el artículo 4 menciona que dichas disposiciones aplican hasta el 30 de junio de 2024.</w:t>
      </w:r>
    </w:p>
    <w:p w14:paraId="0B7A1D52" w14:textId="77777777" w:rsidR="00C92A22" w:rsidRDefault="00C92A22" w:rsidP="00C92A22"/>
    <w:p w14:paraId="66C39AB8" w14:textId="77777777" w:rsidR="00C92A22" w:rsidRDefault="00C92A22" w:rsidP="00C92A22"/>
    <w:p w14:paraId="79136D11" w14:textId="77777777" w:rsidR="00C92A22" w:rsidRPr="007319DB" w:rsidRDefault="00C92A22" w:rsidP="00C92A22">
      <w:pPr>
        <w:pStyle w:val="Ttulo1"/>
        <w:numPr>
          <w:ilvl w:val="0"/>
          <w:numId w:val="1"/>
        </w:numPr>
      </w:pPr>
      <w:bookmarkStart w:id="4" w:name="_Toc169851481"/>
      <w:r w:rsidRPr="007319DB">
        <w:t>DEFINICIÓN DEL PROBLEMA</w:t>
      </w:r>
      <w:bookmarkEnd w:id="4"/>
    </w:p>
    <w:p w14:paraId="794C186A" w14:textId="77777777" w:rsidR="00C92A22" w:rsidRDefault="00C92A22" w:rsidP="00C92A22">
      <w:pPr>
        <w:pStyle w:val="Prrafodelista"/>
      </w:pPr>
    </w:p>
    <w:p w14:paraId="7751826E" w14:textId="77777777" w:rsidR="00C92A22" w:rsidRPr="002D644E" w:rsidRDefault="00C92A22" w:rsidP="00C92A22">
      <w:pPr>
        <w:pStyle w:val="Ttulo2"/>
        <w:numPr>
          <w:ilvl w:val="1"/>
          <w:numId w:val="1"/>
        </w:numPr>
        <w:ind w:left="578" w:hanging="578"/>
        <w:rPr>
          <w:rFonts w:cs="Arial"/>
        </w:rPr>
      </w:pPr>
      <w:bookmarkStart w:id="5" w:name="_Toc164521725"/>
      <w:bookmarkStart w:id="6" w:name="_Ref169631959"/>
      <w:bookmarkStart w:id="7" w:name="_Ref169774225"/>
      <w:bookmarkStart w:id="8" w:name="_Toc169851482"/>
      <w:r w:rsidRPr="002D644E">
        <w:rPr>
          <w:rFonts w:cs="Arial"/>
        </w:rPr>
        <w:t>Situación actual</w:t>
      </w:r>
      <w:bookmarkEnd w:id="5"/>
      <w:bookmarkEnd w:id="6"/>
      <w:bookmarkEnd w:id="7"/>
      <w:bookmarkEnd w:id="8"/>
    </w:p>
    <w:p w14:paraId="0D05B3C5" w14:textId="77777777" w:rsidR="00C92A22" w:rsidRDefault="00C92A22" w:rsidP="00C92A22">
      <w:pPr>
        <w:pStyle w:val="Prrafodelista"/>
        <w:ind w:left="0"/>
        <w:rPr>
          <w:rFonts w:cs="Arial"/>
          <w:szCs w:val="24"/>
        </w:rPr>
      </w:pPr>
      <w:r>
        <w:rPr>
          <w:rFonts w:cs="Arial"/>
          <w:szCs w:val="24"/>
        </w:rPr>
        <w:t>Aunque las condiciones de los embalses y aportes están en recuperación, la oferta de energía de las plantas de generación variable (fotovoltaicas, eólicas y filo de agua) contribuyen en la diversificación de la matriz de generación, así como para la disminución de las emisiones del Sistema Interconectado Nacional.</w:t>
      </w:r>
    </w:p>
    <w:p w14:paraId="2ECE3F25" w14:textId="77777777" w:rsidR="00C92A22" w:rsidRDefault="00C92A22" w:rsidP="00C92A22">
      <w:pPr>
        <w:pStyle w:val="Prrafodelista"/>
        <w:ind w:left="0"/>
        <w:rPr>
          <w:rFonts w:cs="Arial"/>
          <w:szCs w:val="24"/>
        </w:rPr>
      </w:pPr>
    </w:p>
    <w:p w14:paraId="39593938" w14:textId="77777777" w:rsidR="00C92A22" w:rsidRDefault="00C92A22" w:rsidP="00C92A22">
      <w:pPr>
        <w:pStyle w:val="Prrafodelista"/>
        <w:ind w:left="0"/>
        <w:rPr>
          <w:rFonts w:cs="Arial"/>
          <w:szCs w:val="24"/>
        </w:rPr>
      </w:pPr>
      <w:r>
        <w:rPr>
          <w:rFonts w:cs="Arial"/>
          <w:szCs w:val="24"/>
        </w:rPr>
        <w:t>A partir de reuniones y comunicaciones recibidas de parte del operador del sistema, XM y de los agentes que desarrollan, operan o financian proyectos de plantas solares fotovoltaicas, se ha resaltado el impacto de las desviaciones y su pago correspondiente establecido en la Resolución CREG 060 de 2019.</w:t>
      </w:r>
    </w:p>
    <w:p w14:paraId="2EF4FDD3" w14:textId="77777777" w:rsidR="00C92A22" w:rsidRDefault="00C92A22" w:rsidP="00C92A22">
      <w:pPr>
        <w:pStyle w:val="Prrafodelista"/>
        <w:ind w:left="0"/>
        <w:rPr>
          <w:rFonts w:cs="Arial"/>
          <w:szCs w:val="24"/>
        </w:rPr>
      </w:pPr>
    </w:p>
    <w:p w14:paraId="07BA5163" w14:textId="77777777" w:rsidR="00C92A22" w:rsidRDefault="00C92A22" w:rsidP="00C92A22">
      <w:pPr>
        <w:pStyle w:val="Prrafodelista"/>
        <w:ind w:left="0"/>
        <w:rPr>
          <w:rFonts w:cs="Arial"/>
          <w:szCs w:val="24"/>
        </w:rPr>
      </w:pPr>
      <w:r>
        <w:rPr>
          <w:rFonts w:cs="Arial"/>
          <w:szCs w:val="24"/>
        </w:rPr>
        <w:t>Los agentes mencionan los siguientes problemas asociados con la actual fórmula de desviaciones y su pago:</w:t>
      </w:r>
    </w:p>
    <w:p w14:paraId="11D0EC41" w14:textId="77777777" w:rsidR="00C92A22" w:rsidRDefault="00C92A22" w:rsidP="00C92A22">
      <w:pPr>
        <w:pStyle w:val="Prrafodelista"/>
        <w:ind w:left="0"/>
        <w:rPr>
          <w:rFonts w:cs="Arial"/>
          <w:szCs w:val="24"/>
        </w:rPr>
      </w:pPr>
    </w:p>
    <w:p w14:paraId="17043050" w14:textId="77777777" w:rsidR="00C92A22" w:rsidRDefault="00C92A22" w:rsidP="00C92A22">
      <w:pPr>
        <w:pStyle w:val="Prrafodelista"/>
        <w:numPr>
          <w:ilvl w:val="0"/>
          <w:numId w:val="17"/>
        </w:numPr>
        <w:rPr>
          <w:rFonts w:cs="Arial"/>
          <w:lang w:val="es-ES"/>
        </w:rPr>
      </w:pPr>
      <w:r w:rsidRPr="341D7B9C">
        <w:rPr>
          <w:rFonts w:cs="Arial"/>
          <w:lang w:val="es-ES"/>
        </w:rPr>
        <w:t xml:space="preserve">La metodología para el cálculo de desviaciones y su respectivo pago se construyó a partir de experiencias internacionales. Sin embargo, a pesar de contar con software de pronóstico usado con éxito en regiones como Europa, las condiciones océano atmosféricas de Colombia hacen que los modelos deban ser </w:t>
      </w:r>
      <w:r>
        <w:rPr>
          <w:rFonts w:cs="Arial"/>
          <w:lang w:val="es-ES"/>
        </w:rPr>
        <w:t>adaptados a las condiciones locales</w:t>
      </w:r>
      <w:r w:rsidRPr="341D7B9C">
        <w:rPr>
          <w:rFonts w:cs="Arial"/>
          <w:lang w:val="es-ES"/>
        </w:rPr>
        <w:t xml:space="preserve"> para mejorar sus predicciones. Por este motivo, se debe revisar la metodología de desviaciones, teniendo en cuenta los datos disponibles de las experiencias locales, conservando los objetivos de la Resolución CREG 060 de 2019: i) mantener el incentivo a realizar pronósticos de generación ajustados, garantizando la seguridad y la eficiencia en la operación del sistema; </w:t>
      </w:r>
      <w:proofErr w:type="spellStart"/>
      <w:r w:rsidRPr="341D7B9C">
        <w:rPr>
          <w:rFonts w:cs="Arial"/>
          <w:lang w:val="es-ES"/>
        </w:rPr>
        <w:t>ii</w:t>
      </w:r>
      <w:proofErr w:type="spellEnd"/>
      <w:r w:rsidRPr="341D7B9C">
        <w:rPr>
          <w:rFonts w:cs="Arial"/>
          <w:lang w:val="es-ES"/>
        </w:rPr>
        <w:t xml:space="preserve">) dar flexibilidad a los pronósticos de recursos de generación variable sin capacidad de regulación y </w:t>
      </w:r>
      <w:proofErr w:type="spellStart"/>
      <w:r w:rsidRPr="341D7B9C">
        <w:rPr>
          <w:rFonts w:cs="Arial"/>
          <w:lang w:val="es-ES"/>
        </w:rPr>
        <w:t>iii</w:t>
      </w:r>
      <w:proofErr w:type="spellEnd"/>
      <w:r w:rsidRPr="341D7B9C">
        <w:rPr>
          <w:rFonts w:cs="Arial"/>
          <w:lang w:val="es-ES"/>
        </w:rPr>
        <w:t xml:space="preserve">) aportar señales para la migración del mercado de corto plazo al mercado </w:t>
      </w:r>
      <w:proofErr w:type="spellStart"/>
      <w:r w:rsidRPr="341D7B9C">
        <w:rPr>
          <w:rFonts w:cs="Arial"/>
          <w:lang w:val="es-ES"/>
        </w:rPr>
        <w:t>intradiario</w:t>
      </w:r>
      <w:proofErr w:type="spellEnd"/>
      <w:r w:rsidRPr="341D7B9C">
        <w:rPr>
          <w:rFonts w:cs="Arial"/>
          <w:lang w:val="es-ES"/>
        </w:rPr>
        <w:t>.</w:t>
      </w:r>
    </w:p>
    <w:p w14:paraId="16BE3778" w14:textId="77777777" w:rsidR="00C92A22" w:rsidRPr="00491D02" w:rsidRDefault="00C92A22" w:rsidP="00C92A22">
      <w:pPr>
        <w:rPr>
          <w:rFonts w:cs="Arial"/>
          <w:szCs w:val="24"/>
        </w:rPr>
      </w:pPr>
    </w:p>
    <w:p w14:paraId="1A62B83C" w14:textId="77777777" w:rsidR="00C92A22" w:rsidRDefault="00C92A22" w:rsidP="00C92A22">
      <w:pPr>
        <w:pStyle w:val="Prrafodelista"/>
        <w:numPr>
          <w:ilvl w:val="0"/>
          <w:numId w:val="17"/>
        </w:numPr>
        <w:rPr>
          <w:rFonts w:cs="Arial"/>
          <w:lang w:val="es-ES"/>
        </w:rPr>
      </w:pPr>
      <w:r w:rsidRPr="341D7B9C">
        <w:rPr>
          <w:rFonts w:cs="Arial"/>
          <w:lang w:val="es-ES"/>
        </w:rPr>
        <w:lastRenderedPageBreak/>
        <w:t xml:space="preserve">Ante las desviaciones de pronóstico de los modelos y, como consecuencia de la regla de pago vigente, algunos agentes prefieren “pronosticar” el precio que margine en la </w:t>
      </w:r>
      <w:proofErr w:type="gramStart"/>
      <w:r w:rsidRPr="341D7B9C">
        <w:rPr>
          <w:rFonts w:cs="Arial"/>
          <w:lang w:val="es-ES"/>
        </w:rPr>
        <w:t>bolsa</w:t>
      </w:r>
      <w:proofErr w:type="gramEnd"/>
      <w:r w:rsidRPr="341D7B9C">
        <w:rPr>
          <w:rFonts w:cs="Arial"/>
          <w:lang w:val="es-ES"/>
        </w:rPr>
        <w:t xml:space="preserve"> aunque sea mucho mayor que sus costos de producción, por lo que, en ocasiones de escasez de oferta de energía, pueden no salir despachadas o si salen despachadas pueden aumentar los costos marginales que perciben los usuarios finales.</w:t>
      </w:r>
    </w:p>
    <w:p w14:paraId="58428DC4" w14:textId="77777777" w:rsidR="00C92A22" w:rsidRPr="00491D02" w:rsidRDefault="00C92A22" w:rsidP="00C92A22">
      <w:pPr>
        <w:pStyle w:val="Prrafodelista"/>
        <w:rPr>
          <w:rFonts w:cs="Arial"/>
          <w:szCs w:val="24"/>
        </w:rPr>
      </w:pPr>
    </w:p>
    <w:p w14:paraId="0C458C58" w14:textId="77777777" w:rsidR="00C92A22" w:rsidRPr="00491D02" w:rsidRDefault="00C92A22" w:rsidP="00C92A22">
      <w:pPr>
        <w:rPr>
          <w:rFonts w:cs="Arial"/>
          <w:szCs w:val="24"/>
        </w:rPr>
      </w:pPr>
    </w:p>
    <w:p w14:paraId="6325D446" w14:textId="77777777" w:rsidR="00C92A22" w:rsidRDefault="00C92A22" w:rsidP="00C92A22">
      <w:pPr>
        <w:keepNext/>
        <w:jc w:val="center"/>
      </w:pPr>
      <w:r w:rsidRPr="005E5CAD">
        <w:rPr>
          <w:rFonts w:cs="Arial"/>
          <w:noProof/>
          <w:szCs w:val="24"/>
        </w:rPr>
        <w:drawing>
          <wp:inline distT="0" distB="0" distL="0" distR="0" wp14:anchorId="0556FA84" wp14:editId="74D5585E">
            <wp:extent cx="5019675" cy="2533650"/>
            <wp:effectExtent l="0" t="0" r="0" b="0"/>
            <wp:docPr id="95284979" name="Gráfico 1">
              <a:extLst xmlns:a="http://schemas.openxmlformats.org/drawingml/2006/main">
                <a:ext uri="{FF2B5EF4-FFF2-40B4-BE49-F238E27FC236}">
                  <a16:creationId xmlns:a16="http://schemas.microsoft.com/office/drawing/2014/main" id="{D8A1ED3E-12FB-1A89-0C8C-0E8AF9FEBA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4D6622" w14:textId="31D0DB5B" w:rsidR="00C92A22" w:rsidRPr="00ED2098" w:rsidRDefault="00C92A22" w:rsidP="00C92A22">
      <w:pPr>
        <w:pStyle w:val="Descripcin"/>
        <w:jc w:val="center"/>
        <w:rPr>
          <w:rFonts w:cs="Arial"/>
          <w:sz w:val="24"/>
          <w:szCs w:val="36"/>
        </w:rPr>
      </w:pPr>
      <w:r w:rsidRPr="00ED2098">
        <w:rPr>
          <w:rFonts w:cs="Arial"/>
          <w:sz w:val="24"/>
          <w:szCs w:val="36"/>
        </w:rPr>
        <w:t xml:space="preserve">Ilustración </w:t>
      </w:r>
      <w:r w:rsidRPr="00ED2098">
        <w:rPr>
          <w:rFonts w:cs="Arial"/>
          <w:sz w:val="24"/>
          <w:szCs w:val="36"/>
        </w:rPr>
        <w:fldChar w:fldCharType="begin"/>
      </w:r>
      <w:r w:rsidRPr="00ED2098">
        <w:rPr>
          <w:rFonts w:cs="Arial"/>
          <w:sz w:val="24"/>
          <w:szCs w:val="36"/>
        </w:rPr>
        <w:instrText xml:space="preserve"> SEQ Ilustración \* ARABIC </w:instrText>
      </w:r>
      <w:r w:rsidRPr="00ED2098">
        <w:rPr>
          <w:rFonts w:cs="Arial"/>
          <w:sz w:val="24"/>
          <w:szCs w:val="36"/>
        </w:rPr>
        <w:fldChar w:fldCharType="separate"/>
      </w:r>
      <w:r w:rsidR="00287B4B">
        <w:rPr>
          <w:rFonts w:cs="Arial"/>
          <w:noProof/>
          <w:sz w:val="24"/>
          <w:szCs w:val="36"/>
        </w:rPr>
        <w:t>2</w:t>
      </w:r>
      <w:r w:rsidRPr="00ED2098">
        <w:rPr>
          <w:rFonts w:cs="Arial"/>
          <w:sz w:val="24"/>
          <w:szCs w:val="36"/>
        </w:rPr>
        <w:fldChar w:fldCharType="end"/>
      </w:r>
      <w:r w:rsidRPr="00ED2098">
        <w:rPr>
          <w:rFonts w:cs="Arial"/>
          <w:sz w:val="24"/>
          <w:szCs w:val="36"/>
        </w:rPr>
        <w:t>. Precios diarios energía ($/kWh)</w:t>
      </w:r>
      <w:r>
        <w:rPr>
          <w:rFonts w:cs="Arial"/>
          <w:sz w:val="24"/>
          <w:szCs w:val="36"/>
        </w:rPr>
        <w:t>. Construcción propia con datos de XM</w:t>
      </w:r>
    </w:p>
    <w:p w14:paraId="5D5404FC" w14:textId="77777777" w:rsidR="00C92A22" w:rsidRDefault="00C92A22" w:rsidP="00C92A22">
      <w:pPr>
        <w:pStyle w:val="Prrafodelista"/>
        <w:numPr>
          <w:ilvl w:val="0"/>
          <w:numId w:val="17"/>
        </w:numPr>
        <w:rPr>
          <w:rFonts w:cs="Arial"/>
          <w:lang w:val="es-ES"/>
        </w:rPr>
      </w:pPr>
      <w:r w:rsidRPr="341D7B9C">
        <w:rPr>
          <w:rFonts w:cs="Arial"/>
          <w:lang w:val="es-ES"/>
        </w:rPr>
        <w:t xml:space="preserve">Los pagos por desviaciones pueden afectar la financiación de las plantas variables. A partir de datos de XM para plantas solares despachadas centralmente y, asumiendo que durante los meses de abril y mayo de 2024 se hubiesen aplicado las reglas de desviaciones de la Resolución CREG 060 de 2019, las plantas solares 1 y 2 tendrían pagos por desviaciones entre 93 y 145 $/kWh. Adicionalmente, a </w:t>
      </w:r>
      <w:proofErr w:type="gramStart"/>
      <w:r w:rsidRPr="341D7B9C">
        <w:rPr>
          <w:rFonts w:cs="Arial"/>
          <w:lang w:val="es-ES"/>
        </w:rPr>
        <w:t>continuación</w:t>
      </w:r>
      <w:proofErr w:type="gramEnd"/>
      <w:r w:rsidRPr="341D7B9C">
        <w:rPr>
          <w:rFonts w:cs="Arial"/>
          <w:lang w:val="es-ES"/>
        </w:rPr>
        <w:t xml:space="preserve"> se presenta cuánto representa el pago por desviaciones (PD) respecto de los potenciales ingresos que pudiese recibir una planta si el valor al que vende su energía es el precio de bolsa (PB), su precio de oferta (PO) o el precio de contratos de la subasta de largo plazo (PCSL) de 2021 (indexada con el IPC a pesos de diciembre de 2023).</w:t>
      </w:r>
    </w:p>
    <w:p w14:paraId="7B502131" w14:textId="77777777" w:rsidR="00C92A22" w:rsidRPr="00321407" w:rsidRDefault="00C92A22" w:rsidP="00C92A22">
      <w:pPr>
        <w:rPr>
          <w:rFonts w:cs="Arial"/>
          <w:szCs w:val="24"/>
        </w:rPr>
      </w:pPr>
    </w:p>
    <w:tbl>
      <w:tblPr>
        <w:tblStyle w:val="Tablaconcuadrcula1clara-nfasis1"/>
        <w:tblW w:w="7062" w:type="dxa"/>
        <w:jc w:val="center"/>
        <w:tblLook w:val="04A0" w:firstRow="1" w:lastRow="0" w:firstColumn="1" w:lastColumn="0" w:noHBand="0" w:noVBand="1"/>
      </w:tblPr>
      <w:tblGrid>
        <w:gridCol w:w="1177"/>
        <w:gridCol w:w="1177"/>
        <w:gridCol w:w="1177"/>
        <w:gridCol w:w="1177"/>
        <w:gridCol w:w="1177"/>
        <w:gridCol w:w="1177"/>
      </w:tblGrid>
      <w:tr w:rsidR="00C92A22" w:rsidRPr="000027E2" w14:paraId="0E694246" w14:textId="77777777" w:rsidTr="00B16846">
        <w:trPr>
          <w:cnfStyle w:val="100000000000" w:firstRow="1" w:lastRow="0" w:firstColumn="0" w:lastColumn="0" w:oddVBand="0" w:evenVBand="0" w:oddHBand="0"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2354" w:type="dxa"/>
            <w:gridSpan w:val="2"/>
            <w:hideMark/>
          </w:tcPr>
          <w:p w14:paraId="4C165959" w14:textId="77777777" w:rsidR="00C92A22" w:rsidRPr="000027E2" w:rsidRDefault="00C92A22" w:rsidP="00B16846">
            <w:pPr>
              <w:jc w:val="center"/>
              <w:rPr>
                <w:rFonts w:cs="Arial"/>
                <w:color w:val="000000"/>
                <w:sz w:val="22"/>
                <w:szCs w:val="22"/>
                <w:lang w:val="es-CO" w:eastAsia="es-CO"/>
              </w:rPr>
            </w:pPr>
            <w:r w:rsidRPr="000027E2">
              <w:rPr>
                <w:rFonts w:cs="Arial"/>
                <w:color w:val="000000"/>
                <w:sz w:val="22"/>
                <w:szCs w:val="22"/>
                <w:lang w:val="es-CO" w:eastAsia="es-CO"/>
              </w:rPr>
              <w:t xml:space="preserve">Relación entre </w:t>
            </w:r>
            <w:r w:rsidRPr="005A4B62">
              <w:rPr>
                <w:rFonts w:cs="Arial"/>
                <w:color w:val="000000"/>
                <w:sz w:val="22"/>
                <w:szCs w:val="22"/>
                <w:lang w:val="es-CO" w:eastAsia="es-CO"/>
              </w:rPr>
              <w:t>PD</w:t>
            </w:r>
            <w:r w:rsidRPr="000027E2">
              <w:rPr>
                <w:rFonts w:cs="Arial"/>
                <w:color w:val="000000"/>
                <w:sz w:val="22"/>
                <w:szCs w:val="22"/>
                <w:lang w:val="es-CO" w:eastAsia="es-CO"/>
              </w:rPr>
              <w:t xml:space="preserve"> y pago a planta con PB</w:t>
            </w:r>
          </w:p>
        </w:tc>
        <w:tc>
          <w:tcPr>
            <w:tcW w:w="2354" w:type="dxa"/>
            <w:gridSpan w:val="2"/>
            <w:hideMark/>
          </w:tcPr>
          <w:p w14:paraId="106E919D" w14:textId="77777777" w:rsidR="00C92A22" w:rsidRPr="000027E2" w:rsidRDefault="00C92A22" w:rsidP="00B16846">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0027E2">
              <w:rPr>
                <w:rFonts w:cs="Arial"/>
                <w:color w:val="000000"/>
                <w:sz w:val="22"/>
                <w:szCs w:val="22"/>
                <w:lang w:val="es-CO" w:eastAsia="es-CO"/>
              </w:rPr>
              <w:t xml:space="preserve">Relación entre </w:t>
            </w:r>
            <w:r w:rsidRPr="005A4B62">
              <w:rPr>
                <w:rFonts w:cs="Arial"/>
                <w:color w:val="000000"/>
                <w:sz w:val="22"/>
                <w:szCs w:val="22"/>
                <w:lang w:val="es-CO" w:eastAsia="es-CO"/>
              </w:rPr>
              <w:t xml:space="preserve">PD </w:t>
            </w:r>
            <w:r w:rsidRPr="000027E2">
              <w:rPr>
                <w:rFonts w:cs="Arial"/>
                <w:color w:val="000000"/>
                <w:sz w:val="22"/>
                <w:szCs w:val="22"/>
                <w:lang w:val="es-CO" w:eastAsia="es-CO"/>
              </w:rPr>
              <w:t>y pago a planta con PO</w:t>
            </w:r>
          </w:p>
        </w:tc>
        <w:tc>
          <w:tcPr>
            <w:tcW w:w="2354" w:type="dxa"/>
            <w:gridSpan w:val="2"/>
            <w:hideMark/>
          </w:tcPr>
          <w:p w14:paraId="7CD4E52F" w14:textId="77777777" w:rsidR="00C92A22" w:rsidRPr="000027E2" w:rsidRDefault="00C92A22" w:rsidP="00B16846">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0027E2">
              <w:rPr>
                <w:rFonts w:cs="Arial"/>
                <w:color w:val="000000"/>
                <w:sz w:val="22"/>
                <w:szCs w:val="22"/>
                <w:lang w:val="es-CO" w:eastAsia="es-CO"/>
              </w:rPr>
              <w:t xml:space="preserve">Relación entre </w:t>
            </w:r>
            <w:r w:rsidRPr="005A4B62">
              <w:rPr>
                <w:rFonts w:cs="Arial"/>
                <w:color w:val="000000"/>
                <w:sz w:val="22"/>
                <w:szCs w:val="22"/>
                <w:lang w:val="es-CO" w:eastAsia="es-CO"/>
              </w:rPr>
              <w:t xml:space="preserve">PD </w:t>
            </w:r>
            <w:r w:rsidRPr="000027E2">
              <w:rPr>
                <w:rFonts w:cs="Arial"/>
                <w:color w:val="000000"/>
                <w:sz w:val="22"/>
                <w:szCs w:val="22"/>
                <w:lang w:val="es-CO" w:eastAsia="es-CO"/>
              </w:rPr>
              <w:t>y pago a planta con P</w:t>
            </w:r>
            <w:r w:rsidRPr="005A4B62">
              <w:rPr>
                <w:rFonts w:cs="Arial"/>
                <w:color w:val="000000"/>
                <w:sz w:val="22"/>
                <w:szCs w:val="22"/>
                <w:lang w:val="es-CO" w:eastAsia="es-CO"/>
              </w:rPr>
              <w:t>CSL</w:t>
            </w:r>
          </w:p>
        </w:tc>
      </w:tr>
      <w:tr w:rsidR="00C92A22" w:rsidRPr="000027E2" w14:paraId="01E880FA" w14:textId="77777777" w:rsidTr="00B16846">
        <w:trPr>
          <w:trHeight w:val="252"/>
          <w:jc w:val="center"/>
        </w:trPr>
        <w:tc>
          <w:tcPr>
            <w:cnfStyle w:val="001000000000" w:firstRow="0" w:lastRow="0" w:firstColumn="1" w:lastColumn="0" w:oddVBand="0" w:evenVBand="0" w:oddHBand="0" w:evenHBand="0" w:firstRowFirstColumn="0" w:firstRowLastColumn="0" w:lastRowFirstColumn="0" w:lastRowLastColumn="0"/>
            <w:tcW w:w="1177" w:type="dxa"/>
            <w:hideMark/>
          </w:tcPr>
          <w:p w14:paraId="77203731" w14:textId="77777777" w:rsidR="00C92A22" w:rsidRPr="000027E2" w:rsidRDefault="00C92A22" w:rsidP="00B16846">
            <w:pPr>
              <w:jc w:val="center"/>
              <w:rPr>
                <w:rFonts w:cs="Arial"/>
                <w:b w:val="0"/>
                <w:bCs w:val="0"/>
                <w:color w:val="000000"/>
                <w:sz w:val="22"/>
                <w:szCs w:val="22"/>
                <w:lang w:val="es-CO" w:eastAsia="es-CO"/>
              </w:rPr>
            </w:pPr>
            <w:r w:rsidRPr="000027E2">
              <w:rPr>
                <w:rFonts w:cs="Arial"/>
                <w:b w:val="0"/>
                <w:bCs w:val="0"/>
                <w:color w:val="000000"/>
                <w:sz w:val="22"/>
                <w:szCs w:val="22"/>
                <w:lang w:val="es-CO" w:eastAsia="es-CO"/>
              </w:rPr>
              <w:t>Solar 1</w:t>
            </w:r>
          </w:p>
        </w:tc>
        <w:tc>
          <w:tcPr>
            <w:tcW w:w="1177" w:type="dxa"/>
            <w:hideMark/>
          </w:tcPr>
          <w:p w14:paraId="29F242BF" w14:textId="77777777" w:rsidR="00C92A22" w:rsidRPr="000027E2"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0027E2">
              <w:rPr>
                <w:rFonts w:cs="Arial"/>
                <w:color w:val="000000"/>
                <w:sz w:val="22"/>
                <w:szCs w:val="22"/>
                <w:lang w:val="es-CO" w:eastAsia="es-CO"/>
              </w:rPr>
              <w:t>Solar 2</w:t>
            </w:r>
          </w:p>
        </w:tc>
        <w:tc>
          <w:tcPr>
            <w:tcW w:w="1177" w:type="dxa"/>
            <w:hideMark/>
          </w:tcPr>
          <w:p w14:paraId="4DF75B40" w14:textId="77777777" w:rsidR="00C92A22" w:rsidRPr="000027E2"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0027E2">
              <w:rPr>
                <w:rFonts w:cs="Arial"/>
                <w:color w:val="000000"/>
                <w:sz w:val="22"/>
                <w:szCs w:val="22"/>
                <w:lang w:val="es-CO" w:eastAsia="es-CO"/>
              </w:rPr>
              <w:t>Solar 1</w:t>
            </w:r>
          </w:p>
        </w:tc>
        <w:tc>
          <w:tcPr>
            <w:tcW w:w="1177" w:type="dxa"/>
            <w:hideMark/>
          </w:tcPr>
          <w:p w14:paraId="25747321" w14:textId="77777777" w:rsidR="00C92A22" w:rsidRPr="000027E2"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0027E2">
              <w:rPr>
                <w:rFonts w:cs="Arial"/>
                <w:color w:val="000000"/>
                <w:sz w:val="22"/>
                <w:szCs w:val="22"/>
                <w:lang w:val="es-CO" w:eastAsia="es-CO"/>
              </w:rPr>
              <w:t>Solar 2</w:t>
            </w:r>
          </w:p>
        </w:tc>
        <w:tc>
          <w:tcPr>
            <w:tcW w:w="1177" w:type="dxa"/>
            <w:hideMark/>
          </w:tcPr>
          <w:p w14:paraId="7F717A66" w14:textId="77777777" w:rsidR="00C92A22" w:rsidRPr="000027E2"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0027E2">
              <w:rPr>
                <w:rFonts w:cs="Arial"/>
                <w:color w:val="000000"/>
                <w:sz w:val="22"/>
                <w:szCs w:val="22"/>
                <w:lang w:val="es-CO" w:eastAsia="es-CO"/>
              </w:rPr>
              <w:t>Solar 1</w:t>
            </w:r>
          </w:p>
        </w:tc>
        <w:tc>
          <w:tcPr>
            <w:tcW w:w="1177" w:type="dxa"/>
            <w:hideMark/>
          </w:tcPr>
          <w:p w14:paraId="3F718AD9" w14:textId="77777777" w:rsidR="00C92A22" w:rsidRPr="000027E2"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0027E2">
              <w:rPr>
                <w:rFonts w:cs="Arial"/>
                <w:color w:val="000000"/>
                <w:sz w:val="22"/>
                <w:szCs w:val="22"/>
                <w:lang w:val="es-CO" w:eastAsia="es-CO"/>
              </w:rPr>
              <w:t>Solar 2</w:t>
            </w:r>
          </w:p>
        </w:tc>
      </w:tr>
      <w:tr w:rsidR="00C92A22" w:rsidRPr="000027E2" w14:paraId="42D8C97D" w14:textId="77777777" w:rsidTr="00B16846">
        <w:trPr>
          <w:trHeight w:val="210"/>
          <w:jc w:val="center"/>
        </w:trPr>
        <w:tc>
          <w:tcPr>
            <w:cnfStyle w:val="001000000000" w:firstRow="0" w:lastRow="0" w:firstColumn="1" w:lastColumn="0" w:oddVBand="0" w:evenVBand="0" w:oddHBand="0" w:evenHBand="0" w:firstRowFirstColumn="0" w:firstRowLastColumn="0" w:lastRowFirstColumn="0" w:lastRowLastColumn="0"/>
            <w:tcW w:w="1177" w:type="dxa"/>
            <w:noWrap/>
            <w:hideMark/>
          </w:tcPr>
          <w:p w14:paraId="4FA897A3" w14:textId="77777777" w:rsidR="00C92A22" w:rsidRPr="000027E2" w:rsidRDefault="00C92A22" w:rsidP="00B16846">
            <w:pPr>
              <w:jc w:val="center"/>
              <w:rPr>
                <w:rFonts w:cs="Arial"/>
                <w:b w:val="0"/>
                <w:bCs w:val="0"/>
                <w:color w:val="000000"/>
                <w:sz w:val="22"/>
                <w:szCs w:val="22"/>
                <w:lang w:val="es-CO" w:eastAsia="es-CO"/>
              </w:rPr>
            </w:pPr>
            <w:r w:rsidRPr="000027E2">
              <w:rPr>
                <w:rFonts w:cs="Arial"/>
                <w:b w:val="0"/>
                <w:bCs w:val="0"/>
                <w:color w:val="000000"/>
                <w:sz w:val="22"/>
                <w:szCs w:val="22"/>
                <w:lang w:val="es-CO" w:eastAsia="es-CO"/>
              </w:rPr>
              <w:t>16%</w:t>
            </w:r>
          </w:p>
        </w:tc>
        <w:tc>
          <w:tcPr>
            <w:tcW w:w="1177" w:type="dxa"/>
            <w:noWrap/>
            <w:hideMark/>
          </w:tcPr>
          <w:p w14:paraId="11CE377D" w14:textId="77777777" w:rsidR="00C92A22" w:rsidRPr="000027E2"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0027E2">
              <w:rPr>
                <w:rFonts w:cs="Arial"/>
                <w:color w:val="000000"/>
                <w:sz w:val="22"/>
                <w:szCs w:val="22"/>
                <w:lang w:val="es-CO" w:eastAsia="es-CO"/>
              </w:rPr>
              <w:t>29%</w:t>
            </w:r>
          </w:p>
        </w:tc>
        <w:tc>
          <w:tcPr>
            <w:tcW w:w="1177" w:type="dxa"/>
            <w:noWrap/>
            <w:hideMark/>
          </w:tcPr>
          <w:p w14:paraId="2F3376C6" w14:textId="77777777" w:rsidR="00C92A22" w:rsidRPr="000027E2"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0027E2">
              <w:rPr>
                <w:rFonts w:cs="Arial"/>
                <w:color w:val="000000"/>
                <w:sz w:val="22"/>
                <w:szCs w:val="22"/>
                <w:lang w:val="es-CO" w:eastAsia="es-CO"/>
              </w:rPr>
              <w:t>26%</w:t>
            </w:r>
          </w:p>
        </w:tc>
        <w:tc>
          <w:tcPr>
            <w:tcW w:w="1177" w:type="dxa"/>
            <w:noWrap/>
            <w:hideMark/>
          </w:tcPr>
          <w:p w14:paraId="646064E4" w14:textId="77777777" w:rsidR="00C92A22" w:rsidRPr="000027E2"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0027E2">
              <w:rPr>
                <w:rFonts w:cs="Arial"/>
                <w:color w:val="000000"/>
                <w:sz w:val="22"/>
                <w:szCs w:val="22"/>
                <w:lang w:val="es-CO" w:eastAsia="es-CO"/>
              </w:rPr>
              <w:t>163%</w:t>
            </w:r>
          </w:p>
        </w:tc>
        <w:tc>
          <w:tcPr>
            <w:tcW w:w="1177" w:type="dxa"/>
            <w:noWrap/>
            <w:hideMark/>
          </w:tcPr>
          <w:p w14:paraId="610B6C4C" w14:textId="77777777" w:rsidR="00C92A22" w:rsidRPr="000027E2"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0027E2">
              <w:rPr>
                <w:rFonts w:cs="Arial"/>
                <w:color w:val="000000"/>
                <w:sz w:val="22"/>
                <w:szCs w:val="22"/>
                <w:lang w:val="es-CO" w:eastAsia="es-CO"/>
              </w:rPr>
              <w:t>39%</w:t>
            </w:r>
          </w:p>
        </w:tc>
        <w:tc>
          <w:tcPr>
            <w:tcW w:w="1177" w:type="dxa"/>
            <w:noWrap/>
            <w:hideMark/>
          </w:tcPr>
          <w:p w14:paraId="0E4687EA" w14:textId="77777777" w:rsidR="00C92A22" w:rsidRPr="000027E2" w:rsidRDefault="00C92A22" w:rsidP="00B16846">
            <w:pPr>
              <w:keepNext/>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0027E2">
              <w:rPr>
                <w:rFonts w:cs="Arial"/>
                <w:color w:val="000000"/>
                <w:sz w:val="22"/>
                <w:szCs w:val="22"/>
                <w:lang w:val="es-CO" w:eastAsia="es-CO"/>
              </w:rPr>
              <w:t>71%</w:t>
            </w:r>
          </w:p>
        </w:tc>
      </w:tr>
    </w:tbl>
    <w:p w14:paraId="11B6A411" w14:textId="21198372" w:rsidR="00C92A22" w:rsidRDefault="00C92A22" w:rsidP="00C92A22">
      <w:pPr>
        <w:pStyle w:val="Descripcin"/>
        <w:jc w:val="center"/>
        <w:rPr>
          <w:rFonts w:cs="Arial"/>
          <w:szCs w:val="24"/>
        </w:rPr>
      </w:pPr>
      <w:r>
        <w:t xml:space="preserve">Tabla </w:t>
      </w:r>
      <w:r>
        <w:fldChar w:fldCharType="begin"/>
      </w:r>
      <w:r>
        <w:instrText xml:space="preserve"> SEQ Tabla \* ARABIC </w:instrText>
      </w:r>
      <w:r>
        <w:fldChar w:fldCharType="separate"/>
      </w:r>
      <w:r w:rsidR="00287B4B">
        <w:rPr>
          <w:noProof/>
        </w:rPr>
        <w:t>1</w:t>
      </w:r>
      <w:r>
        <w:fldChar w:fldCharType="end"/>
      </w:r>
      <w:r>
        <w:t>. Relación entre los pagos por desviaciones y los pagos recibidos por generación</w:t>
      </w:r>
    </w:p>
    <w:p w14:paraId="26C0E9FB" w14:textId="77777777" w:rsidR="00C92A22" w:rsidRDefault="00C92A22" w:rsidP="00C92A22">
      <w:pPr>
        <w:pStyle w:val="Prrafodelista"/>
        <w:numPr>
          <w:ilvl w:val="0"/>
          <w:numId w:val="17"/>
        </w:numPr>
        <w:rPr>
          <w:rFonts w:cs="Arial"/>
          <w:szCs w:val="24"/>
        </w:rPr>
      </w:pPr>
      <w:r>
        <w:rPr>
          <w:rFonts w:cs="Arial"/>
          <w:szCs w:val="24"/>
        </w:rPr>
        <w:t xml:space="preserve">Se recibieron propuestas respecto de los máximos niveles de tolerancia para las desviaciones presentadas en la Resolución CREG 060 de 2019. Sin embargo, se analizaron los datos de las plantas que se despacharon centralmente durante el </w:t>
      </w:r>
      <w:r>
        <w:rPr>
          <w:rFonts w:cs="Arial"/>
          <w:szCs w:val="24"/>
        </w:rPr>
        <w:lastRenderedPageBreak/>
        <w:t>período abril mayo y, se encontró que para la planta Solar 2 más del 50% de la energía generada presentó desviaciones menores al 15% respecto al despacho y más del 70% de la energía diaria generada presentó desviaciones menores al 8% respecto al redespacho como se muestra a continuación:</w:t>
      </w:r>
    </w:p>
    <w:p w14:paraId="51DD18CD" w14:textId="77777777" w:rsidR="00C92A22" w:rsidRDefault="00C92A22" w:rsidP="00C92A22">
      <w:pPr>
        <w:rPr>
          <w:rFonts w:cs="Arial"/>
          <w:szCs w:val="24"/>
        </w:rPr>
      </w:pPr>
    </w:p>
    <w:p w14:paraId="2A0D496A" w14:textId="77777777" w:rsidR="00C92A22" w:rsidRPr="009C5738" w:rsidRDefault="00C92A22" w:rsidP="00C92A22">
      <w:pPr>
        <w:jc w:val="center"/>
        <w:rPr>
          <w:rFonts w:cs="Arial"/>
          <w:szCs w:val="24"/>
        </w:rPr>
      </w:pPr>
      <w:r w:rsidRPr="00B6793D">
        <w:rPr>
          <w:rFonts w:cs="Arial"/>
          <w:noProof/>
          <w:szCs w:val="24"/>
        </w:rPr>
        <w:drawing>
          <wp:inline distT="0" distB="0" distL="0" distR="0" wp14:anchorId="37ABF3C1" wp14:editId="5AB2F247">
            <wp:extent cx="4320000" cy="2160000"/>
            <wp:effectExtent l="0" t="0" r="4445" b="0"/>
            <wp:docPr id="1310058024" name="Gráfico 1">
              <a:extLst xmlns:a="http://schemas.openxmlformats.org/drawingml/2006/main">
                <a:ext uri="{FF2B5EF4-FFF2-40B4-BE49-F238E27FC236}">
                  <a16:creationId xmlns:a16="http://schemas.microsoft.com/office/drawing/2014/main" id="{5631BB1C-D01A-7B91-DDF3-86BD04DEA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C63249" w14:textId="77777777" w:rsidR="00C92A22" w:rsidRDefault="00C92A22" w:rsidP="00C92A22">
      <w:pPr>
        <w:pStyle w:val="Prrafodelista"/>
      </w:pPr>
    </w:p>
    <w:p w14:paraId="0083FF01" w14:textId="77777777" w:rsidR="00C92A22" w:rsidRDefault="00C92A22" w:rsidP="00C92A22">
      <w:pPr>
        <w:pStyle w:val="Prrafodelista"/>
        <w:jc w:val="center"/>
      </w:pPr>
      <w:r w:rsidRPr="00B6793D">
        <w:rPr>
          <w:noProof/>
        </w:rPr>
        <w:drawing>
          <wp:inline distT="0" distB="0" distL="0" distR="0" wp14:anchorId="1E056C5B" wp14:editId="511A9B60">
            <wp:extent cx="4320000" cy="2160000"/>
            <wp:effectExtent l="0" t="0" r="4445" b="0"/>
            <wp:docPr id="1863629951" name="Gráfico 1">
              <a:extLst xmlns:a="http://schemas.openxmlformats.org/drawingml/2006/main">
                <a:ext uri="{FF2B5EF4-FFF2-40B4-BE49-F238E27FC236}">
                  <a16:creationId xmlns:a16="http://schemas.microsoft.com/office/drawing/2014/main" id="{306F3643-9A9C-C6F9-97A4-28600722E2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DA6CBA" w14:textId="71AEF8BB" w:rsidR="00C92A22" w:rsidRDefault="00C92A22" w:rsidP="00C92A22">
      <w:pPr>
        <w:pStyle w:val="Descripcin"/>
        <w:jc w:val="center"/>
      </w:pPr>
      <w:r>
        <w:t xml:space="preserve">Ilustración </w:t>
      </w:r>
      <w:r>
        <w:fldChar w:fldCharType="begin"/>
      </w:r>
      <w:r>
        <w:instrText xml:space="preserve"> SEQ Ilustración \* ARABIC </w:instrText>
      </w:r>
      <w:r>
        <w:fldChar w:fldCharType="separate"/>
      </w:r>
      <w:r w:rsidR="00287B4B">
        <w:rPr>
          <w:noProof/>
        </w:rPr>
        <w:t>3</w:t>
      </w:r>
      <w:r>
        <w:fldChar w:fldCharType="end"/>
      </w:r>
      <w:r>
        <w:t>. Desviaciones diarias planta Solar 2</w:t>
      </w:r>
    </w:p>
    <w:p w14:paraId="708A1195" w14:textId="77777777" w:rsidR="00C92A22" w:rsidRDefault="00C92A22" w:rsidP="00C92A22">
      <w:pPr>
        <w:pStyle w:val="Prrafodelista"/>
        <w:numPr>
          <w:ilvl w:val="0"/>
          <w:numId w:val="17"/>
        </w:numPr>
      </w:pPr>
      <w:r>
        <w:t>Plantas que en la actualidad se encuentran en período de pruebas presentan amplias desviaciones de sus pronósticos diarios y horarios utilizando diferentes modelos de pronóstico como se presenta a continuación</w:t>
      </w:r>
    </w:p>
    <w:p w14:paraId="7BD169A7" w14:textId="77777777" w:rsidR="00C92A22" w:rsidRDefault="00C92A22" w:rsidP="00C92A22">
      <w:pPr>
        <w:jc w:val="center"/>
      </w:pPr>
      <w:r w:rsidRPr="00B6793D">
        <w:rPr>
          <w:rFonts w:cs="Arial"/>
          <w:noProof/>
          <w:szCs w:val="24"/>
        </w:rPr>
        <w:lastRenderedPageBreak/>
        <w:drawing>
          <wp:inline distT="0" distB="0" distL="0" distR="0" wp14:anchorId="04C7942F" wp14:editId="778C8E89">
            <wp:extent cx="4320000" cy="2160000"/>
            <wp:effectExtent l="0" t="0" r="4445" b="0"/>
            <wp:docPr id="995858660" name="Gráfico 1">
              <a:extLst xmlns:a="http://schemas.openxmlformats.org/drawingml/2006/main">
                <a:ext uri="{FF2B5EF4-FFF2-40B4-BE49-F238E27FC236}">
                  <a16:creationId xmlns:a16="http://schemas.microsoft.com/office/drawing/2014/main" id="{5631BB1C-D01A-7B91-DDF3-86BD04DEA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CF147F" w14:textId="77777777" w:rsidR="00C92A22" w:rsidRDefault="00C92A22" w:rsidP="00C92A22"/>
    <w:p w14:paraId="4252041C" w14:textId="77777777" w:rsidR="00C92A22" w:rsidRDefault="00C92A22" w:rsidP="00C92A22">
      <w:pPr>
        <w:jc w:val="center"/>
      </w:pPr>
      <w:r w:rsidRPr="00B6793D">
        <w:rPr>
          <w:rFonts w:cs="Arial"/>
          <w:noProof/>
          <w:szCs w:val="24"/>
        </w:rPr>
        <w:drawing>
          <wp:inline distT="0" distB="0" distL="0" distR="0" wp14:anchorId="66451833" wp14:editId="03BE553E">
            <wp:extent cx="4320000" cy="2160000"/>
            <wp:effectExtent l="0" t="0" r="4445" b="0"/>
            <wp:docPr id="1511452945" name="Gráfico 1">
              <a:extLst xmlns:a="http://schemas.openxmlformats.org/drawingml/2006/main">
                <a:ext uri="{FF2B5EF4-FFF2-40B4-BE49-F238E27FC236}">
                  <a16:creationId xmlns:a16="http://schemas.microsoft.com/office/drawing/2014/main" id="{5631BB1C-D01A-7B91-DDF3-86BD04DEA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7473F2" w14:textId="77777777" w:rsidR="00C92A22" w:rsidRDefault="00C92A22" w:rsidP="00C92A22">
      <w:pPr>
        <w:jc w:val="center"/>
      </w:pPr>
      <w:r w:rsidRPr="00B6793D">
        <w:rPr>
          <w:rFonts w:cs="Arial"/>
          <w:noProof/>
          <w:szCs w:val="24"/>
        </w:rPr>
        <w:drawing>
          <wp:inline distT="0" distB="0" distL="0" distR="0" wp14:anchorId="37D8D08A" wp14:editId="13C50DA2">
            <wp:extent cx="4320000" cy="2160000"/>
            <wp:effectExtent l="0" t="0" r="4445" b="0"/>
            <wp:docPr id="1883540985" name="Gráfico 1">
              <a:extLst xmlns:a="http://schemas.openxmlformats.org/drawingml/2006/main">
                <a:ext uri="{FF2B5EF4-FFF2-40B4-BE49-F238E27FC236}">
                  <a16:creationId xmlns:a16="http://schemas.microsoft.com/office/drawing/2014/main" id="{5631BB1C-D01A-7B91-DDF3-86BD04DEA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90F996" w14:textId="4F11B108" w:rsidR="00C92A22" w:rsidRDefault="00C92A22" w:rsidP="00C92A22">
      <w:pPr>
        <w:pStyle w:val="Descripcin"/>
        <w:jc w:val="center"/>
      </w:pPr>
      <w:r>
        <w:t xml:space="preserve">Ilustración </w:t>
      </w:r>
      <w:r>
        <w:fldChar w:fldCharType="begin"/>
      </w:r>
      <w:r>
        <w:instrText xml:space="preserve"> SEQ Ilustración \* ARABIC </w:instrText>
      </w:r>
      <w:r>
        <w:fldChar w:fldCharType="separate"/>
      </w:r>
      <w:r w:rsidR="00287B4B">
        <w:rPr>
          <w:noProof/>
        </w:rPr>
        <w:t>4</w:t>
      </w:r>
      <w:r>
        <w:fldChar w:fldCharType="end"/>
      </w:r>
      <w:r>
        <w:t>. Desviaciones generación real frente a modelos de pronóstico planta Solar 3</w:t>
      </w:r>
    </w:p>
    <w:p w14:paraId="01C3ADD6" w14:textId="77777777" w:rsidR="00C92A22" w:rsidRDefault="00C92A22" w:rsidP="00C92A22">
      <w:pPr>
        <w:pStyle w:val="Prrafodelista"/>
        <w:jc w:val="center"/>
      </w:pPr>
      <w:r w:rsidRPr="00B6793D">
        <w:rPr>
          <w:rFonts w:cs="Arial"/>
          <w:noProof/>
          <w:szCs w:val="24"/>
        </w:rPr>
        <w:lastRenderedPageBreak/>
        <w:drawing>
          <wp:inline distT="0" distB="0" distL="0" distR="0" wp14:anchorId="09A8CEFB" wp14:editId="2C191F78">
            <wp:extent cx="4320000" cy="2160000"/>
            <wp:effectExtent l="0" t="0" r="4445" b="0"/>
            <wp:docPr id="1721982307" name="Gráfico 1">
              <a:extLst xmlns:a="http://schemas.openxmlformats.org/drawingml/2006/main">
                <a:ext uri="{FF2B5EF4-FFF2-40B4-BE49-F238E27FC236}">
                  <a16:creationId xmlns:a16="http://schemas.microsoft.com/office/drawing/2014/main" id="{5631BB1C-D01A-7B91-DDF3-86BD04DEA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F0A303" w14:textId="77777777" w:rsidR="00C92A22" w:rsidRDefault="00C92A22" w:rsidP="00C92A22">
      <w:pPr>
        <w:pStyle w:val="Prrafodelista"/>
      </w:pPr>
    </w:p>
    <w:p w14:paraId="0CAA93BF" w14:textId="77777777" w:rsidR="00C92A22" w:rsidRDefault="00C92A22" w:rsidP="00C92A22">
      <w:pPr>
        <w:pStyle w:val="Prrafodelista"/>
        <w:jc w:val="center"/>
      </w:pPr>
      <w:r w:rsidRPr="00B6793D">
        <w:rPr>
          <w:rFonts w:cs="Arial"/>
          <w:noProof/>
          <w:szCs w:val="24"/>
        </w:rPr>
        <w:drawing>
          <wp:inline distT="0" distB="0" distL="0" distR="0" wp14:anchorId="5AD8FF7B" wp14:editId="51CDF710">
            <wp:extent cx="4320000" cy="2160000"/>
            <wp:effectExtent l="0" t="0" r="4445" b="0"/>
            <wp:docPr id="1996774616" name="Gráfico 1">
              <a:extLst xmlns:a="http://schemas.openxmlformats.org/drawingml/2006/main">
                <a:ext uri="{FF2B5EF4-FFF2-40B4-BE49-F238E27FC236}">
                  <a16:creationId xmlns:a16="http://schemas.microsoft.com/office/drawing/2014/main" id="{5631BB1C-D01A-7B91-DDF3-86BD04DEA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F2AEDA" w14:textId="77777777" w:rsidR="00C92A22" w:rsidRDefault="00C92A22" w:rsidP="00C92A22">
      <w:pPr>
        <w:pStyle w:val="Prrafodelista"/>
      </w:pPr>
    </w:p>
    <w:p w14:paraId="272A97F8" w14:textId="77777777" w:rsidR="00C92A22" w:rsidRDefault="00C92A22" w:rsidP="00C92A22">
      <w:pPr>
        <w:pStyle w:val="Prrafodelista"/>
        <w:jc w:val="center"/>
      </w:pPr>
      <w:r w:rsidRPr="00B6793D">
        <w:rPr>
          <w:rFonts w:cs="Arial"/>
          <w:noProof/>
          <w:szCs w:val="24"/>
        </w:rPr>
        <w:drawing>
          <wp:inline distT="0" distB="0" distL="0" distR="0" wp14:anchorId="658BF16F" wp14:editId="44BA1A3F">
            <wp:extent cx="4320000" cy="2160000"/>
            <wp:effectExtent l="0" t="0" r="4445" b="0"/>
            <wp:docPr id="631255102" name="Gráfico 1">
              <a:extLst xmlns:a="http://schemas.openxmlformats.org/drawingml/2006/main">
                <a:ext uri="{FF2B5EF4-FFF2-40B4-BE49-F238E27FC236}">
                  <a16:creationId xmlns:a16="http://schemas.microsoft.com/office/drawing/2014/main" id="{5631BB1C-D01A-7B91-DDF3-86BD04DEA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814D678" w14:textId="76BA8199" w:rsidR="00C92A22" w:rsidRDefault="00C92A22" w:rsidP="00C92A22">
      <w:pPr>
        <w:pStyle w:val="Descripcin"/>
        <w:jc w:val="center"/>
      </w:pPr>
      <w:r>
        <w:t xml:space="preserve">Ilustración </w:t>
      </w:r>
      <w:r>
        <w:fldChar w:fldCharType="begin"/>
      </w:r>
      <w:r>
        <w:instrText xml:space="preserve"> SEQ Ilustración \* ARABIC </w:instrText>
      </w:r>
      <w:r>
        <w:fldChar w:fldCharType="separate"/>
      </w:r>
      <w:r w:rsidR="00287B4B">
        <w:rPr>
          <w:noProof/>
        </w:rPr>
        <w:t>5</w:t>
      </w:r>
      <w:r>
        <w:fldChar w:fldCharType="end"/>
      </w:r>
      <w:r>
        <w:t xml:space="preserve">. </w:t>
      </w:r>
      <w:r w:rsidRPr="007D73BB">
        <w:t xml:space="preserve">Desviaciones generación real frente a modelos de pronóstico planta Solar </w:t>
      </w:r>
      <w:r>
        <w:t>4</w:t>
      </w:r>
    </w:p>
    <w:p w14:paraId="4274771C" w14:textId="65A46CF8" w:rsidR="00C92A22" w:rsidRDefault="00C92A22" w:rsidP="00C92A22">
      <w:pPr>
        <w:pStyle w:val="Prrafodelista"/>
        <w:numPr>
          <w:ilvl w:val="0"/>
          <w:numId w:val="17"/>
        </w:numPr>
      </w:pPr>
      <w:r w:rsidRPr="341D7B9C">
        <w:rPr>
          <w:lang w:val="es-ES"/>
        </w:rPr>
        <w:t xml:space="preserve">Actualmente el sistema cuenta con </w:t>
      </w:r>
      <w:r w:rsidR="00D26281">
        <w:rPr>
          <w:lang w:val="es-ES"/>
        </w:rPr>
        <w:t>cuatro</w:t>
      </w:r>
      <w:r w:rsidRPr="341D7B9C">
        <w:rPr>
          <w:lang w:val="es-ES"/>
        </w:rPr>
        <w:t xml:space="preserve"> plantas variables despachadas centralmente que representan alrededor de </w:t>
      </w:r>
      <w:r w:rsidR="001C7410">
        <w:rPr>
          <w:lang w:val="es-ES"/>
        </w:rPr>
        <w:t>350</w:t>
      </w:r>
      <w:r w:rsidRPr="341D7B9C">
        <w:rPr>
          <w:lang w:val="es-ES"/>
        </w:rPr>
        <w:t xml:space="preserve"> MW. Sin embargo, hay alrededor de 1GW de capacidad en pruebas, por lo que se considera importante mantener </w:t>
      </w:r>
      <w:r w:rsidRPr="341D7B9C">
        <w:rPr>
          <w:lang w:val="es-ES"/>
        </w:rPr>
        <w:lastRenderedPageBreak/>
        <w:t>una señal de desviaciones que disminuya el impacto para el sistema como para las plantas variables.</w:t>
      </w:r>
    </w:p>
    <w:p w14:paraId="090A4BE3" w14:textId="03C55F4B" w:rsidR="00C92A22" w:rsidRPr="00670C6D" w:rsidRDefault="00C92A22" w:rsidP="00C92A22">
      <w:pPr>
        <w:pStyle w:val="Prrafodelista"/>
        <w:numPr>
          <w:ilvl w:val="0"/>
          <w:numId w:val="17"/>
        </w:numPr>
      </w:pPr>
      <w:r w:rsidRPr="00670C6D">
        <w:t>Se está desarrollando un estudio para determinar, entre otros:</w:t>
      </w:r>
    </w:p>
    <w:p w14:paraId="6B0DE75A" w14:textId="77777777" w:rsidR="00C92A22" w:rsidRPr="00670C6D" w:rsidRDefault="00C92A22" w:rsidP="00C92A22">
      <w:pPr>
        <w:pStyle w:val="Prrafodelista"/>
        <w:numPr>
          <w:ilvl w:val="1"/>
          <w:numId w:val="17"/>
        </w:numPr>
      </w:pPr>
      <w:r w:rsidRPr="00670C6D">
        <w:t>Experiencias internacionales frente a la cantidad y pago por las desviaciones.</w:t>
      </w:r>
    </w:p>
    <w:p w14:paraId="0F716820" w14:textId="77777777" w:rsidR="00C92A22" w:rsidRPr="00670C6D" w:rsidRDefault="00C92A22" w:rsidP="00C92A22">
      <w:pPr>
        <w:pStyle w:val="Prrafodelista"/>
        <w:numPr>
          <w:ilvl w:val="1"/>
          <w:numId w:val="17"/>
        </w:numPr>
      </w:pPr>
      <w:r w:rsidRPr="00670C6D">
        <w:t>Presentar alternativas a la fórmula de estimación de la curva de desviaciones.</w:t>
      </w:r>
    </w:p>
    <w:p w14:paraId="0CB453FE" w14:textId="77777777" w:rsidR="00C92A22" w:rsidRDefault="00C92A22" w:rsidP="00C92A22">
      <w:pPr>
        <w:pStyle w:val="Prrafodelista"/>
        <w:numPr>
          <w:ilvl w:val="1"/>
          <w:numId w:val="17"/>
        </w:numPr>
      </w:pPr>
      <w:r w:rsidRPr="00670C6D">
        <w:t>Alternativas de fórmula de pago</w:t>
      </w:r>
      <w:r>
        <w:t>.</w:t>
      </w:r>
    </w:p>
    <w:p w14:paraId="7D06EBDF" w14:textId="77777777" w:rsidR="00C92A22" w:rsidRDefault="00C92A22" w:rsidP="00C92A22"/>
    <w:p w14:paraId="0D93B77C" w14:textId="77777777" w:rsidR="00C92A22" w:rsidRPr="00285F79" w:rsidRDefault="00C92A22" w:rsidP="00C92A22">
      <w:pPr>
        <w:pStyle w:val="Ttulo2"/>
        <w:numPr>
          <w:ilvl w:val="1"/>
          <w:numId w:val="1"/>
        </w:numPr>
        <w:ind w:left="578" w:hanging="578"/>
        <w:rPr>
          <w:rFonts w:cs="Arial"/>
        </w:rPr>
      </w:pPr>
      <w:bookmarkStart w:id="9" w:name="_Toc169851483"/>
      <w:r w:rsidRPr="00285F79">
        <w:rPr>
          <w:rFonts w:cs="Arial"/>
        </w:rPr>
        <w:t>Propuestas recibidas</w:t>
      </w:r>
      <w:bookmarkEnd w:id="9"/>
    </w:p>
    <w:p w14:paraId="76F2D20E" w14:textId="764E848A" w:rsidR="00C92A22" w:rsidRDefault="00C92A22" w:rsidP="00C92A22">
      <w:r>
        <w:t xml:space="preserve">Se recibieron múltiples comunicaciones en las que se plantearon las situaciones descritas en el numeral </w:t>
      </w:r>
      <w:r>
        <w:fldChar w:fldCharType="begin"/>
      </w:r>
      <w:r>
        <w:instrText xml:space="preserve"> REF _Ref169631959 \r \h </w:instrText>
      </w:r>
      <w:r>
        <w:fldChar w:fldCharType="separate"/>
      </w:r>
      <w:r w:rsidR="00287B4B">
        <w:t>2.1</w:t>
      </w:r>
      <w:r>
        <w:fldChar w:fldCharType="end"/>
      </w:r>
      <w:r>
        <w:t>, que se resumen a continuación:</w:t>
      </w:r>
    </w:p>
    <w:p w14:paraId="5C716443" w14:textId="77777777" w:rsidR="00C92A22" w:rsidRDefault="00C92A22" w:rsidP="00C92A22"/>
    <w:p w14:paraId="05203DE1" w14:textId="77777777" w:rsidR="00C92A22" w:rsidRDefault="00C92A22" w:rsidP="00C92A22">
      <w:pPr>
        <w:pStyle w:val="Ttulo3"/>
        <w:numPr>
          <w:ilvl w:val="2"/>
          <w:numId w:val="1"/>
        </w:numPr>
      </w:pPr>
      <w:bookmarkStart w:id="10" w:name="_Toc169851484"/>
      <w:r>
        <w:t>Propuesta 1. Modificar las reglas de despacho y redespacho y las fórmulas de pagos</w:t>
      </w:r>
      <w:bookmarkEnd w:id="10"/>
    </w:p>
    <w:p w14:paraId="40F2848E" w14:textId="77777777" w:rsidR="00C92A22" w:rsidRDefault="00C92A22" w:rsidP="00C92A22"/>
    <w:p w14:paraId="32D40EAF" w14:textId="77777777" w:rsidR="00C92A22" w:rsidRDefault="00C92A22" w:rsidP="00C92A22">
      <w:pPr>
        <w:keepNext/>
      </w:pPr>
      <w:r w:rsidRPr="000274EC">
        <w:rPr>
          <w:noProof/>
        </w:rPr>
        <w:drawing>
          <wp:inline distT="0" distB="0" distL="0" distR="0" wp14:anchorId="328DC472" wp14:editId="03B60FED">
            <wp:extent cx="5972810" cy="1297940"/>
            <wp:effectExtent l="0" t="0" r="8890" b="0"/>
            <wp:docPr id="3778955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95590" name=""/>
                    <pic:cNvPicPr/>
                  </pic:nvPicPr>
                  <pic:blipFill>
                    <a:blip r:embed="rId22"/>
                    <a:stretch>
                      <a:fillRect/>
                    </a:stretch>
                  </pic:blipFill>
                  <pic:spPr>
                    <a:xfrm>
                      <a:off x="0" y="0"/>
                      <a:ext cx="5972810" cy="1297940"/>
                    </a:xfrm>
                    <a:prstGeom prst="rect">
                      <a:avLst/>
                    </a:prstGeom>
                  </pic:spPr>
                </pic:pic>
              </a:graphicData>
            </a:graphic>
          </wp:inline>
        </w:drawing>
      </w:r>
    </w:p>
    <w:p w14:paraId="0C4413EA" w14:textId="42079E42" w:rsidR="00C92A22" w:rsidRDefault="00C92A22" w:rsidP="00C92A22">
      <w:pPr>
        <w:pStyle w:val="Descripcin"/>
      </w:pPr>
      <w:r>
        <w:t xml:space="preserve">Ilustración </w:t>
      </w:r>
      <w:r>
        <w:fldChar w:fldCharType="begin"/>
      </w:r>
      <w:r>
        <w:instrText xml:space="preserve"> SEQ Ilustración \* ARABIC </w:instrText>
      </w:r>
      <w:r>
        <w:fldChar w:fldCharType="separate"/>
      </w:r>
      <w:r w:rsidR="00287B4B">
        <w:rPr>
          <w:noProof/>
        </w:rPr>
        <w:t>6</w:t>
      </w:r>
      <w:r>
        <w:fldChar w:fldCharType="end"/>
      </w:r>
      <w:r>
        <w:t>. Propuesta 1: Cambio en cantidades</w:t>
      </w:r>
    </w:p>
    <w:p w14:paraId="2ABC9E4C" w14:textId="77777777" w:rsidR="00C92A22" w:rsidRDefault="00C92A22" w:rsidP="00C92A22"/>
    <w:p w14:paraId="21119C7B" w14:textId="77777777" w:rsidR="00C92A22" w:rsidRDefault="00C92A22" w:rsidP="00C92A22">
      <w:r>
        <w:t>En esta primera propuesta se plantea el desplazamiento de la curva de desviaciones a la derecha tanto en el despacho como en el redespacho. En el primer caso, la tolerancia de desviación diaria máxima permitida pasa del 15% al 20% y en el redespacho pasa del 8% al 15%.</w:t>
      </w:r>
    </w:p>
    <w:p w14:paraId="3BACF07A" w14:textId="77777777" w:rsidR="00C92A22" w:rsidRDefault="00C92A22" w:rsidP="00C92A22"/>
    <w:p w14:paraId="74925155" w14:textId="77777777" w:rsidR="00C92A22" w:rsidRDefault="00C92A22" w:rsidP="00C92A22">
      <w:r>
        <w:t>Con respecto a los pagos por las desviaciones, se propone que la diferencia en valor absoluto sea entre el precio de oferta y el mínimo entre el precio de bolsa y dos (2) veces el valor del CERE.</w:t>
      </w:r>
    </w:p>
    <w:p w14:paraId="2C4721FE" w14:textId="77777777" w:rsidR="00C92A22" w:rsidRDefault="00C92A22" w:rsidP="00C92A22"/>
    <w:p w14:paraId="3FEFC758" w14:textId="77777777" w:rsidR="00C92A22" w:rsidRDefault="00000000" w:rsidP="00C92A22">
      <m:oMathPara>
        <m:oMath>
          <m:sSub>
            <m:sSubPr>
              <m:ctrlPr>
                <w:rPr>
                  <w:rFonts w:ascii="Cambria Math" w:hAnsi="Cambria Math"/>
                  <w:i/>
                  <w:iCs/>
                  <w:lang w:val="es-MX"/>
                </w:rPr>
              </m:ctrlPr>
            </m:sSubPr>
            <m:e>
              <m:r>
                <w:rPr>
                  <w:rFonts w:ascii="Cambria Math" w:hAnsi="Cambria Math"/>
                  <w:lang w:val="es-419"/>
                </w:rPr>
                <m:t>P</m:t>
              </m:r>
            </m:e>
            <m:sub>
              <m:r>
                <w:rPr>
                  <w:rFonts w:ascii="Cambria Math" w:hAnsi="Cambria Math"/>
                  <w:lang w:val="es-419"/>
                </w:rPr>
                <m:t>D o RD</m:t>
              </m:r>
            </m:sub>
          </m:sSub>
          <m:r>
            <w:rPr>
              <w:rFonts w:ascii="Cambria Math" w:hAnsi="Cambria Math"/>
              <w:lang w:val="es-419"/>
            </w:rPr>
            <m:t>=|</m:t>
          </m:r>
          <m:sSub>
            <m:sSubPr>
              <m:ctrlPr>
                <w:rPr>
                  <w:rFonts w:ascii="Cambria Math" w:hAnsi="Cambria Math"/>
                  <w:i/>
                  <w:iCs/>
                  <w:lang w:val="es-419"/>
                </w:rPr>
              </m:ctrlPr>
            </m:sSubPr>
            <m:e>
              <m:r>
                <w:rPr>
                  <w:rFonts w:ascii="Cambria Math" w:hAnsi="Cambria Math"/>
                  <w:lang w:val="es-419"/>
                </w:rPr>
                <m:t>P</m:t>
              </m:r>
            </m:e>
            <m:sub>
              <m:r>
                <w:rPr>
                  <w:rFonts w:ascii="Cambria Math" w:hAnsi="Cambria Math"/>
                  <w:lang w:val="es-419"/>
                </w:rPr>
                <m:t>oferta</m:t>
              </m:r>
            </m:sub>
          </m:sSub>
          <m:r>
            <w:rPr>
              <w:rFonts w:ascii="Cambria Math" w:hAnsi="Cambria Math"/>
              <w:lang w:val="es-419"/>
            </w:rPr>
            <m:t>-min</m:t>
          </m:r>
          <m:d>
            <m:dPr>
              <m:ctrlPr>
                <w:rPr>
                  <w:rFonts w:ascii="Cambria Math" w:hAnsi="Cambria Math"/>
                  <w:i/>
                  <w:iCs/>
                  <w:lang w:val="es-419"/>
                </w:rPr>
              </m:ctrlPr>
            </m:dPr>
            <m:e>
              <m:sSub>
                <m:sSubPr>
                  <m:ctrlPr>
                    <w:rPr>
                      <w:rFonts w:ascii="Cambria Math" w:hAnsi="Cambria Math"/>
                      <w:i/>
                      <w:iCs/>
                      <w:lang w:val="es-419"/>
                    </w:rPr>
                  </m:ctrlPr>
                </m:sSubPr>
                <m:e>
                  <m:r>
                    <w:rPr>
                      <w:rFonts w:ascii="Cambria Math" w:hAnsi="Cambria Math"/>
                      <w:lang w:val="es-419"/>
                    </w:rPr>
                    <m:t>P</m:t>
                  </m:r>
                </m:e>
                <m:sub>
                  <m:r>
                    <w:rPr>
                      <w:rFonts w:ascii="Cambria Math" w:hAnsi="Cambria Math"/>
                      <w:lang w:val="es-419"/>
                    </w:rPr>
                    <m:t>B</m:t>
                  </m:r>
                </m:sub>
              </m:sSub>
              <m:r>
                <w:rPr>
                  <w:rFonts w:ascii="Cambria Math" w:hAnsi="Cambria Math"/>
                  <w:lang w:val="es-419"/>
                </w:rPr>
                <m:t>;2XCERE</m:t>
              </m:r>
            </m:e>
          </m:d>
          <m:r>
            <w:rPr>
              <w:rFonts w:ascii="Cambria Math" w:hAnsi="Cambria Math"/>
              <w:lang w:val="es-419"/>
            </w:rPr>
            <m:t>|*|</m:t>
          </m:r>
          <m:sSub>
            <m:sSubPr>
              <m:ctrlPr>
                <w:rPr>
                  <w:rFonts w:ascii="Cambria Math" w:hAnsi="Cambria Math"/>
                  <w:i/>
                  <w:iCs/>
                  <w:lang w:val="es-419"/>
                </w:rPr>
              </m:ctrlPr>
            </m:sSubPr>
            <m:e>
              <m:r>
                <w:rPr>
                  <w:rFonts w:ascii="Cambria Math" w:hAnsi="Cambria Math"/>
                  <w:lang w:val="es-419"/>
                </w:rPr>
                <m:t>G</m:t>
              </m:r>
            </m:e>
            <m:sub>
              <m:r>
                <w:rPr>
                  <w:rFonts w:ascii="Cambria Math" w:hAnsi="Cambria Math"/>
                  <w:lang w:val="es-419"/>
                </w:rPr>
                <m:t>real</m:t>
              </m:r>
            </m:sub>
          </m:sSub>
          <m:r>
            <w:rPr>
              <w:rFonts w:ascii="Cambria Math" w:hAnsi="Cambria Math"/>
              <w:lang w:val="es-419"/>
            </w:rPr>
            <m:t>-</m:t>
          </m:r>
          <m:sSub>
            <m:sSubPr>
              <m:ctrlPr>
                <w:rPr>
                  <w:rFonts w:ascii="Cambria Math" w:hAnsi="Cambria Math"/>
                  <w:i/>
                  <w:iCs/>
                  <w:lang w:val="es-419"/>
                </w:rPr>
              </m:ctrlPr>
            </m:sSubPr>
            <m:e>
              <m:r>
                <w:rPr>
                  <w:rFonts w:ascii="Cambria Math" w:hAnsi="Cambria Math"/>
                  <w:lang w:val="es-419"/>
                </w:rPr>
                <m:t>G</m:t>
              </m:r>
            </m:e>
            <m:sub>
              <m:r>
                <w:rPr>
                  <w:rFonts w:ascii="Cambria Math" w:hAnsi="Cambria Math"/>
                  <w:lang w:val="es-419"/>
                </w:rPr>
                <m:t>D o RD</m:t>
              </m:r>
            </m:sub>
          </m:sSub>
          <m:r>
            <w:rPr>
              <w:rFonts w:ascii="Cambria Math" w:hAnsi="Cambria Math"/>
              <w:lang w:val="es-419"/>
            </w:rPr>
            <m:t>|</m:t>
          </m:r>
        </m:oMath>
      </m:oMathPara>
    </w:p>
    <w:p w14:paraId="6CBF4C0A" w14:textId="77777777" w:rsidR="00C92A22" w:rsidRDefault="00C92A22" w:rsidP="00C92A22"/>
    <w:p w14:paraId="01D50A02" w14:textId="77777777" w:rsidR="00C92A22" w:rsidRDefault="00C92A22" w:rsidP="00C92A22">
      <w:pPr>
        <w:pStyle w:val="Ttulo3"/>
        <w:numPr>
          <w:ilvl w:val="2"/>
          <w:numId w:val="1"/>
        </w:numPr>
      </w:pPr>
      <w:bookmarkStart w:id="11" w:name="_Toc169851485"/>
      <w:r>
        <w:t>Propuesta 2: Definir curvas transitorias de despacho y redespacho para el primer año de operación comercial y definir curvas definitivas a partir del segundo año de operación comercial.</w:t>
      </w:r>
      <w:bookmarkEnd w:id="11"/>
    </w:p>
    <w:p w14:paraId="64ED9144" w14:textId="77777777" w:rsidR="00C92A22" w:rsidRDefault="00C92A22" w:rsidP="00C92A22"/>
    <w:p w14:paraId="08EAD3CC" w14:textId="77777777" w:rsidR="00C92A22" w:rsidRDefault="00C92A22" w:rsidP="00C92A22">
      <w:pPr>
        <w:keepNext/>
      </w:pPr>
      <w:r w:rsidRPr="004733CD">
        <w:rPr>
          <w:noProof/>
        </w:rPr>
        <w:lastRenderedPageBreak/>
        <w:drawing>
          <wp:inline distT="0" distB="0" distL="0" distR="0" wp14:anchorId="7A8DA7A6" wp14:editId="2765801F">
            <wp:extent cx="5972810" cy="2532380"/>
            <wp:effectExtent l="0" t="0" r="8890" b="1270"/>
            <wp:docPr id="20620697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69752" name=""/>
                    <pic:cNvPicPr/>
                  </pic:nvPicPr>
                  <pic:blipFill>
                    <a:blip r:embed="rId23"/>
                    <a:stretch>
                      <a:fillRect/>
                    </a:stretch>
                  </pic:blipFill>
                  <pic:spPr>
                    <a:xfrm>
                      <a:off x="0" y="0"/>
                      <a:ext cx="5972810" cy="2532380"/>
                    </a:xfrm>
                    <a:prstGeom prst="rect">
                      <a:avLst/>
                    </a:prstGeom>
                  </pic:spPr>
                </pic:pic>
              </a:graphicData>
            </a:graphic>
          </wp:inline>
        </w:drawing>
      </w:r>
    </w:p>
    <w:p w14:paraId="33CBE76B" w14:textId="2D20DFFE" w:rsidR="00C92A22" w:rsidRDefault="00C92A22" w:rsidP="00C92A22">
      <w:pPr>
        <w:pStyle w:val="Descripcin"/>
      </w:pPr>
      <w:bookmarkStart w:id="12" w:name="_Ref169632945"/>
      <w:bookmarkStart w:id="13" w:name="_Ref169632928"/>
      <w:r>
        <w:t xml:space="preserve">Ilustración </w:t>
      </w:r>
      <w:r>
        <w:fldChar w:fldCharType="begin"/>
      </w:r>
      <w:r>
        <w:instrText xml:space="preserve"> SEQ Ilustración \* ARABIC </w:instrText>
      </w:r>
      <w:r>
        <w:fldChar w:fldCharType="separate"/>
      </w:r>
      <w:r w:rsidR="00287B4B">
        <w:rPr>
          <w:noProof/>
        </w:rPr>
        <w:t>7</w:t>
      </w:r>
      <w:r>
        <w:fldChar w:fldCharType="end"/>
      </w:r>
      <w:bookmarkEnd w:id="12"/>
      <w:r>
        <w:t>. Propuesta 2: Regla de despacho</w:t>
      </w:r>
      <w:bookmarkEnd w:id="13"/>
    </w:p>
    <w:p w14:paraId="3079B117" w14:textId="77777777" w:rsidR="00C92A22" w:rsidRDefault="00C92A22" w:rsidP="00C92A22"/>
    <w:p w14:paraId="478B8231" w14:textId="77777777" w:rsidR="00C92A22" w:rsidRDefault="00C92A22" w:rsidP="00C92A22">
      <w:pPr>
        <w:keepNext/>
      </w:pPr>
      <w:r w:rsidRPr="007633AB">
        <w:rPr>
          <w:noProof/>
        </w:rPr>
        <w:drawing>
          <wp:inline distT="0" distB="0" distL="0" distR="0" wp14:anchorId="7BF0DFA1" wp14:editId="62C0106F">
            <wp:extent cx="5972810" cy="2611755"/>
            <wp:effectExtent l="0" t="0" r="8890" b="0"/>
            <wp:docPr id="458112209" name="Imagen 1" descr="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12209" name="Imagen 1" descr="Gráfico de líneas&#10;&#10;Descripción generada automáticamente"/>
                    <pic:cNvPicPr/>
                  </pic:nvPicPr>
                  <pic:blipFill>
                    <a:blip r:embed="rId24"/>
                    <a:stretch>
                      <a:fillRect/>
                    </a:stretch>
                  </pic:blipFill>
                  <pic:spPr>
                    <a:xfrm>
                      <a:off x="0" y="0"/>
                      <a:ext cx="5972810" cy="2611755"/>
                    </a:xfrm>
                    <a:prstGeom prst="rect">
                      <a:avLst/>
                    </a:prstGeom>
                  </pic:spPr>
                </pic:pic>
              </a:graphicData>
            </a:graphic>
          </wp:inline>
        </w:drawing>
      </w:r>
    </w:p>
    <w:p w14:paraId="4E0E6C8A" w14:textId="4B40982D" w:rsidR="00C92A22" w:rsidRDefault="00C92A22" w:rsidP="00C92A22">
      <w:pPr>
        <w:pStyle w:val="Descripcin"/>
      </w:pPr>
      <w:bookmarkStart w:id="14" w:name="_Ref169634204"/>
      <w:r>
        <w:t xml:space="preserve">Ilustración </w:t>
      </w:r>
      <w:r>
        <w:fldChar w:fldCharType="begin"/>
      </w:r>
      <w:r>
        <w:instrText xml:space="preserve"> SEQ Ilustración \* ARABIC </w:instrText>
      </w:r>
      <w:r>
        <w:fldChar w:fldCharType="separate"/>
      </w:r>
      <w:r w:rsidR="00287B4B">
        <w:rPr>
          <w:noProof/>
        </w:rPr>
        <w:t>8</w:t>
      </w:r>
      <w:r>
        <w:fldChar w:fldCharType="end"/>
      </w:r>
      <w:bookmarkEnd w:id="14"/>
      <w:r>
        <w:t xml:space="preserve">. </w:t>
      </w:r>
      <w:r w:rsidRPr="00F10CDF">
        <w:t xml:space="preserve">Propuesta 2: Regla de </w:t>
      </w:r>
      <w:r>
        <w:t>re</w:t>
      </w:r>
      <w:r w:rsidRPr="00F10CDF">
        <w:t>despacho</w:t>
      </w:r>
    </w:p>
    <w:p w14:paraId="1A66C2B3" w14:textId="77777777" w:rsidR="00C92A22" w:rsidRDefault="00C92A22" w:rsidP="00C92A22"/>
    <w:p w14:paraId="73481B53" w14:textId="20B9DB4A" w:rsidR="00C92A22" w:rsidRDefault="00C92A22" w:rsidP="00C92A22">
      <w:r>
        <w:t xml:space="preserve">En esta propuesta se plantea el desplazamiento de la curva de desviaciones tanto diarias como horarias para el despacho y el redespacho. En el primer caso, se propone que, para el primer año de operación comercial se establezca una curva de transición en la que la tolerancia de desviación máxima diaria sin pago sea 30% y que los pagos por desviación horaria varíen entre tolerancias del 20% al 10%. Para el segundo año de operación comercial en adelante se establece una curva definitiva </w:t>
      </w:r>
      <w:r w:rsidRPr="00546B71">
        <w:t xml:space="preserve">en la que la tolerancia de desviación máxima diaria sin pago sea 15% y que los pagos por desviación horaria varíen entre tolerancias del </w:t>
      </w:r>
      <w:r>
        <w:t>15</w:t>
      </w:r>
      <w:r w:rsidRPr="00546B71">
        <w:t xml:space="preserve">% al </w:t>
      </w:r>
      <w:r>
        <w:t>8</w:t>
      </w:r>
      <w:r w:rsidRPr="00546B71">
        <w:t xml:space="preserve">%. </w:t>
      </w:r>
      <w:r>
        <w:t>(</w:t>
      </w:r>
      <w:r>
        <w:fldChar w:fldCharType="begin"/>
      </w:r>
      <w:r>
        <w:instrText xml:space="preserve"> REF _Ref169632945 \h </w:instrText>
      </w:r>
      <w:r>
        <w:fldChar w:fldCharType="separate"/>
      </w:r>
      <w:r w:rsidR="00287B4B">
        <w:t xml:space="preserve">Ilustración </w:t>
      </w:r>
      <w:r w:rsidR="00287B4B">
        <w:rPr>
          <w:noProof/>
        </w:rPr>
        <w:t>7</w:t>
      </w:r>
      <w:r>
        <w:fldChar w:fldCharType="end"/>
      </w:r>
      <w:r>
        <w:t>).</w:t>
      </w:r>
    </w:p>
    <w:p w14:paraId="304D383D" w14:textId="77777777" w:rsidR="00C92A22" w:rsidRDefault="00C92A22" w:rsidP="00C92A22"/>
    <w:p w14:paraId="1D734405" w14:textId="2A1AF31A" w:rsidR="00C92A22" w:rsidRDefault="00C92A22" w:rsidP="00C92A22">
      <w:r>
        <w:t xml:space="preserve">En el segundo caso, se propone que para el </w:t>
      </w:r>
      <w:r w:rsidRPr="00D60EBE">
        <w:t xml:space="preserve">primer año de operación comercial se establezca una curva de transición en la que la tolerancia de desviación máxima diaria </w:t>
      </w:r>
      <w:r w:rsidRPr="00D60EBE">
        <w:lastRenderedPageBreak/>
        <w:t xml:space="preserve">sin pago sea </w:t>
      </w:r>
      <w:r>
        <w:t>15</w:t>
      </w:r>
      <w:r w:rsidRPr="00D60EBE">
        <w:t xml:space="preserve">% y que los pagos por desviación horaria varíen entre tolerancias del 20% al 10%. Para el segundo año de operación comercial en adelante se establece una curva definitiva en la que la tolerancia de desviación máxima diaria sin pago sea </w:t>
      </w:r>
      <w:r>
        <w:t>12</w:t>
      </w:r>
      <w:r w:rsidRPr="00D60EBE">
        <w:t xml:space="preserve">% y que los pagos por desviación horaria varíen entre tolerancias del </w:t>
      </w:r>
      <w:r>
        <w:t>15</w:t>
      </w:r>
      <w:r w:rsidRPr="00D60EBE">
        <w:t xml:space="preserve">% al </w:t>
      </w:r>
      <w:r>
        <w:t>8</w:t>
      </w:r>
      <w:r w:rsidRPr="00D60EBE">
        <w:t>%</w:t>
      </w:r>
      <w:r>
        <w:t xml:space="preserve"> (</w:t>
      </w:r>
      <w:r>
        <w:fldChar w:fldCharType="begin"/>
      </w:r>
      <w:r>
        <w:instrText xml:space="preserve"> REF _Ref169634204 \h </w:instrText>
      </w:r>
      <w:r>
        <w:fldChar w:fldCharType="separate"/>
      </w:r>
      <w:r w:rsidR="00287B4B">
        <w:t xml:space="preserve">Ilustración </w:t>
      </w:r>
      <w:r w:rsidR="00287B4B">
        <w:rPr>
          <w:noProof/>
        </w:rPr>
        <w:t>8</w:t>
      </w:r>
      <w:r>
        <w:fldChar w:fldCharType="end"/>
      </w:r>
      <w:r>
        <w:t>)</w:t>
      </w:r>
      <w:r w:rsidRPr="00D60EBE">
        <w:t>.</w:t>
      </w:r>
    </w:p>
    <w:p w14:paraId="6A052EB5" w14:textId="77777777" w:rsidR="00C92A22" w:rsidRDefault="00C92A22" w:rsidP="00C92A22"/>
    <w:p w14:paraId="63DDCD1D" w14:textId="77777777" w:rsidR="00C92A22" w:rsidRDefault="00C92A22" w:rsidP="00C92A22">
      <w:r>
        <w:t>Con respecto a los pagos por las desviaciones, se propone reemplazar la diferencia en valor absoluto entre el precio de oferta y el precio de bolsa por el mínimo entre el precio de bolsa y dos (2) veces el CERE. Además, propone que la fórmula de pago no sea el máximo entre el pago del despacho y el del redespacho, sino que sea el mínimo.</w:t>
      </w:r>
    </w:p>
    <w:p w14:paraId="4F12B8F0" w14:textId="77777777" w:rsidR="00C92A22" w:rsidRDefault="00C92A22" w:rsidP="00C92A22"/>
    <w:p w14:paraId="1C4D9C24" w14:textId="77777777" w:rsidR="00C92A22" w:rsidRPr="00CD5DF6" w:rsidRDefault="00000000" w:rsidP="00C92A22">
      <w:pPr>
        <w:rPr>
          <w:lang w:val="es-CO"/>
        </w:rPr>
      </w:pPr>
      <m:oMathPara>
        <m:oMathParaPr>
          <m:jc m:val="centerGroup"/>
        </m:oMathParaPr>
        <m:oMath>
          <m:sSub>
            <m:sSubPr>
              <m:ctrlPr>
                <w:rPr>
                  <w:rFonts w:ascii="Cambria Math" w:hAnsi="Cambria Math"/>
                  <w:i/>
                  <w:iCs/>
                  <w:lang w:val="es-MX"/>
                </w:rPr>
              </m:ctrlPr>
            </m:sSubPr>
            <m:e>
              <m:r>
                <w:rPr>
                  <w:rFonts w:ascii="Cambria Math" w:hAnsi="Cambria Math"/>
                  <w:lang w:val="es-419"/>
                </w:rPr>
                <m:t>P</m:t>
              </m:r>
            </m:e>
            <m:sub>
              <m:r>
                <w:rPr>
                  <w:rFonts w:ascii="Cambria Math" w:hAnsi="Cambria Math"/>
                  <w:lang w:val="es-419"/>
                </w:rPr>
                <m:t>D o RD</m:t>
              </m:r>
            </m:sub>
          </m:sSub>
          <m:r>
            <w:rPr>
              <w:rFonts w:ascii="Cambria Math" w:hAnsi="Cambria Math"/>
              <w:lang w:val="es-419"/>
            </w:rPr>
            <m:t>=min</m:t>
          </m:r>
          <m:d>
            <m:dPr>
              <m:ctrlPr>
                <w:rPr>
                  <w:rFonts w:ascii="Cambria Math" w:hAnsi="Cambria Math"/>
                  <w:i/>
                  <w:iCs/>
                  <w:lang w:val="es-419"/>
                </w:rPr>
              </m:ctrlPr>
            </m:dPr>
            <m:e>
              <m:sSub>
                <m:sSubPr>
                  <m:ctrlPr>
                    <w:rPr>
                      <w:rFonts w:ascii="Cambria Math" w:hAnsi="Cambria Math"/>
                      <w:i/>
                      <w:iCs/>
                      <w:lang w:val="es-419"/>
                    </w:rPr>
                  </m:ctrlPr>
                </m:sSubPr>
                <m:e>
                  <m:r>
                    <w:rPr>
                      <w:rFonts w:ascii="Cambria Math" w:hAnsi="Cambria Math"/>
                      <w:lang w:val="es-419"/>
                    </w:rPr>
                    <m:t>P</m:t>
                  </m:r>
                </m:e>
                <m:sub>
                  <m:r>
                    <w:rPr>
                      <w:rFonts w:ascii="Cambria Math" w:hAnsi="Cambria Math"/>
                      <w:lang w:val="es-419"/>
                    </w:rPr>
                    <m:t>B</m:t>
                  </m:r>
                </m:sub>
              </m:sSub>
              <m:r>
                <w:rPr>
                  <w:rFonts w:ascii="Cambria Math" w:hAnsi="Cambria Math"/>
                  <w:lang w:val="es-419"/>
                </w:rPr>
                <m:t>;2XCERE</m:t>
              </m:r>
            </m:e>
          </m:d>
          <m:r>
            <w:rPr>
              <w:rFonts w:ascii="Cambria Math" w:hAnsi="Cambria Math"/>
              <w:lang w:val="es-419"/>
            </w:rPr>
            <m:t>*|</m:t>
          </m:r>
          <m:sSub>
            <m:sSubPr>
              <m:ctrlPr>
                <w:rPr>
                  <w:rFonts w:ascii="Cambria Math" w:hAnsi="Cambria Math"/>
                  <w:i/>
                  <w:iCs/>
                  <w:lang w:val="es-419"/>
                </w:rPr>
              </m:ctrlPr>
            </m:sSubPr>
            <m:e>
              <m:r>
                <w:rPr>
                  <w:rFonts w:ascii="Cambria Math" w:hAnsi="Cambria Math"/>
                  <w:lang w:val="es-419"/>
                </w:rPr>
                <m:t>G</m:t>
              </m:r>
            </m:e>
            <m:sub>
              <m:r>
                <w:rPr>
                  <w:rFonts w:ascii="Cambria Math" w:hAnsi="Cambria Math"/>
                  <w:lang w:val="es-419"/>
                </w:rPr>
                <m:t>real</m:t>
              </m:r>
            </m:sub>
          </m:sSub>
          <m:r>
            <w:rPr>
              <w:rFonts w:ascii="Cambria Math" w:hAnsi="Cambria Math"/>
              <w:lang w:val="es-419"/>
            </w:rPr>
            <m:t>-</m:t>
          </m:r>
          <m:sSub>
            <m:sSubPr>
              <m:ctrlPr>
                <w:rPr>
                  <w:rFonts w:ascii="Cambria Math" w:hAnsi="Cambria Math"/>
                  <w:i/>
                  <w:iCs/>
                  <w:lang w:val="es-419"/>
                </w:rPr>
              </m:ctrlPr>
            </m:sSubPr>
            <m:e>
              <m:r>
                <w:rPr>
                  <w:rFonts w:ascii="Cambria Math" w:hAnsi="Cambria Math"/>
                  <w:lang w:val="es-419"/>
                </w:rPr>
                <m:t>G</m:t>
              </m:r>
            </m:e>
            <m:sub>
              <m:r>
                <w:rPr>
                  <w:rFonts w:ascii="Cambria Math" w:hAnsi="Cambria Math"/>
                  <w:lang w:val="es-419"/>
                </w:rPr>
                <m:t>D o RD</m:t>
              </m:r>
            </m:sub>
          </m:sSub>
          <m:r>
            <w:rPr>
              <w:rFonts w:ascii="Cambria Math" w:hAnsi="Cambria Math"/>
              <w:lang w:val="es-419"/>
            </w:rPr>
            <m:t>|</m:t>
          </m:r>
        </m:oMath>
      </m:oMathPara>
    </w:p>
    <w:p w14:paraId="686BD975" w14:textId="77777777" w:rsidR="00C92A22" w:rsidRDefault="00C92A22" w:rsidP="00C92A22"/>
    <w:p w14:paraId="0C82492E" w14:textId="77777777" w:rsidR="00C92A22" w:rsidRPr="005C4304" w:rsidRDefault="00000000" w:rsidP="00C92A22">
      <w:pPr>
        <w:rPr>
          <w:iCs/>
          <w:lang w:val="es-419"/>
        </w:rPr>
      </w:pPr>
      <m:oMathPara>
        <m:oMath>
          <m:sSub>
            <m:sSubPr>
              <m:ctrlPr>
                <w:rPr>
                  <w:rFonts w:ascii="Cambria Math" w:hAnsi="Cambria Math"/>
                  <w:i/>
                  <w:iCs/>
                  <w:lang w:val="es-MX"/>
                </w:rPr>
              </m:ctrlPr>
            </m:sSubPr>
            <m:e>
              <m:r>
                <w:rPr>
                  <w:rFonts w:ascii="Cambria Math" w:hAnsi="Cambria Math"/>
                  <w:lang w:val="es-419"/>
                </w:rPr>
                <m:t>P</m:t>
              </m:r>
            </m:e>
            <m:sub>
              <m:r>
                <w:rPr>
                  <w:rFonts w:ascii="Cambria Math" w:hAnsi="Cambria Math"/>
                  <w:lang w:val="es-419"/>
                </w:rPr>
                <m:t>final</m:t>
              </m:r>
            </m:sub>
          </m:sSub>
          <m:r>
            <w:rPr>
              <w:rFonts w:ascii="Cambria Math" w:hAnsi="Cambria Math"/>
              <w:lang w:val="es-419"/>
            </w:rPr>
            <m:t>=min</m:t>
          </m:r>
          <m:d>
            <m:dPr>
              <m:ctrlPr>
                <w:rPr>
                  <w:rFonts w:ascii="Cambria Math" w:hAnsi="Cambria Math"/>
                  <w:i/>
                  <w:iCs/>
                  <w:lang w:val="es-419"/>
                </w:rPr>
              </m:ctrlPr>
            </m:dPr>
            <m:e>
              <m:sSub>
                <m:sSubPr>
                  <m:ctrlPr>
                    <w:rPr>
                      <w:rFonts w:ascii="Cambria Math" w:hAnsi="Cambria Math"/>
                      <w:i/>
                      <w:iCs/>
                      <w:lang w:val="es-419"/>
                    </w:rPr>
                  </m:ctrlPr>
                </m:sSubPr>
                <m:e>
                  <m:r>
                    <w:rPr>
                      <w:rFonts w:ascii="Cambria Math" w:hAnsi="Cambria Math"/>
                      <w:lang w:val="es-419"/>
                    </w:rPr>
                    <m:t>P</m:t>
                  </m:r>
                </m:e>
                <m:sub>
                  <m:r>
                    <w:rPr>
                      <w:rFonts w:ascii="Cambria Math" w:hAnsi="Cambria Math"/>
                      <w:lang w:val="es-419"/>
                    </w:rPr>
                    <m:t>D</m:t>
                  </m:r>
                </m:sub>
              </m:sSub>
              <m:r>
                <w:rPr>
                  <w:rFonts w:ascii="Cambria Math" w:hAnsi="Cambria Math"/>
                  <w:lang w:val="es-419"/>
                </w:rPr>
                <m:t>;</m:t>
              </m:r>
              <m:sSub>
                <m:sSubPr>
                  <m:ctrlPr>
                    <w:rPr>
                      <w:rFonts w:ascii="Cambria Math" w:hAnsi="Cambria Math"/>
                      <w:i/>
                      <w:iCs/>
                      <w:lang w:val="es-419"/>
                    </w:rPr>
                  </m:ctrlPr>
                </m:sSubPr>
                <m:e>
                  <m:r>
                    <w:rPr>
                      <w:rFonts w:ascii="Cambria Math" w:hAnsi="Cambria Math"/>
                      <w:lang w:val="es-419"/>
                    </w:rPr>
                    <m:t>P</m:t>
                  </m:r>
                </m:e>
                <m:sub>
                  <m:r>
                    <w:rPr>
                      <w:rFonts w:ascii="Cambria Math" w:hAnsi="Cambria Math"/>
                      <w:lang w:val="es-419"/>
                    </w:rPr>
                    <m:t>RD</m:t>
                  </m:r>
                </m:sub>
              </m:sSub>
            </m:e>
          </m:d>
        </m:oMath>
      </m:oMathPara>
    </w:p>
    <w:p w14:paraId="7D3E1DDC" w14:textId="77777777" w:rsidR="00C92A22" w:rsidRDefault="00C92A22" w:rsidP="00C92A22">
      <w:pPr>
        <w:rPr>
          <w:iCs/>
          <w:lang w:val="es-419"/>
        </w:rPr>
      </w:pPr>
    </w:p>
    <w:p w14:paraId="530C6AF2" w14:textId="77777777" w:rsidR="00C92A22" w:rsidRDefault="00C92A22" w:rsidP="00C92A22">
      <w:pPr>
        <w:pStyle w:val="Ttulo3"/>
        <w:numPr>
          <w:ilvl w:val="2"/>
          <w:numId w:val="1"/>
        </w:numPr>
      </w:pPr>
      <w:bookmarkStart w:id="15" w:name="_Toc169851486"/>
      <w:r>
        <w:t>Propuesta 3. Utilizar mecanismos existentes como el AGC para cubrir las desviaciones</w:t>
      </w:r>
      <w:bookmarkEnd w:id="15"/>
    </w:p>
    <w:p w14:paraId="1E6FA0A8" w14:textId="77777777" w:rsidR="00C92A22" w:rsidRDefault="00C92A22" w:rsidP="00C92A22"/>
    <w:p w14:paraId="3B72FF3C" w14:textId="77777777" w:rsidR="00C92A22" w:rsidRDefault="00C92A22" w:rsidP="00C92A22">
      <w:r w:rsidRPr="00A84234">
        <w:t>Como no todas las desviaciones producen sobrecostos, se pueden utilizar los mecanismos existentes como el AGC para cubrirlas.</w:t>
      </w:r>
      <w:r>
        <w:t xml:space="preserve"> Para ello se propone que se utilicen </w:t>
      </w:r>
      <w:r w:rsidRPr="003D1B8E">
        <w:t>bandas de tolerancia horaria informadas por el sistema, con respecto a las bandas de regulación primaria y secundaria, a partir de las cuales se puedan estimar las desviaciones del sistema y se pueda castigar a las plantas que contribuyeron a esa desviación.</w:t>
      </w:r>
      <w:r>
        <w:t xml:space="preserve"> Lo anterior, porque eventualmente se pueden presentar situaciones en que el efecto de las desviaciones de algunas plantas “contrarresten” afectaciones al SIN.</w:t>
      </w:r>
    </w:p>
    <w:p w14:paraId="45B66F19" w14:textId="77777777" w:rsidR="00C92A22" w:rsidRDefault="00C92A22" w:rsidP="00C92A22"/>
    <w:p w14:paraId="02D0E4CF" w14:textId="77777777" w:rsidR="00C92A22" w:rsidRDefault="00C92A22" w:rsidP="00C92A22">
      <w:pPr>
        <w:keepNext/>
      </w:pPr>
      <w:r w:rsidRPr="00A941B1">
        <w:rPr>
          <w:noProof/>
          <w:lang w:val="es-CO"/>
        </w:rPr>
        <w:drawing>
          <wp:inline distT="0" distB="0" distL="0" distR="0" wp14:anchorId="7D43505B" wp14:editId="1A6EB1B1">
            <wp:extent cx="5972810" cy="1227455"/>
            <wp:effectExtent l="0" t="0" r="8890" b="0"/>
            <wp:docPr id="1667328354"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28354" name="Imagen 1" descr="Gráfico, Gráfico de líneas&#10;&#10;Descripción generada automáticamente"/>
                    <pic:cNvPicPr/>
                  </pic:nvPicPr>
                  <pic:blipFill>
                    <a:blip r:embed="rId25"/>
                    <a:stretch>
                      <a:fillRect/>
                    </a:stretch>
                  </pic:blipFill>
                  <pic:spPr>
                    <a:xfrm>
                      <a:off x="0" y="0"/>
                      <a:ext cx="5972810" cy="1227455"/>
                    </a:xfrm>
                    <a:prstGeom prst="rect">
                      <a:avLst/>
                    </a:prstGeom>
                  </pic:spPr>
                </pic:pic>
              </a:graphicData>
            </a:graphic>
          </wp:inline>
        </w:drawing>
      </w:r>
    </w:p>
    <w:p w14:paraId="22E67AB2" w14:textId="0E246233" w:rsidR="00C92A22" w:rsidRPr="003D1B8E" w:rsidRDefault="00C92A22" w:rsidP="00C92A22">
      <w:pPr>
        <w:pStyle w:val="Descripcin"/>
        <w:rPr>
          <w:lang w:val="es-CO"/>
        </w:rPr>
      </w:pPr>
      <w:r>
        <w:t xml:space="preserve">Ilustración </w:t>
      </w:r>
      <w:r>
        <w:fldChar w:fldCharType="begin"/>
      </w:r>
      <w:r>
        <w:instrText xml:space="preserve"> SEQ Ilustración \* ARABIC </w:instrText>
      </w:r>
      <w:r>
        <w:fldChar w:fldCharType="separate"/>
      </w:r>
      <w:r w:rsidR="00287B4B">
        <w:rPr>
          <w:noProof/>
        </w:rPr>
        <w:t>9</w:t>
      </w:r>
      <w:r>
        <w:fldChar w:fldCharType="end"/>
      </w:r>
      <w:r>
        <w:t>. Desviaciones de dos plantas solares y efecto total sobre el sistema</w:t>
      </w:r>
    </w:p>
    <w:p w14:paraId="7EFDB98E" w14:textId="77777777" w:rsidR="00C92A22" w:rsidRDefault="00C92A22" w:rsidP="00C92A22"/>
    <w:p w14:paraId="66C48AF3" w14:textId="77777777" w:rsidR="00C92A22" w:rsidRDefault="00C92A22" w:rsidP="00C92A22">
      <w:r>
        <w:t>Con respecto al pago se propone que el pago total por desviaciones sea el valor mínimo entre la diferencia entre los costos operativos reales de generación y los costos operativos de acuerdo con la disponibilidad inicial de las plantas y el producto entre la suma de las desviaciones en energía que incidieron en la desviación por encima de las bandas de tolerancia y el valor del CERE.</w:t>
      </w:r>
    </w:p>
    <w:p w14:paraId="1D136A9D" w14:textId="77777777" w:rsidR="00C92A22" w:rsidRDefault="00C92A22" w:rsidP="00C92A22"/>
    <w:p w14:paraId="0CEDD6D0" w14:textId="77777777" w:rsidR="00C92A22" w:rsidRDefault="00C92A22" w:rsidP="00C92A22">
      <w:r w:rsidRPr="00F5028A">
        <w:rPr>
          <w:noProof/>
        </w:rPr>
        <mc:AlternateContent>
          <mc:Choice Requires="wps">
            <w:drawing>
              <wp:anchor distT="0" distB="0" distL="114300" distR="114300" simplePos="0" relativeHeight="251659776" behindDoc="0" locked="0" layoutInCell="1" allowOverlap="1" wp14:anchorId="23A385E1" wp14:editId="5353D384">
                <wp:simplePos x="0" y="0"/>
                <wp:positionH relativeFrom="column">
                  <wp:posOffset>1352550</wp:posOffset>
                </wp:positionH>
                <wp:positionV relativeFrom="paragraph">
                  <wp:posOffset>14605</wp:posOffset>
                </wp:positionV>
                <wp:extent cx="4922758" cy="734625"/>
                <wp:effectExtent l="0" t="0" r="0" b="0"/>
                <wp:wrapNone/>
                <wp:docPr id="2124207869" name="CuadroTexto 1"/>
                <wp:cNvGraphicFramePr/>
                <a:graphic xmlns:a="http://schemas.openxmlformats.org/drawingml/2006/main">
                  <a:graphicData uri="http://schemas.microsoft.com/office/word/2010/wordprocessingShape">
                    <wps:wsp>
                      <wps:cNvSpPr txBox="1"/>
                      <wps:spPr>
                        <a:xfrm>
                          <a:off x="0" y="0"/>
                          <a:ext cx="4922758" cy="734625"/>
                        </a:xfrm>
                        <a:prstGeom prst="rect">
                          <a:avLst/>
                        </a:prstGeom>
                        <a:noFill/>
                      </wps:spPr>
                      <wps:txbx>
                        <w:txbxContent>
                          <w:p w14:paraId="0ED5A603" w14:textId="77777777" w:rsidR="00C92A22" w:rsidRPr="00F5028A" w:rsidRDefault="00000000" w:rsidP="00C92A22">
                            <w:pPr>
                              <w:rPr>
                                <w:rFonts w:ascii="Cambria Math" w:hAnsi="+mn-cs" w:cstheme="minorBidi"/>
                                <w:i/>
                                <w:iCs/>
                                <w:color w:val="000000" w:themeColor="text1"/>
                                <w:kern w:val="24"/>
                                <w:sz w:val="22"/>
                                <w:szCs w:val="22"/>
                              </w:rPr>
                            </w:pPr>
                            <m:oMathPara>
                              <m:oMathParaPr>
                                <m:jc m:val="centerGroup"/>
                              </m:oMathParaPr>
                              <m:oMath>
                                <m:sSubSup>
                                  <m:sSubSupPr>
                                    <m:ctrlPr>
                                      <w:rPr>
                                        <w:rFonts w:ascii="Cambria Math" w:eastAsiaTheme="minorEastAsia" w:hAnsi="Cambria Math" w:cstheme="minorBidi"/>
                                        <w:i/>
                                        <w:iCs/>
                                        <w:color w:val="000000" w:themeColor="text1"/>
                                        <w:kern w:val="24"/>
                                        <w:sz w:val="22"/>
                                        <w:szCs w:val="22"/>
                                      </w:rPr>
                                    </m:ctrlPr>
                                  </m:sSubSupPr>
                                  <m:e>
                                    <m:r>
                                      <w:rPr>
                                        <w:rFonts w:ascii="Cambria Math" w:hAnsi="Cambria Math" w:cstheme="minorBidi"/>
                                        <w:color w:val="000000" w:themeColor="text1"/>
                                        <w:kern w:val="24"/>
                                        <w:sz w:val="22"/>
                                        <w:szCs w:val="22"/>
                                        <w:lang w:val="es-419"/>
                                      </w:rPr>
                                      <m:t>Pen</m:t>
                                    </m:r>
                                  </m:e>
                                  <m:sub>
                                    <m:r>
                                      <w:rPr>
                                        <w:rFonts w:ascii="Cambria Math" w:hAnsi="Cambria Math" w:cstheme="minorBidi"/>
                                        <w:color w:val="000000" w:themeColor="text1"/>
                                        <w:kern w:val="24"/>
                                        <w:sz w:val="22"/>
                                        <w:szCs w:val="22"/>
                                        <w:lang w:val="es-419"/>
                                      </w:rPr>
                                      <m:t>h</m:t>
                                    </m:r>
                                  </m:sub>
                                  <m:sup>
                                    <m:r>
                                      <w:rPr>
                                        <w:rFonts w:ascii="Cambria Math" w:hAnsi="Cambria Math" w:cstheme="minorBidi"/>
                                        <w:color w:val="000000" w:themeColor="text1"/>
                                        <w:kern w:val="24"/>
                                        <w:sz w:val="22"/>
                                        <w:szCs w:val="22"/>
                                        <w:lang w:val="es-419"/>
                                      </w:rPr>
                                      <m:t>Tot</m:t>
                                    </m:r>
                                  </m:sup>
                                </m:sSubSup>
                                <m:r>
                                  <w:rPr>
                                    <w:rFonts w:ascii="Cambria Math" w:hAnsi="Cambria Math" w:cstheme="minorBidi"/>
                                    <w:color w:val="000000" w:themeColor="text1"/>
                                    <w:kern w:val="24"/>
                                    <w:sz w:val="22"/>
                                    <w:szCs w:val="22"/>
                                    <w:lang w:val="es-419"/>
                                  </w:rPr>
                                  <m:t>=min</m:t>
                                </m:r>
                                <m:d>
                                  <m:dPr>
                                    <m:ctrlPr>
                                      <w:rPr>
                                        <w:rFonts w:ascii="Cambria Math" w:eastAsiaTheme="minorEastAsia" w:hAnsi="Cambria Math" w:cstheme="minorBidi"/>
                                        <w:i/>
                                        <w:iCs/>
                                        <w:color w:val="000000" w:themeColor="text1"/>
                                        <w:kern w:val="24"/>
                                        <w:sz w:val="22"/>
                                        <w:szCs w:val="22"/>
                                        <w:lang w:val="es-419"/>
                                      </w:rPr>
                                    </m:ctrlPr>
                                  </m:dPr>
                                  <m:e>
                                    <m:sSubSup>
                                      <m:sSubSupPr>
                                        <m:ctrlPr>
                                          <w:rPr>
                                            <w:rFonts w:ascii="Cambria Math" w:eastAsiaTheme="minorEastAsia" w:hAnsi="Cambria Math" w:cstheme="minorBidi"/>
                                            <w:i/>
                                            <w:iCs/>
                                            <w:color w:val="000000" w:themeColor="text1"/>
                                            <w:kern w:val="24"/>
                                            <w:sz w:val="22"/>
                                            <w:szCs w:val="22"/>
                                            <w:lang w:val="es-419"/>
                                          </w:rPr>
                                        </m:ctrlPr>
                                      </m:sSubSupPr>
                                      <m:e>
                                        <m:r>
                                          <w:rPr>
                                            <w:rFonts w:ascii="Cambria Math" w:hAnsi="Cambria Math" w:cstheme="minorBidi"/>
                                            <w:color w:val="000000" w:themeColor="text1"/>
                                            <w:kern w:val="24"/>
                                            <w:sz w:val="22"/>
                                            <w:szCs w:val="22"/>
                                            <w:lang w:val="es-419"/>
                                          </w:rPr>
                                          <m:t>C</m:t>
                                        </m:r>
                                      </m:e>
                                      <m:sub>
                                        <m:r>
                                          <w:rPr>
                                            <w:rFonts w:ascii="Cambria Math" w:hAnsi="Cambria Math" w:cstheme="minorBidi"/>
                                            <w:color w:val="000000" w:themeColor="text1"/>
                                            <w:kern w:val="24"/>
                                            <w:sz w:val="22"/>
                                            <w:szCs w:val="22"/>
                                            <w:lang w:val="es-419"/>
                                          </w:rPr>
                                          <m:t>h</m:t>
                                        </m:r>
                                      </m:sub>
                                      <m:sup>
                                        <m:r>
                                          <w:rPr>
                                            <w:rFonts w:ascii="Cambria Math" w:hAnsi="Cambria Math" w:cstheme="minorBidi"/>
                                            <w:color w:val="000000" w:themeColor="text1"/>
                                            <w:kern w:val="24"/>
                                            <w:sz w:val="22"/>
                                            <w:szCs w:val="22"/>
                                            <w:lang w:val="es-419"/>
                                          </w:rPr>
                                          <m:t>real</m:t>
                                        </m:r>
                                      </m:sup>
                                    </m:sSubSup>
                                    <m:r>
                                      <w:rPr>
                                        <w:rFonts w:ascii="Cambria Math" w:hAnsi="Cambria Math" w:cstheme="minorBidi"/>
                                        <w:color w:val="000000" w:themeColor="text1"/>
                                        <w:kern w:val="24"/>
                                        <w:sz w:val="22"/>
                                        <w:szCs w:val="22"/>
                                        <w:lang w:val="es-419"/>
                                      </w:rPr>
                                      <m:t>-</m:t>
                                    </m:r>
                                    <m:sSubSup>
                                      <m:sSubSupPr>
                                        <m:ctrlPr>
                                          <w:rPr>
                                            <w:rFonts w:ascii="Cambria Math" w:eastAsiaTheme="minorEastAsia" w:hAnsi="Cambria Math" w:cstheme="minorBidi"/>
                                            <w:i/>
                                            <w:iCs/>
                                            <w:color w:val="000000" w:themeColor="text1"/>
                                            <w:kern w:val="24"/>
                                            <w:sz w:val="22"/>
                                            <w:szCs w:val="22"/>
                                            <w:lang w:val="es-419"/>
                                          </w:rPr>
                                        </m:ctrlPr>
                                      </m:sSubSupPr>
                                      <m:e>
                                        <m:r>
                                          <w:rPr>
                                            <w:rFonts w:ascii="Cambria Math" w:hAnsi="Cambria Math" w:cstheme="minorBidi"/>
                                            <w:color w:val="000000" w:themeColor="text1"/>
                                            <w:kern w:val="24"/>
                                            <w:sz w:val="22"/>
                                            <w:szCs w:val="22"/>
                                            <w:lang w:val="es-419"/>
                                          </w:rPr>
                                          <m:t>C</m:t>
                                        </m:r>
                                      </m:e>
                                      <m:sub>
                                        <m:r>
                                          <w:rPr>
                                            <w:rFonts w:ascii="Cambria Math" w:hAnsi="Cambria Math" w:cstheme="minorBidi"/>
                                            <w:color w:val="000000" w:themeColor="text1"/>
                                            <w:kern w:val="24"/>
                                            <w:sz w:val="22"/>
                                            <w:szCs w:val="22"/>
                                            <w:lang w:val="es-419"/>
                                          </w:rPr>
                                          <m:t>h</m:t>
                                        </m:r>
                                      </m:sub>
                                      <m:sup>
                                        <m:r>
                                          <w:rPr>
                                            <w:rFonts w:ascii="Cambria Math" w:hAnsi="Cambria Math" w:cstheme="minorBidi"/>
                                            <w:color w:val="000000" w:themeColor="text1"/>
                                            <w:kern w:val="24"/>
                                            <w:sz w:val="22"/>
                                            <w:szCs w:val="22"/>
                                            <w:lang w:val="es-419"/>
                                          </w:rPr>
                                          <m:t>DI</m:t>
                                        </m:r>
                                      </m:sup>
                                    </m:sSubSup>
                                    <m:r>
                                      <w:rPr>
                                        <w:rFonts w:ascii="Cambria Math" w:hAnsi="Cambria Math" w:cstheme="minorBidi"/>
                                        <w:color w:val="000000" w:themeColor="text1"/>
                                        <w:kern w:val="24"/>
                                        <w:sz w:val="22"/>
                                        <w:szCs w:val="22"/>
                                        <w:lang w:val="es-419"/>
                                      </w:rPr>
                                      <m:t>,</m:t>
                                    </m:r>
                                    <m:nary>
                                      <m:naryPr>
                                        <m:chr m:val="∑"/>
                                        <m:supHide m:val="1"/>
                                        <m:ctrlPr>
                                          <w:rPr>
                                            <w:rFonts w:ascii="Cambria Math" w:eastAsiaTheme="minorEastAsia" w:hAnsi="Cambria Math" w:cstheme="minorBidi"/>
                                            <w:i/>
                                            <w:iCs/>
                                            <w:color w:val="000000" w:themeColor="text1"/>
                                            <w:kern w:val="24"/>
                                            <w:sz w:val="22"/>
                                            <w:szCs w:val="22"/>
                                            <w:lang w:val="es-419"/>
                                          </w:rPr>
                                        </m:ctrlPr>
                                      </m:naryPr>
                                      <m:sub>
                                        <m:r>
                                          <w:rPr>
                                            <w:rFonts w:ascii="Cambria Math" w:hAnsi="Cambria Math" w:cstheme="minorBidi"/>
                                            <w:color w:val="000000" w:themeColor="text1"/>
                                            <w:kern w:val="24"/>
                                            <w:sz w:val="22"/>
                                            <w:szCs w:val="22"/>
                                            <w:lang w:val="es-419"/>
                                          </w:rPr>
                                          <m:t>j</m:t>
                                        </m:r>
                                        <m:r>
                                          <w:rPr>
                                            <w:rFonts w:ascii="Cambria Math" w:eastAsia="Cambria Math" w:hAnsi="Cambria Math" w:cstheme="minorBidi"/>
                                            <w:color w:val="000000" w:themeColor="text1"/>
                                            <w:kern w:val="24"/>
                                            <w:sz w:val="22"/>
                                            <w:szCs w:val="22"/>
                                            <w:lang w:val="es-419"/>
                                          </w:rPr>
                                          <m:t>∈</m:t>
                                        </m:r>
                                        <m:sSubSup>
                                          <m:sSubSupPr>
                                            <m:ctrlPr>
                                              <w:rPr>
                                                <w:rFonts w:ascii="Cambria Math" w:eastAsia="Cambria Math" w:hAnsi="Cambria Math" w:cstheme="minorBidi"/>
                                                <w:i/>
                                                <w:iCs/>
                                                <w:color w:val="000000" w:themeColor="text1"/>
                                                <w:kern w:val="24"/>
                                                <w:sz w:val="22"/>
                                                <w:szCs w:val="22"/>
                                                <w:lang w:val="es-419"/>
                                              </w:rPr>
                                            </m:ctrlPr>
                                          </m:sSubSupPr>
                                          <m:e>
                                            <m:r>
                                              <w:rPr>
                                                <w:rFonts w:ascii="Cambria Math" w:eastAsia="Cambria Math" w:hAnsi="Cambria Math" w:cstheme="minorBidi"/>
                                                <w:color w:val="000000" w:themeColor="text1"/>
                                                <w:kern w:val="24"/>
                                                <w:sz w:val="22"/>
                                                <w:szCs w:val="22"/>
                                                <w:lang w:val="es-419"/>
                                              </w:rPr>
                                              <m:t>G</m:t>
                                            </m:r>
                                          </m:e>
                                          <m:sub>
                                            <m:r>
                                              <w:rPr>
                                                <w:rFonts w:ascii="Cambria Math" w:eastAsia="Cambria Math" w:hAnsi="Cambria Math" w:cstheme="minorBidi"/>
                                                <w:color w:val="000000" w:themeColor="text1"/>
                                                <w:kern w:val="24"/>
                                                <w:sz w:val="22"/>
                                                <w:szCs w:val="22"/>
                                                <w:lang w:val="es-419"/>
                                              </w:rPr>
                                              <m:t>h</m:t>
                                            </m:r>
                                          </m:sub>
                                          <m:sup>
                                            <m:r>
                                              <w:rPr>
                                                <w:rFonts w:ascii="Cambria Math" w:eastAsia="Cambria Math" w:hAnsi="Cambria Math" w:cstheme="minorBidi"/>
                                                <w:color w:val="000000" w:themeColor="text1"/>
                                                <w:kern w:val="24"/>
                                                <w:sz w:val="22"/>
                                                <w:szCs w:val="22"/>
                                                <w:lang w:val="es-419"/>
                                              </w:rPr>
                                              <m:t>*</m:t>
                                            </m:r>
                                          </m:sup>
                                        </m:sSubSup>
                                      </m:sub>
                                      <m:sup/>
                                      <m:e>
                                        <m:sSub>
                                          <m:sSubPr>
                                            <m:ctrlPr>
                                              <w:rPr>
                                                <w:rFonts w:ascii="Cambria Math" w:eastAsiaTheme="minorEastAsia" w:hAnsi="Cambria Math" w:cstheme="minorBidi"/>
                                                <w:i/>
                                                <w:iCs/>
                                                <w:color w:val="000000" w:themeColor="text1"/>
                                                <w:kern w:val="24"/>
                                                <w:sz w:val="22"/>
                                                <w:szCs w:val="22"/>
                                                <w:lang w:val="es-419"/>
                                              </w:rPr>
                                            </m:ctrlPr>
                                          </m:sSubPr>
                                          <m:e>
                                            <m:r>
                                              <w:rPr>
                                                <w:rFonts w:ascii="Cambria Math" w:hAnsi="Cambria Math" w:cstheme="minorBidi"/>
                                                <w:color w:val="000000" w:themeColor="text1"/>
                                                <w:kern w:val="24"/>
                                                <w:sz w:val="22"/>
                                                <w:szCs w:val="22"/>
                                                <w:lang w:val="es-419"/>
                                              </w:rPr>
                                              <m:t>desv</m:t>
                                            </m:r>
                                          </m:e>
                                          <m:sub>
                                            <m:r>
                                              <w:rPr>
                                                <w:rFonts w:ascii="Cambria Math" w:hAnsi="Cambria Math" w:cstheme="minorBidi"/>
                                                <w:color w:val="000000" w:themeColor="text1"/>
                                                <w:kern w:val="24"/>
                                                <w:sz w:val="22"/>
                                                <w:szCs w:val="22"/>
                                                <w:lang w:val="es-419"/>
                                              </w:rPr>
                                              <m:t>j,h</m:t>
                                            </m:r>
                                          </m:sub>
                                        </m:sSub>
                                        <m:r>
                                          <w:rPr>
                                            <w:rFonts w:ascii="Cambria Math" w:hAnsi="Cambria Math" w:cstheme="minorBidi"/>
                                            <w:color w:val="000000" w:themeColor="text1"/>
                                            <w:kern w:val="24"/>
                                            <w:sz w:val="22"/>
                                            <w:szCs w:val="22"/>
                                            <w:lang w:val="es-419"/>
                                          </w:rPr>
                                          <m:t>*CERE</m:t>
                                        </m:r>
                                      </m:e>
                                    </m:nary>
                                  </m:e>
                                </m:d>
                              </m:oMath>
                            </m:oMathPara>
                          </w:p>
                        </w:txbxContent>
                      </wps:txbx>
                      <wps:bodyPr wrap="none" lIns="0" tIns="0" rIns="0" bIns="0" rtlCol="0">
                        <a:spAutoFit/>
                      </wps:bodyPr>
                    </wps:wsp>
                  </a:graphicData>
                </a:graphic>
              </wp:anchor>
            </w:drawing>
          </mc:Choice>
          <mc:Fallback>
            <w:pict>
              <v:shapetype w14:anchorId="23A385E1" id="_x0000_t202" coordsize="21600,21600" o:spt="202" path="m,l,21600r21600,l21600,xe">
                <v:stroke joinstyle="miter"/>
                <v:path gradientshapeok="t" o:connecttype="rect"/>
              </v:shapetype>
              <v:shape id="CuadroTexto 1" o:spid="_x0000_s1026" type="#_x0000_t202" style="position:absolute;left:0;text-align:left;margin-left:106.5pt;margin-top:1.15pt;width:387.6pt;height:57.85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" filled="f" stroked="f">
                <v:textbox style="mso-fit-shape-to-text:t" inset="0,0,0,0">
                  <w:txbxContent>
                    <w:p w14:paraId="0ED5A603" w14:textId="77777777" w:rsidR="00C92A22" w:rsidRPr="00F5028A" w:rsidRDefault="00000000" w:rsidP="00C92A22">
                      <w:pPr>
                        <w:rPr>
                          <w:rFonts w:ascii="Cambria Math" w:hAnsi="+mn-cs" w:cstheme="minorBidi"/>
                          <w:i/>
                          <w:iCs/>
                          <w:color w:val="000000" w:themeColor="text1"/>
                          <w:kern w:val="24"/>
                          <w:sz w:val="22"/>
                          <w:szCs w:val="22"/>
                        </w:rPr>
                      </w:pPr>
                      <m:oMathPara>
                        <m:oMathParaPr>
                          <m:jc m:val="centerGroup"/>
                        </m:oMathParaPr>
                        <m:oMath>
                          <m:sSubSup>
                            <m:sSubSupPr>
                              <m:ctrlPr>
                                <w:rPr>
                                  <w:rFonts w:ascii="Cambria Math" w:eastAsiaTheme="minorEastAsia" w:hAnsi="Cambria Math" w:cstheme="minorBidi"/>
                                  <w:i/>
                                  <w:iCs/>
                                  <w:color w:val="000000" w:themeColor="text1"/>
                                  <w:kern w:val="24"/>
                                  <w:sz w:val="22"/>
                                  <w:szCs w:val="22"/>
                                </w:rPr>
                              </m:ctrlPr>
                            </m:sSubSupPr>
                            <m:e>
                              <m:r>
                                <w:rPr>
                                  <w:rFonts w:ascii="Cambria Math" w:hAnsi="Cambria Math" w:cstheme="minorBidi"/>
                                  <w:color w:val="000000" w:themeColor="text1"/>
                                  <w:kern w:val="24"/>
                                  <w:sz w:val="22"/>
                                  <w:szCs w:val="22"/>
                                  <w:lang w:val="es-419"/>
                                </w:rPr>
                                <m:t>Pen</m:t>
                              </m:r>
                            </m:e>
                            <m:sub>
                              <m:r>
                                <w:rPr>
                                  <w:rFonts w:ascii="Cambria Math" w:hAnsi="Cambria Math" w:cstheme="minorBidi"/>
                                  <w:color w:val="000000" w:themeColor="text1"/>
                                  <w:kern w:val="24"/>
                                  <w:sz w:val="22"/>
                                  <w:szCs w:val="22"/>
                                  <w:lang w:val="es-419"/>
                                </w:rPr>
                                <m:t>h</m:t>
                              </m:r>
                            </m:sub>
                            <m:sup>
                              <m:r>
                                <w:rPr>
                                  <w:rFonts w:ascii="Cambria Math" w:hAnsi="Cambria Math" w:cstheme="minorBidi"/>
                                  <w:color w:val="000000" w:themeColor="text1"/>
                                  <w:kern w:val="24"/>
                                  <w:sz w:val="22"/>
                                  <w:szCs w:val="22"/>
                                  <w:lang w:val="es-419"/>
                                </w:rPr>
                                <m:t>Tot</m:t>
                              </m:r>
                            </m:sup>
                          </m:sSubSup>
                          <m:r>
                            <w:rPr>
                              <w:rFonts w:ascii="Cambria Math" w:hAnsi="Cambria Math" w:cstheme="minorBidi"/>
                              <w:color w:val="000000" w:themeColor="text1"/>
                              <w:kern w:val="24"/>
                              <w:sz w:val="22"/>
                              <w:szCs w:val="22"/>
                              <w:lang w:val="es-419"/>
                            </w:rPr>
                            <m:t>=min</m:t>
                          </m:r>
                          <m:d>
                            <m:dPr>
                              <m:ctrlPr>
                                <w:rPr>
                                  <w:rFonts w:ascii="Cambria Math" w:eastAsiaTheme="minorEastAsia" w:hAnsi="Cambria Math" w:cstheme="minorBidi"/>
                                  <w:i/>
                                  <w:iCs/>
                                  <w:color w:val="000000" w:themeColor="text1"/>
                                  <w:kern w:val="24"/>
                                  <w:sz w:val="22"/>
                                  <w:szCs w:val="22"/>
                                  <w:lang w:val="es-419"/>
                                </w:rPr>
                              </m:ctrlPr>
                            </m:dPr>
                            <m:e>
                              <m:sSubSup>
                                <m:sSubSupPr>
                                  <m:ctrlPr>
                                    <w:rPr>
                                      <w:rFonts w:ascii="Cambria Math" w:eastAsiaTheme="minorEastAsia" w:hAnsi="Cambria Math" w:cstheme="minorBidi"/>
                                      <w:i/>
                                      <w:iCs/>
                                      <w:color w:val="000000" w:themeColor="text1"/>
                                      <w:kern w:val="24"/>
                                      <w:sz w:val="22"/>
                                      <w:szCs w:val="22"/>
                                      <w:lang w:val="es-419"/>
                                    </w:rPr>
                                  </m:ctrlPr>
                                </m:sSubSupPr>
                                <m:e>
                                  <m:r>
                                    <w:rPr>
                                      <w:rFonts w:ascii="Cambria Math" w:hAnsi="Cambria Math" w:cstheme="minorBidi"/>
                                      <w:color w:val="000000" w:themeColor="text1"/>
                                      <w:kern w:val="24"/>
                                      <w:sz w:val="22"/>
                                      <w:szCs w:val="22"/>
                                      <w:lang w:val="es-419"/>
                                    </w:rPr>
                                    <m:t>C</m:t>
                                  </m:r>
                                </m:e>
                                <m:sub>
                                  <m:r>
                                    <w:rPr>
                                      <w:rFonts w:ascii="Cambria Math" w:hAnsi="Cambria Math" w:cstheme="minorBidi"/>
                                      <w:color w:val="000000" w:themeColor="text1"/>
                                      <w:kern w:val="24"/>
                                      <w:sz w:val="22"/>
                                      <w:szCs w:val="22"/>
                                      <w:lang w:val="es-419"/>
                                    </w:rPr>
                                    <m:t>h</m:t>
                                  </m:r>
                                </m:sub>
                                <m:sup>
                                  <m:r>
                                    <w:rPr>
                                      <w:rFonts w:ascii="Cambria Math" w:hAnsi="Cambria Math" w:cstheme="minorBidi"/>
                                      <w:color w:val="000000" w:themeColor="text1"/>
                                      <w:kern w:val="24"/>
                                      <w:sz w:val="22"/>
                                      <w:szCs w:val="22"/>
                                      <w:lang w:val="es-419"/>
                                    </w:rPr>
                                    <m:t>real</m:t>
                                  </m:r>
                                </m:sup>
                              </m:sSubSup>
                              <m:r>
                                <w:rPr>
                                  <w:rFonts w:ascii="Cambria Math" w:hAnsi="Cambria Math" w:cstheme="minorBidi"/>
                                  <w:color w:val="000000" w:themeColor="text1"/>
                                  <w:kern w:val="24"/>
                                  <w:sz w:val="22"/>
                                  <w:szCs w:val="22"/>
                                  <w:lang w:val="es-419"/>
                                </w:rPr>
                                <m:t>-</m:t>
                              </m:r>
                              <m:sSubSup>
                                <m:sSubSupPr>
                                  <m:ctrlPr>
                                    <w:rPr>
                                      <w:rFonts w:ascii="Cambria Math" w:eastAsiaTheme="minorEastAsia" w:hAnsi="Cambria Math" w:cstheme="minorBidi"/>
                                      <w:i/>
                                      <w:iCs/>
                                      <w:color w:val="000000" w:themeColor="text1"/>
                                      <w:kern w:val="24"/>
                                      <w:sz w:val="22"/>
                                      <w:szCs w:val="22"/>
                                      <w:lang w:val="es-419"/>
                                    </w:rPr>
                                  </m:ctrlPr>
                                </m:sSubSupPr>
                                <m:e>
                                  <m:r>
                                    <w:rPr>
                                      <w:rFonts w:ascii="Cambria Math" w:hAnsi="Cambria Math" w:cstheme="minorBidi"/>
                                      <w:color w:val="000000" w:themeColor="text1"/>
                                      <w:kern w:val="24"/>
                                      <w:sz w:val="22"/>
                                      <w:szCs w:val="22"/>
                                      <w:lang w:val="es-419"/>
                                    </w:rPr>
                                    <m:t>C</m:t>
                                  </m:r>
                                </m:e>
                                <m:sub>
                                  <m:r>
                                    <w:rPr>
                                      <w:rFonts w:ascii="Cambria Math" w:hAnsi="Cambria Math" w:cstheme="minorBidi"/>
                                      <w:color w:val="000000" w:themeColor="text1"/>
                                      <w:kern w:val="24"/>
                                      <w:sz w:val="22"/>
                                      <w:szCs w:val="22"/>
                                      <w:lang w:val="es-419"/>
                                    </w:rPr>
                                    <m:t>h</m:t>
                                  </m:r>
                                </m:sub>
                                <m:sup>
                                  <m:r>
                                    <w:rPr>
                                      <w:rFonts w:ascii="Cambria Math" w:hAnsi="Cambria Math" w:cstheme="minorBidi"/>
                                      <w:color w:val="000000" w:themeColor="text1"/>
                                      <w:kern w:val="24"/>
                                      <w:sz w:val="22"/>
                                      <w:szCs w:val="22"/>
                                      <w:lang w:val="es-419"/>
                                    </w:rPr>
                                    <m:t>DI</m:t>
                                  </m:r>
                                </m:sup>
                              </m:sSubSup>
                              <m:r>
                                <w:rPr>
                                  <w:rFonts w:ascii="Cambria Math" w:hAnsi="Cambria Math" w:cstheme="minorBidi"/>
                                  <w:color w:val="000000" w:themeColor="text1"/>
                                  <w:kern w:val="24"/>
                                  <w:sz w:val="22"/>
                                  <w:szCs w:val="22"/>
                                  <w:lang w:val="es-419"/>
                                </w:rPr>
                                <m:t>,</m:t>
                              </m:r>
                              <m:nary>
                                <m:naryPr>
                                  <m:chr m:val="∑"/>
                                  <m:supHide m:val="1"/>
                                  <m:ctrlPr>
                                    <w:rPr>
                                      <w:rFonts w:ascii="Cambria Math" w:eastAsiaTheme="minorEastAsia" w:hAnsi="Cambria Math" w:cstheme="minorBidi"/>
                                      <w:i/>
                                      <w:iCs/>
                                      <w:color w:val="000000" w:themeColor="text1"/>
                                      <w:kern w:val="24"/>
                                      <w:sz w:val="22"/>
                                      <w:szCs w:val="22"/>
                                      <w:lang w:val="es-419"/>
                                    </w:rPr>
                                  </m:ctrlPr>
                                </m:naryPr>
                                <m:sub>
                                  <m:r>
                                    <w:rPr>
                                      <w:rFonts w:ascii="Cambria Math" w:hAnsi="Cambria Math" w:cstheme="minorBidi"/>
                                      <w:color w:val="000000" w:themeColor="text1"/>
                                      <w:kern w:val="24"/>
                                      <w:sz w:val="22"/>
                                      <w:szCs w:val="22"/>
                                      <w:lang w:val="es-419"/>
                                    </w:rPr>
                                    <m:t>j</m:t>
                                  </m:r>
                                  <m:r>
                                    <w:rPr>
                                      <w:rFonts w:ascii="Cambria Math" w:eastAsia="Cambria Math" w:hAnsi="Cambria Math" w:cstheme="minorBidi"/>
                                      <w:color w:val="000000" w:themeColor="text1"/>
                                      <w:kern w:val="24"/>
                                      <w:sz w:val="22"/>
                                      <w:szCs w:val="22"/>
                                      <w:lang w:val="es-419"/>
                                    </w:rPr>
                                    <m:t>∈</m:t>
                                  </m:r>
                                  <m:sSubSup>
                                    <m:sSubSupPr>
                                      <m:ctrlPr>
                                        <w:rPr>
                                          <w:rFonts w:ascii="Cambria Math" w:eastAsia="Cambria Math" w:hAnsi="Cambria Math" w:cstheme="minorBidi"/>
                                          <w:i/>
                                          <w:iCs/>
                                          <w:color w:val="000000" w:themeColor="text1"/>
                                          <w:kern w:val="24"/>
                                          <w:sz w:val="22"/>
                                          <w:szCs w:val="22"/>
                                          <w:lang w:val="es-419"/>
                                        </w:rPr>
                                      </m:ctrlPr>
                                    </m:sSubSupPr>
                                    <m:e>
                                      <m:r>
                                        <w:rPr>
                                          <w:rFonts w:ascii="Cambria Math" w:eastAsia="Cambria Math" w:hAnsi="Cambria Math" w:cstheme="minorBidi"/>
                                          <w:color w:val="000000" w:themeColor="text1"/>
                                          <w:kern w:val="24"/>
                                          <w:sz w:val="22"/>
                                          <w:szCs w:val="22"/>
                                          <w:lang w:val="es-419"/>
                                        </w:rPr>
                                        <m:t>G</m:t>
                                      </m:r>
                                    </m:e>
                                    <m:sub>
                                      <m:r>
                                        <w:rPr>
                                          <w:rFonts w:ascii="Cambria Math" w:eastAsia="Cambria Math" w:hAnsi="Cambria Math" w:cstheme="minorBidi"/>
                                          <w:color w:val="000000" w:themeColor="text1"/>
                                          <w:kern w:val="24"/>
                                          <w:sz w:val="22"/>
                                          <w:szCs w:val="22"/>
                                          <w:lang w:val="es-419"/>
                                        </w:rPr>
                                        <m:t>h</m:t>
                                      </m:r>
                                    </m:sub>
                                    <m:sup>
                                      <m:r>
                                        <w:rPr>
                                          <w:rFonts w:ascii="Cambria Math" w:eastAsia="Cambria Math" w:hAnsi="Cambria Math" w:cstheme="minorBidi"/>
                                          <w:color w:val="000000" w:themeColor="text1"/>
                                          <w:kern w:val="24"/>
                                          <w:sz w:val="22"/>
                                          <w:szCs w:val="22"/>
                                          <w:lang w:val="es-419"/>
                                        </w:rPr>
                                        <m:t>*</m:t>
                                      </m:r>
                                    </m:sup>
                                  </m:sSubSup>
                                </m:sub>
                                <m:sup/>
                                <m:e>
                                  <m:sSub>
                                    <m:sSubPr>
                                      <m:ctrlPr>
                                        <w:rPr>
                                          <w:rFonts w:ascii="Cambria Math" w:eastAsiaTheme="minorEastAsia" w:hAnsi="Cambria Math" w:cstheme="minorBidi"/>
                                          <w:i/>
                                          <w:iCs/>
                                          <w:color w:val="000000" w:themeColor="text1"/>
                                          <w:kern w:val="24"/>
                                          <w:sz w:val="22"/>
                                          <w:szCs w:val="22"/>
                                          <w:lang w:val="es-419"/>
                                        </w:rPr>
                                      </m:ctrlPr>
                                    </m:sSubPr>
                                    <m:e>
                                      <m:r>
                                        <w:rPr>
                                          <w:rFonts w:ascii="Cambria Math" w:hAnsi="Cambria Math" w:cstheme="minorBidi"/>
                                          <w:color w:val="000000" w:themeColor="text1"/>
                                          <w:kern w:val="24"/>
                                          <w:sz w:val="22"/>
                                          <w:szCs w:val="22"/>
                                          <w:lang w:val="es-419"/>
                                        </w:rPr>
                                        <m:t>desv</m:t>
                                      </m:r>
                                    </m:e>
                                    <m:sub>
                                      <m:r>
                                        <w:rPr>
                                          <w:rFonts w:ascii="Cambria Math" w:hAnsi="Cambria Math" w:cstheme="minorBidi"/>
                                          <w:color w:val="000000" w:themeColor="text1"/>
                                          <w:kern w:val="24"/>
                                          <w:sz w:val="22"/>
                                          <w:szCs w:val="22"/>
                                          <w:lang w:val="es-419"/>
                                        </w:rPr>
                                        <m:t>j,h</m:t>
                                      </m:r>
                                    </m:sub>
                                  </m:sSub>
                                  <m:r>
                                    <w:rPr>
                                      <w:rFonts w:ascii="Cambria Math" w:hAnsi="Cambria Math" w:cstheme="minorBidi"/>
                                      <w:color w:val="000000" w:themeColor="text1"/>
                                      <w:kern w:val="24"/>
                                      <w:sz w:val="22"/>
                                      <w:szCs w:val="22"/>
                                      <w:lang w:val="es-419"/>
                                    </w:rPr>
                                    <m:t>*CERE</m:t>
                                  </m:r>
                                </m:e>
                              </m:nary>
                            </m:e>
                          </m:d>
                        </m:oMath>
                      </m:oMathPara>
                    </w:p>
                  </w:txbxContent>
                </v:textbox>
              </v:shape>
            </w:pict>
          </mc:Fallback>
        </mc:AlternateContent>
      </w:r>
    </w:p>
    <w:p w14:paraId="1B56B1DF" w14:textId="77777777" w:rsidR="00C92A22" w:rsidRDefault="00C92A22" w:rsidP="00C92A22"/>
    <w:p w14:paraId="67F2765A" w14:textId="77777777" w:rsidR="00C92A22" w:rsidRDefault="00C92A22" w:rsidP="00C92A22"/>
    <w:p w14:paraId="5BB33954" w14:textId="77777777" w:rsidR="00C92A22" w:rsidRDefault="00C92A22" w:rsidP="00C92A22"/>
    <w:p w14:paraId="60799B1A" w14:textId="21416A09" w:rsidR="00175D3B" w:rsidRDefault="00175D3B" w:rsidP="00C92A22">
      <w:r>
        <w:t>Donde:</w:t>
      </w:r>
    </w:p>
    <w:p w14:paraId="04E60D54" w14:textId="77777777" w:rsidR="00175D3B" w:rsidRDefault="00175D3B" w:rsidP="00C92A22"/>
    <w:p w14:paraId="153595AF" w14:textId="40F0AFE7" w:rsidR="00175D3B" w:rsidRDefault="00000000" w:rsidP="00C92A22">
      <w:pPr>
        <w:rPr>
          <w:iCs/>
          <w:color w:val="000000" w:themeColor="text1"/>
          <w:kern w:val="24"/>
          <w:sz w:val="22"/>
          <w:szCs w:val="22"/>
        </w:rPr>
      </w:pPr>
      <m:oMath>
        <m:sSubSup>
          <m:sSubSupPr>
            <m:ctrlPr>
              <w:rPr>
                <w:rFonts w:ascii="Cambria Math" w:eastAsiaTheme="minorEastAsia" w:hAnsi="Cambria Math" w:cstheme="minorBidi"/>
                <w:i/>
                <w:iCs/>
                <w:color w:val="000000" w:themeColor="text1"/>
                <w:kern w:val="24"/>
                <w:sz w:val="22"/>
                <w:szCs w:val="22"/>
              </w:rPr>
            </m:ctrlPr>
          </m:sSubSupPr>
          <m:e>
            <m:r>
              <w:rPr>
                <w:rFonts w:ascii="Cambria Math" w:hAnsi="Cambria Math" w:cstheme="minorBidi"/>
                <w:color w:val="000000" w:themeColor="text1"/>
                <w:kern w:val="24"/>
                <w:sz w:val="22"/>
                <w:szCs w:val="22"/>
                <w:lang w:val="es-419"/>
              </w:rPr>
              <m:t>Pen</m:t>
            </m:r>
          </m:e>
          <m:sub>
            <m:r>
              <w:rPr>
                <w:rFonts w:ascii="Cambria Math" w:hAnsi="Cambria Math" w:cstheme="minorBidi"/>
                <w:color w:val="000000" w:themeColor="text1"/>
                <w:kern w:val="24"/>
                <w:sz w:val="22"/>
                <w:szCs w:val="22"/>
                <w:lang w:val="es-419"/>
              </w:rPr>
              <m:t>h</m:t>
            </m:r>
          </m:sub>
          <m:sup>
            <m:r>
              <w:rPr>
                <w:rFonts w:ascii="Cambria Math" w:hAnsi="Cambria Math" w:cstheme="minorBidi"/>
                <w:color w:val="000000" w:themeColor="text1"/>
                <w:kern w:val="24"/>
                <w:sz w:val="22"/>
                <w:szCs w:val="22"/>
                <w:lang w:val="es-419"/>
              </w:rPr>
              <m:t>Tot</m:t>
            </m:r>
          </m:sup>
        </m:sSubSup>
      </m:oMath>
      <w:r w:rsidR="00175D3B">
        <w:rPr>
          <w:iCs/>
          <w:color w:val="000000" w:themeColor="text1"/>
          <w:kern w:val="24"/>
          <w:sz w:val="22"/>
          <w:szCs w:val="22"/>
        </w:rPr>
        <w:t xml:space="preserve">: </w:t>
      </w:r>
      <w:r w:rsidR="0073279B" w:rsidRPr="0073279B">
        <w:rPr>
          <w:iCs/>
          <w:color w:val="000000" w:themeColor="text1"/>
          <w:kern w:val="24"/>
          <w:sz w:val="22"/>
          <w:szCs w:val="22"/>
        </w:rPr>
        <w:t>Valor de pago total por desviaciones del sistema hora h</w:t>
      </w:r>
      <w:r w:rsidR="0073279B">
        <w:rPr>
          <w:iCs/>
          <w:color w:val="000000" w:themeColor="text1"/>
          <w:kern w:val="24"/>
          <w:sz w:val="22"/>
          <w:szCs w:val="22"/>
        </w:rPr>
        <w:t>.</w:t>
      </w:r>
    </w:p>
    <w:p w14:paraId="57FACE36" w14:textId="07D9E06D" w:rsidR="00103986" w:rsidRDefault="00000000" w:rsidP="00C92A22">
      <w:pPr>
        <w:rPr>
          <w:iCs/>
          <w:color w:val="000000" w:themeColor="text1"/>
          <w:kern w:val="24"/>
          <w:sz w:val="22"/>
          <w:szCs w:val="22"/>
          <w:lang w:val="es-419"/>
        </w:rPr>
      </w:pPr>
      <m:oMath>
        <m:sSubSup>
          <m:sSubSupPr>
            <m:ctrlPr>
              <w:rPr>
                <w:rFonts w:ascii="Cambria Math" w:eastAsiaTheme="minorEastAsia" w:hAnsi="Cambria Math" w:cstheme="minorBidi"/>
                <w:i/>
                <w:iCs/>
                <w:color w:val="000000" w:themeColor="text1"/>
                <w:kern w:val="24"/>
                <w:sz w:val="22"/>
                <w:szCs w:val="22"/>
                <w:lang w:val="es-419"/>
              </w:rPr>
            </m:ctrlPr>
          </m:sSubSupPr>
          <m:e>
            <m:r>
              <w:rPr>
                <w:rFonts w:ascii="Cambria Math" w:hAnsi="Cambria Math" w:cstheme="minorBidi"/>
                <w:color w:val="000000" w:themeColor="text1"/>
                <w:kern w:val="24"/>
                <w:sz w:val="22"/>
                <w:szCs w:val="22"/>
                <w:lang w:val="es-419"/>
              </w:rPr>
              <m:t>C</m:t>
            </m:r>
          </m:e>
          <m:sub>
            <m:r>
              <w:rPr>
                <w:rFonts w:ascii="Cambria Math" w:hAnsi="Cambria Math" w:cstheme="minorBidi"/>
                <w:color w:val="000000" w:themeColor="text1"/>
                <w:kern w:val="24"/>
                <w:sz w:val="22"/>
                <w:szCs w:val="22"/>
                <w:lang w:val="es-419"/>
              </w:rPr>
              <m:t>h</m:t>
            </m:r>
          </m:sub>
          <m:sup>
            <m:r>
              <w:rPr>
                <w:rFonts w:ascii="Cambria Math" w:hAnsi="Cambria Math" w:cstheme="minorBidi"/>
                <w:color w:val="000000" w:themeColor="text1"/>
                <w:kern w:val="24"/>
                <w:sz w:val="22"/>
                <w:szCs w:val="22"/>
                <w:lang w:val="es-419"/>
              </w:rPr>
              <m:t>real</m:t>
            </m:r>
          </m:sup>
        </m:sSubSup>
      </m:oMath>
      <w:r w:rsidR="00103986">
        <w:rPr>
          <w:iCs/>
          <w:color w:val="000000" w:themeColor="text1"/>
          <w:kern w:val="24"/>
          <w:sz w:val="22"/>
          <w:szCs w:val="22"/>
          <w:lang w:val="es-419"/>
        </w:rPr>
        <w:t xml:space="preserve">: </w:t>
      </w:r>
      <w:r w:rsidR="00ED3787" w:rsidRPr="00ED3787">
        <w:rPr>
          <w:iCs/>
          <w:color w:val="000000" w:themeColor="text1"/>
          <w:kern w:val="24"/>
          <w:sz w:val="22"/>
          <w:szCs w:val="22"/>
          <w:lang w:val="es-419"/>
        </w:rPr>
        <w:t>Costos operativos del sistema de acuerdo con la generación real de las plantas con generación variable</w:t>
      </w:r>
    </w:p>
    <w:p w14:paraId="430E2AE1" w14:textId="43920A25" w:rsidR="0073279B" w:rsidRDefault="00000000" w:rsidP="00C92A22">
      <w:pPr>
        <w:rPr>
          <w:iCs/>
          <w:color w:val="000000" w:themeColor="text1"/>
          <w:kern w:val="24"/>
          <w:sz w:val="22"/>
          <w:szCs w:val="22"/>
          <w:lang w:val="es-419"/>
        </w:rPr>
      </w:pPr>
      <m:oMath>
        <m:sSubSup>
          <m:sSubSupPr>
            <m:ctrlPr>
              <w:rPr>
                <w:rFonts w:ascii="Cambria Math" w:eastAsiaTheme="minorEastAsia" w:hAnsi="Cambria Math" w:cstheme="minorBidi"/>
                <w:i/>
                <w:iCs/>
                <w:color w:val="000000" w:themeColor="text1"/>
                <w:kern w:val="24"/>
                <w:sz w:val="22"/>
                <w:szCs w:val="22"/>
                <w:lang w:val="es-419"/>
              </w:rPr>
            </m:ctrlPr>
          </m:sSubSupPr>
          <m:e>
            <m:r>
              <w:rPr>
                <w:rFonts w:ascii="Cambria Math" w:hAnsi="Cambria Math" w:cstheme="minorBidi"/>
                <w:color w:val="000000" w:themeColor="text1"/>
                <w:kern w:val="24"/>
                <w:sz w:val="22"/>
                <w:szCs w:val="22"/>
                <w:lang w:val="es-419"/>
              </w:rPr>
              <m:t>C</m:t>
            </m:r>
          </m:e>
          <m:sub>
            <m:r>
              <w:rPr>
                <w:rFonts w:ascii="Cambria Math" w:hAnsi="Cambria Math" w:cstheme="minorBidi"/>
                <w:color w:val="000000" w:themeColor="text1"/>
                <w:kern w:val="24"/>
                <w:sz w:val="22"/>
                <w:szCs w:val="22"/>
                <w:lang w:val="es-419"/>
              </w:rPr>
              <m:t>h</m:t>
            </m:r>
          </m:sub>
          <m:sup>
            <m:r>
              <w:rPr>
                <w:rFonts w:ascii="Cambria Math" w:hAnsi="Cambria Math" w:cstheme="minorBidi"/>
                <w:color w:val="000000" w:themeColor="text1"/>
                <w:kern w:val="24"/>
                <w:sz w:val="22"/>
                <w:szCs w:val="22"/>
                <w:lang w:val="es-419"/>
              </w:rPr>
              <m:t>DI</m:t>
            </m:r>
          </m:sup>
        </m:sSubSup>
      </m:oMath>
      <w:r w:rsidR="0073279B">
        <w:rPr>
          <w:iCs/>
          <w:color w:val="000000" w:themeColor="text1"/>
          <w:kern w:val="24"/>
          <w:sz w:val="22"/>
          <w:szCs w:val="22"/>
          <w:lang w:val="es-419"/>
        </w:rPr>
        <w:t xml:space="preserve">: </w:t>
      </w:r>
      <w:r w:rsidR="0073279B" w:rsidRPr="0073279B">
        <w:rPr>
          <w:iCs/>
          <w:color w:val="000000" w:themeColor="text1"/>
          <w:kern w:val="24"/>
          <w:sz w:val="22"/>
          <w:szCs w:val="22"/>
          <w:lang w:val="es-419"/>
        </w:rPr>
        <w:t>Costos operativos del sistema de acuerdo con la disponibilidad inicial de las plantas con generación variable</w:t>
      </w:r>
      <w:r w:rsidR="00A16CCF">
        <w:rPr>
          <w:iCs/>
          <w:color w:val="000000" w:themeColor="text1"/>
          <w:kern w:val="24"/>
          <w:sz w:val="22"/>
          <w:szCs w:val="22"/>
          <w:lang w:val="es-419"/>
        </w:rPr>
        <w:t>.</w:t>
      </w:r>
    </w:p>
    <w:p w14:paraId="08652A66" w14:textId="4CD5DD27" w:rsidR="006E3859" w:rsidRDefault="00000000" w:rsidP="00C92A22">
      <w:pPr>
        <w:rPr>
          <w:iCs/>
          <w:color w:val="000000" w:themeColor="text1"/>
          <w:kern w:val="24"/>
          <w:sz w:val="22"/>
          <w:szCs w:val="22"/>
          <w:lang w:val="es-419"/>
        </w:rPr>
      </w:pPr>
      <m:oMath>
        <m:sSub>
          <m:sSubPr>
            <m:ctrlPr>
              <w:rPr>
                <w:rFonts w:ascii="Cambria Math" w:eastAsiaTheme="minorEastAsia" w:hAnsi="Cambria Math" w:cstheme="minorBidi"/>
                <w:i/>
                <w:iCs/>
                <w:color w:val="000000" w:themeColor="text1"/>
                <w:kern w:val="24"/>
                <w:sz w:val="22"/>
                <w:szCs w:val="22"/>
                <w:lang w:val="es-419"/>
              </w:rPr>
            </m:ctrlPr>
          </m:sSubPr>
          <m:e>
            <m:r>
              <w:rPr>
                <w:rFonts w:ascii="Cambria Math" w:hAnsi="Cambria Math" w:cstheme="minorBidi"/>
                <w:color w:val="000000" w:themeColor="text1"/>
                <w:kern w:val="24"/>
                <w:sz w:val="22"/>
                <w:szCs w:val="22"/>
                <w:lang w:val="es-419"/>
              </w:rPr>
              <m:t>desv</m:t>
            </m:r>
          </m:e>
          <m:sub>
            <m:r>
              <w:rPr>
                <w:rFonts w:ascii="Cambria Math" w:hAnsi="Cambria Math" w:cstheme="minorBidi"/>
                <w:color w:val="000000" w:themeColor="text1"/>
                <w:kern w:val="24"/>
                <w:sz w:val="22"/>
                <w:szCs w:val="22"/>
                <w:lang w:val="es-419"/>
              </w:rPr>
              <m:t>j,h</m:t>
            </m:r>
          </m:sub>
        </m:sSub>
      </m:oMath>
      <w:r w:rsidR="006E3859">
        <w:rPr>
          <w:iCs/>
          <w:color w:val="000000" w:themeColor="text1"/>
          <w:kern w:val="24"/>
          <w:sz w:val="22"/>
          <w:szCs w:val="22"/>
          <w:lang w:val="es-419"/>
        </w:rPr>
        <w:t xml:space="preserve">: </w:t>
      </w:r>
      <w:r w:rsidR="006E3859" w:rsidRPr="006E3859">
        <w:rPr>
          <w:iCs/>
          <w:color w:val="000000" w:themeColor="text1"/>
          <w:kern w:val="24"/>
          <w:sz w:val="22"/>
          <w:szCs w:val="22"/>
          <w:lang w:val="es-419"/>
        </w:rPr>
        <w:t>Desviación de la planta j en la hora h</w:t>
      </w:r>
      <w:r w:rsidR="00A16CCF">
        <w:rPr>
          <w:iCs/>
          <w:color w:val="000000" w:themeColor="text1"/>
          <w:kern w:val="24"/>
          <w:sz w:val="22"/>
          <w:szCs w:val="22"/>
          <w:lang w:val="es-419"/>
        </w:rPr>
        <w:t>.</w:t>
      </w:r>
    </w:p>
    <w:p w14:paraId="1832E552" w14:textId="3E7FEDE2" w:rsidR="006E3859" w:rsidRPr="00175D3B" w:rsidRDefault="00A16CCF" w:rsidP="00C92A22">
      <m:oMath>
        <m:r>
          <w:rPr>
            <w:rFonts w:ascii="Cambria Math" w:hAnsi="Cambria Math"/>
            <w:lang w:val="es-419"/>
          </w:rPr>
          <m:t>CERE</m:t>
        </m:r>
      </m:oMath>
      <w:r>
        <w:rPr>
          <w:iCs/>
          <w:lang w:val="es-419"/>
        </w:rPr>
        <w:t>: Costo Equivalente Real de Energía.</w:t>
      </w:r>
    </w:p>
    <w:p w14:paraId="228D6236" w14:textId="77777777" w:rsidR="00175D3B" w:rsidRDefault="00175D3B" w:rsidP="00C92A22"/>
    <w:p w14:paraId="05AB352B" w14:textId="77777777" w:rsidR="00C92A22" w:rsidRDefault="00C92A22" w:rsidP="00C92A22">
      <w:r>
        <w:t>El pago que debe realizar cada planta que contribuyó en la desviación se determina ponderando su participación dentro de la desviación total del sistema.</w:t>
      </w:r>
    </w:p>
    <w:p w14:paraId="14236A72" w14:textId="77777777" w:rsidR="00C92A22" w:rsidRDefault="00C92A22" w:rsidP="00C92A22"/>
    <w:p w14:paraId="2DB75741" w14:textId="77777777" w:rsidR="00C92A22" w:rsidRPr="00172155" w:rsidRDefault="00C92A22" w:rsidP="00C92A22">
      <w:pPr>
        <w:pStyle w:val="Ttulo1"/>
        <w:numPr>
          <w:ilvl w:val="0"/>
          <w:numId w:val="1"/>
        </w:numPr>
      </w:pPr>
      <w:bookmarkStart w:id="16" w:name="_Toc169851487"/>
      <w:r w:rsidRPr="00172155">
        <w:t>OBJETIVOS</w:t>
      </w:r>
      <w:bookmarkEnd w:id="16"/>
    </w:p>
    <w:p w14:paraId="6D9B2929" w14:textId="77777777" w:rsidR="00C92A22" w:rsidRPr="004D509D" w:rsidRDefault="00C92A22" w:rsidP="004D509D">
      <w:pPr>
        <w:rPr>
          <w:iCs/>
          <w:szCs w:val="22"/>
        </w:rPr>
      </w:pPr>
      <w:r w:rsidRPr="004D509D">
        <w:rPr>
          <w:iCs/>
          <w:szCs w:val="22"/>
        </w:rPr>
        <w:t>Se busca determinar una medida transitoria para determinar las desviaciones máximas permitidas a las plantas variables y cuantificar su valor en pesos sin impactar su viabilidad financiera.</w:t>
      </w:r>
    </w:p>
    <w:p w14:paraId="7486EDD9" w14:textId="77777777" w:rsidR="00C92A22" w:rsidRPr="007319DB" w:rsidRDefault="00C92A22" w:rsidP="00C92A22">
      <w:pPr>
        <w:pStyle w:val="Prrafodelista"/>
        <w:ind w:left="0"/>
        <w:rPr>
          <w:b/>
        </w:rPr>
      </w:pPr>
    </w:p>
    <w:p w14:paraId="775F83A8" w14:textId="77777777" w:rsidR="00C92A22" w:rsidRPr="007319DB" w:rsidRDefault="00C92A22" w:rsidP="00C92A22">
      <w:pPr>
        <w:pStyle w:val="Ttulo1"/>
        <w:numPr>
          <w:ilvl w:val="0"/>
          <w:numId w:val="1"/>
        </w:numPr>
      </w:pPr>
      <w:bookmarkStart w:id="17" w:name="_Ref169775201"/>
      <w:bookmarkStart w:id="18" w:name="_Toc169851488"/>
      <w:r w:rsidRPr="007319DB">
        <w:t>ALTERNATIVAS</w:t>
      </w:r>
      <w:bookmarkEnd w:id="17"/>
      <w:bookmarkEnd w:id="18"/>
    </w:p>
    <w:p w14:paraId="264ABE8A" w14:textId="77777777" w:rsidR="00C92A22" w:rsidRPr="007E0711" w:rsidRDefault="00C92A22" w:rsidP="00C92A22">
      <w:pPr>
        <w:pStyle w:val="Prrafodelista"/>
        <w:rPr>
          <w:i/>
          <w:sz w:val="22"/>
        </w:rPr>
      </w:pPr>
    </w:p>
    <w:p w14:paraId="1C7C8D60" w14:textId="77777777" w:rsidR="00C92A22" w:rsidRPr="00D962F4" w:rsidRDefault="00C92A22" w:rsidP="00C92A22">
      <w:pPr>
        <w:rPr>
          <w:rFonts w:cs="Arial"/>
          <w:iCs/>
          <w:szCs w:val="24"/>
        </w:rPr>
      </w:pPr>
      <w:r>
        <w:rPr>
          <w:rFonts w:cs="Arial"/>
          <w:iCs/>
          <w:szCs w:val="24"/>
        </w:rPr>
        <w:t>Las alternativas planteadas son las siguientes.</w:t>
      </w:r>
    </w:p>
    <w:p w14:paraId="71485C29" w14:textId="77777777" w:rsidR="00C92A22" w:rsidRDefault="00C92A22" w:rsidP="00C92A22">
      <w:pPr>
        <w:rPr>
          <w:rFonts w:cs="Arial"/>
          <w:iCs/>
          <w:szCs w:val="24"/>
          <w:highlight w:val="yellow"/>
        </w:rPr>
      </w:pPr>
    </w:p>
    <w:p w14:paraId="00048B42" w14:textId="77777777" w:rsidR="00C92A22" w:rsidRPr="00D962F4" w:rsidRDefault="00C92A22" w:rsidP="00C92A22">
      <w:pPr>
        <w:pStyle w:val="Ttulo2"/>
        <w:numPr>
          <w:ilvl w:val="1"/>
          <w:numId w:val="1"/>
        </w:numPr>
        <w:ind w:left="578" w:hanging="578"/>
      </w:pPr>
      <w:bookmarkStart w:id="19" w:name="_Toc164320916"/>
      <w:bookmarkStart w:id="20" w:name="_Toc169851489"/>
      <w:r>
        <w:t>Alternativa 1: No realizar cambios</w:t>
      </w:r>
      <w:bookmarkEnd w:id="19"/>
      <w:bookmarkEnd w:id="20"/>
    </w:p>
    <w:p w14:paraId="495F07EA" w14:textId="77777777" w:rsidR="00C92A22" w:rsidRPr="00E27E4A" w:rsidRDefault="00C92A22" w:rsidP="00C92A22">
      <w:pPr>
        <w:rPr>
          <w:rFonts w:cs="Arial"/>
          <w:iCs/>
          <w:szCs w:val="24"/>
        </w:rPr>
      </w:pPr>
    </w:p>
    <w:p w14:paraId="5DBF8AE7" w14:textId="77777777" w:rsidR="00C92A22" w:rsidRDefault="00C92A22" w:rsidP="00C92A22">
      <w:pPr>
        <w:pStyle w:val="Estilo5"/>
        <w:keepNext w:val="0"/>
        <w:tabs>
          <w:tab w:val="left" w:pos="1560"/>
        </w:tabs>
        <w:spacing w:before="0" w:after="0"/>
        <w:outlineLvl w:val="9"/>
        <w:rPr>
          <w:rFonts w:ascii="Arial" w:hAnsi="Arial" w:cs="Arial"/>
          <w:b w:val="0"/>
          <w:iCs/>
          <w:kern w:val="0"/>
          <w:szCs w:val="24"/>
          <w:lang w:eastAsia="es-ES"/>
        </w:rPr>
      </w:pPr>
      <w:r>
        <w:rPr>
          <w:rFonts w:ascii="Arial" w:hAnsi="Arial" w:cs="Arial"/>
          <w:b w:val="0"/>
          <w:iCs/>
          <w:kern w:val="0"/>
          <w:szCs w:val="24"/>
          <w:lang w:eastAsia="es-ES"/>
        </w:rPr>
        <w:t>Mantener la reglamentación vigente, no permite contribuir en la solución del problema que se ha identificado. Se mantiene tanto la fórmula para estimar las cantidades máximas permitidas de desviación como la fórmula de pago horario por desviaciones en el despacho y el redespacho y la decisión de pago horario entre el despacho y el despacho:</w:t>
      </w:r>
    </w:p>
    <w:p w14:paraId="1840A107" w14:textId="77777777" w:rsidR="00C92A22" w:rsidRDefault="00C92A22" w:rsidP="00C92A22">
      <w:pPr>
        <w:pStyle w:val="Estilo5"/>
        <w:keepNext w:val="0"/>
        <w:tabs>
          <w:tab w:val="left" w:pos="1560"/>
        </w:tabs>
        <w:spacing w:before="0" w:after="0"/>
        <w:outlineLvl w:val="9"/>
        <w:rPr>
          <w:rFonts w:ascii="Arial" w:hAnsi="Arial" w:cs="Arial"/>
          <w:b w:val="0"/>
          <w:iCs/>
          <w:kern w:val="0"/>
          <w:szCs w:val="24"/>
          <w:lang w:eastAsia="es-ES"/>
        </w:rPr>
      </w:pPr>
    </w:p>
    <w:p w14:paraId="026E4C9C" w14:textId="77777777" w:rsidR="00C92A22" w:rsidRPr="003A01C1" w:rsidRDefault="00000000" w:rsidP="00C92A22">
      <w:pPr>
        <w:pStyle w:val="Estilo5"/>
        <w:keepNext w:val="0"/>
        <w:numPr>
          <w:ilvl w:val="0"/>
          <w:numId w:val="20"/>
        </w:numPr>
        <w:tabs>
          <w:tab w:val="left" w:pos="1560"/>
        </w:tabs>
        <w:spacing w:before="0" w:after="0"/>
        <w:outlineLvl w:val="9"/>
        <w:rPr>
          <w:rFonts w:ascii="Arial" w:hAnsi="Arial" w:cs="Arial"/>
          <w:b w:val="0"/>
          <w:iCs/>
          <w:kern w:val="0"/>
          <w:szCs w:val="24"/>
          <w:lang w:eastAsia="es-ES"/>
        </w:rPr>
      </w:pPr>
      <m:oMath>
        <m:sSub>
          <m:sSubPr>
            <m:ctrlPr>
              <w:rPr>
                <w:rFonts w:ascii="Cambria Math" w:hAnsi="Cambria Math"/>
                <w:b w:val="0"/>
                <w:i/>
                <w:kern w:val="0"/>
                <w:szCs w:val="20"/>
                <w:lang w:eastAsia="es-ES"/>
              </w:rPr>
            </m:ctrlPr>
          </m:sSubPr>
          <m:e>
            <m:r>
              <m:rPr>
                <m:sty m:val="bi"/>
              </m:rPr>
              <w:rPr>
                <w:rFonts w:ascii="Cambria Math" w:hAnsi="Cambria Math"/>
              </w:rPr>
              <m:t>|P</m:t>
            </m:r>
          </m:e>
          <m:sub>
            <m:r>
              <m:rPr>
                <m:sty m:val="bi"/>
              </m:rPr>
              <w:rPr>
                <w:rFonts w:ascii="Cambria Math" w:hAnsi="Cambria Math"/>
              </w:rPr>
              <m:t>Oferta</m:t>
            </m:r>
          </m:sub>
        </m:sSub>
        <m:r>
          <m:rPr>
            <m:sty m:val="bi"/>
          </m:rPr>
          <w:rPr>
            <w:rFonts w:ascii="Cambria Math" w:hAnsi="Cambria Math"/>
          </w:rPr>
          <m:t>-</m:t>
        </m:r>
        <m:sSub>
          <m:sSubPr>
            <m:ctrlPr>
              <w:rPr>
                <w:rFonts w:ascii="Cambria Math" w:hAnsi="Cambria Math"/>
                <w:b w:val="0"/>
                <w:i/>
                <w:kern w:val="0"/>
                <w:szCs w:val="20"/>
                <w:lang w:eastAsia="es-ES"/>
              </w:rPr>
            </m:ctrlPr>
          </m:sSubPr>
          <m:e>
            <m:r>
              <m:rPr>
                <m:sty m:val="bi"/>
              </m:rPr>
              <w:rPr>
                <w:rFonts w:ascii="Cambria Math" w:hAnsi="Cambria Math"/>
              </w:rPr>
              <m:t>P</m:t>
            </m:r>
          </m:e>
          <m:sub>
            <m:r>
              <m:rPr>
                <m:sty m:val="bi"/>
              </m:rPr>
              <w:rPr>
                <w:rFonts w:ascii="Cambria Math" w:hAnsi="Cambria Math"/>
              </w:rPr>
              <m:t>Bolsa</m:t>
            </m:r>
          </m:sub>
        </m:sSub>
        <m:r>
          <m:rPr>
            <m:sty m:val="bi"/>
          </m:rPr>
          <w:rPr>
            <w:rFonts w:ascii="Cambria Math" w:hAnsi="Cambria Math"/>
          </w:rPr>
          <m:t>|,max</m:t>
        </m:r>
        <m:d>
          <m:dPr>
            <m:ctrlPr>
              <w:rPr>
                <w:rFonts w:ascii="Cambria Math" w:hAnsi="Cambria Math"/>
                <w:b w:val="0"/>
                <w:i/>
                <w:kern w:val="0"/>
                <w:szCs w:val="20"/>
                <w:lang w:eastAsia="es-ES"/>
              </w:rPr>
            </m:ctrlPr>
          </m:dPr>
          <m:e>
            <m:sSub>
              <m:sSubPr>
                <m:ctrlPr>
                  <w:rPr>
                    <w:rFonts w:ascii="Cambria Math" w:hAnsi="Cambria Math"/>
                    <w:b w:val="0"/>
                    <w:i/>
                    <w:kern w:val="0"/>
                    <w:szCs w:val="20"/>
                    <w:lang w:eastAsia="es-ES"/>
                  </w:rPr>
                </m:ctrlPr>
              </m:sSubPr>
              <m:e>
                <m:r>
                  <m:rPr>
                    <m:sty m:val="bi"/>
                  </m:rPr>
                  <w:rPr>
                    <w:rFonts w:ascii="Cambria Math" w:hAnsi="Cambria Math"/>
                  </w:rPr>
                  <m:t>Pago</m:t>
                </m:r>
              </m:e>
              <m:sub>
                <m:r>
                  <m:rPr>
                    <m:sty m:val="bi"/>
                  </m:rPr>
                  <w:rPr>
                    <w:rFonts w:ascii="Cambria Math" w:hAnsi="Cambria Math"/>
                  </w:rPr>
                  <m:t>Despacho</m:t>
                </m:r>
              </m:sub>
            </m:sSub>
            <m:r>
              <m:rPr>
                <m:sty m:val="bi"/>
              </m:rPr>
              <w:rPr>
                <w:rFonts w:ascii="Cambria Math" w:hAnsi="Cambria Math"/>
              </w:rPr>
              <m:t>,</m:t>
            </m:r>
            <m:sSub>
              <m:sSubPr>
                <m:ctrlPr>
                  <w:rPr>
                    <w:rFonts w:ascii="Cambria Math" w:hAnsi="Cambria Math"/>
                    <w:b w:val="0"/>
                    <w:i/>
                    <w:kern w:val="0"/>
                    <w:szCs w:val="20"/>
                    <w:lang w:eastAsia="es-ES"/>
                  </w:rPr>
                </m:ctrlPr>
              </m:sSubPr>
              <m:e>
                <m:r>
                  <m:rPr>
                    <m:sty m:val="bi"/>
                  </m:rPr>
                  <w:rPr>
                    <w:rFonts w:ascii="Cambria Math" w:hAnsi="Cambria Math"/>
                  </w:rPr>
                  <m:t>Pago</m:t>
                </m:r>
              </m:e>
              <m:sub>
                <m:r>
                  <m:rPr>
                    <m:sty m:val="bi"/>
                  </m:rPr>
                  <w:rPr>
                    <w:rFonts w:ascii="Cambria Math" w:hAnsi="Cambria Math"/>
                  </w:rPr>
                  <m:t>Redespacho</m:t>
                </m:r>
              </m:sub>
            </m:sSub>
          </m:e>
        </m:d>
      </m:oMath>
    </w:p>
    <w:p w14:paraId="5C7D9F96" w14:textId="77777777" w:rsidR="00C92A22" w:rsidRPr="00D962F4" w:rsidRDefault="00C92A22" w:rsidP="00C92A22">
      <w:pPr>
        <w:rPr>
          <w:rFonts w:cs="Arial"/>
          <w:iCs/>
          <w:szCs w:val="24"/>
          <w:highlight w:val="yellow"/>
        </w:rPr>
      </w:pPr>
    </w:p>
    <w:p w14:paraId="5A60300F" w14:textId="77777777" w:rsidR="00C92A22" w:rsidRDefault="00C92A22" w:rsidP="00C92A22">
      <w:pPr>
        <w:pStyle w:val="Ttulo2"/>
        <w:numPr>
          <w:ilvl w:val="1"/>
          <w:numId w:val="1"/>
        </w:numPr>
        <w:spacing w:after="0"/>
        <w:ind w:left="578" w:hanging="578"/>
        <w:rPr>
          <w:rFonts w:cs="Arial"/>
        </w:rPr>
      </w:pPr>
      <w:bookmarkStart w:id="21" w:name="_Toc164320917"/>
      <w:bookmarkStart w:id="22" w:name="_Toc169851490"/>
      <w:r>
        <w:rPr>
          <w:rFonts w:cs="Arial"/>
        </w:rPr>
        <w:t xml:space="preserve">Alternativa 2: </w:t>
      </w:r>
      <w:bookmarkEnd w:id="21"/>
      <w:r>
        <w:rPr>
          <w:rFonts w:cs="Arial"/>
        </w:rPr>
        <w:t>modificar la fórmula de pago horario por desviaciones en el despacho y el redespacho</w:t>
      </w:r>
      <w:bookmarkEnd w:id="22"/>
    </w:p>
    <w:p w14:paraId="372095E1" w14:textId="77777777" w:rsidR="00C92A22" w:rsidRDefault="00C92A22" w:rsidP="00C92A22"/>
    <w:p w14:paraId="782297D3" w14:textId="77777777" w:rsidR="00C92A22" w:rsidRDefault="00C92A22" w:rsidP="00C92A22">
      <w:r>
        <w:t>Para esta alternativa se mantiene la fórmula para estimar las cantidades máximas y se tienen 2 posibles cambios en la fórmula de pago horario que se pueden combinar con la decisión de pago horario de la alternativa actual:</w:t>
      </w:r>
    </w:p>
    <w:p w14:paraId="6227779B" w14:textId="77777777" w:rsidR="00C92A22" w:rsidRDefault="00C92A22" w:rsidP="00C92A22"/>
    <w:p w14:paraId="1F245C30" w14:textId="77777777" w:rsidR="00C92A22" w:rsidRDefault="00000000" w:rsidP="00C92A22">
      <w:pPr>
        <w:pStyle w:val="Prrafodelista"/>
        <w:numPr>
          <w:ilvl w:val="0"/>
          <w:numId w:val="18"/>
        </w:numPr>
      </w:pPr>
      <m:oMath>
        <m:sSub>
          <m:sSubPr>
            <m:ctrlPr>
              <w:rPr>
                <w:rFonts w:ascii="Cambria Math" w:hAnsi="Cambria Math"/>
                <w:i/>
              </w:rPr>
            </m:ctrlPr>
          </m:sSubPr>
          <m:e>
            <m:r>
              <w:rPr>
                <w:rFonts w:ascii="Cambria Math" w:hAnsi="Cambria Math"/>
              </w:rPr>
              <m:t>|P</m:t>
            </m:r>
          </m:e>
          <m:sub>
            <m:r>
              <w:rPr>
                <w:rFonts w:ascii="Cambria Math" w:hAnsi="Cambria Math"/>
              </w:rPr>
              <m:t>Oferta</m:t>
            </m:r>
          </m:sub>
        </m:sSub>
        <m:r>
          <w:rPr>
            <w:rFonts w:ascii="Cambria Math" w:hAnsi="Cambria Math"/>
          </w:rPr>
          <m:t>-</m:t>
        </m:r>
        <m:r>
          <m:rPr>
            <m:sty m:val="p"/>
          </m:rPr>
          <w:rPr>
            <w:rFonts w:ascii="Cambria Math" w:hAnsi="Cambria Math"/>
          </w:rPr>
          <m:t>min</m:t>
        </m:r>
        <m:d>
          <m:dPr>
            <m:ctrlPr>
              <w:rPr>
                <w:rFonts w:ascii="Cambria Math" w:hAnsi="Cambria Math"/>
              </w:rPr>
            </m:ctrlPr>
          </m:dPr>
          <m:e>
            <m:sSub>
              <m:sSubPr>
                <m:ctrlPr>
                  <w:rPr>
                    <w:rFonts w:ascii="Cambria Math" w:hAnsi="Cambria Math"/>
                    <w:i/>
                  </w:rPr>
                </m:ctrlPr>
              </m:sSubPr>
              <m:e>
                <m:r>
                  <w:rPr>
                    <w:rFonts w:ascii="Cambria Math" w:hAnsi="Cambria Math"/>
                  </w:rPr>
                  <m:t>P</m:t>
                </m:r>
              </m:e>
              <m:sub>
                <m:r>
                  <w:rPr>
                    <w:rFonts w:ascii="Cambria Math" w:hAnsi="Cambria Math"/>
                  </w:rPr>
                  <m:t>Bolsa</m:t>
                </m:r>
              </m:sub>
            </m:sSub>
            <m:r>
              <w:rPr>
                <w:rFonts w:ascii="Cambria Math" w:hAnsi="Cambria Math"/>
              </w:rPr>
              <m:t>,3XCERE</m:t>
            </m:r>
          </m:e>
        </m:d>
        <m:r>
          <w:rPr>
            <w:rFonts w:ascii="Cambria Math" w:hAnsi="Cambria Math"/>
          </w:rPr>
          <m:t>|</m:t>
        </m:r>
      </m:oMath>
    </w:p>
    <w:p w14:paraId="50F15FF9" w14:textId="77777777" w:rsidR="00C92A22" w:rsidRDefault="00C92A22" w:rsidP="00C92A22">
      <w:pPr>
        <w:pStyle w:val="Prrafodelista"/>
        <w:ind w:left="720"/>
      </w:pPr>
    </w:p>
    <w:p w14:paraId="56FBB8AF" w14:textId="77777777" w:rsidR="00C92A22" w:rsidRDefault="00C92A22" w:rsidP="00C92A22">
      <w:pPr>
        <w:pStyle w:val="Prrafodelista"/>
        <w:numPr>
          <w:ilvl w:val="0"/>
          <w:numId w:val="18"/>
        </w:numPr>
      </w:pPr>
      <m:oMath>
        <m:r>
          <m:rPr>
            <m:sty m:val="p"/>
          </m:rPr>
          <w:rPr>
            <w:rFonts w:ascii="Cambria Math" w:hAnsi="Cambria Math"/>
          </w:rPr>
          <m:t>min</m:t>
        </m:r>
        <m:d>
          <m:dPr>
            <m:ctrlPr>
              <w:rPr>
                <w:rFonts w:ascii="Cambria Math" w:hAnsi="Cambria Math"/>
              </w:rPr>
            </m:ctrlPr>
          </m:dPr>
          <m:e>
            <m:sSub>
              <m:sSubPr>
                <m:ctrlPr>
                  <w:rPr>
                    <w:rFonts w:ascii="Cambria Math" w:hAnsi="Cambria Math"/>
                    <w:i/>
                  </w:rPr>
                </m:ctrlPr>
              </m:sSubPr>
              <m:e>
                <m:r>
                  <w:rPr>
                    <w:rFonts w:ascii="Cambria Math" w:hAnsi="Cambria Math"/>
                  </w:rPr>
                  <m:t>P</m:t>
                </m:r>
              </m:e>
              <m:sub>
                <m:r>
                  <w:rPr>
                    <w:rFonts w:ascii="Cambria Math" w:hAnsi="Cambria Math"/>
                  </w:rPr>
                  <m:t>Bolsa</m:t>
                </m:r>
              </m:sub>
            </m:sSub>
            <m:r>
              <w:rPr>
                <w:rFonts w:ascii="Cambria Math" w:hAnsi="Cambria Math"/>
              </w:rPr>
              <m:t>,3XCERE</m:t>
            </m:r>
          </m:e>
        </m:d>
      </m:oMath>
    </w:p>
    <w:p w14:paraId="11E8FAA0" w14:textId="77777777" w:rsidR="00C92A22" w:rsidRDefault="00C92A22" w:rsidP="00C92A22"/>
    <w:p w14:paraId="31E398ED" w14:textId="77777777" w:rsidR="00C92A22" w:rsidRDefault="00C92A22" w:rsidP="00C92A22">
      <w:pPr>
        <w:pStyle w:val="Ttulo2"/>
        <w:numPr>
          <w:ilvl w:val="1"/>
          <w:numId w:val="1"/>
        </w:numPr>
        <w:spacing w:after="0"/>
        <w:ind w:left="578" w:hanging="578"/>
        <w:rPr>
          <w:rFonts w:cs="Arial"/>
        </w:rPr>
      </w:pPr>
      <w:bookmarkStart w:id="23" w:name="_Toc169851491"/>
      <w:r>
        <w:rPr>
          <w:rFonts w:cs="Arial"/>
        </w:rPr>
        <w:t>Alternativa 3: modificar la decisión de pago horario entre el despacho y el redespacho</w:t>
      </w:r>
      <w:bookmarkEnd w:id="23"/>
    </w:p>
    <w:p w14:paraId="036E9CE9" w14:textId="77777777" w:rsidR="00C92A22" w:rsidRDefault="00C92A22" w:rsidP="00C92A22"/>
    <w:p w14:paraId="45863DD5" w14:textId="77777777" w:rsidR="00C92A22" w:rsidRDefault="00C92A22" w:rsidP="00C92A22">
      <w:r>
        <w:t>Esta alternativa mantiene la fórmula para estimar las cantidades máximas de desviación y tiene 1 posible cambio que se puede combinar con los cambios de la alternativa 2:</w:t>
      </w:r>
    </w:p>
    <w:p w14:paraId="49FEEE25" w14:textId="77777777" w:rsidR="00C92A22" w:rsidRDefault="00C92A22" w:rsidP="00C92A22"/>
    <w:p w14:paraId="5402CC25" w14:textId="77777777" w:rsidR="00C92A22" w:rsidRDefault="00C92A22" w:rsidP="00C92A22">
      <w:pPr>
        <w:pStyle w:val="Prrafodelista"/>
        <w:numPr>
          <w:ilvl w:val="0"/>
          <w:numId w:val="19"/>
        </w:numPr>
      </w:pPr>
      <m:oMath>
        <m:r>
          <m:rPr>
            <m:sty m:val="p"/>
          </m:rPr>
          <w:rPr>
            <w:rFonts w:ascii="Cambria Math" w:hAnsi="Cambria Math"/>
          </w:rPr>
          <m:t>min</m:t>
        </m:r>
        <m:d>
          <m:dPr>
            <m:ctrlPr>
              <w:rPr>
                <w:rFonts w:ascii="Cambria Math" w:hAnsi="Cambria Math"/>
              </w:rPr>
            </m:ctrlPr>
          </m:dPr>
          <m:e>
            <m:sSub>
              <m:sSubPr>
                <m:ctrlPr>
                  <w:rPr>
                    <w:rFonts w:ascii="Cambria Math" w:hAnsi="Cambria Math"/>
                    <w:i/>
                  </w:rPr>
                </m:ctrlPr>
              </m:sSubPr>
              <m:e>
                <m:r>
                  <w:rPr>
                    <w:rFonts w:ascii="Cambria Math" w:hAnsi="Cambria Math"/>
                  </w:rPr>
                  <m:t>Pago</m:t>
                </m:r>
              </m:e>
              <m:sub>
                <m:r>
                  <w:rPr>
                    <w:rFonts w:ascii="Cambria Math" w:hAnsi="Cambria Math"/>
                  </w:rPr>
                  <m:t>Despacho</m:t>
                </m:r>
              </m:sub>
            </m:sSub>
            <m:r>
              <w:rPr>
                <w:rFonts w:ascii="Cambria Math" w:hAnsi="Cambria Math"/>
              </w:rPr>
              <m:t>,</m:t>
            </m:r>
            <m:sSub>
              <m:sSubPr>
                <m:ctrlPr>
                  <w:rPr>
                    <w:rFonts w:ascii="Cambria Math" w:hAnsi="Cambria Math"/>
                    <w:i/>
                  </w:rPr>
                </m:ctrlPr>
              </m:sSubPr>
              <m:e>
                <m:r>
                  <w:rPr>
                    <w:rFonts w:ascii="Cambria Math" w:hAnsi="Cambria Math"/>
                  </w:rPr>
                  <m:t>Pago</m:t>
                </m:r>
              </m:e>
              <m:sub>
                <m:r>
                  <w:rPr>
                    <w:rFonts w:ascii="Cambria Math" w:hAnsi="Cambria Math"/>
                  </w:rPr>
                  <m:t>Redespacho</m:t>
                </m:r>
              </m:sub>
            </m:sSub>
          </m:e>
        </m:d>
      </m:oMath>
    </w:p>
    <w:p w14:paraId="0A5E84F5" w14:textId="77777777" w:rsidR="00C92A22" w:rsidRDefault="00C92A22" w:rsidP="00C92A22"/>
    <w:p w14:paraId="671F527D" w14:textId="77777777" w:rsidR="00C92A22" w:rsidRDefault="00C92A22" w:rsidP="00C92A22">
      <w:pPr>
        <w:pStyle w:val="Ttulo2"/>
        <w:numPr>
          <w:ilvl w:val="1"/>
          <w:numId w:val="1"/>
        </w:numPr>
        <w:spacing w:after="0"/>
        <w:ind w:left="578" w:hanging="578"/>
        <w:rPr>
          <w:rFonts w:cs="Arial"/>
        </w:rPr>
      </w:pPr>
      <w:bookmarkStart w:id="24" w:name="_Toc169851492"/>
      <w:r>
        <w:rPr>
          <w:rFonts w:cs="Arial"/>
        </w:rPr>
        <w:t xml:space="preserve">Alternativa 4: </w:t>
      </w:r>
      <w:r w:rsidRPr="00F83BFB">
        <w:rPr>
          <w:rFonts w:cs="Arial"/>
        </w:rPr>
        <w:t>modificar la fórmula de pago horario por desviaciones en el despacho y el redespacho</w:t>
      </w:r>
      <w:r>
        <w:rPr>
          <w:rFonts w:cs="Arial"/>
        </w:rPr>
        <w:t xml:space="preserve"> y la fórmula para determinar las cantidades máximas de desviación para plantas entre cero y dos meses de operación comercial</w:t>
      </w:r>
      <w:bookmarkEnd w:id="24"/>
    </w:p>
    <w:p w14:paraId="37AC7B0C" w14:textId="77777777" w:rsidR="00C92A22" w:rsidRDefault="00C92A22" w:rsidP="00C92A22"/>
    <w:p w14:paraId="6EF95BF0" w14:textId="77777777" w:rsidR="00C92A22" w:rsidRDefault="00C92A22" w:rsidP="00C92A22">
      <w:r>
        <w:t>Para esta alternativa se propone cambiar los límites máximos de desviación diaria frente al despacho durante los dos primeros meses en que las plantas variables entren en operación comercial y</w:t>
      </w:r>
      <w:r w:rsidRPr="006217E5">
        <w:t xml:space="preserve"> se tienen 2 posibles cambios en la fórmula de pago horario que se pueden combinar con la decisión de pago horario de la alternativa actual</w:t>
      </w:r>
      <w:r>
        <w:t xml:space="preserve"> (mismas opciones alternativa 2). Para las plantas restantes se mantiene la decisión de despacho de la Resolución CREG 060 de 2019.</w:t>
      </w:r>
    </w:p>
    <w:p w14:paraId="6F490B8F" w14:textId="77777777" w:rsidR="00C92A22" w:rsidRDefault="00C92A22" w:rsidP="00C92A22"/>
    <w:p w14:paraId="604D5313" w14:textId="77777777" w:rsidR="00C92A22" w:rsidRDefault="00C92A22" w:rsidP="00C92A22">
      <w:pPr>
        <w:keepNext/>
      </w:pPr>
      <w:r>
        <w:rPr>
          <w:noProof/>
        </w:rPr>
        <w:drawing>
          <wp:inline distT="0" distB="0" distL="0" distR="0" wp14:anchorId="51E6536E" wp14:editId="0C1B930F">
            <wp:extent cx="5972810" cy="1383665"/>
            <wp:effectExtent l="0" t="0" r="8890" b="6985"/>
            <wp:docPr id="1655728316"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28316" name="Imagen 1" descr="Imagen que contiene Gráfico&#10;&#10;Descripción generada automáticamente"/>
                    <pic:cNvPicPr/>
                  </pic:nvPicPr>
                  <pic:blipFill>
                    <a:blip r:embed="rId26"/>
                    <a:stretch>
                      <a:fillRect/>
                    </a:stretch>
                  </pic:blipFill>
                  <pic:spPr>
                    <a:xfrm>
                      <a:off x="0" y="0"/>
                      <a:ext cx="5972810" cy="1383665"/>
                    </a:xfrm>
                    <a:prstGeom prst="rect">
                      <a:avLst/>
                    </a:prstGeom>
                  </pic:spPr>
                </pic:pic>
              </a:graphicData>
            </a:graphic>
          </wp:inline>
        </w:drawing>
      </w:r>
    </w:p>
    <w:p w14:paraId="1178EFEC" w14:textId="3AA67C78" w:rsidR="00C92A22" w:rsidRDefault="00C92A22" w:rsidP="00C92A22">
      <w:pPr>
        <w:pStyle w:val="Descripcin"/>
      </w:pPr>
      <w:r>
        <w:t xml:space="preserve">Ilustración </w:t>
      </w:r>
      <w:r>
        <w:fldChar w:fldCharType="begin"/>
      </w:r>
      <w:r>
        <w:instrText xml:space="preserve"> SEQ Ilustración \* ARABIC </w:instrText>
      </w:r>
      <w:r>
        <w:fldChar w:fldCharType="separate"/>
      </w:r>
      <w:r w:rsidR="00287B4B">
        <w:rPr>
          <w:noProof/>
        </w:rPr>
        <w:t>10</w:t>
      </w:r>
      <w:r>
        <w:fldChar w:fldCharType="end"/>
      </w:r>
      <w:r>
        <w:t>. Curvas de desviación para plantas variables dentro de sus dos primeros meses de operación comercial</w:t>
      </w:r>
    </w:p>
    <w:p w14:paraId="6798F96A" w14:textId="77777777" w:rsidR="00C92A22" w:rsidRDefault="00C92A22" w:rsidP="00FC4C63">
      <w:pPr>
        <w:rPr>
          <w:i/>
          <w:sz w:val="22"/>
        </w:rPr>
      </w:pPr>
    </w:p>
    <w:p w14:paraId="22F42155" w14:textId="02F00AFD" w:rsidR="00FC4C63" w:rsidRPr="00FC4C63" w:rsidRDefault="00FC4C63" w:rsidP="00FC4C63">
      <w:pPr>
        <w:pStyle w:val="Ttulo2"/>
        <w:numPr>
          <w:ilvl w:val="1"/>
          <w:numId w:val="1"/>
        </w:numPr>
        <w:spacing w:after="0"/>
        <w:ind w:left="578" w:hanging="578"/>
        <w:rPr>
          <w:rFonts w:cs="Arial"/>
        </w:rPr>
      </w:pPr>
      <w:bookmarkStart w:id="25" w:name="_Toc169851493"/>
      <w:r w:rsidRPr="00FC4C63">
        <w:rPr>
          <w:rFonts w:cs="Arial"/>
        </w:rPr>
        <w:t>Alternativa 5. Marcha blanca. Extender el período de no pago de desviaciones para las plantas variables</w:t>
      </w:r>
      <w:bookmarkEnd w:id="25"/>
    </w:p>
    <w:p w14:paraId="7C64421A" w14:textId="77777777" w:rsidR="00FC4C63" w:rsidRDefault="00FC4C63" w:rsidP="00FC4C63">
      <w:pPr>
        <w:rPr>
          <w:iCs/>
          <w:sz w:val="22"/>
          <w:lang w:val="es-CO"/>
        </w:rPr>
      </w:pPr>
    </w:p>
    <w:p w14:paraId="0C8076F7" w14:textId="01C5216D" w:rsidR="00FC4C63" w:rsidRDefault="00FC4C63" w:rsidP="00FC4C63">
      <w:pPr>
        <w:rPr>
          <w:iCs/>
          <w:sz w:val="22"/>
          <w:lang w:val="es-CO"/>
        </w:rPr>
      </w:pPr>
      <w:r>
        <w:rPr>
          <w:iCs/>
          <w:sz w:val="22"/>
          <w:lang w:val="es-CO"/>
        </w:rPr>
        <w:t xml:space="preserve">En esta alternativa se propone extender por un período de tres (3) meses el no pago de desviaciones para las plantas variables, mientras se finaliza el estudio mencionado en el numeral </w:t>
      </w:r>
      <w:r>
        <w:rPr>
          <w:iCs/>
          <w:sz w:val="22"/>
          <w:lang w:val="es-CO"/>
        </w:rPr>
        <w:fldChar w:fldCharType="begin"/>
      </w:r>
      <w:r>
        <w:rPr>
          <w:iCs/>
          <w:sz w:val="22"/>
          <w:lang w:val="es-CO"/>
        </w:rPr>
        <w:instrText xml:space="preserve"> REF _Ref169774225 \r \h </w:instrText>
      </w:r>
      <w:r>
        <w:rPr>
          <w:iCs/>
          <w:sz w:val="22"/>
          <w:lang w:val="es-CO"/>
        </w:rPr>
      </w:r>
      <w:r>
        <w:rPr>
          <w:iCs/>
          <w:sz w:val="22"/>
          <w:lang w:val="es-CO"/>
        </w:rPr>
        <w:fldChar w:fldCharType="separate"/>
      </w:r>
      <w:r w:rsidR="00287B4B">
        <w:rPr>
          <w:iCs/>
          <w:sz w:val="22"/>
          <w:lang w:val="es-CO"/>
        </w:rPr>
        <w:t>2.1</w:t>
      </w:r>
      <w:r>
        <w:rPr>
          <w:iCs/>
          <w:sz w:val="22"/>
          <w:lang w:val="es-CO"/>
        </w:rPr>
        <w:fldChar w:fldCharType="end"/>
      </w:r>
      <w:r>
        <w:rPr>
          <w:iCs/>
          <w:sz w:val="22"/>
          <w:lang w:val="es-CO"/>
        </w:rPr>
        <w:t xml:space="preserve"> y la Comisión </w:t>
      </w:r>
      <w:r w:rsidR="00B26C77">
        <w:rPr>
          <w:iCs/>
          <w:sz w:val="22"/>
          <w:lang w:val="es-CO"/>
        </w:rPr>
        <w:t xml:space="preserve">analiza </w:t>
      </w:r>
      <w:r w:rsidR="00B26C77" w:rsidRPr="00B26C77">
        <w:rPr>
          <w:iCs/>
          <w:sz w:val="22"/>
          <w:lang w:val="es-CO"/>
        </w:rPr>
        <w:t>la implementación de una variación en la fórmula de cálculo de las desviaciones y su pago correspondiente</w:t>
      </w:r>
      <w:r w:rsidR="00B26C77">
        <w:rPr>
          <w:iCs/>
          <w:sz w:val="22"/>
          <w:lang w:val="es-CO"/>
        </w:rPr>
        <w:t xml:space="preserve"> entre las alternativas planteadas por el estudio y las presentadas en esta sección</w:t>
      </w:r>
      <w:r w:rsidR="00D9103A">
        <w:rPr>
          <w:iCs/>
          <w:sz w:val="22"/>
          <w:lang w:val="es-CO"/>
        </w:rPr>
        <w:t xml:space="preserve"> que disminuya el impacto de las desviaciones tanto para el sistema como para los agentes.</w:t>
      </w:r>
    </w:p>
    <w:p w14:paraId="5CD5F65D" w14:textId="77777777" w:rsidR="00FC4C63" w:rsidRPr="00FC4C63" w:rsidRDefault="00FC4C63" w:rsidP="00FC4C63">
      <w:pPr>
        <w:rPr>
          <w:iCs/>
          <w:sz w:val="22"/>
          <w:lang w:val="es-CO"/>
        </w:rPr>
      </w:pPr>
    </w:p>
    <w:p w14:paraId="4D5C2F00" w14:textId="77777777" w:rsidR="00FC4C63" w:rsidRDefault="00FC4C63" w:rsidP="00FC4C63">
      <w:pPr>
        <w:rPr>
          <w:i/>
          <w:sz w:val="22"/>
          <w:lang w:val="es-CO"/>
        </w:rPr>
      </w:pPr>
    </w:p>
    <w:p w14:paraId="26BF2799" w14:textId="77777777" w:rsidR="00BC7D69" w:rsidRDefault="00BC7D69" w:rsidP="00FC4C63">
      <w:pPr>
        <w:rPr>
          <w:i/>
          <w:sz w:val="22"/>
          <w:lang w:val="es-CO"/>
        </w:rPr>
      </w:pPr>
    </w:p>
    <w:p w14:paraId="68061341" w14:textId="77777777" w:rsidR="00BC7D69" w:rsidRPr="00FC4C63" w:rsidRDefault="00BC7D69" w:rsidP="00FC4C63">
      <w:pPr>
        <w:rPr>
          <w:i/>
          <w:sz w:val="22"/>
          <w:lang w:val="es-CO"/>
        </w:rPr>
      </w:pPr>
    </w:p>
    <w:p w14:paraId="72A538B0" w14:textId="77777777" w:rsidR="00C92A22" w:rsidRPr="00ED509A" w:rsidRDefault="00C92A22" w:rsidP="00C92A22">
      <w:pPr>
        <w:pStyle w:val="Ttulo2"/>
        <w:numPr>
          <w:ilvl w:val="1"/>
          <w:numId w:val="1"/>
        </w:numPr>
        <w:spacing w:after="0"/>
        <w:ind w:left="578" w:hanging="578"/>
        <w:rPr>
          <w:rFonts w:cs="Arial"/>
        </w:rPr>
      </w:pPr>
      <w:bookmarkStart w:id="26" w:name="_Toc164320918"/>
      <w:bookmarkStart w:id="27" w:name="_Toc169851494"/>
      <w:r w:rsidRPr="00ED509A">
        <w:rPr>
          <w:rFonts w:cs="Arial"/>
        </w:rPr>
        <w:lastRenderedPageBreak/>
        <w:t>Propuesta</w:t>
      </w:r>
      <w:bookmarkEnd w:id="26"/>
      <w:bookmarkEnd w:id="27"/>
    </w:p>
    <w:p w14:paraId="477CA854" w14:textId="77777777" w:rsidR="00C92A22" w:rsidRDefault="00C92A22" w:rsidP="00C92A22"/>
    <w:p w14:paraId="3C75FE9E" w14:textId="4DF69105" w:rsidR="002F6BC4" w:rsidRDefault="00C92A22" w:rsidP="00C92A22">
      <w:pPr>
        <w:rPr>
          <w:lang w:val="es-ES"/>
        </w:rPr>
      </w:pPr>
      <w:r w:rsidRPr="341D7B9C">
        <w:rPr>
          <w:lang w:val="es-ES"/>
        </w:rPr>
        <w:t>Teniendo en cuenta la situación actual de las plantas variables, en particular las solares fotovoltaicas, en cuanto</w:t>
      </w:r>
      <w:r w:rsidR="00D85861">
        <w:rPr>
          <w:lang w:val="es-ES"/>
        </w:rPr>
        <w:t xml:space="preserve"> a</w:t>
      </w:r>
      <w:r w:rsidRPr="341D7B9C">
        <w:rPr>
          <w:lang w:val="es-ES"/>
        </w:rPr>
        <w:t xml:space="preserve"> </w:t>
      </w:r>
      <w:r w:rsidR="00D85861">
        <w:rPr>
          <w:lang w:val="es-ES"/>
        </w:rPr>
        <w:t xml:space="preserve">sus pronósticos de generación y </w:t>
      </w:r>
      <w:r w:rsidRPr="341D7B9C">
        <w:rPr>
          <w:lang w:val="es-ES"/>
        </w:rPr>
        <w:t xml:space="preserve">al </w:t>
      </w:r>
      <w:r w:rsidR="00667E0B">
        <w:rPr>
          <w:lang w:val="es-ES"/>
        </w:rPr>
        <w:t xml:space="preserve">impacto en sus finanzas por el </w:t>
      </w:r>
      <w:r w:rsidRPr="341D7B9C">
        <w:rPr>
          <w:lang w:val="es-ES"/>
        </w:rPr>
        <w:t xml:space="preserve">pago </w:t>
      </w:r>
      <w:r w:rsidR="006B3EF0">
        <w:rPr>
          <w:lang w:val="es-ES"/>
        </w:rPr>
        <w:t>asociado</w:t>
      </w:r>
      <w:r w:rsidRPr="341D7B9C">
        <w:rPr>
          <w:lang w:val="es-ES"/>
        </w:rPr>
        <w:t xml:space="preserve"> por sus desviaciones</w:t>
      </w:r>
      <w:r w:rsidR="006B3EF0">
        <w:rPr>
          <w:lang w:val="es-ES"/>
        </w:rPr>
        <w:t xml:space="preserve"> establecido en la Resolución CREG 060 de 2019</w:t>
      </w:r>
      <w:r w:rsidRPr="341D7B9C">
        <w:rPr>
          <w:lang w:val="es-ES"/>
        </w:rPr>
        <w:t xml:space="preserve">, </w:t>
      </w:r>
      <w:r w:rsidR="00D85861">
        <w:rPr>
          <w:lang w:val="es-ES"/>
        </w:rPr>
        <w:t>se recomienda</w:t>
      </w:r>
      <w:r w:rsidR="00295CD9">
        <w:rPr>
          <w:lang w:val="es-ES"/>
        </w:rPr>
        <w:t xml:space="preserve"> seguir</w:t>
      </w:r>
      <w:r w:rsidR="00B85E63">
        <w:rPr>
          <w:lang w:val="es-ES"/>
        </w:rPr>
        <w:t xml:space="preserve"> </w:t>
      </w:r>
      <w:r w:rsidR="005A6C51">
        <w:rPr>
          <w:lang w:val="es-ES"/>
        </w:rPr>
        <w:t>por</w:t>
      </w:r>
      <w:r w:rsidR="00B85E63">
        <w:rPr>
          <w:lang w:val="es-ES"/>
        </w:rPr>
        <w:t xml:space="preserve"> tres (3) meses</w:t>
      </w:r>
      <w:r w:rsidR="005A6C51">
        <w:rPr>
          <w:lang w:val="es-ES"/>
        </w:rPr>
        <w:t xml:space="preserve"> más</w:t>
      </w:r>
      <w:r w:rsidR="00A82A8F">
        <w:rPr>
          <w:lang w:val="es-ES"/>
        </w:rPr>
        <w:t xml:space="preserve"> con la medida</w:t>
      </w:r>
      <w:r w:rsidR="00BC1E2B">
        <w:rPr>
          <w:lang w:val="es-ES"/>
        </w:rPr>
        <w:t xml:space="preserve"> transitoria</w:t>
      </w:r>
      <w:r w:rsidR="00A82A8F">
        <w:rPr>
          <w:lang w:val="es-ES"/>
        </w:rPr>
        <w:t xml:space="preserve"> de no pago de desviaciones</w:t>
      </w:r>
      <w:r w:rsidR="00655991">
        <w:rPr>
          <w:lang w:val="es-ES"/>
        </w:rPr>
        <w:t>. Lo anterior aplica</w:t>
      </w:r>
      <w:r w:rsidR="00A82A8F">
        <w:rPr>
          <w:lang w:val="es-ES"/>
        </w:rPr>
        <w:t xml:space="preserve"> mientras se tienen los resultados del estudio </w:t>
      </w:r>
      <w:r w:rsidR="00BC1E2B">
        <w:rPr>
          <w:lang w:val="es-ES"/>
        </w:rPr>
        <w:t xml:space="preserve">para </w:t>
      </w:r>
      <w:r w:rsidR="002015B8">
        <w:rPr>
          <w:lang w:val="es-ES"/>
        </w:rPr>
        <w:t>analizar las desviaciones en el programa de generación de las plantas variables</w:t>
      </w:r>
      <w:r w:rsidR="005A6C51">
        <w:rPr>
          <w:lang w:val="es-ES"/>
        </w:rPr>
        <w:t xml:space="preserve"> y </w:t>
      </w:r>
      <w:r w:rsidR="00CF22A6">
        <w:rPr>
          <w:lang w:val="es-ES"/>
        </w:rPr>
        <w:t>las posibles alternativas de tolerancias máximas de desviación diaria u horaria en cuanto a las cantidades</w:t>
      </w:r>
      <w:r w:rsidR="000217DB">
        <w:rPr>
          <w:lang w:val="es-ES"/>
        </w:rPr>
        <w:t xml:space="preserve"> de generación de energía</w:t>
      </w:r>
      <w:r w:rsidR="00CF22A6">
        <w:rPr>
          <w:lang w:val="es-ES"/>
        </w:rPr>
        <w:t xml:space="preserve"> p</w:t>
      </w:r>
      <w:r w:rsidR="000217DB">
        <w:rPr>
          <w:lang w:val="es-ES"/>
        </w:rPr>
        <w:t>rogramada frente a la generación real</w:t>
      </w:r>
      <w:r w:rsidR="00A0364E">
        <w:rPr>
          <w:lang w:val="es-ES"/>
        </w:rPr>
        <w:t>, así como las alternativas de pago por esas desviaciones. C</w:t>
      </w:r>
      <w:r w:rsidR="005A6C51">
        <w:rPr>
          <w:lang w:val="es-ES"/>
        </w:rPr>
        <w:t xml:space="preserve">on </w:t>
      </w:r>
      <w:r w:rsidR="00A0364E">
        <w:rPr>
          <w:lang w:val="es-ES"/>
        </w:rPr>
        <w:t>estos resultados</w:t>
      </w:r>
      <w:r w:rsidR="008B4A97">
        <w:rPr>
          <w:lang w:val="es-ES"/>
        </w:rPr>
        <w:t xml:space="preserve"> y con las alternativas propuestas en la sección </w:t>
      </w:r>
      <w:r w:rsidR="008B4A97">
        <w:rPr>
          <w:lang w:val="es-ES"/>
        </w:rPr>
        <w:fldChar w:fldCharType="begin"/>
      </w:r>
      <w:r w:rsidR="008B4A97">
        <w:rPr>
          <w:lang w:val="es-ES"/>
        </w:rPr>
        <w:instrText xml:space="preserve"> REF _Ref169775201 \r \h </w:instrText>
      </w:r>
      <w:r w:rsidR="008B4A97">
        <w:rPr>
          <w:lang w:val="es-ES"/>
        </w:rPr>
      </w:r>
      <w:r w:rsidR="008B4A97">
        <w:rPr>
          <w:lang w:val="es-ES"/>
        </w:rPr>
        <w:fldChar w:fldCharType="separate"/>
      </w:r>
      <w:r w:rsidR="00287B4B">
        <w:rPr>
          <w:lang w:val="es-ES"/>
        </w:rPr>
        <w:t>4</w:t>
      </w:r>
      <w:r w:rsidR="008B4A97">
        <w:rPr>
          <w:lang w:val="es-ES"/>
        </w:rPr>
        <w:fldChar w:fldCharType="end"/>
      </w:r>
      <w:r w:rsidR="0069525D">
        <w:rPr>
          <w:lang w:val="es-ES"/>
        </w:rPr>
        <w:t>,</w:t>
      </w:r>
      <w:r w:rsidR="005A6C51">
        <w:rPr>
          <w:lang w:val="es-ES"/>
        </w:rPr>
        <w:t xml:space="preserve"> la Comisión </w:t>
      </w:r>
      <w:r w:rsidR="005B680C">
        <w:rPr>
          <w:lang w:val="es-ES"/>
        </w:rPr>
        <w:t>contará con</w:t>
      </w:r>
      <w:r w:rsidR="005A6C51">
        <w:rPr>
          <w:lang w:val="es-ES"/>
        </w:rPr>
        <w:t xml:space="preserve"> </w:t>
      </w:r>
      <w:r w:rsidR="005B680C">
        <w:rPr>
          <w:lang w:val="es-ES"/>
        </w:rPr>
        <w:t xml:space="preserve">más </w:t>
      </w:r>
      <w:r w:rsidR="005A6C51">
        <w:rPr>
          <w:lang w:val="es-ES"/>
        </w:rPr>
        <w:t xml:space="preserve">elementos de juicio </w:t>
      </w:r>
      <w:r w:rsidR="00E33E21">
        <w:rPr>
          <w:lang w:val="es-ES"/>
        </w:rPr>
        <w:t>para</w:t>
      </w:r>
      <w:r w:rsidR="005B680C">
        <w:rPr>
          <w:lang w:val="es-ES"/>
        </w:rPr>
        <w:t xml:space="preserve"> </w:t>
      </w:r>
      <w:r w:rsidR="00E33E21">
        <w:rPr>
          <w:lang w:val="es-ES"/>
        </w:rPr>
        <w:t xml:space="preserve">proponer la variación de las cantidades permitidas de desviación de las </w:t>
      </w:r>
      <w:proofErr w:type="gramStart"/>
      <w:r w:rsidR="00E33E21">
        <w:rPr>
          <w:lang w:val="es-ES"/>
        </w:rPr>
        <w:t>plantas</w:t>
      </w:r>
      <w:proofErr w:type="gramEnd"/>
      <w:r w:rsidR="00E33E21">
        <w:rPr>
          <w:lang w:val="es-ES"/>
        </w:rPr>
        <w:t xml:space="preserve"> </w:t>
      </w:r>
      <w:r w:rsidR="00B367F0">
        <w:rPr>
          <w:lang w:val="es-ES"/>
        </w:rPr>
        <w:t xml:space="preserve">así como su </w:t>
      </w:r>
      <w:r w:rsidR="00FD6699">
        <w:rPr>
          <w:lang w:val="es-ES"/>
        </w:rPr>
        <w:t>pago asociado.</w:t>
      </w:r>
    </w:p>
    <w:p w14:paraId="771FD667" w14:textId="77777777" w:rsidR="002F6BC4" w:rsidRDefault="002F6BC4" w:rsidP="00C92A22">
      <w:pPr>
        <w:rPr>
          <w:lang w:val="es-ES"/>
        </w:rPr>
      </w:pPr>
    </w:p>
    <w:p w14:paraId="14528A0A" w14:textId="0C68699C" w:rsidR="00C92A22" w:rsidRDefault="00E32F59" w:rsidP="00C92A22">
      <w:r>
        <w:rPr>
          <w:lang w:val="es-ES"/>
        </w:rPr>
        <w:t>A la espera de los resultados de</w:t>
      </w:r>
      <w:r w:rsidR="00D5141B">
        <w:rPr>
          <w:lang w:val="es-ES"/>
        </w:rPr>
        <w:t xml:space="preserve">l estudio y, si pasados los tres (3) meses no se cuenta con </w:t>
      </w:r>
      <w:r w:rsidR="00335B1F">
        <w:rPr>
          <w:lang w:val="es-ES"/>
        </w:rPr>
        <w:t>la propuesta definitiva, s</w:t>
      </w:r>
      <w:r w:rsidR="00C92A22" w:rsidRPr="341D7B9C">
        <w:rPr>
          <w:lang w:val="es-ES"/>
        </w:rPr>
        <w:t>e recomienda usar la alternativa 2.a. Uno de los objetivos planteados es que las plantas tengan el mejor pronóstico posible tanto para el despacho como para el redespacho. En este sentido, la fórmula de pago de la alternativa 2.a. busca que los agentes oferten un precio cercano a sus costos de producción marginal y que no se vean castigados cuando la bolsa presenta precios altos como durante un fenómeno de El Niño. Se compara el precio de bolsa con el valor de tres (3) veces el CERE porque este es un valor cercano al percentil 50 histórico del precio de bolsa. Asimismo, al dejar la decisión de pago horario definida en la Resolución CREG 060 de 2019, se busca asegurar que los agentes realicen buenos pronósticos en las dos etapas de evaluación.</w:t>
      </w:r>
    </w:p>
    <w:p w14:paraId="3D866E36" w14:textId="77777777" w:rsidR="00C92A22" w:rsidRDefault="00C92A22" w:rsidP="00C92A22"/>
    <w:p w14:paraId="693ED984" w14:textId="77777777" w:rsidR="00C92A22" w:rsidRDefault="00C92A22" w:rsidP="00C92A22">
      <w:r w:rsidRPr="341D7B9C">
        <w:rPr>
          <w:lang w:val="es-ES"/>
        </w:rPr>
        <w:t>Adicionalmente, para incentivar el aumento del parque de generación, se recomienda hacer uso de la alternativa 4, para que las plantas variables que entren en operación comercial tengan la oportunidad, durante de dos (2) meses, de continuar ajustando sus pronósticos de despacho.</w:t>
      </w:r>
    </w:p>
    <w:p w14:paraId="2B2B9D3B" w14:textId="77777777" w:rsidR="00C92A22" w:rsidRDefault="00C92A22" w:rsidP="00C92A22"/>
    <w:p w14:paraId="433BB913" w14:textId="1CA83AB9" w:rsidR="00C92A22" w:rsidRDefault="00C92A22" w:rsidP="00C92A22">
      <w:r w:rsidRPr="341D7B9C">
        <w:rPr>
          <w:lang w:val="es-ES"/>
        </w:rPr>
        <w:t>Las medidas propuestas en el presente documento estarán vigentes de manera transitoria en cuanto se tengan resultados del estudio y se analice su ámbito de aplicación.</w:t>
      </w:r>
    </w:p>
    <w:p w14:paraId="6537E32B" w14:textId="77777777" w:rsidR="00C92A22" w:rsidRDefault="00C92A22" w:rsidP="00C92A22">
      <w:pPr>
        <w:rPr>
          <w:rFonts w:cs="Arial"/>
          <w:iCs/>
          <w:szCs w:val="24"/>
          <w:highlight w:val="yellow"/>
        </w:rPr>
      </w:pPr>
    </w:p>
    <w:p w14:paraId="2C12DD96" w14:textId="77777777" w:rsidR="00C92A22" w:rsidRPr="00D962F4" w:rsidRDefault="00C92A22" w:rsidP="00C92A22">
      <w:pPr>
        <w:pStyle w:val="Ttulo1"/>
        <w:numPr>
          <w:ilvl w:val="0"/>
          <w:numId w:val="1"/>
        </w:numPr>
        <w:spacing w:after="0"/>
        <w:rPr>
          <w:rFonts w:cs="Arial"/>
          <w:szCs w:val="24"/>
        </w:rPr>
      </w:pPr>
      <w:bookmarkStart w:id="28" w:name="_Toc164320919"/>
      <w:bookmarkStart w:id="29" w:name="_Toc169851495"/>
      <w:r>
        <w:rPr>
          <w:rFonts w:cs="Arial"/>
          <w:szCs w:val="24"/>
        </w:rPr>
        <w:t>ANALISIS DE IMPACTO</w:t>
      </w:r>
      <w:bookmarkEnd w:id="28"/>
      <w:bookmarkEnd w:id="29"/>
    </w:p>
    <w:p w14:paraId="6ACB8BB9" w14:textId="77777777" w:rsidR="00C92A22" w:rsidRDefault="00C92A22" w:rsidP="00C92A22">
      <w:pPr>
        <w:rPr>
          <w:rFonts w:cs="Arial"/>
          <w:iCs/>
          <w:szCs w:val="24"/>
          <w:highlight w:val="yellow"/>
        </w:rPr>
      </w:pPr>
    </w:p>
    <w:p w14:paraId="5C5436E0" w14:textId="0FC2CD28" w:rsidR="00006A64" w:rsidRDefault="00006A64" w:rsidP="00006A64">
      <w:pPr>
        <w:rPr>
          <w:rFonts w:cs="Arial"/>
          <w:iCs/>
          <w:szCs w:val="24"/>
        </w:rPr>
      </w:pPr>
      <w:r>
        <w:rPr>
          <w:rFonts w:cs="Arial"/>
          <w:iCs/>
          <w:szCs w:val="24"/>
        </w:rPr>
        <w:t>El impacto de la alternativa 5 se estima cualitativamente de la siguiente forma:</w:t>
      </w:r>
    </w:p>
    <w:p w14:paraId="25CA08C4" w14:textId="77777777" w:rsidR="00006A64" w:rsidRDefault="00006A64" w:rsidP="00006A64">
      <w:pPr>
        <w:rPr>
          <w:rFonts w:cs="Arial"/>
          <w:iCs/>
          <w:szCs w:val="24"/>
        </w:rPr>
      </w:pPr>
    </w:p>
    <w:p w14:paraId="52BF156D" w14:textId="77777777" w:rsidR="00006A64" w:rsidRPr="00816421" w:rsidRDefault="00006A64" w:rsidP="00006A64">
      <w:pPr>
        <w:pStyle w:val="Prrafodelista"/>
        <w:numPr>
          <w:ilvl w:val="0"/>
          <w:numId w:val="23"/>
        </w:numPr>
        <w:ind w:left="708"/>
        <w:rPr>
          <w:rFonts w:cs="Arial"/>
          <w:iCs/>
          <w:szCs w:val="24"/>
        </w:rPr>
      </w:pPr>
      <w:r w:rsidRPr="00816421">
        <w:rPr>
          <w:rFonts w:cs="Arial"/>
          <w:iCs/>
          <w:szCs w:val="24"/>
        </w:rPr>
        <w:t>El Control Automático de Generación o AGC se encarga de balancear la generación y la demanda</w:t>
      </w:r>
      <w:r>
        <w:rPr>
          <w:rFonts w:cs="Arial"/>
          <w:iCs/>
          <w:szCs w:val="24"/>
        </w:rPr>
        <w:t xml:space="preserve"> del sistema</w:t>
      </w:r>
      <w:r w:rsidRPr="00816421">
        <w:rPr>
          <w:rFonts w:cs="Arial"/>
          <w:iCs/>
          <w:szCs w:val="24"/>
        </w:rPr>
        <w:t>, esto utilizando la reserva de regulación secundaria de frecuencia</w:t>
      </w:r>
      <w:r>
        <w:rPr>
          <w:rFonts w:cs="Arial"/>
          <w:iCs/>
          <w:szCs w:val="24"/>
        </w:rPr>
        <w:t xml:space="preserve"> (o reserva de AGC)</w:t>
      </w:r>
      <w:r w:rsidRPr="00816421">
        <w:rPr>
          <w:rFonts w:cs="Arial"/>
          <w:iCs/>
          <w:szCs w:val="24"/>
        </w:rPr>
        <w:t>. Y</w:t>
      </w:r>
      <w:r>
        <w:rPr>
          <w:rFonts w:cs="Arial"/>
          <w:iCs/>
          <w:szCs w:val="24"/>
        </w:rPr>
        <w:t xml:space="preserve"> l</w:t>
      </w:r>
      <w:r w:rsidRPr="00816421">
        <w:rPr>
          <w:rFonts w:cs="Arial"/>
          <w:iCs/>
          <w:szCs w:val="24"/>
        </w:rPr>
        <w:t>as desviaciones autorizadas ayudan a recuperar el margen de regulación secundaria del sistema</w:t>
      </w:r>
      <w:r>
        <w:rPr>
          <w:rFonts w:cs="Arial"/>
          <w:iCs/>
          <w:szCs w:val="24"/>
        </w:rPr>
        <w:t>.</w:t>
      </w:r>
    </w:p>
    <w:p w14:paraId="07A5E8B8" w14:textId="77777777" w:rsidR="00006A64" w:rsidRPr="0057371F" w:rsidRDefault="00006A64" w:rsidP="00006A64">
      <w:pPr>
        <w:ind w:left="708"/>
        <w:rPr>
          <w:rFonts w:cs="Arial"/>
          <w:iCs/>
          <w:szCs w:val="24"/>
        </w:rPr>
      </w:pPr>
    </w:p>
    <w:p w14:paraId="02DD8076" w14:textId="77777777" w:rsidR="00006A64" w:rsidRDefault="00006A64" w:rsidP="00006A64">
      <w:pPr>
        <w:pStyle w:val="Prrafodelista"/>
        <w:ind w:left="720"/>
        <w:rPr>
          <w:rFonts w:cs="Arial"/>
          <w:iCs/>
          <w:szCs w:val="24"/>
        </w:rPr>
      </w:pPr>
      <w:r>
        <w:rPr>
          <w:rFonts w:cs="Arial"/>
          <w:iCs/>
          <w:szCs w:val="24"/>
        </w:rPr>
        <w:lastRenderedPageBreak/>
        <w:t>Es así como, al permitir desviaciones del programa de generación, probablemente se aumentaría la reserva de regulación secundaria de frecuencia de que trata la Resolución CREG 025 de 1995, 064 de 2000 y 027 de 2016, pues debe tenerse un balance entre generación y demanda en todo momento, lo cual sería perturbado a medida que se tengan más desviaciones.</w:t>
      </w:r>
    </w:p>
    <w:p w14:paraId="0695E964" w14:textId="77777777" w:rsidR="00006A64" w:rsidRDefault="00006A64" w:rsidP="00006A64">
      <w:pPr>
        <w:pStyle w:val="Prrafodelista"/>
        <w:ind w:left="720"/>
        <w:rPr>
          <w:rFonts w:cs="Arial"/>
          <w:iCs/>
          <w:szCs w:val="24"/>
        </w:rPr>
      </w:pPr>
    </w:p>
    <w:p w14:paraId="40274F7D" w14:textId="77777777" w:rsidR="00006A64" w:rsidRDefault="00006A64" w:rsidP="00006A64">
      <w:pPr>
        <w:pStyle w:val="Prrafodelista"/>
        <w:ind w:left="720"/>
        <w:rPr>
          <w:rFonts w:cs="Arial"/>
          <w:iCs/>
          <w:szCs w:val="24"/>
        </w:rPr>
      </w:pPr>
      <w:r>
        <w:rPr>
          <w:rFonts w:cs="Arial"/>
          <w:iCs/>
          <w:szCs w:val="24"/>
        </w:rPr>
        <w:t>Ahora bien, la Resolución CREG 027 de 2016 indica que la reserva o holgura para regulación secundaria de frecuencia lo determina el CND. XM SA ESP genera un informe anual de dicho programa de reserva y su actualización. El más actual se encuentra en el siguiente enlace:</w:t>
      </w:r>
    </w:p>
    <w:p w14:paraId="3F2134AF" w14:textId="77777777" w:rsidR="00006A64" w:rsidRDefault="00006A64" w:rsidP="00006A64">
      <w:pPr>
        <w:pStyle w:val="Prrafodelista"/>
        <w:ind w:left="720"/>
        <w:rPr>
          <w:rFonts w:cs="Arial"/>
          <w:iCs/>
          <w:szCs w:val="24"/>
        </w:rPr>
      </w:pPr>
    </w:p>
    <w:p w14:paraId="77EEF6A9" w14:textId="77777777" w:rsidR="00006A64" w:rsidRDefault="00000000" w:rsidP="00006A64">
      <w:pPr>
        <w:pStyle w:val="Prrafodelista"/>
        <w:ind w:left="720"/>
        <w:rPr>
          <w:rFonts w:cs="Arial"/>
          <w:iCs/>
          <w:szCs w:val="24"/>
        </w:rPr>
      </w:pPr>
      <w:hyperlink r:id="rId27" w:history="1">
        <w:r w:rsidR="00006A64" w:rsidRPr="00274DA1">
          <w:rPr>
            <w:rStyle w:val="Hipervnculo"/>
            <w:rFonts w:cs="Arial"/>
            <w:iCs/>
            <w:szCs w:val="24"/>
          </w:rPr>
          <w:t>https://www.xm.com.co/operaci%C3%B3n/planeaci%C3%B3n/planeaci%C3%B3n-controles/par%C3%A1metros-requeridos-para-la-regulaci%C3%B3n-secundaria-de-frecuencia</w:t>
        </w:r>
      </w:hyperlink>
      <w:r w:rsidR="00006A64">
        <w:rPr>
          <w:rFonts w:cs="Arial"/>
          <w:iCs/>
          <w:szCs w:val="24"/>
        </w:rPr>
        <w:t xml:space="preserve"> </w:t>
      </w:r>
    </w:p>
    <w:p w14:paraId="2579B07A" w14:textId="77777777" w:rsidR="00006A64" w:rsidRDefault="00006A64" w:rsidP="00006A64">
      <w:pPr>
        <w:pStyle w:val="Prrafodelista"/>
        <w:ind w:left="720"/>
        <w:rPr>
          <w:rFonts w:cs="Arial"/>
          <w:iCs/>
          <w:szCs w:val="24"/>
        </w:rPr>
      </w:pPr>
    </w:p>
    <w:p w14:paraId="4873EE32" w14:textId="128C0B26" w:rsidR="00006A64" w:rsidRDefault="00006A64" w:rsidP="00006A64">
      <w:pPr>
        <w:pStyle w:val="Prrafodelista"/>
        <w:ind w:left="720"/>
        <w:rPr>
          <w:rFonts w:cs="Arial"/>
          <w:iCs/>
          <w:szCs w:val="24"/>
        </w:rPr>
      </w:pPr>
      <w:r>
        <w:rPr>
          <w:rFonts w:cs="Arial"/>
          <w:iCs/>
          <w:szCs w:val="24"/>
        </w:rPr>
        <w:t xml:space="preserve">De allí se observa que la reserva de AGC se calcula con el histórico de desviaciones del programa de generación; no obstante, dado que la propuesta aplica hacia adelante, se </w:t>
      </w:r>
      <w:r w:rsidR="005E4346">
        <w:rPr>
          <w:rFonts w:cs="Arial"/>
          <w:iCs/>
          <w:szCs w:val="24"/>
        </w:rPr>
        <w:t>cuenta con pocos</w:t>
      </w:r>
      <w:r>
        <w:rPr>
          <w:rFonts w:cs="Arial"/>
          <w:iCs/>
          <w:szCs w:val="24"/>
        </w:rPr>
        <w:t xml:space="preserve"> </w:t>
      </w:r>
      <w:r w:rsidR="005E4346">
        <w:rPr>
          <w:rFonts w:cs="Arial"/>
          <w:iCs/>
          <w:szCs w:val="24"/>
        </w:rPr>
        <w:t>datos</w:t>
      </w:r>
      <w:r>
        <w:rPr>
          <w:rFonts w:cs="Arial"/>
          <w:iCs/>
          <w:szCs w:val="24"/>
        </w:rPr>
        <w:t xml:space="preserve"> histórico</w:t>
      </w:r>
      <w:r w:rsidR="005E4346">
        <w:rPr>
          <w:rFonts w:cs="Arial"/>
          <w:iCs/>
          <w:szCs w:val="24"/>
        </w:rPr>
        <w:t>s</w:t>
      </w:r>
      <w:r>
        <w:rPr>
          <w:rFonts w:cs="Arial"/>
          <w:iCs/>
          <w:szCs w:val="24"/>
        </w:rPr>
        <w:t xml:space="preserve"> </w:t>
      </w:r>
      <w:r w:rsidR="005E4346">
        <w:rPr>
          <w:rFonts w:cs="Arial"/>
          <w:iCs/>
          <w:szCs w:val="24"/>
        </w:rPr>
        <w:t>y no</w:t>
      </w:r>
      <w:r>
        <w:rPr>
          <w:rFonts w:cs="Arial"/>
          <w:iCs/>
          <w:szCs w:val="24"/>
        </w:rPr>
        <w:t xml:space="preserve"> se conoce con certeza el valor de las desviaciones que podrían presentarse con la permisividad propuesta. Esto dependería del recurso de generación (agua, irradiación, viento, </w:t>
      </w:r>
      <w:proofErr w:type="spellStart"/>
      <w:r>
        <w:rPr>
          <w:rFonts w:cs="Arial"/>
          <w:iCs/>
          <w:szCs w:val="24"/>
        </w:rPr>
        <w:t>etc</w:t>
      </w:r>
      <w:proofErr w:type="spellEnd"/>
      <w:r>
        <w:rPr>
          <w:rFonts w:cs="Arial"/>
          <w:iCs/>
          <w:szCs w:val="24"/>
        </w:rPr>
        <w:t>) que se tenga disponible y del comportamiento del agente.</w:t>
      </w:r>
    </w:p>
    <w:p w14:paraId="2285BEA5" w14:textId="77777777" w:rsidR="00006A64" w:rsidRDefault="00006A64" w:rsidP="00006A64">
      <w:pPr>
        <w:pStyle w:val="Prrafodelista"/>
        <w:ind w:left="720"/>
        <w:rPr>
          <w:rFonts w:cs="Arial"/>
          <w:iCs/>
          <w:szCs w:val="24"/>
        </w:rPr>
      </w:pPr>
    </w:p>
    <w:p w14:paraId="7FEF888B" w14:textId="77777777" w:rsidR="00006A64" w:rsidRDefault="00006A64" w:rsidP="00006A64">
      <w:pPr>
        <w:pStyle w:val="Prrafodelista"/>
        <w:ind w:left="720"/>
        <w:rPr>
          <w:rFonts w:cs="Arial"/>
          <w:iCs/>
          <w:szCs w:val="24"/>
        </w:rPr>
      </w:pPr>
      <w:r>
        <w:rPr>
          <w:rFonts w:cs="Arial"/>
          <w:iCs/>
          <w:szCs w:val="24"/>
        </w:rPr>
        <w:t>Actualmente la reserva de AGC publicada en el informe de CND, es de 300 MW mínimo en una hora y máximo 397:</w:t>
      </w:r>
    </w:p>
    <w:p w14:paraId="23563D13" w14:textId="77777777" w:rsidR="00006A64" w:rsidRDefault="00006A64" w:rsidP="00006A64">
      <w:pPr>
        <w:pStyle w:val="Prrafodelista"/>
        <w:ind w:left="720"/>
        <w:rPr>
          <w:rFonts w:cs="Arial"/>
          <w:iCs/>
          <w:szCs w:val="24"/>
        </w:rPr>
      </w:pPr>
    </w:p>
    <w:p w14:paraId="3E71D00E" w14:textId="77777777" w:rsidR="00006A64" w:rsidRDefault="00006A64" w:rsidP="00006A64">
      <w:pPr>
        <w:pStyle w:val="Prrafodelista"/>
        <w:ind w:left="720"/>
        <w:rPr>
          <w:rFonts w:cs="Arial"/>
          <w:iCs/>
          <w:szCs w:val="24"/>
        </w:rPr>
      </w:pPr>
    </w:p>
    <w:p w14:paraId="2F476DDF" w14:textId="77777777" w:rsidR="00006A64" w:rsidRDefault="00006A64" w:rsidP="00006A64">
      <w:pPr>
        <w:pStyle w:val="Prrafodelista"/>
        <w:ind w:left="720"/>
        <w:rPr>
          <w:rFonts w:cs="Arial"/>
          <w:iCs/>
          <w:szCs w:val="24"/>
        </w:rPr>
      </w:pPr>
    </w:p>
    <w:p w14:paraId="624ED41C" w14:textId="77777777" w:rsidR="00006A64" w:rsidRDefault="00006A64" w:rsidP="00006A64">
      <w:pPr>
        <w:pStyle w:val="Prrafodelista"/>
        <w:ind w:left="720"/>
        <w:rPr>
          <w:rFonts w:cs="Arial"/>
          <w:iCs/>
          <w:szCs w:val="24"/>
        </w:rPr>
      </w:pPr>
      <w:r>
        <w:rPr>
          <w:noProof/>
        </w:rPr>
        <w:drawing>
          <wp:inline distT="0" distB="0" distL="0" distR="0" wp14:anchorId="747188CE" wp14:editId="429A4265">
            <wp:extent cx="5391150" cy="633916"/>
            <wp:effectExtent l="0" t="0" r="0" b="0"/>
            <wp:docPr id="15480033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03311" name=""/>
                    <pic:cNvPicPr/>
                  </pic:nvPicPr>
                  <pic:blipFill>
                    <a:blip r:embed="rId28"/>
                    <a:stretch>
                      <a:fillRect/>
                    </a:stretch>
                  </pic:blipFill>
                  <pic:spPr>
                    <a:xfrm>
                      <a:off x="0" y="0"/>
                      <a:ext cx="5400491" cy="635014"/>
                    </a:xfrm>
                    <a:prstGeom prst="rect">
                      <a:avLst/>
                    </a:prstGeom>
                  </pic:spPr>
                </pic:pic>
              </a:graphicData>
            </a:graphic>
          </wp:inline>
        </w:drawing>
      </w:r>
    </w:p>
    <w:p w14:paraId="32151AFD" w14:textId="480458A9" w:rsidR="00AE4130" w:rsidRDefault="00006A64" w:rsidP="00077D89">
      <w:pPr>
        <w:pStyle w:val="Descripcin"/>
      </w:pPr>
      <w:bookmarkStart w:id="30" w:name="_Toc164320927"/>
      <w:r w:rsidRPr="00077D89">
        <w:t xml:space="preserve">Ilustración </w:t>
      </w:r>
      <w:r w:rsidRPr="00077D89">
        <w:fldChar w:fldCharType="begin"/>
      </w:r>
      <w:r w:rsidRPr="00077D89">
        <w:instrText xml:space="preserve"> SEQ Ilustración \* ARABIC </w:instrText>
      </w:r>
      <w:r w:rsidRPr="00077D89">
        <w:fldChar w:fldCharType="separate"/>
      </w:r>
      <w:r w:rsidR="00287B4B">
        <w:rPr>
          <w:noProof/>
        </w:rPr>
        <w:t>11</w:t>
      </w:r>
      <w:r w:rsidRPr="00077D89">
        <w:fldChar w:fldCharType="end"/>
      </w:r>
      <w:r w:rsidRPr="00077D89">
        <w:t>. Reserva de AGC. Fuente:</w:t>
      </w:r>
    </w:p>
    <w:p w14:paraId="052C16AF" w14:textId="1581DD57" w:rsidR="00006A64" w:rsidRDefault="00000000" w:rsidP="00077D89">
      <w:pPr>
        <w:pStyle w:val="Descripcin"/>
        <w:rPr>
          <w:rFonts w:cs="Arial"/>
          <w:szCs w:val="24"/>
        </w:rPr>
      </w:pPr>
      <w:hyperlink r:id="rId29" w:history="1">
        <w:r w:rsidR="00006A64" w:rsidRPr="00077D89">
          <w:t>https://www.xm.com.co/operaci%C3%B3n/planeaci%C3%B3n/planeaci%C3%B3n-controles/par%C3%A1metros-requeridos-para-la-regulaci%C3%B3n-secundaria-de-frecuencia</w:t>
        </w:r>
        <w:bookmarkEnd w:id="30"/>
      </w:hyperlink>
      <w:r w:rsidR="00006A64">
        <w:rPr>
          <w:rFonts w:cs="Arial"/>
          <w:szCs w:val="24"/>
        </w:rPr>
        <w:t xml:space="preserve"> </w:t>
      </w:r>
    </w:p>
    <w:p w14:paraId="076EE941" w14:textId="77777777" w:rsidR="00006A64" w:rsidRDefault="00006A64" w:rsidP="00006A64">
      <w:pPr>
        <w:pStyle w:val="Prrafodelista"/>
        <w:ind w:left="720"/>
        <w:rPr>
          <w:rFonts w:cs="Arial"/>
          <w:iCs/>
          <w:szCs w:val="24"/>
        </w:rPr>
      </w:pPr>
    </w:p>
    <w:p w14:paraId="44F72680" w14:textId="77777777" w:rsidR="00006A64" w:rsidRDefault="00006A64" w:rsidP="00006A64">
      <w:pPr>
        <w:ind w:left="708" w:firstLine="2"/>
        <w:rPr>
          <w:rFonts w:cs="Arial"/>
          <w:iCs/>
          <w:szCs w:val="24"/>
        </w:rPr>
      </w:pPr>
      <w:r>
        <w:rPr>
          <w:rFonts w:cs="Arial"/>
          <w:iCs/>
          <w:szCs w:val="24"/>
        </w:rPr>
        <w:t>Otro efecto de que se incremente la reserva de AGC es que conforme la Resolución CREG 63 de 2000</w:t>
      </w:r>
      <w:r>
        <w:rPr>
          <w:rStyle w:val="Refdenotaalpie"/>
          <w:rFonts w:cs="Arial"/>
          <w:iCs/>
          <w:szCs w:val="24"/>
        </w:rPr>
        <w:footnoteReference w:id="2"/>
      </w:r>
      <w:r>
        <w:rPr>
          <w:rFonts w:cs="Arial"/>
          <w:iCs/>
          <w:szCs w:val="24"/>
        </w:rPr>
        <w:t>, p</w:t>
      </w:r>
      <w:r w:rsidRPr="00392491">
        <w:rPr>
          <w:rFonts w:cs="Arial"/>
          <w:iCs/>
          <w:szCs w:val="24"/>
        </w:rPr>
        <w:t xml:space="preserve">ara cada agente y para cada enlace internacional, se totalizan los </w:t>
      </w:r>
      <w:r>
        <w:rPr>
          <w:rFonts w:cs="Arial"/>
          <w:iCs/>
          <w:szCs w:val="24"/>
        </w:rPr>
        <w:t>c</w:t>
      </w:r>
      <w:r w:rsidRPr="00392491">
        <w:rPr>
          <w:rFonts w:cs="Arial"/>
          <w:iCs/>
          <w:szCs w:val="24"/>
        </w:rPr>
        <w:t xml:space="preserve">ostos </w:t>
      </w:r>
      <w:r>
        <w:rPr>
          <w:rFonts w:cs="Arial"/>
          <w:iCs/>
          <w:szCs w:val="24"/>
        </w:rPr>
        <w:t>h</w:t>
      </w:r>
      <w:r w:rsidRPr="00392491">
        <w:rPr>
          <w:rFonts w:cs="Arial"/>
          <w:iCs/>
          <w:szCs w:val="24"/>
        </w:rPr>
        <w:t xml:space="preserve">orarios de </w:t>
      </w:r>
      <w:r>
        <w:rPr>
          <w:rFonts w:cs="Arial"/>
          <w:iCs/>
          <w:szCs w:val="24"/>
        </w:rPr>
        <w:t>r</w:t>
      </w:r>
      <w:r w:rsidRPr="00392491">
        <w:rPr>
          <w:rFonts w:cs="Arial"/>
          <w:iCs/>
          <w:szCs w:val="24"/>
        </w:rPr>
        <w:t xml:space="preserve">econciliación </w:t>
      </w:r>
      <w:r>
        <w:rPr>
          <w:rFonts w:cs="Arial"/>
          <w:iCs/>
          <w:szCs w:val="24"/>
        </w:rPr>
        <w:t>p</w:t>
      </w:r>
      <w:r w:rsidRPr="00392491">
        <w:rPr>
          <w:rFonts w:cs="Arial"/>
          <w:iCs/>
          <w:szCs w:val="24"/>
        </w:rPr>
        <w:t>ositiva</w:t>
      </w:r>
      <w:r>
        <w:rPr>
          <w:rStyle w:val="Refdenotaalpie"/>
          <w:rFonts w:cs="Arial"/>
          <w:iCs/>
          <w:szCs w:val="24"/>
        </w:rPr>
        <w:footnoteReference w:id="3"/>
      </w:r>
      <w:r>
        <w:rPr>
          <w:rFonts w:cs="Arial"/>
          <w:iCs/>
          <w:szCs w:val="24"/>
        </w:rPr>
        <w:t xml:space="preserve"> (Resolución CREG 034 de 2001)</w:t>
      </w:r>
      <w:r w:rsidRPr="00392491">
        <w:rPr>
          <w:rFonts w:cs="Arial"/>
          <w:iCs/>
          <w:szCs w:val="24"/>
        </w:rPr>
        <w:t xml:space="preserve"> y la asignación de los costos de prestación del servicio de regulación </w:t>
      </w:r>
      <w:r w:rsidRPr="00392491">
        <w:rPr>
          <w:rFonts w:cs="Arial"/>
          <w:iCs/>
          <w:szCs w:val="24"/>
        </w:rPr>
        <w:lastRenderedPageBreak/>
        <w:t xml:space="preserve">secundaria de frecuencia (AGC). </w:t>
      </w:r>
      <w:r>
        <w:rPr>
          <w:rFonts w:cs="Arial"/>
          <w:iCs/>
          <w:szCs w:val="24"/>
        </w:rPr>
        <w:t>Luego, l</w:t>
      </w:r>
      <w:r w:rsidRPr="00392491">
        <w:rPr>
          <w:rFonts w:cs="Arial"/>
          <w:iCs/>
          <w:szCs w:val="24"/>
        </w:rPr>
        <w:t>os costos horarios de reconciliación negativa</w:t>
      </w:r>
      <w:r>
        <w:rPr>
          <w:rStyle w:val="Refdenotaalpie"/>
          <w:rFonts w:cs="Arial"/>
          <w:iCs/>
          <w:szCs w:val="24"/>
        </w:rPr>
        <w:footnoteReference w:id="4"/>
      </w:r>
      <w:r w:rsidRPr="00392491">
        <w:rPr>
          <w:rFonts w:cs="Arial"/>
          <w:iCs/>
          <w:szCs w:val="24"/>
        </w:rPr>
        <w:t xml:space="preserve"> se asignan entre dichos agentes y los enlaces internacionales, en proporción al total de </w:t>
      </w:r>
      <w:r>
        <w:rPr>
          <w:rFonts w:cs="Arial"/>
          <w:iCs/>
          <w:szCs w:val="24"/>
        </w:rPr>
        <w:t>c</w:t>
      </w:r>
      <w:r w:rsidRPr="00392491">
        <w:rPr>
          <w:rFonts w:cs="Arial"/>
          <w:iCs/>
          <w:szCs w:val="24"/>
        </w:rPr>
        <w:t xml:space="preserve">ostos que se les haya asignado por concepto de </w:t>
      </w:r>
      <w:r>
        <w:rPr>
          <w:rFonts w:cs="Arial"/>
          <w:iCs/>
          <w:szCs w:val="24"/>
        </w:rPr>
        <w:t>r</w:t>
      </w:r>
      <w:r w:rsidRPr="00392491">
        <w:rPr>
          <w:rFonts w:cs="Arial"/>
          <w:iCs/>
          <w:szCs w:val="24"/>
        </w:rPr>
        <w:t xml:space="preserve">econciliación </w:t>
      </w:r>
      <w:r>
        <w:rPr>
          <w:rFonts w:cs="Arial"/>
          <w:iCs/>
          <w:szCs w:val="24"/>
        </w:rPr>
        <w:t>p</w:t>
      </w:r>
      <w:r w:rsidRPr="00392491">
        <w:rPr>
          <w:rFonts w:cs="Arial"/>
          <w:iCs/>
          <w:szCs w:val="24"/>
        </w:rPr>
        <w:t>ositiva y de AGC</w:t>
      </w:r>
      <w:r>
        <w:rPr>
          <w:rFonts w:cs="Arial"/>
          <w:iCs/>
          <w:szCs w:val="24"/>
        </w:rPr>
        <w:t>.</w:t>
      </w:r>
    </w:p>
    <w:p w14:paraId="588CC5B4" w14:textId="77777777" w:rsidR="00006A64" w:rsidRDefault="00006A64" w:rsidP="00006A64">
      <w:pPr>
        <w:ind w:left="708" w:firstLine="2"/>
        <w:rPr>
          <w:rFonts w:cs="Arial"/>
          <w:iCs/>
          <w:szCs w:val="24"/>
        </w:rPr>
      </w:pPr>
    </w:p>
    <w:p w14:paraId="2B8975FD" w14:textId="77777777" w:rsidR="00006A64" w:rsidRDefault="00006A64" w:rsidP="00006A64">
      <w:pPr>
        <w:ind w:left="708" w:firstLine="2"/>
        <w:rPr>
          <w:rFonts w:cs="Arial"/>
          <w:iCs/>
          <w:szCs w:val="24"/>
        </w:rPr>
      </w:pPr>
      <w:r>
        <w:rPr>
          <w:rFonts w:cs="Arial"/>
          <w:iCs/>
          <w:szCs w:val="24"/>
        </w:rPr>
        <w:t>Lo anterior significa que, si los costos de AGC son grandes, los alivios de la reconciliación negativa son en menor proporción para la reconciliación positiva, generando un incremento de las restricciones.</w:t>
      </w:r>
      <w:r w:rsidRPr="00E80711">
        <w:rPr>
          <w:rFonts w:cs="Arial"/>
          <w:iCs/>
          <w:szCs w:val="24"/>
        </w:rPr>
        <w:t xml:space="preserve"> </w:t>
      </w:r>
      <w:r>
        <w:rPr>
          <w:rFonts w:cs="Arial"/>
          <w:iCs/>
          <w:szCs w:val="24"/>
        </w:rPr>
        <w:t>Es decir, el efecto en las restricciones es indirecto.</w:t>
      </w:r>
    </w:p>
    <w:p w14:paraId="53803E74" w14:textId="77777777" w:rsidR="00006A64" w:rsidRDefault="00006A64" w:rsidP="00006A64">
      <w:pPr>
        <w:ind w:left="708" w:firstLine="2"/>
        <w:rPr>
          <w:rFonts w:cs="Arial"/>
          <w:iCs/>
          <w:szCs w:val="24"/>
        </w:rPr>
      </w:pPr>
    </w:p>
    <w:p w14:paraId="79E8D648" w14:textId="77777777" w:rsidR="00006A64" w:rsidRPr="00D24330" w:rsidRDefault="00006A64" w:rsidP="00006A64">
      <w:pPr>
        <w:ind w:left="708" w:firstLine="2"/>
        <w:rPr>
          <w:rFonts w:cs="Arial"/>
          <w:iCs/>
          <w:szCs w:val="24"/>
        </w:rPr>
      </w:pPr>
      <w:r>
        <w:rPr>
          <w:rFonts w:cs="Arial"/>
          <w:iCs/>
          <w:szCs w:val="24"/>
        </w:rPr>
        <w:t>Finalmente, si la reserva de AGC se aumenta, puede aumentar las ofertas de los generadores lo cual puede derivar en un efecto del precio de bolsa. Esto es derivado de que l</w:t>
      </w:r>
      <w:r w:rsidRPr="00A23574">
        <w:rPr>
          <w:rFonts w:cs="Arial"/>
          <w:iCs/>
          <w:szCs w:val="24"/>
        </w:rPr>
        <w:t xml:space="preserve">a asignación de los </w:t>
      </w:r>
      <w:r>
        <w:rPr>
          <w:rFonts w:cs="Arial"/>
          <w:iCs/>
          <w:szCs w:val="24"/>
        </w:rPr>
        <w:t>c</w:t>
      </w:r>
      <w:r w:rsidRPr="00A23574">
        <w:rPr>
          <w:rFonts w:cs="Arial"/>
          <w:iCs/>
          <w:szCs w:val="24"/>
        </w:rPr>
        <w:t xml:space="preserve">ostos </w:t>
      </w:r>
      <w:r>
        <w:rPr>
          <w:rFonts w:cs="Arial"/>
          <w:iCs/>
          <w:szCs w:val="24"/>
        </w:rPr>
        <w:t>h</w:t>
      </w:r>
      <w:r w:rsidRPr="00A23574">
        <w:rPr>
          <w:rFonts w:cs="Arial"/>
          <w:iCs/>
          <w:szCs w:val="24"/>
        </w:rPr>
        <w:t>orarios por concepto de AGC se realiza entre los generadores despachados centralmente</w:t>
      </w:r>
      <w:r>
        <w:rPr>
          <w:rFonts w:cs="Arial"/>
          <w:iCs/>
          <w:szCs w:val="24"/>
        </w:rPr>
        <w:t xml:space="preserve">. </w:t>
      </w:r>
    </w:p>
    <w:p w14:paraId="5EF810A4" w14:textId="77777777" w:rsidR="00A93EB7" w:rsidRDefault="00A93EB7" w:rsidP="00C92A22">
      <w:pPr>
        <w:rPr>
          <w:rFonts w:cs="Arial"/>
          <w:iCs/>
          <w:szCs w:val="24"/>
          <w:highlight w:val="yellow"/>
        </w:rPr>
      </w:pPr>
    </w:p>
    <w:p w14:paraId="20D0867B" w14:textId="77777777" w:rsidR="00B26466" w:rsidRDefault="00B26466" w:rsidP="00B26466">
      <w:pPr>
        <w:pStyle w:val="Prrafodelista"/>
        <w:numPr>
          <w:ilvl w:val="0"/>
          <w:numId w:val="23"/>
        </w:numPr>
        <w:rPr>
          <w:rFonts w:cs="Arial"/>
          <w:iCs/>
          <w:szCs w:val="24"/>
        </w:rPr>
      </w:pPr>
      <w:r>
        <w:rPr>
          <w:rFonts w:cs="Arial"/>
          <w:iCs/>
          <w:szCs w:val="24"/>
        </w:rPr>
        <w:t xml:space="preserve">Al permitir desviarse del programa de generación de la Res. CREG 060 de 2019, se recaudaría un menor valor para el alivio del componente de restricciones. </w:t>
      </w:r>
    </w:p>
    <w:p w14:paraId="7AC3D0C1" w14:textId="77777777" w:rsidR="00B26466" w:rsidRDefault="00B26466" w:rsidP="00B26466">
      <w:pPr>
        <w:pStyle w:val="Prrafodelista"/>
        <w:ind w:left="720"/>
        <w:rPr>
          <w:rFonts w:cs="Arial"/>
          <w:iCs/>
          <w:szCs w:val="24"/>
        </w:rPr>
      </w:pPr>
    </w:p>
    <w:p w14:paraId="452C8588" w14:textId="77777777" w:rsidR="00B26466" w:rsidRDefault="00B26466" w:rsidP="00B26466">
      <w:pPr>
        <w:pStyle w:val="Prrafodelista"/>
        <w:ind w:left="720"/>
        <w:rPr>
          <w:rFonts w:cs="Arial"/>
          <w:iCs/>
          <w:szCs w:val="24"/>
        </w:rPr>
      </w:pPr>
      <w:r>
        <w:rPr>
          <w:rFonts w:cs="Arial"/>
          <w:iCs/>
          <w:szCs w:val="24"/>
        </w:rPr>
        <w:t>De los informes mensuales de XM SA ESP</w:t>
      </w:r>
      <w:r>
        <w:rPr>
          <w:rStyle w:val="Refdenotaalpie"/>
          <w:rFonts w:cs="Arial"/>
          <w:iCs/>
          <w:szCs w:val="24"/>
        </w:rPr>
        <w:footnoteReference w:id="5"/>
      </w:r>
      <w:r>
        <w:rPr>
          <w:rFonts w:cs="Arial"/>
          <w:iCs/>
          <w:szCs w:val="24"/>
        </w:rPr>
        <w:t xml:space="preserve"> se tendría que el a</w:t>
      </w:r>
      <w:r w:rsidRPr="00F87ECA">
        <w:rPr>
          <w:rFonts w:cs="Arial"/>
          <w:iCs/>
          <w:szCs w:val="24"/>
        </w:rPr>
        <w:t xml:space="preserve">livio desviaciones </w:t>
      </w:r>
      <w:r>
        <w:rPr>
          <w:rFonts w:cs="Arial"/>
          <w:iCs/>
          <w:szCs w:val="24"/>
        </w:rPr>
        <w:t xml:space="preserve">que se dejaría de percibir debido a la </w:t>
      </w:r>
      <w:r w:rsidRPr="00F87ECA">
        <w:rPr>
          <w:rFonts w:cs="Arial"/>
          <w:iCs/>
          <w:szCs w:val="24"/>
        </w:rPr>
        <w:t>Res</w:t>
      </w:r>
      <w:r>
        <w:rPr>
          <w:rFonts w:cs="Arial"/>
          <w:iCs/>
          <w:szCs w:val="24"/>
        </w:rPr>
        <w:t>olución</w:t>
      </w:r>
      <w:r w:rsidRPr="00F87ECA">
        <w:rPr>
          <w:rFonts w:cs="Arial"/>
          <w:iCs/>
          <w:szCs w:val="24"/>
        </w:rPr>
        <w:t xml:space="preserve"> CREG 060 de 201</w:t>
      </w:r>
      <w:r>
        <w:rPr>
          <w:rFonts w:cs="Arial"/>
          <w:iCs/>
          <w:szCs w:val="24"/>
        </w:rPr>
        <w:t xml:space="preserve">9 tendría un menor valor. Para los meses de enero y febrero de 2024 son del orden de -0,0047 COP/kWh y -0,0183 COP/kWh. </w:t>
      </w:r>
    </w:p>
    <w:p w14:paraId="580B9157" w14:textId="77777777" w:rsidR="00B26466" w:rsidRDefault="00B26466" w:rsidP="00B26466">
      <w:pPr>
        <w:pStyle w:val="Prrafodelista"/>
        <w:rPr>
          <w:rFonts w:cs="Arial"/>
          <w:iCs/>
          <w:szCs w:val="24"/>
        </w:rPr>
      </w:pPr>
    </w:p>
    <w:p w14:paraId="4ED395C4" w14:textId="77777777" w:rsidR="00B26466" w:rsidRDefault="00B26466" w:rsidP="00B26466">
      <w:pPr>
        <w:pStyle w:val="Prrafodelista"/>
        <w:ind w:left="720"/>
        <w:rPr>
          <w:rFonts w:cs="Arial"/>
          <w:iCs/>
          <w:szCs w:val="24"/>
        </w:rPr>
      </w:pPr>
      <w:r>
        <w:rPr>
          <w:rFonts w:cs="Arial"/>
          <w:iCs/>
          <w:szCs w:val="24"/>
        </w:rPr>
        <w:t xml:space="preserve">Actualmente se tienen dos plantas despachadas centralmente solares que les aplicaría esta medida: el Paso Solar (68 MW) y Portón Del Sol (102 MW). </w:t>
      </w:r>
    </w:p>
    <w:p w14:paraId="26254DE8" w14:textId="77777777" w:rsidR="00B26466" w:rsidRDefault="00B26466" w:rsidP="00B26466">
      <w:pPr>
        <w:pStyle w:val="Prrafodelista"/>
        <w:ind w:left="720"/>
        <w:rPr>
          <w:rFonts w:cs="Arial"/>
          <w:iCs/>
          <w:szCs w:val="24"/>
        </w:rPr>
      </w:pPr>
    </w:p>
    <w:p w14:paraId="002A7E9F" w14:textId="77777777" w:rsidR="00B26466" w:rsidRDefault="00B26466" w:rsidP="00B26466">
      <w:pPr>
        <w:pStyle w:val="Prrafodelista"/>
        <w:ind w:left="720"/>
        <w:rPr>
          <w:rFonts w:cs="Arial"/>
          <w:iCs/>
          <w:szCs w:val="24"/>
        </w:rPr>
      </w:pPr>
      <w:r>
        <w:rPr>
          <w:rFonts w:cs="Arial"/>
          <w:iCs/>
          <w:szCs w:val="24"/>
        </w:rPr>
        <w:t>No se cuenta con plantas eólicas despachadas centralmente que les aplique la medida.</w:t>
      </w:r>
    </w:p>
    <w:p w14:paraId="79485C38" w14:textId="77777777" w:rsidR="00B26466" w:rsidRDefault="00B26466" w:rsidP="00B26466">
      <w:pPr>
        <w:pStyle w:val="Prrafodelista"/>
        <w:ind w:left="720"/>
        <w:rPr>
          <w:rFonts w:cs="Arial"/>
          <w:iCs/>
          <w:szCs w:val="24"/>
        </w:rPr>
      </w:pPr>
    </w:p>
    <w:p w14:paraId="6806D4F7" w14:textId="77777777" w:rsidR="00B26466" w:rsidRDefault="00B26466" w:rsidP="00B26466">
      <w:pPr>
        <w:pStyle w:val="Prrafodelista"/>
        <w:ind w:left="720"/>
        <w:rPr>
          <w:rFonts w:cs="Arial"/>
          <w:iCs/>
          <w:szCs w:val="24"/>
        </w:rPr>
      </w:pPr>
      <w:r>
        <w:rPr>
          <w:rFonts w:cs="Arial"/>
          <w:iCs/>
          <w:szCs w:val="24"/>
        </w:rPr>
        <w:t>Finalmente, las plantas filo de agua que les aplicaría la medida son las siguientes:</w:t>
      </w:r>
    </w:p>
    <w:p w14:paraId="69250349" w14:textId="77777777" w:rsidR="00B26466" w:rsidRDefault="00B26466" w:rsidP="00B26466">
      <w:pPr>
        <w:pStyle w:val="Prrafodelista"/>
        <w:ind w:left="720"/>
        <w:rPr>
          <w:rFonts w:cs="Arial"/>
          <w:iCs/>
          <w:szCs w:val="24"/>
        </w:rPr>
      </w:pPr>
    </w:p>
    <w:tbl>
      <w:tblPr>
        <w:tblStyle w:val="Tablaconcuadrcula"/>
        <w:tblW w:w="0" w:type="auto"/>
        <w:jc w:val="center"/>
        <w:tblLook w:val="04A0" w:firstRow="1" w:lastRow="0" w:firstColumn="1" w:lastColumn="0" w:noHBand="0" w:noVBand="1"/>
      </w:tblPr>
      <w:tblGrid>
        <w:gridCol w:w="2677"/>
        <w:gridCol w:w="1996"/>
      </w:tblGrid>
      <w:tr w:rsidR="00B26466" w14:paraId="439AAEB2" w14:textId="77777777" w:rsidTr="00A468F9">
        <w:trPr>
          <w:jc w:val="center"/>
        </w:trPr>
        <w:tc>
          <w:tcPr>
            <w:tcW w:w="2677" w:type="dxa"/>
          </w:tcPr>
          <w:p w14:paraId="4BFBF584" w14:textId="77777777" w:rsidR="00B26466" w:rsidRPr="00EE291C" w:rsidRDefault="00B26466" w:rsidP="00A468F9">
            <w:pPr>
              <w:pStyle w:val="Prrafodelista"/>
              <w:ind w:left="0"/>
              <w:rPr>
                <w:rFonts w:cs="Arial"/>
                <w:b/>
                <w:bCs/>
                <w:iCs/>
                <w:szCs w:val="24"/>
              </w:rPr>
            </w:pPr>
            <w:r w:rsidRPr="00EE291C">
              <w:rPr>
                <w:rFonts w:cs="Arial"/>
                <w:b/>
                <w:bCs/>
                <w:iCs/>
                <w:szCs w:val="24"/>
              </w:rPr>
              <w:t>Planta</w:t>
            </w:r>
            <w:r>
              <w:rPr>
                <w:rFonts w:cs="Arial"/>
                <w:b/>
                <w:bCs/>
                <w:iCs/>
                <w:szCs w:val="24"/>
              </w:rPr>
              <w:t>s filo de agua</w:t>
            </w:r>
          </w:p>
        </w:tc>
        <w:tc>
          <w:tcPr>
            <w:tcW w:w="1996" w:type="dxa"/>
          </w:tcPr>
          <w:p w14:paraId="1C06954F" w14:textId="77777777" w:rsidR="00B26466" w:rsidRPr="00EE291C" w:rsidRDefault="00B26466" w:rsidP="00A468F9">
            <w:pPr>
              <w:pStyle w:val="Prrafodelista"/>
              <w:ind w:left="0"/>
              <w:rPr>
                <w:rFonts w:cs="Arial"/>
                <w:b/>
                <w:bCs/>
                <w:iCs/>
                <w:szCs w:val="24"/>
              </w:rPr>
            </w:pPr>
            <w:r w:rsidRPr="00EE291C">
              <w:rPr>
                <w:rFonts w:cs="Arial"/>
                <w:b/>
                <w:bCs/>
                <w:iCs/>
                <w:szCs w:val="24"/>
              </w:rPr>
              <w:t>Capacidad</w:t>
            </w:r>
            <w:r>
              <w:rPr>
                <w:rFonts w:cs="Arial"/>
                <w:b/>
                <w:bCs/>
                <w:iCs/>
                <w:szCs w:val="24"/>
              </w:rPr>
              <w:t xml:space="preserve"> Efectiva Neta</w:t>
            </w:r>
          </w:p>
        </w:tc>
      </w:tr>
      <w:tr w:rsidR="00B26466" w14:paraId="4B077502" w14:textId="77777777" w:rsidTr="00A468F9">
        <w:trPr>
          <w:jc w:val="center"/>
        </w:trPr>
        <w:tc>
          <w:tcPr>
            <w:tcW w:w="2677" w:type="dxa"/>
          </w:tcPr>
          <w:p w14:paraId="202CC8F2" w14:textId="77777777" w:rsidR="00B26466" w:rsidRDefault="00B26466" w:rsidP="00A468F9">
            <w:pPr>
              <w:pStyle w:val="Prrafodelista"/>
              <w:ind w:left="0"/>
              <w:rPr>
                <w:rFonts w:cs="Arial"/>
                <w:iCs/>
                <w:szCs w:val="24"/>
              </w:rPr>
            </w:pPr>
            <w:r>
              <w:rPr>
                <w:rFonts w:cs="Arial"/>
                <w:iCs/>
                <w:szCs w:val="24"/>
              </w:rPr>
              <w:t>Carlos lleras</w:t>
            </w:r>
          </w:p>
        </w:tc>
        <w:tc>
          <w:tcPr>
            <w:tcW w:w="1996" w:type="dxa"/>
          </w:tcPr>
          <w:p w14:paraId="71259D10" w14:textId="77777777" w:rsidR="00B26466" w:rsidRDefault="00B26466" w:rsidP="00A468F9">
            <w:pPr>
              <w:pStyle w:val="Prrafodelista"/>
              <w:ind w:left="0"/>
              <w:rPr>
                <w:rFonts w:cs="Arial"/>
                <w:iCs/>
                <w:szCs w:val="24"/>
              </w:rPr>
            </w:pPr>
            <w:r>
              <w:rPr>
                <w:rFonts w:cs="Arial"/>
                <w:iCs/>
                <w:szCs w:val="24"/>
              </w:rPr>
              <w:t>78 MW</w:t>
            </w:r>
          </w:p>
        </w:tc>
      </w:tr>
      <w:tr w:rsidR="00B26466" w14:paraId="427900F1" w14:textId="77777777" w:rsidTr="00A468F9">
        <w:trPr>
          <w:jc w:val="center"/>
        </w:trPr>
        <w:tc>
          <w:tcPr>
            <w:tcW w:w="2677" w:type="dxa"/>
          </w:tcPr>
          <w:p w14:paraId="7820B3DA" w14:textId="77777777" w:rsidR="00B26466" w:rsidRDefault="00B26466" w:rsidP="00A468F9">
            <w:pPr>
              <w:pStyle w:val="Prrafodelista"/>
              <w:ind w:left="0"/>
              <w:rPr>
                <w:rFonts w:cs="Arial"/>
                <w:iCs/>
                <w:szCs w:val="24"/>
              </w:rPr>
            </w:pPr>
            <w:proofErr w:type="spellStart"/>
            <w:r w:rsidRPr="00B16991">
              <w:rPr>
                <w:rFonts w:cs="Arial"/>
                <w:iCs/>
                <w:szCs w:val="24"/>
              </w:rPr>
              <w:t>Amoya</w:t>
            </w:r>
            <w:proofErr w:type="spellEnd"/>
            <w:r w:rsidRPr="00B16991">
              <w:rPr>
                <w:rFonts w:cs="Arial"/>
                <w:iCs/>
                <w:szCs w:val="24"/>
              </w:rPr>
              <w:t xml:space="preserve"> la esperanza</w:t>
            </w:r>
          </w:p>
        </w:tc>
        <w:tc>
          <w:tcPr>
            <w:tcW w:w="1996" w:type="dxa"/>
          </w:tcPr>
          <w:p w14:paraId="19A0A224" w14:textId="77777777" w:rsidR="00B26466" w:rsidRDefault="00B26466" w:rsidP="00A468F9">
            <w:pPr>
              <w:pStyle w:val="Prrafodelista"/>
              <w:ind w:left="0"/>
              <w:rPr>
                <w:rFonts w:cs="Arial"/>
                <w:iCs/>
                <w:szCs w:val="24"/>
              </w:rPr>
            </w:pPr>
            <w:r>
              <w:rPr>
                <w:rFonts w:cs="Arial"/>
                <w:iCs/>
                <w:szCs w:val="24"/>
              </w:rPr>
              <w:t>80 MW</w:t>
            </w:r>
          </w:p>
        </w:tc>
      </w:tr>
      <w:tr w:rsidR="00B26466" w14:paraId="2C4F0F4E" w14:textId="77777777" w:rsidTr="00A468F9">
        <w:trPr>
          <w:jc w:val="center"/>
        </w:trPr>
        <w:tc>
          <w:tcPr>
            <w:tcW w:w="2677" w:type="dxa"/>
          </w:tcPr>
          <w:p w14:paraId="3725EA6E" w14:textId="77777777" w:rsidR="00B26466" w:rsidRPr="00B16991" w:rsidRDefault="00B26466" w:rsidP="00A468F9">
            <w:pPr>
              <w:pStyle w:val="Prrafodelista"/>
              <w:ind w:left="0"/>
              <w:rPr>
                <w:rFonts w:cs="Arial"/>
                <w:iCs/>
                <w:szCs w:val="24"/>
              </w:rPr>
            </w:pPr>
            <w:r w:rsidRPr="00B16991">
              <w:rPr>
                <w:rFonts w:cs="Arial"/>
                <w:iCs/>
                <w:szCs w:val="24"/>
              </w:rPr>
              <w:t>Cucuana</w:t>
            </w:r>
          </w:p>
        </w:tc>
        <w:tc>
          <w:tcPr>
            <w:tcW w:w="1996" w:type="dxa"/>
          </w:tcPr>
          <w:p w14:paraId="449F3F60" w14:textId="77777777" w:rsidR="00B26466" w:rsidRDefault="00B26466" w:rsidP="00A468F9">
            <w:pPr>
              <w:pStyle w:val="Prrafodelista"/>
              <w:ind w:left="0"/>
              <w:rPr>
                <w:rFonts w:cs="Arial"/>
                <w:iCs/>
                <w:szCs w:val="24"/>
              </w:rPr>
            </w:pPr>
            <w:r>
              <w:rPr>
                <w:rFonts w:cs="Arial"/>
                <w:iCs/>
                <w:szCs w:val="24"/>
              </w:rPr>
              <w:t>56 MW</w:t>
            </w:r>
          </w:p>
        </w:tc>
      </w:tr>
      <w:tr w:rsidR="00B26466" w14:paraId="6A0C35EB" w14:textId="77777777" w:rsidTr="00A468F9">
        <w:trPr>
          <w:jc w:val="center"/>
        </w:trPr>
        <w:tc>
          <w:tcPr>
            <w:tcW w:w="2677" w:type="dxa"/>
          </w:tcPr>
          <w:p w14:paraId="700AFD79" w14:textId="77777777" w:rsidR="00B26466" w:rsidRPr="00B16991" w:rsidRDefault="00B26466" w:rsidP="00A468F9">
            <w:pPr>
              <w:pStyle w:val="Prrafodelista"/>
              <w:ind w:left="0"/>
              <w:rPr>
                <w:rFonts w:cs="Arial"/>
                <w:iCs/>
                <w:szCs w:val="24"/>
              </w:rPr>
            </w:pPr>
            <w:proofErr w:type="spellStart"/>
            <w:r w:rsidRPr="00B16991">
              <w:rPr>
                <w:rFonts w:cs="Arial"/>
                <w:iCs/>
                <w:szCs w:val="24"/>
              </w:rPr>
              <w:t>Dario</w:t>
            </w:r>
            <w:proofErr w:type="spellEnd"/>
            <w:r w:rsidRPr="00B16991">
              <w:rPr>
                <w:rFonts w:cs="Arial"/>
                <w:iCs/>
                <w:szCs w:val="24"/>
              </w:rPr>
              <w:t xml:space="preserve"> Valencia Samper</w:t>
            </w:r>
          </w:p>
        </w:tc>
        <w:tc>
          <w:tcPr>
            <w:tcW w:w="1996" w:type="dxa"/>
          </w:tcPr>
          <w:p w14:paraId="70AAF880" w14:textId="77777777" w:rsidR="00B26466" w:rsidRDefault="00B26466" w:rsidP="00A468F9">
            <w:pPr>
              <w:pStyle w:val="Prrafodelista"/>
              <w:ind w:left="0"/>
              <w:rPr>
                <w:rFonts w:cs="Arial"/>
                <w:iCs/>
                <w:szCs w:val="24"/>
              </w:rPr>
            </w:pPr>
            <w:r>
              <w:rPr>
                <w:rFonts w:cs="Arial"/>
                <w:iCs/>
                <w:szCs w:val="24"/>
              </w:rPr>
              <w:t>150 MW</w:t>
            </w:r>
          </w:p>
        </w:tc>
      </w:tr>
      <w:tr w:rsidR="00B26466" w14:paraId="418379BD" w14:textId="77777777" w:rsidTr="00A468F9">
        <w:trPr>
          <w:jc w:val="center"/>
        </w:trPr>
        <w:tc>
          <w:tcPr>
            <w:tcW w:w="2677" w:type="dxa"/>
          </w:tcPr>
          <w:p w14:paraId="717D561B" w14:textId="77777777" w:rsidR="00B26466" w:rsidRPr="00B16991" w:rsidRDefault="00B26466" w:rsidP="00A468F9">
            <w:pPr>
              <w:pStyle w:val="Prrafodelista"/>
              <w:ind w:left="0"/>
              <w:rPr>
                <w:rFonts w:cs="Arial"/>
                <w:iCs/>
                <w:szCs w:val="24"/>
              </w:rPr>
            </w:pPr>
            <w:r w:rsidRPr="00B027FD">
              <w:rPr>
                <w:rFonts w:cs="Arial"/>
                <w:iCs/>
                <w:szCs w:val="24"/>
              </w:rPr>
              <w:t xml:space="preserve">Escuela </w:t>
            </w:r>
            <w:r>
              <w:rPr>
                <w:rFonts w:cs="Arial"/>
                <w:iCs/>
                <w:szCs w:val="24"/>
              </w:rPr>
              <w:t>d</w:t>
            </w:r>
            <w:r w:rsidRPr="00B027FD">
              <w:rPr>
                <w:rFonts w:cs="Arial"/>
                <w:iCs/>
                <w:szCs w:val="24"/>
              </w:rPr>
              <w:t>e Minas</w:t>
            </w:r>
          </w:p>
        </w:tc>
        <w:tc>
          <w:tcPr>
            <w:tcW w:w="1996" w:type="dxa"/>
          </w:tcPr>
          <w:p w14:paraId="705D2C90" w14:textId="77777777" w:rsidR="00B26466" w:rsidRDefault="00B26466" w:rsidP="00A468F9">
            <w:pPr>
              <w:pStyle w:val="Prrafodelista"/>
              <w:ind w:left="0"/>
              <w:rPr>
                <w:rFonts w:cs="Arial"/>
                <w:iCs/>
                <w:szCs w:val="24"/>
              </w:rPr>
            </w:pPr>
            <w:r>
              <w:rPr>
                <w:rFonts w:cs="Arial"/>
                <w:iCs/>
                <w:szCs w:val="24"/>
              </w:rPr>
              <w:t>55 MW</w:t>
            </w:r>
          </w:p>
        </w:tc>
      </w:tr>
      <w:tr w:rsidR="00B26466" w14:paraId="37195A94" w14:textId="77777777" w:rsidTr="00A468F9">
        <w:trPr>
          <w:jc w:val="center"/>
        </w:trPr>
        <w:tc>
          <w:tcPr>
            <w:tcW w:w="2677" w:type="dxa"/>
          </w:tcPr>
          <w:p w14:paraId="6BE21103" w14:textId="77777777" w:rsidR="00B26466" w:rsidRPr="00B16991" w:rsidRDefault="00B26466" w:rsidP="00A468F9">
            <w:pPr>
              <w:pStyle w:val="Prrafodelista"/>
              <w:ind w:left="0"/>
              <w:rPr>
                <w:rFonts w:cs="Arial"/>
                <w:iCs/>
                <w:szCs w:val="24"/>
              </w:rPr>
            </w:pPr>
            <w:r>
              <w:rPr>
                <w:rFonts w:cs="Arial"/>
                <w:iCs/>
                <w:szCs w:val="24"/>
              </w:rPr>
              <w:t>Esmeralda</w:t>
            </w:r>
          </w:p>
        </w:tc>
        <w:tc>
          <w:tcPr>
            <w:tcW w:w="1996" w:type="dxa"/>
          </w:tcPr>
          <w:p w14:paraId="5AB3999F" w14:textId="77777777" w:rsidR="00B26466" w:rsidRDefault="00B26466" w:rsidP="00A468F9">
            <w:pPr>
              <w:pStyle w:val="Prrafodelista"/>
              <w:ind w:left="0"/>
              <w:rPr>
                <w:rFonts w:cs="Arial"/>
                <w:iCs/>
                <w:szCs w:val="24"/>
              </w:rPr>
            </w:pPr>
            <w:r>
              <w:rPr>
                <w:rFonts w:cs="Arial"/>
                <w:iCs/>
                <w:szCs w:val="24"/>
              </w:rPr>
              <w:t>30 MW</w:t>
            </w:r>
          </w:p>
        </w:tc>
      </w:tr>
      <w:tr w:rsidR="00B26466" w14:paraId="6206197E" w14:textId="77777777" w:rsidTr="00A468F9">
        <w:trPr>
          <w:jc w:val="center"/>
        </w:trPr>
        <w:tc>
          <w:tcPr>
            <w:tcW w:w="2677" w:type="dxa"/>
          </w:tcPr>
          <w:p w14:paraId="62B4B63B" w14:textId="77777777" w:rsidR="00B26466" w:rsidRPr="00B16991" w:rsidRDefault="00B26466" w:rsidP="00A468F9">
            <w:pPr>
              <w:pStyle w:val="Prrafodelista"/>
              <w:ind w:left="0"/>
              <w:rPr>
                <w:rFonts w:cs="Arial"/>
                <w:iCs/>
                <w:szCs w:val="24"/>
              </w:rPr>
            </w:pPr>
            <w:r>
              <w:rPr>
                <w:rFonts w:cs="Arial"/>
                <w:iCs/>
                <w:szCs w:val="24"/>
              </w:rPr>
              <w:lastRenderedPageBreak/>
              <w:t>Salto II</w:t>
            </w:r>
          </w:p>
        </w:tc>
        <w:tc>
          <w:tcPr>
            <w:tcW w:w="1996" w:type="dxa"/>
          </w:tcPr>
          <w:p w14:paraId="49BFE6CD" w14:textId="77777777" w:rsidR="00B26466" w:rsidRDefault="00B26466" w:rsidP="00A468F9">
            <w:pPr>
              <w:pStyle w:val="Prrafodelista"/>
              <w:ind w:left="0"/>
              <w:rPr>
                <w:rFonts w:cs="Arial"/>
                <w:iCs/>
                <w:szCs w:val="24"/>
              </w:rPr>
            </w:pPr>
            <w:r>
              <w:rPr>
                <w:rFonts w:cs="Arial"/>
                <w:iCs/>
                <w:szCs w:val="24"/>
              </w:rPr>
              <w:t>35 MW</w:t>
            </w:r>
          </w:p>
        </w:tc>
      </w:tr>
      <w:tr w:rsidR="00B26466" w14:paraId="3F59DAB6" w14:textId="77777777" w:rsidTr="00A468F9">
        <w:trPr>
          <w:jc w:val="center"/>
        </w:trPr>
        <w:tc>
          <w:tcPr>
            <w:tcW w:w="2677" w:type="dxa"/>
          </w:tcPr>
          <w:p w14:paraId="1F0CDA81" w14:textId="77777777" w:rsidR="00B26466" w:rsidRPr="00B16991" w:rsidRDefault="00B26466" w:rsidP="00A468F9">
            <w:pPr>
              <w:pStyle w:val="Prrafodelista"/>
              <w:ind w:left="0"/>
              <w:rPr>
                <w:rFonts w:cs="Arial"/>
                <w:iCs/>
                <w:szCs w:val="24"/>
              </w:rPr>
            </w:pPr>
            <w:r>
              <w:rPr>
                <w:rFonts w:cs="Arial"/>
                <w:iCs/>
                <w:szCs w:val="24"/>
              </w:rPr>
              <w:t>San Francisco</w:t>
            </w:r>
          </w:p>
        </w:tc>
        <w:tc>
          <w:tcPr>
            <w:tcW w:w="1996" w:type="dxa"/>
          </w:tcPr>
          <w:p w14:paraId="4B2757A3" w14:textId="77777777" w:rsidR="00B26466" w:rsidRDefault="00B26466" w:rsidP="00A468F9">
            <w:pPr>
              <w:pStyle w:val="Prrafodelista"/>
              <w:ind w:left="0"/>
              <w:rPr>
                <w:rFonts w:cs="Arial"/>
                <w:iCs/>
                <w:szCs w:val="24"/>
              </w:rPr>
            </w:pPr>
            <w:r>
              <w:rPr>
                <w:rFonts w:cs="Arial"/>
                <w:iCs/>
                <w:szCs w:val="24"/>
              </w:rPr>
              <w:t>135 MW</w:t>
            </w:r>
          </w:p>
        </w:tc>
      </w:tr>
      <w:tr w:rsidR="00B26466" w14:paraId="01DCE215" w14:textId="77777777" w:rsidTr="00A468F9">
        <w:trPr>
          <w:jc w:val="center"/>
        </w:trPr>
        <w:tc>
          <w:tcPr>
            <w:tcW w:w="2677" w:type="dxa"/>
          </w:tcPr>
          <w:p w14:paraId="7528516E" w14:textId="77777777" w:rsidR="00B26466" w:rsidRDefault="00B26466" w:rsidP="00A468F9">
            <w:pPr>
              <w:pStyle w:val="Prrafodelista"/>
              <w:ind w:left="0"/>
              <w:rPr>
                <w:rFonts w:cs="Arial"/>
                <w:iCs/>
                <w:szCs w:val="24"/>
              </w:rPr>
            </w:pPr>
            <w:r>
              <w:rPr>
                <w:rFonts w:cs="Arial"/>
                <w:iCs/>
                <w:szCs w:val="24"/>
              </w:rPr>
              <w:t>San Miguel</w:t>
            </w:r>
          </w:p>
        </w:tc>
        <w:tc>
          <w:tcPr>
            <w:tcW w:w="1996" w:type="dxa"/>
          </w:tcPr>
          <w:p w14:paraId="26C8D695" w14:textId="77777777" w:rsidR="00B26466" w:rsidRDefault="00B26466" w:rsidP="00A468F9">
            <w:pPr>
              <w:pStyle w:val="Prrafodelista"/>
              <w:ind w:left="0"/>
              <w:rPr>
                <w:rFonts w:cs="Arial"/>
                <w:iCs/>
                <w:szCs w:val="24"/>
              </w:rPr>
            </w:pPr>
            <w:r>
              <w:rPr>
                <w:rFonts w:cs="Arial"/>
                <w:iCs/>
                <w:szCs w:val="24"/>
              </w:rPr>
              <w:t>50 MW</w:t>
            </w:r>
          </w:p>
        </w:tc>
      </w:tr>
    </w:tbl>
    <w:p w14:paraId="11D9EBD7" w14:textId="77777777" w:rsidR="00B26466" w:rsidRDefault="00B26466" w:rsidP="00B26466">
      <w:pPr>
        <w:pStyle w:val="Prrafodelista"/>
        <w:ind w:left="720"/>
        <w:rPr>
          <w:rFonts w:cs="Arial"/>
          <w:iCs/>
          <w:szCs w:val="24"/>
        </w:rPr>
      </w:pPr>
    </w:p>
    <w:p w14:paraId="70395106" w14:textId="77777777" w:rsidR="00B26466" w:rsidRDefault="00B26466" w:rsidP="00B26466">
      <w:pPr>
        <w:pStyle w:val="Prrafodelista"/>
        <w:ind w:left="720"/>
        <w:rPr>
          <w:rFonts w:cs="Arial"/>
          <w:iCs/>
          <w:szCs w:val="24"/>
        </w:rPr>
      </w:pPr>
      <w:r>
        <w:rPr>
          <w:rFonts w:cs="Arial"/>
          <w:iCs/>
          <w:szCs w:val="24"/>
        </w:rPr>
        <w:t xml:space="preserve">Fuente: </w:t>
      </w:r>
      <w:hyperlink r:id="rId30" w:history="1">
        <w:r w:rsidRPr="00274DA1">
          <w:rPr>
            <w:rStyle w:val="Hipervnculo"/>
            <w:rFonts w:cs="Arial"/>
            <w:iCs/>
            <w:szCs w:val="24"/>
          </w:rPr>
          <w:t>https://paratec.xm.com.co/paratec/SitePages/generacion.aspx?q=capacidad</w:t>
        </w:r>
      </w:hyperlink>
      <w:r>
        <w:rPr>
          <w:rFonts w:cs="Arial"/>
          <w:iCs/>
          <w:szCs w:val="24"/>
        </w:rPr>
        <w:t xml:space="preserve"> </w:t>
      </w:r>
    </w:p>
    <w:p w14:paraId="29EE6DEB" w14:textId="77777777" w:rsidR="00A93EB7" w:rsidRDefault="00A93EB7" w:rsidP="00C92A22">
      <w:pPr>
        <w:rPr>
          <w:rFonts w:cs="Arial"/>
          <w:iCs/>
          <w:szCs w:val="24"/>
          <w:highlight w:val="yellow"/>
        </w:rPr>
      </w:pPr>
    </w:p>
    <w:p w14:paraId="6242425D" w14:textId="10EA73B8" w:rsidR="008E4772" w:rsidRPr="006C01E5" w:rsidRDefault="006E612E" w:rsidP="00C92A22">
      <w:pPr>
        <w:rPr>
          <w:rFonts w:cs="Arial"/>
          <w:iCs/>
          <w:szCs w:val="24"/>
        </w:rPr>
      </w:pPr>
      <w:r>
        <w:rPr>
          <w:rFonts w:cs="Arial"/>
          <w:iCs/>
          <w:szCs w:val="24"/>
        </w:rPr>
        <w:t>Con respecto a los impactos de las otras alternativas propuestas, el análisis</w:t>
      </w:r>
      <w:r w:rsidR="00C32062">
        <w:rPr>
          <w:rFonts w:cs="Arial"/>
          <w:iCs/>
          <w:szCs w:val="24"/>
        </w:rPr>
        <w:t xml:space="preserve"> se presenta a continuación:</w:t>
      </w:r>
    </w:p>
    <w:p w14:paraId="1BCBE85E" w14:textId="77777777" w:rsidR="008E4772" w:rsidRDefault="008E4772" w:rsidP="00C92A22">
      <w:pPr>
        <w:rPr>
          <w:rFonts w:cs="Arial"/>
          <w:iCs/>
          <w:szCs w:val="24"/>
          <w:highlight w:val="yellow"/>
        </w:rPr>
      </w:pPr>
    </w:p>
    <w:p w14:paraId="1DBC15F2" w14:textId="77777777" w:rsidR="00C92A22" w:rsidRDefault="00C92A22" w:rsidP="00C92A22">
      <w:pPr>
        <w:rPr>
          <w:rFonts w:cs="Arial"/>
          <w:iCs/>
          <w:szCs w:val="24"/>
        </w:rPr>
      </w:pPr>
      <w:r>
        <w:rPr>
          <w:rFonts w:cs="Arial"/>
          <w:iCs/>
          <w:szCs w:val="24"/>
        </w:rPr>
        <w:t>Se analizó de manera cuantitativa el impacto de cada una de las alternativas en cuanto al impacto del pago de desviaciones respecto de los ingresos de las plantas en bolsa. La elección de la alternativa 2.a se hace con base en el comportamiento de las plantas solares despachadas centralmente. Para esta alternativa, el pago disminuye para la planta que ofertó un precio cercano a sus costos variables, mientras que para la planta que ofertó valores cercanos al precio de bolsa esta alternativa le resultaría más costosa. La alternativa 2.a incentiva hacer un buen pronóstico de cantidades y el despacho de la planta en la base de la oferta de generación.</w:t>
      </w:r>
    </w:p>
    <w:p w14:paraId="53A2A161" w14:textId="77777777" w:rsidR="00C92A22" w:rsidRDefault="00C92A22" w:rsidP="00C92A22">
      <w:pPr>
        <w:rPr>
          <w:rFonts w:cs="Arial"/>
          <w:iCs/>
          <w:szCs w:val="24"/>
        </w:rPr>
      </w:pPr>
    </w:p>
    <w:tbl>
      <w:tblPr>
        <w:tblStyle w:val="Tablaconcuadrcula1clara-nfasis5"/>
        <w:tblW w:w="9634" w:type="dxa"/>
        <w:jc w:val="center"/>
        <w:tblLook w:val="04A0" w:firstRow="1" w:lastRow="0" w:firstColumn="1" w:lastColumn="0" w:noHBand="0" w:noVBand="1"/>
      </w:tblPr>
      <w:tblGrid>
        <w:gridCol w:w="3397"/>
        <w:gridCol w:w="1134"/>
        <w:gridCol w:w="993"/>
        <w:gridCol w:w="992"/>
        <w:gridCol w:w="992"/>
        <w:gridCol w:w="1134"/>
        <w:gridCol w:w="992"/>
      </w:tblGrid>
      <w:tr w:rsidR="00C92A22" w:rsidRPr="00177796" w14:paraId="1AB3D65C" w14:textId="77777777" w:rsidTr="00B1684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3397" w:type="dxa"/>
            <w:vMerge w:val="restart"/>
            <w:noWrap/>
            <w:vAlign w:val="center"/>
            <w:hideMark/>
          </w:tcPr>
          <w:p w14:paraId="2115F67C" w14:textId="77777777" w:rsidR="00C92A22" w:rsidRPr="00177796" w:rsidRDefault="00C92A22" w:rsidP="00B16846">
            <w:pPr>
              <w:jc w:val="center"/>
              <w:rPr>
                <w:rFonts w:cs="Arial"/>
                <w:color w:val="000000"/>
                <w:sz w:val="22"/>
                <w:szCs w:val="22"/>
                <w:lang w:val="es-CO" w:eastAsia="es-CO"/>
              </w:rPr>
            </w:pPr>
            <w:r w:rsidRPr="00177796">
              <w:rPr>
                <w:rFonts w:cs="Arial"/>
                <w:color w:val="000000"/>
                <w:sz w:val="22"/>
                <w:szCs w:val="22"/>
                <w:lang w:val="es-CO" w:eastAsia="es-CO"/>
              </w:rPr>
              <w:t>Descripción</w:t>
            </w:r>
          </w:p>
        </w:tc>
        <w:tc>
          <w:tcPr>
            <w:tcW w:w="2127" w:type="dxa"/>
            <w:gridSpan w:val="2"/>
            <w:vAlign w:val="center"/>
            <w:hideMark/>
          </w:tcPr>
          <w:p w14:paraId="629DAA44" w14:textId="77777777" w:rsidR="00C92A22" w:rsidRPr="00177796" w:rsidRDefault="00C92A22" w:rsidP="00B16846">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Relación entre desviaciones y pago a planta con PB</w:t>
            </w:r>
          </w:p>
        </w:tc>
        <w:tc>
          <w:tcPr>
            <w:tcW w:w="1984" w:type="dxa"/>
            <w:gridSpan w:val="2"/>
          </w:tcPr>
          <w:p w14:paraId="5599EDE2" w14:textId="77777777" w:rsidR="00C92A22" w:rsidRPr="00177796" w:rsidRDefault="00C92A22" w:rsidP="00B16846">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Relación abril entre desviaciones y pago a planta con PB</w:t>
            </w:r>
          </w:p>
        </w:tc>
        <w:tc>
          <w:tcPr>
            <w:tcW w:w="2126" w:type="dxa"/>
            <w:gridSpan w:val="2"/>
          </w:tcPr>
          <w:p w14:paraId="0D47E89F" w14:textId="77777777" w:rsidR="00C92A22" w:rsidRPr="00177796" w:rsidRDefault="00C92A22" w:rsidP="00B16846">
            <w:pPr>
              <w:jc w:val="center"/>
              <w:cnfStyle w:val="100000000000" w:firstRow="1"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Relación mayo entre desviaciones y pago a planta con PB</w:t>
            </w:r>
          </w:p>
        </w:tc>
      </w:tr>
      <w:tr w:rsidR="00C92A22" w:rsidRPr="00177796" w14:paraId="5091C952" w14:textId="77777777" w:rsidTr="00B16846">
        <w:trPr>
          <w:trHeight w:val="600"/>
          <w:jc w:val="center"/>
        </w:trPr>
        <w:tc>
          <w:tcPr>
            <w:cnfStyle w:val="001000000000" w:firstRow="0" w:lastRow="0" w:firstColumn="1" w:lastColumn="0" w:oddVBand="0" w:evenVBand="0" w:oddHBand="0" w:evenHBand="0" w:firstRowFirstColumn="0" w:firstRowLastColumn="0" w:lastRowFirstColumn="0" w:lastRowLastColumn="0"/>
            <w:tcW w:w="3397" w:type="dxa"/>
            <w:vMerge/>
            <w:vAlign w:val="center"/>
            <w:hideMark/>
          </w:tcPr>
          <w:p w14:paraId="00333C8D" w14:textId="77777777" w:rsidR="00C92A22" w:rsidRPr="00177796" w:rsidRDefault="00C92A22" w:rsidP="00B16846">
            <w:pPr>
              <w:jc w:val="center"/>
              <w:rPr>
                <w:rFonts w:cs="Arial"/>
                <w:color w:val="000000"/>
                <w:sz w:val="22"/>
                <w:szCs w:val="22"/>
                <w:lang w:val="es-CO" w:eastAsia="es-CO"/>
              </w:rPr>
            </w:pPr>
          </w:p>
        </w:tc>
        <w:tc>
          <w:tcPr>
            <w:tcW w:w="1134" w:type="dxa"/>
            <w:vAlign w:val="center"/>
            <w:hideMark/>
          </w:tcPr>
          <w:p w14:paraId="48A69862"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Solar 1</w:t>
            </w:r>
          </w:p>
        </w:tc>
        <w:tc>
          <w:tcPr>
            <w:tcW w:w="993" w:type="dxa"/>
            <w:vAlign w:val="center"/>
            <w:hideMark/>
          </w:tcPr>
          <w:p w14:paraId="3A30B30E"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Solar 2</w:t>
            </w:r>
          </w:p>
        </w:tc>
        <w:tc>
          <w:tcPr>
            <w:tcW w:w="992" w:type="dxa"/>
            <w:vAlign w:val="center"/>
          </w:tcPr>
          <w:p w14:paraId="795204F0"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Solar 1</w:t>
            </w:r>
          </w:p>
        </w:tc>
        <w:tc>
          <w:tcPr>
            <w:tcW w:w="992" w:type="dxa"/>
            <w:vAlign w:val="center"/>
          </w:tcPr>
          <w:p w14:paraId="5A9457C2"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Solar 2</w:t>
            </w:r>
          </w:p>
        </w:tc>
        <w:tc>
          <w:tcPr>
            <w:tcW w:w="1134" w:type="dxa"/>
            <w:vAlign w:val="center"/>
          </w:tcPr>
          <w:p w14:paraId="07F78EF6"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Solar 1</w:t>
            </w:r>
          </w:p>
        </w:tc>
        <w:tc>
          <w:tcPr>
            <w:tcW w:w="992" w:type="dxa"/>
            <w:vAlign w:val="center"/>
          </w:tcPr>
          <w:p w14:paraId="3F3432E8"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Solar 2</w:t>
            </w:r>
          </w:p>
        </w:tc>
      </w:tr>
      <w:tr w:rsidR="00C92A22" w:rsidRPr="00177796" w14:paraId="50B8D856" w14:textId="77777777" w:rsidTr="00B16846">
        <w:trPr>
          <w:trHeight w:val="600"/>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3E51CDE" w14:textId="77777777" w:rsidR="00C92A22" w:rsidRPr="00177796" w:rsidRDefault="00C92A22" w:rsidP="00B16846">
            <w:pPr>
              <w:jc w:val="left"/>
              <w:rPr>
                <w:rFonts w:cs="Arial"/>
                <w:b w:val="0"/>
                <w:bCs w:val="0"/>
                <w:color w:val="000000"/>
                <w:sz w:val="22"/>
                <w:szCs w:val="22"/>
                <w:lang w:val="es-CO" w:eastAsia="es-CO"/>
              </w:rPr>
            </w:pPr>
            <w:r w:rsidRPr="00177796">
              <w:rPr>
                <w:rFonts w:cs="Arial"/>
                <w:b w:val="0"/>
                <w:bCs w:val="0"/>
                <w:color w:val="000000"/>
                <w:sz w:val="22"/>
                <w:szCs w:val="22"/>
                <w:lang w:val="es-CO" w:eastAsia="es-CO"/>
              </w:rPr>
              <w:t>Alternativa 1: |</w:t>
            </w:r>
            <w:proofErr w:type="spellStart"/>
            <w:r w:rsidRPr="00177796">
              <w:rPr>
                <w:rFonts w:cs="Arial"/>
                <w:b w:val="0"/>
                <w:bCs w:val="0"/>
                <w:color w:val="000000"/>
                <w:sz w:val="22"/>
                <w:szCs w:val="22"/>
                <w:lang w:val="es-CO" w:eastAsia="es-CO"/>
              </w:rPr>
              <w:t>Poferta-Pbolsa</w:t>
            </w:r>
            <w:proofErr w:type="spellEnd"/>
            <w:r w:rsidRPr="00177796">
              <w:rPr>
                <w:rFonts w:cs="Arial"/>
                <w:b w:val="0"/>
                <w:bCs w:val="0"/>
                <w:color w:val="000000"/>
                <w:sz w:val="22"/>
                <w:szCs w:val="22"/>
                <w:lang w:val="es-CO" w:eastAsia="es-CO"/>
              </w:rPr>
              <w:t xml:space="preserve">| y </w:t>
            </w:r>
            <w:proofErr w:type="spellStart"/>
            <w:proofErr w:type="gramStart"/>
            <w:r w:rsidRPr="00177796">
              <w:rPr>
                <w:rFonts w:cs="Arial"/>
                <w:b w:val="0"/>
                <w:bCs w:val="0"/>
                <w:color w:val="000000"/>
                <w:sz w:val="22"/>
                <w:szCs w:val="22"/>
                <w:lang w:val="es-CO" w:eastAsia="es-CO"/>
              </w:rPr>
              <w:t>max</w:t>
            </w:r>
            <w:proofErr w:type="spellEnd"/>
            <w:r w:rsidRPr="00177796">
              <w:rPr>
                <w:rFonts w:cs="Arial"/>
                <w:b w:val="0"/>
                <w:bCs w:val="0"/>
                <w:color w:val="000000"/>
                <w:sz w:val="22"/>
                <w:szCs w:val="22"/>
                <w:lang w:val="es-CO" w:eastAsia="es-CO"/>
              </w:rPr>
              <w:t>(</w:t>
            </w:r>
            <w:proofErr w:type="spellStart"/>
            <w:proofErr w:type="gramEnd"/>
            <w:r w:rsidRPr="00177796">
              <w:rPr>
                <w:rFonts w:cs="Arial"/>
                <w:b w:val="0"/>
                <w:bCs w:val="0"/>
                <w:color w:val="000000"/>
                <w:sz w:val="22"/>
                <w:szCs w:val="22"/>
                <w:lang w:val="es-CO" w:eastAsia="es-CO"/>
              </w:rPr>
              <w:t>PagoD,PagoRD</w:t>
            </w:r>
            <w:proofErr w:type="spellEnd"/>
            <w:r w:rsidRPr="00177796">
              <w:rPr>
                <w:rFonts w:cs="Arial"/>
                <w:b w:val="0"/>
                <w:bCs w:val="0"/>
                <w:color w:val="000000"/>
                <w:sz w:val="22"/>
                <w:szCs w:val="22"/>
                <w:lang w:val="es-CO" w:eastAsia="es-CO"/>
              </w:rPr>
              <w:t>)</w:t>
            </w:r>
          </w:p>
        </w:tc>
        <w:tc>
          <w:tcPr>
            <w:tcW w:w="1134" w:type="dxa"/>
            <w:noWrap/>
            <w:vAlign w:val="center"/>
            <w:hideMark/>
          </w:tcPr>
          <w:p w14:paraId="07912E78"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16%</w:t>
            </w:r>
          </w:p>
        </w:tc>
        <w:tc>
          <w:tcPr>
            <w:tcW w:w="993" w:type="dxa"/>
            <w:noWrap/>
            <w:vAlign w:val="center"/>
            <w:hideMark/>
          </w:tcPr>
          <w:p w14:paraId="67B05F73"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29%</w:t>
            </w:r>
          </w:p>
        </w:tc>
        <w:tc>
          <w:tcPr>
            <w:tcW w:w="992" w:type="dxa"/>
            <w:vAlign w:val="center"/>
          </w:tcPr>
          <w:p w14:paraId="744A9EE8"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14%</w:t>
            </w:r>
          </w:p>
        </w:tc>
        <w:tc>
          <w:tcPr>
            <w:tcW w:w="992" w:type="dxa"/>
            <w:vAlign w:val="center"/>
          </w:tcPr>
          <w:p w14:paraId="6DBF2C34"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30%</w:t>
            </w:r>
          </w:p>
        </w:tc>
        <w:tc>
          <w:tcPr>
            <w:tcW w:w="1134" w:type="dxa"/>
            <w:vAlign w:val="center"/>
          </w:tcPr>
          <w:p w14:paraId="5A0FC5E5"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31%</w:t>
            </w:r>
          </w:p>
        </w:tc>
        <w:tc>
          <w:tcPr>
            <w:tcW w:w="992" w:type="dxa"/>
            <w:vAlign w:val="center"/>
          </w:tcPr>
          <w:p w14:paraId="2A27B789"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25%</w:t>
            </w:r>
          </w:p>
        </w:tc>
      </w:tr>
      <w:tr w:rsidR="00C92A22" w:rsidRPr="00177796" w14:paraId="444461F3" w14:textId="77777777" w:rsidTr="00B16846">
        <w:trPr>
          <w:trHeight w:val="600"/>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E5045B7" w14:textId="77777777" w:rsidR="00C92A22" w:rsidRPr="00177796" w:rsidRDefault="00C92A22" w:rsidP="00B16846">
            <w:pPr>
              <w:jc w:val="left"/>
              <w:rPr>
                <w:rFonts w:cs="Arial"/>
                <w:b w:val="0"/>
                <w:bCs w:val="0"/>
                <w:color w:val="000000"/>
                <w:sz w:val="22"/>
                <w:szCs w:val="22"/>
                <w:lang w:val="es-CO" w:eastAsia="es-CO"/>
              </w:rPr>
            </w:pPr>
            <w:r w:rsidRPr="00177796">
              <w:rPr>
                <w:rFonts w:cs="Arial"/>
                <w:b w:val="0"/>
                <w:bCs w:val="0"/>
                <w:color w:val="000000"/>
                <w:sz w:val="22"/>
                <w:szCs w:val="22"/>
                <w:lang w:val="es-CO" w:eastAsia="es-CO"/>
              </w:rPr>
              <w:t xml:space="preserve">Alternativa </w:t>
            </w:r>
            <w:proofErr w:type="spellStart"/>
            <w:r w:rsidRPr="00177796">
              <w:rPr>
                <w:rFonts w:cs="Arial"/>
                <w:b w:val="0"/>
                <w:bCs w:val="0"/>
                <w:color w:val="000000"/>
                <w:sz w:val="22"/>
                <w:szCs w:val="22"/>
                <w:lang w:val="es-CO" w:eastAsia="es-CO"/>
              </w:rPr>
              <w:t>2.a</w:t>
            </w:r>
            <w:proofErr w:type="spellEnd"/>
            <w:r w:rsidRPr="00177796">
              <w:rPr>
                <w:rFonts w:cs="Arial"/>
                <w:b w:val="0"/>
                <w:bCs w:val="0"/>
                <w:color w:val="000000"/>
                <w:sz w:val="22"/>
                <w:szCs w:val="22"/>
                <w:lang w:val="es-CO" w:eastAsia="es-CO"/>
              </w:rPr>
              <w:t>: |</w:t>
            </w:r>
            <w:proofErr w:type="spellStart"/>
            <w:r w:rsidRPr="00177796">
              <w:rPr>
                <w:rFonts w:cs="Arial"/>
                <w:b w:val="0"/>
                <w:bCs w:val="0"/>
                <w:color w:val="000000"/>
                <w:sz w:val="22"/>
                <w:szCs w:val="22"/>
                <w:lang w:val="es-CO" w:eastAsia="es-CO"/>
              </w:rPr>
              <w:t>Poferta</w:t>
            </w:r>
            <w:proofErr w:type="spellEnd"/>
            <w:r w:rsidRPr="00177796">
              <w:rPr>
                <w:rFonts w:cs="Arial"/>
                <w:b w:val="0"/>
                <w:bCs w:val="0"/>
                <w:color w:val="000000"/>
                <w:sz w:val="22"/>
                <w:szCs w:val="22"/>
                <w:lang w:val="es-CO" w:eastAsia="es-CO"/>
              </w:rPr>
              <w:t>-</w:t>
            </w:r>
            <w:proofErr w:type="gramStart"/>
            <w:r w:rsidRPr="00177796">
              <w:rPr>
                <w:rFonts w:cs="Arial"/>
                <w:b w:val="0"/>
                <w:bCs w:val="0"/>
                <w:color w:val="000000"/>
                <w:sz w:val="22"/>
                <w:szCs w:val="22"/>
                <w:lang w:val="es-CO" w:eastAsia="es-CO"/>
              </w:rPr>
              <w:t>min(</w:t>
            </w:r>
            <w:proofErr w:type="spellStart"/>
            <w:proofErr w:type="gramEnd"/>
            <w:r w:rsidRPr="00177796">
              <w:rPr>
                <w:rFonts w:cs="Arial"/>
                <w:b w:val="0"/>
                <w:bCs w:val="0"/>
                <w:color w:val="000000"/>
                <w:sz w:val="22"/>
                <w:szCs w:val="22"/>
                <w:lang w:val="es-CO" w:eastAsia="es-CO"/>
              </w:rPr>
              <w:t>Pbolsa,3XCERE</w:t>
            </w:r>
            <w:proofErr w:type="spellEnd"/>
            <w:r w:rsidRPr="00177796">
              <w:rPr>
                <w:rFonts w:cs="Arial"/>
                <w:b w:val="0"/>
                <w:bCs w:val="0"/>
                <w:color w:val="000000"/>
                <w:sz w:val="22"/>
                <w:szCs w:val="22"/>
                <w:lang w:val="es-CO" w:eastAsia="es-CO"/>
              </w:rPr>
              <w:t xml:space="preserve">| y </w:t>
            </w:r>
            <w:proofErr w:type="spellStart"/>
            <w:r w:rsidRPr="00177796">
              <w:rPr>
                <w:rFonts w:cs="Arial"/>
                <w:b w:val="0"/>
                <w:bCs w:val="0"/>
                <w:color w:val="000000"/>
                <w:sz w:val="22"/>
                <w:szCs w:val="22"/>
                <w:lang w:val="es-CO" w:eastAsia="es-CO"/>
              </w:rPr>
              <w:t>max</w:t>
            </w:r>
            <w:proofErr w:type="spellEnd"/>
            <w:r w:rsidRPr="00177796">
              <w:rPr>
                <w:rFonts w:cs="Arial"/>
                <w:b w:val="0"/>
                <w:bCs w:val="0"/>
                <w:color w:val="000000"/>
                <w:sz w:val="22"/>
                <w:szCs w:val="22"/>
                <w:lang w:val="es-CO" w:eastAsia="es-CO"/>
              </w:rPr>
              <w:t>(</w:t>
            </w:r>
            <w:proofErr w:type="spellStart"/>
            <w:r w:rsidRPr="00177796">
              <w:rPr>
                <w:rFonts w:cs="Arial"/>
                <w:b w:val="0"/>
                <w:bCs w:val="0"/>
                <w:color w:val="000000"/>
                <w:sz w:val="22"/>
                <w:szCs w:val="22"/>
                <w:lang w:val="es-CO" w:eastAsia="es-CO"/>
              </w:rPr>
              <w:t>PagoD,PagoRD</w:t>
            </w:r>
            <w:proofErr w:type="spellEnd"/>
            <w:r w:rsidRPr="00177796">
              <w:rPr>
                <w:rFonts w:cs="Arial"/>
                <w:b w:val="0"/>
                <w:bCs w:val="0"/>
                <w:color w:val="000000"/>
                <w:sz w:val="22"/>
                <w:szCs w:val="22"/>
                <w:lang w:val="es-CO" w:eastAsia="es-CO"/>
              </w:rPr>
              <w:t>)</w:t>
            </w:r>
          </w:p>
        </w:tc>
        <w:tc>
          <w:tcPr>
            <w:tcW w:w="1134" w:type="dxa"/>
            <w:noWrap/>
            <w:vAlign w:val="center"/>
            <w:hideMark/>
          </w:tcPr>
          <w:p w14:paraId="488F5B97"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27%</w:t>
            </w:r>
          </w:p>
        </w:tc>
        <w:tc>
          <w:tcPr>
            <w:tcW w:w="993" w:type="dxa"/>
            <w:noWrap/>
            <w:vAlign w:val="center"/>
            <w:hideMark/>
          </w:tcPr>
          <w:p w14:paraId="3EB98F17"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7%</w:t>
            </w:r>
          </w:p>
        </w:tc>
        <w:tc>
          <w:tcPr>
            <w:tcW w:w="992" w:type="dxa"/>
            <w:vAlign w:val="center"/>
          </w:tcPr>
          <w:p w14:paraId="6FB33A06"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34%</w:t>
            </w:r>
          </w:p>
        </w:tc>
        <w:tc>
          <w:tcPr>
            <w:tcW w:w="992" w:type="dxa"/>
            <w:vAlign w:val="center"/>
          </w:tcPr>
          <w:p w14:paraId="49C5DBC2"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5%</w:t>
            </w:r>
          </w:p>
        </w:tc>
        <w:tc>
          <w:tcPr>
            <w:tcW w:w="1134" w:type="dxa"/>
            <w:vAlign w:val="center"/>
          </w:tcPr>
          <w:p w14:paraId="468C8AC0"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21%</w:t>
            </w:r>
          </w:p>
        </w:tc>
        <w:tc>
          <w:tcPr>
            <w:tcW w:w="992" w:type="dxa"/>
            <w:vAlign w:val="center"/>
          </w:tcPr>
          <w:p w14:paraId="18B3C976"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14%</w:t>
            </w:r>
          </w:p>
        </w:tc>
      </w:tr>
      <w:tr w:rsidR="00C92A22" w:rsidRPr="00177796" w14:paraId="5305B187" w14:textId="77777777" w:rsidTr="00B16846">
        <w:trPr>
          <w:trHeight w:val="600"/>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E6E75F5" w14:textId="77777777" w:rsidR="00C92A22" w:rsidRPr="00177796" w:rsidRDefault="00C92A22" w:rsidP="00B16846">
            <w:pPr>
              <w:jc w:val="left"/>
              <w:rPr>
                <w:rFonts w:cs="Arial"/>
                <w:color w:val="000000"/>
                <w:sz w:val="22"/>
                <w:szCs w:val="22"/>
                <w:lang w:val="es-CO" w:eastAsia="es-CO"/>
              </w:rPr>
            </w:pPr>
            <w:r w:rsidRPr="00177796">
              <w:rPr>
                <w:rFonts w:cs="Arial"/>
                <w:b w:val="0"/>
                <w:bCs w:val="0"/>
                <w:color w:val="000000"/>
                <w:sz w:val="22"/>
                <w:szCs w:val="22"/>
                <w:lang w:val="es-CO" w:eastAsia="es-CO"/>
              </w:rPr>
              <w:t xml:space="preserve">Alternativa </w:t>
            </w:r>
            <w:proofErr w:type="spellStart"/>
            <w:r w:rsidRPr="00177796">
              <w:rPr>
                <w:rFonts w:cs="Arial"/>
                <w:b w:val="0"/>
                <w:bCs w:val="0"/>
                <w:color w:val="000000"/>
                <w:sz w:val="22"/>
                <w:szCs w:val="22"/>
                <w:lang w:val="es-CO" w:eastAsia="es-CO"/>
              </w:rPr>
              <w:t>2.b</w:t>
            </w:r>
            <w:proofErr w:type="spellEnd"/>
            <w:r w:rsidRPr="00177796">
              <w:rPr>
                <w:rFonts w:cs="Arial"/>
                <w:b w:val="0"/>
                <w:bCs w:val="0"/>
                <w:color w:val="000000"/>
                <w:sz w:val="22"/>
                <w:szCs w:val="22"/>
                <w:lang w:val="es-CO" w:eastAsia="es-CO"/>
              </w:rPr>
              <w:t xml:space="preserve">: </w:t>
            </w:r>
            <w:proofErr w:type="gramStart"/>
            <w:r w:rsidRPr="00177796">
              <w:rPr>
                <w:rFonts w:cs="Arial"/>
                <w:b w:val="0"/>
                <w:bCs w:val="0"/>
                <w:color w:val="000000"/>
                <w:sz w:val="22"/>
                <w:szCs w:val="22"/>
                <w:lang w:val="es-CO" w:eastAsia="es-CO"/>
              </w:rPr>
              <w:t>min(</w:t>
            </w:r>
            <w:proofErr w:type="spellStart"/>
            <w:proofErr w:type="gramEnd"/>
            <w:r w:rsidRPr="00177796">
              <w:rPr>
                <w:rFonts w:cs="Arial"/>
                <w:b w:val="0"/>
                <w:bCs w:val="0"/>
                <w:color w:val="000000"/>
                <w:sz w:val="22"/>
                <w:szCs w:val="22"/>
                <w:lang w:val="es-CO" w:eastAsia="es-CO"/>
              </w:rPr>
              <w:t>Pbolsa,3XCERE</w:t>
            </w:r>
            <w:proofErr w:type="spellEnd"/>
            <w:r w:rsidRPr="00177796">
              <w:rPr>
                <w:rFonts w:cs="Arial"/>
                <w:b w:val="0"/>
                <w:bCs w:val="0"/>
                <w:color w:val="000000"/>
                <w:sz w:val="22"/>
                <w:szCs w:val="22"/>
                <w:lang w:val="es-CO" w:eastAsia="es-CO"/>
              </w:rPr>
              <w:t xml:space="preserve">) y </w:t>
            </w:r>
            <w:proofErr w:type="spellStart"/>
            <w:r w:rsidRPr="00177796">
              <w:rPr>
                <w:rFonts w:cs="Arial"/>
                <w:b w:val="0"/>
                <w:bCs w:val="0"/>
                <w:color w:val="000000"/>
                <w:sz w:val="22"/>
                <w:szCs w:val="22"/>
                <w:lang w:val="es-CO" w:eastAsia="es-CO"/>
              </w:rPr>
              <w:t>max</w:t>
            </w:r>
            <w:proofErr w:type="spellEnd"/>
            <w:r w:rsidRPr="00177796">
              <w:rPr>
                <w:rFonts w:cs="Arial"/>
                <w:b w:val="0"/>
                <w:bCs w:val="0"/>
                <w:color w:val="000000"/>
                <w:sz w:val="22"/>
                <w:szCs w:val="22"/>
                <w:lang w:val="es-CO" w:eastAsia="es-CO"/>
              </w:rPr>
              <w:t>(</w:t>
            </w:r>
            <w:proofErr w:type="spellStart"/>
            <w:r w:rsidRPr="00177796">
              <w:rPr>
                <w:rFonts w:cs="Arial"/>
                <w:b w:val="0"/>
                <w:bCs w:val="0"/>
                <w:color w:val="000000"/>
                <w:sz w:val="22"/>
                <w:szCs w:val="22"/>
                <w:lang w:val="es-CO" w:eastAsia="es-CO"/>
              </w:rPr>
              <w:t>PagoD,PagoRD</w:t>
            </w:r>
            <w:proofErr w:type="spellEnd"/>
            <w:r w:rsidRPr="00177796">
              <w:rPr>
                <w:rFonts w:cs="Arial"/>
                <w:b w:val="0"/>
                <w:bCs w:val="0"/>
                <w:color w:val="000000"/>
                <w:sz w:val="22"/>
                <w:szCs w:val="22"/>
                <w:lang w:val="es-CO" w:eastAsia="es-CO"/>
              </w:rPr>
              <w:t>)</w:t>
            </w:r>
          </w:p>
        </w:tc>
        <w:tc>
          <w:tcPr>
            <w:tcW w:w="1134" w:type="dxa"/>
            <w:noWrap/>
            <w:vAlign w:val="center"/>
            <w:hideMark/>
          </w:tcPr>
          <w:p w14:paraId="3EAFE0D7"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20%</w:t>
            </w:r>
          </w:p>
        </w:tc>
        <w:tc>
          <w:tcPr>
            <w:tcW w:w="993" w:type="dxa"/>
            <w:noWrap/>
            <w:vAlign w:val="center"/>
            <w:hideMark/>
          </w:tcPr>
          <w:p w14:paraId="7C5171B7"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13%</w:t>
            </w:r>
          </w:p>
        </w:tc>
        <w:tc>
          <w:tcPr>
            <w:tcW w:w="992" w:type="dxa"/>
            <w:vAlign w:val="center"/>
          </w:tcPr>
          <w:p w14:paraId="5B8482F9"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20%</w:t>
            </w:r>
          </w:p>
        </w:tc>
        <w:tc>
          <w:tcPr>
            <w:tcW w:w="992" w:type="dxa"/>
            <w:vAlign w:val="center"/>
          </w:tcPr>
          <w:p w14:paraId="05A1704A"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1%</w:t>
            </w:r>
          </w:p>
        </w:tc>
        <w:tc>
          <w:tcPr>
            <w:tcW w:w="1134" w:type="dxa"/>
            <w:vAlign w:val="center"/>
          </w:tcPr>
          <w:p w14:paraId="1D5D7497"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15%</w:t>
            </w:r>
          </w:p>
        </w:tc>
        <w:tc>
          <w:tcPr>
            <w:tcW w:w="992" w:type="dxa"/>
            <w:vAlign w:val="center"/>
          </w:tcPr>
          <w:p w14:paraId="254E970E"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4%</w:t>
            </w:r>
          </w:p>
        </w:tc>
      </w:tr>
      <w:tr w:rsidR="00C92A22" w:rsidRPr="00177796" w14:paraId="4353C8D7" w14:textId="77777777" w:rsidTr="00B16846">
        <w:trPr>
          <w:trHeight w:val="600"/>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C785FC9" w14:textId="77777777" w:rsidR="00C92A22" w:rsidRPr="00177796" w:rsidRDefault="00C92A22" w:rsidP="00B16846">
            <w:pPr>
              <w:jc w:val="left"/>
              <w:rPr>
                <w:rFonts w:cs="Arial"/>
                <w:b w:val="0"/>
                <w:bCs w:val="0"/>
                <w:color w:val="000000"/>
                <w:sz w:val="22"/>
                <w:szCs w:val="22"/>
                <w:lang w:val="es-CO" w:eastAsia="es-CO"/>
              </w:rPr>
            </w:pPr>
            <w:r w:rsidRPr="00177796">
              <w:rPr>
                <w:rFonts w:cs="Arial"/>
                <w:b w:val="0"/>
                <w:bCs w:val="0"/>
                <w:color w:val="000000"/>
                <w:sz w:val="22"/>
                <w:szCs w:val="22"/>
                <w:lang w:val="es-CO" w:eastAsia="es-CO"/>
              </w:rPr>
              <w:t xml:space="preserve">Alternativa </w:t>
            </w:r>
            <w:proofErr w:type="spellStart"/>
            <w:r w:rsidRPr="00177796">
              <w:rPr>
                <w:rFonts w:cs="Arial"/>
                <w:b w:val="0"/>
                <w:bCs w:val="0"/>
                <w:color w:val="000000"/>
                <w:sz w:val="22"/>
                <w:szCs w:val="22"/>
                <w:lang w:val="es-CO" w:eastAsia="es-CO"/>
              </w:rPr>
              <w:t>3.a</w:t>
            </w:r>
            <w:proofErr w:type="spellEnd"/>
            <w:r w:rsidRPr="00177796">
              <w:rPr>
                <w:rFonts w:cs="Arial"/>
                <w:b w:val="0"/>
                <w:bCs w:val="0"/>
                <w:color w:val="000000"/>
                <w:sz w:val="22"/>
                <w:szCs w:val="22"/>
                <w:lang w:val="es-CO" w:eastAsia="es-CO"/>
              </w:rPr>
              <w:t>: |</w:t>
            </w:r>
            <w:proofErr w:type="spellStart"/>
            <w:r w:rsidRPr="00177796">
              <w:rPr>
                <w:rFonts w:cs="Arial"/>
                <w:b w:val="0"/>
                <w:bCs w:val="0"/>
                <w:color w:val="000000"/>
                <w:sz w:val="22"/>
                <w:szCs w:val="22"/>
                <w:lang w:val="es-CO" w:eastAsia="es-CO"/>
              </w:rPr>
              <w:t>Poferta</w:t>
            </w:r>
            <w:proofErr w:type="spellEnd"/>
            <w:r w:rsidRPr="00177796">
              <w:rPr>
                <w:rFonts w:cs="Arial"/>
                <w:b w:val="0"/>
                <w:bCs w:val="0"/>
                <w:color w:val="000000"/>
                <w:sz w:val="22"/>
                <w:szCs w:val="22"/>
                <w:lang w:val="es-CO" w:eastAsia="es-CO"/>
              </w:rPr>
              <w:t>-</w:t>
            </w:r>
            <w:proofErr w:type="gramStart"/>
            <w:r w:rsidRPr="00177796">
              <w:rPr>
                <w:rFonts w:cs="Arial"/>
                <w:b w:val="0"/>
                <w:bCs w:val="0"/>
                <w:color w:val="000000"/>
                <w:sz w:val="22"/>
                <w:szCs w:val="22"/>
                <w:lang w:val="es-CO" w:eastAsia="es-CO"/>
              </w:rPr>
              <w:t>min(</w:t>
            </w:r>
            <w:proofErr w:type="spellStart"/>
            <w:proofErr w:type="gramEnd"/>
            <w:r w:rsidRPr="00177796">
              <w:rPr>
                <w:rFonts w:cs="Arial"/>
                <w:b w:val="0"/>
                <w:bCs w:val="0"/>
                <w:color w:val="000000"/>
                <w:sz w:val="22"/>
                <w:szCs w:val="22"/>
                <w:lang w:val="es-CO" w:eastAsia="es-CO"/>
              </w:rPr>
              <w:t>Pbolsa,3XCERE</w:t>
            </w:r>
            <w:proofErr w:type="spellEnd"/>
            <w:r w:rsidRPr="00177796">
              <w:rPr>
                <w:rFonts w:cs="Arial"/>
                <w:b w:val="0"/>
                <w:bCs w:val="0"/>
                <w:color w:val="000000"/>
                <w:sz w:val="22"/>
                <w:szCs w:val="22"/>
                <w:lang w:val="es-CO" w:eastAsia="es-CO"/>
              </w:rPr>
              <w:t>)| y min(</w:t>
            </w:r>
            <w:proofErr w:type="spellStart"/>
            <w:r w:rsidRPr="00177796">
              <w:rPr>
                <w:rFonts w:cs="Arial"/>
                <w:b w:val="0"/>
                <w:bCs w:val="0"/>
                <w:color w:val="000000"/>
                <w:sz w:val="22"/>
                <w:szCs w:val="22"/>
                <w:lang w:val="es-CO" w:eastAsia="es-CO"/>
              </w:rPr>
              <w:t>PagoD,Pago</w:t>
            </w:r>
            <w:proofErr w:type="spellEnd"/>
            <w:r w:rsidRPr="00177796">
              <w:rPr>
                <w:rFonts w:cs="Arial"/>
                <w:b w:val="0"/>
                <w:bCs w:val="0"/>
                <w:color w:val="000000"/>
                <w:sz w:val="22"/>
                <w:szCs w:val="22"/>
                <w:lang w:val="es-CO" w:eastAsia="es-CO"/>
              </w:rPr>
              <w:t xml:space="preserve"> RD)</w:t>
            </w:r>
          </w:p>
        </w:tc>
        <w:tc>
          <w:tcPr>
            <w:tcW w:w="1134" w:type="dxa"/>
            <w:noWrap/>
            <w:vAlign w:val="center"/>
            <w:hideMark/>
          </w:tcPr>
          <w:p w14:paraId="50FF7065"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17%</w:t>
            </w:r>
          </w:p>
        </w:tc>
        <w:tc>
          <w:tcPr>
            <w:tcW w:w="993" w:type="dxa"/>
            <w:noWrap/>
            <w:vAlign w:val="center"/>
            <w:hideMark/>
          </w:tcPr>
          <w:p w14:paraId="7287AC61"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2%</w:t>
            </w:r>
          </w:p>
        </w:tc>
        <w:tc>
          <w:tcPr>
            <w:tcW w:w="992" w:type="dxa"/>
            <w:vAlign w:val="center"/>
          </w:tcPr>
          <w:p w14:paraId="59ECEF56"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7%</w:t>
            </w:r>
          </w:p>
        </w:tc>
        <w:tc>
          <w:tcPr>
            <w:tcW w:w="992" w:type="dxa"/>
            <w:vAlign w:val="center"/>
          </w:tcPr>
          <w:p w14:paraId="71A697DF"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6%</w:t>
            </w:r>
          </w:p>
        </w:tc>
        <w:tc>
          <w:tcPr>
            <w:tcW w:w="1134" w:type="dxa"/>
            <w:vAlign w:val="center"/>
          </w:tcPr>
          <w:p w14:paraId="1F1D39DA"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23%</w:t>
            </w:r>
          </w:p>
        </w:tc>
        <w:tc>
          <w:tcPr>
            <w:tcW w:w="992" w:type="dxa"/>
            <w:vAlign w:val="center"/>
          </w:tcPr>
          <w:p w14:paraId="3F413324"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6%</w:t>
            </w:r>
          </w:p>
        </w:tc>
      </w:tr>
      <w:tr w:rsidR="00C92A22" w:rsidRPr="00177796" w14:paraId="4661CC42" w14:textId="77777777" w:rsidTr="00B16846">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004CB501" w14:textId="77777777" w:rsidR="00C92A22" w:rsidRPr="00177796" w:rsidRDefault="00C92A22" w:rsidP="00B16846">
            <w:pPr>
              <w:jc w:val="left"/>
              <w:rPr>
                <w:rFonts w:cs="Arial"/>
                <w:b w:val="0"/>
                <w:bCs w:val="0"/>
                <w:color w:val="000000"/>
                <w:sz w:val="22"/>
                <w:szCs w:val="22"/>
                <w:lang w:val="es-CO" w:eastAsia="es-CO"/>
              </w:rPr>
            </w:pPr>
            <w:r w:rsidRPr="00177796">
              <w:rPr>
                <w:rFonts w:cs="Arial"/>
                <w:b w:val="0"/>
                <w:bCs w:val="0"/>
                <w:color w:val="000000"/>
                <w:sz w:val="22"/>
                <w:szCs w:val="22"/>
                <w:lang w:val="es-CO" w:eastAsia="es-CO"/>
              </w:rPr>
              <w:t xml:space="preserve">Alternativa </w:t>
            </w:r>
            <w:proofErr w:type="spellStart"/>
            <w:proofErr w:type="gramStart"/>
            <w:r w:rsidRPr="00177796">
              <w:rPr>
                <w:rFonts w:cs="Arial"/>
                <w:b w:val="0"/>
                <w:bCs w:val="0"/>
                <w:color w:val="000000"/>
                <w:sz w:val="22"/>
                <w:szCs w:val="22"/>
                <w:lang w:val="es-CO" w:eastAsia="es-CO"/>
              </w:rPr>
              <w:t>3.b:min</w:t>
            </w:r>
            <w:proofErr w:type="spellEnd"/>
            <w:proofErr w:type="gramEnd"/>
            <w:r w:rsidRPr="00177796">
              <w:rPr>
                <w:rFonts w:cs="Arial"/>
                <w:b w:val="0"/>
                <w:bCs w:val="0"/>
                <w:color w:val="000000"/>
                <w:sz w:val="22"/>
                <w:szCs w:val="22"/>
                <w:lang w:val="es-CO" w:eastAsia="es-CO"/>
              </w:rPr>
              <w:t>(</w:t>
            </w:r>
            <w:proofErr w:type="spellStart"/>
            <w:r w:rsidRPr="00177796">
              <w:rPr>
                <w:rFonts w:cs="Arial"/>
                <w:b w:val="0"/>
                <w:bCs w:val="0"/>
                <w:color w:val="000000"/>
                <w:sz w:val="22"/>
                <w:szCs w:val="22"/>
                <w:lang w:val="es-CO" w:eastAsia="es-CO"/>
              </w:rPr>
              <w:t>Pbolsa,3XCERE</w:t>
            </w:r>
            <w:proofErr w:type="spellEnd"/>
            <w:r w:rsidRPr="00177796">
              <w:rPr>
                <w:rFonts w:cs="Arial"/>
                <w:b w:val="0"/>
                <w:bCs w:val="0"/>
                <w:color w:val="000000"/>
                <w:sz w:val="22"/>
                <w:szCs w:val="22"/>
                <w:lang w:val="es-CO" w:eastAsia="es-CO"/>
              </w:rPr>
              <w:t>) y min(</w:t>
            </w:r>
            <w:proofErr w:type="spellStart"/>
            <w:r w:rsidRPr="00177796">
              <w:rPr>
                <w:rFonts w:cs="Arial"/>
                <w:b w:val="0"/>
                <w:bCs w:val="0"/>
                <w:color w:val="000000"/>
                <w:sz w:val="22"/>
                <w:szCs w:val="22"/>
                <w:lang w:val="es-CO" w:eastAsia="es-CO"/>
              </w:rPr>
              <w:t>PagoD,Pago</w:t>
            </w:r>
            <w:proofErr w:type="spellEnd"/>
            <w:r w:rsidRPr="00177796">
              <w:rPr>
                <w:rFonts w:cs="Arial"/>
                <w:b w:val="0"/>
                <w:bCs w:val="0"/>
                <w:color w:val="000000"/>
                <w:sz w:val="22"/>
                <w:szCs w:val="22"/>
                <w:lang w:val="es-CO" w:eastAsia="es-CO"/>
              </w:rPr>
              <w:t xml:space="preserve"> RD)</w:t>
            </w:r>
          </w:p>
        </w:tc>
        <w:tc>
          <w:tcPr>
            <w:tcW w:w="1134" w:type="dxa"/>
            <w:noWrap/>
            <w:vAlign w:val="center"/>
            <w:hideMark/>
          </w:tcPr>
          <w:p w14:paraId="19C89320"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13%</w:t>
            </w:r>
          </w:p>
        </w:tc>
        <w:tc>
          <w:tcPr>
            <w:tcW w:w="993" w:type="dxa"/>
            <w:noWrap/>
            <w:vAlign w:val="center"/>
            <w:hideMark/>
          </w:tcPr>
          <w:p w14:paraId="3EC0E91A"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3%</w:t>
            </w:r>
          </w:p>
        </w:tc>
        <w:tc>
          <w:tcPr>
            <w:tcW w:w="992" w:type="dxa"/>
            <w:vAlign w:val="center"/>
          </w:tcPr>
          <w:p w14:paraId="09BB4E51"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17%</w:t>
            </w:r>
          </w:p>
        </w:tc>
        <w:tc>
          <w:tcPr>
            <w:tcW w:w="992" w:type="dxa"/>
            <w:vAlign w:val="center"/>
          </w:tcPr>
          <w:p w14:paraId="71B82422"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9%</w:t>
            </w:r>
          </w:p>
        </w:tc>
        <w:tc>
          <w:tcPr>
            <w:tcW w:w="1134" w:type="dxa"/>
            <w:vAlign w:val="center"/>
          </w:tcPr>
          <w:p w14:paraId="404F1AB9"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38%</w:t>
            </w:r>
          </w:p>
        </w:tc>
        <w:tc>
          <w:tcPr>
            <w:tcW w:w="992" w:type="dxa"/>
            <w:vAlign w:val="center"/>
          </w:tcPr>
          <w:p w14:paraId="35C0F41D"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23%</w:t>
            </w:r>
          </w:p>
        </w:tc>
      </w:tr>
      <w:tr w:rsidR="00C92A22" w:rsidRPr="00177796" w14:paraId="13773F9D" w14:textId="77777777" w:rsidTr="00B16846">
        <w:trPr>
          <w:trHeight w:val="600"/>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30E5E402" w14:textId="77777777" w:rsidR="00C92A22" w:rsidRPr="00177796" w:rsidRDefault="00C92A22" w:rsidP="00B16846">
            <w:pPr>
              <w:jc w:val="left"/>
              <w:rPr>
                <w:rFonts w:cs="Arial"/>
                <w:b w:val="0"/>
                <w:bCs w:val="0"/>
                <w:color w:val="000000"/>
                <w:sz w:val="22"/>
                <w:szCs w:val="22"/>
                <w:lang w:val="es-CO" w:eastAsia="es-CO"/>
              </w:rPr>
            </w:pPr>
            <w:r w:rsidRPr="00177796">
              <w:rPr>
                <w:rFonts w:cs="Arial"/>
                <w:b w:val="0"/>
                <w:bCs w:val="0"/>
                <w:color w:val="000000"/>
                <w:sz w:val="22"/>
                <w:szCs w:val="22"/>
                <w:lang w:val="es-CO" w:eastAsia="es-CO"/>
              </w:rPr>
              <w:t xml:space="preserve">Alternativa </w:t>
            </w:r>
            <w:proofErr w:type="spellStart"/>
            <w:r w:rsidRPr="00177796">
              <w:rPr>
                <w:rFonts w:cs="Arial"/>
                <w:b w:val="0"/>
                <w:bCs w:val="0"/>
                <w:color w:val="000000"/>
                <w:sz w:val="22"/>
                <w:szCs w:val="22"/>
                <w:lang w:val="es-CO" w:eastAsia="es-CO"/>
              </w:rPr>
              <w:t>3.c</w:t>
            </w:r>
            <w:proofErr w:type="spellEnd"/>
            <w:r w:rsidRPr="00177796">
              <w:rPr>
                <w:rFonts w:cs="Arial"/>
                <w:b w:val="0"/>
                <w:bCs w:val="0"/>
                <w:color w:val="000000"/>
                <w:sz w:val="22"/>
                <w:szCs w:val="22"/>
                <w:lang w:val="es-CO" w:eastAsia="es-CO"/>
              </w:rPr>
              <w:t>: |</w:t>
            </w:r>
            <w:proofErr w:type="spellStart"/>
            <w:r w:rsidRPr="00177796">
              <w:rPr>
                <w:rFonts w:cs="Arial"/>
                <w:b w:val="0"/>
                <w:bCs w:val="0"/>
                <w:color w:val="000000"/>
                <w:sz w:val="22"/>
                <w:szCs w:val="22"/>
                <w:lang w:val="es-CO" w:eastAsia="es-CO"/>
              </w:rPr>
              <w:t>Poferta-Pbolsa</w:t>
            </w:r>
            <w:proofErr w:type="spellEnd"/>
            <w:r w:rsidRPr="00177796">
              <w:rPr>
                <w:rFonts w:cs="Arial"/>
                <w:b w:val="0"/>
                <w:bCs w:val="0"/>
                <w:color w:val="000000"/>
                <w:sz w:val="22"/>
                <w:szCs w:val="22"/>
                <w:lang w:val="es-CO" w:eastAsia="es-CO"/>
              </w:rPr>
              <w:t xml:space="preserve">| y </w:t>
            </w:r>
            <w:proofErr w:type="gramStart"/>
            <w:r w:rsidRPr="00177796">
              <w:rPr>
                <w:rFonts w:cs="Arial"/>
                <w:b w:val="0"/>
                <w:bCs w:val="0"/>
                <w:color w:val="000000"/>
                <w:sz w:val="22"/>
                <w:szCs w:val="22"/>
                <w:lang w:val="es-CO" w:eastAsia="es-CO"/>
              </w:rPr>
              <w:t>min(</w:t>
            </w:r>
            <w:proofErr w:type="spellStart"/>
            <w:proofErr w:type="gramEnd"/>
            <w:r w:rsidRPr="00177796">
              <w:rPr>
                <w:rFonts w:cs="Arial"/>
                <w:b w:val="0"/>
                <w:bCs w:val="0"/>
                <w:color w:val="000000"/>
                <w:sz w:val="22"/>
                <w:szCs w:val="22"/>
                <w:lang w:val="es-CO" w:eastAsia="es-CO"/>
              </w:rPr>
              <w:t>PagoD,Pago</w:t>
            </w:r>
            <w:proofErr w:type="spellEnd"/>
            <w:r w:rsidRPr="00177796">
              <w:rPr>
                <w:rFonts w:cs="Arial"/>
                <w:b w:val="0"/>
                <w:bCs w:val="0"/>
                <w:color w:val="000000"/>
                <w:sz w:val="22"/>
                <w:szCs w:val="22"/>
                <w:lang w:val="es-CO" w:eastAsia="es-CO"/>
              </w:rPr>
              <w:t xml:space="preserve"> RD)</w:t>
            </w:r>
          </w:p>
        </w:tc>
        <w:tc>
          <w:tcPr>
            <w:tcW w:w="1134" w:type="dxa"/>
            <w:noWrap/>
            <w:vAlign w:val="center"/>
            <w:hideMark/>
          </w:tcPr>
          <w:p w14:paraId="7E68E701"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10%</w:t>
            </w:r>
          </w:p>
        </w:tc>
        <w:tc>
          <w:tcPr>
            <w:tcW w:w="993" w:type="dxa"/>
            <w:noWrap/>
            <w:vAlign w:val="center"/>
            <w:hideMark/>
          </w:tcPr>
          <w:p w14:paraId="1973201B"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lang w:val="es-CO" w:eastAsia="es-CO"/>
              </w:rPr>
              <w:t>6%</w:t>
            </w:r>
          </w:p>
        </w:tc>
        <w:tc>
          <w:tcPr>
            <w:tcW w:w="992" w:type="dxa"/>
            <w:vAlign w:val="center"/>
          </w:tcPr>
          <w:p w14:paraId="70A36055"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10%</w:t>
            </w:r>
          </w:p>
        </w:tc>
        <w:tc>
          <w:tcPr>
            <w:tcW w:w="992" w:type="dxa"/>
            <w:vAlign w:val="center"/>
          </w:tcPr>
          <w:p w14:paraId="46B38361"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2%</w:t>
            </w:r>
          </w:p>
        </w:tc>
        <w:tc>
          <w:tcPr>
            <w:tcW w:w="1134" w:type="dxa"/>
            <w:vAlign w:val="center"/>
          </w:tcPr>
          <w:p w14:paraId="6FC40CA8"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29%</w:t>
            </w:r>
          </w:p>
        </w:tc>
        <w:tc>
          <w:tcPr>
            <w:tcW w:w="992" w:type="dxa"/>
            <w:vAlign w:val="center"/>
          </w:tcPr>
          <w:p w14:paraId="4F2682DD" w14:textId="77777777" w:rsidR="00C92A22" w:rsidRPr="00177796" w:rsidRDefault="00C92A22" w:rsidP="00B16846">
            <w:pPr>
              <w:keepNext/>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7%</w:t>
            </w:r>
          </w:p>
        </w:tc>
      </w:tr>
      <w:tr w:rsidR="00C92A22" w:rsidRPr="00177796" w14:paraId="14EDC6F3" w14:textId="77777777" w:rsidTr="00B16846">
        <w:trPr>
          <w:trHeight w:val="600"/>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0D03004" w14:textId="77777777" w:rsidR="00C92A22" w:rsidRPr="00177796" w:rsidRDefault="00C92A22" w:rsidP="00B16846">
            <w:pPr>
              <w:jc w:val="left"/>
              <w:rPr>
                <w:rFonts w:cs="Arial"/>
                <w:color w:val="000000"/>
                <w:sz w:val="22"/>
                <w:szCs w:val="22"/>
                <w:lang w:val="es-CO" w:eastAsia="es-CO"/>
              </w:rPr>
            </w:pPr>
            <w:r w:rsidRPr="00177796">
              <w:rPr>
                <w:rFonts w:cs="Arial"/>
                <w:b w:val="0"/>
                <w:bCs w:val="0"/>
                <w:color w:val="000000"/>
                <w:sz w:val="22"/>
                <w:szCs w:val="22"/>
                <w:lang w:val="es-CO" w:eastAsia="es-CO"/>
              </w:rPr>
              <w:t>Alternativa 4: Desviaciones diarias hasta 20%***</w:t>
            </w:r>
          </w:p>
          <w:p w14:paraId="2DCEFC52" w14:textId="77777777" w:rsidR="00C92A22" w:rsidRPr="00177796" w:rsidRDefault="00C92A22" w:rsidP="00B16846">
            <w:pPr>
              <w:jc w:val="left"/>
              <w:rPr>
                <w:rFonts w:cs="Arial"/>
                <w:b w:val="0"/>
                <w:bCs w:val="0"/>
                <w:color w:val="000000"/>
                <w:sz w:val="22"/>
                <w:szCs w:val="22"/>
                <w:lang w:val="es-CO" w:eastAsia="es-CO"/>
              </w:rPr>
            </w:pPr>
            <w:r w:rsidRPr="00177796">
              <w:rPr>
                <w:rFonts w:cs="Arial"/>
                <w:b w:val="0"/>
                <w:bCs w:val="0"/>
                <w:color w:val="000000"/>
                <w:sz w:val="22"/>
                <w:szCs w:val="22"/>
                <w:lang w:val="es-CO" w:eastAsia="es-CO"/>
              </w:rPr>
              <w:t>|</w:t>
            </w:r>
            <w:proofErr w:type="spellStart"/>
            <w:r w:rsidRPr="00177796">
              <w:rPr>
                <w:rFonts w:cs="Arial"/>
                <w:b w:val="0"/>
                <w:bCs w:val="0"/>
                <w:color w:val="000000"/>
                <w:sz w:val="22"/>
                <w:szCs w:val="22"/>
                <w:lang w:val="es-CO" w:eastAsia="es-CO"/>
              </w:rPr>
              <w:t>Poferta</w:t>
            </w:r>
            <w:proofErr w:type="spellEnd"/>
            <w:r w:rsidRPr="00177796">
              <w:rPr>
                <w:rFonts w:cs="Arial"/>
                <w:b w:val="0"/>
                <w:bCs w:val="0"/>
                <w:color w:val="000000"/>
                <w:sz w:val="22"/>
                <w:szCs w:val="22"/>
                <w:lang w:val="es-CO" w:eastAsia="es-CO"/>
              </w:rPr>
              <w:t>-</w:t>
            </w:r>
            <w:proofErr w:type="gramStart"/>
            <w:r w:rsidRPr="00177796">
              <w:rPr>
                <w:rFonts w:cs="Arial"/>
                <w:b w:val="0"/>
                <w:bCs w:val="0"/>
                <w:color w:val="000000"/>
                <w:sz w:val="22"/>
                <w:szCs w:val="22"/>
                <w:lang w:val="es-CO" w:eastAsia="es-CO"/>
              </w:rPr>
              <w:t>min(</w:t>
            </w:r>
            <w:proofErr w:type="spellStart"/>
            <w:proofErr w:type="gramEnd"/>
            <w:r w:rsidRPr="00177796">
              <w:rPr>
                <w:rFonts w:cs="Arial"/>
                <w:b w:val="0"/>
                <w:bCs w:val="0"/>
                <w:color w:val="000000"/>
                <w:sz w:val="22"/>
                <w:szCs w:val="22"/>
                <w:lang w:val="es-CO" w:eastAsia="es-CO"/>
              </w:rPr>
              <w:t>Pbolsa,3XCERE</w:t>
            </w:r>
            <w:proofErr w:type="spellEnd"/>
            <w:r w:rsidRPr="00177796">
              <w:rPr>
                <w:rFonts w:cs="Arial"/>
                <w:b w:val="0"/>
                <w:bCs w:val="0"/>
                <w:color w:val="000000"/>
                <w:sz w:val="22"/>
                <w:szCs w:val="22"/>
                <w:lang w:val="es-CO" w:eastAsia="es-CO"/>
              </w:rPr>
              <w:t xml:space="preserve">| y </w:t>
            </w:r>
            <w:proofErr w:type="spellStart"/>
            <w:r w:rsidRPr="00177796">
              <w:rPr>
                <w:rFonts w:cs="Arial"/>
                <w:b w:val="0"/>
                <w:bCs w:val="0"/>
                <w:color w:val="000000"/>
                <w:sz w:val="22"/>
                <w:szCs w:val="22"/>
                <w:lang w:val="es-CO" w:eastAsia="es-CO"/>
              </w:rPr>
              <w:t>max</w:t>
            </w:r>
            <w:proofErr w:type="spellEnd"/>
            <w:r w:rsidRPr="00177796">
              <w:rPr>
                <w:rFonts w:cs="Arial"/>
                <w:b w:val="0"/>
                <w:bCs w:val="0"/>
                <w:color w:val="000000"/>
                <w:sz w:val="22"/>
                <w:szCs w:val="22"/>
                <w:lang w:val="es-CO" w:eastAsia="es-CO"/>
              </w:rPr>
              <w:t>(</w:t>
            </w:r>
            <w:proofErr w:type="spellStart"/>
            <w:r w:rsidRPr="00177796">
              <w:rPr>
                <w:rFonts w:cs="Arial"/>
                <w:b w:val="0"/>
                <w:bCs w:val="0"/>
                <w:color w:val="000000"/>
                <w:sz w:val="22"/>
                <w:szCs w:val="22"/>
                <w:lang w:val="es-CO" w:eastAsia="es-CO"/>
              </w:rPr>
              <w:t>PagoD,PagoRD</w:t>
            </w:r>
            <w:proofErr w:type="spellEnd"/>
            <w:r w:rsidRPr="00177796">
              <w:rPr>
                <w:rFonts w:cs="Arial"/>
                <w:b w:val="0"/>
                <w:bCs w:val="0"/>
                <w:color w:val="000000"/>
                <w:sz w:val="22"/>
                <w:szCs w:val="22"/>
                <w:lang w:val="es-CO" w:eastAsia="es-CO"/>
              </w:rPr>
              <w:t>)</w:t>
            </w:r>
          </w:p>
        </w:tc>
        <w:tc>
          <w:tcPr>
            <w:tcW w:w="1134" w:type="dxa"/>
            <w:noWrap/>
            <w:vAlign w:val="center"/>
          </w:tcPr>
          <w:p w14:paraId="78B29AB8"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23%</w:t>
            </w:r>
          </w:p>
        </w:tc>
        <w:tc>
          <w:tcPr>
            <w:tcW w:w="993" w:type="dxa"/>
            <w:noWrap/>
            <w:vAlign w:val="center"/>
          </w:tcPr>
          <w:p w14:paraId="76E6893D"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lang w:val="es-CO" w:eastAsia="es-CO"/>
              </w:rPr>
            </w:pPr>
            <w:r w:rsidRPr="00177796">
              <w:rPr>
                <w:rFonts w:cs="Arial"/>
                <w:color w:val="000000"/>
                <w:sz w:val="22"/>
                <w:szCs w:val="22"/>
              </w:rPr>
              <w:t>6%</w:t>
            </w:r>
          </w:p>
        </w:tc>
        <w:tc>
          <w:tcPr>
            <w:tcW w:w="992" w:type="dxa"/>
            <w:vAlign w:val="center"/>
          </w:tcPr>
          <w:p w14:paraId="052BE7DE"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27%</w:t>
            </w:r>
          </w:p>
        </w:tc>
        <w:tc>
          <w:tcPr>
            <w:tcW w:w="992" w:type="dxa"/>
            <w:vAlign w:val="center"/>
          </w:tcPr>
          <w:p w14:paraId="006AE91F"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4%</w:t>
            </w:r>
          </w:p>
        </w:tc>
        <w:tc>
          <w:tcPr>
            <w:tcW w:w="1134" w:type="dxa"/>
            <w:vAlign w:val="center"/>
          </w:tcPr>
          <w:p w14:paraId="207E09F4" w14:textId="77777777" w:rsidR="00C92A22" w:rsidRPr="00177796" w:rsidRDefault="00C92A22" w:rsidP="00B16846">
            <w:pPr>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14%</w:t>
            </w:r>
          </w:p>
        </w:tc>
        <w:tc>
          <w:tcPr>
            <w:tcW w:w="992" w:type="dxa"/>
            <w:vAlign w:val="center"/>
          </w:tcPr>
          <w:p w14:paraId="1E509841" w14:textId="77777777" w:rsidR="00C92A22" w:rsidRPr="00177796" w:rsidRDefault="00C92A22" w:rsidP="00B16846">
            <w:pPr>
              <w:keepNext/>
              <w:jc w:val="cente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77796">
              <w:rPr>
                <w:rFonts w:cs="Arial"/>
                <w:color w:val="000000"/>
                <w:sz w:val="22"/>
                <w:szCs w:val="22"/>
              </w:rPr>
              <w:t>14%</w:t>
            </w:r>
          </w:p>
        </w:tc>
      </w:tr>
    </w:tbl>
    <w:p w14:paraId="00F6257F" w14:textId="5CAF1EA8" w:rsidR="00C92A22" w:rsidRDefault="00C92A22" w:rsidP="00C92A22">
      <w:pPr>
        <w:pStyle w:val="Descripcin"/>
        <w:rPr>
          <w:rFonts w:cs="Arial"/>
          <w:iCs w:val="0"/>
          <w:szCs w:val="24"/>
        </w:rPr>
      </w:pPr>
      <w:r>
        <w:lastRenderedPageBreak/>
        <w:t xml:space="preserve">Tabla </w:t>
      </w:r>
      <w:r>
        <w:fldChar w:fldCharType="begin"/>
      </w:r>
      <w:r>
        <w:instrText xml:space="preserve"> SEQ Tabla \* ARABIC </w:instrText>
      </w:r>
      <w:r>
        <w:fldChar w:fldCharType="separate"/>
      </w:r>
      <w:r w:rsidR="00287B4B">
        <w:rPr>
          <w:noProof/>
        </w:rPr>
        <w:t>2</w:t>
      </w:r>
      <w:r>
        <w:fldChar w:fldCharType="end"/>
      </w:r>
      <w:r>
        <w:t>. Variaciones entre la participación de los pagos de las desviaciones frente a los ingresos por generación de las plantas</w:t>
      </w:r>
      <w:r>
        <w:rPr>
          <w:noProof/>
        </w:rPr>
        <w:t xml:space="preserve"> para las alternativas planteadas (***Para plantas dentro de sus dos primeros meses de operación comercial)</w:t>
      </w:r>
    </w:p>
    <w:p w14:paraId="7E09205C" w14:textId="77777777" w:rsidR="00C92A22" w:rsidRDefault="00C92A22" w:rsidP="00C92A22">
      <w:pPr>
        <w:rPr>
          <w:rFonts w:cs="Arial"/>
          <w:lang w:val="es-ES"/>
        </w:rPr>
      </w:pPr>
      <w:r w:rsidRPr="341D7B9C">
        <w:rPr>
          <w:rFonts w:cs="Arial"/>
          <w:lang w:val="es-ES"/>
        </w:rPr>
        <w:t xml:space="preserve">Adicionalmente, observando el comportamiento de las plantas solares 3 y 4 que no han entrado en operación comercial, se aprecia que, al establecer como tolerancia 20%, con la mayoría de los modelos pueden alcanzar hasta un 40% de los pronósticos sin un pago relacionado para el despacho e ir mejorando sus pronósticos durante los dos primeros </w:t>
      </w:r>
      <w:proofErr w:type="spellStart"/>
      <w:r w:rsidRPr="341D7B9C">
        <w:rPr>
          <w:rFonts w:cs="Arial"/>
          <w:lang w:val="es-ES"/>
        </w:rPr>
        <w:t>meses.Asimismo</w:t>
      </w:r>
      <w:proofErr w:type="spellEnd"/>
      <w:r w:rsidRPr="341D7B9C">
        <w:rPr>
          <w:rFonts w:cs="Arial"/>
          <w:lang w:val="es-ES"/>
        </w:rPr>
        <w:t>, en la tabla 2 se aprecia que la planta Solar 1 iguala el desempeño de la planta Solar 1 presentado en mayo como consecuencia de la aplicación de la medida de cantidades. Lo anterior, asumiendo que las dos plantas estaban dentro de sus dos primeros meses de operación comercial.</w:t>
      </w:r>
    </w:p>
    <w:p w14:paraId="3F2B59DA" w14:textId="77777777" w:rsidR="00C92A22" w:rsidRDefault="00C92A22" w:rsidP="00C92A22">
      <w:pPr>
        <w:rPr>
          <w:rFonts w:cs="Arial"/>
          <w:iCs/>
          <w:szCs w:val="24"/>
        </w:rPr>
      </w:pPr>
    </w:p>
    <w:p w14:paraId="7D22E785" w14:textId="77777777" w:rsidR="00C92A22" w:rsidRPr="00C92A22" w:rsidRDefault="00C92A22" w:rsidP="00C92A22">
      <w:pPr>
        <w:pStyle w:val="Ttulo1"/>
        <w:numPr>
          <w:ilvl w:val="0"/>
          <w:numId w:val="1"/>
        </w:numPr>
        <w:spacing w:after="0"/>
        <w:rPr>
          <w:rFonts w:cs="Arial"/>
          <w:szCs w:val="24"/>
        </w:rPr>
      </w:pPr>
      <w:bookmarkStart w:id="31" w:name="_Toc169851496"/>
      <w:r w:rsidRPr="00C92A22">
        <w:rPr>
          <w:rFonts w:cs="Arial"/>
          <w:szCs w:val="24"/>
        </w:rPr>
        <w:t>CONSULTA PÚBLICA</w:t>
      </w:r>
      <w:bookmarkEnd w:id="31"/>
    </w:p>
    <w:p w14:paraId="3463D769" w14:textId="77777777" w:rsidR="00C92A22" w:rsidRPr="00D962F4" w:rsidRDefault="00C92A22" w:rsidP="00C92A22">
      <w:pPr>
        <w:rPr>
          <w:rFonts w:cs="Arial"/>
          <w:b/>
          <w:szCs w:val="24"/>
          <w:highlight w:val="yellow"/>
        </w:rPr>
      </w:pPr>
    </w:p>
    <w:p w14:paraId="754BAA03" w14:textId="6A0510F4" w:rsidR="00C92A22" w:rsidRDefault="00C92A22" w:rsidP="00C92A22">
      <w:r w:rsidRPr="341D7B9C">
        <w:rPr>
          <w:lang w:val="es-ES"/>
        </w:rPr>
        <w:t>Teniendo en cuenta la finalización del período de transición planteado en la Resolución CREG 101 040 de 2024</w:t>
      </w:r>
      <w:r w:rsidR="000E5D8F">
        <w:rPr>
          <w:lang w:val="es-ES"/>
        </w:rPr>
        <w:t xml:space="preserve">, </w:t>
      </w:r>
      <w:r w:rsidRPr="341D7B9C">
        <w:rPr>
          <w:lang w:val="es-ES"/>
        </w:rPr>
        <w:t>se recomienda que el proyecto de resolución que contiene la alternativa 2 se publique para consulta de los agentes y terceros interesados por un período de 3 días calendario.</w:t>
      </w:r>
    </w:p>
    <w:p w14:paraId="72C6313E" w14:textId="77777777" w:rsidR="00C92A22" w:rsidRDefault="00C92A22" w:rsidP="00C92A22"/>
    <w:p w14:paraId="385C16FA" w14:textId="77777777" w:rsidR="00C92A22" w:rsidRDefault="00C92A22" w:rsidP="00C92A22">
      <w:r w:rsidRPr="341D7B9C">
        <w:rPr>
          <w:lang w:val="es-ES"/>
        </w:rPr>
        <w:t xml:space="preserve">En conclusión, la alternativa podría contribuir con los objetivos de: </w:t>
      </w:r>
      <w:r w:rsidRPr="341D7B9C">
        <w:rPr>
          <w:rFonts w:cs="Arial"/>
          <w:lang w:val="es-ES"/>
        </w:rPr>
        <w:t xml:space="preserve">i) mantener el incentivo a realizar pronósticos de generación ajustados, garantizando la seguridad y la eficiencia en la operación del sistema; </w:t>
      </w:r>
      <w:proofErr w:type="spellStart"/>
      <w:r w:rsidRPr="341D7B9C">
        <w:rPr>
          <w:rFonts w:cs="Arial"/>
          <w:lang w:val="es-ES"/>
        </w:rPr>
        <w:t>ii</w:t>
      </w:r>
      <w:proofErr w:type="spellEnd"/>
      <w:r w:rsidRPr="341D7B9C">
        <w:rPr>
          <w:rFonts w:cs="Arial"/>
          <w:lang w:val="es-ES"/>
        </w:rPr>
        <w:t xml:space="preserve">) dar flexibilidad a los pronósticos de recursos de generación variable sin capacidad de regulación y </w:t>
      </w:r>
      <w:proofErr w:type="spellStart"/>
      <w:r w:rsidRPr="341D7B9C">
        <w:rPr>
          <w:rFonts w:cs="Arial"/>
          <w:lang w:val="es-ES"/>
        </w:rPr>
        <w:t>iii</w:t>
      </w:r>
      <w:proofErr w:type="spellEnd"/>
      <w:r w:rsidRPr="341D7B9C">
        <w:rPr>
          <w:rFonts w:cs="Arial"/>
          <w:lang w:val="es-ES"/>
        </w:rPr>
        <w:t xml:space="preserve">) aportar señales para la migración del mercado de corto plazo al mercado </w:t>
      </w:r>
      <w:proofErr w:type="spellStart"/>
      <w:r w:rsidRPr="341D7B9C">
        <w:rPr>
          <w:rFonts w:cs="Arial"/>
          <w:lang w:val="es-ES"/>
        </w:rPr>
        <w:t>intradiario</w:t>
      </w:r>
      <w:proofErr w:type="spellEnd"/>
      <w:r w:rsidRPr="341D7B9C">
        <w:rPr>
          <w:lang w:val="es-ES"/>
        </w:rPr>
        <w:t>. De la misma manera, la alternativa seleccionada contribuye a que no se vea afectada la financiación de los proyectos de plantas variables.</w:t>
      </w:r>
    </w:p>
    <w:bookmarkEnd w:id="0"/>
    <w:bookmarkEnd w:id="1"/>
    <w:p w14:paraId="1AB03CE1" w14:textId="742A25B0" w:rsidR="00C92A22" w:rsidRPr="00CF5992" w:rsidRDefault="00C92A22" w:rsidP="00CF5992">
      <w:pPr>
        <w:jc w:val="left"/>
        <w:rPr>
          <w:i/>
          <w:sz w:val="22"/>
        </w:rPr>
      </w:pPr>
    </w:p>
    <w:sectPr w:rsidR="00C92A22" w:rsidRPr="00CF5992" w:rsidSect="00DD7346">
      <w:headerReference w:type="default" r:id="rId31"/>
      <w:footerReference w:type="default" r:id="rId32"/>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E8B3A" w14:textId="77777777" w:rsidR="00DC5D08" w:rsidRDefault="00DC5D08">
      <w:r>
        <w:separator/>
      </w:r>
    </w:p>
  </w:endnote>
  <w:endnote w:type="continuationSeparator" w:id="0">
    <w:p w14:paraId="2D12C973" w14:textId="77777777" w:rsidR="00DC5D08" w:rsidRDefault="00DC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D0A9" w14:textId="1641EBEE" w:rsidR="0077100C" w:rsidRDefault="00BC7D69" w:rsidP="0077100C">
    <w:pPr>
      <w:pStyle w:val="Piedepgina"/>
      <w:rPr>
        <w:b/>
        <w:sz w:val="16"/>
        <w:lang w:val="es-CO"/>
      </w:rPr>
    </w:pPr>
    <w:r>
      <w:rPr>
        <w:sz w:val="16"/>
        <w:lang w:val="es-CO"/>
      </w:rPr>
      <w:t xml:space="preserve">D - </w:t>
    </w:r>
    <w:r w:rsidRPr="00BC7D69">
      <w:rPr>
        <w:sz w:val="16"/>
        <w:lang w:val="es-CO"/>
      </w:rPr>
      <w:t>901 102</w:t>
    </w:r>
    <w:r>
      <w:rPr>
        <w:sz w:val="16"/>
        <w:lang w:val="es-CO"/>
      </w:rPr>
      <w:t xml:space="preserve"> DE 2024 - </w:t>
    </w:r>
    <w:r w:rsidRPr="00BC7D69">
      <w:rPr>
        <w:sz w:val="16"/>
        <w:lang w:val="es-CO"/>
      </w:rPr>
      <w:t>MEDIDAS TRANSITORIAS PARA EL CÁLCULO Y EL PAGO DE DESVIACIONES DE LAS PLANTAS VARIABLES</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r w:rsidRPr="00456730">
            <w:rPr>
              <w:rFonts w:cs="Arial"/>
              <w:b/>
              <w:iCs/>
              <w:sz w:val="14"/>
            </w:rPr>
            <w:t>DOCUMENTO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9CC2E" w14:textId="77777777" w:rsidR="00DC5D08" w:rsidRDefault="00DC5D08">
      <w:r>
        <w:separator/>
      </w:r>
    </w:p>
  </w:footnote>
  <w:footnote w:type="continuationSeparator" w:id="0">
    <w:p w14:paraId="1AFD8EA7" w14:textId="77777777" w:rsidR="00DC5D08" w:rsidRDefault="00DC5D08">
      <w:r>
        <w:continuationSeparator/>
      </w:r>
    </w:p>
  </w:footnote>
  <w:footnote w:id="1">
    <w:p w14:paraId="18E54FBD" w14:textId="77777777" w:rsidR="00C92A22" w:rsidRDefault="00C92A22" w:rsidP="00C92A22">
      <w:pPr>
        <w:pStyle w:val="Textonotapie"/>
        <w:rPr>
          <w:lang w:val="es-CO"/>
        </w:rPr>
      </w:pPr>
      <w:r>
        <w:rPr>
          <w:rStyle w:val="Refdenotaalpie"/>
        </w:rPr>
        <w:footnoteRef/>
      </w:r>
      <w:r>
        <w:t xml:space="preserve"> </w:t>
      </w:r>
      <w:r>
        <w:rPr>
          <w:lang w:val="es-CO"/>
        </w:rPr>
        <w:t>Resolución CREG 101 040 de 2024. En línea:</w:t>
      </w:r>
    </w:p>
    <w:p w14:paraId="3030BC5C" w14:textId="77777777" w:rsidR="00C92A22" w:rsidRPr="00100EBE" w:rsidRDefault="00000000" w:rsidP="00C92A22">
      <w:pPr>
        <w:pStyle w:val="Textonotapie"/>
        <w:rPr>
          <w:lang w:val="es-CO"/>
        </w:rPr>
      </w:pPr>
      <w:hyperlink r:id="rId1" w:history="1">
        <w:r w:rsidR="00C92A22" w:rsidRPr="00435212">
          <w:rPr>
            <w:rStyle w:val="Hipervnculo"/>
            <w:lang w:val="es-CO"/>
          </w:rPr>
          <w:t>https://gestornormativo.creg.gov.co/gestor/entorno/docs/originales/Resoluci%C3%B3n_CREG_101_%20040_2024/</w:t>
        </w:r>
      </w:hyperlink>
      <w:r w:rsidR="00C92A22">
        <w:rPr>
          <w:lang w:val="es-CO"/>
        </w:rPr>
        <w:t xml:space="preserve"> </w:t>
      </w:r>
    </w:p>
  </w:footnote>
  <w:footnote w:id="2">
    <w:p w14:paraId="32F1E466" w14:textId="77777777" w:rsidR="00006A64" w:rsidRDefault="00006A64" w:rsidP="00006A64">
      <w:pPr>
        <w:pStyle w:val="Textonotapie"/>
      </w:pPr>
      <w:r>
        <w:rPr>
          <w:rStyle w:val="Refdenotaalpie"/>
        </w:rPr>
        <w:footnoteRef/>
      </w:r>
      <w:r>
        <w:t xml:space="preserve"> </w:t>
      </w:r>
      <w:r w:rsidRPr="009A0E6B">
        <w:t>Por la cual se establecen los criterios para la asignación entre los agentes del SIN de los costos asociados con las Generaciones de Seguridad y se modifican las disposiciones vigentes en materia de Reconciliaciones, como parte del Reglamento de Operación del SIN.</w:t>
      </w:r>
      <w:r>
        <w:t xml:space="preserve"> </w:t>
      </w:r>
    </w:p>
    <w:p w14:paraId="04D3F061" w14:textId="77777777" w:rsidR="00006A64" w:rsidRPr="009A0E6B" w:rsidRDefault="00006A64" w:rsidP="00006A64">
      <w:pPr>
        <w:pStyle w:val="Textonotapie"/>
        <w:rPr>
          <w:lang w:val="es-MX"/>
        </w:rPr>
      </w:pPr>
    </w:p>
  </w:footnote>
  <w:footnote w:id="3">
    <w:p w14:paraId="51B96C1D" w14:textId="77777777" w:rsidR="00006A64" w:rsidRDefault="00006A64" w:rsidP="00006A64">
      <w:pPr>
        <w:pStyle w:val="Textonotapie"/>
      </w:pPr>
      <w:r>
        <w:rPr>
          <w:rStyle w:val="Refdenotaalpie"/>
        </w:rPr>
        <w:footnoteRef/>
      </w:r>
      <w:r>
        <w:t xml:space="preserve"> Cuando la generación real es superior al despacho ideal. </w:t>
      </w:r>
    </w:p>
    <w:p w14:paraId="51757B30" w14:textId="77777777" w:rsidR="00006A64" w:rsidRPr="00166CF6" w:rsidRDefault="00006A64" w:rsidP="00006A64">
      <w:pPr>
        <w:pStyle w:val="Textonotapie"/>
        <w:rPr>
          <w:lang w:val="es-MX"/>
        </w:rPr>
      </w:pPr>
    </w:p>
  </w:footnote>
  <w:footnote w:id="4">
    <w:p w14:paraId="2303B46F" w14:textId="77777777" w:rsidR="00006A64" w:rsidRDefault="00006A64" w:rsidP="00006A64">
      <w:pPr>
        <w:pStyle w:val="Textonotapie"/>
        <w:rPr>
          <w:lang w:val="es-MX"/>
        </w:rPr>
      </w:pPr>
      <w:r>
        <w:rPr>
          <w:rStyle w:val="Refdenotaalpie"/>
        </w:rPr>
        <w:footnoteRef/>
      </w:r>
      <w:r>
        <w:t xml:space="preserve"> </w:t>
      </w:r>
      <w:r>
        <w:rPr>
          <w:lang w:val="es-MX"/>
        </w:rPr>
        <w:t xml:space="preserve">Articulo 3 Resolución CREG 034 de 2001. </w:t>
      </w:r>
      <w:r w:rsidRPr="00A21CD0">
        <w:rPr>
          <w:lang w:val="es-MX"/>
        </w:rPr>
        <w:t>El precio de Reconciliación Negativa corresponde al valor a devolver por el agente generador cuya generación ideal es superior a su generación real.</w:t>
      </w:r>
    </w:p>
    <w:p w14:paraId="602DD18D" w14:textId="77777777" w:rsidR="00006A64" w:rsidRPr="005858DF" w:rsidRDefault="00006A64" w:rsidP="00006A64">
      <w:pPr>
        <w:pStyle w:val="Textonotapie"/>
        <w:rPr>
          <w:lang w:val="es-MX"/>
        </w:rPr>
      </w:pPr>
    </w:p>
  </w:footnote>
  <w:footnote w:id="5">
    <w:p w14:paraId="5C2527D4" w14:textId="77777777" w:rsidR="00B26466" w:rsidRDefault="00B26466" w:rsidP="00B26466">
      <w:pPr>
        <w:pStyle w:val="Textonotapie"/>
      </w:pPr>
      <w:r>
        <w:rPr>
          <w:rStyle w:val="Refdenotaalpie"/>
        </w:rPr>
        <w:footnoteRef/>
      </w:r>
      <w:r>
        <w:t xml:space="preserve"> </w:t>
      </w:r>
      <w:hyperlink r:id="rId2" w:history="1">
        <w:r>
          <w:rPr>
            <w:rStyle w:val="Hipervnculo"/>
          </w:rPr>
          <w:t>Páginas - Informe Mensuales de Análisis del Mercado (xm.com.co)</w:t>
        </w:r>
      </w:hyperlink>
    </w:p>
    <w:p w14:paraId="1875E641" w14:textId="77777777" w:rsidR="00B26466" w:rsidRDefault="00B26466" w:rsidP="00B26466">
      <w:pPr>
        <w:pStyle w:val="Textonotapie"/>
      </w:pPr>
    </w:p>
    <w:p w14:paraId="7E0F1736" w14:textId="77777777" w:rsidR="00B26466" w:rsidRPr="00764331" w:rsidRDefault="00000000" w:rsidP="00B26466">
      <w:pPr>
        <w:pStyle w:val="Textonotapie"/>
        <w:rPr>
          <w:lang w:val="es-MX"/>
        </w:rPr>
      </w:pPr>
      <w:hyperlink r:id="rId3" w:history="1">
        <w:r w:rsidR="00B26466">
          <w:rPr>
            <w:rStyle w:val="Hipervnculo"/>
          </w:rPr>
          <w:t>04_Informe_Restricciones_02_2024.pdf (xm.com.co)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9B3" w14:textId="2C8C85E7" w:rsidR="00020441" w:rsidRDefault="00020441">
    <w:pPr>
      <w:pStyle w:val="Encabezado"/>
    </w:pPr>
    <w:r>
      <w:rPr>
        <w:rFonts w:cs="Arial"/>
        <w:b/>
        <w:i/>
        <w:color w:val="808080"/>
        <w:sz w:val="16"/>
      </w:rPr>
      <w:t>Sesión No.</w:t>
    </w:r>
    <w:r w:rsidR="00E74AE5">
      <w:rPr>
        <w:rFonts w:cs="Arial"/>
        <w:b/>
        <w:i/>
        <w:color w:val="808080"/>
        <w:sz w:val="16"/>
      </w:rPr>
      <w:t xml:space="preserve"> 1323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2B6D2BC2"/>
    <w:multiLevelType w:val="hybridMultilevel"/>
    <w:tmpl w:val="E0907682"/>
    <w:lvl w:ilvl="0" w:tplc="FFFFFFFF">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408D1783"/>
    <w:multiLevelType w:val="hybridMultilevel"/>
    <w:tmpl w:val="4D8A3F0E"/>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1673A4"/>
    <w:multiLevelType w:val="hybridMultilevel"/>
    <w:tmpl w:val="4D8A3F0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2E43C8"/>
    <w:multiLevelType w:val="hybridMultilevel"/>
    <w:tmpl w:val="DB76B6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4DF2A69"/>
    <w:multiLevelType w:val="hybridMultilevel"/>
    <w:tmpl w:val="A7DE77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2" w15:restartNumberingAfterBreak="0">
    <w:nsid w:val="6E5B59E4"/>
    <w:multiLevelType w:val="hybridMultilevel"/>
    <w:tmpl w:val="BF9658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872976">
    <w:abstractNumId w:val="1"/>
  </w:num>
  <w:num w:numId="2" w16cid:durableId="801968684">
    <w:abstractNumId w:val="1"/>
  </w:num>
  <w:num w:numId="3" w16cid:durableId="2073001526">
    <w:abstractNumId w:val="1"/>
  </w:num>
  <w:num w:numId="4" w16cid:durableId="780993275">
    <w:abstractNumId w:val="1"/>
  </w:num>
  <w:num w:numId="5" w16cid:durableId="493184022">
    <w:abstractNumId w:val="1"/>
  </w:num>
  <w:num w:numId="6" w16cid:durableId="449592109">
    <w:abstractNumId w:val="1"/>
  </w:num>
  <w:num w:numId="7" w16cid:durableId="1909227231">
    <w:abstractNumId w:val="11"/>
  </w:num>
  <w:num w:numId="8" w16cid:durableId="467629627">
    <w:abstractNumId w:val="9"/>
  </w:num>
  <w:num w:numId="9" w16cid:durableId="959071692">
    <w:abstractNumId w:val="13"/>
  </w:num>
  <w:num w:numId="10" w16cid:durableId="2118718905">
    <w:abstractNumId w:val="14"/>
  </w:num>
  <w:num w:numId="11" w16cid:durableId="811794889">
    <w:abstractNumId w:val="10"/>
  </w:num>
  <w:num w:numId="12" w16cid:durableId="196089711">
    <w:abstractNumId w:val="8"/>
  </w:num>
  <w:num w:numId="13" w16cid:durableId="983437049">
    <w:abstractNumId w:val="0"/>
  </w:num>
  <w:num w:numId="14" w16cid:durableId="1867281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3"/>
  </w:num>
  <w:num w:numId="16" w16cid:durableId="676034840">
    <w:abstractNumId w:val="12"/>
  </w:num>
  <w:num w:numId="17" w16cid:durableId="2043247002">
    <w:abstractNumId w:val="7"/>
  </w:num>
  <w:num w:numId="18" w16cid:durableId="618029299">
    <w:abstractNumId w:val="4"/>
  </w:num>
  <w:num w:numId="19" w16cid:durableId="920018208">
    <w:abstractNumId w:val="5"/>
  </w:num>
  <w:num w:numId="20" w16cid:durableId="1506704303">
    <w:abstractNumId w:val="2"/>
  </w:num>
  <w:num w:numId="21" w16cid:durableId="625502016">
    <w:abstractNumId w:val="1"/>
  </w:num>
  <w:num w:numId="22" w16cid:durableId="716274952">
    <w:abstractNumId w:val="1"/>
  </w:num>
  <w:num w:numId="23" w16cid:durableId="51322883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6A64"/>
    <w:rsid w:val="00012759"/>
    <w:rsid w:val="00020441"/>
    <w:rsid w:val="000217DB"/>
    <w:rsid w:val="00041B12"/>
    <w:rsid w:val="00052C88"/>
    <w:rsid w:val="00056DFC"/>
    <w:rsid w:val="00066421"/>
    <w:rsid w:val="00077D89"/>
    <w:rsid w:val="00096C50"/>
    <w:rsid w:val="000B5AD2"/>
    <w:rsid w:val="000E5D8F"/>
    <w:rsid w:val="000E6A9D"/>
    <w:rsid w:val="00103986"/>
    <w:rsid w:val="0010544E"/>
    <w:rsid w:val="0015231C"/>
    <w:rsid w:val="00160A02"/>
    <w:rsid w:val="001700C2"/>
    <w:rsid w:val="00172DD4"/>
    <w:rsid w:val="00175D3B"/>
    <w:rsid w:val="00186477"/>
    <w:rsid w:val="00194F02"/>
    <w:rsid w:val="001C7410"/>
    <w:rsid w:val="002015B8"/>
    <w:rsid w:val="00207514"/>
    <w:rsid w:val="00220D0D"/>
    <w:rsid w:val="00242826"/>
    <w:rsid w:val="00277DD8"/>
    <w:rsid w:val="0028466C"/>
    <w:rsid w:val="00287B4B"/>
    <w:rsid w:val="00295CD9"/>
    <w:rsid w:val="002E19C4"/>
    <w:rsid w:val="002E361C"/>
    <w:rsid w:val="002F6BC4"/>
    <w:rsid w:val="00322372"/>
    <w:rsid w:val="003320D3"/>
    <w:rsid w:val="00335B1F"/>
    <w:rsid w:val="00342D19"/>
    <w:rsid w:val="00346BC3"/>
    <w:rsid w:val="003626D3"/>
    <w:rsid w:val="003642B0"/>
    <w:rsid w:val="0038050C"/>
    <w:rsid w:val="003C55ED"/>
    <w:rsid w:val="0040539F"/>
    <w:rsid w:val="004170A6"/>
    <w:rsid w:val="00420F87"/>
    <w:rsid w:val="00446983"/>
    <w:rsid w:val="00456730"/>
    <w:rsid w:val="004914CA"/>
    <w:rsid w:val="004A733B"/>
    <w:rsid w:val="004B0F92"/>
    <w:rsid w:val="004D509D"/>
    <w:rsid w:val="004E3965"/>
    <w:rsid w:val="004E4022"/>
    <w:rsid w:val="004F0E6A"/>
    <w:rsid w:val="004F7F3E"/>
    <w:rsid w:val="005042D3"/>
    <w:rsid w:val="005074C3"/>
    <w:rsid w:val="00517002"/>
    <w:rsid w:val="00526E50"/>
    <w:rsid w:val="0054039F"/>
    <w:rsid w:val="00587047"/>
    <w:rsid w:val="005A4F42"/>
    <w:rsid w:val="005A6C51"/>
    <w:rsid w:val="005B50C1"/>
    <w:rsid w:val="005B680C"/>
    <w:rsid w:val="005D26BC"/>
    <w:rsid w:val="005E21FD"/>
    <w:rsid w:val="005E4346"/>
    <w:rsid w:val="0060207B"/>
    <w:rsid w:val="00640798"/>
    <w:rsid w:val="00650478"/>
    <w:rsid w:val="00655991"/>
    <w:rsid w:val="0066453F"/>
    <w:rsid w:val="0066461F"/>
    <w:rsid w:val="00667E0B"/>
    <w:rsid w:val="006864FD"/>
    <w:rsid w:val="0069525D"/>
    <w:rsid w:val="006B1CEA"/>
    <w:rsid w:val="006B3EF0"/>
    <w:rsid w:val="006C01E5"/>
    <w:rsid w:val="006E1029"/>
    <w:rsid w:val="006E1AB3"/>
    <w:rsid w:val="006E3859"/>
    <w:rsid w:val="006E612E"/>
    <w:rsid w:val="006F6017"/>
    <w:rsid w:val="00717554"/>
    <w:rsid w:val="0072189A"/>
    <w:rsid w:val="007319DB"/>
    <w:rsid w:val="0073279B"/>
    <w:rsid w:val="0074297C"/>
    <w:rsid w:val="00765B90"/>
    <w:rsid w:val="0077100C"/>
    <w:rsid w:val="007864F4"/>
    <w:rsid w:val="007E0711"/>
    <w:rsid w:val="00836DB7"/>
    <w:rsid w:val="00841F2F"/>
    <w:rsid w:val="00842447"/>
    <w:rsid w:val="00844067"/>
    <w:rsid w:val="008A3820"/>
    <w:rsid w:val="008B4A97"/>
    <w:rsid w:val="008B734F"/>
    <w:rsid w:val="008E4772"/>
    <w:rsid w:val="008E4B18"/>
    <w:rsid w:val="008F5A0E"/>
    <w:rsid w:val="008F7D49"/>
    <w:rsid w:val="00900ED7"/>
    <w:rsid w:val="00933069"/>
    <w:rsid w:val="00935705"/>
    <w:rsid w:val="00954B4E"/>
    <w:rsid w:val="00956F71"/>
    <w:rsid w:val="009640AD"/>
    <w:rsid w:val="0098175C"/>
    <w:rsid w:val="00995745"/>
    <w:rsid w:val="009C08C1"/>
    <w:rsid w:val="009F44D1"/>
    <w:rsid w:val="00A0364E"/>
    <w:rsid w:val="00A04813"/>
    <w:rsid w:val="00A15852"/>
    <w:rsid w:val="00A16CCF"/>
    <w:rsid w:val="00A2276C"/>
    <w:rsid w:val="00A30D43"/>
    <w:rsid w:val="00A75117"/>
    <w:rsid w:val="00A82A8F"/>
    <w:rsid w:val="00A93EB7"/>
    <w:rsid w:val="00AC6BAE"/>
    <w:rsid w:val="00AD41A0"/>
    <w:rsid w:val="00AE4130"/>
    <w:rsid w:val="00AE4628"/>
    <w:rsid w:val="00B26466"/>
    <w:rsid w:val="00B26C77"/>
    <w:rsid w:val="00B367F0"/>
    <w:rsid w:val="00B425AB"/>
    <w:rsid w:val="00B465B5"/>
    <w:rsid w:val="00B60742"/>
    <w:rsid w:val="00B60C56"/>
    <w:rsid w:val="00B81BF9"/>
    <w:rsid w:val="00B85E63"/>
    <w:rsid w:val="00B94CF0"/>
    <w:rsid w:val="00BC1E2B"/>
    <w:rsid w:val="00BC7D69"/>
    <w:rsid w:val="00BD3BB7"/>
    <w:rsid w:val="00BE2C84"/>
    <w:rsid w:val="00C32062"/>
    <w:rsid w:val="00C40736"/>
    <w:rsid w:val="00C75679"/>
    <w:rsid w:val="00C92A22"/>
    <w:rsid w:val="00CA5CE2"/>
    <w:rsid w:val="00CB67B8"/>
    <w:rsid w:val="00CB7AD8"/>
    <w:rsid w:val="00CD3AA7"/>
    <w:rsid w:val="00CE1F58"/>
    <w:rsid w:val="00CF22A6"/>
    <w:rsid w:val="00CF5992"/>
    <w:rsid w:val="00D13904"/>
    <w:rsid w:val="00D15CD1"/>
    <w:rsid w:val="00D16CD3"/>
    <w:rsid w:val="00D26281"/>
    <w:rsid w:val="00D3123C"/>
    <w:rsid w:val="00D45984"/>
    <w:rsid w:val="00D5141B"/>
    <w:rsid w:val="00D54AD1"/>
    <w:rsid w:val="00D70E20"/>
    <w:rsid w:val="00D85861"/>
    <w:rsid w:val="00D9103A"/>
    <w:rsid w:val="00DB5FB9"/>
    <w:rsid w:val="00DB6372"/>
    <w:rsid w:val="00DC4CA3"/>
    <w:rsid w:val="00DC5D08"/>
    <w:rsid w:val="00DD12AF"/>
    <w:rsid w:val="00DD7346"/>
    <w:rsid w:val="00DF25B4"/>
    <w:rsid w:val="00E166D7"/>
    <w:rsid w:val="00E32F59"/>
    <w:rsid w:val="00E33E21"/>
    <w:rsid w:val="00E47A91"/>
    <w:rsid w:val="00E528E4"/>
    <w:rsid w:val="00E5451A"/>
    <w:rsid w:val="00E7209B"/>
    <w:rsid w:val="00E74AE5"/>
    <w:rsid w:val="00EA424C"/>
    <w:rsid w:val="00EA6A61"/>
    <w:rsid w:val="00EA6C1E"/>
    <w:rsid w:val="00EB5413"/>
    <w:rsid w:val="00ED33FA"/>
    <w:rsid w:val="00ED3787"/>
    <w:rsid w:val="00EF7184"/>
    <w:rsid w:val="00F03A5A"/>
    <w:rsid w:val="00F12D6B"/>
    <w:rsid w:val="00F24455"/>
    <w:rsid w:val="00F26CF5"/>
    <w:rsid w:val="00F40D91"/>
    <w:rsid w:val="00F44DB0"/>
    <w:rsid w:val="00F57719"/>
    <w:rsid w:val="00F6330F"/>
    <w:rsid w:val="00F83DE5"/>
    <w:rsid w:val="00F840D8"/>
    <w:rsid w:val="00FA61B5"/>
    <w:rsid w:val="00FB4B26"/>
    <w:rsid w:val="00FC4C63"/>
    <w:rsid w:val="00FD66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uiPriority w:val="39"/>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aliases w:val="Párrafo de lista1"/>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styleId="TtuloTDC">
    <w:name w:val="TOC Heading"/>
    <w:basedOn w:val="Ttulo1"/>
    <w:next w:val="Normal"/>
    <w:uiPriority w:val="39"/>
    <w:semiHidden/>
    <w:unhideWhenUsed/>
    <w:qFormat/>
    <w:rsid w:val="00C92A22"/>
    <w:pPr>
      <w:keepLines/>
      <w:numPr>
        <w:numId w:val="0"/>
      </w:numPr>
      <w:suppressAutoHyphens w:val="0"/>
      <w:spacing w:before="240" w:after="0"/>
      <w:outlineLvl w:val="9"/>
    </w:pPr>
    <w:rPr>
      <w:rFonts w:asciiTheme="majorHAnsi" w:eastAsiaTheme="majorEastAsia" w:hAnsiTheme="majorHAnsi" w:cstheme="majorBidi"/>
      <w:b w:val="0"/>
      <w:color w:val="2E74B5" w:themeColor="accent1" w:themeShade="BF"/>
      <w:sz w:val="32"/>
      <w:szCs w:val="32"/>
    </w:rPr>
  </w:style>
  <w:style w:type="character" w:customStyle="1" w:styleId="PrrafodelistaCar">
    <w:name w:val="Párrafo de lista Car"/>
    <w:aliases w:val="Párrafo de lista1 Car"/>
    <w:link w:val="Prrafodelista"/>
    <w:uiPriority w:val="34"/>
    <w:rsid w:val="00C92A22"/>
    <w:rPr>
      <w:rFonts w:ascii="Arial" w:hAnsi="Arial"/>
      <w:sz w:val="24"/>
      <w:lang w:val="es-ES_tradnl" w:eastAsia="es-ES"/>
    </w:rPr>
  </w:style>
  <w:style w:type="paragraph" w:styleId="Descripcin">
    <w:name w:val="caption"/>
    <w:basedOn w:val="Normal"/>
    <w:next w:val="Normal"/>
    <w:uiPriority w:val="35"/>
    <w:qFormat/>
    <w:rsid w:val="00C92A22"/>
    <w:pPr>
      <w:spacing w:after="200"/>
    </w:pPr>
    <w:rPr>
      <w:i/>
      <w:iCs/>
      <w:color w:val="44546A" w:themeColor="text2"/>
      <w:sz w:val="18"/>
      <w:szCs w:val="18"/>
    </w:rPr>
  </w:style>
  <w:style w:type="table" w:styleId="Tablaconcuadrcula1clara-nfasis1">
    <w:name w:val="Grid Table 1 Light Accent 1"/>
    <w:basedOn w:val="Tablanormal"/>
    <w:uiPriority w:val="46"/>
    <w:rsid w:val="00C92A2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Estilo5">
    <w:name w:val="Estilo5"/>
    <w:basedOn w:val="Normal"/>
    <w:qFormat/>
    <w:rsid w:val="00C92A22"/>
    <w:pPr>
      <w:keepNext/>
      <w:spacing w:before="240" w:after="60"/>
      <w:outlineLvl w:val="0"/>
    </w:pPr>
    <w:rPr>
      <w:rFonts w:ascii="Bookman Old Style" w:hAnsi="Bookman Old Style"/>
      <w:b/>
      <w:kern w:val="28"/>
      <w:szCs w:val="22"/>
      <w:lang w:eastAsia="es-CO"/>
    </w:rPr>
  </w:style>
  <w:style w:type="table" w:styleId="Tablaconcuadrcula1clara-nfasis5">
    <w:name w:val="Grid Table 1 Light Accent 5"/>
    <w:basedOn w:val="Tablanormal"/>
    <w:uiPriority w:val="46"/>
    <w:rsid w:val="00C92A2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26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s://www.xm.com.co/operaci%C3%B3n/planeaci%C3%B3n/planeaci%C3%B3n-controles/par%C3%A1metros-requeridos-para-la-regulaci%C3%B3n-secundaria-de-frecuenc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image" Target="media/image4.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3.png"/><Relationship Id="rId27" Type="http://schemas.openxmlformats.org/officeDocument/2006/relationships/hyperlink" Target="https://www.xm.com.co/operaci%C3%B3n/planeaci%C3%B3n/planeaci%C3%B3n-controles/par%C3%A1metros-requeridos-para-la-regulaci%C3%B3n-secundaria-de-frecuencia" TargetMode="External"/><Relationship Id="rId30" Type="http://schemas.openxmlformats.org/officeDocument/2006/relationships/hyperlink" Target="https://paratec.xm.com.co/paratec/SitePages/generacion.aspx?q=capacidad"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sinergox.xm.com.co/infms/_layouts/15/WopiFrame.aspx?sourcedoc=%7b7A3A9479-5B7E-4221-881A-7DBED9B18FEA%7d&amp;file=04_Informe_Restricciones_02_2024.pdf&amp;action=default" TargetMode="External"/><Relationship Id="rId2" Type="http://schemas.openxmlformats.org/officeDocument/2006/relationships/hyperlink" Target="https://sinergox.xm.com.co/infms/Paginas/Informe-mensules-de-analisis-del-mercado.aspx?RootFolder=%2Finfms%2FInformes%20Mensuales%2F2024&amp;FolderCTID=0x012000C6B40FAEE443284C93541A299035CDAF&amp;View=%7B2F6EFE74%2D3DEB%2D4A58%2D96C8%2D157223B1A373%7D" TargetMode="External"/><Relationship Id="rId1" Type="http://schemas.openxmlformats.org/officeDocument/2006/relationships/hyperlink" Target="https://gestornormativo.creg.gov.co/gestor/entorno/docs/originales/Resoluci%C3%B3n_CREG_101_%20040_202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692418865598458E-2"/>
          <c:y val="3.7774914961895445E-2"/>
          <c:w val="0.8978471653891561"/>
          <c:h val="0.73938643254364922"/>
        </c:manualLayout>
      </c:layout>
      <c:lineChart>
        <c:grouping val="standard"/>
        <c:varyColors val="0"/>
        <c:ser>
          <c:idx val="0"/>
          <c:order val="0"/>
          <c:tx>
            <c:strRef>
              <c:f>Hoja1!$B$1</c:f>
              <c:strCache>
                <c:ptCount val="1"/>
                <c:pt idx="0">
                  <c:v>Precio Bolsa promedio día</c:v>
                </c:pt>
              </c:strCache>
            </c:strRef>
          </c:tx>
          <c:spPr>
            <a:ln w="28575" cap="rnd">
              <a:solidFill>
                <a:schemeClr val="accent1"/>
              </a:solidFill>
              <a:round/>
            </a:ln>
            <a:effectLst/>
          </c:spPr>
          <c:marker>
            <c:symbol val="none"/>
          </c:marker>
          <c:cat>
            <c:numRef>
              <c:f>Hoja1!$A$2:$A$62</c:f>
              <c:numCache>
                <c:formatCode>m/d/yyyy</c:formatCode>
                <c:ptCount val="61"/>
                <c:pt idx="0">
                  <c:v>45383</c:v>
                </c:pt>
                <c:pt idx="1">
                  <c:v>45384</c:v>
                </c:pt>
                <c:pt idx="2">
                  <c:v>45385</c:v>
                </c:pt>
                <c:pt idx="3">
                  <c:v>45386</c:v>
                </c:pt>
                <c:pt idx="4">
                  <c:v>45387</c:v>
                </c:pt>
                <c:pt idx="5">
                  <c:v>45388</c:v>
                </c:pt>
                <c:pt idx="6">
                  <c:v>45389</c:v>
                </c:pt>
                <c:pt idx="7">
                  <c:v>45390</c:v>
                </c:pt>
                <c:pt idx="8">
                  <c:v>45391</c:v>
                </c:pt>
                <c:pt idx="9">
                  <c:v>45392</c:v>
                </c:pt>
                <c:pt idx="10">
                  <c:v>45393</c:v>
                </c:pt>
                <c:pt idx="11">
                  <c:v>45394</c:v>
                </c:pt>
                <c:pt idx="12">
                  <c:v>45395</c:v>
                </c:pt>
                <c:pt idx="13">
                  <c:v>45396</c:v>
                </c:pt>
                <c:pt idx="14">
                  <c:v>45397</c:v>
                </c:pt>
                <c:pt idx="15">
                  <c:v>45398</c:v>
                </c:pt>
                <c:pt idx="16">
                  <c:v>45399</c:v>
                </c:pt>
                <c:pt idx="17">
                  <c:v>45400</c:v>
                </c:pt>
                <c:pt idx="18">
                  <c:v>45401</c:v>
                </c:pt>
                <c:pt idx="19">
                  <c:v>45402</c:v>
                </c:pt>
                <c:pt idx="20">
                  <c:v>45403</c:v>
                </c:pt>
                <c:pt idx="21">
                  <c:v>45404</c:v>
                </c:pt>
                <c:pt idx="22">
                  <c:v>45405</c:v>
                </c:pt>
                <c:pt idx="23">
                  <c:v>45406</c:v>
                </c:pt>
                <c:pt idx="24">
                  <c:v>45407</c:v>
                </c:pt>
                <c:pt idx="25">
                  <c:v>45408</c:v>
                </c:pt>
                <c:pt idx="26">
                  <c:v>45409</c:v>
                </c:pt>
                <c:pt idx="27">
                  <c:v>45410</c:v>
                </c:pt>
                <c:pt idx="28">
                  <c:v>45411</c:v>
                </c:pt>
                <c:pt idx="29">
                  <c:v>45412</c:v>
                </c:pt>
                <c:pt idx="30">
                  <c:v>45413</c:v>
                </c:pt>
                <c:pt idx="31">
                  <c:v>45414</c:v>
                </c:pt>
                <c:pt idx="32">
                  <c:v>45415</c:v>
                </c:pt>
                <c:pt idx="33">
                  <c:v>45416</c:v>
                </c:pt>
                <c:pt idx="34">
                  <c:v>45417</c:v>
                </c:pt>
                <c:pt idx="35">
                  <c:v>45418</c:v>
                </c:pt>
                <c:pt idx="36">
                  <c:v>45419</c:v>
                </c:pt>
                <c:pt idx="37">
                  <c:v>45420</c:v>
                </c:pt>
                <c:pt idx="38">
                  <c:v>45421</c:v>
                </c:pt>
                <c:pt idx="39">
                  <c:v>45422</c:v>
                </c:pt>
                <c:pt idx="40">
                  <c:v>45423</c:v>
                </c:pt>
                <c:pt idx="41">
                  <c:v>45424</c:v>
                </c:pt>
                <c:pt idx="42">
                  <c:v>45425</c:v>
                </c:pt>
                <c:pt idx="43">
                  <c:v>45426</c:v>
                </c:pt>
                <c:pt idx="44">
                  <c:v>45427</c:v>
                </c:pt>
                <c:pt idx="45">
                  <c:v>45428</c:v>
                </c:pt>
                <c:pt idx="46">
                  <c:v>45429</c:v>
                </c:pt>
                <c:pt idx="47">
                  <c:v>45430</c:v>
                </c:pt>
                <c:pt idx="48">
                  <c:v>45431</c:v>
                </c:pt>
                <c:pt idx="49">
                  <c:v>45432</c:v>
                </c:pt>
                <c:pt idx="50">
                  <c:v>45433</c:v>
                </c:pt>
                <c:pt idx="51">
                  <c:v>45434</c:v>
                </c:pt>
                <c:pt idx="52">
                  <c:v>45435</c:v>
                </c:pt>
                <c:pt idx="53">
                  <c:v>45436</c:v>
                </c:pt>
                <c:pt idx="54">
                  <c:v>45437</c:v>
                </c:pt>
                <c:pt idx="55">
                  <c:v>45438</c:v>
                </c:pt>
                <c:pt idx="56">
                  <c:v>45439</c:v>
                </c:pt>
                <c:pt idx="57">
                  <c:v>45440</c:v>
                </c:pt>
                <c:pt idx="58">
                  <c:v>45441</c:v>
                </c:pt>
                <c:pt idx="59">
                  <c:v>45442</c:v>
                </c:pt>
                <c:pt idx="60">
                  <c:v>45443</c:v>
                </c:pt>
              </c:numCache>
            </c:numRef>
          </c:cat>
          <c:val>
            <c:numRef>
              <c:f>Hoja1!$B$2:$B$62</c:f>
              <c:numCache>
                <c:formatCode>#,##0</c:formatCode>
                <c:ptCount val="61"/>
                <c:pt idx="0">
                  <c:v>854.45</c:v>
                </c:pt>
                <c:pt idx="1">
                  <c:v>1031.55</c:v>
                </c:pt>
                <c:pt idx="2">
                  <c:v>1234.52</c:v>
                </c:pt>
                <c:pt idx="3">
                  <c:v>1083.78</c:v>
                </c:pt>
                <c:pt idx="4">
                  <c:v>975.25</c:v>
                </c:pt>
                <c:pt idx="5">
                  <c:v>655.85</c:v>
                </c:pt>
                <c:pt idx="6">
                  <c:v>633.13</c:v>
                </c:pt>
                <c:pt idx="7">
                  <c:v>910.08</c:v>
                </c:pt>
                <c:pt idx="8">
                  <c:v>992.5</c:v>
                </c:pt>
                <c:pt idx="9">
                  <c:v>948.64</c:v>
                </c:pt>
                <c:pt idx="10">
                  <c:v>1030.8800000000001</c:v>
                </c:pt>
                <c:pt idx="11">
                  <c:v>1036.31</c:v>
                </c:pt>
                <c:pt idx="12">
                  <c:v>1019.41</c:v>
                </c:pt>
                <c:pt idx="13">
                  <c:v>1036.8599999999999</c:v>
                </c:pt>
                <c:pt idx="14">
                  <c:v>1078.8399999999999</c:v>
                </c:pt>
                <c:pt idx="15">
                  <c:v>1096.6600000000001</c:v>
                </c:pt>
                <c:pt idx="16">
                  <c:v>1043.1600000000001</c:v>
                </c:pt>
                <c:pt idx="17">
                  <c:v>1039.08</c:v>
                </c:pt>
                <c:pt idx="18">
                  <c:v>1005.91</c:v>
                </c:pt>
                <c:pt idx="19">
                  <c:v>975.99</c:v>
                </c:pt>
                <c:pt idx="20">
                  <c:v>607.80999999999995</c:v>
                </c:pt>
                <c:pt idx="21">
                  <c:v>543.51</c:v>
                </c:pt>
                <c:pt idx="22">
                  <c:v>441.64</c:v>
                </c:pt>
                <c:pt idx="23">
                  <c:v>197.88</c:v>
                </c:pt>
                <c:pt idx="24">
                  <c:v>233.41</c:v>
                </c:pt>
                <c:pt idx="25">
                  <c:v>215.2</c:v>
                </c:pt>
                <c:pt idx="26">
                  <c:v>160.22</c:v>
                </c:pt>
                <c:pt idx="27">
                  <c:v>106.82</c:v>
                </c:pt>
                <c:pt idx="28">
                  <c:v>136.11000000000001</c:v>
                </c:pt>
                <c:pt idx="29">
                  <c:v>128.09</c:v>
                </c:pt>
                <c:pt idx="30">
                  <c:v>147.38999999999999</c:v>
                </c:pt>
                <c:pt idx="31">
                  <c:v>191.9</c:v>
                </c:pt>
                <c:pt idx="32">
                  <c:v>276.20999999999998</c:v>
                </c:pt>
                <c:pt idx="33">
                  <c:v>320.74</c:v>
                </c:pt>
                <c:pt idx="34">
                  <c:v>311.45999999999998</c:v>
                </c:pt>
                <c:pt idx="35">
                  <c:v>303.76</c:v>
                </c:pt>
                <c:pt idx="36">
                  <c:v>287.44</c:v>
                </c:pt>
                <c:pt idx="37">
                  <c:v>292.81</c:v>
                </c:pt>
                <c:pt idx="38">
                  <c:v>262.07</c:v>
                </c:pt>
                <c:pt idx="39">
                  <c:v>245.46</c:v>
                </c:pt>
                <c:pt idx="40">
                  <c:v>221.74</c:v>
                </c:pt>
                <c:pt idx="41">
                  <c:v>145.27000000000001</c:v>
                </c:pt>
                <c:pt idx="42">
                  <c:v>190.97</c:v>
                </c:pt>
                <c:pt idx="43">
                  <c:v>222</c:v>
                </c:pt>
                <c:pt idx="44">
                  <c:v>208.65</c:v>
                </c:pt>
                <c:pt idx="45">
                  <c:v>216.54</c:v>
                </c:pt>
                <c:pt idx="46">
                  <c:v>260.56</c:v>
                </c:pt>
                <c:pt idx="47">
                  <c:v>262.14999999999998</c:v>
                </c:pt>
                <c:pt idx="48">
                  <c:v>196.13</c:v>
                </c:pt>
                <c:pt idx="49">
                  <c:v>286.89999999999998</c:v>
                </c:pt>
                <c:pt idx="50">
                  <c:v>277.54000000000002</c:v>
                </c:pt>
                <c:pt idx="51">
                  <c:v>365.69</c:v>
                </c:pt>
                <c:pt idx="52">
                  <c:v>380.16</c:v>
                </c:pt>
                <c:pt idx="53">
                  <c:v>452.07</c:v>
                </c:pt>
                <c:pt idx="54">
                  <c:v>472.26</c:v>
                </c:pt>
                <c:pt idx="55">
                  <c:v>360.83</c:v>
                </c:pt>
                <c:pt idx="56">
                  <c:v>441.06</c:v>
                </c:pt>
                <c:pt idx="57">
                  <c:v>420.2</c:v>
                </c:pt>
                <c:pt idx="58">
                  <c:v>459.77</c:v>
                </c:pt>
                <c:pt idx="59">
                  <c:v>336.86</c:v>
                </c:pt>
                <c:pt idx="60">
                  <c:v>213.77</c:v>
                </c:pt>
              </c:numCache>
            </c:numRef>
          </c:val>
          <c:smooth val="0"/>
          <c:extLst>
            <c:ext xmlns:c16="http://schemas.microsoft.com/office/drawing/2014/chart" uri="{C3380CC4-5D6E-409C-BE32-E72D297353CC}">
              <c16:uniqueId val="{00000000-4080-43AA-B483-40B69B14184C}"/>
            </c:ext>
          </c:extLst>
        </c:ser>
        <c:ser>
          <c:idx val="2"/>
          <c:order val="1"/>
          <c:tx>
            <c:strRef>
              <c:f>Hoja1!$D$1</c:f>
              <c:strCache>
                <c:ptCount val="1"/>
                <c:pt idx="0">
                  <c:v>Precio Oferta Solar 1</c:v>
                </c:pt>
              </c:strCache>
            </c:strRef>
          </c:tx>
          <c:spPr>
            <a:ln w="28575" cap="rnd">
              <a:solidFill>
                <a:schemeClr val="accent3"/>
              </a:solidFill>
              <a:round/>
            </a:ln>
            <a:effectLst/>
          </c:spPr>
          <c:marker>
            <c:symbol val="none"/>
          </c:marker>
          <c:cat>
            <c:numRef>
              <c:f>Hoja1!$A$2:$A$62</c:f>
              <c:numCache>
                <c:formatCode>m/d/yyyy</c:formatCode>
                <c:ptCount val="61"/>
                <c:pt idx="0">
                  <c:v>45383</c:v>
                </c:pt>
                <c:pt idx="1">
                  <c:v>45384</c:v>
                </c:pt>
                <c:pt idx="2">
                  <c:v>45385</c:v>
                </c:pt>
                <c:pt idx="3">
                  <c:v>45386</c:v>
                </c:pt>
                <c:pt idx="4">
                  <c:v>45387</c:v>
                </c:pt>
                <c:pt idx="5">
                  <c:v>45388</c:v>
                </c:pt>
                <c:pt idx="6">
                  <c:v>45389</c:v>
                </c:pt>
                <c:pt idx="7">
                  <c:v>45390</c:v>
                </c:pt>
                <c:pt idx="8">
                  <c:v>45391</c:v>
                </c:pt>
                <c:pt idx="9">
                  <c:v>45392</c:v>
                </c:pt>
                <c:pt idx="10">
                  <c:v>45393</c:v>
                </c:pt>
                <c:pt idx="11">
                  <c:v>45394</c:v>
                </c:pt>
                <c:pt idx="12">
                  <c:v>45395</c:v>
                </c:pt>
                <c:pt idx="13">
                  <c:v>45396</c:v>
                </c:pt>
                <c:pt idx="14">
                  <c:v>45397</c:v>
                </c:pt>
                <c:pt idx="15">
                  <c:v>45398</c:v>
                </c:pt>
                <c:pt idx="16">
                  <c:v>45399</c:v>
                </c:pt>
                <c:pt idx="17">
                  <c:v>45400</c:v>
                </c:pt>
                <c:pt idx="18">
                  <c:v>45401</c:v>
                </c:pt>
                <c:pt idx="19">
                  <c:v>45402</c:v>
                </c:pt>
                <c:pt idx="20">
                  <c:v>45403</c:v>
                </c:pt>
                <c:pt idx="21">
                  <c:v>45404</c:v>
                </c:pt>
                <c:pt idx="22">
                  <c:v>45405</c:v>
                </c:pt>
                <c:pt idx="23">
                  <c:v>45406</c:v>
                </c:pt>
                <c:pt idx="24">
                  <c:v>45407</c:v>
                </c:pt>
                <c:pt idx="25">
                  <c:v>45408</c:v>
                </c:pt>
                <c:pt idx="26">
                  <c:v>45409</c:v>
                </c:pt>
                <c:pt idx="27">
                  <c:v>45410</c:v>
                </c:pt>
                <c:pt idx="28">
                  <c:v>45411</c:v>
                </c:pt>
                <c:pt idx="29">
                  <c:v>45412</c:v>
                </c:pt>
                <c:pt idx="30">
                  <c:v>45413</c:v>
                </c:pt>
                <c:pt idx="31">
                  <c:v>45414</c:v>
                </c:pt>
                <c:pt idx="32">
                  <c:v>45415</c:v>
                </c:pt>
                <c:pt idx="33">
                  <c:v>45416</c:v>
                </c:pt>
                <c:pt idx="34">
                  <c:v>45417</c:v>
                </c:pt>
                <c:pt idx="35">
                  <c:v>45418</c:v>
                </c:pt>
                <c:pt idx="36">
                  <c:v>45419</c:v>
                </c:pt>
                <c:pt idx="37">
                  <c:v>45420</c:v>
                </c:pt>
                <c:pt idx="38">
                  <c:v>45421</c:v>
                </c:pt>
                <c:pt idx="39">
                  <c:v>45422</c:v>
                </c:pt>
                <c:pt idx="40">
                  <c:v>45423</c:v>
                </c:pt>
                <c:pt idx="41">
                  <c:v>45424</c:v>
                </c:pt>
                <c:pt idx="42">
                  <c:v>45425</c:v>
                </c:pt>
                <c:pt idx="43">
                  <c:v>45426</c:v>
                </c:pt>
                <c:pt idx="44">
                  <c:v>45427</c:v>
                </c:pt>
                <c:pt idx="45">
                  <c:v>45428</c:v>
                </c:pt>
                <c:pt idx="46">
                  <c:v>45429</c:v>
                </c:pt>
                <c:pt idx="47">
                  <c:v>45430</c:v>
                </c:pt>
                <c:pt idx="48">
                  <c:v>45431</c:v>
                </c:pt>
                <c:pt idx="49">
                  <c:v>45432</c:v>
                </c:pt>
                <c:pt idx="50">
                  <c:v>45433</c:v>
                </c:pt>
                <c:pt idx="51">
                  <c:v>45434</c:v>
                </c:pt>
                <c:pt idx="52">
                  <c:v>45435</c:v>
                </c:pt>
                <c:pt idx="53">
                  <c:v>45436</c:v>
                </c:pt>
                <c:pt idx="54">
                  <c:v>45437</c:v>
                </c:pt>
                <c:pt idx="55">
                  <c:v>45438</c:v>
                </c:pt>
                <c:pt idx="56">
                  <c:v>45439</c:v>
                </c:pt>
                <c:pt idx="57">
                  <c:v>45440</c:v>
                </c:pt>
                <c:pt idx="58">
                  <c:v>45441</c:v>
                </c:pt>
                <c:pt idx="59">
                  <c:v>45442</c:v>
                </c:pt>
                <c:pt idx="60">
                  <c:v>45443</c:v>
                </c:pt>
              </c:numCache>
            </c:numRef>
          </c:cat>
          <c:val>
            <c:numRef>
              <c:f>Hoja1!$D$2:$D$62</c:f>
              <c:numCache>
                <c:formatCode>#,##0</c:formatCode>
                <c:ptCount val="61"/>
                <c:pt idx="0">
                  <c:v>360</c:v>
                </c:pt>
                <c:pt idx="1">
                  <c:v>663</c:v>
                </c:pt>
                <c:pt idx="2">
                  <c:v>798</c:v>
                </c:pt>
                <c:pt idx="3">
                  <c:v>877</c:v>
                </c:pt>
                <c:pt idx="4">
                  <c:v>791</c:v>
                </c:pt>
                <c:pt idx="5">
                  <c:v>769</c:v>
                </c:pt>
                <c:pt idx="6">
                  <c:v>391</c:v>
                </c:pt>
                <c:pt idx="7">
                  <c:v>499</c:v>
                </c:pt>
                <c:pt idx="8">
                  <c:v>559</c:v>
                </c:pt>
                <c:pt idx="9">
                  <c:v>742</c:v>
                </c:pt>
                <c:pt idx="10">
                  <c:v>426</c:v>
                </c:pt>
                <c:pt idx="11">
                  <c:v>756</c:v>
                </c:pt>
                <c:pt idx="12">
                  <c:v>681</c:v>
                </c:pt>
                <c:pt idx="13">
                  <c:v>800</c:v>
                </c:pt>
                <c:pt idx="14">
                  <c:v>1034</c:v>
                </c:pt>
                <c:pt idx="15">
                  <c:v>1000</c:v>
                </c:pt>
                <c:pt idx="16">
                  <c:v>973</c:v>
                </c:pt>
                <c:pt idx="17">
                  <c:v>876</c:v>
                </c:pt>
                <c:pt idx="18">
                  <c:v>820</c:v>
                </c:pt>
                <c:pt idx="19">
                  <c:v>733</c:v>
                </c:pt>
                <c:pt idx="20">
                  <c:v>691</c:v>
                </c:pt>
                <c:pt idx="21">
                  <c:v>691</c:v>
                </c:pt>
                <c:pt idx="22">
                  <c:v>383</c:v>
                </c:pt>
                <c:pt idx="23">
                  <c:v>325</c:v>
                </c:pt>
                <c:pt idx="24">
                  <c:v>81</c:v>
                </c:pt>
                <c:pt idx="25">
                  <c:v>127</c:v>
                </c:pt>
                <c:pt idx="26">
                  <c:v>129</c:v>
                </c:pt>
                <c:pt idx="27">
                  <c:v>91</c:v>
                </c:pt>
                <c:pt idx="28">
                  <c:v>100</c:v>
                </c:pt>
                <c:pt idx="29">
                  <c:v>102</c:v>
                </c:pt>
                <c:pt idx="30">
                  <c:v>88</c:v>
                </c:pt>
                <c:pt idx="31">
                  <c:v>85</c:v>
                </c:pt>
                <c:pt idx="32">
                  <c:v>84</c:v>
                </c:pt>
                <c:pt idx="33">
                  <c:v>85</c:v>
                </c:pt>
                <c:pt idx="34">
                  <c:v>117</c:v>
                </c:pt>
                <c:pt idx="35">
                  <c:v>191</c:v>
                </c:pt>
                <c:pt idx="36">
                  <c:v>127</c:v>
                </c:pt>
                <c:pt idx="37">
                  <c:v>85</c:v>
                </c:pt>
                <c:pt idx="38">
                  <c:v>85</c:v>
                </c:pt>
                <c:pt idx="39">
                  <c:v>85</c:v>
                </c:pt>
                <c:pt idx="40">
                  <c:v>85</c:v>
                </c:pt>
                <c:pt idx="41">
                  <c:v>85</c:v>
                </c:pt>
                <c:pt idx="42">
                  <c:v>85</c:v>
                </c:pt>
                <c:pt idx="43">
                  <c:v>85</c:v>
                </c:pt>
                <c:pt idx="44">
                  <c:v>85</c:v>
                </c:pt>
                <c:pt idx="45">
                  <c:v>85</c:v>
                </c:pt>
                <c:pt idx="46">
                  <c:v>85</c:v>
                </c:pt>
                <c:pt idx="47">
                  <c:v>85</c:v>
                </c:pt>
                <c:pt idx="48">
                  <c:v>85</c:v>
                </c:pt>
                <c:pt idx="49">
                  <c:v>85</c:v>
                </c:pt>
                <c:pt idx="50">
                  <c:v>85</c:v>
                </c:pt>
                <c:pt idx="51">
                  <c:v>85</c:v>
                </c:pt>
                <c:pt idx="52">
                  <c:v>85</c:v>
                </c:pt>
                <c:pt idx="53">
                  <c:v>85</c:v>
                </c:pt>
                <c:pt idx="54">
                  <c:v>85</c:v>
                </c:pt>
                <c:pt idx="55">
                  <c:v>85</c:v>
                </c:pt>
                <c:pt idx="56">
                  <c:v>85</c:v>
                </c:pt>
                <c:pt idx="57">
                  <c:v>85</c:v>
                </c:pt>
                <c:pt idx="58">
                  <c:v>85</c:v>
                </c:pt>
                <c:pt idx="59">
                  <c:v>85</c:v>
                </c:pt>
                <c:pt idx="60">
                  <c:v>85</c:v>
                </c:pt>
              </c:numCache>
            </c:numRef>
          </c:val>
          <c:smooth val="0"/>
          <c:extLst>
            <c:ext xmlns:c16="http://schemas.microsoft.com/office/drawing/2014/chart" uri="{C3380CC4-5D6E-409C-BE32-E72D297353CC}">
              <c16:uniqueId val="{00000001-4080-43AA-B483-40B69B14184C}"/>
            </c:ext>
          </c:extLst>
        </c:ser>
        <c:ser>
          <c:idx val="1"/>
          <c:order val="2"/>
          <c:tx>
            <c:strRef>
              <c:f>Hoja1!$C$1</c:f>
              <c:strCache>
                <c:ptCount val="1"/>
                <c:pt idx="0">
                  <c:v>Precio Oferta Solar 2</c:v>
                </c:pt>
              </c:strCache>
            </c:strRef>
          </c:tx>
          <c:spPr>
            <a:ln w="28575" cap="rnd">
              <a:solidFill>
                <a:schemeClr val="accent2"/>
              </a:solidFill>
              <a:round/>
            </a:ln>
            <a:effectLst/>
          </c:spPr>
          <c:marker>
            <c:symbol val="none"/>
          </c:marker>
          <c:cat>
            <c:numRef>
              <c:f>Hoja1!$A$2:$A$62</c:f>
              <c:numCache>
                <c:formatCode>m/d/yyyy</c:formatCode>
                <c:ptCount val="61"/>
                <c:pt idx="0">
                  <c:v>45383</c:v>
                </c:pt>
                <c:pt idx="1">
                  <c:v>45384</c:v>
                </c:pt>
                <c:pt idx="2">
                  <c:v>45385</c:v>
                </c:pt>
                <c:pt idx="3">
                  <c:v>45386</c:v>
                </c:pt>
                <c:pt idx="4">
                  <c:v>45387</c:v>
                </c:pt>
                <c:pt idx="5">
                  <c:v>45388</c:v>
                </c:pt>
                <c:pt idx="6">
                  <c:v>45389</c:v>
                </c:pt>
                <c:pt idx="7">
                  <c:v>45390</c:v>
                </c:pt>
                <c:pt idx="8">
                  <c:v>45391</c:v>
                </c:pt>
                <c:pt idx="9">
                  <c:v>45392</c:v>
                </c:pt>
                <c:pt idx="10">
                  <c:v>45393</c:v>
                </c:pt>
                <c:pt idx="11">
                  <c:v>45394</c:v>
                </c:pt>
                <c:pt idx="12">
                  <c:v>45395</c:v>
                </c:pt>
                <c:pt idx="13">
                  <c:v>45396</c:v>
                </c:pt>
                <c:pt idx="14">
                  <c:v>45397</c:v>
                </c:pt>
                <c:pt idx="15">
                  <c:v>45398</c:v>
                </c:pt>
                <c:pt idx="16">
                  <c:v>45399</c:v>
                </c:pt>
                <c:pt idx="17">
                  <c:v>45400</c:v>
                </c:pt>
                <c:pt idx="18">
                  <c:v>45401</c:v>
                </c:pt>
                <c:pt idx="19">
                  <c:v>45402</c:v>
                </c:pt>
                <c:pt idx="20">
                  <c:v>45403</c:v>
                </c:pt>
                <c:pt idx="21">
                  <c:v>45404</c:v>
                </c:pt>
                <c:pt idx="22">
                  <c:v>45405</c:v>
                </c:pt>
                <c:pt idx="23">
                  <c:v>45406</c:v>
                </c:pt>
                <c:pt idx="24">
                  <c:v>45407</c:v>
                </c:pt>
                <c:pt idx="25">
                  <c:v>45408</c:v>
                </c:pt>
                <c:pt idx="26">
                  <c:v>45409</c:v>
                </c:pt>
                <c:pt idx="27">
                  <c:v>45410</c:v>
                </c:pt>
                <c:pt idx="28">
                  <c:v>45411</c:v>
                </c:pt>
                <c:pt idx="29">
                  <c:v>45412</c:v>
                </c:pt>
                <c:pt idx="30">
                  <c:v>45413</c:v>
                </c:pt>
                <c:pt idx="31">
                  <c:v>45414</c:v>
                </c:pt>
                <c:pt idx="32">
                  <c:v>45415</c:v>
                </c:pt>
                <c:pt idx="33">
                  <c:v>45416</c:v>
                </c:pt>
                <c:pt idx="34">
                  <c:v>45417</c:v>
                </c:pt>
                <c:pt idx="35">
                  <c:v>45418</c:v>
                </c:pt>
                <c:pt idx="36">
                  <c:v>45419</c:v>
                </c:pt>
                <c:pt idx="37">
                  <c:v>45420</c:v>
                </c:pt>
                <c:pt idx="38">
                  <c:v>45421</c:v>
                </c:pt>
                <c:pt idx="39">
                  <c:v>45422</c:v>
                </c:pt>
                <c:pt idx="40">
                  <c:v>45423</c:v>
                </c:pt>
                <c:pt idx="41">
                  <c:v>45424</c:v>
                </c:pt>
                <c:pt idx="42">
                  <c:v>45425</c:v>
                </c:pt>
                <c:pt idx="43">
                  <c:v>45426</c:v>
                </c:pt>
                <c:pt idx="44">
                  <c:v>45427</c:v>
                </c:pt>
                <c:pt idx="45">
                  <c:v>45428</c:v>
                </c:pt>
                <c:pt idx="46">
                  <c:v>45429</c:v>
                </c:pt>
                <c:pt idx="47">
                  <c:v>45430</c:v>
                </c:pt>
                <c:pt idx="48">
                  <c:v>45431</c:v>
                </c:pt>
                <c:pt idx="49">
                  <c:v>45432</c:v>
                </c:pt>
                <c:pt idx="50">
                  <c:v>45433</c:v>
                </c:pt>
                <c:pt idx="51">
                  <c:v>45434</c:v>
                </c:pt>
                <c:pt idx="52">
                  <c:v>45435</c:v>
                </c:pt>
                <c:pt idx="53">
                  <c:v>45436</c:v>
                </c:pt>
                <c:pt idx="54">
                  <c:v>45437</c:v>
                </c:pt>
                <c:pt idx="55">
                  <c:v>45438</c:v>
                </c:pt>
                <c:pt idx="56">
                  <c:v>45439</c:v>
                </c:pt>
                <c:pt idx="57">
                  <c:v>45440</c:v>
                </c:pt>
                <c:pt idx="58">
                  <c:v>45441</c:v>
                </c:pt>
                <c:pt idx="59">
                  <c:v>45442</c:v>
                </c:pt>
                <c:pt idx="60">
                  <c:v>45443</c:v>
                </c:pt>
              </c:numCache>
            </c:numRef>
          </c:cat>
          <c:val>
            <c:numRef>
              <c:f>Hoja1!$C$2:$C$62</c:f>
              <c:numCache>
                <c:formatCode>#,##0</c:formatCode>
                <c:ptCount val="61"/>
                <c:pt idx="0">
                  <c:v>91.7</c:v>
                </c:pt>
                <c:pt idx="1">
                  <c:v>91.7</c:v>
                </c:pt>
                <c:pt idx="2">
                  <c:v>91.7</c:v>
                </c:pt>
                <c:pt idx="3">
                  <c:v>91.7</c:v>
                </c:pt>
                <c:pt idx="4">
                  <c:v>91.7</c:v>
                </c:pt>
                <c:pt idx="5">
                  <c:v>91.7</c:v>
                </c:pt>
                <c:pt idx="6">
                  <c:v>91.7</c:v>
                </c:pt>
                <c:pt idx="7">
                  <c:v>91.7</c:v>
                </c:pt>
                <c:pt idx="8">
                  <c:v>91.7</c:v>
                </c:pt>
                <c:pt idx="9">
                  <c:v>91.7</c:v>
                </c:pt>
                <c:pt idx="10">
                  <c:v>94.7</c:v>
                </c:pt>
                <c:pt idx="11">
                  <c:v>94.7</c:v>
                </c:pt>
                <c:pt idx="12">
                  <c:v>94.7</c:v>
                </c:pt>
                <c:pt idx="13">
                  <c:v>94.7</c:v>
                </c:pt>
                <c:pt idx="14">
                  <c:v>94.7</c:v>
                </c:pt>
                <c:pt idx="15">
                  <c:v>94.7</c:v>
                </c:pt>
                <c:pt idx="16">
                  <c:v>94.7</c:v>
                </c:pt>
                <c:pt idx="17">
                  <c:v>92</c:v>
                </c:pt>
                <c:pt idx="18">
                  <c:v>92</c:v>
                </c:pt>
                <c:pt idx="19">
                  <c:v>85.28</c:v>
                </c:pt>
                <c:pt idx="20">
                  <c:v>85.28</c:v>
                </c:pt>
                <c:pt idx="21">
                  <c:v>85.28</c:v>
                </c:pt>
                <c:pt idx="22">
                  <c:v>85.28</c:v>
                </c:pt>
                <c:pt idx="23">
                  <c:v>85.28</c:v>
                </c:pt>
                <c:pt idx="24">
                  <c:v>85.28</c:v>
                </c:pt>
                <c:pt idx="25">
                  <c:v>85.28</c:v>
                </c:pt>
                <c:pt idx="26">
                  <c:v>85.28</c:v>
                </c:pt>
                <c:pt idx="27">
                  <c:v>85.28</c:v>
                </c:pt>
                <c:pt idx="28">
                  <c:v>85.28</c:v>
                </c:pt>
                <c:pt idx="29">
                  <c:v>85.28</c:v>
                </c:pt>
                <c:pt idx="30">
                  <c:v>87.26</c:v>
                </c:pt>
                <c:pt idx="31">
                  <c:v>87.26</c:v>
                </c:pt>
                <c:pt idx="32">
                  <c:v>87.26</c:v>
                </c:pt>
                <c:pt idx="33">
                  <c:v>87.26</c:v>
                </c:pt>
                <c:pt idx="34">
                  <c:v>87.26</c:v>
                </c:pt>
                <c:pt idx="35">
                  <c:v>87.26</c:v>
                </c:pt>
                <c:pt idx="36">
                  <c:v>87.26</c:v>
                </c:pt>
                <c:pt idx="37">
                  <c:v>87.26</c:v>
                </c:pt>
                <c:pt idx="38">
                  <c:v>87.26</c:v>
                </c:pt>
                <c:pt idx="39">
                  <c:v>87.26</c:v>
                </c:pt>
                <c:pt idx="40">
                  <c:v>87.26</c:v>
                </c:pt>
                <c:pt idx="41">
                  <c:v>87.26</c:v>
                </c:pt>
                <c:pt idx="42">
                  <c:v>87.26</c:v>
                </c:pt>
                <c:pt idx="43">
                  <c:v>87.26</c:v>
                </c:pt>
                <c:pt idx="44">
                  <c:v>87.26</c:v>
                </c:pt>
                <c:pt idx="45">
                  <c:v>87.26</c:v>
                </c:pt>
                <c:pt idx="46">
                  <c:v>87.26</c:v>
                </c:pt>
                <c:pt idx="47">
                  <c:v>87.26</c:v>
                </c:pt>
                <c:pt idx="48">
                  <c:v>87.26</c:v>
                </c:pt>
                <c:pt idx="49">
                  <c:v>87.26</c:v>
                </c:pt>
                <c:pt idx="50">
                  <c:v>87.26</c:v>
                </c:pt>
                <c:pt idx="51">
                  <c:v>87.26</c:v>
                </c:pt>
                <c:pt idx="52">
                  <c:v>87.26</c:v>
                </c:pt>
                <c:pt idx="53">
                  <c:v>87.26</c:v>
                </c:pt>
                <c:pt idx="54">
                  <c:v>87.26</c:v>
                </c:pt>
                <c:pt idx="55">
                  <c:v>87.26</c:v>
                </c:pt>
                <c:pt idx="56">
                  <c:v>87.26</c:v>
                </c:pt>
                <c:pt idx="57">
                  <c:v>87.26</c:v>
                </c:pt>
                <c:pt idx="58">
                  <c:v>87.26</c:v>
                </c:pt>
                <c:pt idx="59">
                  <c:v>87.26</c:v>
                </c:pt>
                <c:pt idx="60">
                  <c:v>87.26</c:v>
                </c:pt>
              </c:numCache>
            </c:numRef>
          </c:val>
          <c:smooth val="0"/>
          <c:extLst>
            <c:ext xmlns:c16="http://schemas.microsoft.com/office/drawing/2014/chart" uri="{C3380CC4-5D6E-409C-BE32-E72D297353CC}">
              <c16:uniqueId val="{00000002-4080-43AA-B483-40B69B14184C}"/>
            </c:ext>
          </c:extLst>
        </c:ser>
        <c:ser>
          <c:idx val="3"/>
          <c:order val="3"/>
          <c:tx>
            <c:strRef>
              <c:f>Hoja1!$E$1</c:f>
              <c:strCache>
                <c:ptCount val="1"/>
                <c:pt idx="0">
                  <c:v>Precio CERE</c:v>
                </c:pt>
              </c:strCache>
            </c:strRef>
          </c:tx>
          <c:spPr>
            <a:ln w="28575" cap="rnd">
              <a:solidFill>
                <a:srgbClr val="002060"/>
              </a:solidFill>
              <a:round/>
            </a:ln>
            <a:effectLst/>
          </c:spPr>
          <c:marker>
            <c:symbol val="none"/>
          </c:marker>
          <c:cat>
            <c:numRef>
              <c:f>Hoja1!$A$2:$A$62</c:f>
              <c:numCache>
                <c:formatCode>m/d/yyyy</c:formatCode>
                <c:ptCount val="61"/>
                <c:pt idx="0">
                  <c:v>45383</c:v>
                </c:pt>
                <c:pt idx="1">
                  <c:v>45384</c:v>
                </c:pt>
                <c:pt idx="2">
                  <c:v>45385</c:v>
                </c:pt>
                <c:pt idx="3">
                  <c:v>45386</c:v>
                </c:pt>
                <c:pt idx="4">
                  <c:v>45387</c:v>
                </c:pt>
                <c:pt idx="5">
                  <c:v>45388</c:v>
                </c:pt>
                <c:pt idx="6">
                  <c:v>45389</c:v>
                </c:pt>
                <c:pt idx="7">
                  <c:v>45390</c:v>
                </c:pt>
                <c:pt idx="8">
                  <c:v>45391</c:v>
                </c:pt>
                <c:pt idx="9">
                  <c:v>45392</c:v>
                </c:pt>
                <c:pt idx="10">
                  <c:v>45393</c:v>
                </c:pt>
                <c:pt idx="11">
                  <c:v>45394</c:v>
                </c:pt>
                <c:pt idx="12">
                  <c:v>45395</c:v>
                </c:pt>
                <c:pt idx="13">
                  <c:v>45396</c:v>
                </c:pt>
                <c:pt idx="14">
                  <c:v>45397</c:v>
                </c:pt>
                <c:pt idx="15">
                  <c:v>45398</c:v>
                </c:pt>
                <c:pt idx="16">
                  <c:v>45399</c:v>
                </c:pt>
                <c:pt idx="17">
                  <c:v>45400</c:v>
                </c:pt>
                <c:pt idx="18">
                  <c:v>45401</c:v>
                </c:pt>
                <c:pt idx="19">
                  <c:v>45402</c:v>
                </c:pt>
                <c:pt idx="20">
                  <c:v>45403</c:v>
                </c:pt>
                <c:pt idx="21">
                  <c:v>45404</c:v>
                </c:pt>
                <c:pt idx="22">
                  <c:v>45405</c:v>
                </c:pt>
                <c:pt idx="23">
                  <c:v>45406</c:v>
                </c:pt>
                <c:pt idx="24">
                  <c:v>45407</c:v>
                </c:pt>
                <c:pt idx="25">
                  <c:v>45408</c:v>
                </c:pt>
                <c:pt idx="26">
                  <c:v>45409</c:v>
                </c:pt>
                <c:pt idx="27">
                  <c:v>45410</c:v>
                </c:pt>
                <c:pt idx="28">
                  <c:v>45411</c:v>
                </c:pt>
                <c:pt idx="29">
                  <c:v>45412</c:v>
                </c:pt>
                <c:pt idx="30">
                  <c:v>45413</c:v>
                </c:pt>
                <c:pt idx="31">
                  <c:v>45414</c:v>
                </c:pt>
                <c:pt idx="32">
                  <c:v>45415</c:v>
                </c:pt>
                <c:pt idx="33">
                  <c:v>45416</c:v>
                </c:pt>
                <c:pt idx="34">
                  <c:v>45417</c:v>
                </c:pt>
                <c:pt idx="35">
                  <c:v>45418</c:v>
                </c:pt>
                <c:pt idx="36">
                  <c:v>45419</c:v>
                </c:pt>
                <c:pt idx="37">
                  <c:v>45420</c:v>
                </c:pt>
                <c:pt idx="38">
                  <c:v>45421</c:v>
                </c:pt>
                <c:pt idx="39">
                  <c:v>45422</c:v>
                </c:pt>
                <c:pt idx="40">
                  <c:v>45423</c:v>
                </c:pt>
                <c:pt idx="41">
                  <c:v>45424</c:v>
                </c:pt>
                <c:pt idx="42">
                  <c:v>45425</c:v>
                </c:pt>
                <c:pt idx="43">
                  <c:v>45426</c:v>
                </c:pt>
                <c:pt idx="44">
                  <c:v>45427</c:v>
                </c:pt>
                <c:pt idx="45">
                  <c:v>45428</c:v>
                </c:pt>
                <c:pt idx="46">
                  <c:v>45429</c:v>
                </c:pt>
                <c:pt idx="47">
                  <c:v>45430</c:v>
                </c:pt>
                <c:pt idx="48">
                  <c:v>45431</c:v>
                </c:pt>
                <c:pt idx="49">
                  <c:v>45432</c:v>
                </c:pt>
                <c:pt idx="50">
                  <c:v>45433</c:v>
                </c:pt>
                <c:pt idx="51">
                  <c:v>45434</c:v>
                </c:pt>
                <c:pt idx="52">
                  <c:v>45435</c:v>
                </c:pt>
                <c:pt idx="53">
                  <c:v>45436</c:v>
                </c:pt>
                <c:pt idx="54">
                  <c:v>45437</c:v>
                </c:pt>
                <c:pt idx="55">
                  <c:v>45438</c:v>
                </c:pt>
                <c:pt idx="56">
                  <c:v>45439</c:v>
                </c:pt>
                <c:pt idx="57">
                  <c:v>45440</c:v>
                </c:pt>
                <c:pt idx="58">
                  <c:v>45441</c:v>
                </c:pt>
                <c:pt idx="59">
                  <c:v>45442</c:v>
                </c:pt>
                <c:pt idx="60">
                  <c:v>45443</c:v>
                </c:pt>
              </c:numCache>
            </c:numRef>
          </c:cat>
          <c:val>
            <c:numRef>
              <c:f>Hoja1!$E$2:$E$62</c:f>
              <c:numCache>
                <c:formatCode>#,##0</c:formatCode>
                <c:ptCount val="61"/>
                <c:pt idx="0">
                  <c:v>74.877097607000806</c:v>
                </c:pt>
                <c:pt idx="1">
                  <c:v>74.877097607000806</c:v>
                </c:pt>
                <c:pt idx="2">
                  <c:v>74.877097607000806</c:v>
                </c:pt>
                <c:pt idx="3">
                  <c:v>74.877097607000806</c:v>
                </c:pt>
                <c:pt idx="4">
                  <c:v>74.877097607000806</c:v>
                </c:pt>
                <c:pt idx="5">
                  <c:v>74.877097607000806</c:v>
                </c:pt>
                <c:pt idx="6">
                  <c:v>74.877097607000806</c:v>
                </c:pt>
                <c:pt idx="7">
                  <c:v>74.877097607000806</c:v>
                </c:pt>
                <c:pt idx="8">
                  <c:v>74.877097607000806</c:v>
                </c:pt>
                <c:pt idx="9">
                  <c:v>74.877097607000806</c:v>
                </c:pt>
                <c:pt idx="10">
                  <c:v>74.877097607000806</c:v>
                </c:pt>
                <c:pt idx="11">
                  <c:v>74.877097607000806</c:v>
                </c:pt>
                <c:pt idx="12">
                  <c:v>74.877097607000806</c:v>
                </c:pt>
                <c:pt idx="13">
                  <c:v>74.877097607000806</c:v>
                </c:pt>
                <c:pt idx="14">
                  <c:v>74.877097607000806</c:v>
                </c:pt>
                <c:pt idx="15">
                  <c:v>74.877097607000806</c:v>
                </c:pt>
                <c:pt idx="16">
                  <c:v>74.877097607000806</c:v>
                </c:pt>
                <c:pt idx="17">
                  <c:v>74.877097607000806</c:v>
                </c:pt>
                <c:pt idx="18">
                  <c:v>74.877097607000806</c:v>
                </c:pt>
                <c:pt idx="19">
                  <c:v>74.877097607000806</c:v>
                </c:pt>
                <c:pt idx="20">
                  <c:v>74.877097607000806</c:v>
                </c:pt>
                <c:pt idx="21">
                  <c:v>74.877097607000806</c:v>
                </c:pt>
                <c:pt idx="22">
                  <c:v>74.877097607000806</c:v>
                </c:pt>
                <c:pt idx="23">
                  <c:v>74.877097607000806</c:v>
                </c:pt>
                <c:pt idx="24">
                  <c:v>74.877097607000806</c:v>
                </c:pt>
                <c:pt idx="25">
                  <c:v>74.877097607000806</c:v>
                </c:pt>
                <c:pt idx="26">
                  <c:v>74.877097607000806</c:v>
                </c:pt>
                <c:pt idx="27">
                  <c:v>74.877097607000806</c:v>
                </c:pt>
                <c:pt idx="28">
                  <c:v>74.877097607000806</c:v>
                </c:pt>
                <c:pt idx="29">
                  <c:v>74.877097607000806</c:v>
                </c:pt>
                <c:pt idx="30">
                  <c:v>76.815126107401198</c:v>
                </c:pt>
                <c:pt idx="31">
                  <c:v>76.815126107401198</c:v>
                </c:pt>
                <c:pt idx="32">
                  <c:v>76.815126107401198</c:v>
                </c:pt>
                <c:pt idx="33">
                  <c:v>76.815126107401198</c:v>
                </c:pt>
                <c:pt idx="34">
                  <c:v>76.815126107401198</c:v>
                </c:pt>
                <c:pt idx="35">
                  <c:v>76.815126107401198</c:v>
                </c:pt>
                <c:pt idx="36">
                  <c:v>76.815126107401198</c:v>
                </c:pt>
                <c:pt idx="37">
                  <c:v>76.815126107401198</c:v>
                </c:pt>
                <c:pt idx="38">
                  <c:v>76.815126107401198</c:v>
                </c:pt>
                <c:pt idx="39">
                  <c:v>76.815126107401198</c:v>
                </c:pt>
                <c:pt idx="40">
                  <c:v>76.815126107401198</c:v>
                </c:pt>
                <c:pt idx="41">
                  <c:v>76.815126107401198</c:v>
                </c:pt>
                <c:pt idx="42">
                  <c:v>76.815126107401198</c:v>
                </c:pt>
                <c:pt idx="43">
                  <c:v>76.815126107401198</c:v>
                </c:pt>
                <c:pt idx="44">
                  <c:v>76.815126107401198</c:v>
                </c:pt>
                <c:pt idx="45">
                  <c:v>76.815126107401198</c:v>
                </c:pt>
                <c:pt idx="46">
                  <c:v>76.815126107401198</c:v>
                </c:pt>
                <c:pt idx="47">
                  <c:v>76.815126107401198</c:v>
                </c:pt>
                <c:pt idx="48">
                  <c:v>76.815126107401198</c:v>
                </c:pt>
                <c:pt idx="49">
                  <c:v>76.815126107401198</c:v>
                </c:pt>
                <c:pt idx="50">
                  <c:v>76.815126107401198</c:v>
                </c:pt>
                <c:pt idx="51">
                  <c:v>76.815126107401198</c:v>
                </c:pt>
                <c:pt idx="52">
                  <c:v>76.815126107401198</c:v>
                </c:pt>
                <c:pt idx="53">
                  <c:v>76.815126107401198</c:v>
                </c:pt>
                <c:pt idx="54">
                  <c:v>76.815126107401198</c:v>
                </c:pt>
                <c:pt idx="55">
                  <c:v>76.815126107401198</c:v>
                </c:pt>
                <c:pt idx="56">
                  <c:v>76.815126107401198</c:v>
                </c:pt>
                <c:pt idx="57">
                  <c:v>76.815126107401198</c:v>
                </c:pt>
                <c:pt idx="58">
                  <c:v>76.815126107401198</c:v>
                </c:pt>
                <c:pt idx="59">
                  <c:v>76.815126107401198</c:v>
                </c:pt>
                <c:pt idx="60">
                  <c:v>76.815126107401198</c:v>
                </c:pt>
              </c:numCache>
            </c:numRef>
          </c:val>
          <c:smooth val="0"/>
          <c:extLst>
            <c:ext xmlns:c16="http://schemas.microsoft.com/office/drawing/2014/chart" uri="{C3380CC4-5D6E-409C-BE32-E72D297353CC}">
              <c16:uniqueId val="{00000003-4080-43AA-B483-40B69B14184C}"/>
            </c:ext>
          </c:extLst>
        </c:ser>
        <c:dLbls>
          <c:showLegendKey val="0"/>
          <c:showVal val="0"/>
          <c:showCatName val="0"/>
          <c:showSerName val="0"/>
          <c:showPercent val="0"/>
          <c:showBubbleSize val="0"/>
        </c:dLbls>
        <c:smooth val="0"/>
        <c:axId val="1597772160"/>
        <c:axId val="1597767840"/>
      </c:lineChart>
      <c:dateAx>
        <c:axId val="1597772160"/>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597767840"/>
        <c:crosses val="autoZero"/>
        <c:auto val="1"/>
        <c:lblOffset val="100"/>
        <c:baseTimeUnit val="days"/>
      </c:dateAx>
      <c:valAx>
        <c:axId val="1597767840"/>
        <c:scaling>
          <c:orientation val="minMax"/>
        </c:scaling>
        <c:delete val="0"/>
        <c:axPos val="l"/>
        <c:majorGridlines>
          <c:spPr>
            <a:ln w="3175" cap="flat" cmpd="sng" algn="ctr">
              <a:solidFill>
                <a:schemeClr val="bg1">
                  <a:lumMod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597772160"/>
        <c:crosses val="autoZero"/>
        <c:crossBetween val="between"/>
      </c:valAx>
      <c:spPr>
        <a:noFill/>
        <a:ln>
          <a:noFill/>
        </a:ln>
        <a:effectLst/>
      </c:spPr>
    </c:plotArea>
    <c:legend>
      <c:legendPos val="b"/>
      <c:layout>
        <c:manualLayout>
          <c:xMode val="edge"/>
          <c:yMode val="edge"/>
          <c:x val="0.5997704598003285"/>
          <c:y val="6.9053603582241163E-2"/>
          <c:w val="0.36079833674041517"/>
          <c:h val="0.25853263801016818"/>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b="1">
          <a:solidFill>
            <a:schemeClr val="tx1"/>
          </a:solidFill>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Desviación diaria Despacho Solar 2</c:v>
                </c:pt>
              </c:strCache>
            </c:strRef>
          </c:tx>
          <c:spPr>
            <a:solidFill>
              <a:srgbClr val="15608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[3%,15%]</c:v>
                </c:pt>
                <c:pt idx="1">
                  <c:v>(15%,20%]</c:v>
                </c:pt>
                <c:pt idx="2">
                  <c:v>(20%,30%]</c:v>
                </c:pt>
                <c:pt idx="3">
                  <c:v>&gt;30%</c:v>
                </c:pt>
              </c:strCache>
            </c:strRef>
          </c:cat>
          <c:val>
            <c:numRef>
              <c:f>Hoja1!$B$2:$B$5</c:f>
              <c:numCache>
                <c:formatCode>General</c:formatCode>
                <c:ptCount val="4"/>
                <c:pt idx="0">
                  <c:v>33</c:v>
                </c:pt>
                <c:pt idx="1">
                  <c:v>5</c:v>
                </c:pt>
                <c:pt idx="2">
                  <c:v>13</c:v>
                </c:pt>
                <c:pt idx="3">
                  <c:v>10</c:v>
                </c:pt>
              </c:numCache>
            </c:numRef>
          </c:val>
          <c:extLst>
            <c:ext xmlns:c16="http://schemas.microsoft.com/office/drawing/2014/chart" uri="{C3380CC4-5D6E-409C-BE32-E72D297353CC}">
              <c16:uniqueId val="{00000000-6D2B-4247-B23A-AEAC6B7A7E2F}"/>
            </c:ext>
          </c:extLst>
        </c:ser>
        <c:dLbls>
          <c:showLegendKey val="0"/>
          <c:showVal val="0"/>
          <c:showCatName val="0"/>
          <c:showSerName val="0"/>
          <c:showPercent val="0"/>
          <c:showBubbleSize val="0"/>
        </c:dLbls>
        <c:gapWidth val="1"/>
        <c:overlap val="-27"/>
        <c:axId val="1096055407"/>
        <c:axId val="1096057807"/>
      </c:barChart>
      <c:catAx>
        <c:axId val="109605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7807"/>
        <c:crosses val="autoZero"/>
        <c:auto val="1"/>
        <c:lblAlgn val="ctr"/>
        <c:lblOffset val="100"/>
        <c:noMultiLvlLbl val="0"/>
      </c:catAx>
      <c:valAx>
        <c:axId val="1096057807"/>
        <c:scaling>
          <c:orientation val="minMax"/>
        </c:scaling>
        <c:delete val="0"/>
        <c:axPos val="l"/>
        <c:majorGridlines>
          <c:spPr>
            <a:ln w="317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5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b="1">
          <a:solidFill>
            <a:schemeClr val="tx1"/>
          </a:solidFill>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r>
              <a:rPr lang="es-ES" dirty="0"/>
              <a:t>Desviación diaria RD Solar 2</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Desviación diaria Redespacho Solar 2</c:v>
                </c:pt>
              </c:strCache>
            </c:strRef>
          </c:tx>
          <c:spPr>
            <a:solidFill>
              <a:srgbClr val="15608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[0%,8%]</c:v>
                </c:pt>
                <c:pt idx="1">
                  <c:v>(8%,15%]</c:v>
                </c:pt>
                <c:pt idx="2">
                  <c:v>(15%,20%]</c:v>
                </c:pt>
                <c:pt idx="3">
                  <c:v>(20%,30%]</c:v>
                </c:pt>
                <c:pt idx="4">
                  <c:v>&gt;30%</c:v>
                </c:pt>
              </c:strCache>
            </c:strRef>
          </c:cat>
          <c:val>
            <c:numRef>
              <c:f>Hoja1!$B$2:$B$6</c:f>
              <c:numCache>
                <c:formatCode>General</c:formatCode>
                <c:ptCount val="5"/>
                <c:pt idx="0">
                  <c:v>47</c:v>
                </c:pt>
                <c:pt idx="1">
                  <c:v>11</c:v>
                </c:pt>
                <c:pt idx="2">
                  <c:v>0</c:v>
                </c:pt>
                <c:pt idx="3">
                  <c:v>2</c:v>
                </c:pt>
                <c:pt idx="4">
                  <c:v>1</c:v>
                </c:pt>
              </c:numCache>
            </c:numRef>
          </c:val>
          <c:extLst>
            <c:ext xmlns:c16="http://schemas.microsoft.com/office/drawing/2014/chart" uri="{C3380CC4-5D6E-409C-BE32-E72D297353CC}">
              <c16:uniqueId val="{00000000-F058-4A06-B995-42C05EC02B24}"/>
            </c:ext>
          </c:extLst>
        </c:ser>
        <c:dLbls>
          <c:showLegendKey val="0"/>
          <c:showVal val="0"/>
          <c:showCatName val="0"/>
          <c:showSerName val="0"/>
          <c:showPercent val="0"/>
          <c:showBubbleSize val="0"/>
        </c:dLbls>
        <c:gapWidth val="1"/>
        <c:overlap val="-27"/>
        <c:axId val="1096055407"/>
        <c:axId val="1096057807"/>
      </c:barChart>
      <c:catAx>
        <c:axId val="109605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7807"/>
        <c:crosses val="autoZero"/>
        <c:auto val="1"/>
        <c:lblAlgn val="ctr"/>
        <c:lblOffset val="100"/>
        <c:noMultiLvlLbl val="0"/>
      </c:catAx>
      <c:valAx>
        <c:axId val="1096057807"/>
        <c:scaling>
          <c:orientation val="minMax"/>
        </c:scaling>
        <c:delete val="0"/>
        <c:axPos val="l"/>
        <c:majorGridlines>
          <c:spPr>
            <a:ln w="317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5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b="1">
          <a:solidFill>
            <a:schemeClr val="tx1"/>
          </a:solidFill>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r>
              <a:rPr lang="es-CO"/>
              <a:t>Desviación diaria Modelo</a:t>
            </a:r>
            <a:r>
              <a:rPr lang="es-CO" baseline="0"/>
              <a:t> de pronóstico 1</a:t>
            </a:r>
            <a:r>
              <a:rPr lang="es-CO"/>
              <a:t> Solar 3</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Desviación diaria Despacho Solar 2</c:v>
                </c:pt>
              </c:strCache>
            </c:strRef>
          </c:tx>
          <c:spPr>
            <a:solidFill>
              <a:srgbClr val="15608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[3%,15%]</c:v>
                </c:pt>
                <c:pt idx="1">
                  <c:v>(15%,20%]</c:v>
                </c:pt>
                <c:pt idx="2">
                  <c:v>(20%,30%]</c:v>
                </c:pt>
                <c:pt idx="3">
                  <c:v>&gt;30%</c:v>
                </c:pt>
              </c:strCache>
            </c:strRef>
          </c:cat>
          <c:val>
            <c:numRef>
              <c:f>Hoja1!$B$2:$B$5</c:f>
              <c:numCache>
                <c:formatCode>General</c:formatCode>
                <c:ptCount val="4"/>
                <c:pt idx="0">
                  <c:v>21</c:v>
                </c:pt>
                <c:pt idx="1">
                  <c:v>6</c:v>
                </c:pt>
                <c:pt idx="2">
                  <c:v>9</c:v>
                </c:pt>
                <c:pt idx="3">
                  <c:v>17</c:v>
                </c:pt>
              </c:numCache>
            </c:numRef>
          </c:val>
          <c:extLst>
            <c:ext xmlns:c16="http://schemas.microsoft.com/office/drawing/2014/chart" uri="{C3380CC4-5D6E-409C-BE32-E72D297353CC}">
              <c16:uniqueId val="{00000000-60C3-4378-A9A2-97EECD4AF8E7}"/>
            </c:ext>
          </c:extLst>
        </c:ser>
        <c:dLbls>
          <c:showLegendKey val="0"/>
          <c:showVal val="0"/>
          <c:showCatName val="0"/>
          <c:showSerName val="0"/>
          <c:showPercent val="0"/>
          <c:showBubbleSize val="0"/>
        </c:dLbls>
        <c:gapWidth val="1"/>
        <c:overlap val="-27"/>
        <c:axId val="1096055407"/>
        <c:axId val="1096057807"/>
      </c:barChart>
      <c:catAx>
        <c:axId val="109605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7807"/>
        <c:crosses val="autoZero"/>
        <c:auto val="1"/>
        <c:lblAlgn val="ctr"/>
        <c:lblOffset val="100"/>
        <c:noMultiLvlLbl val="0"/>
      </c:catAx>
      <c:valAx>
        <c:axId val="1096057807"/>
        <c:scaling>
          <c:orientation val="minMax"/>
        </c:scaling>
        <c:delete val="0"/>
        <c:axPos val="l"/>
        <c:majorGridlines>
          <c:spPr>
            <a:ln w="317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5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b="1">
          <a:solidFill>
            <a:schemeClr val="tx1"/>
          </a:solidFill>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r>
              <a:rPr lang="es-CO"/>
              <a:t>Desviación diaria Modelo</a:t>
            </a:r>
            <a:r>
              <a:rPr lang="es-CO" baseline="0"/>
              <a:t> de pronóstico 2</a:t>
            </a:r>
            <a:r>
              <a:rPr lang="es-CO"/>
              <a:t> Solar 3</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Desviación diaria Despacho Solar 2</c:v>
                </c:pt>
              </c:strCache>
            </c:strRef>
          </c:tx>
          <c:spPr>
            <a:solidFill>
              <a:srgbClr val="15608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[3%,15%]</c:v>
                </c:pt>
                <c:pt idx="1">
                  <c:v>(15%,20%]</c:v>
                </c:pt>
                <c:pt idx="2">
                  <c:v>(20%,30%]</c:v>
                </c:pt>
                <c:pt idx="3">
                  <c:v>&gt;30%</c:v>
                </c:pt>
              </c:strCache>
            </c:strRef>
          </c:cat>
          <c:val>
            <c:numRef>
              <c:f>Hoja1!$B$2:$B$5</c:f>
              <c:numCache>
                <c:formatCode>General</c:formatCode>
                <c:ptCount val="4"/>
                <c:pt idx="0">
                  <c:v>19</c:v>
                </c:pt>
                <c:pt idx="1">
                  <c:v>6</c:v>
                </c:pt>
                <c:pt idx="2">
                  <c:v>14</c:v>
                </c:pt>
                <c:pt idx="3">
                  <c:v>13</c:v>
                </c:pt>
              </c:numCache>
            </c:numRef>
          </c:val>
          <c:extLst>
            <c:ext xmlns:c16="http://schemas.microsoft.com/office/drawing/2014/chart" uri="{C3380CC4-5D6E-409C-BE32-E72D297353CC}">
              <c16:uniqueId val="{00000000-8DE2-4E91-A622-A99423C6B05B}"/>
            </c:ext>
          </c:extLst>
        </c:ser>
        <c:dLbls>
          <c:showLegendKey val="0"/>
          <c:showVal val="0"/>
          <c:showCatName val="0"/>
          <c:showSerName val="0"/>
          <c:showPercent val="0"/>
          <c:showBubbleSize val="0"/>
        </c:dLbls>
        <c:gapWidth val="1"/>
        <c:overlap val="-27"/>
        <c:axId val="1096055407"/>
        <c:axId val="1096057807"/>
      </c:barChart>
      <c:catAx>
        <c:axId val="109605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7807"/>
        <c:crosses val="autoZero"/>
        <c:auto val="1"/>
        <c:lblAlgn val="ctr"/>
        <c:lblOffset val="100"/>
        <c:noMultiLvlLbl val="0"/>
      </c:catAx>
      <c:valAx>
        <c:axId val="1096057807"/>
        <c:scaling>
          <c:orientation val="minMax"/>
        </c:scaling>
        <c:delete val="0"/>
        <c:axPos val="l"/>
        <c:majorGridlines>
          <c:spPr>
            <a:ln w="317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5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b="1">
          <a:solidFill>
            <a:schemeClr val="tx1"/>
          </a:solidFill>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r>
              <a:rPr lang="es-CO"/>
              <a:t>Desviación diaria Modelo</a:t>
            </a:r>
            <a:r>
              <a:rPr lang="es-CO" baseline="0"/>
              <a:t> de pronóstico 3</a:t>
            </a:r>
            <a:r>
              <a:rPr lang="es-CO"/>
              <a:t> Solar 3</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Desviación diaria Despacho Solar 2</c:v>
                </c:pt>
              </c:strCache>
            </c:strRef>
          </c:tx>
          <c:spPr>
            <a:solidFill>
              <a:srgbClr val="15608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[3%,15%]</c:v>
                </c:pt>
                <c:pt idx="1">
                  <c:v>(15%,20%]</c:v>
                </c:pt>
                <c:pt idx="2">
                  <c:v>(20%,30%]</c:v>
                </c:pt>
                <c:pt idx="3">
                  <c:v>&gt;30%</c:v>
                </c:pt>
              </c:strCache>
            </c:strRef>
          </c:cat>
          <c:val>
            <c:numRef>
              <c:f>Hoja1!$B$2:$B$5</c:f>
              <c:numCache>
                <c:formatCode>General</c:formatCode>
                <c:ptCount val="4"/>
                <c:pt idx="0">
                  <c:v>28</c:v>
                </c:pt>
                <c:pt idx="1">
                  <c:v>7</c:v>
                </c:pt>
                <c:pt idx="2">
                  <c:v>10</c:v>
                </c:pt>
                <c:pt idx="3">
                  <c:v>8</c:v>
                </c:pt>
              </c:numCache>
            </c:numRef>
          </c:val>
          <c:extLst>
            <c:ext xmlns:c16="http://schemas.microsoft.com/office/drawing/2014/chart" uri="{C3380CC4-5D6E-409C-BE32-E72D297353CC}">
              <c16:uniqueId val="{00000000-B184-4865-9DFF-089999B6CA0E}"/>
            </c:ext>
          </c:extLst>
        </c:ser>
        <c:dLbls>
          <c:showLegendKey val="0"/>
          <c:showVal val="0"/>
          <c:showCatName val="0"/>
          <c:showSerName val="0"/>
          <c:showPercent val="0"/>
          <c:showBubbleSize val="0"/>
        </c:dLbls>
        <c:gapWidth val="1"/>
        <c:overlap val="-27"/>
        <c:axId val="1096055407"/>
        <c:axId val="1096057807"/>
      </c:barChart>
      <c:catAx>
        <c:axId val="109605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7807"/>
        <c:crosses val="autoZero"/>
        <c:auto val="1"/>
        <c:lblAlgn val="ctr"/>
        <c:lblOffset val="100"/>
        <c:noMultiLvlLbl val="0"/>
      </c:catAx>
      <c:valAx>
        <c:axId val="1096057807"/>
        <c:scaling>
          <c:orientation val="minMax"/>
        </c:scaling>
        <c:delete val="0"/>
        <c:axPos val="l"/>
        <c:majorGridlines>
          <c:spPr>
            <a:ln w="317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5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b="1">
          <a:solidFill>
            <a:schemeClr val="tx1"/>
          </a:solidFill>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r>
              <a:rPr lang="es-CO"/>
              <a:t>Desviación diaria Modelo</a:t>
            </a:r>
            <a:r>
              <a:rPr lang="es-CO" baseline="0"/>
              <a:t> de pronóstico 1</a:t>
            </a:r>
            <a:r>
              <a:rPr lang="es-CO"/>
              <a:t> Solar 4</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Desviación diaria Despacho Solar 2</c:v>
                </c:pt>
              </c:strCache>
            </c:strRef>
          </c:tx>
          <c:spPr>
            <a:solidFill>
              <a:srgbClr val="15608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[3%,15%]</c:v>
                </c:pt>
                <c:pt idx="1">
                  <c:v>(15%,20%]</c:v>
                </c:pt>
                <c:pt idx="2">
                  <c:v>(20%,30%]</c:v>
                </c:pt>
                <c:pt idx="3">
                  <c:v>&gt;30%</c:v>
                </c:pt>
              </c:strCache>
            </c:strRef>
          </c:cat>
          <c:val>
            <c:numRef>
              <c:f>Hoja1!$B$2:$B$5</c:f>
              <c:numCache>
                <c:formatCode>General</c:formatCode>
                <c:ptCount val="4"/>
                <c:pt idx="0">
                  <c:v>0</c:v>
                </c:pt>
                <c:pt idx="1">
                  <c:v>0</c:v>
                </c:pt>
                <c:pt idx="2">
                  <c:v>0</c:v>
                </c:pt>
                <c:pt idx="3">
                  <c:v>36</c:v>
                </c:pt>
              </c:numCache>
            </c:numRef>
          </c:val>
          <c:extLst>
            <c:ext xmlns:c16="http://schemas.microsoft.com/office/drawing/2014/chart" uri="{C3380CC4-5D6E-409C-BE32-E72D297353CC}">
              <c16:uniqueId val="{00000000-A543-497A-99C9-E812079EA91F}"/>
            </c:ext>
          </c:extLst>
        </c:ser>
        <c:dLbls>
          <c:showLegendKey val="0"/>
          <c:showVal val="0"/>
          <c:showCatName val="0"/>
          <c:showSerName val="0"/>
          <c:showPercent val="0"/>
          <c:showBubbleSize val="0"/>
        </c:dLbls>
        <c:gapWidth val="1"/>
        <c:overlap val="-27"/>
        <c:axId val="1096055407"/>
        <c:axId val="1096057807"/>
      </c:barChart>
      <c:catAx>
        <c:axId val="109605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7807"/>
        <c:crosses val="autoZero"/>
        <c:auto val="1"/>
        <c:lblAlgn val="ctr"/>
        <c:lblOffset val="100"/>
        <c:noMultiLvlLbl val="0"/>
      </c:catAx>
      <c:valAx>
        <c:axId val="1096057807"/>
        <c:scaling>
          <c:orientation val="minMax"/>
        </c:scaling>
        <c:delete val="0"/>
        <c:axPos val="l"/>
        <c:majorGridlines>
          <c:spPr>
            <a:ln w="317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5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b="1">
          <a:solidFill>
            <a:schemeClr val="tx1"/>
          </a:solidFill>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r>
              <a:rPr lang="es-CO"/>
              <a:t>Desviación diaria Modelo</a:t>
            </a:r>
            <a:r>
              <a:rPr lang="es-CO" baseline="0"/>
              <a:t> de pronóstico 2</a:t>
            </a:r>
            <a:r>
              <a:rPr lang="es-CO"/>
              <a:t> Solar 4</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Desviación diaria Despacho Solar 2</c:v>
                </c:pt>
              </c:strCache>
            </c:strRef>
          </c:tx>
          <c:spPr>
            <a:solidFill>
              <a:srgbClr val="15608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[3%,15%]</c:v>
                </c:pt>
                <c:pt idx="1">
                  <c:v>(15%,20%]</c:v>
                </c:pt>
                <c:pt idx="2">
                  <c:v>(20%,30%]</c:v>
                </c:pt>
                <c:pt idx="3">
                  <c:v>&gt;30%</c:v>
                </c:pt>
              </c:strCache>
            </c:strRef>
          </c:cat>
          <c:val>
            <c:numRef>
              <c:f>Hoja1!$B$2:$B$5</c:f>
              <c:numCache>
                <c:formatCode>General</c:formatCode>
                <c:ptCount val="4"/>
                <c:pt idx="0">
                  <c:v>11</c:v>
                </c:pt>
                <c:pt idx="1">
                  <c:v>6</c:v>
                </c:pt>
                <c:pt idx="2">
                  <c:v>8</c:v>
                </c:pt>
                <c:pt idx="3">
                  <c:v>11</c:v>
                </c:pt>
              </c:numCache>
            </c:numRef>
          </c:val>
          <c:extLst>
            <c:ext xmlns:c16="http://schemas.microsoft.com/office/drawing/2014/chart" uri="{C3380CC4-5D6E-409C-BE32-E72D297353CC}">
              <c16:uniqueId val="{00000000-E455-437F-8C11-9C7D38A2F34A}"/>
            </c:ext>
          </c:extLst>
        </c:ser>
        <c:dLbls>
          <c:showLegendKey val="0"/>
          <c:showVal val="0"/>
          <c:showCatName val="0"/>
          <c:showSerName val="0"/>
          <c:showPercent val="0"/>
          <c:showBubbleSize val="0"/>
        </c:dLbls>
        <c:gapWidth val="1"/>
        <c:overlap val="-27"/>
        <c:axId val="1096055407"/>
        <c:axId val="1096057807"/>
      </c:barChart>
      <c:catAx>
        <c:axId val="109605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7807"/>
        <c:crosses val="autoZero"/>
        <c:auto val="1"/>
        <c:lblAlgn val="ctr"/>
        <c:lblOffset val="100"/>
        <c:noMultiLvlLbl val="0"/>
      </c:catAx>
      <c:valAx>
        <c:axId val="1096057807"/>
        <c:scaling>
          <c:orientation val="minMax"/>
        </c:scaling>
        <c:delete val="0"/>
        <c:axPos val="l"/>
        <c:majorGridlines>
          <c:spPr>
            <a:ln w="317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5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b="1">
          <a:solidFill>
            <a:schemeClr val="tx1"/>
          </a:solidFill>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r>
              <a:rPr lang="es-CO"/>
              <a:t>Desviación diaria Modelo</a:t>
            </a:r>
            <a:r>
              <a:rPr lang="es-CO" baseline="0"/>
              <a:t> de pronóstico 3</a:t>
            </a:r>
            <a:r>
              <a:rPr lang="es-CO"/>
              <a:t> Solar 4</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Desviación diaria Despacho Solar 2</c:v>
                </c:pt>
              </c:strCache>
            </c:strRef>
          </c:tx>
          <c:spPr>
            <a:solidFill>
              <a:srgbClr val="15608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[3%,15%]</c:v>
                </c:pt>
                <c:pt idx="1">
                  <c:v>(15%,20%]</c:v>
                </c:pt>
                <c:pt idx="2">
                  <c:v>(20%,30%]</c:v>
                </c:pt>
                <c:pt idx="3">
                  <c:v>&gt;30%</c:v>
                </c:pt>
              </c:strCache>
            </c:strRef>
          </c:cat>
          <c:val>
            <c:numRef>
              <c:f>Hoja1!$B$2:$B$5</c:f>
              <c:numCache>
                <c:formatCode>General</c:formatCode>
                <c:ptCount val="4"/>
                <c:pt idx="0">
                  <c:v>11</c:v>
                </c:pt>
                <c:pt idx="1">
                  <c:v>4</c:v>
                </c:pt>
                <c:pt idx="2">
                  <c:v>6</c:v>
                </c:pt>
                <c:pt idx="3">
                  <c:v>15</c:v>
                </c:pt>
              </c:numCache>
            </c:numRef>
          </c:val>
          <c:extLst>
            <c:ext xmlns:c16="http://schemas.microsoft.com/office/drawing/2014/chart" uri="{C3380CC4-5D6E-409C-BE32-E72D297353CC}">
              <c16:uniqueId val="{00000000-5787-480D-B01F-6B3EAD24F841}"/>
            </c:ext>
          </c:extLst>
        </c:ser>
        <c:dLbls>
          <c:showLegendKey val="0"/>
          <c:showVal val="0"/>
          <c:showCatName val="0"/>
          <c:showSerName val="0"/>
          <c:showPercent val="0"/>
          <c:showBubbleSize val="0"/>
        </c:dLbls>
        <c:gapWidth val="1"/>
        <c:overlap val="-27"/>
        <c:axId val="1096055407"/>
        <c:axId val="1096057807"/>
      </c:barChart>
      <c:catAx>
        <c:axId val="109605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7807"/>
        <c:crosses val="autoZero"/>
        <c:auto val="1"/>
        <c:lblAlgn val="ctr"/>
        <c:lblOffset val="100"/>
        <c:noMultiLvlLbl val="0"/>
      </c:catAx>
      <c:valAx>
        <c:axId val="1096057807"/>
        <c:scaling>
          <c:orientation val="minMax"/>
        </c:scaling>
        <c:delete val="0"/>
        <c:axPos val="l"/>
        <c:majorGridlines>
          <c:spPr>
            <a:ln w="317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s-CO"/>
          </a:p>
        </c:txPr>
        <c:crossAx val="1096055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b="1">
          <a:solidFill>
            <a:schemeClr val="tx1"/>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a85f4e4-294e-4a7e-acbf-1109304d34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87EE52436716C49BA830DA402031F1C" ma:contentTypeVersion="18" ma:contentTypeDescription="Crear nuevo documento." ma:contentTypeScope="" ma:versionID="618e2be5b282cd8d260acbe36e8947f2">
  <xsd:schema xmlns:xsd="http://www.w3.org/2001/XMLSchema" xmlns:xs="http://www.w3.org/2001/XMLSchema" xmlns:p="http://schemas.microsoft.com/office/2006/metadata/properties" xmlns:ns3="8a85f4e4-294e-4a7e-acbf-1109304d3412" xmlns:ns4="b1799fdf-c701-4f9c-8539-f26ce2ef3b90" targetNamespace="http://schemas.microsoft.com/office/2006/metadata/properties" ma:root="true" ma:fieldsID="b2d4f21d12fe7d066e711415b5d39014" ns3:_="" ns4:_="">
    <xsd:import namespace="8a85f4e4-294e-4a7e-acbf-1109304d3412"/>
    <xsd:import namespace="b1799fdf-c701-4f9c-8539-f26ce2ef3b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f4e4-294e-4a7e-acbf-1109304d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99fdf-c701-4f9c-8539-f26ce2ef3b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customXml/itemProps2.xml><?xml version="1.0" encoding="utf-8"?>
<ds:datastoreItem xmlns:ds="http://schemas.openxmlformats.org/officeDocument/2006/customXml" ds:itemID="{22825ACA-B94A-4E54-8D56-D46D3E6C1B76}">
  <ds:schemaRefs>
    <ds:schemaRef ds:uri="http://schemas.microsoft.com/office/2006/metadata/properties"/>
    <ds:schemaRef ds:uri="http://schemas.microsoft.com/office/infopath/2007/PartnerControls"/>
    <ds:schemaRef ds:uri="8a85f4e4-294e-4a7e-acbf-1109304d3412"/>
  </ds:schemaRefs>
</ds:datastoreItem>
</file>

<file path=customXml/itemProps3.xml><?xml version="1.0" encoding="utf-8"?>
<ds:datastoreItem xmlns:ds="http://schemas.openxmlformats.org/officeDocument/2006/customXml" ds:itemID="{8C420FD1-F76A-4724-992D-89633BE23D8D}">
  <ds:schemaRefs>
    <ds:schemaRef ds:uri="http://schemas.microsoft.com/sharepoint/v3/contenttype/forms"/>
  </ds:schemaRefs>
</ds:datastoreItem>
</file>

<file path=customXml/itemProps4.xml><?xml version="1.0" encoding="utf-8"?>
<ds:datastoreItem xmlns:ds="http://schemas.openxmlformats.org/officeDocument/2006/customXml" ds:itemID="{A64133C0-8403-4CF9-998C-D186899B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5f4e4-294e-4a7e-acbf-1109304d3412"/>
    <ds:schemaRef ds:uri="b1799fdf-c701-4f9c-8539-f26ce2ef3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4254</Words>
  <Characters>23398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Wilson Sanchez Sanchez</cp:lastModifiedBy>
  <cp:revision>35</cp:revision>
  <cp:lastPrinted>2024-06-24T23:56:00Z</cp:lastPrinted>
  <dcterms:created xsi:type="dcterms:W3CDTF">2024-06-20T16:12:00Z</dcterms:created>
  <dcterms:modified xsi:type="dcterms:W3CDTF">2024-06-24T23:57:00Z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0x010100C87EE52436716C49BA830DA402031F1C</vt:lpwstr>
  </property>
</Properties>
</file>