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AA11F" w14:textId="3E14695E" w:rsidR="00020441" w:rsidRDefault="00020441">
      <w:r>
        <w:tab/>
      </w:r>
      <w:r>
        <w:tab/>
      </w:r>
      <w:r>
        <w:tab/>
      </w:r>
      <w:r>
        <w:tab/>
      </w:r>
      <w:r>
        <w:tab/>
      </w:r>
      <w:r>
        <w:tab/>
      </w:r>
    </w:p>
    <w:p w14:paraId="0F28046A" w14:textId="77777777" w:rsidR="00CD5DD9" w:rsidRDefault="00CD5DD9"/>
    <w:p w14:paraId="2347F53C" w14:textId="77777777" w:rsidR="00CD5DD9" w:rsidRDefault="00CD5DD9"/>
    <w:p w14:paraId="2764143B" w14:textId="0D3E1F6B" w:rsidR="00020441" w:rsidRDefault="00000520">
      <w:r>
        <w:rPr>
          <w:noProof/>
          <w:sz w:val="20"/>
          <w:lang w:val="es-CO" w:eastAsia="es-CO"/>
        </w:rPr>
        <w:drawing>
          <wp:anchor distT="0" distB="0" distL="114300" distR="114300" simplePos="0" relativeHeight="251657728"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Default="00020441"/>
    <w:p w14:paraId="626BE014" w14:textId="77777777" w:rsidR="00020441" w:rsidRDefault="00020441" w:rsidP="003C55ED">
      <w:pPr>
        <w:pStyle w:val="TDC1"/>
      </w:pPr>
    </w:p>
    <w:p w14:paraId="59F27ABD" w14:textId="77777777" w:rsidR="00020441" w:rsidRDefault="00020441" w:rsidP="003C55ED">
      <w:pPr>
        <w:pStyle w:val="TDC1"/>
      </w:pPr>
    </w:p>
    <w:p w14:paraId="465B98F3" w14:textId="77777777" w:rsidR="00020441" w:rsidRDefault="00020441"/>
    <w:p w14:paraId="43077885" w14:textId="77777777" w:rsidR="00020441" w:rsidRDefault="00020441"/>
    <w:p w14:paraId="10A762C8" w14:textId="77777777" w:rsidR="00020441" w:rsidRDefault="00020441"/>
    <w:p w14:paraId="00854BAE" w14:textId="2EF0186B" w:rsidR="00020441" w:rsidRDefault="001212B1">
      <w:pPr>
        <w:pStyle w:val="Textoindependiente"/>
        <w:jc w:val="both"/>
        <w:rPr>
          <w:bCs/>
          <w:sz w:val="32"/>
        </w:rPr>
      </w:pPr>
      <w:r w:rsidRPr="001212B1">
        <w:rPr>
          <w:sz w:val="40"/>
        </w:rPr>
        <w:t>REVISIÓN DE LOS COMPONENTES DE LA ESTRUCTURA DE PRECIOS DEL COMBUSTIBLE DE AVIACIÓN JET-A1, SEGÚN LO ESTABLECIDO EN EL ARTÍCULO 116 DE LA LEY 1450 DE 2011.</w:t>
      </w:r>
    </w:p>
    <w:p w14:paraId="14B50E75" w14:textId="77777777" w:rsidR="00020441" w:rsidRDefault="00020441" w:rsidP="003C55ED">
      <w:pPr>
        <w:pStyle w:val="TDC1"/>
      </w:pPr>
    </w:p>
    <w:p w14:paraId="00F8537C" w14:textId="77777777" w:rsidR="00020441" w:rsidRDefault="00020441"/>
    <w:p w14:paraId="1222BB47" w14:textId="77777777" w:rsidR="00020441" w:rsidRDefault="00020441"/>
    <w:p w14:paraId="59776045" w14:textId="77777777" w:rsidR="00020441" w:rsidRDefault="00020441"/>
    <w:p w14:paraId="53B509DC" w14:textId="023EA05A" w:rsidR="00020441" w:rsidRDefault="00020441">
      <w:pPr>
        <w:rPr>
          <w:b/>
          <w:caps/>
          <w:sz w:val="36"/>
          <w:lang w:val="es-ES"/>
        </w:rPr>
      </w:pPr>
      <w:r>
        <w:rPr>
          <w:b/>
          <w:caps/>
          <w:sz w:val="28"/>
          <w:lang w:val="es-ES"/>
        </w:rPr>
        <w:t xml:space="preserve">DOCUMENTO </w:t>
      </w:r>
      <w:r>
        <w:rPr>
          <w:b/>
          <w:caps/>
          <w:sz w:val="40"/>
          <w:lang w:val="es-ES"/>
        </w:rPr>
        <w:t>CREG-</w:t>
      </w:r>
      <w:r w:rsidR="00DF0C40" w:rsidRPr="00DF0C40">
        <w:rPr>
          <w:rFonts w:cs="Arial"/>
          <w:b/>
          <w:bCs/>
          <w:sz w:val="40"/>
          <w:szCs w:val="40"/>
          <w:lang w:val="es-MX"/>
        </w:rPr>
        <w:t>904 004</w:t>
      </w:r>
      <w:r w:rsidR="00DF0C40">
        <w:rPr>
          <w:rFonts w:cs="Arial"/>
          <w:b/>
          <w:bCs/>
          <w:sz w:val="40"/>
          <w:szCs w:val="40"/>
          <w:lang w:val="es-MX"/>
        </w:rPr>
        <w:t xml:space="preserve"> de 2024</w:t>
      </w:r>
    </w:p>
    <w:p w14:paraId="44F07507" w14:textId="1C642CE4" w:rsidR="000B5AD2" w:rsidRDefault="00DF0C40" w:rsidP="00F40D91">
      <w:pPr>
        <w:tabs>
          <w:tab w:val="left" w:pos="9142"/>
        </w:tabs>
        <w:ind w:left="9142" w:hanging="9142"/>
        <w:jc w:val="left"/>
        <w:rPr>
          <w:rFonts w:cs="Arial"/>
          <w:b/>
          <w:bCs/>
          <w:sz w:val="28"/>
          <w:szCs w:val="28"/>
          <w:lang w:val="es-MX"/>
        </w:rPr>
      </w:pPr>
      <w:r w:rsidRPr="00DF0C40">
        <w:rPr>
          <w:rFonts w:cs="Arial"/>
          <w:b/>
          <w:bCs/>
          <w:sz w:val="28"/>
          <w:szCs w:val="28"/>
          <w:lang w:val="es-MX"/>
        </w:rPr>
        <w:t>13 de junio de 2024</w:t>
      </w:r>
      <w:r w:rsidR="009C08C1">
        <w:rPr>
          <w:rFonts w:cs="Arial"/>
          <w:b/>
          <w:bCs/>
          <w:sz w:val="28"/>
          <w:szCs w:val="28"/>
          <w:lang w:val="es-MX"/>
        </w:rPr>
        <w:t xml:space="preserve">      </w:t>
      </w:r>
      <w:r w:rsidR="009C08C1">
        <w:rPr>
          <w:rFonts w:cs="Arial"/>
          <w:b/>
          <w:bCs/>
          <w:sz w:val="28"/>
          <w:szCs w:val="28"/>
          <w:lang w:val="es-MX"/>
        </w:rPr>
        <w:tab/>
      </w:r>
    </w:p>
    <w:p w14:paraId="18F1E9BA" w14:textId="075CEE6C" w:rsidR="00E166D7" w:rsidRDefault="00E166D7" w:rsidP="009C08C1">
      <w:pPr>
        <w:tabs>
          <w:tab w:val="left" w:pos="9142"/>
        </w:tabs>
        <w:jc w:val="left"/>
        <w:rPr>
          <w:rFonts w:cs="Arial"/>
          <w:sz w:val="22"/>
          <w:szCs w:val="22"/>
          <w:lang w:val="es-MX"/>
        </w:rPr>
      </w:pPr>
    </w:p>
    <w:p w14:paraId="6E829A66" w14:textId="77777777" w:rsidR="0010544E" w:rsidRPr="00F40D91" w:rsidRDefault="0010544E" w:rsidP="00F40D91">
      <w:pPr>
        <w:tabs>
          <w:tab w:val="left" w:pos="9142"/>
        </w:tabs>
        <w:ind w:left="9142" w:hanging="9142"/>
        <w:jc w:val="left"/>
        <w:rPr>
          <w:sz w:val="28"/>
          <w:szCs w:val="28"/>
        </w:rPr>
      </w:pPr>
    </w:p>
    <w:p w14:paraId="32E55F6B" w14:textId="77777777" w:rsidR="00020441" w:rsidRDefault="00020441">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5FB9C57C" w14:textId="77777777">
        <w:tc>
          <w:tcPr>
            <w:tcW w:w="4024" w:type="dxa"/>
          </w:tcPr>
          <w:p w14:paraId="248A6A95" w14:textId="77777777" w:rsidR="0077100C" w:rsidRDefault="0077100C">
            <w:pPr>
              <w:jc w:val="left"/>
              <w:rPr>
                <w:b/>
                <w:bCs/>
              </w:rPr>
            </w:pPr>
          </w:p>
          <w:p w14:paraId="6D27A061" w14:textId="77777777" w:rsidR="0077100C" w:rsidRDefault="0077100C">
            <w:pPr>
              <w:jc w:val="left"/>
              <w:rPr>
                <w:b/>
                <w:bCs/>
              </w:rPr>
            </w:pPr>
          </w:p>
          <w:p w14:paraId="2440A9AB" w14:textId="77777777" w:rsidR="00020441" w:rsidRDefault="00020441">
            <w:pPr>
              <w:jc w:val="left"/>
              <w:rPr>
                <w:b/>
                <w:bCs/>
              </w:rPr>
            </w:pPr>
            <w:r>
              <w:rPr>
                <w:b/>
                <w:bCs/>
              </w:rPr>
              <w:t>CIRCULACIÓN:</w:t>
            </w:r>
          </w:p>
        </w:tc>
      </w:tr>
      <w:tr w:rsidR="00020441" w14:paraId="6A659732" w14:textId="77777777">
        <w:tc>
          <w:tcPr>
            <w:tcW w:w="4024" w:type="dxa"/>
          </w:tcPr>
          <w:p w14:paraId="74DA0102" w14:textId="77777777" w:rsidR="00020441" w:rsidRDefault="00020441">
            <w:pPr>
              <w:jc w:val="left"/>
              <w:rPr>
                <w:b/>
                <w:bCs/>
              </w:rPr>
            </w:pPr>
            <w:r>
              <w:rPr>
                <w:b/>
                <w:bCs/>
              </w:rPr>
              <w:t>MIEMBROS DE LA COMISIÓN DE</w:t>
            </w:r>
          </w:p>
        </w:tc>
      </w:tr>
      <w:tr w:rsidR="00020441" w14:paraId="2BED25F3" w14:textId="77777777">
        <w:tc>
          <w:tcPr>
            <w:tcW w:w="4024" w:type="dxa"/>
          </w:tcPr>
          <w:p w14:paraId="5666418A" w14:textId="734929E9" w:rsidR="00020441" w:rsidRDefault="00020441">
            <w:pPr>
              <w:tabs>
                <w:tab w:val="left" w:pos="4606"/>
                <w:tab w:val="left" w:pos="9142"/>
              </w:tabs>
              <w:jc w:val="left"/>
              <w:rPr>
                <w:b/>
                <w:bCs/>
              </w:rPr>
            </w:pPr>
            <w:r>
              <w:rPr>
                <w:b/>
                <w:bCs/>
              </w:rPr>
              <w:t>REGULACIÓN DE ENERGÍA Y GAS.</w:t>
            </w:r>
          </w:p>
        </w:tc>
      </w:tr>
    </w:tbl>
    <w:p w14:paraId="40FE96D7" w14:textId="77777777" w:rsidR="001212B1" w:rsidRPr="00EF22E0" w:rsidRDefault="001212B1" w:rsidP="001212B1">
      <w:pPr>
        <w:pStyle w:val="Ttulo"/>
        <w:spacing w:line="360" w:lineRule="auto"/>
        <w:jc w:val="left"/>
        <w:rPr>
          <w:rFonts w:ascii="Helvetica" w:hAnsi="Helvetica" w:cs="Helvetica"/>
          <w:szCs w:val="24"/>
          <w:lang w:val="it-IT"/>
        </w:rPr>
      </w:pPr>
    </w:p>
    <w:p w14:paraId="4A9EF316" w14:textId="77777777" w:rsidR="00CD5DD9" w:rsidRDefault="00CD5DD9" w:rsidP="001212B1">
      <w:pPr>
        <w:pStyle w:val="Ttulo"/>
        <w:spacing w:line="360" w:lineRule="auto"/>
        <w:jc w:val="left"/>
        <w:rPr>
          <w:rFonts w:ascii="Helvetica" w:hAnsi="Helvetica" w:cs="Helvetica"/>
          <w:szCs w:val="24"/>
          <w:lang w:val="it-IT"/>
        </w:rPr>
      </w:pPr>
    </w:p>
    <w:p w14:paraId="37EC0ACD" w14:textId="77777777" w:rsidR="00CD5DD9" w:rsidRDefault="00CD5DD9" w:rsidP="001212B1">
      <w:pPr>
        <w:pStyle w:val="Ttulo"/>
        <w:spacing w:line="360" w:lineRule="auto"/>
        <w:jc w:val="left"/>
        <w:rPr>
          <w:rFonts w:ascii="Helvetica" w:hAnsi="Helvetica" w:cs="Helvetica"/>
          <w:szCs w:val="24"/>
          <w:lang w:val="it-IT"/>
        </w:rPr>
      </w:pPr>
    </w:p>
    <w:p w14:paraId="11B944B1" w14:textId="77777777" w:rsidR="00CD5DD9" w:rsidRDefault="00CD5DD9" w:rsidP="001212B1">
      <w:pPr>
        <w:pStyle w:val="Ttulo"/>
        <w:spacing w:line="360" w:lineRule="auto"/>
        <w:jc w:val="left"/>
        <w:rPr>
          <w:rFonts w:ascii="Helvetica" w:hAnsi="Helvetica" w:cs="Helvetica"/>
          <w:szCs w:val="24"/>
          <w:lang w:val="it-IT"/>
        </w:rPr>
      </w:pPr>
    </w:p>
    <w:p w14:paraId="10F30DE5" w14:textId="77777777" w:rsidR="00CD5DD9" w:rsidRDefault="00CD5DD9" w:rsidP="001212B1">
      <w:pPr>
        <w:pStyle w:val="Ttulo"/>
        <w:spacing w:line="360" w:lineRule="auto"/>
        <w:jc w:val="left"/>
        <w:rPr>
          <w:rFonts w:ascii="Helvetica" w:hAnsi="Helvetica" w:cs="Helvetica"/>
          <w:szCs w:val="24"/>
          <w:lang w:val="it-IT"/>
        </w:rPr>
      </w:pPr>
    </w:p>
    <w:p w14:paraId="01ED9724" w14:textId="75672493" w:rsidR="001212B1" w:rsidRPr="00EF22E0" w:rsidRDefault="001212B1" w:rsidP="001212B1">
      <w:pPr>
        <w:pStyle w:val="Ttulo"/>
        <w:spacing w:line="360" w:lineRule="auto"/>
        <w:jc w:val="left"/>
        <w:rPr>
          <w:rFonts w:ascii="Helvetica" w:hAnsi="Helvetica" w:cs="Helvetica"/>
          <w:szCs w:val="24"/>
          <w:lang w:val="it-IT"/>
        </w:rPr>
      </w:pPr>
      <w:r w:rsidRPr="00EF22E0">
        <w:rPr>
          <w:rFonts w:ascii="Helvetica" w:hAnsi="Helvetica" w:cs="Helvetica"/>
          <w:szCs w:val="24"/>
          <w:lang w:val="it-IT"/>
        </w:rPr>
        <w:t>CONTENIDO</w:t>
      </w:r>
    </w:p>
    <w:p w14:paraId="12CBFC2C" w14:textId="77777777" w:rsidR="001212B1" w:rsidRPr="00EF22E0" w:rsidRDefault="001212B1" w:rsidP="001212B1">
      <w:pPr>
        <w:pStyle w:val="Ttulo"/>
        <w:spacing w:line="360" w:lineRule="auto"/>
        <w:jc w:val="left"/>
        <w:rPr>
          <w:rFonts w:ascii="Helvetica" w:hAnsi="Helvetica" w:cs="Helvetica"/>
          <w:szCs w:val="24"/>
          <w:lang w:val="it-IT"/>
        </w:rPr>
      </w:pPr>
    </w:p>
    <w:p w14:paraId="3695F163" w14:textId="2A11FA8D" w:rsidR="001212B1" w:rsidRDefault="001212B1" w:rsidP="001212B1">
      <w:pPr>
        <w:pStyle w:val="TDC1"/>
        <w:rPr>
          <w:rFonts w:asciiTheme="minorHAnsi" w:eastAsiaTheme="minorEastAsia" w:hAnsiTheme="minorHAnsi" w:cstheme="minorBidi"/>
          <w:b/>
          <w:bCs/>
          <w:caps/>
          <w:kern w:val="2"/>
          <w:lang w:val="es-CO" w:eastAsia="es-CO"/>
          <w14:ligatures w14:val="standardContextual"/>
        </w:rPr>
      </w:pPr>
      <w:r w:rsidRPr="00EF22E0">
        <w:rPr>
          <w:rFonts w:ascii="Helvetica" w:hAnsi="Helvetica" w:cs="Helvetica"/>
          <w:b/>
          <w:bCs/>
          <w:lang w:val="it-IT"/>
        </w:rPr>
        <w:fldChar w:fldCharType="begin"/>
      </w:r>
      <w:r w:rsidRPr="00EF22E0">
        <w:rPr>
          <w:rFonts w:ascii="Helvetica" w:hAnsi="Helvetica" w:cs="Helvetica"/>
          <w:lang w:val="it-IT"/>
        </w:rPr>
        <w:instrText xml:space="preserve"> TOC \o "1-1" \h \z \u </w:instrText>
      </w:r>
      <w:r w:rsidRPr="00EF22E0">
        <w:rPr>
          <w:rFonts w:ascii="Helvetica" w:hAnsi="Helvetica" w:cs="Helvetica"/>
          <w:b/>
          <w:bCs/>
          <w:lang w:val="it-IT"/>
        </w:rPr>
        <w:fldChar w:fldCharType="separate"/>
      </w:r>
      <w:hyperlink w:anchor="_Toc167896834" w:history="1">
        <w:r w:rsidRPr="00DE09DA">
          <w:rPr>
            <w:rStyle w:val="Hipervnculo"/>
            <w:rFonts w:ascii="Helvetica" w:hAnsi="Helvetica" w:cs="Helvetica"/>
          </w:rPr>
          <w:t>1.</w:t>
        </w:r>
        <w:r>
          <w:rPr>
            <w:rFonts w:asciiTheme="minorHAnsi" w:eastAsiaTheme="minorEastAsia" w:hAnsiTheme="minorHAnsi" w:cstheme="minorBidi"/>
            <w:kern w:val="2"/>
            <w:lang w:val="es-CO" w:eastAsia="es-CO"/>
            <w14:ligatures w14:val="standardContextual"/>
          </w:rPr>
          <w:tab/>
        </w:r>
        <w:r w:rsidRPr="00DE09DA">
          <w:rPr>
            <w:rStyle w:val="Hipervnculo"/>
            <w:rFonts w:ascii="Helvetica" w:hAnsi="Helvetica" w:cs="Helvetica"/>
          </w:rPr>
          <w:t>ANTECEDENTES</w:t>
        </w:r>
        <w:r>
          <w:rPr>
            <w:webHidden/>
          </w:rPr>
          <w:tab/>
        </w:r>
        <w:r>
          <w:rPr>
            <w:webHidden/>
          </w:rPr>
          <w:fldChar w:fldCharType="begin"/>
        </w:r>
        <w:r>
          <w:rPr>
            <w:webHidden/>
          </w:rPr>
          <w:instrText xml:space="preserve"> PAGEREF _Toc167896834 \h </w:instrText>
        </w:r>
        <w:r>
          <w:rPr>
            <w:webHidden/>
          </w:rPr>
        </w:r>
        <w:r>
          <w:rPr>
            <w:webHidden/>
          </w:rPr>
          <w:fldChar w:fldCharType="separate"/>
        </w:r>
        <w:r w:rsidR="00874DC3">
          <w:rPr>
            <w:webHidden/>
          </w:rPr>
          <w:t>4</w:t>
        </w:r>
        <w:r>
          <w:rPr>
            <w:webHidden/>
          </w:rPr>
          <w:fldChar w:fldCharType="end"/>
        </w:r>
      </w:hyperlink>
    </w:p>
    <w:p w14:paraId="315A45CC" w14:textId="421AB25D" w:rsidR="001212B1" w:rsidRDefault="00000000" w:rsidP="001212B1">
      <w:pPr>
        <w:pStyle w:val="TDC1"/>
        <w:rPr>
          <w:rFonts w:asciiTheme="minorHAnsi" w:eastAsiaTheme="minorEastAsia" w:hAnsiTheme="minorHAnsi" w:cstheme="minorBidi"/>
          <w:b/>
          <w:bCs/>
          <w:caps/>
          <w:kern w:val="2"/>
          <w:lang w:val="es-CO" w:eastAsia="es-CO"/>
          <w14:ligatures w14:val="standardContextual"/>
        </w:rPr>
      </w:pPr>
      <w:hyperlink w:anchor="_Toc167896835" w:history="1">
        <w:r w:rsidR="001212B1" w:rsidRPr="00DE09DA">
          <w:rPr>
            <w:rStyle w:val="Hipervnculo"/>
            <w:rFonts w:ascii="Helvetica" w:hAnsi="Helvetica" w:cs="Helvetica"/>
          </w:rPr>
          <w:t>2.</w:t>
        </w:r>
        <w:r w:rsidR="001212B1">
          <w:rPr>
            <w:rFonts w:asciiTheme="minorHAnsi" w:eastAsiaTheme="minorEastAsia" w:hAnsiTheme="minorHAnsi" w:cstheme="minorBidi"/>
            <w:kern w:val="2"/>
            <w:lang w:val="es-CO" w:eastAsia="es-CO"/>
            <w14:ligatures w14:val="standardContextual"/>
          </w:rPr>
          <w:tab/>
        </w:r>
        <w:r w:rsidR="001212B1" w:rsidRPr="00DE09DA">
          <w:rPr>
            <w:rStyle w:val="Hipervnculo"/>
            <w:rFonts w:ascii="Helvetica" w:hAnsi="Helvetica" w:cs="Helvetica"/>
          </w:rPr>
          <w:t>Contexto de mercado del Jet Fuel en Colombia</w:t>
        </w:r>
        <w:r w:rsidR="001212B1">
          <w:rPr>
            <w:webHidden/>
          </w:rPr>
          <w:tab/>
        </w:r>
        <w:r w:rsidR="001212B1">
          <w:rPr>
            <w:webHidden/>
          </w:rPr>
          <w:fldChar w:fldCharType="begin"/>
        </w:r>
        <w:r w:rsidR="001212B1">
          <w:rPr>
            <w:webHidden/>
          </w:rPr>
          <w:instrText xml:space="preserve"> PAGEREF _Toc167896835 \h </w:instrText>
        </w:r>
        <w:r w:rsidR="001212B1">
          <w:rPr>
            <w:webHidden/>
          </w:rPr>
        </w:r>
        <w:r w:rsidR="001212B1">
          <w:rPr>
            <w:webHidden/>
          </w:rPr>
          <w:fldChar w:fldCharType="separate"/>
        </w:r>
        <w:r w:rsidR="00874DC3">
          <w:rPr>
            <w:webHidden/>
          </w:rPr>
          <w:t>22</w:t>
        </w:r>
        <w:r w:rsidR="001212B1">
          <w:rPr>
            <w:webHidden/>
          </w:rPr>
          <w:fldChar w:fldCharType="end"/>
        </w:r>
      </w:hyperlink>
    </w:p>
    <w:p w14:paraId="6F346CFC" w14:textId="578E78E0" w:rsidR="001212B1" w:rsidRDefault="00000000" w:rsidP="001212B1">
      <w:pPr>
        <w:pStyle w:val="TDC1"/>
        <w:rPr>
          <w:rFonts w:asciiTheme="minorHAnsi" w:eastAsiaTheme="minorEastAsia" w:hAnsiTheme="minorHAnsi" w:cstheme="minorBidi"/>
          <w:b/>
          <w:bCs/>
          <w:caps/>
          <w:kern w:val="2"/>
          <w:lang w:val="es-CO" w:eastAsia="es-CO"/>
          <w14:ligatures w14:val="standardContextual"/>
        </w:rPr>
      </w:pPr>
      <w:hyperlink w:anchor="_Toc167896836" w:history="1">
        <w:r w:rsidR="001212B1" w:rsidRPr="00DE09DA">
          <w:rPr>
            <w:rStyle w:val="Hipervnculo"/>
            <w:rFonts w:ascii="Helvetica" w:eastAsia="Arial" w:hAnsi="Helvetica" w:cs="Helvetica"/>
          </w:rPr>
          <w:t>3.</w:t>
        </w:r>
        <w:r w:rsidR="001212B1">
          <w:rPr>
            <w:rFonts w:asciiTheme="minorHAnsi" w:eastAsiaTheme="minorEastAsia" w:hAnsiTheme="minorHAnsi" w:cstheme="minorBidi"/>
            <w:kern w:val="2"/>
            <w:lang w:val="es-CO" w:eastAsia="es-CO"/>
            <w14:ligatures w14:val="standardContextual"/>
          </w:rPr>
          <w:tab/>
        </w:r>
        <w:r w:rsidR="001212B1" w:rsidRPr="00DE09DA">
          <w:rPr>
            <w:rStyle w:val="Hipervnculo"/>
            <w:rFonts w:ascii="Helvetica" w:hAnsi="Helvetica" w:cs="Helvetica"/>
          </w:rPr>
          <w:t>DIAGNÓSTICO</w:t>
        </w:r>
        <w:r w:rsidR="001212B1">
          <w:rPr>
            <w:webHidden/>
          </w:rPr>
          <w:tab/>
        </w:r>
        <w:r w:rsidR="001212B1">
          <w:rPr>
            <w:webHidden/>
          </w:rPr>
          <w:fldChar w:fldCharType="begin"/>
        </w:r>
        <w:r w:rsidR="001212B1">
          <w:rPr>
            <w:webHidden/>
          </w:rPr>
          <w:instrText xml:space="preserve"> PAGEREF _Toc167896836 \h </w:instrText>
        </w:r>
        <w:r w:rsidR="001212B1">
          <w:rPr>
            <w:webHidden/>
          </w:rPr>
        </w:r>
        <w:r w:rsidR="001212B1">
          <w:rPr>
            <w:webHidden/>
          </w:rPr>
          <w:fldChar w:fldCharType="separate"/>
        </w:r>
        <w:r w:rsidR="00874DC3">
          <w:rPr>
            <w:webHidden/>
          </w:rPr>
          <w:t>52</w:t>
        </w:r>
        <w:r w:rsidR="001212B1">
          <w:rPr>
            <w:webHidden/>
          </w:rPr>
          <w:fldChar w:fldCharType="end"/>
        </w:r>
      </w:hyperlink>
    </w:p>
    <w:p w14:paraId="4946037F" w14:textId="547EC432" w:rsidR="001212B1" w:rsidRDefault="00000000" w:rsidP="001212B1">
      <w:pPr>
        <w:pStyle w:val="TDC1"/>
        <w:rPr>
          <w:rFonts w:asciiTheme="minorHAnsi" w:eastAsiaTheme="minorEastAsia" w:hAnsiTheme="minorHAnsi" w:cstheme="minorBidi"/>
          <w:b/>
          <w:bCs/>
          <w:caps/>
          <w:kern w:val="2"/>
          <w:lang w:val="es-CO" w:eastAsia="es-CO"/>
          <w14:ligatures w14:val="standardContextual"/>
        </w:rPr>
      </w:pPr>
      <w:hyperlink w:anchor="_Toc167896837" w:history="1">
        <w:r w:rsidR="001212B1" w:rsidRPr="00DE09DA">
          <w:rPr>
            <w:rStyle w:val="Hipervnculo"/>
            <w:rFonts w:ascii="Helvetica" w:hAnsi="Helvetica" w:cs="Helvetica"/>
          </w:rPr>
          <w:t>4.</w:t>
        </w:r>
        <w:r w:rsidR="001212B1">
          <w:rPr>
            <w:rFonts w:asciiTheme="minorHAnsi" w:eastAsiaTheme="minorEastAsia" w:hAnsiTheme="minorHAnsi" w:cstheme="minorBidi"/>
            <w:kern w:val="2"/>
            <w:lang w:val="es-CO" w:eastAsia="es-CO"/>
            <w14:ligatures w14:val="standardContextual"/>
          </w:rPr>
          <w:tab/>
        </w:r>
        <w:r w:rsidR="001212B1" w:rsidRPr="00DE09DA">
          <w:rPr>
            <w:rStyle w:val="Hipervnculo"/>
            <w:rFonts w:ascii="Helvetica" w:hAnsi="Helvetica" w:cs="Helvetica"/>
          </w:rPr>
          <w:t>DEFINICIÓN DEL PROBLEMA</w:t>
        </w:r>
        <w:r w:rsidR="001212B1">
          <w:rPr>
            <w:webHidden/>
          </w:rPr>
          <w:tab/>
        </w:r>
        <w:r w:rsidR="001212B1">
          <w:rPr>
            <w:webHidden/>
          </w:rPr>
          <w:fldChar w:fldCharType="begin"/>
        </w:r>
        <w:r w:rsidR="001212B1">
          <w:rPr>
            <w:webHidden/>
          </w:rPr>
          <w:instrText xml:space="preserve"> PAGEREF _Toc167896837 \h </w:instrText>
        </w:r>
        <w:r w:rsidR="001212B1">
          <w:rPr>
            <w:webHidden/>
          </w:rPr>
        </w:r>
        <w:r w:rsidR="001212B1">
          <w:rPr>
            <w:webHidden/>
          </w:rPr>
          <w:fldChar w:fldCharType="separate"/>
        </w:r>
        <w:r w:rsidR="00874DC3">
          <w:rPr>
            <w:webHidden/>
          </w:rPr>
          <w:t>56</w:t>
        </w:r>
        <w:r w:rsidR="001212B1">
          <w:rPr>
            <w:webHidden/>
          </w:rPr>
          <w:fldChar w:fldCharType="end"/>
        </w:r>
      </w:hyperlink>
    </w:p>
    <w:p w14:paraId="1E00F408" w14:textId="206F3787" w:rsidR="001212B1" w:rsidRDefault="00000000" w:rsidP="001212B1">
      <w:pPr>
        <w:pStyle w:val="TDC1"/>
        <w:rPr>
          <w:rFonts w:asciiTheme="minorHAnsi" w:eastAsiaTheme="minorEastAsia" w:hAnsiTheme="minorHAnsi" w:cstheme="minorBidi"/>
          <w:b/>
          <w:bCs/>
          <w:caps/>
          <w:kern w:val="2"/>
          <w:lang w:val="es-CO" w:eastAsia="es-CO"/>
          <w14:ligatures w14:val="standardContextual"/>
        </w:rPr>
      </w:pPr>
      <w:hyperlink w:anchor="_Toc167896838" w:history="1">
        <w:r w:rsidR="001212B1" w:rsidRPr="00DE09DA">
          <w:rPr>
            <w:rStyle w:val="Hipervnculo"/>
            <w:rFonts w:ascii="Helvetica" w:hAnsi="Helvetica" w:cs="Helvetica"/>
          </w:rPr>
          <w:t>5.</w:t>
        </w:r>
        <w:r w:rsidR="001212B1">
          <w:rPr>
            <w:rFonts w:asciiTheme="minorHAnsi" w:eastAsiaTheme="minorEastAsia" w:hAnsiTheme="minorHAnsi" w:cstheme="minorBidi"/>
            <w:kern w:val="2"/>
            <w:lang w:val="es-CO" w:eastAsia="es-CO"/>
            <w14:ligatures w14:val="standardContextual"/>
          </w:rPr>
          <w:tab/>
        </w:r>
        <w:r w:rsidR="001212B1" w:rsidRPr="00DE09DA">
          <w:rPr>
            <w:rStyle w:val="Hipervnculo"/>
            <w:rFonts w:ascii="Helvetica" w:hAnsi="Helvetica" w:cs="Helvetica"/>
          </w:rPr>
          <w:t>OBJETIVOS</w:t>
        </w:r>
        <w:r w:rsidR="001212B1">
          <w:rPr>
            <w:webHidden/>
          </w:rPr>
          <w:tab/>
        </w:r>
        <w:r w:rsidR="001212B1">
          <w:rPr>
            <w:webHidden/>
          </w:rPr>
          <w:fldChar w:fldCharType="begin"/>
        </w:r>
        <w:r w:rsidR="001212B1">
          <w:rPr>
            <w:webHidden/>
          </w:rPr>
          <w:instrText xml:space="preserve"> PAGEREF _Toc167896838 \h </w:instrText>
        </w:r>
        <w:r w:rsidR="001212B1">
          <w:rPr>
            <w:webHidden/>
          </w:rPr>
        </w:r>
        <w:r w:rsidR="001212B1">
          <w:rPr>
            <w:webHidden/>
          </w:rPr>
          <w:fldChar w:fldCharType="separate"/>
        </w:r>
        <w:r w:rsidR="00874DC3">
          <w:rPr>
            <w:webHidden/>
          </w:rPr>
          <w:t>65</w:t>
        </w:r>
        <w:r w:rsidR="001212B1">
          <w:rPr>
            <w:webHidden/>
          </w:rPr>
          <w:fldChar w:fldCharType="end"/>
        </w:r>
      </w:hyperlink>
    </w:p>
    <w:p w14:paraId="259EA908" w14:textId="7A744A24" w:rsidR="001212B1" w:rsidRDefault="00000000" w:rsidP="001212B1">
      <w:pPr>
        <w:pStyle w:val="TDC1"/>
        <w:rPr>
          <w:rFonts w:asciiTheme="minorHAnsi" w:eastAsiaTheme="minorEastAsia" w:hAnsiTheme="minorHAnsi" w:cstheme="minorBidi"/>
          <w:b/>
          <w:bCs/>
          <w:caps/>
          <w:kern w:val="2"/>
          <w:lang w:val="es-CO" w:eastAsia="es-CO"/>
          <w14:ligatures w14:val="standardContextual"/>
        </w:rPr>
      </w:pPr>
      <w:hyperlink w:anchor="_Toc167896839" w:history="1">
        <w:r w:rsidR="001212B1" w:rsidRPr="00DE09DA">
          <w:rPr>
            <w:rStyle w:val="Hipervnculo"/>
            <w:rFonts w:ascii="Helvetica" w:hAnsi="Helvetica" w:cs="Helvetica"/>
          </w:rPr>
          <w:t>6.</w:t>
        </w:r>
        <w:r w:rsidR="001212B1">
          <w:rPr>
            <w:rFonts w:asciiTheme="minorHAnsi" w:eastAsiaTheme="minorEastAsia" w:hAnsiTheme="minorHAnsi" w:cstheme="minorBidi"/>
            <w:kern w:val="2"/>
            <w:lang w:val="es-CO" w:eastAsia="es-CO"/>
            <w14:ligatures w14:val="standardContextual"/>
          </w:rPr>
          <w:tab/>
        </w:r>
        <w:r w:rsidR="001212B1" w:rsidRPr="00DE09DA">
          <w:rPr>
            <w:rStyle w:val="Hipervnculo"/>
            <w:rFonts w:ascii="Helvetica" w:hAnsi="Helvetica" w:cs="Helvetica"/>
          </w:rPr>
          <w:t>ALTERNATIVAS</w:t>
        </w:r>
        <w:r w:rsidR="001212B1">
          <w:rPr>
            <w:webHidden/>
          </w:rPr>
          <w:tab/>
        </w:r>
        <w:r w:rsidR="001212B1">
          <w:rPr>
            <w:webHidden/>
          </w:rPr>
          <w:fldChar w:fldCharType="begin"/>
        </w:r>
        <w:r w:rsidR="001212B1">
          <w:rPr>
            <w:webHidden/>
          </w:rPr>
          <w:instrText xml:space="preserve"> PAGEREF _Toc167896839 \h </w:instrText>
        </w:r>
        <w:r w:rsidR="001212B1">
          <w:rPr>
            <w:webHidden/>
          </w:rPr>
        </w:r>
        <w:r w:rsidR="001212B1">
          <w:rPr>
            <w:webHidden/>
          </w:rPr>
          <w:fldChar w:fldCharType="separate"/>
        </w:r>
        <w:r w:rsidR="00874DC3">
          <w:rPr>
            <w:webHidden/>
          </w:rPr>
          <w:t>67</w:t>
        </w:r>
        <w:r w:rsidR="001212B1">
          <w:rPr>
            <w:webHidden/>
          </w:rPr>
          <w:fldChar w:fldCharType="end"/>
        </w:r>
      </w:hyperlink>
    </w:p>
    <w:p w14:paraId="52C74E61" w14:textId="62583F74" w:rsidR="001212B1" w:rsidRDefault="00000000" w:rsidP="001212B1">
      <w:pPr>
        <w:pStyle w:val="TDC1"/>
        <w:rPr>
          <w:rFonts w:asciiTheme="minorHAnsi" w:eastAsiaTheme="minorEastAsia" w:hAnsiTheme="minorHAnsi" w:cstheme="minorBidi"/>
          <w:b/>
          <w:bCs/>
          <w:caps/>
          <w:kern w:val="2"/>
          <w:lang w:val="es-CO" w:eastAsia="es-CO"/>
          <w14:ligatures w14:val="standardContextual"/>
        </w:rPr>
      </w:pPr>
      <w:hyperlink w:anchor="_Toc167896840" w:history="1">
        <w:r w:rsidR="001212B1" w:rsidRPr="00DE09DA">
          <w:rPr>
            <w:rStyle w:val="Hipervnculo"/>
            <w:rFonts w:ascii="Helvetica" w:hAnsi="Helvetica" w:cs="Helvetica"/>
            <w:lang w:val="es-CO"/>
          </w:rPr>
          <w:t>7.</w:t>
        </w:r>
        <w:r w:rsidR="001212B1">
          <w:rPr>
            <w:rFonts w:asciiTheme="minorHAnsi" w:eastAsiaTheme="minorEastAsia" w:hAnsiTheme="minorHAnsi" w:cstheme="minorBidi"/>
            <w:kern w:val="2"/>
            <w:lang w:val="es-CO" w:eastAsia="es-CO"/>
            <w14:ligatures w14:val="standardContextual"/>
          </w:rPr>
          <w:tab/>
        </w:r>
        <w:r w:rsidR="001212B1" w:rsidRPr="00DE09DA">
          <w:rPr>
            <w:rStyle w:val="Hipervnculo"/>
            <w:rFonts w:ascii="Helvetica" w:hAnsi="Helvetica" w:cs="Helvetica"/>
            <w:lang w:val="es-CO"/>
          </w:rPr>
          <w:t>ANÁLISIS DE LAS ALTERNATIVAS E IMPACTOS</w:t>
        </w:r>
        <w:r w:rsidR="001212B1">
          <w:rPr>
            <w:webHidden/>
          </w:rPr>
          <w:tab/>
        </w:r>
        <w:r w:rsidR="001212B1">
          <w:rPr>
            <w:webHidden/>
          </w:rPr>
          <w:fldChar w:fldCharType="begin"/>
        </w:r>
        <w:r w:rsidR="001212B1">
          <w:rPr>
            <w:webHidden/>
          </w:rPr>
          <w:instrText xml:space="preserve"> PAGEREF _Toc167896840 \h </w:instrText>
        </w:r>
        <w:r w:rsidR="001212B1">
          <w:rPr>
            <w:webHidden/>
          </w:rPr>
        </w:r>
        <w:r w:rsidR="001212B1">
          <w:rPr>
            <w:webHidden/>
          </w:rPr>
          <w:fldChar w:fldCharType="separate"/>
        </w:r>
        <w:r w:rsidR="00874DC3">
          <w:rPr>
            <w:webHidden/>
          </w:rPr>
          <w:t>79</w:t>
        </w:r>
        <w:r w:rsidR="001212B1">
          <w:rPr>
            <w:webHidden/>
          </w:rPr>
          <w:fldChar w:fldCharType="end"/>
        </w:r>
      </w:hyperlink>
    </w:p>
    <w:p w14:paraId="4316BB1A" w14:textId="77777777" w:rsidR="001212B1" w:rsidRPr="00EF22E0" w:rsidRDefault="001212B1" w:rsidP="001212B1">
      <w:pPr>
        <w:pStyle w:val="Ttulo"/>
        <w:spacing w:line="360" w:lineRule="auto"/>
        <w:jc w:val="left"/>
        <w:rPr>
          <w:rFonts w:ascii="Helvetica" w:hAnsi="Helvetica" w:cs="Helvetica"/>
          <w:b w:val="0"/>
          <w:szCs w:val="24"/>
          <w:lang w:val="es-ES"/>
        </w:rPr>
      </w:pPr>
      <w:r w:rsidRPr="00EF22E0">
        <w:rPr>
          <w:rFonts w:ascii="Helvetica" w:hAnsi="Helvetica" w:cs="Helvetica"/>
          <w:b w:val="0"/>
          <w:caps/>
          <w:szCs w:val="24"/>
          <w:lang w:val="it-IT"/>
        </w:rPr>
        <w:fldChar w:fldCharType="end"/>
      </w:r>
    </w:p>
    <w:p w14:paraId="5A14A272"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br w:type="page"/>
      </w:r>
    </w:p>
    <w:p w14:paraId="64A8CC9F" w14:textId="77777777" w:rsidR="001212B1" w:rsidRPr="00EF22E0" w:rsidRDefault="001212B1" w:rsidP="001212B1">
      <w:pPr>
        <w:pStyle w:val="Ttulo"/>
        <w:spacing w:line="360" w:lineRule="auto"/>
        <w:jc w:val="left"/>
        <w:rPr>
          <w:rFonts w:ascii="Helvetica" w:hAnsi="Helvetica" w:cs="Helvetica"/>
          <w:szCs w:val="24"/>
          <w:lang w:val="it-IT"/>
        </w:rPr>
      </w:pPr>
      <w:r w:rsidRPr="00EF22E0">
        <w:rPr>
          <w:rFonts w:ascii="Helvetica" w:hAnsi="Helvetica" w:cs="Helvetica"/>
          <w:szCs w:val="24"/>
          <w:lang w:val="it-IT"/>
        </w:rPr>
        <w:lastRenderedPageBreak/>
        <w:t>TABLA DE FIGURAS</w:t>
      </w:r>
    </w:p>
    <w:p w14:paraId="3ABEEE77" w14:textId="77777777" w:rsidR="001212B1" w:rsidRPr="00EF22E0" w:rsidRDefault="001212B1" w:rsidP="001212B1">
      <w:pPr>
        <w:pStyle w:val="Tabladeilustraciones"/>
        <w:ind w:left="0" w:firstLine="0"/>
        <w:rPr>
          <w:rFonts w:ascii="Helvetica" w:hAnsi="Helvetica" w:cs="Helvetica"/>
          <w:szCs w:val="24"/>
        </w:rPr>
      </w:pPr>
    </w:p>
    <w:p w14:paraId="49CF2AFD" w14:textId="0596B0FA" w:rsidR="001212B1" w:rsidRDefault="001212B1" w:rsidP="001212B1">
      <w:pPr>
        <w:pStyle w:val="Tabladeilustraciones"/>
        <w:rPr>
          <w:rFonts w:asciiTheme="minorHAnsi" w:eastAsiaTheme="minorEastAsia" w:hAnsiTheme="minorHAnsi" w:cstheme="minorBidi"/>
          <w:kern w:val="2"/>
          <w:szCs w:val="24"/>
          <w:lang w:val="es-CO" w:eastAsia="es-CO"/>
          <w14:ligatures w14:val="standardContextual"/>
        </w:rPr>
      </w:pPr>
      <w:r w:rsidRPr="00EF22E0">
        <w:rPr>
          <w:rFonts w:ascii="Helvetica" w:hAnsi="Helvetica" w:cs="Helvetica"/>
          <w:szCs w:val="24"/>
        </w:rPr>
        <w:fldChar w:fldCharType="begin"/>
      </w:r>
      <w:r w:rsidRPr="00EF22E0">
        <w:rPr>
          <w:rFonts w:ascii="Helvetica" w:hAnsi="Helvetica" w:cs="Helvetica"/>
          <w:szCs w:val="24"/>
        </w:rPr>
        <w:instrText xml:space="preserve"> TOC \h \z \c "Figura" </w:instrText>
      </w:r>
      <w:r w:rsidRPr="00EF22E0">
        <w:rPr>
          <w:rFonts w:ascii="Helvetica" w:hAnsi="Helvetica" w:cs="Helvetica"/>
          <w:szCs w:val="24"/>
        </w:rPr>
        <w:fldChar w:fldCharType="separate"/>
      </w:r>
      <w:hyperlink w:anchor="_Toc167896841" w:history="1">
        <w:r w:rsidRPr="002E5DB7">
          <w:rPr>
            <w:rStyle w:val="Hipervnculo"/>
            <w:rFonts w:ascii="Helvetica" w:hAnsi="Helvetica" w:cs="Helvetica"/>
          </w:rPr>
          <w:t>Figura 1. Producción de Jet A1</w:t>
        </w:r>
        <w:r>
          <w:rPr>
            <w:webHidden/>
          </w:rPr>
          <w:tab/>
        </w:r>
        <w:r>
          <w:rPr>
            <w:webHidden/>
          </w:rPr>
          <w:fldChar w:fldCharType="begin"/>
        </w:r>
        <w:r>
          <w:rPr>
            <w:webHidden/>
          </w:rPr>
          <w:instrText xml:space="preserve"> PAGEREF _Toc167896841 \h </w:instrText>
        </w:r>
        <w:r>
          <w:rPr>
            <w:webHidden/>
          </w:rPr>
        </w:r>
        <w:r>
          <w:rPr>
            <w:webHidden/>
          </w:rPr>
          <w:fldChar w:fldCharType="separate"/>
        </w:r>
        <w:r w:rsidR="00874DC3">
          <w:rPr>
            <w:webHidden/>
          </w:rPr>
          <w:t>25</w:t>
        </w:r>
        <w:r>
          <w:rPr>
            <w:webHidden/>
          </w:rPr>
          <w:fldChar w:fldCharType="end"/>
        </w:r>
      </w:hyperlink>
    </w:p>
    <w:p w14:paraId="2BB10AFF" w14:textId="60215A8D"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2" w:history="1">
        <w:r w:rsidR="001212B1" w:rsidRPr="002E5DB7">
          <w:rPr>
            <w:rStyle w:val="Hipervnculo"/>
            <w:rFonts w:ascii="Helvetica" w:hAnsi="Helvetica" w:cs="Helvetica"/>
          </w:rPr>
          <w:t>Figura 2. Importación de Jet A1</w:t>
        </w:r>
        <w:r w:rsidR="001212B1">
          <w:rPr>
            <w:webHidden/>
          </w:rPr>
          <w:tab/>
        </w:r>
        <w:r w:rsidR="001212B1">
          <w:rPr>
            <w:webHidden/>
          </w:rPr>
          <w:fldChar w:fldCharType="begin"/>
        </w:r>
        <w:r w:rsidR="001212B1">
          <w:rPr>
            <w:webHidden/>
          </w:rPr>
          <w:instrText xml:space="preserve"> PAGEREF _Toc167896842 \h </w:instrText>
        </w:r>
        <w:r w:rsidR="001212B1">
          <w:rPr>
            <w:webHidden/>
          </w:rPr>
        </w:r>
        <w:r w:rsidR="001212B1">
          <w:rPr>
            <w:webHidden/>
          </w:rPr>
          <w:fldChar w:fldCharType="separate"/>
        </w:r>
        <w:r w:rsidR="00874DC3">
          <w:rPr>
            <w:webHidden/>
          </w:rPr>
          <w:t>26</w:t>
        </w:r>
        <w:r w:rsidR="001212B1">
          <w:rPr>
            <w:webHidden/>
          </w:rPr>
          <w:fldChar w:fldCharType="end"/>
        </w:r>
      </w:hyperlink>
    </w:p>
    <w:p w14:paraId="41FF9F5F" w14:textId="41427C56"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3" w:history="1">
        <w:r w:rsidR="001212B1" w:rsidRPr="002E5DB7">
          <w:rPr>
            <w:rStyle w:val="Hipervnculo"/>
            <w:rFonts w:ascii="Helvetica" w:hAnsi="Helvetica" w:cs="Helvetica"/>
          </w:rPr>
          <w:t>Figura 3. Consumo de Jet A1</w:t>
        </w:r>
        <w:r w:rsidR="001212B1">
          <w:rPr>
            <w:webHidden/>
          </w:rPr>
          <w:tab/>
        </w:r>
        <w:r w:rsidR="001212B1">
          <w:rPr>
            <w:webHidden/>
          </w:rPr>
          <w:fldChar w:fldCharType="begin"/>
        </w:r>
        <w:r w:rsidR="001212B1">
          <w:rPr>
            <w:webHidden/>
          </w:rPr>
          <w:instrText xml:space="preserve"> PAGEREF _Toc167896843 \h </w:instrText>
        </w:r>
        <w:r w:rsidR="001212B1">
          <w:rPr>
            <w:webHidden/>
          </w:rPr>
        </w:r>
        <w:r w:rsidR="001212B1">
          <w:rPr>
            <w:webHidden/>
          </w:rPr>
          <w:fldChar w:fldCharType="separate"/>
        </w:r>
        <w:r w:rsidR="00874DC3">
          <w:rPr>
            <w:webHidden/>
          </w:rPr>
          <w:t>27</w:t>
        </w:r>
        <w:r w:rsidR="001212B1">
          <w:rPr>
            <w:webHidden/>
          </w:rPr>
          <w:fldChar w:fldCharType="end"/>
        </w:r>
      </w:hyperlink>
    </w:p>
    <w:p w14:paraId="0691C4F9" w14:textId="1CCC7594"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4" w:history="1">
        <w:r w:rsidR="001212B1" w:rsidRPr="002E5DB7">
          <w:rPr>
            <w:rStyle w:val="Hipervnculo"/>
            <w:rFonts w:ascii="Helvetica" w:hAnsi="Helvetica" w:cs="Helvetica"/>
          </w:rPr>
          <w:t>Figura 4. Balance histórico de Jet A1</w:t>
        </w:r>
        <w:r w:rsidR="001212B1">
          <w:rPr>
            <w:webHidden/>
          </w:rPr>
          <w:tab/>
        </w:r>
        <w:r w:rsidR="001212B1">
          <w:rPr>
            <w:webHidden/>
          </w:rPr>
          <w:fldChar w:fldCharType="begin"/>
        </w:r>
        <w:r w:rsidR="001212B1">
          <w:rPr>
            <w:webHidden/>
          </w:rPr>
          <w:instrText xml:space="preserve"> PAGEREF _Toc167896844 \h </w:instrText>
        </w:r>
        <w:r w:rsidR="001212B1">
          <w:rPr>
            <w:webHidden/>
          </w:rPr>
        </w:r>
        <w:r w:rsidR="001212B1">
          <w:rPr>
            <w:webHidden/>
          </w:rPr>
          <w:fldChar w:fldCharType="separate"/>
        </w:r>
        <w:r w:rsidR="00874DC3">
          <w:rPr>
            <w:webHidden/>
          </w:rPr>
          <w:t>28</w:t>
        </w:r>
        <w:r w:rsidR="001212B1">
          <w:rPr>
            <w:webHidden/>
          </w:rPr>
          <w:fldChar w:fldCharType="end"/>
        </w:r>
      </w:hyperlink>
    </w:p>
    <w:p w14:paraId="213E468C" w14:textId="0060DB8F"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5" w:history="1">
        <w:r w:rsidR="001212B1" w:rsidRPr="002E5DB7">
          <w:rPr>
            <w:rStyle w:val="Hipervnculo"/>
            <w:rFonts w:ascii="Helvetica" w:hAnsi="Helvetica" w:cs="Helvetica"/>
          </w:rPr>
          <w:t>Figura 5. Balance proyectado de Jet A1</w:t>
        </w:r>
        <w:r w:rsidR="001212B1">
          <w:rPr>
            <w:webHidden/>
          </w:rPr>
          <w:tab/>
        </w:r>
        <w:r w:rsidR="001212B1">
          <w:rPr>
            <w:webHidden/>
          </w:rPr>
          <w:fldChar w:fldCharType="begin"/>
        </w:r>
        <w:r w:rsidR="001212B1">
          <w:rPr>
            <w:webHidden/>
          </w:rPr>
          <w:instrText xml:space="preserve"> PAGEREF _Toc167896845 \h </w:instrText>
        </w:r>
        <w:r w:rsidR="001212B1">
          <w:rPr>
            <w:webHidden/>
          </w:rPr>
        </w:r>
        <w:r w:rsidR="001212B1">
          <w:rPr>
            <w:webHidden/>
          </w:rPr>
          <w:fldChar w:fldCharType="separate"/>
        </w:r>
        <w:r w:rsidR="00874DC3">
          <w:rPr>
            <w:webHidden/>
          </w:rPr>
          <w:t>29</w:t>
        </w:r>
        <w:r w:rsidR="001212B1">
          <w:rPr>
            <w:webHidden/>
          </w:rPr>
          <w:fldChar w:fldCharType="end"/>
        </w:r>
      </w:hyperlink>
    </w:p>
    <w:p w14:paraId="6D252446" w14:textId="39552095"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6" w:history="1">
        <w:r w:rsidR="001212B1" w:rsidRPr="002E5DB7">
          <w:rPr>
            <w:rStyle w:val="Hipervnculo"/>
            <w:rFonts w:ascii="Helvetica" w:hAnsi="Helvetica" w:cs="Helvetica"/>
          </w:rPr>
          <w:t>Figura 6. Precio de Jet A1 nacional e importado</w:t>
        </w:r>
        <w:r w:rsidR="001212B1">
          <w:rPr>
            <w:webHidden/>
          </w:rPr>
          <w:tab/>
        </w:r>
        <w:r w:rsidR="001212B1">
          <w:rPr>
            <w:webHidden/>
          </w:rPr>
          <w:fldChar w:fldCharType="begin"/>
        </w:r>
        <w:r w:rsidR="001212B1">
          <w:rPr>
            <w:webHidden/>
          </w:rPr>
          <w:instrText xml:space="preserve"> PAGEREF _Toc167896846 \h </w:instrText>
        </w:r>
        <w:r w:rsidR="001212B1">
          <w:rPr>
            <w:webHidden/>
          </w:rPr>
        </w:r>
        <w:r w:rsidR="001212B1">
          <w:rPr>
            <w:webHidden/>
          </w:rPr>
          <w:fldChar w:fldCharType="separate"/>
        </w:r>
        <w:r w:rsidR="00874DC3">
          <w:rPr>
            <w:webHidden/>
          </w:rPr>
          <w:t>41</w:t>
        </w:r>
        <w:r w:rsidR="001212B1">
          <w:rPr>
            <w:webHidden/>
          </w:rPr>
          <w:fldChar w:fldCharType="end"/>
        </w:r>
      </w:hyperlink>
    </w:p>
    <w:p w14:paraId="44ED9335" w14:textId="6CAD2E4C"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7" w:history="1">
        <w:r w:rsidR="001212B1" w:rsidRPr="002E5DB7">
          <w:rPr>
            <w:rStyle w:val="Hipervnculo"/>
            <w:rFonts w:ascii="Helvetica" w:hAnsi="Helvetica" w:cs="Helvetica"/>
          </w:rPr>
          <w:t>Figura 7. Mapa de plantas de abasto a nivel nacional.</w:t>
        </w:r>
        <w:r w:rsidR="001212B1">
          <w:rPr>
            <w:webHidden/>
          </w:rPr>
          <w:tab/>
        </w:r>
        <w:r w:rsidR="001212B1">
          <w:rPr>
            <w:webHidden/>
          </w:rPr>
          <w:fldChar w:fldCharType="begin"/>
        </w:r>
        <w:r w:rsidR="001212B1">
          <w:rPr>
            <w:webHidden/>
          </w:rPr>
          <w:instrText xml:space="preserve"> PAGEREF _Toc167896847 \h </w:instrText>
        </w:r>
        <w:r w:rsidR="001212B1">
          <w:rPr>
            <w:webHidden/>
          </w:rPr>
        </w:r>
        <w:r w:rsidR="001212B1">
          <w:rPr>
            <w:webHidden/>
          </w:rPr>
          <w:fldChar w:fldCharType="separate"/>
        </w:r>
        <w:r w:rsidR="00874DC3">
          <w:rPr>
            <w:webHidden/>
          </w:rPr>
          <w:t>44</w:t>
        </w:r>
        <w:r w:rsidR="001212B1">
          <w:rPr>
            <w:webHidden/>
          </w:rPr>
          <w:fldChar w:fldCharType="end"/>
        </w:r>
      </w:hyperlink>
    </w:p>
    <w:p w14:paraId="693522CE" w14:textId="1075ABA9"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8" w:history="1">
        <w:r w:rsidR="001212B1" w:rsidRPr="002E5DB7">
          <w:rPr>
            <w:rStyle w:val="Hipervnculo"/>
            <w:rFonts w:ascii="Helvetica" w:hAnsi="Helvetica" w:cs="Helvetica"/>
          </w:rPr>
          <w:t>Figura 8. Mapa de plantas de abasto de Jet en el norte del país.</w:t>
        </w:r>
        <w:r w:rsidR="001212B1">
          <w:rPr>
            <w:webHidden/>
          </w:rPr>
          <w:tab/>
        </w:r>
        <w:r w:rsidR="001212B1">
          <w:rPr>
            <w:webHidden/>
          </w:rPr>
          <w:fldChar w:fldCharType="begin"/>
        </w:r>
        <w:r w:rsidR="001212B1">
          <w:rPr>
            <w:webHidden/>
          </w:rPr>
          <w:instrText xml:space="preserve"> PAGEREF _Toc167896848 \h </w:instrText>
        </w:r>
        <w:r w:rsidR="001212B1">
          <w:rPr>
            <w:webHidden/>
          </w:rPr>
        </w:r>
        <w:r w:rsidR="001212B1">
          <w:rPr>
            <w:webHidden/>
          </w:rPr>
          <w:fldChar w:fldCharType="separate"/>
        </w:r>
        <w:r w:rsidR="00874DC3">
          <w:rPr>
            <w:webHidden/>
          </w:rPr>
          <w:t>45</w:t>
        </w:r>
        <w:r w:rsidR="001212B1">
          <w:rPr>
            <w:webHidden/>
          </w:rPr>
          <w:fldChar w:fldCharType="end"/>
        </w:r>
      </w:hyperlink>
    </w:p>
    <w:p w14:paraId="36852EC6" w14:textId="7ECF3ECF"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49" w:history="1">
        <w:r w:rsidR="001212B1" w:rsidRPr="002E5DB7">
          <w:rPr>
            <w:rStyle w:val="Hipervnculo"/>
            <w:rFonts w:ascii="Helvetica" w:hAnsi="Helvetica" w:cs="Helvetica"/>
          </w:rPr>
          <w:t>Figura 9. Mapa de plantas de abasto de Jet en el centro del país.</w:t>
        </w:r>
        <w:r w:rsidR="001212B1">
          <w:rPr>
            <w:webHidden/>
          </w:rPr>
          <w:tab/>
        </w:r>
        <w:r w:rsidR="001212B1">
          <w:rPr>
            <w:webHidden/>
          </w:rPr>
          <w:fldChar w:fldCharType="begin"/>
        </w:r>
        <w:r w:rsidR="001212B1">
          <w:rPr>
            <w:webHidden/>
          </w:rPr>
          <w:instrText xml:space="preserve"> PAGEREF _Toc167896849 \h </w:instrText>
        </w:r>
        <w:r w:rsidR="001212B1">
          <w:rPr>
            <w:webHidden/>
          </w:rPr>
        </w:r>
        <w:r w:rsidR="001212B1">
          <w:rPr>
            <w:webHidden/>
          </w:rPr>
          <w:fldChar w:fldCharType="separate"/>
        </w:r>
        <w:r w:rsidR="00874DC3">
          <w:rPr>
            <w:webHidden/>
          </w:rPr>
          <w:t>45</w:t>
        </w:r>
        <w:r w:rsidR="001212B1">
          <w:rPr>
            <w:webHidden/>
          </w:rPr>
          <w:fldChar w:fldCharType="end"/>
        </w:r>
      </w:hyperlink>
    </w:p>
    <w:p w14:paraId="2E603806" w14:textId="543C3846"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0" w:history="1">
        <w:r w:rsidR="001212B1" w:rsidRPr="002E5DB7">
          <w:rPr>
            <w:rStyle w:val="Hipervnculo"/>
            <w:rFonts w:ascii="Helvetica" w:hAnsi="Helvetica" w:cs="Helvetica"/>
          </w:rPr>
          <w:t>Figura 10. Mapa de plantas de abasto de Jet en el sur del país.</w:t>
        </w:r>
        <w:r w:rsidR="001212B1">
          <w:rPr>
            <w:webHidden/>
          </w:rPr>
          <w:tab/>
        </w:r>
        <w:r w:rsidR="001212B1">
          <w:rPr>
            <w:webHidden/>
          </w:rPr>
          <w:fldChar w:fldCharType="begin"/>
        </w:r>
        <w:r w:rsidR="001212B1">
          <w:rPr>
            <w:webHidden/>
          </w:rPr>
          <w:instrText xml:space="preserve"> PAGEREF _Toc167896850 \h </w:instrText>
        </w:r>
        <w:r w:rsidR="001212B1">
          <w:rPr>
            <w:webHidden/>
          </w:rPr>
        </w:r>
        <w:r w:rsidR="001212B1">
          <w:rPr>
            <w:webHidden/>
          </w:rPr>
          <w:fldChar w:fldCharType="separate"/>
        </w:r>
        <w:r w:rsidR="00874DC3">
          <w:rPr>
            <w:webHidden/>
          </w:rPr>
          <w:t>46</w:t>
        </w:r>
        <w:r w:rsidR="001212B1">
          <w:rPr>
            <w:webHidden/>
          </w:rPr>
          <w:fldChar w:fldCharType="end"/>
        </w:r>
      </w:hyperlink>
    </w:p>
    <w:p w14:paraId="3C520CB5" w14:textId="4A8EB691"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1" w:history="1">
        <w:r w:rsidR="001212B1" w:rsidRPr="002E5DB7">
          <w:rPr>
            <w:rStyle w:val="Hipervnculo"/>
            <w:rFonts w:ascii="Helvetica" w:hAnsi="Helvetica" w:cs="Helvetica"/>
          </w:rPr>
          <w:t>Figura 11. Volumen Jet A1 (2013-2023) Millones de galones</w:t>
        </w:r>
        <w:r w:rsidR="001212B1">
          <w:rPr>
            <w:webHidden/>
          </w:rPr>
          <w:tab/>
        </w:r>
        <w:r w:rsidR="001212B1">
          <w:rPr>
            <w:webHidden/>
          </w:rPr>
          <w:fldChar w:fldCharType="begin"/>
        </w:r>
        <w:r w:rsidR="001212B1">
          <w:rPr>
            <w:webHidden/>
          </w:rPr>
          <w:instrText xml:space="preserve"> PAGEREF _Toc167896851 \h </w:instrText>
        </w:r>
        <w:r w:rsidR="001212B1">
          <w:rPr>
            <w:webHidden/>
          </w:rPr>
        </w:r>
        <w:r w:rsidR="001212B1">
          <w:rPr>
            <w:webHidden/>
          </w:rPr>
          <w:fldChar w:fldCharType="separate"/>
        </w:r>
        <w:r w:rsidR="00874DC3">
          <w:rPr>
            <w:webHidden/>
          </w:rPr>
          <w:t>50</w:t>
        </w:r>
        <w:r w:rsidR="001212B1">
          <w:rPr>
            <w:webHidden/>
          </w:rPr>
          <w:fldChar w:fldCharType="end"/>
        </w:r>
      </w:hyperlink>
    </w:p>
    <w:p w14:paraId="32BE3D05" w14:textId="474D180F"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2" w:history="1">
        <w:r w:rsidR="001212B1" w:rsidRPr="002E5DB7">
          <w:rPr>
            <w:rStyle w:val="Hipervnculo"/>
            <w:rFonts w:ascii="Helvetica" w:hAnsi="Helvetica" w:cs="Helvetica"/>
          </w:rPr>
          <w:t>Figura 12. Volumen de compras realizadas por los minoristas de Jet A1 (2009-2022) por proveedor</w:t>
        </w:r>
        <w:r w:rsidR="001212B1">
          <w:rPr>
            <w:webHidden/>
          </w:rPr>
          <w:tab/>
        </w:r>
        <w:r w:rsidR="001212B1">
          <w:rPr>
            <w:webHidden/>
          </w:rPr>
          <w:fldChar w:fldCharType="begin"/>
        </w:r>
        <w:r w:rsidR="001212B1">
          <w:rPr>
            <w:webHidden/>
          </w:rPr>
          <w:instrText xml:space="preserve"> PAGEREF _Toc167896852 \h </w:instrText>
        </w:r>
        <w:r w:rsidR="001212B1">
          <w:rPr>
            <w:webHidden/>
          </w:rPr>
        </w:r>
        <w:r w:rsidR="001212B1">
          <w:rPr>
            <w:webHidden/>
          </w:rPr>
          <w:fldChar w:fldCharType="separate"/>
        </w:r>
        <w:r w:rsidR="00874DC3">
          <w:rPr>
            <w:webHidden/>
          </w:rPr>
          <w:t>51</w:t>
        </w:r>
        <w:r w:rsidR="001212B1">
          <w:rPr>
            <w:webHidden/>
          </w:rPr>
          <w:fldChar w:fldCharType="end"/>
        </w:r>
      </w:hyperlink>
    </w:p>
    <w:p w14:paraId="4737A44F" w14:textId="7B505823"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3" w:history="1">
        <w:r w:rsidR="001212B1" w:rsidRPr="002E5DB7">
          <w:rPr>
            <w:rStyle w:val="Hipervnculo"/>
            <w:rFonts w:ascii="Helvetica" w:hAnsi="Helvetica" w:cs="Helvetica"/>
          </w:rPr>
          <w:t>Figura 13. Pareto Distribuidores Mayoristas Jet A1 (2023)</w:t>
        </w:r>
        <w:r w:rsidR="001212B1">
          <w:rPr>
            <w:webHidden/>
          </w:rPr>
          <w:tab/>
        </w:r>
        <w:r w:rsidR="001212B1">
          <w:rPr>
            <w:webHidden/>
          </w:rPr>
          <w:fldChar w:fldCharType="begin"/>
        </w:r>
        <w:r w:rsidR="001212B1">
          <w:rPr>
            <w:webHidden/>
          </w:rPr>
          <w:instrText xml:space="preserve"> PAGEREF _Toc167896853 \h </w:instrText>
        </w:r>
        <w:r w:rsidR="001212B1">
          <w:rPr>
            <w:webHidden/>
          </w:rPr>
        </w:r>
        <w:r w:rsidR="001212B1">
          <w:rPr>
            <w:webHidden/>
          </w:rPr>
          <w:fldChar w:fldCharType="separate"/>
        </w:r>
        <w:r w:rsidR="00874DC3">
          <w:rPr>
            <w:webHidden/>
          </w:rPr>
          <w:t>52</w:t>
        </w:r>
        <w:r w:rsidR="001212B1">
          <w:rPr>
            <w:webHidden/>
          </w:rPr>
          <w:fldChar w:fldCharType="end"/>
        </w:r>
      </w:hyperlink>
    </w:p>
    <w:p w14:paraId="3CA74D15" w14:textId="71E09DCE"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4" w:history="1">
        <w:r w:rsidR="001212B1" w:rsidRPr="002E5DB7">
          <w:rPr>
            <w:rStyle w:val="Hipervnculo"/>
            <w:rFonts w:ascii="Helvetica" w:hAnsi="Helvetica" w:cs="Helvetica"/>
          </w:rPr>
          <w:t>Figura 14. Problemas identificados.</w:t>
        </w:r>
        <w:r w:rsidR="001212B1">
          <w:rPr>
            <w:webHidden/>
          </w:rPr>
          <w:tab/>
        </w:r>
        <w:r w:rsidR="001212B1">
          <w:rPr>
            <w:webHidden/>
          </w:rPr>
          <w:fldChar w:fldCharType="begin"/>
        </w:r>
        <w:r w:rsidR="001212B1">
          <w:rPr>
            <w:webHidden/>
          </w:rPr>
          <w:instrText xml:space="preserve"> PAGEREF _Toc167896854 \h </w:instrText>
        </w:r>
        <w:r w:rsidR="001212B1">
          <w:rPr>
            <w:webHidden/>
          </w:rPr>
        </w:r>
        <w:r w:rsidR="001212B1">
          <w:rPr>
            <w:webHidden/>
          </w:rPr>
          <w:fldChar w:fldCharType="separate"/>
        </w:r>
        <w:r w:rsidR="00874DC3">
          <w:rPr>
            <w:webHidden/>
          </w:rPr>
          <w:t>56</w:t>
        </w:r>
        <w:r w:rsidR="001212B1">
          <w:rPr>
            <w:webHidden/>
          </w:rPr>
          <w:fldChar w:fldCharType="end"/>
        </w:r>
      </w:hyperlink>
    </w:p>
    <w:p w14:paraId="7944E50F" w14:textId="5A1DDED4"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5" w:history="1">
        <w:r w:rsidR="001212B1" w:rsidRPr="002E5DB7">
          <w:rPr>
            <w:rStyle w:val="Hipervnculo"/>
            <w:rFonts w:ascii="Helvetica" w:hAnsi="Helvetica" w:cs="Helvetica"/>
          </w:rPr>
          <w:t>Figura 15. Esquema Problema 1</w:t>
        </w:r>
        <w:r w:rsidR="001212B1">
          <w:rPr>
            <w:webHidden/>
          </w:rPr>
          <w:tab/>
        </w:r>
        <w:r w:rsidR="001212B1">
          <w:rPr>
            <w:webHidden/>
          </w:rPr>
          <w:fldChar w:fldCharType="begin"/>
        </w:r>
        <w:r w:rsidR="001212B1">
          <w:rPr>
            <w:webHidden/>
          </w:rPr>
          <w:instrText xml:space="preserve"> PAGEREF _Toc167896855 \h </w:instrText>
        </w:r>
        <w:r w:rsidR="001212B1">
          <w:rPr>
            <w:webHidden/>
          </w:rPr>
        </w:r>
        <w:r w:rsidR="001212B1">
          <w:rPr>
            <w:webHidden/>
          </w:rPr>
          <w:fldChar w:fldCharType="separate"/>
        </w:r>
        <w:r w:rsidR="00874DC3">
          <w:rPr>
            <w:webHidden/>
          </w:rPr>
          <w:t>58</w:t>
        </w:r>
        <w:r w:rsidR="001212B1">
          <w:rPr>
            <w:webHidden/>
          </w:rPr>
          <w:fldChar w:fldCharType="end"/>
        </w:r>
      </w:hyperlink>
    </w:p>
    <w:p w14:paraId="631466C2" w14:textId="0C77DCFB"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6" w:history="1">
        <w:r w:rsidR="001212B1" w:rsidRPr="002E5DB7">
          <w:rPr>
            <w:rStyle w:val="Hipervnculo"/>
            <w:rFonts w:ascii="Helvetica" w:hAnsi="Helvetica" w:cs="Helvetica"/>
          </w:rPr>
          <w:t>Figura 16. Esquema Problema 2</w:t>
        </w:r>
        <w:r w:rsidR="001212B1">
          <w:rPr>
            <w:webHidden/>
          </w:rPr>
          <w:tab/>
        </w:r>
        <w:r w:rsidR="001212B1">
          <w:rPr>
            <w:webHidden/>
          </w:rPr>
          <w:fldChar w:fldCharType="begin"/>
        </w:r>
        <w:r w:rsidR="001212B1">
          <w:rPr>
            <w:webHidden/>
          </w:rPr>
          <w:instrText xml:space="preserve"> PAGEREF _Toc167896856 \h </w:instrText>
        </w:r>
        <w:r w:rsidR="001212B1">
          <w:rPr>
            <w:webHidden/>
          </w:rPr>
        </w:r>
        <w:r w:rsidR="001212B1">
          <w:rPr>
            <w:webHidden/>
          </w:rPr>
          <w:fldChar w:fldCharType="separate"/>
        </w:r>
        <w:r w:rsidR="00874DC3">
          <w:rPr>
            <w:webHidden/>
          </w:rPr>
          <w:t>60</w:t>
        </w:r>
        <w:r w:rsidR="001212B1">
          <w:rPr>
            <w:webHidden/>
          </w:rPr>
          <w:fldChar w:fldCharType="end"/>
        </w:r>
      </w:hyperlink>
    </w:p>
    <w:p w14:paraId="20B7197D" w14:textId="60E0450A"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7" w:history="1">
        <w:r w:rsidR="001212B1" w:rsidRPr="002E5DB7">
          <w:rPr>
            <w:rStyle w:val="Hipervnculo"/>
            <w:rFonts w:ascii="Helvetica" w:hAnsi="Helvetica" w:cs="Helvetica"/>
          </w:rPr>
          <w:t>Figura 17. Esquema Problema 3</w:t>
        </w:r>
        <w:r w:rsidR="001212B1">
          <w:rPr>
            <w:webHidden/>
          </w:rPr>
          <w:tab/>
        </w:r>
        <w:r w:rsidR="001212B1">
          <w:rPr>
            <w:webHidden/>
          </w:rPr>
          <w:fldChar w:fldCharType="begin"/>
        </w:r>
        <w:r w:rsidR="001212B1">
          <w:rPr>
            <w:webHidden/>
          </w:rPr>
          <w:instrText xml:space="preserve"> PAGEREF _Toc167896857 \h </w:instrText>
        </w:r>
        <w:r w:rsidR="001212B1">
          <w:rPr>
            <w:webHidden/>
          </w:rPr>
        </w:r>
        <w:r w:rsidR="001212B1">
          <w:rPr>
            <w:webHidden/>
          </w:rPr>
          <w:fldChar w:fldCharType="separate"/>
        </w:r>
        <w:r w:rsidR="00874DC3">
          <w:rPr>
            <w:webHidden/>
          </w:rPr>
          <w:t>61</w:t>
        </w:r>
        <w:r w:rsidR="001212B1">
          <w:rPr>
            <w:webHidden/>
          </w:rPr>
          <w:fldChar w:fldCharType="end"/>
        </w:r>
      </w:hyperlink>
    </w:p>
    <w:p w14:paraId="2B59914D" w14:textId="2E9275A1"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8" w:history="1">
        <w:r w:rsidR="001212B1" w:rsidRPr="002E5DB7">
          <w:rPr>
            <w:rStyle w:val="Hipervnculo"/>
            <w:rFonts w:ascii="Helvetica" w:hAnsi="Helvetica" w:cs="Helvetica"/>
          </w:rPr>
          <w:t>Figura 18. Esquema Problema 4</w:t>
        </w:r>
        <w:r w:rsidR="001212B1">
          <w:rPr>
            <w:webHidden/>
          </w:rPr>
          <w:tab/>
        </w:r>
        <w:r w:rsidR="001212B1">
          <w:rPr>
            <w:webHidden/>
          </w:rPr>
          <w:fldChar w:fldCharType="begin"/>
        </w:r>
        <w:r w:rsidR="001212B1">
          <w:rPr>
            <w:webHidden/>
          </w:rPr>
          <w:instrText xml:space="preserve"> PAGEREF _Toc167896858 \h </w:instrText>
        </w:r>
        <w:r w:rsidR="001212B1">
          <w:rPr>
            <w:webHidden/>
          </w:rPr>
        </w:r>
        <w:r w:rsidR="001212B1">
          <w:rPr>
            <w:webHidden/>
          </w:rPr>
          <w:fldChar w:fldCharType="separate"/>
        </w:r>
        <w:r w:rsidR="00874DC3">
          <w:rPr>
            <w:webHidden/>
          </w:rPr>
          <w:t>63</w:t>
        </w:r>
        <w:r w:rsidR="001212B1">
          <w:rPr>
            <w:webHidden/>
          </w:rPr>
          <w:fldChar w:fldCharType="end"/>
        </w:r>
      </w:hyperlink>
    </w:p>
    <w:p w14:paraId="2627F5FD" w14:textId="70F1D7F6"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59" w:history="1">
        <w:r w:rsidR="001212B1" w:rsidRPr="002E5DB7">
          <w:rPr>
            <w:rStyle w:val="Hipervnculo"/>
            <w:rFonts w:ascii="Helvetica" w:hAnsi="Helvetica" w:cs="Helvetica"/>
          </w:rPr>
          <w:t>Figura 19. Esquema Problema 5</w:t>
        </w:r>
        <w:r w:rsidR="001212B1">
          <w:rPr>
            <w:webHidden/>
          </w:rPr>
          <w:tab/>
        </w:r>
        <w:r w:rsidR="001212B1">
          <w:rPr>
            <w:webHidden/>
          </w:rPr>
          <w:fldChar w:fldCharType="begin"/>
        </w:r>
        <w:r w:rsidR="001212B1">
          <w:rPr>
            <w:webHidden/>
          </w:rPr>
          <w:instrText xml:space="preserve"> PAGEREF _Toc167896859 \h </w:instrText>
        </w:r>
        <w:r w:rsidR="001212B1">
          <w:rPr>
            <w:webHidden/>
          </w:rPr>
        </w:r>
        <w:r w:rsidR="001212B1">
          <w:rPr>
            <w:webHidden/>
          </w:rPr>
          <w:fldChar w:fldCharType="separate"/>
        </w:r>
        <w:r w:rsidR="00874DC3">
          <w:rPr>
            <w:webHidden/>
          </w:rPr>
          <w:t>64</w:t>
        </w:r>
        <w:r w:rsidR="001212B1">
          <w:rPr>
            <w:webHidden/>
          </w:rPr>
          <w:fldChar w:fldCharType="end"/>
        </w:r>
      </w:hyperlink>
    </w:p>
    <w:p w14:paraId="6614BB88" w14:textId="038E631A"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0" w:history="1">
        <w:r w:rsidR="001212B1" w:rsidRPr="002E5DB7">
          <w:rPr>
            <w:rStyle w:val="Hipervnculo"/>
            <w:rFonts w:ascii="Helvetica" w:hAnsi="Helvetica" w:cs="Helvetica"/>
          </w:rPr>
          <w:t>Figura 20. Resumen de alternativas</w:t>
        </w:r>
        <w:r w:rsidR="001212B1">
          <w:rPr>
            <w:webHidden/>
          </w:rPr>
          <w:tab/>
        </w:r>
        <w:r w:rsidR="001212B1">
          <w:rPr>
            <w:webHidden/>
          </w:rPr>
          <w:fldChar w:fldCharType="begin"/>
        </w:r>
        <w:r w:rsidR="001212B1">
          <w:rPr>
            <w:webHidden/>
          </w:rPr>
          <w:instrText xml:space="preserve"> PAGEREF _Toc167896860 \h </w:instrText>
        </w:r>
        <w:r w:rsidR="001212B1">
          <w:rPr>
            <w:webHidden/>
          </w:rPr>
        </w:r>
        <w:r w:rsidR="001212B1">
          <w:rPr>
            <w:webHidden/>
          </w:rPr>
          <w:fldChar w:fldCharType="separate"/>
        </w:r>
        <w:r w:rsidR="00874DC3">
          <w:rPr>
            <w:webHidden/>
          </w:rPr>
          <w:t>78</w:t>
        </w:r>
        <w:r w:rsidR="001212B1">
          <w:rPr>
            <w:webHidden/>
          </w:rPr>
          <w:fldChar w:fldCharType="end"/>
        </w:r>
      </w:hyperlink>
    </w:p>
    <w:p w14:paraId="446B3B54" w14:textId="2FC3AA39"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1" w:history="1">
        <w:r w:rsidR="001212B1" w:rsidRPr="002E5DB7">
          <w:rPr>
            <w:rStyle w:val="Hipervnculo"/>
            <w:rFonts w:ascii="Helvetica" w:hAnsi="Helvetica" w:cs="Helvetica"/>
          </w:rPr>
          <w:t>Figura 21. Status quo de la alternativa 1</w:t>
        </w:r>
        <w:r w:rsidR="001212B1">
          <w:rPr>
            <w:webHidden/>
          </w:rPr>
          <w:tab/>
        </w:r>
        <w:r w:rsidR="001212B1">
          <w:rPr>
            <w:webHidden/>
          </w:rPr>
          <w:fldChar w:fldCharType="begin"/>
        </w:r>
        <w:r w:rsidR="001212B1">
          <w:rPr>
            <w:webHidden/>
          </w:rPr>
          <w:instrText xml:space="preserve"> PAGEREF _Toc167896861 \h </w:instrText>
        </w:r>
        <w:r w:rsidR="001212B1">
          <w:rPr>
            <w:webHidden/>
          </w:rPr>
        </w:r>
        <w:r w:rsidR="001212B1">
          <w:rPr>
            <w:webHidden/>
          </w:rPr>
          <w:fldChar w:fldCharType="separate"/>
        </w:r>
        <w:r w:rsidR="00874DC3">
          <w:rPr>
            <w:webHidden/>
          </w:rPr>
          <w:t>79</w:t>
        </w:r>
        <w:r w:rsidR="001212B1">
          <w:rPr>
            <w:webHidden/>
          </w:rPr>
          <w:fldChar w:fldCharType="end"/>
        </w:r>
      </w:hyperlink>
    </w:p>
    <w:p w14:paraId="60CFE712" w14:textId="694F0120"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2" w:history="1">
        <w:r w:rsidR="001212B1" w:rsidRPr="002E5DB7">
          <w:rPr>
            <w:rStyle w:val="Hipervnculo"/>
            <w:rFonts w:ascii="Helvetica" w:hAnsi="Helvetica" w:cs="Helvetica"/>
          </w:rPr>
          <w:t>Figura 22. Alternativas paridad exportación/importación.</w:t>
        </w:r>
        <w:r w:rsidR="001212B1">
          <w:rPr>
            <w:webHidden/>
          </w:rPr>
          <w:tab/>
        </w:r>
        <w:r w:rsidR="001212B1">
          <w:rPr>
            <w:webHidden/>
          </w:rPr>
          <w:fldChar w:fldCharType="begin"/>
        </w:r>
        <w:r w:rsidR="001212B1">
          <w:rPr>
            <w:webHidden/>
          </w:rPr>
          <w:instrText xml:space="preserve"> PAGEREF _Toc167896862 \h </w:instrText>
        </w:r>
        <w:r w:rsidR="001212B1">
          <w:rPr>
            <w:webHidden/>
          </w:rPr>
        </w:r>
        <w:r w:rsidR="001212B1">
          <w:rPr>
            <w:webHidden/>
          </w:rPr>
          <w:fldChar w:fldCharType="separate"/>
        </w:r>
        <w:r w:rsidR="00874DC3">
          <w:rPr>
            <w:webHidden/>
          </w:rPr>
          <w:t>81</w:t>
        </w:r>
        <w:r w:rsidR="001212B1">
          <w:rPr>
            <w:webHidden/>
          </w:rPr>
          <w:fldChar w:fldCharType="end"/>
        </w:r>
      </w:hyperlink>
    </w:p>
    <w:p w14:paraId="22E08A69" w14:textId="53797061"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3" w:history="1">
        <w:r w:rsidR="001212B1" w:rsidRPr="002E5DB7">
          <w:rPr>
            <w:rStyle w:val="Hipervnculo"/>
            <w:rFonts w:ascii="Helvetica" w:hAnsi="Helvetica" w:cs="Helvetica"/>
          </w:rPr>
          <w:t>Figura 23. Posibles impactos identificados en las alternativas del problema 1.</w:t>
        </w:r>
        <w:r w:rsidR="001212B1">
          <w:rPr>
            <w:webHidden/>
          </w:rPr>
          <w:tab/>
        </w:r>
        <w:r w:rsidR="001212B1">
          <w:rPr>
            <w:webHidden/>
          </w:rPr>
          <w:fldChar w:fldCharType="begin"/>
        </w:r>
        <w:r w:rsidR="001212B1">
          <w:rPr>
            <w:webHidden/>
          </w:rPr>
          <w:instrText xml:space="preserve"> PAGEREF _Toc167896863 \h </w:instrText>
        </w:r>
        <w:r w:rsidR="001212B1">
          <w:rPr>
            <w:webHidden/>
          </w:rPr>
        </w:r>
        <w:r w:rsidR="001212B1">
          <w:rPr>
            <w:webHidden/>
          </w:rPr>
          <w:fldChar w:fldCharType="separate"/>
        </w:r>
        <w:r w:rsidR="00874DC3">
          <w:rPr>
            <w:webHidden/>
          </w:rPr>
          <w:t>82</w:t>
        </w:r>
        <w:r w:rsidR="001212B1">
          <w:rPr>
            <w:webHidden/>
          </w:rPr>
          <w:fldChar w:fldCharType="end"/>
        </w:r>
      </w:hyperlink>
    </w:p>
    <w:p w14:paraId="1B2AB510" w14:textId="47D48B65"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4" w:history="1">
        <w:r w:rsidR="001212B1" w:rsidRPr="002E5DB7">
          <w:rPr>
            <w:rStyle w:val="Hipervnculo"/>
            <w:rFonts w:ascii="Helvetica" w:hAnsi="Helvetica" w:cs="Helvetica"/>
          </w:rPr>
          <w:t>Figura 24. Posibles impactos identificados en las alternativas del problema 2.</w:t>
        </w:r>
        <w:r w:rsidR="001212B1">
          <w:rPr>
            <w:webHidden/>
          </w:rPr>
          <w:tab/>
        </w:r>
        <w:r w:rsidR="001212B1">
          <w:rPr>
            <w:webHidden/>
          </w:rPr>
          <w:fldChar w:fldCharType="begin"/>
        </w:r>
        <w:r w:rsidR="001212B1">
          <w:rPr>
            <w:webHidden/>
          </w:rPr>
          <w:instrText xml:space="preserve"> PAGEREF _Toc167896864 \h </w:instrText>
        </w:r>
        <w:r w:rsidR="001212B1">
          <w:rPr>
            <w:webHidden/>
          </w:rPr>
        </w:r>
        <w:r w:rsidR="001212B1">
          <w:rPr>
            <w:webHidden/>
          </w:rPr>
          <w:fldChar w:fldCharType="separate"/>
        </w:r>
        <w:r w:rsidR="00874DC3">
          <w:rPr>
            <w:webHidden/>
          </w:rPr>
          <w:t>84</w:t>
        </w:r>
        <w:r w:rsidR="001212B1">
          <w:rPr>
            <w:webHidden/>
          </w:rPr>
          <w:fldChar w:fldCharType="end"/>
        </w:r>
      </w:hyperlink>
    </w:p>
    <w:p w14:paraId="5070F543" w14:textId="1EBB7E88"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5" w:history="1">
        <w:r w:rsidR="001212B1" w:rsidRPr="002E5DB7">
          <w:rPr>
            <w:rStyle w:val="Hipervnculo"/>
            <w:rFonts w:ascii="Helvetica" w:hAnsi="Helvetica" w:cs="Helvetica"/>
          </w:rPr>
          <w:t>Figura 25. Posibles impactos identificados en las alternativas del problema 3.</w:t>
        </w:r>
        <w:r w:rsidR="001212B1">
          <w:rPr>
            <w:webHidden/>
          </w:rPr>
          <w:tab/>
        </w:r>
        <w:r w:rsidR="001212B1">
          <w:rPr>
            <w:webHidden/>
          </w:rPr>
          <w:fldChar w:fldCharType="begin"/>
        </w:r>
        <w:r w:rsidR="001212B1">
          <w:rPr>
            <w:webHidden/>
          </w:rPr>
          <w:instrText xml:space="preserve"> PAGEREF _Toc167896865 \h </w:instrText>
        </w:r>
        <w:r w:rsidR="001212B1">
          <w:rPr>
            <w:webHidden/>
          </w:rPr>
        </w:r>
        <w:r w:rsidR="001212B1">
          <w:rPr>
            <w:webHidden/>
          </w:rPr>
          <w:fldChar w:fldCharType="separate"/>
        </w:r>
        <w:r w:rsidR="00874DC3">
          <w:rPr>
            <w:webHidden/>
          </w:rPr>
          <w:t>86</w:t>
        </w:r>
        <w:r w:rsidR="001212B1">
          <w:rPr>
            <w:webHidden/>
          </w:rPr>
          <w:fldChar w:fldCharType="end"/>
        </w:r>
      </w:hyperlink>
    </w:p>
    <w:p w14:paraId="187DEC00" w14:textId="71F8F8A5"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6" w:history="1">
        <w:r w:rsidR="001212B1" w:rsidRPr="002E5DB7">
          <w:rPr>
            <w:rStyle w:val="Hipervnculo"/>
            <w:rFonts w:ascii="Helvetica" w:hAnsi="Helvetica" w:cs="Helvetica"/>
          </w:rPr>
          <w:t>Figura 26. Posibles impactos identificados en las alternativas del problema 4.</w:t>
        </w:r>
        <w:r w:rsidR="001212B1">
          <w:rPr>
            <w:webHidden/>
          </w:rPr>
          <w:tab/>
        </w:r>
        <w:r w:rsidR="001212B1">
          <w:rPr>
            <w:webHidden/>
          </w:rPr>
          <w:fldChar w:fldCharType="begin"/>
        </w:r>
        <w:r w:rsidR="001212B1">
          <w:rPr>
            <w:webHidden/>
          </w:rPr>
          <w:instrText xml:space="preserve"> PAGEREF _Toc167896866 \h </w:instrText>
        </w:r>
        <w:r w:rsidR="001212B1">
          <w:rPr>
            <w:webHidden/>
          </w:rPr>
        </w:r>
        <w:r w:rsidR="001212B1">
          <w:rPr>
            <w:webHidden/>
          </w:rPr>
          <w:fldChar w:fldCharType="separate"/>
        </w:r>
        <w:r w:rsidR="00874DC3">
          <w:rPr>
            <w:webHidden/>
          </w:rPr>
          <w:t>88</w:t>
        </w:r>
        <w:r w:rsidR="001212B1">
          <w:rPr>
            <w:webHidden/>
          </w:rPr>
          <w:fldChar w:fldCharType="end"/>
        </w:r>
      </w:hyperlink>
    </w:p>
    <w:p w14:paraId="31D37B9E" w14:textId="63F8B291"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7" w:history="1">
        <w:r w:rsidR="001212B1" w:rsidRPr="002E5DB7">
          <w:rPr>
            <w:rStyle w:val="Hipervnculo"/>
            <w:rFonts w:ascii="Helvetica" w:hAnsi="Helvetica" w:cs="Helvetica"/>
          </w:rPr>
          <w:t>Figura 27. Posibles impactos del régimen frente a la dinámica de mercado.</w:t>
        </w:r>
        <w:r w:rsidR="001212B1">
          <w:rPr>
            <w:webHidden/>
          </w:rPr>
          <w:tab/>
        </w:r>
        <w:r w:rsidR="001212B1">
          <w:rPr>
            <w:webHidden/>
          </w:rPr>
          <w:fldChar w:fldCharType="begin"/>
        </w:r>
        <w:r w:rsidR="001212B1">
          <w:rPr>
            <w:webHidden/>
          </w:rPr>
          <w:instrText xml:space="preserve"> PAGEREF _Toc167896867 \h </w:instrText>
        </w:r>
        <w:r w:rsidR="001212B1">
          <w:rPr>
            <w:webHidden/>
          </w:rPr>
        </w:r>
        <w:r w:rsidR="001212B1">
          <w:rPr>
            <w:webHidden/>
          </w:rPr>
          <w:fldChar w:fldCharType="separate"/>
        </w:r>
        <w:r w:rsidR="00874DC3">
          <w:rPr>
            <w:webHidden/>
          </w:rPr>
          <w:t>89</w:t>
        </w:r>
        <w:r w:rsidR="001212B1">
          <w:rPr>
            <w:webHidden/>
          </w:rPr>
          <w:fldChar w:fldCharType="end"/>
        </w:r>
      </w:hyperlink>
    </w:p>
    <w:p w14:paraId="193A180B" w14:textId="03EDF63F" w:rsidR="001212B1" w:rsidRDefault="00000000" w:rsidP="001212B1">
      <w:pPr>
        <w:pStyle w:val="Tabladeilustraciones"/>
        <w:rPr>
          <w:rFonts w:asciiTheme="minorHAnsi" w:eastAsiaTheme="minorEastAsia" w:hAnsiTheme="minorHAnsi" w:cstheme="minorBidi"/>
          <w:kern w:val="2"/>
          <w:szCs w:val="24"/>
          <w:lang w:val="es-CO" w:eastAsia="es-CO"/>
          <w14:ligatures w14:val="standardContextual"/>
        </w:rPr>
      </w:pPr>
      <w:hyperlink w:anchor="_Toc167896868" w:history="1">
        <w:r w:rsidR="001212B1" w:rsidRPr="002E5DB7">
          <w:rPr>
            <w:rStyle w:val="Hipervnculo"/>
            <w:rFonts w:ascii="Helvetica" w:hAnsi="Helvetica" w:cs="Helvetica"/>
          </w:rPr>
          <w:t>Figura 28. Posibles impactos identificados en las alternativas del problema 5.</w:t>
        </w:r>
        <w:r w:rsidR="001212B1">
          <w:rPr>
            <w:webHidden/>
          </w:rPr>
          <w:tab/>
        </w:r>
        <w:r w:rsidR="001212B1">
          <w:rPr>
            <w:webHidden/>
          </w:rPr>
          <w:fldChar w:fldCharType="begin"/>
        </w:r>
        <w:r w:rsidR="001212B1">
          <w:rPr>
            <w:webHidden/>
          </w:rPr>
          <w:instrText xml:space="preserve"> PAGEREF _Toc167896868 \h </w:instrText>
        </w:r>
        <w:r w:rsidR="001212B1">
          <w:rPr>
            <w:webHidden/>
          </w:rPr>
        </w:r>
        <w:r w:rsidR="001212B1">
          <w:rPr>
            <w:webHidden/>
          </w:rPr>
          <w:fldChar w:fldCharType="separate"/>
        </w:r>
        <w:r w:rsidR="00874DC3">
          <w:rPr>
            <w:webHidden/>
          </w:rPr>
          <w:t>90</w:t>
        </w:r>
        <w:r w:rsidR="001212B1">
          <w:rPr>
            <w:webHidden/>
          </w:rPr>
          <w:fldChar w:fldCharType="end"/>
        </w:r>
      </w:hyperlink>
    </w:p>
    <w:p w14:paraId="64B927F3" w14:textId="77777777" w:rsidR="001212B1" w:rsidRPr="00EF22E0" w:rsidRDefault="001212B1" w:rsidP="001212B1">
      <w:pPr>
        <w:spacing w:line="276" w:lineRule="auto"/>
        <w:rPr>
          <w:rFonts w:ascii="Helvetica" w:hAnsi="Helvetica" w:cs="Helvetica"/>
          <w:szCs w:val="24"/>
        </w:rPr>
      </w:pPr>
      <w:r w:rsidRPr="00EF22E0">
        <w:rPr>
          <w:rFonts w:ascii="Helvetica" w:hAnsi="Helvetica" w:cs="Helvetica"/>
          <w:szCs w:val="24"/>
        </w:rPr>
        <w:fldChar w:fldCharType="end"/>
      </w:r>
    </w:p>
    <w:p w14:paraId="2E3E79D5" w14:textId="77777777" w:rsidR="001212B1" w:rsidRPr="00EF22E0" w:rsidRDefault="001212B1" w:rsidP="001212B1">
      <w:pPr>
        <w:jc w:val="left"/>
        <w:rPr>
          <w:rFonts w:ascii="Helvetica" w:hAnsi="Helvetica" w:cs="Helvetica"/>
          <w:szCs w:val="24"/>
        </w:rPr>
      </w:pPr>
      <w:r w:rsidRPr="00EF22E0">
        <w:rPr>
          <w:rFonts w:ascii="Helvetica" w:hAnsi="Helvetica" w:cs="Helvetica"/>
          <w:szCs w:val="24"/>
        </w:rPr>
        <w:br w:type="page"/>
      </w:r>
    </w:p>
    <w:p w14:paraId="2DD4B114" w14:textId="77777777" w:rsidR="001212B1" w:rsidRPr="00EF22E0" w:rsidRDefault="001212B1" w:rsidP="001212B1">
      <w:pPr>
        <w:pStyle w:val="Ttulo1"/>
        <w:numPr>
          <w:ilvl w:val="0"/>
          <w:numId w:val="1"/>
        </w:numPr>
        <w:jc w:val="left"/>
        <w:rPr>
          <w:rFonts w:ascii="Helvetica" w:hAnsi="Helvetica" w:cs="Helvetica"/>
          <w:szCs w:val="24"/>
        </w:rPr>
      </w:pPr>
      <w:bookmarkStart w:id="0" w:name="_Toc167896834"/>
      <w:r w:rsidRPr="00EF22E0">
        <w:rPr>
          <w:rFonts w:ascii="Helvetica" w:hAnsi="Helvetica" w:cs="Helvetica"/>
          <w:szCs w:val="24"/>
        </w:rPr>
        <w:lastRenderedPageBreak/>
        <w:t>ANTECEDENTES</w:t>
      </w:r>
      <w:bookmarkEnd w:id="0"/>
    </w:p>
    <w:p w14:paraId="539A17CB" w14:textId="77777777" w:rsidR="001212B1" w:rsidRPr="00EF22E0" w:rsidRDefault="001212B1" w:rsidP="001212B1">
      <w:pPr>
        <w:spacing w:line="360" w:lineRule="auto"/>
        <w:jc w:val="left"/>
        <w:rPr>
          <w:rFonts w:ascii="Helvetica" w:hAnsi="Helvetica" w:cs="Helvetica"/>
          <w:szCs w:val="24"/>
        </w:rPr>
      </w:pPr>
    </w:p>
    <w:p w14:paraId="598FA42E"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En la actualidad (</w:t>
      </w:r>
      <w:r>
        <w:rPr>
          <w:rFonts w:ascii="Helvetica" w:hAnsi="Helvetica" w:cs="Helvetica"/>
          <w:szCs w:val="24"/>
        </w:rPr>
        <w:t>abril</w:t>
      </w:r>
      <w:r w:rsidRPr="00EF22E0">
        <w:rPr>
          <w:rFonts w:ascii="Helvetica" w:hAnsi="Helvetica" w:cs="Helvetica"/>
          <w:szCs w:val="24"/>
        </w:rPr>
        <w:t xml:space="preserve"> de 2024) en Colombia el Jet A1 es el combustible </w:t>
      </w:r>
      <w:r w:rsidRPr="00EF22E0">
        <w:rPr>
          <w:rFonts w:ascii="Helvetica" w:hAnsi="Helvetica" w:cs="Helvetica"/>
          <w:szCs w:val="24"/>
          <w:lang w:val="es-ES"/>
        </w:rPr>
        <w:t>usado en aviones de motor tipo turbina de uso comercial y de carga.</w:t>
      </w:r>
    </w:p>
    <w:p w14:paraId="769A65F4" w14:textId="77777777" w:rsidR="001212B1" w:rsidRPr="00EF22E0" w:rsidRDefault="001212B1" w:rsidP="001212B1">
      <w:pPr>
        <w:spacing w:line="360" w:lineRule="auto"/>
        <w:jc w:val="left"/>
        <w:rPr>
          <w:rFonts w:ascii="Helvetica" w:hAnsi="Helvetica" w:cs="Helvetica"/>
          <w:szCs w:val="24"/>
        </w:rPr>
      </w:pPr>
    </w:p>
    <w:p w14:paraId="1C463B67"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 xml:space="preserve">La función de la Comisión, específica, en cuanto a la revisión de </w:t>
      </w:r>
      <w:r w:rsidRPr="00EF22E0">
        <w:rPr>
          <w:rFonts w:ascii="Helvetica" w:hAnsi="Helvetica" w:cs="Helvetica"/>
          <w:szCs w:val="24"/>
        </w:rPr>
        <w:t xml:space="preserve">la estructura de precios actual del combustible Jet A1, se encuentra en </w:t>
      </w:r>
      <w:r w:rsidRPr="00EF22E0">
        <w:rPr>
          <w:rFonts w:ascii="Helvetica" w:hAnsi="Helvetica" w:cs="Helvetica"/>
          <w:szCs w:val="24"/>
          <w:lang w:val="es-CO"/>
        </w:rPr>
        <w:t xml:space="preserve">la delegación de funciones establecida en la </w:t>
      </w:r>
      <w:r w:rsidRPr="00EF22E0">
        <w:rPr>
          <w:rFonts w:ascii="Helvetica" w:hAnsi="Helvetica" w:cs="Helvetica"/>
          <w:szCs w:val="24"/>
        </w:rPr>
        <w:t>Resolución 40193 de 2021 del Ministerio de Hacienda y Crédito Público y el Ministerio de Minas y Energía, la cual señala que la Comisión deberá determinar los componentes de la estructura de precios del combustible de aviación Jet A-1, según lo establecido en el artículo 116 de la Ley 1450 de 2011 o las normas que la modifiquen o sustituyan.</w:t>
      </w:r>
    </w:p>
    <w:p w14:paraId="4D619856" w14:textId="77777777" w:rsidR="001212B1" w:rsidRPr="00EF22E0" w:rsidRDefault="001212B1" w:rsidP="001212B1">
      <w:pPr>
        <w:spacing w:line="360" w:lineRule="auto"/>
        <w:jc w:val="left"/>
        <w:rPr>
          <w:rFonts w:ascii="Helvetica" w:hAnsi="Helvetica" w:cs="Helvetica"/>
          <w:szCs w:val="24"/>
        </w:rPr>
      </w:pPr>
    </w:p>
    <w:p w14:paraId="341E04BE"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Para el desarrollo del análisis de impacto normativo-AIN, la Comisión realizó reuniones con los agentes económicos involucrados en el mercado del combustible de aviación, refinador o importador (1), distribuidores mayoristas (3), distribuidores minoristas (4), aerolíneas (1) y gremios de aerolíneas (1), las cuales fueron insumo principal en la definición de los problemas y objetivos aquí planteados.</w:t>
      </w:r>
    </w:p>
    <w:p w14:paraId="7EA8BD45" w14:textId="77777777" w:rsidR="001212B1" w:rsidRPr="00EF22E0" w:rsidRDefault="001212B1" w:rsidP="001212B1">
      <w:pPr>
        <w:spacing w:line="360" w:lineRule="auto"/>
        <w:jc w:val="left"/>
        <w:rPr>
          <w:rFonts w:ascii="Helvetica" w:hAnsi="Helvetica" w:cs="Helvetica"/>
          <w:szCs w:val="24"/>
        </w:rPr>
      </w:pPr>
    </w:p>
    <w:p w14:paraId="2A71EE83"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rPr>
        <w:t xml:space="preserve">De acuerdo con la metodología de análisis de impacto normativo-AIN, en este documento se plantean los </w:t>
      </w:r>
      <w:r w:rsidRPr="00EF22E0">
        <w:rPr>
          <w:rStyle w:val="A50"/>
          <w:rFonts w:ascii="Helvetica" w:hAnsi="Helvetica" w:cs="Helvetica"/>
          <w:sz w:val="24"/>
          <w:szCs w:val="24"/>
        </w:rPr>
        <w:t>problemas identificados, así como sus causas y consecuencias y los objetivos de la intervención regulatoria. La problemática como se describirá más adelante se enmarca en tres</w:t>
      </w:r>
      <w:r w:rsidRPr="00EF22E0">
        <w:rPr>
          <w:rFonts w:ascii="Helvetica" w:hAnsi="Helvetica" w:cs="Helvetica"/>
          <w:szCs w:val="24"/>
          <w:lang w:val="es-CO"/>
        </w:rPr>
        <w:t xml:space="preserve"> temas: i) metodología de ingresos para el productor e importador, ii) mecanismos para la transparencia de la información y iii) régimen aplicable a la distribución mayorista y distribución minorista. Para ello, en el capítulo 2 se presenta el contexto legal de la distribución de combustibles líquidos como servicio público, las funciones de la Comisión en materia de combustibles líquidos, específicamente de Jet A1 y las normas que actualmente definen la estructura de </w:t>
      </w:r>
      <w:r w:rsidRPr="00EF22E0">
        <w:rPr>
          <w:rFonts w:ascii="Helvetica" w:hAnsi="Helvetica" w:cs="Helvetica"/>
          <w:szCs w:val="24"/>
          <w:lang w:val="es-CO"/>
        </w:rPr>
        <w:lastRenderedPageBreak/>
        <w:t xml:space="preserve">precios de este combustible. Así mismo, a partir de la información suministrada por los planes de abastecimiento de combustibles líquidos de la Unidad de Planeación </w:t>
      </w:r>
      <w:bookmarkStart w:id="1" w:name="_Int_k51UN7LB"/>
      <w:r w:rsidRPr="00EF22E0">
        <w:rPr>
          <w:rFonts w:ascii="Helvetica" w:hAnsi="Helvetica" w:cs="Helvetica"/>
          <w:szCs w:val="24"/>
          <w:lang w:val="es-CO"/>
        </w:rPr>
        <w:t>Minero Energética</w:t>
      </w:r>
      <w:bookmarkEnd w:id="1"/>
      <w:r w:rsidRPr="00EF22E0">
        <w:rPr>
          <w:rFonts w:ascii="Helvetica" w:hAnsi="Helvetica" w:cs="Helvetica"/>
          <w:szCs w:val="24"/>
          <w:lang w:val="es-CO"/>
        </w:rPr>
        <w:t xml:space="preserve"> – UPME, por los agentes que intervienen el sector, y la registrada en el SICOM</w:t>
      </w:r>
      <w:r w:rsidRPr="00EF22E0">
        <w:rPr>
          <w:rStyle w:val="Refdenotaalpie"/>
          <w:rFonts w:ascii="Helvetica" w:hAnsi="Helvetica" w:cs="Helvetica"/>
          <w:szCs w:val="24"/>
          <w:lang w:val="es-CO"/>
        </w:rPr>
        <w:footnoteReference w:id="1"/>
      </w:r>
      <w:r w:rsidRPr="00EF22E0">
        <w:rPr>
          <w:rFonts w:ascii="Helvetica" w:hAnsi="Helvetica" w:cs="Helvetica"/>
          <w:szCs w:val="24"/>
          <w:lang w:val="es-CO"/>
        </w:rPr>
        <w:t xml:space="preserve">, se presenta el análisis de oferta, demanda, balance y precios del Jet A1. </w:t>
      </w:r>
    </w:p>
    <w:p w14:paraId="6FD7E789" w14:textId="77777777" w:rsidR="001212B1" w:rsidRPr="00EF22E0" w:rsidRDefault="001212B1" w:rsidP="001212B1">
      <w:pPr>
        <w:spacing w:line="360" w:lineRule="auto"/>
        <w:jc w:val="left"/>
        <w:rPr>
          <w:rFonts w:ascii="Helvetica" w:hAnsi="Helvetica" w:cs="Helvetica"/>
          <w:iCs/>
          <w:szCs w:val="24"/>
          <w:lang w:val="es-CO"/>
        </w:rPr>
      </w:pPr>
    </w:p>
    <w:p w14:paraId="48DA6BB4"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 xml:space="preserve">Los capítulos 3 y 4 presentan, respectivamente, el diagnóstico del sector y la descripción de cada uno de los problemas identificados con sus causas y los posibles efectos. Finalmente, el capítulo 5 contiene los objetivos definidos para atender los problemas. </w:t>
      </w:r>
    </w:p>
    <w:p w14:paraId="7E62B8D2" w14:textId="77777777" w:rsidR="001212B1" w:rsidRPr="00EF22E0" w:rsidRDefault="001212B1" w:rsidP="001212B1">
      <w:pPr>
        <w:spacing w:line="360" w:lineRule="auto"/>
        <w:jc w:val="left"/>
        <w:rPr>
          <w:rFonts w:ascii="Helvetica" w:hAnsi="Helvetica" w:cs="Helvetica"/>
          <w:iCs/>
          <w:szCs w:val="24"/>
          <w:lang w:val="es-CO"/>
        </w:rPr>
      </w:pPr>
    </w:p>
    <w:p w14:paraId="2C5947BA"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iCs/>
          <w:szCs w:val="24"/>
          <w:lang w:val="es-CO"/>
        </w:rPr>
        <w:t xml:space="preserve">La finalidad de este documento es poner a consideración de </w:t>
      </w:r>
      <w:r w:rsidRPr="00EF22E0">
        <w:rPr>
          <w:rFonts w:ascii="Helvetica" w:hAnsi="Helvetica" w:cs="Helvetica"/>
          <w:szCs w:val="24"/>
          <w:lang w:val="es-CO" w:eastAsia="es-CO"/>
        </w:rPr>
        <w:t>los diferentes grupos de interés</w:t>
      </w:r>
      <w:r w:rsidRPr="00EF22E0">
        <w:rPr>
          <w:rFonts w:ascii="Helvetica" w:hAnsi="Helvetica" w:cs="Helvetica"/>
          <w:iCs/>
          <w:szCs w:val="24"/>
          <w:lang w:val="es-CO"/>
        </w:rPr>
        <w:t xml:space="preserve">, el diagnóstico preliminar de los problemas identificados, para que, desde su visión, realicen aportes, los cuales nos permitirán complementarlos y utilizar los que sean adecuados para la situación actual de este mercado. </w:t>
      </w:r>
    </w:p>
    <w:p w14:paraId="782172B9" w14:textId="77777777" w:rsidR="001212B1" w:rsidRPr="00EF22E0" w:rsidRDefault="001212B1" w:rsidP="001212B1">
      <w:pPr>
        <w:spacing w:line="360" w:lineRule="auto"/>
        <w:jc w:val="left"/>
        <w:rPr>
          <w:rFonts w:ascii="Helvetica" w:hAnsi="Helvetica" w:cs="Helvetica"/>
          <w:szCs w:val="24"/>
        </w:rPr>
      </w:pPr>
    </w:p>
    <w:p w14:paraId="363B2057" w14:textId="77777777" w:rsidR="001212B1" w:rsidRPr="00EF22E0" w:rsidRDefault="001212B1" w:rsidP="001212B1">
      <w:pPr>
        <w:pStyle w:val="Ttulo2"/>
        <w:numPr>
          <w:ilvl w:val="1"/>
          <w:numId w:val="1"/>
        </w:numPr>
        <w:ind w:left="578" w:hanging="578"/>
        <w:jc w:val="left"/>
        <w:rPr>
          <w:rFonts w:ascii="Helvetica" w:hAnsi="Helvetica" w:cs="Helvetica"/>
        </w:rPr>
      </w:pPr>
      <w:bookmarkStart w:id="2" w:name="_Ref145615221"/>
      <w:r w:rsidRPr="00EF22E0">
        <w:rPr>
          <w:rFonts w:ascii="Helvetica" w:hAnsi="Helvetica" w:cs="Helvetica"/>
        </w:rPr>
        <w:t>Contexto Legal</w:t>
      </w:r>
      <w:bookmarkEnd w:id="2"/>
    </w:p>
    <w:p w14:paraId="15546A46"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En materia de la industria del petróleo, el Decreto 1056 de 1953 en el artículo 4 -Código de Petróleos -, estableció que la exploración, explotación, refinación, transporte y distribución de hidrocarburos es un servicio público. </w:t>
      </w:r>
    </w:p>
    <w:p w14:paraId="627DA98A" w14:textId="77777777" w:rsidR="001212B1" w:rsidRPr="00EF22E0" w:rsidRDefault="001212B1" w:rsidP="001212B1">
      <w:pPr>
        <w:pStyle w:val="Default"/>
        <w:spacing w:line="360" w:lineRule="auto"/>
        <w:rPr>
          <w:rFonts w:ascii="Helvetica" w:hAnsi="Helvetica" w:cs="Helvetica"/>
          <w:color w:val="auto"/>
        </w:rPr>
      </w:pPr>
    </w:p>
    <w:p w14:paraId="09DDF01F" w14:textId="3C8EFE5D"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 xml:space="preserve">A su vez, en el artículo 212 del decreto mencionado, </w:t>
      </w:r>
      <w:r w:rsidR="00BB5E45">
        <w:rPr>
          <w:rFonts w:ascii="Helvetica" w:hAnsi="Helvetica" w:cs="Helvetica"/>
          <w:color w:val="auto"/>
          <w:lang w:val="es-ES"/>
        </w:rPr>
        <w:t xml:space="preserve">señala </w:t>
      </w:r>
      <w:r w:rsidRPr="00EF22E0">
        <w:rPr>
          <w:rFonts w:ascii="Helvetica" w:hAnsi="Helvetica" w:cs="Helvetica"/>
          <w:color w:val="auto"/>
          <w:lang w:val="es-ES"/>
        </w:rPr>
        <w:t>que las personas o entidades que se dedican al transporte y distribución del petróleo y sus derivados deberán ejercer dicha actividad de conformidad con los reglamentos que dicte el Gobierno en defensa de los intereses generales.</w:t>
      </w:r>
    </w:p>
    <w:p w14:paraId="225198B3" w14:textId="77777777" w:rsidR="001212B1" w:rsidRPr="00EF22E0" w:rsidRDefault="001212B1" w:rsidP="001212B1">
      <w:pPr>
        <w:pStyle w:val="Default"/>
        <w:spacing w:line="360" w:lineRule="auto"/>
        <w:rPr>
          <w:rFonts w:ascii="Helvetica" w:hAnsi="Helvetica" w:cs="Helvetica"/>
          <w:color w:val="auto"/>
        </w:rPr>
      </w:pPr>
    </w:p>
    <w:p w14:paraId="2F5BD0C9" w14:textId="52F2E18E"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lastRenderedPageBreak/>
        <w:t>Por su parte, en relación con la distribución de combustibles líquidos derivados del petróleo, en el artículo 1 de la Ley 39 de 1987</w:t>
      </w:r>
      <w:r w:rsidR="00DB792E">
        <w:rPr>
          <w:rFonts w:ascii="Helvetica" w:hAnsi="Helvetica" w:cs="Helvetica"/>
          <w:color w:val="auto"/>
          <w:lang w:val="es-ES"/>
        </w:rPr>
        <w:t>,</w:t>
      </w:r>
      <w:r w:rsidRPr="00EF22E0">
        <w:rPr>
          <w:rFonts w:ascii="Helvetica" w:hAnsi="Helvetica" w:cs="Helvetica"/>
          <w:color w:val="auto"/>
          <w:lang w:val="es-ES"/>
        </w:rPr>
        <w:t xml:space="preserve"> establece que </w:t>
      </w:r>
      <w:r w:rsidR="00B40A78">
        <w:rPr>
          <w:rFonts w:ascii="Helvetica" w:hAnsi="Helvetica" w:cs="Helvetica"/>
          <w:color w:val="auto"/>
          <w:lang w:val="es-ES"/>
        </w:rPr>
        <w:t xml:space="preserve">es </w:t>
      </w:r>
      <w:r w:rsidRPr="00EF22E0">
        <w:rPr>
          <w:rFonts w:ascii="Helvetica" w:hAnsi="Helvetica" w:cs="Helvetica"/>
          <w:color w:val="auto"/>
          <w:lang w:val="es-ES"/>
        </w:rPr>
        <w:t>en un servicio público que se presta de acuerdo con la Ley y el artículo 2 especifica quiénes son los agentes involucrados en este servicio, así: "solamente serán el refinador, el importador, el almacenador, el distribuidor mayorista, el transportador, el distribuidor minorista y el gran consumidor". El gas licuado de petróleo queda exceptuado de esta Ley.</w:t>
      </w:r>
    </w:p>
    <w:p w14:paraId="70658CFA" w14:textId="77777777" w:rsidR="001212B1" w:rsidRPr="00EF22E0" w:rsidRDefault="001212B1" w:rsidP="001212B1">
      <w:pPr>
        <w:pStyle w:val="Default"/>
        <w:spacing w:line="360" w:lineRule="auto"/>
        <w:rPr>
          <w:rFonts w:ascii="Helvetica" w:hAnsi="Helvetica" w:cs="Helvetica"/>
          <w:color w:val="auto"/>
        </w:rPr>
      </w:pPr>
    </w:p>
    <w:p w14:paraId="02DE4A7C"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En la Ley 26 de 1989, por medio de la cual se adiciona la Ley 39 de 1987 y se dictan otras disposiciones sobre la distribución de combustibles líquidos derivados del petróleo,  en su artículo 1 establece que el Gobierno tiene autoridad para establecer horarios, precios, márgenes de comercialización, calidad, calibraciones, condiciones de seguridad, relaciones contractuales y otras condiciones que influyen en la mejor prestación del servicio público de la distribución de combustibles líquidos derivados del petróleo, de acuerdo con la naturaleza del servicio público de la distribución de combustibles líquidos derivados del petróleo fijado por la Ley 39 de 1997.</w:t>
      </w:r>
    </w:p>
    <w:p w14:paraId="24DC2DAC" w14:textId="77777777" w:rsidR="001212B1" w:rsidRPr="00EF22E0" w:rsidRDefault="001212B1" w:rsidP="001212B1">
      <w:pPr>
        <w:pStyle w:val="Default"/>
        <w:spacing w:line="360" w:lineRule="auto"/>
        <w:rPr>
          <w:rFonts w:ascii="Helvetica" w:hAnsi="Helvetica" w:cs="Helvetica"/>
          <w:color w:val="auto"/>
        </w:rPr>
      </w:pPr>
    </w:p>
    <w:p w14:paraId="2DD0E2EC"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En materia de estructura de precios de la gasolina de aviación (Jet A1), el artículo 10 de la Ley 681 de 2001 establece en relación con los componentes de dicha estructura, lo siguiente:</w:t>
      </w:r>
    </w:p>
    <w:p w14:paraId="419E547F" w14:textId="77777777" w:rsidR="001212B1" w:rsidRPr="00EF22E0" w:rsidRDefault="001212B1" w:rsidP="001212B1">
      <w:pPr>
        <w:pStyle w:val="Default"/>
        <w:spacing w:line="360" w:lineRule="auto"/>
        <w:rPr>
          <w:rFonts w:ascii="Helvetica" w:hAnsi="Helvetica" w:cs="Helvetica"/>
          <w:color w:val="auto"/>
        </w:rPr>
      </w:pPr>
    </w:p>
    <w:p w14:paraId="721C6107"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“Fórmula para determinar los componentes de la estructura de precios de la gasolina de aviación Jet A1. El precio de venta de la gasolina de aviación Jet A1 al distribuidor mayorista será el resultado de la suma del ingreso al productor, los cargos por concepto de transporte a través del sistema de poliductos de Ecopetrol y el IVA, para lo cual se aplicará la siguiente fórmula:</w:t>
      </w:r>
    </w:p>
    <w:p w14:paraId="45C34207" w14:textId="77777777" w:rsidR="001212B1" w:rsidRPr="00EF22E0" w:rsidRDefault="001212B1" w:rsidP="001212B1">
      <w:pPr>
        <w:pStyle w:val="Default"/>
        <w:spacing w:line="360" w:lineRule="auto"/>
        <w:ind w:left="426"/>
        <w:rPr>
          <w:rFonts w:ascii="Helvetica" w:hAnsi="Helvetica" w:cs="Helvetica"/>
          <w:color w:val="auto"/>
        </w:rPr>
      </w:pPr>
    </w:p>
    <w:p w14:paraId="6EC8E360" w14:textId="77777777" w:rsidR="001212B1" w:rsidRPr="00EF22E0" w:rsidRDefault="001212B1" w:rsidP="001212B1">
      <w:pPr>
        <w:pStyle w:val="Default"/>
        <w:spacing w:line="360" w:lineRule="auto"/>
        <w:ind w:left="426"/>
        <w:rPr>
          <w:rFonts w:ascii="Helvetica" w:hAnsi="Helvetica" w:cs="Helvetica"/>
          <w:color w:val="auto"/>
          <w:lang w:val="it-IT"/>
        </w:rPr>
      </w:pPr>
      <w:r w:rsidRPr="00EF22E0">
        <w:rPr>
          <w:rFonts w:ascii="Helvetica" w:hAnsi="Helvetica" w:cs="Helvetica"/>
          <w:color w:val="auto"/>
          <w:lang w:val="it-IT"/>
        </w:rPr>
        <w:t>PMV = Ip + Ti + IVA</w:t>
      </w:r>
    </w:p>
    <w:p w14:paraId="2BC7DC1A" w14:textId="77777777" w:rsidR="001212B1" w:rsidRPr="00EF22E0" w:rsidRDefault="001212B1" w:rsidP="001212B1">
      <w:pPr>
        <w:pStyle w:val="Default"/>
        <w:spacing w:line="360" w:lineRule="auto"/>
        <w:ind w:left="426"/>
        <w:rPr>
          <w:rFonts w:ascii="Helvetica" w:hAnsi="Helvetica" w:cs="Helvetica"/>
          <w:color w:val="auto"/>
          <w:lang w:val="it-IT"/>
        </w:rPr>
      </w:pPr>
    </w:p>
    <w:p w14:paraId="2D539F99" w14:textId="77777777" w:rsidR="001212B1" w:rsidRPr="00EF22E0" w:rsidRDefault="001212B1" w:rsidP="001212B1">
      <w:pPr>
        <w:pStyle w:val="Default"/>
        <w:spacing w:line="360" w:lineRule="auto"/>
        <w:ind w:left="426"/>
        <w:rPr>
          <w:rFonts w:ascii="Helvetica" w:hAnsi="Helvetica" w:cs="Helvetica"/>
          <w:color w:val="auto"/>
          <w:lang w:val="it-IT"/>
        </w:rPr>
      </w:pPr>
      <w:r w:rsidRPr="00EF22E0">
        <w:rPr>
          <w:rFonts w:ascii="Helvetica" w:hAnsi="Helvetica" w:cs="Helvetica"/>
          <w:color w:val="auto"/>
          <w:lang w:val="it-IT"/>
        </w:rPr>
        <w:t>Donde:</w:t>
      </w:r>
    </w:p>
    <w:p w14:paraId="7C1E755D"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lastRenderedPageBreak/>
        <w:t>PMV: Es el precio de venta de la gasolina de aviación Jet A1 al distribuidor mayorista.</w:t>
      </w:r>
    </w:p>
    <w:p w14:paraId="3789673F" w14:textId="77777777" w:rsidR="001212B1" w:rsidRPr="00EF22E0" w:rsidRDefault="001212B1" w:rsidP="001212B1">
      <w:pPr>
        <w:pStyle w:val="Default"/>
        <w:spacing w:line="360" w:lineRule="auto"/>
        <w:ind w:left="426"/>
        <w:rPr>
          <w:rFonts w:ascii="Helvetica" w:hAnsi="Helvetica" w:cs="Helvetica"/>
          <w:color w:val="auto"/>
          <w:lang w:val="es-ES"/>
        </w:rPr>
      </w:pPr>
      <w:r w:rsidRPr="00EF22E0">
        <w:rPr>
          <w:rFonts w:ascii="Helvetica" w:hAnsi="Helvetica" w:cs="Helvetica"/>
          <w:color w:val="auto"/>
          <w:lang w:val="es-ES"/>
        </w:rPr>
        <w:t>Ip: Es el ingreso al productor tal y como se define en el artículo 1° la de la presente ley.</w:t>
      </w:r>
    </w:p>
    <w:p w14:paraId="2D4ABC79"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Ti: Es el valor del transporte a través del sistema de poliductos, tal y como se define en el artículo 12 de la presente ley.</w:t>
      </w:r>
    </w:p>
    <w:p w14:paraId="272D269B"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IVA: Es el impuesto al valor agregado sobre el ingreso al productor”</w:t>
      </w:r>
    </w:p>
    <w:p w14:paraId="0A2EC814" w14:textId="77777777" w:rsidR="001212B1" w:rsidRPr="00EF22E0" w:rsidRDefault="001212B1" w:rsidP="001212B1">
      <w:pPr>
        <w:pStyle w:val="Default"/>
        <w:spacing w:line="360" w:lineRule="auto"/>
        <w:ind w:left="426"/>
        <w:rPr>
          <w:rFonts w:ascii="Helvetica" w:hAnsi="Helvetica" w:cs="Helvetica"/>
          <w:color w:val="auto"/>
        </w:rPr>
      </w:pPr>
    </w:p>
    <w:p w14:paraId="3FBE4A7B" w14:textId="77777777" w:rsidR="001212B1" w:rsidRPr="00EF22E0" w:rsidRDefault="001212B1" w:rsidP="001212B1">
      <w:pPr>
        <w:pStyle w:val="Default"/>
        <w:spacing w:line="360" w:lineRule="auto"/>
        <w:rPr>
          <w:rFonts w:ascii="Helvetica" w:hAnsi="Helvetica" w:cs="Helvetica"/>
        </w:rPr>
      </w:pPr>
      <w:r w:rsidRPr="00EF22E0">
        <w:rPr>
          <w:rFonts w:ascii="Helvetica" w:hAnsi="Helvetica" w:cs="Helvetica"/>
        </w:rPr>
        <w:t>El artículo 11 de</w:t>
      </w:r>
      <w:r w:rsidRPr="00EF22E0">
        <w:rPr>
          <w:rFonts w:ascii="Helvetica" w:eastAsia="Helvetica" w:hAnsi="Helvetica" w:cs="Helvetica"/>
          <w:lang w:val="es-ES"/>
        </w:rPr>
        <w:t xml:space="preserve"> la Ley 681 de 2001</w:t>
      </w:r>
      <w:r w:rsidRPr="00EF22E0">
        <w:rPr>
          <w:rFonts w:ascii="Helvetica" w:hAnsi="Helvetica" w:cs="Helvetica"/>
        </w:rPr>
        <w:t xml:space="preserve">, sobre el ingreso al productor señaló: </w:t>
      </w:r>
    </w:p>
    <w:p w14:paraId="023C38C3" w14:textId="77777777" w:rsidR="001212B1" w:rsidRPr="00EF22E0" w:rsidRDefault="001212B1" w:rsidP="001212B1">
      <w:pPr>
        <w:pStyle w:val="Default"/>
        <w:spacing w:line="360" w:lineRule="auto"/>
        <w:ind w:left="426"/>
        <w:rPr>
          <w:rFonts w:ascii="Helvetica" w:hAnsi="Helvetica" w:cs="Helvetica"/>
          <w:color w:val="auto"/>
        </w:rPr>
      </w:pPr>
    </w:p>
    <w:p w14:paraId="5B5A4FC7" w14:textId="77777777" w:rsidR="001212B1" w:rsidRPr="00EF22E0" w:rsidRDefault="001212B1" w:rsidP="001212B1">
      <w:pPr>
        <w:pStyle w:val="Default"/>
        <w:spacing w:line="360" w:lineRule="auto"/>
        <w:ind w:left="426"/>
        <w:rPr>
          <w:rFonts w:ascii="Helvetica" w:hAnsi="Helvetica" w:cs="Helvetica"/>
          <w:color w:val="auto"/>
          <w:lang w:val="es-ES"/>
        </w:rPr>
      </w:pPr>
      <w:r w:rsidRPr="3CB43807">
        <w:rPr>
          <w:rFonts w:ascii="Helvetica" w:hAnsi="Helvetica" w:cs="Helvetica"/>
          <w:color w:val="auto"/>
          <w:lang w:val="es-ES"/>
        </w:rPr>
        <w:t>“El ingreso al productor de gasolina de aviación Jet A1 es el precio de venta en puerta de refinería (ip), entendiendo como el precio FOB Cartagena, equivalente al índice Platt’s US Golf Coast Wb (Low) de las cotizaciones del índice JET 54 USGC, tomando el promedio de los precios de referencia de los días 1 a 25 del mes inmediatamente anterior al mes en que entra en vigencia el nuevo precio. Ecopetrol lo publicará en su página Web de Internet, el primer día calendario de cada mes. Este ingreso al productor así definido será igual para la venta en puerta de refinería tanto en Cartagena como en Barrancabermeja.</w:t>
      </w:r>
    </w:p>
    <w:p w14:paraId="32B37550" w14:textId="77777777" w:rsidR="001212B1" w:rsidRPr="00EF22E0" w:rsidRDefault="001212B1" w:rsidP="001212B1">
      <w:pPr>
        <w:pStyle w:val="Default"/>
        <w:spacing w:line="360" w:lineRule="auto"/>
        <w:ind w:left="426"/>
        <w:rPr>
          <w:rFonts w:ascii="Helvetica" w:hAnsi="Helvetica" w:cs="Helvetica"/>
          <w:color w:val="auto"/>
        </w:rPr>
      </w:pPr>
    </w:p>
    <w:p w14:paraId="29A85DBF"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Parágrafo 1°. El precio determinado en este artículo es un valor máximo, pero Ecopetrol previo concepto favorable del Ministerio de Minas y Energía, podrá otorgar descuentos sobre la base del principio de no discriminación, con el fin de promover una política de competitividad aeroportuaria respecto de otros aeropuertos del área y del Golfo de Méjico (USCG). </w:t>
      </w:r>
    </w:p>
    <w:p w14:paraId="3B214081" w14:textId="77777777" w:rsidR="001212B1" w:rsidRPr="00EF22E0" w:rsidRDefault="001212B1" w:rsidP="001212B1">
      <w:pPr>
        <w:pStyle w:val="Default"/>
        <w:spacing w:line="360" w:lineRule="auto"/>
        <w:ind w:left="426"/>
        <w:rPr>
          <w:rFonts w:ascii="Helvetica" w:hAnsi="Helvetica" w:cs="Helvetica"/>
          <w:color w:val="auto"/>
        </w:rPr>
      </w:pPr>
    </w:p>
    <w:p w14:paraId="05B45FB8"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Parágrafo 2°. El ingreso al productor en puerta de refinería es único y no se establecerán diferencias de precio según modo de transporte.”</w:t>
      </w:r>
    </w:p>
    <w:p w14:paraId="73C8DAED" w14:textId="77777777" w:rsidR="001212B1" w:rsidRPr="00EF22E0" w:rsidRDefault="001212B1" w:rsidP="001212B1">
      <w:pPr>
        <w:pStyle w:val="Default"/>
        <w:spacing w:line="360" w:lineRule="auto"/>
        <w:rPr>
          <w:rFonts w:ascii="Helvetica" w:hAnsi="Helvetica" w:cs="Helvetica"/>
          <w:color w:val="auto"/>
        </w:rPr>
      </w:pPr>
    </w:p>
    <w:p w14:paraId="7B83A211"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lastRenderedPageBreak/>
        <w:t>En resumen, el artículo 11 de la Ley 681 de 2001, indica que el precio del Jet A1 en cualquier refinería colombiana, corresponde al precio internacional sin incluir transportes y logística.</w:t>
      </w:r>
    </w:p>
    <w:p w14:paraId="03ED5CA4" w14:textId="77777777" w:rsidR="001212B1" w:rsidRPr="00EF22E0" w:rsidRDefault="001212B1" w:rsidP="001212B1">
      <w:pPr>
        <w:pStyle w:val="Default"/>
        <w:spacing w:line="360" w:lineRule="auto"/>
        <w:rPr>
          <w:rFonts w:ascii="Helvetica" w:hAnsi="Helvetica" w:cs="Helvetica"/>
          <w:color w:val="auto"/>
        </w:rPr>
      </w:pPr>
    </w:p>
    <w:p w14:paraId="4407B9CC" w14:textId="4FF806DF"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El Decreto 2166 de 2006 reglamentó el parágrafo 1° del artículo 11 de la Ley 681 de 2001, definiendo lineamientos y parámetros para medir la competitividad del precio de la gasolina de aviación Jet A1, este decreto fue compilado en el Decreto 1073 de 2015, incluyendo, para su aplicación e interpretación </w:t>
      </w:r>
      <w:r w:rsidR="00143996">
        <w:rPr>
          <w:rFonts w:ascii="Helvetica" w:hAnsi="Helvetica" w:cs="Helvetica"/>
          <w:color w:val="auto"/>
        </w:rPr>
        <w:t xml:space="preserve">señala </w:t>
      </w:r>
      <w:r w:rsidRPr="00EF22E0">
        <w:rPr>
          <w:rFonts w:ascii="Helvetica" w:hAnsi="Helvetica" w:cs="Helvetica"/>
          <w:color w:val="auto"/>
        </w:rPr>
        <w:t>las siguientes definiciones:</w:t>
      </w:r>
    </w:p>
    <w:p w14:paraId="776FA61E" w14:textId="77777777" w:rsidR="001212B1" w:rsidRPr="00EF22E0" w:rsidRDefault="001212B1" w:rsidP="001212B1">
      <w:pPr>
        <w:pStyle w:val="Default"/>
        <w:spacing w:line="360" w:lineRule="auto"/>
        <w:rPr>
          <w:rFonts w:ascii="Helvetica" w:hAnsi="Helvetica" w:cs="Helvetica"/>
          <w:color w:val="auto"/>
        </w:rPr>
      </w:pPr>
    </w:p>
    <w:p w14:paraId="1144B307"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“Artículo 2.2.1.1.2.2.1.4. Definiciones aplicables a la distribución de combustibles líquidos derivados del Petróleo. Para efectos de la aplicación e interpretación de la presente sección y sus subsecciones se consideran las siguientes definiciones:</w:t>
      </w:r>
    </w:p>
    <w:p w14:paraId="1394DD33" w14:textId="77777777" w:rsidR="001212B1" w:rsidRPr="00EF22E0" w:rsidRDefault="001212B1" w:rsidP="001212B1">
      <w:pPr>
        <w:pStyle w:val="Default"/>
        <w:spacing w:line="360" w:lineRule="auto"/>
        <w:ind w:left="426"/>
        <w:rPr>
          <w:rFonts w:ascii="Helvetica" w:hAnsi="Helvetica" w:cs="Helvetica"/>
          <w:color w:val="auto"/>
        </w:rPr>
      </w:pPr>
    </w:p>
    <w:p w14:paraId="50F6B635"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b/>
          <w:bCs/>
          <w:color w:val="auto"/>
        </w:rPr>
        <w:t>Aeropuertos del Golfo de México</w:t>
      </w:r>
      <w:r w:rsidRPr="00EF22E0">
        <w:rPr>
          <w:rFonts w:ascii="Helvetica" w:hAnsi="Helvetica" w:cs="Helvetica"/>
          <w:color w:val="auto"/>
        </w:rPr>
        <w:t>: Son los aeropuertos de Miami y Ft. Lauderdale, ubicados en La Florida-Estados Unidos.</w:t>
      </w:r>
    </w:p>
    <w:p w14:paraId="23B8F070" w14:textId="77777777" w:rsidR="001212B1" w:rsidRPr="00EF22E0" w:rsidRDefault="001212B1" w:rsidP="001212B1">
      <w:pPr>
        <w:pStyle w:val="Default"/>
        <w:spacing w:line="360" w:lineRule="auto"/>
        <w:ind w:left="426"/>
        <w:rPr>
          <w:rFonts w:ascii="Helvetica" w:hAnsi="Helvetica" w:cs="Helvetica"/>
          <w:color w:val="auto"/>
        </w:rPr>
      </w:pPr>
    </w:p>
    <w:p w14:paraId="08ECC2B8"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b/>
          <w:bCs/>
          <w:color w:val="auto"/>
        </w:rPr>
        <w:t>Aeropuertos del área</w:t>
      </w:r>
      <w:r w:rsidRPr="00EF22E0">
        <w:rPr>
          <w:rFonts w:ascii="Helvetica" w:hAnsi="Helvetica" w:cs="Helvetica"/>
          <w:color w:val="auto"/>
        </w:rPr>
        <w:t>: Son los aeropuertos de las ciudades de Quito (Ecuador), Lima (Perú) y Panamá (Panamá).</w:t>
      </w:r>
    </w:p>
    <w:p w14:paraId="7DF6D200" w14:textId="77777777" w:rsidR="001212B1" w:rsidRPr="00EF22E0" w:rsidRDefault="001212B1" w:rsidP="001212B1">
      <w:pPr>
        <w:pStyle w:val="Default"/>
        <w:spacing w:line="360" w:lineRule="auto"/>
        <w:ind w:left="426"/>
        <w:rPr>
          <w:rFonts w:ascii="Helvetica" w:hAnsi="Helvetica" w:cs="Helvetica"/>
          <w:color w:val="auto"/>
        </w:rPr>
      </w:pPr>
    </w:p>
    <w:p w14:paraId="00E33CF2"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b/>
          <w:bCs/>
          <w:color w:val="auto"/>
        </w:rPr>
        <w:t>Precio de referencia de la gasolina de aviación A1 en Colombia</w:t>
      </w:r>
      <w:r w:rsidRPr="00EF22E0">
        <w:rPr>
          <w:rFonts w:ascii="Helvetica" w:hAnsi="Helvetica" w:cs="Helvetica"/>
          <w:color w:val="auto"/>
        </w:rPr>
        <w:t>: Es el promedio de los precios ponderados por volumen de venta de combustible de aviación para motores tipo turbina (gasolina de aviación Jet A1) para los siete aeropuertos con mayor consumo de este combustible en el país.</w:t>
      </w:r>
    </w:p>
    <w:p w14:paraId="28A5B59B" w14:textId="77777777" w:rsidR="001212B1" w:rsidRPr="00EF22E0" w:rsidRDefault="001212B1" w:rsidP="001212B1">
      <w:pPr>
        <w:pStyle w:val="Default"/>
        <w:spacing w:line="360" w:lineRule="auto"/>
        <w:ind w:left="426"/>
        <w:rPr>
          <w:rFonts w:ascii="Helvetica" w:hAnsi="Helvetica" w:cs="Helvetica"/>
          <w:color w:val="auto"/>
        </w:rPr>
      </w:pPr>
    </w:p>
    <w:p w14:paraId="7834BCCB"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Para determinar el precio de venta se tendrán en cuenta el Ingreso al Productor y la tarifa de transporte por poliductos.</w:t>
      </w:r>
    </w:p>
    <w:p w14:paraId="1A3BBA03" w14:textId="77777777" w:rsidR="001212B1" w:rsidRPr="00EF22E0" w:rsidRDefault="001212B1" w:rsidP="001212B1">
      <w:pPr>
        <w:pStyle w:val="Default"/>
        <w:spacing w:line="360" w:lineRule="auto"/>
        <w:ind w:left="426"/>
        <w:rPr>
          <w:rFonts w:ascii="Helvetica" w:hAnsi="Helvetica" w:cs="Helvetica"/>
          <w:color w:val="auto"/>
        </w:rPr>
      </w:pPr>
    </w:p>
    <w:p w14:paraId="005BC382" w14:textId="77777777" w:rsidR="001212B1" w:rsidRPr="00EF22E0" w:rsidRDefault="001212B1" w:rsidP="001212B1">
      <w:pPr>
        <w:pStyle w:val="Default"/>
        <w:spacing w:line="360" w:lineRule="auto"/>
        <w:ind w:left="426"/>
        <w:rPr>
          <w:rFonts w:ascii="Helvetica" w:hAnsi="Helvetica" w:cs="Helvetica"/>
          <w:color w:val="auto"/>
          <w:lang w:val="es-ES"/>
        </w:rPr>
      </w:pPr>
      <w:r w:rsidRPr="00EF22E0">
        <w:rPr>
          <w:rFonts w:ascii="Helvetica" w:hAnsi="Helvetica" w:cs="Helvetica"/>
          <w:b/>
          <w:color w:val="auto"/>
          <w:lang w:val="es-ES"/>
        </w:rPr>
        <w:t>Precio de referencia de la gasolina de aviación Jet A1 Internacional</w:t>
      </w:r>
      <w:r w:rsidRPr="00EF22E0">
        <w:rPr>
          <w:rFonts w:ascii="Helvetica" w:hAnsi="Helvetica" w:cs="Helvetica"/>
          <w:color w:val="auto"/>
          <w:lang w:val="es-ES"/>
        </w:rPr>
        <w:t xml:space="preserve">: Es el precio promedio del combustible de aviación para motores tipo turbina (gasolina de </w:t>
      </w:r>
      <w:r w:rsidRPr="00EF22E0">
        <w:rPr>
          <w:rFonts w:ascii="Helvetica" w:hAnsi="Helvetica" w:cs="Helvetica"/>
          <w:color w:val="auto"/>
          <w:lang w:val="es-ES"/>
        </w:rPr>
        <w:lastRenderedPageBreak/>
        <w:t xml:space="preserve">aviación Jet A1) en ala de avión de los Aeropuertos del Área y del Golfo de México, en el cual se tendrán en cuenta el precio al productor y otros cargos al combustible en cada aeropuerto (into plane fee, Fletes, seguros, transporte, o similares) y sin incluir los márgenes de intermediación, de “throughput” o de manejo de inventarios.” </w:t>
      </w:r>
    </w:p>
    <w:p w14:paraId="5B681177" w14:textId="77777777" w:rsidR="001212B1" w:rsidRPr="00EF22E0" w:rsidRDefault="001212B1" w:rsidP="001212B1">
      <w:pPr>
        <w:pStyle w:val="Default"/>
        <w:spacing w:line="360" w:lineRule="auto"/>
        <w:rPr>
          <w:rFonts w:ascii="Helvetica" w:hAnsi="Helvetica" w:cs="Helvetica"/>
          <w:color w:val="auto"/>
        </w:rPr>
      </w:pPr>
    </w:p>
    <w:p w14:paraId="4272E7C3"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En los artículos 2</w:t>
      </w:r>
      <w:r w:rsidRPr="00EF22E0">
        <w:rPr>
          <w:rStyle w:val="Refdenotaalpie"/>
          <w:rFonts w:ascii="Helvetica" w:hAnsi="Helvetica" w:cs="Helvetica"/>
          <w:color w:val="auto"/>
        </w:rPr>
        <w:footnoteReference w:id="2"/>
      </w:r>
      <w:r w:rsidRPr="00EF22E0">
        <w:rPr>
          <w:rFonts w:ascii="Helvetica" w:hAnsi="Helvetica" w:cs="Helvetica"/>
          <w:color w:val="auto"/>
        </w:rPr>
        <w:t xml:space="preserve"> y 3</w:t>
      </w:r>
      <w:r w:rsidRPr="00EF22E0">
        <w:rPr>
          <w:rStyle w:val="Refdenotaalpie"/>
          <w:rFonts w:ascii="Helvetica" w:hAnsi="Helvetica" w:cs="Helvetica"/>
          <w:color w:val="auto"/>
        </w:rPr>
        <w:footnoteReference w:id="3"/>
      </w:r>
      <w:r w:rsidRPr="00EF22E0">
        <w:rPr>
          <w:rStyle w:val="Refdenotaalpie"/>
          <w:rFonts w:ascii="Helvetica" w:hAnsi="Helvetica" w:cs="Helvetica"/>
          <w:color w:val="auto"/>
        </w:rPr>
        <w:t xml:space="preserve"> </w:t>
      </w:r>
      <w:r w:rsidRPr="00EF22E0">
        <w:rPr>
          <w:rFonts w:ascii="Helvetica" w:hAnsi="Helvetica" w:cs="Helvetica"/>
          <w:color w:val="auto"/>
        </w:rPr>
        <w:t>del Decreto 1073 de 2015, se estableció que el Ministerio de Minas y Energía debe emitir un concepto semestral favorable o negativo para que Ecopetrol S.A. decida por sí sola si otorga o no el descuento en el precio del combustible de aviación para motores tipo turbina (gasolina de aviación Jet A1) producido en sus refinerías, con el fin de evaluar la competitividad del aeropuerto.</w:t>
      </w:r>
    </w:p>
    <w:p w14:paraId="4D31EA6C" w14:textId="77777777" w:rsidR="001212B1" w:rsidRPr="00EF22E0" w:rsidRDefault="001212B1" w:rsidP="001212B1">
      <w:pPr>
        <w:pStyle w:val="Default"/>
        <w:spacing w:line="360" w:lineRule="auto"/>
        <w:rPr>
          <w:rFonts w:ascii="Helvetica" w:hAnsi="Helvetica" w:cs="Helvetica"/>
          <w:color w:val="auto"/>
        </w:rPr>
      </w:pPr>
    </w:p>
    <w:p w14:paraId="0EFB0F1F"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Para este fin, se establece como se deben comparar los precios internacionales del combustible Jet A1 en los aeropuertos del área y del Golfo de México con los precios en Colombia. Se indica que, si el precio internacional es mayor que el precio nacional, hay competitividad, y si es lo contrario, se debe implementar una política de competitividad aeroportuaria en relación con el combustible Jet A1, lo que conducirá a otorgar descuentos.</w:t>
      </w:r>
    </w:p>
    <w:p w14:paraId="507FE297" w14:textId="77777777" w:rsidR="001212B1" w:rsidRPr="00EF22E0" w:rsidRDefault="001212B1" w:rsidP="001212B1">
      <w:pPr>
        <w:pStyle w:val="Default"/>
        <w:spacing w:line="360" w:lineRule="auto"/>
        <w:rPr>
          <w:rFonts w:ascii="Helvetica" w:hAnsi="Helvetica" w:cs="Helvetica"/>
          <w:color w:val="auto"/>
        </w:rPr>
      </w:pPr>
    </w:p>
    <w:p w14:paraId="55249BE3"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Los mencionados artículos 10 y 11 de la Ley 681 de 2001, fueron derogados por el artículo 116 de la Ley 1450 de 2011</w:t>
      </w:r>
      <w:r w:rsidRPr="00EF22E0">
        <w:rPr>
          <w:rStyle w:val="Refdenotaalpie"/>
          <w:rFonts w:ascii="Helvetica" w:hAnsi="Helvetica" w:cs="Helvetica"/>
          <w:color w:val="auto"/>
        </w:rPr>
        <w:footnoteReference w:id="4"/>
      </w:r>
      <w:r w:rsidRPr="00EF22E0">
        <w:rPr>
          <w:rFonts w:ascii="Helvetica" w:hAnsi="Helvetica" w:cs="Helvetica"/>
          <w:color w:val="auto"/>
        </w:rPr>
        <w:t xml:space="preserve"> que dispuso: </w:t>
      </w:r>
    </w:p>
    <w:p w14:paraId="787D35EB" w14:textId="77777777" w:rsidR="001212B1" w:rsidRPr="00EF22E0" w:rsidRDefault="001212B1" w:rsidP="001212B1">
      <w:pPr>
        <w:pStyle w:val="Default"/>
        <w:spacing w:line="360" w:lineRule="auto"/>
        <w:rPr>
          <w:rFonts w:ascii="Helvetica" w:hAnsi="Helvetica" w:cs="Helvetica"/>
          <w:color w:val="auto"/>
        </w:rPr>
      </w:pPr>
    </w:p>
    <w:p w14:paraId="768A6C22" w14:textId="77777777" w:rsidR="001212B1" w:rsidRPr="00EF22E0" w:rsidRDefault="001212B1" w:rsidP="001212B1">
      <w:pPr>
        <w:pStyle w:val="Default"/>
        <w:spacing w:line="360" w:lineRule="auto"/>
        <w:ind w:left="709"/>
        <w:rPr>
          <w:rFonts w:ascii="Helvetica" w:hAnsi="Helvetica" w:cs="Helvetica"/>
          <w:color w:val="auto"/>
        </w:rPr>
      </w:pPr>
      <w:r w:rsidRPr="00EF22E0">
        <w:rPr>
          <w:rFonts w:ascii="Helvetica" w:hAnsi="Helvetica" w:cs="Helvetica"/>
          <w:color w:val="auto"/>
        </w:rPr>
        <w:t xml:space="preserve">“La derogatoria de los artículos 10, 11 y el parágrafo del artículo 12 de la Ley 681 de 2001, mediante los cuales se establece la fórmula para determinar los componentes de la estructura de precios del combustible de aviación JET A-1, se hará efectiva cuando el </w:t>
      </w:r>
      <w:bookmarkStart w:id="3" w:name="_Hlk143619351"/>
      <w:r w:rsidRPr="00EF22E0">
        <w:rPr>
          <w:rFonts w:ascii="Helvetica" w:hAnsi="Helvetica" w:cs="Helvetica"/>
          <w:color w:val="auto"/>
        </w:rPr>
        <w:t xml:space="preserve">Gobierno Nacional asigne las funciones a un ente regulador que determine los precios combustibles líquidos, biocombustibles y gas </w:t>
      </w:r>
      <w:r w:rsidRPr="00EF22E0">
        <w:rPr>
          <w:rFonts w:ascii="Helvetica" w:hAnsi="Helvetica" w:cs="Helvetica"/>
          <w:color w:val="auto"/>
        </w:rPr>
        <w:lastRenderedPageBreak/>
        <w:t xml:space="preserve">natural vehicular </w:t>
      </w:r>
      <w:bookmarkEnd w:id="3"/>
      <w:r w:rsidRPr="00EF22E0">
        <w:rPr>
          <w:rFonts w:ascii="Helvetica" w:hAnsi="Helvetica" w:cs="Helvetica"/>
          <w:color w:val="auto"/>
        </w:rPr>
        <w:t>y se dicte la primera regulación sobre el particular, para lo cual deberá tener en cuenta, entre otros, criterios que refleje el costo de oportunidad del producto, la expansión de la infraestructura, la confiabilidad en el suministro, la promoción de la competencia, el abuso de la posición dominante, la competitividad del combustible en la región y sin que ello implique ningún tipo de subsidio económico o descuento especial.</w:t>
      </w:r>
    </w:p>
    <w:p w14:paraId="3763469E" w14:textId="77777777" w:rsidR="001212B1" w:rsidRPr="00EF22E0" w:rsidRDefault="001212B1" w:rsidP="001212B1">
      <w:pPr>
        <w:pStyle w:val="Default"/>
        <w:spacing w:line="360" w:lineRule="auto"/>
        <w:ind w:left="709"/>
        <w:rPr>
          <w:rFonts w:ascii="Helvetica" w:hAnsi="Helvetica" w:cs="Helvetica"/>
          <w:color w:val="auto"/>
        </w:rPr>
      </w:pPr>
    </w:p>
    <w:p w14:paraId="7698F562" w14:textId="77777777" w:rsidR="001212B1" w:rsidRPr="00EF22E0" w:rsidRDefault="001212B1" w:rsidP="001212B1">
      <w:pPr>
        <w:pStyle w:val="Default"/>
        <w:spacing w:line="360" w:lineRule="auto"/>
        <w:ind w:left="709"/>
        <w:rPr>
          <w:rFonts w:ascii="Helvetica" w:hAnsi="Helvetica" w:cs="Helvetica"/>
          <w:color w:val="auto"/>
          <w:lang w:val="es-ES"/>
        </w:rPr>
      </w:pPr>
      <w:r w:rsidRPr="3CB43807">
        <w:rPr>
          <w:rFonts w:ascii="Helvetica" w:hAnsi="Helvetica" w:cs="Helvetica"/>
          <w:color w:val="auto"/>
          <w:lang w:val="es-ES"/>
        </w:rPr>
        <w:t xml:space="preserve">No obstante, durante la transición los componentes de la estructura de precios del combustible de aviación JET A-1, se calcularán en forma semanal y no mensual. El refinador los martes publicará el precio, tomando como referencia los precios de la semana anterior de lunes a viernes, y regirán a partir del día miércoles. De igual forma, en el evento que por garantía de abastecimiento se requiere importar producto o realizar el transporte del producto entre las refinerías o entre las refinerías y los centros de consumo, estos costos no serán asumidos por el refinador y serán trasladados en el primer caso, al precio de venta del producto por el refinador y en el segundo, definidos entre los distribuidores y los clientes, cuando a ello haya lugar, con base en las tarifas de transporte de mercado.” </w:t>
      </w:r>
    </w:p>
    <w:p w14:paraId="650AB692" w14:textId="77777777" w:rsidR="001212B1" w:rsidRPr="00EF22E0" w:rsidRDefault="001212B1" w:rsidP="001212B1">
      <w:pPr>
        <w:pStyle w:val="Default"/>
        <w:spacing w:line="360" w:lineRule="auto"/>
        <w:rPr>
          <w:rFonts w:ascii="Helvetica" w:hAnsi="Helvetica" w:cs="Helvetica"/>
          <w:color w:val="auto"/>
        </w:rPr>
      </w:pPr>
    </w:p>
    <w:p w14:paraId="670AF68C" w14:textId="77777777" w:rsidR="001212B1" w:rsidRPr="00EF22E0" w:rsidRDefault="001212B1" w:rsidP="001212B1">
      <w:pPr>
        <w:pStyle w:val="Default"/>
        <w:spacing w:line="360" w:lineRule="auto"/>
        <w:rPr>
          <w:rFonts w:ascii="Helvetica" w:hAnsi="Helvetica" w:cs="Helvetica"/>
          <w:color w:val="auto"/>
          <w:lang w:val="es-ES"/>
        </w:rPr>
      </w:pPr>
      <w:r w:rsidRPr="3CB43807">
        <w:rPr>
          <w:rFonts w:ascii="Helvetica" w:hAnsi="Helvetica" w:cs="Helvetica"/>
          <w:color w:val="auto"/>
          <w:lang w:val="es-ES"/>
        </w:rPr>
        <w:t>Así las cosas, la derogatoria tendrá efecto cuando i) el Gobierno Nacional designe a un organismo regulador para establecer los precios de los combustibles líquidos, biocombustibles y gas natural para vehículos, y ii) se emita la primera regulación relacionada con este tema. El artículo 372 "Vigencias y derogatorias" de la Ley 2294 de 2023</w:t>
      </w:r>
      <w:r w:rsidRPr="3CB43807">
        <w:rPr>
          <w:rStyle w:val="Refdenotaalpie"/>
          <w:rFonts w:ascii="Helvetica" w:hAnsi="Helvetica" w:cs="Helvetica"/>
          <w:color w:val="auto"/>
          <w:lang w:val="es-ES"/>
        </w:rPr>
        <w:footnoteReference w:id="5"/>
      </w:r>
      <w:r w:rsidRPr="3CB43807">
        <w:rPr>
          <w:rFonts w:ascii="Helvetica" w:hAnsi="Helvetica" w:cs="Helvetica"/>
          <w:color w:val="auto"/>
          <w:lang w:val="es-ES"/>
        </w:rPr>
        <w:t xml:space="preserve"> no ha derogado este artículo, por lo que sigue estando vigente.  </w:t>
      </w:r>
    </w:p>
    <w:p w14:paraId="2AA14E33" w14:textId="77777777" w:rsidR="001212B1" w:rsidRPr="00EF22E0" w:rsidRDefault="001212B1" w:rsidP="001212B1">
      <w:pPr>
        <w:pStyle w:val="Default"/>
        <w:spacing w:line="360" w:lineRule="auto"/>
        <w:rPr>
          <w:rFonts w:ascii="Helvetica" w:hAnsi="Helvetica" w:cs="Helvetica"/>
          <w:color w:val="auto"/>
        </w:rPr>
      </w:pPr>
    </w:p>
    <w:p w14:paraId="0941BF3E"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De igual manera, el artículo 116 de la Ley 1450 de 2011 establece que para el desarrollo regulatorio se deben considerar factores como el costo de oportunidad del </w:t>
      </w:r>
      <w:r w:rsidRPr="00EF22E0">
        <w:rPr>
          <w:rFonts w:ascii="Helvetica" w:hAnsi="Helvetica" w:cs="Helvetica"/>
          <w:color w:val="auto"/>
        </w:rPr>
        <w:lastRenderedPageBreak/>
        <w:t>producto, la expansión de la infraestructura, la confiabilidad en el suministro, la promoción de la competencia, el abuso de la posición dominante y la competitividad del combustible en la zona, sin que esto implique ningún tipo de subsidio económico o descuento especial.</w:t>
      </w:r>
    </w:p>
    <w:p w14:paraId="3A52504A" w14:textId="77777777" w:rsidR="001212B1" w:rsidRPr="00EF22E0" w:rsidRDefault="001212B1" w:rsidP="001212B1">
      <w:pPr>
        <w:pStyle w:val="Default"/>
        <w:spacing w:line="360" w:lineRule="auto"/>
        <w:rPr>
          <w:rFonts w:ascii="Helvetica" w:hAnsi="Helvetica" w:cs="Helvetica"/>
          <w:color w:val="auto"/>
        </w:rPr>
      </w:pPr>
    </w:p>
    <w:p w14:paraId="02DF0B84"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Además, indica que los componentes de la estructura de precios del combustible de aviación Jet A-1 se calcularán semanalmente en lugar de mensual, durante el periodo de transición. Para lograrlo, el refinador publicará el precio los martes, basándose en los precios de lunes a viernes de la semana anterior, y se aplicarán a partir del miércoles.</w:t>
      </w:r>
    </w:p>
    <w:p w14:paraId="41C97842" w14:textId="77777777" w:rsidR="001212B1" w:rsidRPr="00EF22E0" w:rsidRDefault="001212B1" w:rsidP="001212B1">
      <w:pPr>
        <w:pStyle w:val="Default"/>
        <w:spacing w:line="360" w:lineRule="auto"/>
        <w:rPr>
          <w:rFonts w:ascii="Helvetica" w:hAnsi="Helvetica" w:cs="Helvetica"/>
          <w:color w:val="auto"/>
        </w:rPr>
      </w:pPr>
    </w:p>
    <w:p w14:paraId="69174362"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Por último, argumenta que en casos de garantía de abastecimiento y que sea necesario importar el producto o transportarlo entre las refinerías o entre las refinerías y los centros de consumo, el refinador no será responsable de estos costos.</w:t>
      </w:r>
    </w:p>
    <w:p w14:paraId="3C80FB6A" w14:textId="77777777" w:rsidR="001212B1" w:rsidRPr="00EF22E0" w:rsidRDefault="001212B1" w:rsidP="001212B1">
      <w:pPr>
        <w:pStyle w:val="Default"/>
        <w:spacing w:line="360" w:lineRule="auto"/>
        <w:rPr>
          <w:rFonts w:ascii="Helvetica" w:hAnsi="Helvetica" w:cs="Helvetica"/>
          <w:color w:val="auto"/>
        </w:rPr>
      </w:pPr>
    </w:p>
    <w:p w14:paraId="3B39F22A"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Según lo mencionado, la regulación actual se encuentra en los artículos 10 y 11 de la Ley 681 de 2001, hasta tanto concurran las dos condiciones para su eliminación: la designación de un organismo regulador por parte del Gobierno Nacional y la emisión de la primera regulación sobre el tema. </w:t>
      </w:r>
    </w:p>
    <w:p w14:paraId="390C1B3C" w14:textId="77777777" w:rsidR="001212B1" w:rsidRPr="00EF22E0" w:rsidRDefault="001212B1" w:rsidP="001212B1">
      <w:pPr>
        <w:pStyle w:val="Default"/>
        <w:spacing w:line="360" w:lineRule="auto"/>
        <w:rPr>
          <w:rFonts w:ascii="Helvetica" w:hAnsi="Helvetica" w:cs="Helvetica"/>
          <w:color w:val="auto"/>
        </w:rPr>
      </w:pPr>
    </w:p>
    <w:p w14:paraId="207DAECE"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En relación con la primera condición, el numeral 1.3 denota como el Gobierno Nacional, a través del Ministerio de Hacienda y Crédito Público y el Ministerio de Minas y Energía, delegó a la Comisión de Regulación de Energía y Gas la tarea de determinar los componentes de la estructura de precios del combustible Jet A-1.</w:t>
      </w:r>
      <w:r w:rsidRPr="00EF22E0" w:rsidDel="0063296E">
        <w:rPr>
          <w:rFonts w:ascii="Helvetica" w:hAnsi="Helvetica" w:cs="Helvetica"/>
          <w:color w:val="auto"/>
        </w:rPr>
        <w:t xml:space="preserve"> </w:t>
      </w:r>
    </w:p>
    <w:p w14:paraId="10A7DECB" w14:textId="77777777" w:rsidR="001212B1" w:rsidRPr="00EF22E0" w:rsidRDefault="001212B1" w:rsidP="001212B1">
      <w:pPr>
        <w:pStyle w:val="Default"/>
        <w:spacing w:line="360" w:lineRule="auto"/>
        <w:rPr>
          <w:rFonts w:ascii="Helvetica" w:hAnsi="Helvetica" w:cs="Helvetica"/>
          <w:color w:val="auto"/>
        </w:rPr>
      </w:pPr>
    </w:p>
    <w:p w14:paraId="131ACFF1" w14:textId="77777777" w:rsidR="001212B1" w:rsidRPr="00EF22E0" w:rsidRDefault="001212B1" w:rsidP="001212B1">
      <w:pPr>
        <w:pStyle w:val="Ttulo3"/>
        <w:numPr>
          <w:ilvl w:val="2"/>
          <w:numId w:val="1"/>
        </w:numPr>
        <w:rPr>
          <w:rFonts w:ascii="Helvetica" w:hAnsi="Helvetica" w:cs="Helvetica"/>
          <w:szCs w:val="24"/>
        </w:rPr>
      </w:pPr>
      <w:r w:rsidRPr="00EF22E0">
        <w:rPr>
          <w:rFonts w:ascii="Helvetica" w:hAnsi="Helvetica" w:cs="Helvetica"/>
          <w:szCs w:val="24"/>
        </w:rPr>
        <w:t>Requisitos de calidad de los combustibles de aviación para motores tipo turbina.</w:t>
      </w:r>
    </w:p>
    <w:p w14:paraId="06A7FAE4" w14:textId="77777777" w:rsidR="001212B1" w:rsidRPr="00EF22E0" w:rsidRDefault="001212B1" w:rsidP="001212B1">
      <w:pPr>
        <w:pStyle w:val="Default"/>
        <w:spacing w:line="360" w:lineRule="auto"/>
        <w:rPr>
          <w:rFonts w:ascii="Helvetica" w:hAnsi="Helvetica" w:cs="Helvetica"/>
          <w:b/>
          <w:color w:val="auto"/>
        </w:rPr>
      </w:pPr>
    </w:p>
    <w:p w14:paraId="7550A1FD" w14:textId="77777777" w:rsidR="001212B1" w:rsidRPr="00EF22E0" w:rsidRDefault="001212B1" w:rsidP="001212B1">
      <w:pPr>
        <w:pStyle w:val="Default"/>
        <w:spacing w:line="360" w:lineRule="auto"/>
        <w:rPr>
          <w:rFonts w:ascii="Helvetica" w:hAnsi="Helvetica" w:cs="Helvetica"/>
        </w:rPr>
      </w:pPr>
      <w:r w:rsidRPr="00EF22E0">
        <w:rPr>
          <w:rFonts w:ascii="Helvetica" w:hAnsi="Helvetica" w:cs="Helvetica"/>
          <w:color w:val="auto"/>
          <w:lang w:val="es-ES"/>
        </w:rPr>
        <w:t xml:space="preserve">La Resolución 180790 del 31 de julio de 2002, emitida por el Ministerio de Minas y Energía y el Ministerio de Transporte, estableció las características mínimas que deben </w:t>
      </w:r>
      <w:r w:rsidRPr="00EF22E0">
        <w:rPr>
          <w:rFonts w:ascii="Helvetica" w:hAnsi="Helvetica" w:cs="Helvetica"/>
          <w:color w:val="auto"/>
          <w:lang w:val="es-ES"/>
        </w:rPr>
        <w:lastRenderedPageBreak/>
        <w:t xml:space="preserve">cumplir los combustibles de aviación Jet A, Jet A-1 y Jet B, así como los requisitos y procedimientos para el almacenamiento, transporte y suministro de estos combustibles. Lo anterior con el propósito de reducir los riesgos potenciales que puedan surgir para el transporte aéreo y </w:t>
      </w:r>
      <w:r w:rsidRPr="00EF22E0">
        <w:rPr>
          <w:rFonts w:ascii="Helvetica" w:hAnsi="Helvetica" w:cs="Helvetica"/>
        </w:rPr>
        <w:t>para las personas que intervienen en la cadena de producción, almacenamiento, manejo, transporte y suministro de estos combustibles. </w:t>
      </w:r>
    </w:p>
    <w:p w14:paraId="31636AB6" w14:textId="77777777" w:rsidR="001212B1" w:rsidRPr="00EF22E0" w:rsidRDefault="001212B1" w:rsidP="001212B1">
      <w:pPr>
        <w:pStyle w:val="Default"/>
        <w:spacing w:line="360" w:lineRule="auto"/>
        <w:rPr>
          <w:rFonts w:ascii="Helvetica" w:hAnsi="Helvetica" w:cs="Helvetica"/>
          <w:highlight w:val="yellow"/>
        </w:rPr>
      </w:pPr>
    </w:p>
    <w:p w14:paraId="4E018F13"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Esta Resolución se enfoca en aquellos agentes que producen, distribuyen, almacenan, suministran y transportan combustibles de aviación para motores de turbina.</w:t>
      </w:r>
    </w:p>
    <w:p w14:paraId="2CDAA644" w14:textId="77777777" w:rsidR="001212B1" w:rsidRPr="00EF22E0" w:rsidRDefault="001212B1" w:rsidP="001212B1">
      <w:pPr>
        <w:pStyle w:val="Default"/>
        <w:spacing w:line="360" w:lineRule="auto"/>
        <w:rPr>
          <w:rFonts w:ascii="Helvetica" w:hAnsi="Helvetica" w:cs="Helvetica"/>
          <w:color w:val="auto"/>
        </w:rPr>
      </w:pPr>
    </w:p>
    <w:p w14:paraId="5B295ACA"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 xml:space="preserve">Así mismo, precisa que se aplicarán las definiciones, clasificaciones y designaciones establecidas en la Normas Técnicas Colombianas (NTC) 1899 “Petróleo y sus Derivados - Turbocombustible para Aviación” (Cuarta Actualización) versión 1998-10-27, la NTC 4517 “Manejo del Turbocombustible para Aviación - Transporte, versión 1998-10-28, la NTC 4642 “Manejo del turbocombustible para aviación – Almacenamiento”, versión 1999-07-28 y la NTC 4643 “Manejo del </w:t>
      </w:r>
      <w:bookmarkStart w:id="4" w:name="_Int_wfrzD34b"/>
      <w:r w:rsidRPr="00EF22E0">
        <w:rPr>
          <w:rFonts w:ascii="Helvetica" w:hAnsi="Helvetica" w:cs="Helvetica"/>
          <w:color w:val="auto"/>
          <w:lang w:val="es-ES"/>
        </w:rPr>
        <w:t>turbocombustible</w:t>
      </w:r>
      <w:bookmarkEnd w:id="4"/>
      <w:r w:rsidRPr="00EF22E0">
        <w:rPr>
          <w:rFonts w:ascii="Helvetica" w:hAnsi="Helvetica" w:cs="Helvetica"/>
          <w:color w:val="auto"/>
          <w:lang w:val="es-ES"/>
        </w:rPr>
        <w:t xml:space="preserve"> para aviación – Suministro”, versión 1999-07-28, las cuales se presentan como Anexos 1, 2, 3 y 4 de la mencionada Resolución.</w:t>
      </w:r>
    </w:p>
    <w:p w14:paraId="5C8CDA49" w14:textId="77777777" w:rsidR="001212B1" w:rsidRPr="00EF22E0" w:rsidRDefault="001212B1" w:rsidP="001212B1">
      <w:pPr>
        <w:pStyle w:val="Default"/>
        <w:spacing w:line="360" w:lineRule="auto"/>
        <w:rPr>
          <w:rFonts w:ascii="Helvetica" w:hAnsi="Helvetica" w:cs="Helvetica"/>
          <w:b/>
          <w:color w:val="auto"/>
        </w:rPr>
      </w:pPr>
    </w:p>
    <w:p w14:paraId="229F19BC"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Posteriormente, el Reglamento Técnico de Emergencia sobre los requisitos de calidad de los combustibles de aviación para motores tipo turbina fue emitido por el Ministerio de Minas y Energía y el Ministerio de Ambiente y Desarrollo Sostenible a través de la Resolución 40263 del 28 de julio de 2022.</w:t>
      </w:r>
    </w:p>
    <w:p w14:paraId="4CAAF466" w14:textId="77777777" w:rsidR="001212B1" w:rsidRPr="00EF22E0" w:rsidRDefault="001212B1" w:rsidP="001212B1">
      <w:pPr>
        <w:pStyle w:val="Default"/>
        <w:spacing w:line="360" w:lineRule="auto"/>
        <w:rPr>
          <w:rFonts w:ascii="Helvetica" w:hAnsi="Helvetica" w:cs="Helvetica"/>
          <w:color w:val="auto"/>
        </w:rPr>
      </w:pPr>
    </w:p>
    <w:p w14:paraId="556EC23F"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La Resolución 40263 de 2022 tiene por objeto </w:t>
      </w:r>
      <w:r w:rsidRPr="00EF22E0">
        <w:rPr>
          <w:rFonts w:ascii="Helvetica" w:hAnsi="Helvetica" w:cs="Helvetica"/>
          <w:i/>
          <w:iCs/>
          <w:color w:val="auto"/>
        </w:rPr>
        <w:t xml:space="preserve">“expedir el reglamento técnico de emergencia para los parámetros y requisitos de calidad de los combustibles de aviación para motores tipo turbina, con el objetivo de que la comercialización de estos combustibles se cumpla bajo las condiciones de seguridad y calidad requeridas, además de mejorar la oferta de combustibles para el sector aéreo en el país. Este reglamento, además, tiene por objeto evitar que se configuren amenazas a la seguridad </w:t>
      </w:r>
      <w:r w:rsidRPr="00EF22E0">
        <w:rPr>
          <w:rFonts w:ascii="Helvetica" w:hAnsi="Helvetica" w:cs="Helvetica"/>
          <w:i/>
          <w:iCs/>
          <w:color w:val="auto"/>
        </w:rPr>
        <w:lastRenderedPageBreak/>
        <w:t>del país en tanto un desabastecimiento del combustible de aviación pondría en riesgo la prestación de otros servicios públicos esenciales como la seguridad y el transporte de alimentos y bienes de primera necesidad.”</w:t>
      </w:r>
    </w:p>
    <w:p w14:paraId="151ED8E2" w14:textId="77777777" w:rsidR="001212B1" w:rsidRPr="00EF22E0" w:rsidRDefault="001212B1" w:rsidP="001212B1">
      <w:pPr>
        <w:pStyle w:val="Default"/>
        <w:spacing w:line="360" w:lineRule="auto"/>
        <w:rPr>
          <w:rFonts w:ascii="Helvetica" w:hAnsi="Helvetica" w:cs="Helvetica"/>
          <w:color w:val="auto"/>
          <w:lang w:val="es-ES_tradnl"/>
        </w:rPr>
      </w:pPr>
    </w:p>
    <w:p w14:paraId="5B732274"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En los considerandos de esta resolución se indica que, en reuniones con diversos participantes del sector, se acordó la incorporación del combustible de aviación tipo Jet A en la oferta nacional de distribución de combustible, así como la determinación de una estrategia para actualizar la Resolución 180790 de 2002.</w:t>
      </w:r>
    </w:p>
    <w:p w14:paraId="6AFD9980" w14:textId="77777777" w:rsidR="001212B1" w:rsidRPr="00EF22E0" w:rsidRDefault="001212B1" w:rsidP="001212B1">
      <w:pPr>
        <w:pStyle w:val="Default"/>
        <w:spacing w:line="360" w:lineRule="auto"/>
        <w:rPr>
          <w:rFonts w:ascii="Helvetica" w:hAnsi="Helvetica" w:cs="Helvetica"/>
          <w:color w:val="auto"/>
        </w:rPr>
      </w:pPr>
    </w:p>
    <w:p w14:paraId="1DF6A9C8"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Además, señala la importancia de continuar con los esfuerzos destinados a reactivar la economía, en los que el transporte aéreo juega un papel importante debido a su gran potencial de crecimiento en las estrategias de conectividad a nivel regional y global.</w:t>
      </w:r>
    </w:p>
    <w:p w14:paraId="1ADC0EE3" w14:textId="77777777" w:rsidR="001212B1" w:rsidRPr="00EF22E0" w:rsidRDefault="001212B1" w:rsidP="001212B1">
      <w:pPr>
        <w:pStyle w:val="Default"/>
        <w:spacing w:line="360" w:lineRule="auto"/>
        <w:rPr>
          <w:rFonts w:ascii="Helvetica" w:hAnsi="Helvetica" w:cs="Helvetica"/>
          <w:color w:val="auto"/>
        </w:rPr>
      </w:pPr>
    </w:p>
    <w:p w14:paraId="0733DAE8"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A su vez, menciona que </w:t>
      </w:r>
      <w:r w:rsidRPr="00EF22E0">
        <w:rPr>
          <w:rFonts w:ascii="Helvetica" w:hAnsi="Helvetica" w:cs="Helvetica"/>
          <w:i/>
          <w:iCs/>
          <w:color w:val="auto"/>
        </w:rPr>
        <w:t>“(…) el uso de los combustibles tipo Jet A para motores tipo turbina permitiría ampliar la canasta de productos necesarios para garantizar la satisfacción de necesidades esenciales como las planteadas anteriormente, así como la seguridad energética en el país, pues la industria de aviación tendría al menos un sustituto del JET A-1 cuyo acceso hoy se encuentra sustancialmente limitado por virtud de su precio (…)”</w:t>
      </w:r>
    </w:p>
    <w:p w14:paraId="6B61B1D9" w14:textId="77777777" w:rsidR="001212B1" w:rsidRPr="00EF22E0" w:rsidRDefault="001212B1" w:rsidP="001212B1">
      <w:pPr>
        <w:pStyle w:val="Default"/>
        <w:spacing w:line="360" w:lineRule="auto"/>
        <w:rPr>
          <w:rFonts w:ascii="Helvetica" w:hAnsi="Helvetica" w:cs="Helvetica"/>
          <w:color w:val="auto"/>
          <w:lang w:val="es-ES_tradnl"/>
        </w:rPr>
      </w:pPr>
    </w:p>
    <w:p w14:paraId="1DF0BB2F"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 xml:space="preserve">De igual forma, se destaca como antecedente que, la Dirección de Hidrocarburos del Ministerio de Minas y Energía emitió el concepto técnico con radicado 3-2022- 017709 del 18 de julio de 2022 en el que informó, entre otros aspectos, que </w:t>
      </w:r>
      <w:r w:rsidRPr="00EF22E0">
        <w:rPr>
          <w:rFonts w:ascii="Helvetica" w:hAnsi="Helvetica" w:cs="Helvetica"/>
          <w:i/>
          <w:color w:val="auto"/>
          <w:lang w:val="es-ES"/>
        </w:rPr>
        <w:t xml:space="preserve">“(…) este sector ha enfatizado la necesidad de ampliar la oferta de combustibles de aviación para motores tipo turbina, debido, principalmente, a los altos costos logísticos y operativos en la importación del combustible tipo Jet A-1. Actualmente en Colombia, se están asumiendo esos elevados costos de importación cuando la demanda de este combustible supera la oferta nacional. Por lo que esta Dirección ve necesaria la implementación de la alternativa del uso del combustible de aviación denominado Jet A. </w:t>
      </w:r>
      <w:r w:rsidRPr="00EF22E0">
        <w:rPr>
          <w:rFonts w:ascii="Helvetica" w:hAnsi="Helvetica" w:cs="Helvetica"/>
          <w:i/>
          <w:color w:val="auto"/>
          <w:lang w:val="es-ES"/>
        </w:rPr>
        <w:lastRenderedPageBreak/>
        <w:t>Lo anterior, teniendo en cuenta que sus características fisicoquímicas son similares a las del combustible Jet A-1 actualmente utilizado en Colombia, y que, adicionalmente, el combustible Jet A se asocia a un menor costo de producción. (…)”</w:t>
      </w:r>
    </w:p>
    <w:p w14:paraId="3749BC89" w14:textId="77777777" w:rsidR="001212B1" w:rsidRPr="00EF22E0" w:rsidRDefault="001212B1" w:rsidP="001212B1">
      <w:pPr>
        <w:pStyle w:val="Default"/>
        <w:spacing w:line="360" w:lineRule="auto"/>
        <w:rPr>
          <w:rFonts w:ascii="Helvetica" w:hAnsi="Helvetica" w:cs="Helvetica"/>
          <w:color w:val="auto"/>
        </w:rPr>
      </w:pPr>
    </w:p>
    <w:p w14:paraId="22D2B208"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Esta resolución aplica a los </w:t>
      </w:r>
      <w:r w:rsidRPr="00EF22E0">
        <w:rPr>
          <w:rFonts w:ascii="Helvetica" w:hAnsi="Helvetica" w:cs="Helvetica"/>
          <w:i/>
          <w:iCs/>
          <w:color w:val="auto"/>
        </w:rPr>
        <w:t>“(…) productores nacionales, importadores, refinadores, distribuidores mayoristas, distribuidores minoristas, transportadores, almacenadores y grandes consumidores que produzcan, importen, transporten, almacenen, distribuyan o consuman combustibles de aviación para motores tipo turbina, así como a las personas y entidades que tengan interés en el tema que se regula (…)”</w:t>
      </w:r>
    </w:p>
    <w:p w14:paraId="0804A3B8" w14:textId="77777777" w:rsidR="001212B1" w:rsidRPr="00EF22E0" w:rsidRDefault="001212B1" w:rsidP="001212B1">
      <w:pPr>
        <w:pStyle w:val="Default"/>
        <w:spacing w:line="360" w:lineRule="auto"/>
        <w:rPr>
          <w:rFonts w:ascii="Helvetica" w:hAnsi="Helvetica" w:cs="Helvetica"/>
          <w:color w:val="auto"/>
        </w:rPr>
      </w:pPr>
    </w:p>
    <w:p w14:paraId="35096FE9"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Adicionalmente, se indican las normas de calidad que deben cumplirse, como se tomarán las muestras de combustibles de aviación para motores de turbinas, así como la organización encargada de supervisar y controlar y el régimen sancionatorio.</w:t>
      </w:r>
    </w:p>
    <w:p w14:paraId="4616FB9C" w14:textId="77777777" w:rsidR="001212B1" w:rsidRPr="00EF22E0" w:rsidRDefault="001212B1" w:rsidP="001212B1">
      <w:pPr>
        <w:pStyle w:val="Default"/>
        <w:spacing w:line="360" w:lineRule="auto"/>
        <w:rPr>
          <w:rFonts w:ascii="Helvetica" w:hAnsi="Helvetica" w:cs="Helvetica"/>
          <w:color w:val="auto"/>
        </w:rPr>
      </w:pPr>
    </w:p>
    <w:p w14:paraId="7ABF71D3"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 xml:space="preserve">En el numeral 7 de la parte resolutiva menciona que </w:t>
      </w:r>
      <w:r w:rsidRPr="00EF22E0">
        <w:rPr>
          <w:rFonts w:ascii="Helvetica" w:hAnsi="Helvetica" w:cs="Helvetica"/>
          <w:i/>
          <w:color w:val="auto"/>
          <w:lang w:val="es-ES"/>
        </w:rPr>
        <w:t>“(…) tendrá la vigencia establecida en el artículo 2.2.1.7.5.12 del Decreto 1074 de 2015”</w:t>
      </w:r>
      <w:r w:rsidRPr="00EF22E0">
        <w:rPr>
          <w:rFonts w:ascii="Helvetica" w:hAnsi="Helvetica" w:cs="Helvetica"/>
          <w:color w:val="auto"/>
          <w:lang w:val="es-ES"/>
        </w:rPr>
        <w:t>, es decir, el de doce (12) meses prorrogables hasta por seis (6) meses más. Al respecto, Ministerio de Minas y Energía y el Ministerio de Ambiente y Desarrollo Sostenible mediante la Resolución 40481 del 28 de julio de 2023 publicada en el diario oficial el 31 del mismo mes y año, prorrogaron la vigencia del reglamento técnico de emergencia (Resolución número 40263 de 2022), por el término de seis (6) meses.</w:t>
      </w:r>
    </w:p>
    <w:p w14:paraId="1D7EA9E9" w14:textId="77777777" w:rsidR="001212B1" w:rsidRPr="00EF22E0" w:rsidRDefault="001212B1" w:rsidP="001212B1">
      <w:pPr>
        <w:pStyle w:val="Default"/>
        <w:spacing w:line="360" w:lineRule="auto"/>
        <w:rPr>
          <w:rFonts w:ascii="Helvetica" w:hAnsi="Helvetica" w:cs="Helvetica"/>
          <w:color w:val="auto"/>
        </w:rPr>
      </w:pPr>
    </w:p>
    <w:p w14:paraId="1F4905AC"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Con base en lo expuesto, el Ministerio de Minas y Energía y el Ministerio de Ambiente y Desarrollo Sostenible establecieron condiciones temporales para incluir el combustible de aviación tipo Jet A en la oferta de distribución de combustible debido a sus condiciones de precio, competitividad y calidad.</w:t>
      </w:r>
    </w:p>
    <w:p w14:paraId="4F6B4989" w14:textId="77777777" w:rsidR="001212B1" w:rsidRPr="00EF22E0" w:rsidRDefault="001212B1" w:rsidP="001212B1">
      <w:pPr>
        <w:pStyle w:val="Default"/>
        <w:spacing w:line="360" w:lineRule="auto"/>
        <w:rPr>
          <w:rFonts w:ascii="Helvetica" w:hAnsi="Helvetica" w:cs="Helvetica"/>
          <w:color w:val="auto"/>
        </w:rPr>
      </w:pPr>
    </w:p>
    <w:p w14:paraId="0FDCB1B1" w14:textId="77777777" w:rsidR="00291D0D"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lastRenderedPageBreak/>
        <w:t>En paralelo, estos mismos Ministerios, desarrollaron el Análisis de Impacto Normativo para expedir el reglamento técnico que adopta los requisitos y parámetros de calidad de los combustibles de aviación para motores tipo turbina y se adoptan otras disposiciones</w:t>
      </w:r>
      <w:r w:rsidR="00587E7A">
        <w:rPr>
          <w:rFonts w:ascii="Helvetica" w:hAnsi="Helvetica" w:cs="Helvetica"/>
          <w:color w:val="auto"/>
          <w:lang w:val="es-ES"/>
        </w:rPr>
        <w:t>.</w:t>
      </w:r>
      <w:r w:rsidRPr="00EF22E0">
        <w:rPr>
          <w:rFonts w:ascii="Helvetica" w:hAnsi="Helvetica" w:cs="Helvetica"/>
          <w:color w:val="auto"/>
          <w:lang w:val="es-ES"/>
        </w:rPr>
        <w:t xml:space="preserve"> </w:t>
      </w:r>
    </w:p>
    <w:p w14:paraId="408047AD" w14:textId="77777777" w:rsidR="00291D0D" w:rsidRDefault="00291D0D" w:rsidP="001212B1">
      <w:pPr>
        <w:pStyle w:val="Default"/>
        <w:spacing w:line="360" w:lineRule="auto"/>
        <w:rPr>
          <w:rFonts w:ascii="Helvetica" w:hAnsi="Helvetica" w:cs="Helvetica"/>
          <w:color w:val="auto"/>
          <w:lang w:val="es-ES"/>
        </w:rPr>
      </w:pPr>
    </w:p>
    <w:p w14:paraId="61F0F37F" w14:textId="20999F48" w:rsidR="001212B1" w:rsidRPr="00EF22E0" w:rsidRDefault="00587E7A" w:rsidP="001212B1">
      <w:pPr>
        <w:pStyle w:val="Default"/>
        <w:spacing w:line="360" w:lineRule="auto"/>
        <w:rPr>
          <w:rFonts w:ascii="Helvetica" w:hAnsi="Helvetica" w:cs="Helvetica"/>
          <w:color w:val="auto"/>
          <w:lang w:val="es-ES"/>
        </w:rPr>
      </w:pPr>
      <w:r>
        <w:rPr>
          <w:rFonts w:ascii="Helvetica" w:hAnsi="Helvetica" w:cs="Helvetica"/>
          <w:color w:val="auto"/>
          <w:lang w:val="es-ES"/>
        </w:rPr>
        <w:t xml:space="preserve">Para </w:t>
      </w:r>
      <w:r w:rsidR="001212B1" w:rsidRPr="00EF22E0">
        <w:rPr>
          <w:rFonts w:ascii="Helvetica" w:hAnsi="Helvetica" w:cs="Helvetica"/>
          <w:color w:val="auto"/>
          <w:lang w:val="es-ES"/>
        </w:rPr>
        <w:t>recibir observaciones y comentarios de los interesados, fue publicado el proyecto de resolución</w:t>
      </w:r>
      <w:r w:rsidR="001212B1" w:rsidRPr="00EF22E0">
        <w:rPr>
          <w:rFonts w:ascii="Helvetica" w:hAnsi="Helvetica" w:cs="Helvetica"/>
          <w:color w:val="auto"/>
          <w:vertAlign w:val="superscript"/>
          <w:lang w:val="es-ES"/>
        </w:rPr>
        <w:footnoteReference w:id="6"/>
      </w:r>
      <w:r w:rsidR="001212B1" w:rsidRPr="00EF22E0">
        <w:rPr>
          <w:rFonts w:ascii="Helvetica" w:hAnsi="Helvetica" w:cs="Helvetica"/>
          <w:color w:val="auto"/>
          <w:lang w:val="es-ES"/>
        </w:rPr>
        <w:t xml:space="preserve">, </w:t>
      </w:r>
      <w:r w:rsidR="001212B1">
        <w:rPr>
          <w:rFonts w:ascii="Helvetica" w:hAnsi="Helvetica" w:cs="Helvetica"/>
          <w:color w:val="auto"/>
          <w:lang w:val="es-ES"/>
        </w:rPr>
        <w:t>el</w:t>
      </w:r>
      <w:r w:rsidR="001212B1" w:rsidRPr="00EF22E0">
        <w:rPr>
          <w:rFonts w:ascii="Helvetica" w:hAnsi="Helvetica" w:cs="Helvetica"/>
          <w:color w:val="auto"/>
          <w:lang w:val="es-ES"/>
        </w:rPr>
        <w:t xml:space="preserve"> cual tiene por objeto adoptar el reglamento técnico que contiene los requisitos y parámetros de calidad de los combustibles de aviación para motores tipo turbina, con el objetivo de que la producción, importación, distribución y comercialización de estos combustibles se cumpla bajo las condiciones de seguridad y calidad requeridas, además de ampliar la oferta de combustibles para el sector aeronáutico en el territorio nacional.</w:t>
      </w:r>
    </w:p>
    <w:p w14:paraId="73BA2A19" w14:textId="77777777" w:rsidR="001212B1" w:rsidRPr="00EF22E0" w:rsidRDefault="001212B1" w:rsidP="001212B1">
      <w:pPr>
        <w:pStyle w:val="Default"/>
        <w:spacing w:line="360" w:lineRule="auto"/>
        <w:rPr>
          <w:rFonts w:ascii="Helvetica" w:hAnsi="Helvetica" w:cs="Helvetica"/>
          <w:color w:val="auto"/>
        </w:rPr>
      </w:pPr>
    </w:p>
    <w:p w14:paraId="47EDEE8D" w14:textId="77777777" w:rsidR="001212B1" w:rsidRPr="00EF22E0" w:rsidRDefault="001212B1" w:rsidP="001212B1">
      <w:pPr>
        <w:pStyle w:val="Ttulo3"/>
        <w:numPr>
          <w:ilvl w:val="2"/>
          <w:numId w:val="1"/>
        </w:numPr>
        <w:rPr>
          <w:rFonts w:ascii="Helvetica" w:hAnsi="Helvetica" w:cs="Helvetica"/>
          <w:szCs w:val="24"/>
        </w:rPr>
      </w:pPr>
      <w:r w:rsidRPr="00EF22E0">
        <w:rPr>
          <w:rFonts w:ascii="Helvetica" w:hAnsi="Helvetica" w:cs="Helvetica"/>
          <w:szCs w:val="24"/>
        </w:rPr>
        <w:t>Funciones regulatorias de la CREG respecto del sector de combustibles líquidos.</w:t>
      </w:r>
    </w:p>
    <w:p w14:paraId="0DE57F9A" w14:textId="77777777" w:rsidR="001212B1" w:rsidRPr="00EF22E0" w:rsidRDefault="001212B1" w:rsidP="001212B1">
      <w:pPr>
        <w:pStyle w:val="Default"/>
        <w:spacing w:line="360" w:lineRule="auto"/>
        <w:rPr>
          <w:rFonts w:ascii="Helvetica" w:hAnsi="Helvetica" w:cs="Helvetica"/>
          <w:color w:val="auto"/>
        </w:rPr>
      </w:pPr>
    </w:p>
    <w:p w14:paraId="385CEB65"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El 3 de noviembre de 2011 se emitió el Decreto 4130 que reasignó algunas funciones del Ministerio de Minas y Energía a diversas entidades del sector. </w:t>
      </w:r>
    </w:p>
    <w:p w14:paraId="5FBF6139" w14:textId="77777777" w:rsidR="001212B1" w:rsidRPr="00EF22E0" w:rsidRDefault="001212B1" w:rsidP="001212B1">
      <w:pPr>
        <w:pStyle w:val="Default"/>
        <w:spacing w:line="360" w:lineRule="auto"/>
        <w:rPr>
          <w:rFonts w:ascii="Helvetica" w:hAnsi="Helvetica" w:cs="Helvetica"/>
          <w:color w:val="auto"/>
        </w:rPr>
      </w:pPr>
    </w:p>
    <w:p w14:paraId="4C01B840"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En el artículo 3, se reasignaron, en lo pertinente, a la Comisión de Regulación de Energía y Gas las siguientes funciones:</w:t>
      </w:r>
    </w:p>
    <w:p w14:paraId="79064258" w14:textId="77777777" w:rsidR="001212B1" w:rsidRPr="00EF22E0" w:rsidRDefault="001212B1" w:rsidP="001212B1">
      <w:pPr>
        <w:pStyle w:val="Default"/>
        <w:spacing w:line="360" w:lineRule="auto"/>
        <w:rPr>
          <w:rFonts w:ascii="Helvetica" w:hAnsi="Helvetica" w:cs="Helvetica"/>
          <w:color w:val="auto"/>
        </w:rPr>
      </w:pPr>
    </w:p>
    <w:p w14:paraId="002C14AC"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“…1. Fijar los precios de los productos derivados del petróleo a lo largo de toda la cadena de producción y distribución, salvo para gasolina motor corriente, ACPM y biocombustibles.”</w:t>
      </w:r>
    </w:p>
    <w:p w14:paraId="3621B0C6" w14:textId="77777777" w:rsidR="001212B1" w:rsidRPr="00EF22E0" w:rsidRDefault="001212B1" w:rsidP="001212B1">
      <w:pPr>
        <w:pStyle w:val="Default"/>
        <w:spacing w:line="360" w:lineRule="auto"/>
        <w:ind w:left="426"/>
        <w:rPr>
          <w:rFonts w:ascii="Helvetica" w:hAnsi="Helvetica" w:cs="Helvetica"/>
          <w:color w:val="auto"/>
        </w:rPr>
      </w:pPr>
    </w:p>
    <w:p w14:paraId="45876ECD" w14:textId="77777777" w:rsidR="001212B1" w:rsidRPr="00EF22E0" w:rsidRDefault="001212B1" w:rsidP="001212B1">
      <w:pPr>
        <w:pStyle w:val="Default"/>
        <w:spacing w:line="360" w:lineRule="auto"/>
        <w:ind w:left="426"/>
        <w:rPr>
          <w:rFonts w:ascii="Helvetica" w:hAnsi="Helvetica" w:cs="Helvetica"/>
          <w:color w:val="auto"/>
          <w:lang w:val="es-ES"/>
        </w:rPr>
      </w:pPr>
      <w:r w:rsidRPr="3CB43807">
        <w:rPr>
          <w:rFonts w:ascii="Helvetica" w:hAnsi="Helvetica" w:cs="Helvetica"/>
          <w:color w:val="auto"/>
          <w:lang w:val="es-ES"/>
        </w:rPr>
        <w:t xml:space="preserve">“…2. Determinar los parámetros y la metodología para calcular el precio de los combustibles, teniendo en cuenta el margen de comercialización, el porcentaje de </w:t>
      </w:r>
      <w:r w:rsidRPr="3CB43807">
        <w:rPr>
          <w:rFonts w:ascii="Helvetica" w:hAnsi="Helvetica" w:cs="Helvetica"/>
          <w:color w:val="auto"/>
          <w:lang w:val="es-ES"/>
        </w:rPr>
        <w:lastRenderedPageBreak/>
        <w:t>evaporación, pérdida o cualquier otro concepto que afecte el volumen de los mismos”</w:t>
      </w:r>
    </w:p>
    <w:p w14:paraId="77B292A6" w14:textId="77777777" w:rsidR="001212B1" w:rsidRPr="00EF22E0" w:rsidRDefault="001212B1" w:rsidP="001212B1">
      <w:pPr>
        <w:pStyle w:val="Default"/>
        <w:spacing w:line="360" w:lineRule="auto"/>
        <w:ind w:left="426"/>
        <w:rPr>
          <w:rFonts w:ascii="Helvetica" w:hAnsi="Helvetica" w:cs="Helvetica"/>
          <w:color w:val="auto"/>
        </w:rPr>
      </w:pPr>
    </w:p>
    <w:p w14:paraId="18B0E4E4" w14:textId="77777777" w:rsidR="001212B1" w:rsidRPr="00EF22E0" w:rsidRDefault="001212B1" w:rsidP="001212B1">
      <w:pPr>
        <w:pStyle w:val="Default"/>
        <w:spacing w:line="360" w:lineRule="auto"/>
        <w:ind w:left="426"/>
        <w:rPr>
          <w:rFonts w:ascii="Helvetica" w:hAnsi="Helvetica" w:cs="Helvetica"/>
          <w:color w:val="auto"/>
        </w:rPr>
      </w:pPr>
      <w:r w:rsidRPr="00EF22E0">
        <w:rPr>
          <w:rFonts w:ascii="Helvetica" w:hAnsi="Helvetica" w:cs="Helvetica"/>
          <w:color w:val="auto"/>
        </w:rPr>
        <w:t>“…5. Regular las actividades de refinación, importación, almacenamiento, distribución y transporte de los combustibles líquidos derivados del petróleo.”</w:t>
      </w:r>
    </w:p>
    <w:p w14:paraId="5549B899" w14:textId="77777777" w:rsidR="001212B1" w:rsidRPr="00EF22E0" w:rsidRDefault="001212B1" w:rsidP="001212B1">
      <w:pPr>
        <w:pStyle w:val="Default"/>
        <w:spacing w:line="360" w:lineRule="auto"/>
        <w:rPr>
          <w:rFonts w:ascii="Helvetica" w:hAnsi="Helvetica" w:cs="Helvetica"/>
          <w:color w:val="auto"/>
        </w:rPr>
      </w:pPr>
    </w:p>
    <w:p w14:paraId="083BA126"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Posteriormente, la Comisión fue reestructurada mediante el Decreto 1260 del 17 de junio de 2013. En el artículo 4, literal b de la sección "Funciones en relación con el sector combustibles líquidos derivados del petróleo" estableció:</w:t>
      </w:r>
    </w:p>
    <w:p w14:paraId="72A1E0EE" w14:textId="77777777" w:rsidR="001212B1" w:rsidRPr="00EF22E0" w:rsidRDefault="001212B1" w:rsidP="001212B1">
      <w:pPr>
        <w:pStyle w:val="Default"/>
        <w:spacing w:line="360" w:lineRule="auto"/>
        <w:rPr>
          <w:rFonts w:ascii="Helvetica" w:hAnsi="Helvetica" w:cs="Helvetica"/>
          <w:color w:val="auto"/>
        </w:rPr>
      </w:pPr>
    </w:p>
    <w:p w14:paraId="473EF828" w14:textId="77777777" w:rsidR="001212B1" w:rsidRPr="00EF22E0" w:rsidRDefault="001212B1" w:rsidP="001212B1">
      <w:pPr>
        <w:pStyle w:val="pa8"/>
        <w:spacing w:before="0" w:beforeAutospacing="0" w:after="0" w:afterAutospacing="0" w:line="360" w:lineRule="auto"/>
        <w:ind w:left="426"/>
        <w:rPr>
          <w:rFonts w:ascii="Helvetica" w:hAnsi="Helvetica" w:cs="Helvetica"/>
        </w:rPr>
      </w:pPr>
      <w:r w:rsidRPr="00EF22E0">
        <w:rPr>
          <w:rFonts w:ascii="Helvetica" w:hAnsi="Helvetica" w:cs="Helvetica"/>
        </w:rPr>
        <w:t>“1. Expedir la regulación económica referente a las actividades de refinación, importación, almacenamiento, distribución, y transporte de combustibles líquidos derivados de hidrocarburos, tales como gasolina motor corriente, ACPM, Jet A1, diésel marino, avigas, gasolina extra, kerosene, entre otros, salvo fijar los precios para gasolina motor corriente y ACPM.</w:t>
      </w:r>
    </w:p>
    <w:p w14:paraId="55C2ED5F" w14:textId="77777777" w:rsidR="001212B1" w:rsidRPr="00EF22E0" w:rsidRDefault="001212B1" w:rsidP="001212B1">
      <w:pPr>
        <w:pStyle w:val="pa8"/>
        <w:spacing w:before="0" w:beforeAutospacing="0" w:after="0" w:afterAutospacing="0" w:line="360" w:lineRule="auto"/>
        <w:ind w:left="426" w:right="617"/>
        <w:rPr>
          <w:rFonts w:ascii="Helvetica" w:hAnsi="Helvetica" w:cs="Helvetica"/>
        </w:rPr>
      </w:pPr>
    </w:p>
    <w:p w14:paraId="3219435C" w14:textId="77777777" w:rsidR="001212B1" w:rsidRPr="00EF22E0" w:rsidRDefault="001212B1" w:rsidP="001212B1">
      <w:pPr>
        <w:pStyle w:val="pa8"/>
        <w:spacing w:before="0" w:beforeAutospacing="0" w:after="0" w:afterAutospacing="0" w:line="360" w:lineRule="auto"/>
        <w:ind w:left="426" w:right="617"/>
        <w:rPr>
          <w:rFonts w:ascii="Helvetica" w:hAnsi="Helvetica" w:cs="Helvetica"/>
        </w:rPr>
      </w:pPr>
      <w:r w:rsidRPr="00EF22E0">
        <w:rPr>
          <w:rFonts w:ascii="Helvetica" w:hAnsi="Helvetica" w:cs="Helvetica"/>
        </w:rPr>
        <w:t>(…) 5. Definir la metodología y establecer las fórmulas para la fijación de los precios y las tarifas de las actividades de refinación, importación, almacenamiento, distribución y transporte de los combustibles líquidos derivados de hidrocarburos, diferentes al precio de ingreso al productor y de venta al público de la gasolina motor corriente, el ACPM y los biocombustibles.”</w:t>
      </w:r>
    </w:p>
    <w:p w14:paraId="0E39DED7" w14:textId="77777777" w:rsidR="001212B1" w:rsidRPr="00EF22E0" w:rsidRDefault="001212B1" w:rsidP="001212B1">
      <w:pPr>
        <w:pStyle w:val="Default"/>
        <w:spacing w:line="360" w:lineRule="auto"/>
        <w:rPr>
          <w:rFonts w:ascii="Helvetica" w:hAnsi="Helvetica" w:cs="Helvetica"/>
          <w:color w:val="auto"/>
        </w:rPr>
      </w:pPr>
    </w:p>
    <w:p w14:paraId="5D269D58"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Después, el artículo 35 de la Ley 1955 del 25 de mayo de 2019</w:t>
      </w:r>
      <w:r w:rsidRPr="00EF22E0">
        <w:rPr>
          <w:rStyle w:val="Refdenotaalpie"/>
          <w:rFonts w:ascii="Helvetica" w:hAnsi="Helvetica" w:cs="Helvetica"/>
          <w:color w:val="auto"/>
        </w:rPr>
        <w:footnoteReference w:id="7"/>
      </w:r>
      <w:r w:rsidRPr="00EF22E0">
        <w:rPr>
          <w:rFonts w:ascii="Helvetica" w:hAnsi="Helvetica" w:cs="Helvetica"/>
          <w:color w:val="auto"/>
        </w:rPr>
        <w:t xml:space="preserve">, otorgó al Ministerio de Minas y Energía, al Ministerio de Hacienda y Crédito, o a una entidad designada por ellos, algunas de las funciones de la CREG. En particular, la determinación de los ingresos a reconocerse a los productores de combustibles líquidos y biocombustibles, </w:t>
      </w:r>
      <w:r w:rsidRPr="00EF22E0">
        <w:rPr>
          <w:rFonts w:ascii="Helvetica" w:hAnsi="Helvetica" w:cs="Helvetica"/>
          <w:color w:val="auto"/>
        </w:rPr>
        <w:lastRenderedPageBreak/>
        <w:t>así como los costos y beneficios relacionados con el pago de toda la cadena de transporte, logística, comercialización y distribución de dichos combustibles.</w:t>
      </w:r>
    </w:p>
    <w:p w14:paraId="2D6F1E7F" w14:textId="77777777" w:rsidR="001212B1" w:rsidRPr="00EF22E0" w:rsidRDefault="001212B1" w:rsidP="001212B1">
      <w:pPr>
        <w:pStyle w:val="Default"/>
        <w:spacing w:line="360" w:lineRule="auto"/>
        <w:rPr>
          <w:rFonts w:ascii="Helvetica" w:hAnsi="Helvetica" w:cs="Helvetica"/>
          <w:color w:val="auto"/>
        </w:rPr>
      </w:pPr>
    </w:p>
    <w:p w14:paraId="1AF1CCB3" w14:textId="536FD4BD"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 xml:space="preserve">Con base en </w:t>
      </w:r>
      <w:r w:rsidR="00987B12">
        <w:rPr>
          <w:rFonts w:ascii="Helvetica" w:hAnsi="Helvetica" w:cs="Helvetica"/>
          <w:color w:val="auto"/>
          <w:lang w:val="es-ES"/>
        </w:rPr>
        <w:t>lo anterior</w:t>
      </w:r>
      <w:r w:rsidRPr="00EF22E0">
        <w:rPr>
          <w:rFonts w:ascii="Helvetica" w:hAnsi="Helvetica" w:cs="Helvetica"/>
          <w:color w:val="auto"/>
          <w:lang w:val="es-ES"/>
        </w:rPr>
        <w:t>, los ministerios mencionados en el artículo 35</w:t>
      </w:r>
      <w:r w:rsidR="00794C14">
        <w:rPr>
          <w:rStyle w:val="Refdenotaalpie"/>
          <w:rFonts w:ascii="Helvetica" w:hAnsi="Helvetica" w:cs="Helvetica"/>
          <w:color w:val="auto"/>
          <w:lang w:val="es-ES"/>
        </w:rPr>
        <w:footnoteReference w:id="8"/>
      </w:r>
      <w:r w:rsidRPr="00EF22E0">
        <w:rPr>
          <w:rFonts w:ascii="Helvetica" w:hAnsi="Helvetica" w:cs="Helvetica"/>
          <w:color w:val="auto"/>
          <w:lang w:val="es-ES"/>
        </w:rPr>
        <w:t xml:space="preserve"> de la Ley 1955 de 2019 emitieron la Resolución MME 40193 del 21 de junio de 2021, que delegó las funciones de regulación del sector de combustibles líquidos a la CREG. En lo que respecta al combustible de aviación Jet A-1, se estableció en el parágrafo 5 del artículo 1 que la Comisión será responsable de evaluar los componentes de la estructura de precios del combustible de aviación Jet A-1, de acuerdo con lo establecido en el artículo 116 de la Ley 1450 de 2011 o las normas que lo modifiquen o sustituyan.</w:t>
      </w:r>
    </w:p>
    <w:p w14:paraId="4946AB58" w14:textId="77777777" w:rsidR="001212B1" w:rsidRPr="00EF22E0" w:rsidRDefault="001212B1" w:rsidP="001212B1">
      <w:pPr>
        <w:pStyle w:val="Default"/>
        <w:spacing w:line="360" w:lineRule="auto"/>
        <w:rPr>
          <w:rFonts w:ascii="Helvetica" w:hAnsi="Helvetica" w:cs="Helvetica"/>
          <w:color w:val="auto"/>
        </w:rPr>
      </w:pPr>
    </w:p>
    <w:p w14:paraId="37283147"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Para el ejercicio de las funciones delegadas, en su artículo segundo, describió los criterios orientadores, que deben considerarse en el análisis regulatorio así:</w:t>
      </w:r>
    </w:p>
    <w:p w14:paraId="1BF73042" w14:textId="77777777" w:rsidR="001212B1" w:rsidRPr="00EF22E0" w:rsidRDefault="001212B1" w:rsidP="001212B1">
      <w:pPr>
        <w:pStyle w:val="Default"/>
        <w:spacing w:line="360" w:lineRule="auto"/>
        <w:rPr>
          <w:rFonts w:ascii="Helvetica" w:hAnsi="Helvetica" w:cs="Helvetica"/>
          <w:i/>
          <w:color w:val="auto"/>
        </w:rPr>
      </w:pPr>
    </w:p>
    <w:p w14:paraId="7503280B" w14:textId="77777777" w:rsidR="001212B1" w:rsidRPr="00EF22E0" w:rsidRDefault="001212B1" w:rsidP="001212B1">
      <w:pPr>
        <w:pStyle w:val="Default"/>
        <w:spacing w:line="360" w:lineRule="auto"/>
        <w:ind w:left="426" w:right="333"/>
        <w:rPr>
          <w:rFonts w:ascii="Helvetica" w:hAnsi="Helvetica" w:cs="Helvetica"/>
          <w:color w:val="auto"/>
        </w:rPr>
      </w:pPr>
      <w:r w:rsidRPr="00EF22E0">
        <w:rPr>
          <w:rFonts w:ascii="Helvetica" w:hAnsi="Helvetica" w:cs="Helvetica"/>
          <w:color w:val="auto"/>
        </w:rPr>
        <w:t xml:space="preserve">“1. Promover la prestación continua e ininterrumpida del servicio público de distribución de combustibles líquidos y biocombustibles, y demás actividades de la cadena. </w:t>
      </w:r>
    </w:p>
    <w:p w14:paraId="1524268F" w14:textId="77777777" w:rsidR="001212B1" w:rsidRPr="00EF22E0" w:rsidRDefault="001212B1" w:rsidP="001212B1">
      <w:pPr>
        <w:pStyle w:val="Default"/>
        <w:spacing w:line="360" w:lineRule="auto"/>
        <w:ind w:left="426" w:right="333"/>
        <w:rPr>
          <w:rFonts w:ascii="Helvetica" w:hAnsi="Helvetica" w:cs="Helvetica"/>
          <w:color w:val="auto"/>
        </w:rPr>
      </w:pPr>
      <w:r w:rsidRPr="00EF22E0">
        <w:rPr>
          <w:rFonts w:ascii="Helvetica" w:hAnsi="Helvetica" w:cs="Helvetica"/>
          <w:color w:val="auto"/>
        </w:rPr>
        <w:t>2. Incentivar y promover la eficiencia e innovación tecnológica en las actividades que constituyen la cadena de distribución y comercialización de combustibles líquidos y biocombustibles.</w:t>
      </w:r>
    </w:p>
    <w:p w14:paraId="26E7F978" w14:textId="77777777" w:rsidR="001212B1" w:rsidRPr="00EF22E0" w:rsidRDefault="001212B1" w:rsidP="001212B1">
      <w:pPr>
        <w:pStyle w:val="Default"/>
        <w:spacing w:line="360" w:lineRule="auto"/>
        <w:ind w:left="426" w:right="333"/>
        <w:rPr>
          <w:rFonts w:ascii="Helvetica" w:hAnsi="Helvetica" w:cs="Helvetica"/>
          <w:color w:val="auto"/>
          <w:lang w:val="es-ES"/>
        </w:rPr>
      </w:pPr>
      <w:r w:rsidRPr="00EF22E0">
        <w:rPr>
          <w:rFonts w:ascii="Helvetica" w:hAnsi="Helvetica" w:cs="Helvetica"/>
          <w:color w:val="auto"/>
          <w:lang w:val="es-ES"/>
        </w:rPr>
        <w:t xml:space="preserve">3. Fomentar la seguridad y confiabilidad en el desarrollo de cada una de las actividades que realizan los agentes de la cadena de distribución de combustibles líquidos y biocombustibles, en aras de darle continuidad al abastecimiento. </w:t>
      </w:r>
    </w:p>
    <w:p w14:paraId="2C5A28F1" w14:textId="77777777" w:rsidR="001212B1" w:rsidRPr="00EF22E0" w:rsidRDefault="001212B1" w:rsidP="001212B1">
      <w:pPr>
        <w:pStyle w:val="Default"/>
        <w:spacing w:line="360" w:lineRule="auto"/>
        <w:ind w:left="426" w:right="333"/>
        <w:rPr>
          <w:rFonts w:ascii="Helvetica" w:hAnsi="Helvetica" w:cs="Helvetica"/>
          <w:color w:val="auto"/>
        </w:rPr>
      </w:pPr>
      <w:r w:rsidRPr="00EF22E0">
        <w:rPr>
          <w:rFonts w:ascii="Helvetica" w:hAnsi="Helvetica" w:cs="Helvetica"/>
          <w:color w:val="auto"/>
        </w:rPr>
        <w:t xml:space="preserve">4. Promover la libre competencia, el libre acceso al mercado y el no abuso de la posición dominante. </w:t>
      </w:r>
    </w:p>
    <w:p w14:paraId="19E16FCF" w14:textId="77777777" w:rsidR="001212B1" w:rsidRPr="00EF22E0" w:rsidRDefault="001212B1" w:rsidP="001212B1">
      <w:pPr>
        <w:pStyle w:val="Default"/>
        <w:spacing w:line="360" w:lineRule="auto"/>
        <w:ind w:left="426" w:right="333"/>
        <w:rPr>
          <w:rFonts w:ascii="Helvetica" w:hAnsi="Helvetica" w:cs="Helvetica"/>
          <w:color w:val="auto"/>
        </w:rPr>
      </w:pPr>
      <w:r w:rsidRPr="00EF22E0">
        <w:rPr>
          <w:rFonts w:ascii="Helvetica" w:hAnsi="Helvetica" w:cs="Helvetica"/>
          <w:color w:val="auto"/>
        </w:rPr>
        <w:lastRenderedPageBreak/>
        <w:t xml:space="preserve">5. Reconocer la existencia de regímenes económicos especiales en algunas zonas del país según lo determine el ordenamiento jurídico. </w:t>
      </w:r>
    </w:p>
    <w:p w14:paraId="788B0BE6" w14:textId="77777777" w:rsidR="001212B1" w:rsidRPr="00EF22E0" w:rsidRDefault="001212B1" w:rsidP="001212B1">
      <w:pPr>
        <w:spacing w:line="360" w:lineRule="auto"/>
        <w:ind w:left="426" w:right="333"/>
        <w:jc w:val="left"/>
        <w:rPr>
          <w:rFonts w:ascii="Helvetica" w:hAnsi="Helvetica" w:cs="Helvetica"/>
          <w:szCs w:val="24"/>
          <w:lang w:eastAsia="es-CO"/>
        </w:rPr>
      </w:pPr>
      <w:r w:rsidRPr="00EF22E0">
        <w:rPr>
          <w:rFonts w:ascii="Helvetica" w:hAnsi="Helvetica" w:cs="Helvetica"/>
          <w:szCs w:val="24"/>
        </w:rPr>
        <w:t>6. Fomentar la expansión de la infraestructura asociada a la cobertura y prestación del servicio público de distribución de combustibles líquidos y biocombustibles.”</w:t>
      </w:r>
    </w:p>
    <w:p w14:paraId="09545D23" w14:textId="77777777" w:rsidR="001212B1" w:rsidRPr="00EF22E0" w:rsidRDefault="001212B1" w:rsidP="001212B1">
      <w:pPr>
        <w:pStyle w:val="Default"/>
        <w:spacing w:line="360" w:lineRule="auto"/>
        <w:rPr>
          <w:rFonts w:ascii="Helvetica" w:hAnsi="Helvetica" w:cs="Helvetica"/>
          <w:color w:val="auto"/>
        </w:rPr>
      </w:pPr>
    </w:p>
    <w:p w14:paraId="0485AE75"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color w:val="auto"/>
          <w:lang w:val="es-ES"/>
        </w:rPr>
        <w:t xml:space="preserve">Como resultado, para llevar a cabo este análisis, se seguirán, los lineamientos establecidos en la Ley 681 de 2001 y en el artículo 2 de la Resolución 40193 de 2021 del Ministerio de Hacienda y Crédito Público y el Ministerio de Minas y Energía, en conjunto con las demás disposiciones que sean aplicables. </w:t>
      </w:r>
    </w:p>
    <w:p w14:paraId="17826E76" w14:textId="77777777" w:rsidR="001212B1" w:rsidRPr="00EF22E0" w:rsidRDefault="001212B1" w:rsidP="001212B1">
      <w:pPr>
        <w:spacing w:line="360" w:lineRule="auto"/>
        <w:jc w:val="left"/>
        <w:rPr>
          <w:rFonts w:ascii="Helvetica" w:hAnsi="Helvetica" w:cs="Helvetica"/>
          <w:szCs w:val="24"/>
        </w:rPr>
      </w:pPr>
    </w:p>
    <w:p w14:paraId="01D461F0" w14:textId="77777777" w:rsidR="001212B1" w:rsidRPr="00EF22E0" w:rsidRDefault="001212B1" w:rsidP="001212B1">
      <w:pPr>
        <w:pStyle w:val="Ttulo3"/>
        <w:numPr>
          <w:ilvl w:val="2"/>
          <w:numId w:val="1"/>
        </w:numPr>
        <w:rPr>
          <w:rFonts w:ascii="Helvetica" w:hAnsi="Helvetica" w:cs="Helvetica"/>
          <w:szCs w:val="24"/>
        </w:rPr>
      </w:pPr>
      <w:r w:rsidRPr="00EF22E0">
        <w:rPr>
          <w:rFonts w:ascii="Helvetica" w:hAnsi="Helvetica" w:cs="Helvetica"/>
          <w:szCs w:val="24"/>
        </w:rPr>
        <w:t>Normatividad sobre regímenes de precios</w:t>
      </w:r>
    </w:p>
    <w:p w14:paraId="4BBDE916" w14:textId="77777777" w:rsidR="001212B1" w:rsidRPr="00EF22E0" w:rsidRDefault="001212B1" w:rsidP="001212B1">
      <w:pPr>
        <w:spacing w:line="360" w:lineRule="auto"/>
        <w:jc w:val="left"/>
        <w:rPr>
          <w:rFonts w:ascii="Helvetica" w:hAnsi="Helvetica" w:cs="Helvetica"/>
          <w:szCs w:val="24"/>
          <w:shd w:val="clear" w:color="auto" w:fill="FFFFFF"/>
        </w:rPr>
      </w:pPr>
      <w:r w:rsidRPr="00EF22E0">
        <w:rPr>
          <w:rFonts w:ascii="Helvetica" w:hAnsi="Helvetica" w:cs="Helvetica"/>
          <w:szCs w:val="24"/>
        </w:rPr>
        <w:t>La Ley 81 de 1988</w:t>
      </w:r>
      <w:r w:rsidRPr="00EF22E0">
        <w:rPr>
          <w:rStyle w:val="Refdenotaalpie"/>
          <w:rFonts w:ascii="Helvetica" w:hAnsi="Helvetica" w:cs="Helvetica"/>
          <w:szCs w:val="24"/>
        </w:rPr>
        <w:footnoteReference w:id="9"/>
      </w:r>
      <w:r w:rsidRPr="00EF22E0">
        <w:rPr>
          <w:rFonts w:ascii="Helvetica" w:hAnsi="Helvetica" w:cs="Helvetica"/>
          <w:szCs w:val="24"/>
        </w:rPr>
        <w:t xml:space="preserve"> en el artículo 60 del Capitulo V, señala que </w:t>
      </w:r>
      <w:r w:rsidRPr="00EF22E0">
        <w:rPr>
          <w:rFonts w:ascii="Helvetica" w:hAnsi="Helvetica" w:cs="Helvetica"/>
          <w:szCs w:val="24"/>
          <w:shd w:val="clear" w:color="auto" w:fill="FFFFFF"/>
        </w:rPr>
        <w:t xml:space="preserve">la Política de Precios podrá ejercerse bajo algunas de las siguientes modalidades: </w:t>
      </w:r>
    </w:p>
    <w:p w14:paraId="4FA3D3F9" w14:textId="77777777" w:rsidR="001212B1" w:rsidRPr="00EF22E0" w:rsidRDefault="001212B1" w:rsidP="001212B1">
      <w:pPr>
        <w:spacing w:line="360" w:lineRule="auto"/>
        <w:ind w:left="426"/>
        <w:jc w:val="left"/>
        <w:rPr>
          <w:rFonts w:ascii="Helvetica" w:hAnsi="Helvetica" w:cs="Helvetica"/>
          <w:szCs w:val="24"/>
        </w:rPr>
      </w:pPr>
    </w:p>
    <w:p w14:paraId="5B07E646" w14:textId="77777777" w:rsidR="001212B1" w:rsidRPr="00EF22E0" w:rsidRDefault="001212B1" w:rsidP="001212B1">
      <w:pPr>
        <w:shd w:val="clear" w:color="auto" w:fill="FFFFFF"/>
        <w:spacing w:before="100" w:beforeAutospacing="1" w:after="100" w:afterAutospacing="1" w:line="360" w:lineRule="auto"/>
        <w:ind w:left="426" w:right="334"/>
        <w:jc w:val="left"/>
        <w:rPr>
          <w:rFonts w:ascii="Helvetica" w:hAnsi="Helvetica" w:cs="Helvetica"/>
          <w:szCs w:val="24"/>
        </w:rPr>
      </w:pPr>
      <w:r w:rsidRPr="00EF22E0">
        <w:rPr>
          <w:rFonts w:ascii="Helvetica" w:hAnsi="Helvetica" w:cs="Helvetica"/>
          <w:szCs w:val="24"/>
        </w:rPr>
        <w:t>“…i) Régimen de control directo, en el cual la entidad fijará mediante resolución el precio máximo, en cualquiera de sus distintos niveles, que los productores y distribuidores podrán cobrar por el bien o servicio en cuestión;</w:t>
      </w:r>
    </w:p>
    <w:p w14:paraId="5919FE12" w14:textId="77777777" w:rsidR="001212B1" w:rsidRPr="00EF22E0" w:rsidRDefault="001212B1" w:rsidP="001212B1">
      <w:pPr>
        <w:shd w:val="clear" w:color="auto" w:fill="FFFFFF" w:themeFill="background1"/>
        <w:spacing w:before="100" w:beforeAutospacing="1" w:after="100" w:afterAutospacing="1" w:line="360" w:lineRule="auto"/>
        <w:ind w:left="426" w:right="334"/>
        <w:jc w:val="left"/>
        <w:rPr>
          <w:rFonts w:ascii="Helvetica" w:hAnsi="Helvetica" w:cs="Helvetica"/>
          <w:szCs w:val="24"/>
          <w:lang w:val="es-ES"/>
        </w:rPr>
      </w:pPr>
      <w:r w:rsidRPr="00EF22E0">
        <w:rPr>
          <w:rFonts w:ascii="Helvetica" w:hAnsi="Helvetica" w:cs="Helvetica"/>
          <w:szCs w:val="24"/>
          <w:lang w:val="es-ES"/>
        </w:rPr>
        <w:t>ii) Régimen de libertad regulada, en el cual la entidad fijará los criterios y la metodología con arreglo a los cuales los productores y distribuidores podrán determinar o modificar, los precios máximos en cualquiera de sus niveles respecto a los bienes y servicios sometidos a este régimen;</w:t>
      </w:r>
    </w:p>
    <w:p w14:paraId="5534CEEE" w14:textId="77777777" w:rsidR="001212B1" w:rsidRPr="00EF22E0" w:rsidRDefault="001212B1" w:rsidP="001212B1">
      <w:pPr>
        <w:shd w:val="clear" w:color="auto" w:fill="FFFFFF" w:themeFill="background1"/>
        <w:spacing w:before="100" w:beforeAutospacing="1" w:after="100" w:afterAutospacing="1" w:line="360" w:lineRule="auto"/>
        <w:ind w:left="426" w:right="334"/>
        <w:jc w:val="left"/>
        <w:rPr>
          <w:rFonts w:ascii="Helvetica" w:hAnsi="Helvetica" w:cs="Helvetica"/>
          <w:szCs w:val="24"/>
          <w:lang w:val="es-ES"/>
        </w:rPr>
      </w:pPr>
      <w:r w:rsidRPr="00EF22E0">
        <w:rPr>
          <w:rFonts w:ascii="Helvetica" w:hAnsi="Helvetica" w:cs="Helvetica"/>
          <w:szCs w:val="24"/>
          <w:lang w:val="es-ES"/>
        </w:rPr>
        <w:lastRenderedPageBreak/>
        <w:t xml:space="preserve">iii) Régimen de libertad vigilada, en el cual los productores y distribuidores podrán determinar libremente los precios de los bienes y servicios en cuestión, bajo la obligación de informar en forma escrita a la respectiva entidad sobre las variaciones y determinaciones de sus precios, de acuerdo con la metodología que la entidad determine. Las empresas cuyos bienes o servicios están sometidos a la política de precios que se señale en el presente artículo, tendrán derecho a exigir de la respectiva entidad que se modifique o se permita la modificación el precio en cuestión, consultando para ello el incremento de costos que se compruebe haya tenido el bien o servicio en el curso de los doce (12) meses siguientes a la fecha en la cual la entidad haya ejercido la política de precios en cualquiera de sus modalidades.” </w:t>
      </w:r>
    </w:p>
    <w:p w14:paraId="65F36ADB" w14:textId="77777777" w:rsidR="001212B1" w:rsidRPr="00EF22E0" w:rsidRDefault="001212B1" w:rsidP="001212B1">
      <w:pPr>
        <w:spacing w:line="360" w:lineRule="auto"/>
        <w:jc w:val="left"/>
        <w:rPr>
          <w:rFonts w:ascii="Helvetica" w:hAnsi="Helvetica" w:cs="Helvetica"/>
          <w:szCs w:val="24"/>
        </w:rPr>
      </w:pPr>
    </w:p>
    <w:p w14:paraId="46575110"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Por otra parte, la Resolución 32512 de 1993 proferida por el Ministerio de Minas y Energía, señala que los precios de los productos derivados del petróleo no mencionados en su artículo 1</w:t>
      </w:r>
      <w:r w:rsidRPr="00EF22E0">
        <w:rPr>
          <w:rStyle w:val="Refdenotaalpie"/>
          <w:rFonts w:ascii="Helvetica" w:hAnsi="Helvetica" w:cs="Helvetica"/>
          <w:szCs w:val="24"/>
        </w:rPr>
        <w:footnoteReference w:id="10"/>
      </w:r>
      <w:r w:rsidRPr="00EF22E0">
        <w:rPr>
          <w:rFonts w:ascii="Helvetica" w:hAnsi="Helvetica" w:cs="Helvetica"/>
          <w:szCs w:val="24"/>
        </w:rPr>
        <w:t xml:space="preserve">, caso del Jet, serán los que establezca el productor, teniendo en cuenta los costos internos de producción y los precios que rijan en el mercado internacional. </w:t>
      </w:r>
    </w:p>
    <w:p w14:paraId="1ECDB62B" w14:textId="77777777" w:rsidR="001212B1" w:rsidRPr="00EF22E0" w:rsidRDefault="001212B1" w:rsidP="001212B1">
      <w:pPr>
        <w:spacing w:line="360" w:lineRule="auto"/>
        <w:jc w:val="left"/>
        <w:rPr>
          <w:rFonts w:ascii="Helvetica" w:hAnsi="Helvetica" w:cs="Helvetica"/>
          <w:szCs w:val="24"/>
        </w:rPr>
      </w:pPr>
    </w:p>
    <w:p w14:paraId="54D263EA"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También establece que será función del Ministerio de Minas y Energía supervisar la fijación y aplicación de precios. Los productores, importadores y empresas distribuidoras de combustible de aviación deben informar por escrito al Ministerio de Minas y Energía sobre los precios de venta.</w:t>
      </w:r>
    </w:p>
    <w:p w14:paraId="264FEF1C" w14:textId="77777777" w:rsidR="001212B1" w:rsidRPr="00EF22E0" w:rsidRDefault="001212B1" w:rsidP="001212B1">
      <w:pPr>
        <w:spacing w:line="360" w:lineRule="auto"/>
        <w:jc w:val="left"/>
        <w:rPr>
          <w:rFonts w:ascii="Helvetica" w:hAnsi="Helvetica" w:cs="Helvetica"/>
          <w:szCs w:val="24"/>
        </w:rPr>
      </w:pPr>
    </w:p>
    <w:p w14:paraId="6394DC9D" w14:textId="77777777" w:rsidR="001212B1" w:rsidRPr="00EF22E0" w:rsidRDefault="001212B1" w:rsidP="001212B1">
      <w:pPr>
        <w:pStyle w:val="Ttulo3"/>
        <w:numPr>
          <w:ilvl w:val="2"/>
          <w:numId w:val="1"/>
        </w:numPr>
        <w:rPr>
          <w:rFonts w:ascii="Helvetica" w:hAnsi="Helvetica" w:cs="Helvetica"/>
          <w:szCs w:val="24"/>
        </w:rPr>
      </w:pPr>
      <w:r w:rsidRPr="00EF22E0">
        <w:rPr>
          <w:rFonts w:ascii="Helvetica" w:hAnsi="Helvetica" w:cs="Helvetica"/>
          <w:szCs w:val="24"/>
        </w:rPr>
        <w:lastRenderedPageBreak/>
        <w:t>Impuesto al Carbono Ley 1819 de 2016</w:t>
      </w:r>
    </w:p>
    <w:p w14:paraId="60E04BE6"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lang w:val="es-ES"/>
        </w:rPr>
        <w:t xml:space="preserve">A partir del 1 de enero de 2017, entró en vigor el cobro del impuesto al carbono, el cual en </w:t>
      </w:r>
      <w:r w:rsidRPr="00EF22E0">
        <w:rPr>
          <w:rFonts w:ascii="Helvetica" w:hAnsi="Helvetica" w:cs="Helvetica"/>
          <w:szCs w:val="24"/>
        </w:rPr>
        <w:t>la parte IX, artículo 221 de la Ley 1819 de 2016</w:t>
      </w:r>
      <w:r w:rsidRPr="00EF22E0">
        <w:rPr>
          <w:rStyle w:val="Refdenotaalpie"/>
          <w:rFonts w:ascii="Helvetica" w:hAnsi="Helvetica" w:cs="Helvetica"/>
          <w:szCs w:val="24"/>
        </w:rPr>
        <w:footnoteReference w:id="11"/>
      </w:r>
      <w:r w:rsidRPr="00EF22E0">
        <w:rPr>
          <w:rFonts w:ascii="Helvetica" w:hAnsi="Helvetica" w:cs="Helvetica"/>
          <w:szCs w:val="24"/>
        </w:rPr>
        <w:t>, incluye la gasolina de aviación y se define así:</w:t>
      </w:r>
    </w:p>
    <w:p w14:paraId="17CCA0BB" w14:textId="77777777" w:rsidR="001212B1" w:rsidRPr="00EF22E0" w:rsidRDefault="001212B1" w:rsidP="001212B1">
      <w:pPr>
        <w:shd w:val="clear" w:color="auto" w:fill="FFFFFF"/>
        <w:spacing w:before="100" w:beforeAutospacing="1" w:after="100" w:afterAutospacing="1" w:line="360" w:lineRule="auto"/>
        <w:ind w:left="567"/>
        <w:jc w:val="left"/>
        <w:rPr>
          <w:rFonts w:ascii="Helvetica" w:hAnsi="Helvetica" w:cs="Helvetica"/>
          <w:szCs w:val="24"/>
          <w:shd w:val="clear" w:color="auto" w:fill="FFFFFF"/>
        </w:rPr>
      </w:pPr>
      <w:r w:rsidRPr="00EF22E0">
        <w:rPr>
          <w:rFonts w:ascii="Helvetica" w:hAnsi="Helvetica" w:cs="Helvetica"/>
          <w:szCs w:val="24"/>
          <w:shd w:val="clear" w:color="auto" w:fill="FFFFFF"/>
        </w:rPr>
        <w:t>“ARTÍCULO</w:t>
      </w:r>
      <w:bookmarkStart w:id="5" w:name="221"/>
      <w:bookmarkEnd w:id="5"/>
      <w:r w:rsidRPr="00EF22E0">
        <w:rPr>
          <w:rFonts w:ascii="Helvetica" w:hAnsi="Helvetica" w:cs="Helvetica"/>
          <w:szCs w:val="24"/>
          <w:shd w:val="clear" w:color="auto" w:fill="FFFFFF"/>
        </w:rPr>
        <w:t xml:space="preserve"> 221. IMPUESTO NACIONAL AL CARBONO. El impuesto nacional al carbono es un gravamen que recae sobre el contenido de carbono equivalente (CO2eq) de todos los combustibles fósiles, incluyendo todos los derivados del petróleo, gas fósil y sólidos que sean usados para combustión.</w:t>
      </w:r>
    </w:p>
    <w:p w14:paraId="203EE82C" w14:textId="77777777" w:rsidR="001212B1" w:rsidRPr="00EF22E0" w:rsidRDefault="001212B1" w:rsidP="001212B1">
      <w:pPr>
        <w:shd w:val="clear" w:color="auto" w:fill="FFFFFF"/>
        <w:spacing w:before="100" w:beforeAutospacing="1" w:after="100" w:afterAutospacing="1" w:line="360" w:lineRule="auto"/>
        <w:ind w:left="567"/>
        <w:jc w:val="left"/>
        <w:rPr>
          <w:rFonts w:ascii="Helvetica" w:hAnsi="Helvetica" w:cs="Helvetica"/>
          <w:szCs w:val="24"/>
          <w:shd w:val="clear" w:color="auto" w:fill="FFFFFF"/>
        </w:rPr>
      </w:pPr>
      <w:r w:rsidRPr="00EF22E0">
        <w:rPr>
          <w:rFonts w:ascii="Helvetica" w:hAnsi="Helvetica" w:cs="Helvetica"/>
          <w:szCs w:val="24"/>
          <w:shd w:val="clear" w:color="auto" w:fill="FFFFFF"/>
        </w:rPr>
        <w:t>El hecho generador del impuesto nacional al carbono es la venta dentro del territorio nacional, el retiro, la importación para el consumo propio o la importación para la venta de combustibles fósiles.</w:t>
      </w:r>
    </w:p>
    <w:p w14:paraId="285DA957" w14:textId="77777777" w:rsidR="001212B1" w:rsidRPr="00EF22E0" w:rsidRDefault="001212B1" w:rsidP="001212B1">
      <w:pPr>
        <w:shd w:val="clear" w:color="auto" w:fill="FFFFFF"/>
        <w:spacing w:before="100" w:beforeAutospacing="1" w:after="100" w:afterAutospacing="1" w:line="360" w:lineRule="auto"/>
        <w:ind w:left="567"/>
        <w:jc w:val="left"/>
        <w:rPr>
          <w:rFonts w:ascii="Helvetica" w:hAnsi="Helvetica" w:cs="Helvetica"/>
          <w:szCs w:val="24"/>
          <w:shd w:val="clear" w:color="auto" w:fill="FFFFFF"/>
        </w:rPr>
      </w:pPr>
      <w:r w:rsidRPr="00EF22E0">
        <w:rPr>
          <w:rFonts w:ascii="Helvetica" w:hAnsi="Helvetica" w:cs="Helvetica"/>
          <w:szCs w:val="24"/>
          <w:shd w:val="clear" w:color="auto" w:fill="FFFFFF"/>
        </w:rPr>
        <w:t>El impuesto nacional al carbono se causa en una sola etapa respecto del hecho generador que ocurra primero. Tratándose de gas y derivados de petróleo, el impuesto se causa en las ventas efectuadas por los productores, en la fecha de emisión de la factura; en los retiros para consumo de los productores, en la fecha del retiro; y en las importaciones, en la fecha en que se nacionalice el gas o el derivado de petróleo. En el caso del carbón, el impuesto se causa al momento de la venta al consumidor final, en la fecha de emisión de la factura; al momento del retiro para consumo propio, en la fecha del retiro; o al momento de la importación para uso propio, en la fecha de su nacionalización.</w:t>
      </w:r>
    </w:p>
    <w:p w14:paraId="2C3641C7" w14:textId="77777777" w:rsidR="001212B1" w:rsidRPr="00EF22E0" w:rsidRDefault="001212B1" w:rsidP="001212B1">
      <w:pPr>
        <w:shd w:val="clear" w:color="auto" w:fill="FFFFFF"/>
        <w:spacing w:before="100" w:beforeAutospacing="1" w:after="100" w:afterAutospacing="1" w:line="360" w:lineRule="auto"/>
        <w:ind w:left="567"/>
        <w:jc w:val="left"/>
        <w:rPr>
          <w:rFonts w:ascii="Helvetica" w:hAnsi="Helvetica" w:cs="Helvetica"/>
          <w:szCs w:val="24"/>
          <w:shd w:val="clear" w:color="auto" w:fill="FFFFFF"/>
        </w:rPr>
      </w:pPr>
      <w:r w:rsidRPr="00EF22E0">
        <w:rPr>
          <w:rFonts w:ascii="Helvetica" w:hAnsi="Helvetica" w:cs="Helvetica"/>
          <w:szCs w:val="24"/>
          <w:shd w:val="clear" w:color="auto" w:fill="FFFFFF"/>
        </w:rPr>
        <w:t xml:space="preserve">Tratándose de gas y derivados del petróleo, el sujeto pasivo del impuesto será quien adquiera. los combustibles fósiles del productor o el importador; el productor </w:t>
      </w:r>
      <w:r w:rsidRPr="00EF22E0">
        <w:rPr>
          <w:rFonts w:ascii="Helvetica" w:hAnsi="Helvetica" w:cs="Helvetica"/>
          <w:szCs w:val="24"/>
          <w:shd w:val="clear" w:color="auto" w:fill="FFFFFF"/>
        </w:rPr>
        <w:lastRenderedPageBreak/>
        <w:t>cuando realice retiros para consumo propio, y el importador cuando realice retiros para consumo propio.</w:t>
      </w:r>
    </w:p>
    <w:p w14:paraId="38863A99" w14:textId="77777777" w:rsidR="001212B1" w:rsidRPr="00EF22E0" w:rsidRDefault="001212B1" w:rsidP="001212B1">
      <w:pPr>
        <w:shd w:val="clear" w:color="auto" w:fill="FFFFFF"/>
        <w:spacing w:before="100" w:beforeAutospacing="1" w:after="100" w:afterAutospacing="1" w:line="360" w:lineRule="auto"/>
        <w:ind w:left="567"/>
        <w:jc w:val="left"/>
        <w:rPr>
          <w:rFonts w:ascii="Helvetica" w:hAnsi="Helvetica" w:cs="Helvetica"/>
          <w:szCs w:val="24"/>
          <w:shd w:val="clear" w:color="auto" w:fill="FFFFFF"/>
        </w:rPr>
      </w:pPr>
      <w:r w:rsidRPr="00EF22E0">
        <w:rPr>
          <w:rFonts w:ascii="Helvetica" w:hAnsi="Helvetica" w:cs="Helvetica"/>
          <w:szCs w:val="24"/>
          <w:shd w:val="clear" w:color="auto" w:fill="FFFFFF"/>
        </w:rPr>
        <w:t>Son responsables del impuesto, tratándose gas y derivados de petróleo, los productores y los importadores; independientemente de su calidad de sujeto pasivo, cuando se realice el hecho generador…”</w:t>
      </w:r>
    </w:p>
    <w:p w14:paraId="1082C81E" w14:textId="77777777" w:rsidR="001212B1" w:rsidRPr="00EF22E0" w:rsidRDefault="001212B1" w:rsidP="001212B1">
      <w:pPr>
        <w:spacing w:line="360" w:lineRule="auto"/>
        <w:jc w:val="left"/>
        <w:rPr>
          <w:rFonts w:ascii="Helvetica" w:hAnsi="Helvetica" w:cs="Helvetica"/>
          <w:szCs w:val="24"/>
          <w:lang w:val="es-ES"/>
        </w:rPr>
      </w:pPr>
    </w:p>
    <w:p w14:paraId="0443D3C9"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lang w:val="es-ES"/>
        </w:rPr>
        <w:t>Este artículo fue reglamentado por el Decreto 2487 de 2022 y modificado por la Ley 2277 de 2022 (Artículo 47).</w:t>
      </w:r>
    </w:p>
    <w:p w14:paraId="2CBF7BDF" w14:textId="77777777" w:rsidR="001212B1" w:rsidRPr="00EF22E0" w:rsidRDefault="001212B1" w:rsidP="001212B1">
      <w:pPr>
        <w:spacing w:line="360" w:lineRule="auto"/>
        <w:jc w:val="left"/>
        <w:rPr>
          <w:rFonts w:ascii="Helvetica" w:hAnsi="Helvetica" w:cs="Helvetica"/>
          <w:b/>
          <w:szCs w:val="24"/>
        </w:rPr>
      </w:pPr>
      <w:r w:rsidRPr="00EF22E0">
        <w:rPr>
          <w:rFonts w:ascii="Helvetica" w:hAnsi="Helvetica" w:cs="Helvetica"/>
          <w:b/>
          <w:szCs w:val="24"/>
        </w:rPr>
        <w:br w:type="page"/>
      </w:r>
    </w:p>
    <w:p w14:paraId="48FFEDA2" w14:textId="77777777" w:rsidR="001212B1" w:rsidRPr="00EF22E0" w:rsidRDefault="001212B1" w:rsidP="001212B1">
      <w:pPr>
        <w:pStyle w:val="Ttulo1"/>
        <w:numPr>
          <w:ilvl w:val="0"/>
          <w:numId w:val="1"/>
        </w:numPr>
        <w:jc w:val="left"/>
        <w:rPr>
          <w:rFonts w:ascii="Helvetica" w:hAnsi="Helvetica" w:cs="Helvetica"/>
          <w:szCs w:val="24"/>
        </w:rPr>
      </w:pPr>
      <w:bookmarkStart w:id="6" w:name="_Toc116458449"/>
      <w:bookmarkStart w:id="7" w:name="_Toc122592542"/>
      <w:bookmarkStart w:id="8" w:name="_Toc122592600"/>
      <w:bookmarkStart w:id="9" w:name="_Toc167896835"/>
      <w:r w:rsidRPr="00EF22E0">
        <w:rPr>
          <w:rFonts w:ascii="Helvetica" w:hAnsi="Helvetica" w:cs="Helvetica"/>
          <w:szCs w:val="24"/>
        </w:rPr>
        <w:lastRenderedPageBreak/>
        <w:t>Contexto de mercado del Jet Fuel en Colombia</w:t>
      </w:r>
      <w:bookmarkEnd w:id="6"/>
      <w:bookmarkEnd w:id="7"/>
      <w:bookmarkEnd w:id="8"/>
      <w:bookmarkEnd w:id="9"/>
    </w:p>
    <w:p w14:paraId="1D4C2E9B" w14:textId="77777777" w:rsidR="001212B1" w:rsidRPr="00EF22E0" w:rsidRDefault="001212B1" w:rsidP="001212B1">
      <w:pPr>
        <w:spacing w:line="360" w:lineRule="auto"/>
        <w:jc w:val="left"/>
        <w:rPr>
          <w:rFonts w:ascii="Helvetica" w:hAnsi="Helvetica" w:cs="Helvetica"/>
          <w:szCs w:val="24"/>
          <w:lang w:val="es-CO"/>
        </w:rPr>
      </w:pPr>
    </w:p>
    <w:p w14:paraId="0EA4A01E" w14:textId="77777777" w:rsidR="001212B1" w:rsidRPr="00EF22E0" w:rsidRDefault="001212B1" w:rsidP="001212B1">
      <w:pPr>
        <w:pStyle w:val="Ttulo2"/>
        <w:numPr>
          <w:ilvl w:val="1"/>
          <w:numId w:val="1"/>
        </w:numPr>
        <w:ind w:left="578" w:hanging="578"/>
        <w:jc w:val="left"/>
        <w:rPr>
          <w:rFonts w:ascii="Helvetica" w:hAnsi="Helvetica" w:cs="Helvetica"/>
        </w:rPr>
      </w:pPr>
      <w:r w:rsidRPr="00EF22E0">
        <w:rPr>
          <w:rFonts w:ascii="Helvetica" w:hAnsi="Helvetica" w:cs="Helvetica"/>
        </w:rPr>
        <w:t>Estudios previos</w:t>
      </w:r>
    </w:p>
    <w:p w14:paraId="5C9F4E07" w14:textId="77777777" w:rsidR="001212B1" w:rsidRPr="00EF22E0" w:rsidRDefault="001212B1" w:rsidP="001212B1">
      <w:pPr>
        <w:spacing w:before="240" w:after="240" w:line="360" w:lineRule="auto"/>
        <w:rPr>
          <w:rFonts w:ascii="Helvetica" w:hAnsi="Helvetica" w:cs="Helvetica"/>
          <w:szCs w:val="24"/>
          <w:lang w:val="es-CO"/>
        </w:rPr>
      </w:pPr>
      <w:r w:rsidRPr="00EF22E0">
        <w:rPr>
          <w:rFonts w:ascii="Helvetica" w:hAnsi="Helvetica" w:cs="Helvetica"/>
          <w:szCs w:val="24"/>
          <w:lang w:val="es-CO"/>
        </w:rPr>
        <w:t xml:space="preserve">En el año 2014, la CREG contrató los servicios de consultoría con la empresa Ernest &amp; Young, para desarrollar el estudio titulado: </w:t>
      </w:r>
      <w:r w:rsidRPr="00EF22E0">
        <w:rPr>
          <w:rFonts w:ascii="Helvetica" w:hAnsi="Helvetica" w:cs="Helvetica"/>
          <w:i/>
          <w:iCs/>
          <w:szCs w:val="24"/>
          <w:lang w:val="es-CO"/>
        </w:rPr>
        <w:t>Diagnóstico del mercado del Jet Fuel en Colombia</w:t>
      </w:r>
      <w:r w:rsidRPr="00EF22E0">
        <w:rPr>
          <w:rFonts w:ascii="Helvetica" w:hAnsi="Helvetica" w:cs="Helvetica"/>
          <w:szCs w:val="24"/>
          <w:lang w:val="es-CO"/>
        </w:rPr>
        <w:t>, el cual tuvo por objeto realizar un análisis de la cadena de abastecimiento del combustible Jet A-1 y determinar la incidencia que tienen en el precio cada uno de los agentes que intervienen en el mercado.</w:t>
      </w:r>
    </w:p>
    <w:p w14:paraId="6681460C" w14:textId="77777777" w:rsidR="001212B1" w:rsidRPr="00EF22E0" w:rsidRDefault="001212B1" w:rsidP="001212B1">
      <w:pPr>
        <w:spacing w:before="240" w:after="240" w:line="360" w:lineRule="auto"/>
        <w:rPr>
          <w:rFonts w:ascii="Helvetica" w:hAnsi="Helvetica" w:cs="Helvetica"/>
          <w:szCs w:val="24"/>
          <w:lang w:val="es-CO"/>
        </w:rPr>
      </w:pPr>
      <w:r w:rsidRPr="00EF22E0">
        <w:rPr>
          <w:rFonts w:ascii="Helvetica" w:hAnsi="Helvetica" w:cs="Helvetica"/>
          <w:szCs w:val="24"/>
          <w:lang w:val="es-CO"/>
        </w:rPr>
        <w:t xml:space="preserve">Un aspecto importante del estudio fue el énfasis que se dio al análisis de las dinámicas de competencia en el mercado del Jet Fuel, sobre lo cual señala: </w:t>
      </w:r>
      <w:r w:rsidRPr="00EF22E0">
        <w:rPr>
          <w:rFonts w:ascii="Helvetica" w:hAnsi="Helvetica" w:cs="Helvetica"/>
          <w:i/>
          <w:szCs w:val="24"/>
          <w:lang w:val="es-CO"/>
        </w:rPr>
        <w:t>“De acuerdo con el análisis de competencia en la cadena de distribución del JP A-1, se puede concluir que la concentración del mercado a nivel de refinación e importación, así como a nivel mayorista y minorista, puede ser un indicador de ausencia de competencia que genera la necesidad de revisar el esquema regulatorio de dichas actividades bien sea para cambiar a un régimen regulado con valores máximos o un régimen de vigilancia más activo”</w:t>
      </w:r>
      <w:r w:rsidRPr="00EF22E0">
        <w:rPr>
          <w:rFonts w:ascii="Helvetica" w:hAnsi="Helvetica" w:cs="Helvetica"/>
          <w:szCs w:val="24"/>
          <w:lang w:val="es-CO"/>
        </w:rPr>
        <w:t>.</w:t>
      </w:r>
    </w:p>
    <w:p w14:paraId="08691C98"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Así mismo, el estudio sugirió que en caso de no darse las expansiones locales de la capacidad de producción de Jet A1 (Refinería de Cartagena), la regulación podría dar la señal de paridad importación en la fórmula para definir el ingreso al productor de este combustible, de tal forma que, pueda generarse un ambiente de competencia en la oferta al permitir la entrada de nuevos agentes que reciban una señal de precio que remunere el costo de oportunidad del producto.</w:t>
      </w:r>
    </w:p>
    <w:p w14:paraId="437AABB7" w14:textId="77777777" w:rsidR="001212B1" w:rsidRPr="00EF22E0" w:rsidRDefault="001212B1" w:rsidP="001212B1">
      <w:pPr>
        <w:spacing w:line="360" w:lineRule="auto"/>
        <w:jc w:val="left"/>
        <w:rPr>
          <w:rFonts w:ascii="Helvetica" w:hAnsi="Helvetica" w:cs="Helvetica"/>
          <w:szCs w:val="24"/>
          <w:lang w:val="es-CO"/>
        </w:rPr>
      </w:pPr>
    </w:p>
    <w:p w14:paraId="541A63AC"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 xml:space="preserve">Dado el carácter multidisciplinario del estudio, el mismo recomendó: i) incentivar y reglamentar el libre acceso a la infraestructura, dado que en ocasiones los distribuidores mayoristas no permiten el uso de sus instalaciones de almacenamiento (plantas de abasto) a otros distribuidores mayoristas o minoristas, impidiendo que estos </w:t>
      </w:r>
      <w:r w:rsidRPr="00EF22E0">
        <w:rPr>
          <w:rFonts w:ascii="Helvetica" w:hAnsi="Helvetica" w:cs="Helvetica"/>
          <w:szCs w:val="24"/>
          <w:lang w:val="es-CO"/>
        </w:rPr>
        <w:lastRenderedPageBreak/>
        <w:t>puedan asumir acuerdos comerciales de venta de combustible a las estaciones de servicio, ii) dado que en la distribución minorista existe una estructura monopólica en la mayoría de aeropuertos en los cuales solo se cuenta con la participación de una estación de servicio de aviación como proveedora de combustible, lo que en el caso de los aeropuertos concesionados, podría perpetuarse y dado que al parecer no existen reglas claras para la selección de proveedor del combustible, donde deberían implantarse criterios objetivos de selección para la entrada de proveedores, que permitan la competencia y beneficien a al usuario final del combustible y, por último, iii) con el fin de defender al usuario final, es decir al público que paga los tiquetes de las aerolíneas, que la SIC pida a los concesionarios la fijación de un valor equitativo del arriendo (fijo, variable o una mezcla de los dos), el cual responda en criterios económicos que contemplen los costos reales del servicio prestado por el aeropuerto al minorista. Siendo deseable que una reglamentación en este sentido se establezca en el Contrato de Concesión.</w:t>
      </w:r>
    </w:p>
    <w:p w14:paraId="136E8F4F" w14:textId="77777777" w:rsidR="001212B1" w:rsidRPr="00EF22E0" w:rsidRDefault="001212B1" w:rsidP="001212B1">
      <w:pPr>
        <w:spacing w:line="360" w:lineRule="auto"/>
        <w:jc w:val="left"/>
        <w:rPr>
          <w:rFonts w:ascii="Helvetica" w:hAnsi="Helvetica" w:cs="Helvetica"/>
          <w:szCs w:val="24"/>
          <w:lang w:val="es-CO"/>
        </w:rPr>
      </w:pPr>
    </w:p>
    <w:p w14:paraId="137C8AAA"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En términos generales, el estudio entregó recomendaciones de alcance regulatorio, acerca de la dinámica de competencia del mercado de Jet, las cuales se abordarán en el desarrollo del análisis de impacto normativo y serán objeto de análisis en el planteamiento de los problemas a atender y otras recomendaciones que no son de alcance de la CREG.</w:t>
      </w:r>
    </w:p>
    <w:p w14:paraId="2BE061BE" w14:textId="77777777" w:rsidR="001212B1" w:rsidRPr="00EF22E0" w:rsidRDefault="001212B1" w:rsidP="001212B1">
      <w:pPr>
        <w:spacing w:line="360" w:lineRule="auto"/>
        <w:jc w:val="left"/>
        <w:rPr>
          <w:rFonts w:ascii="Helvetica" w:hAnsi="Helvetica" w:cs="Helvetica"/>
          <w:szCs w:val="24"/>
          <w:lang w:val="es-CO"/>
        </w:rPr>
      </w:pPr>
    </w:p>
    <w:p w14:paraId="5A128286" w14:textId="77777777" w:rsidR="001212B1" w:rsidRPr="00EF22E0" w:rsidRDefault="001212B1" w:rsidP="001212B1">
      <w:pPr>
        <w:spacing w:line="360" w:lineRule="auto"/>
        <w:rPr>
          <w:rFonts w:ascii="Helvetica" w:hAnsi="Helvetica" w:cs="Helvetica"/>
          <w:szCs w:val="24"/>
        </w:rPr>
      </w:pPr>
      <w:r w:rsidRPr="00EF22E0">
        <w:rPr>
          <w:rFonts w:ascii="Helvetica" w:hAnsi="Helvetica" w:cs="Helvetica"/>
          <w:szCs w:val="24"/>
        </w:rPr>
        <w:t>Por otra parte, en 2014, se contrató el servicio de consultoría con Roberto Albán para el desarrollo del estudio Mercados y precios internacionales” de Jet A1. Como su nombre lo indica, el estudio realiza un análisis del mercado del Jet A1 en Colombia para posteriormente comparar el precio pagado por el producto en el aeropuerto El Dorado frente a los aeropuertos de Lima, Quito, Santiago, Ciudad de Panamá y Miami. Se analizaron componentes de la estructura de precio como el ingreso al productor, el transporte por poliducto, los impuestos, el margen del comercializador (distribuidor mayorista) y la tarifa por servicios prestados por las concesionarias de los aeropuertos.</w:t>
      </w:r>
    </w:p>
    <w:p w14:paraId="132639FB" w14:textId="77777777" w:rsidR="001212B1" w:rsidRPr="00EF22E0" w:rsidRDefault="001212B1" w:rsidP="001212B1">
      <w:pPr>
        <w:spacing w:line="360" w:lineRule="auto"/>
        <w:rPr>
          <w:rFonts w:ascii="Helvetica" w:hAnsi="Helvetica" w:cs="Helvetica"/>
          <w:szCs w:val="24"/>
          <w:lang w:val="es-ES"/>
        </w:rPr>
      </w:pPr>
      <w:r w:rsidRPr="00EF22E0">
        <w:rPr>
          <w:rFonts w:ascii="Helvetica" w:hAnsi="Helvetica" w:cs="Helvetica"/>
          <w:szCs w:val="24"/>
          <w:lang w:val="es-ES"/>
        </w:rPr>
        <w:lastRenderedPageBreak/>
        <w:t>Partiendo de la actualidad del mercado colombiano, el estudio analiza el abastecimiento de petróleo en el país, así como la capacidad de producción. Teniendo en cuenta un diagnóstico de autoabastecimiento inestable (mantener una relación reservas/producción de 6 años en el largo plazo), o uno de necesidad de importación, el consultor recomienda la creación de condiciones económicas para promover la competencia y la libertad de mercado, entre las que se encuentran:</w:t>
      </w:r>
    </w:p>
    <w:p w14:paraId="3C8B09DB" w14:textId="77777777" w:rsidR="001212B1" w:rsidRPr="00EF22E0" w:rsidRDefault="001212B1" w:rsidP="001212B1">
      <w:pPr>
        <w:pStyle w:val="Prrafodelista"/>
        <w:numPr>
          <w:ilvl w:val="0"/>
          <w:numId w:val="27"/>
        </w:numPr>
        <w:spacing w:after="160" w:line="360" w:lineRule="auto"/>
        <w:contextualSpacing/>
        <w:jc w:val="left"/>
        <w:rPr>
          <w:rFonts w:ascii="Helvetica" w:hAnsi="Helvetica" w:cs="Helvetica"/>
          <w:szCs w:val="24"/>
        </w:rPr>
      </w:pPr>
      <w:r w:rsidRPr="00EF22E0">
        <w:rPr>
          <w:rFonts w:ascii="Helvetica" w:hAnsi="Helvetica" w:cs="Helvetica"/>
          <w:szCs w:val="24"/>
        </w:rPr>
        <w:t>Facilitar el acceso a la infraestructura de importación y transporte para que agentes privados importen el producto directamente.</w:t>
      </w:r>
    </w:p>
    <w:p w14:paraId="3D05EED3" w14:textId="77777777" w:rsidR="001212B1" w:rsidRPr="00EF22E0" w:rsidRDefault="001212B1" w:rsidP="001212B1">
      <w:pPr>
        <w:pStyle w:val="Prrafodelista"/>
        <w:numPr>
          <w:ilvl w:val="0"/>
          <w:numId w:val="27"/>
        </w:numPr>
        <w:spacing w:after="160" w:line="360" w:lineRule="auto"/>
        <w:contextualSpacing/>
        <w:jc w:val="left"/>
        <w:rPr>
          <w:rFonts w:ascii="Helvetica" w:hAnsi="Helvetica" w:cs="Helvetica"/>
          <w:szCs w:val="24"/>
          <w:lang w:val="es-ES"/>
        </w:rPr>
      </w:pPr>
      <w:r w:rsidRPr="00EF22E0">
        <w:rPr>
          <w:rFonts w:ascii="Helvetica" w:hAnsi="Helvetica" w:cs="Helvetica"/>
          <w:szCs w:val="24"/>
          <w:lang w:val="es-ES"/>
        </w:rPr>
        <w:t>Ofrecer opciones de transporte entre refinerías (poliducto, carrotanque, buquetanque).</w:t>
      </w:r>
    </w:p>
    <w:p w14:paraId="27A7ED72" w14:textId="77777777" w:rsidR="001212B1" w:rsidRPr="00EF22E0" w:rsidRDefault="001212B1" w:rsidP="001212B1">
      <w:pPr>
        <w:pStyle w:val="Prrafodelista"/>
        <w:numPr>
          <w:ilvl w:val="0"/>
          <w:numId w:val="27"/>
        </w:numPr>
        <w:spacing w:after="160" w:line="360" w:lineRule="auto"/>
        <w:contextualSpacing/>
        <w:jc w:val="left"/>
        <w:rPr>
          <w:rFonts w:ascii="Helvetica" w:hAnsi="Helvetica" w:cs="Helvetica"/>
          <w:szCs w:val="24"/>
        </w:rPr>
      </w:pPr>
      <w:r w:rsidRPr="00EF22E0">
        <w:rPr>
          <w:rFonts w:ascii="Helvetica" w:hAnsi="Helvetica" w:cs="Helvetica"/>
          <w:szCs w:val="24"/>
        </w:rPr>
        <w:t>Garantizar la recuperación de los costos de importación y una utilidad razonable para los importadores.</w:t>
      </w:r>
    </w:p>
    <w:p w14:paraId="704CEB41" w14:textId="77777777" w:rsidR="001212B1" w:rsidRPr="00EF22E0" w:rsidRDefault="001212B1" w:rsidP="001212B1">
      <w:pPr>
        <w:pStyle w:val="Prrafodelista"/>
        <w:numPr>
          <w:ilvl w:val="0"/>
          <w:numId w:val="27"/>
        </w:numPr>
        <w:spacing w:after="160" w:line="360" w:lineRule="auto"/>
        <w:contextualSpacing/>
        <w:jc w:val="left"/>
        <w:rPr>
          <w:rFonts w:ascii="Helvetica" w:hAnsi="Helvetica" w:cs="Helvetica"/>
          <w:szCs w:val="24"/>
        </w:rPr>
      </w:pPr>
      <w:r w:rsidRPr="00EF22E0">
        <w:rPr>
          <w:rFonts w:ascii="Helvetica" w:hAnsi="Helvetica" w:cs="Helvetica"/>
          <w:szCs w:val="24"/>
        </w:rPr>
        <w:t>Revisar las tarifas de transporte por poliducto.</w:t>
      </w:r>
    </w:p>
    <w:p w14:paraId="51EA0955" w14:textId="77777777" w:rsidR="001212B1" w:rsidRPr="00EF22E0" w:rsidRDefault="001212B1" w:rsidP="001212B1">
      <w:pPr>
        <w:spacing w:line="360" w:lineRule="auto"/>
        <w:rPr>
          <w:rFonts w:ascii="Helvetica" w:hAnsi="Helvetica" w:cs="Helvetica"/>
          <w:szCs w:val="24"/>
        </w:rPr>
      </w:pPr>
      <w:r w:rsidRPr="00EF22E0">
        <w:rPr>
          <w:rFonts w:ascii="Helvetica" w:hAnsi="Helvetica" w:cs="Helvetica"/>
          <w:szCs w:val="24"/>
        </w:rPr>
        <w:t>Adicionalmente, el consultor recomendó que, en caso de adoptar un valor máximo de ingreso al productor, éste debía remunerar el costo de oportunidad del productor.</w:t>
      </w:r>
    </w:p>
    <w:p w14:paraId="1A74F14D" w14:textId="77777777" w:rsidR="001212B1" w:rsidRPr="00EF22E0" w:rsidRDefault="001212B1" w:rsidP="001212B1">
      <w:pPr>
        <w:spacing w:line="360" w:lineRule="auto"/>
        <w:rPr>
          <w:rFonts w:ascii="Helvetica" w:hAnsi="Helvetica" w:cs="Helvetica"/>
          <w:szCs w:val="24"/>
          <w:lang w:val="es-ES"/>
        </w:rPr>
      </w:pPr>
    </w:p>
    <w:p w14:paraId="1359CE46" w14:textId="77777777" w:rsidR="001212B1" w:rsidRPr="00EF22E0" w:rsidRDefault="001212B1" w:rsidP="001212B1">
      <w:pPr>
        <w:spacing w:line="360" w:lineRule="auto"/>
        <w:rPr>
          <w:rFonts w:ascii="Helvetica" w:hAnsi="Helvetica" w:cs="Helvetica"/>
          <w:szCs w:val="24"/>
          <w:lang w:val="es-ES"/>
        </w:rPr>
      </w:pPr>
      <w:r w:rsidRPr="00EF22E0">
        <w:rPr>
          <w:rFonts w:ascii="Helvetica" w:hAnsi="Helvetica" w:cs="Helvetica"/>
          <w:szCs w:val="24"/>
          <w:lang w:val="es-ES"/>
        </w:rPr>
        <w:t>Por último, el consultor presenta una comparación entre los costos del combustible en los aeropuertos analizados con base en información reportada por una aerolínea. Menciona que todos usan como referencia el precio Jet 54 USGC Waterborne de la publicación Platts, pero a diferencia de Colombia que utiliza el valor “Low”, los aeropuertos de la región utilizan el valor “Mid” o “Mean” (el valor medio). Sin embargo, el valor en Bogotá puede llegar a ser mayor que en los aeropuertos de Miami y Panamá, similar al de Quito y Lima e inferior al de Santiago.</w:t>
      </w:r>
    </w:p>
    <w:p w14:paraId="774B08DA" w14:textId="77777777" w:rsidR="001212B1" w:rsidRPr="00EF22E0" w:rsidRDefault="001212B1" w:rsidP="001212B1">
      <w:pPr>
        <w:spacing w:line="360" w:lineRule="auto"/>
        <w:jc w:val="left"/>
        <w:rPr>
          <w:rFonts w:ascii="Helvetica" w:hAnsi="Helvetica" w:cs="Helvetica"/>
          <w:szCs w:val="24"/>
        </w:rPr>
      </w:pPr>
    </w:p>
    <w:p w14:paraId="149F8098" w14:textId="77777777" w:rsidR="001212B1" w:rsidRPr="00EF22E0" w:rsidRDefault="001212B1" w:rsidP="001212B1">
      <w:pPr>
        <w:pStyle w:val="Ttulo2"/>
        <w:numPr>
          <w:ilvl w:val="1"/>
          <w:numId w:val="1"/>
        </w:numPr>
        <w:ind w:left="578" w:hanging="578"/>
        <w:jc w:val="left"/>
        <w:rPr>
          <w:rFonts w:ascii="Helvetica" w:hAnsi="Helvetica" w:cs="Helvetica"/>
        </w:rPr>
      </w:pPr>
      <w:r w:rsidRPr="00EF22E0">
        <w:rPr>
          <w:rFonts w:ascii="Helvetica" w:hAnsi="Helvetica" w:cs="Helvetica"/>
        </w:rPr>
        <w:t>Mercado</w:t>
      </w:r>
    </w:p>
    <w:p w14:paraId="46150230"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 xml:space="preserve">A continuación, se presenta un contexto de la oferta y la demanda desde 2009 hasta 2022. Además, se muestra el balance de oferta y demanda proyectado, elaborado a partir de los datos proporcionados por la Unidad de Planeación Minero-Energética – </w:t>
      </w:r>
      <w:r w:rsidRPr="00EF22E0">
        <w:rPr>
          <w:rFonts w:ascii="Helvetica" w:hAnsi="Helvetica" w:cs="Helvetica"/>
          <w:szCs w:val="24"/>
        </w:rPr>
        <w:lastRenderedPageBreak/>
        <w:t>UPME-, con el fin de obtener una perspectiva sobre el futuro de la balanza comercial del combustible de Jet.</w:t>
      </w:r>
    </w:p>
    <w:p w14:paraId="2F01C368" w14:textId="77777777" w:rsidR="001212B1" w:rsidRPr="00EF22E0" w:rsidRDefault="001212B1" w:rsidP="001212B1">
      <w:pPr>
        <w:spacing w:line="360" w:lineRule="auto"/>
        <w:jc w:val="left"/>
        <w:rPr>
          <w:rFonts w:ascii="Helvetica" w:hAnsi="Helvetica" w:cs="Helvetica"/>
          <w:szCs w:val="24"/>
        </w:rPr>
      </w:pPr>
    </w:p>
    <w:p w14:paraId="71B229B2" w14:textId="77777777" w:rsidR="001212B1" w:rsidRPr="00EF22E0" w:rsidRDefault="001212B1" w:rsidP="001212B1">
      <w:pPr>
        <w:pStyle w:val="Ttulo3"/>
        <w:numPr>
          <w:ilvl w:val="2"/>
          <w:numId w:val="1"/>
        </w:numPr>
        <w:jc w:val="left"/>
        <w:rPr>
          <w:rFonts w:ascii="Helvetica" w:hAnsi="Helvetica" w:cs="Helvetica"/>
          <w:szCs w:val="24"/>
        </w:rPr>
      </w:pPr>
      <w:bookmarkStart w:id="10" w:name="_Toc122592547"/>
      <w:r w:rsidRPr="00EF22E0">
        <w:rPr>
          <w:rFonts w:ascii="Helvetica" w:hAnsi="Helvetica" w:cs="Helvetica"/>
          <w:szCs w:val="24"/>
        </w:rPr>
        <w:t>Oferta</w:t>
      </w:r>
    </w:p>
    <w:p w14:paraId="5AF6855A"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En Colombia, la producción de Jet A1 ha sido dirigida principalmente hacia el sector de transporte aéreo. Según los datos del Balance Energético Colombiano (BECO), este sector ha consumido en promedio 22 kBPD (kilo barriles por día), durante el periodo de 2006 a 2022, pasando de un consumo de 16 kBPD en 2006 a 37 kBPD en 2022, lo que representa un crecimiento promedio anual de 5,3%. Para el mismo período, el consumo promedio de Jet A1 para el sector de generación de energía eléctrica, ha sido alrededor de 50 BPD.</w:t>
      </w:r>
    </w:p>
    <w:p w14:paraId="3E66B8EB" w14:textId="77777777" w:rsidR="001212B1" w:rsidRPr="00EF22E0" w:rsidRDefault="001212B1" w:rsidP="001212B1">
      <w:pPr>
        <w:spacing w:line="360" w:lineRule="auto"/>
        <w:jc w:val="left"/>
        <w:rPr>
          <w:rFonts w:ascii="Helvetica" w:hAnsi="Helvetica" w:cs="Helvetica"/>
          <w:szCs w:val="24"/>
          <w:lang w:val="es-419"/>
        </w:rPr>
      </w:pPr>
    </w:p>
    <w:p w14:paraId="05D0E671"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El suministro de Jet A-1 ha sido proporcionado a través de las refinerías de Cartagena y Barrancabermeja, además de la importación en momentos de alta demanda.</w:t>
      </w:r>
    </w:p>
    <w:p w14:paraId="3A253313" w14:textId="77777777" w:rsidR="001212B1" w:rsidRPr="00EF22E0" w:rsidRDefault="001212B1" w:rsidP="001212B1">
      <w:pPr>
        <w:spacing w:line="360" w:lineRule="auto"/>
        <w:jc w:val="left"/>
        <w:rPr>
          <w:rFonts w:ascii="Helvetica" w:hAnsi="Helvetica" w:cs="Helvetica"/>
          <w:szCs w:val="24"/>
          <w:lang w:val="es-419"/>
        </w:rPr>
      </w:pPr>
    </w:p>
    <w:p w14:paraId="40253851" w14:textId="2ACF844D" w:rsidR="001212B1" w:rsidRPr="00EF22E0" w:rsidRDefault="001212B1" w:rsidP="001212B1">
      <w:pPr>
        <w:pStyle w:val="Descripcin"/>
        <w:rPr>
          <w:rFonts w:ascii="Helvetica" w:hAnsi="Helvetica" w:cs="Helvetica"/>
          <w:sz w:val="24"/>
          <w:szCs w:val="24"/>
        </w:rPr>
      </w:pPr>
      <w:bookmarkStart w:id="11" w:name="_Ref146815875"/>
      <w:bookmarkStart w:id="12" w:name="_Toc167896841"/>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w:t>
      </w:r>
      <w:r w:rsidRPr="00EF22E0">
        <w:rPr>
          <w:rFonts w:ascii="Helvetica" w:hAnsi="Helvetica" w:cs="Helvetica"/>
          <w:sz w:val="24"/>
          <w:szCs w:val="24"/>
        </w:rPr>
        <w:fldChar w:fldCharType="end"/>
      </w:r>
      <w:bookmarkEnd w:id="11"/>
      <w:r w:rsidRPr="00EF22E0">
        <w:rPr>
          <w:rFonts w:ascii="Helvetica" w:hAnsi="Helvetica" w:cs="Helvetica"/>
          <w:sz w:val="24"/>
          <w:szCs w:val="24"/>
        </w:rPr>
        <w:t>. Producción de Jet A1</w:t>
      </w:r>
      <w:bookmarkEnd w:id="12"/>
    </w:p>
    <w:p w14:paraId="6EEE6226" w14:textId="77777777" w:rsidR="001212B1" w:rsidRPr="00EF22E0" w:rsidRDefault="001212B1" w:rsidP="001212B1">
      <w:pPr>
        <w:pStyle w:val="Descripcin"/>
        <w:rPr>
          <w:rFonts w:ascii="Helvetica" w:hAnsi="Helvetica" w:cs="Helvetica"/>
          <w:sz w:val="24"/>
          <w:szCs w:val="24"/>
          <w:lang w:val="es-419"/>
        </w:rPr>
      </w:pPr>
    </w:p>
    <w:p w14:paraId="4A384D21" w14:textId="77777777" w:rsidR="001212B1" w:rsidRPr="00EF22E0" w:rsidRDefault="001212B1" w:rsidP="001212B1">
      <w:pPr>
        <w:keepNext/>
        <w:spacing w:line="360" w:lineRule="auto"/>
        <w:jc w:val="left"/>
        <w:rPr>
          <w:rFonts w:ascii="Helvetica" w:hAnsi="Helvetica" w:cs="Helvetica"/>
          <w:szCs w:val="24"/>
        </w:rPr>
      </w:pPr>
      <w:r w:rsidRPr="00EF22E0">
        <w:rPr>
          <w:rFonts w:ascii="Helvetica" w:hAnsi="Helvetica" w:cs="Helvetica"/>
          <w:noProof/>
          <w:szCs w:val="24"/>
          <w:lang w:val="es-419"/>
        </w:rPr>
        <w:drawing>
          <wp:inline distT="0" distB="0" distL="0" distR="0" wp14:anchorId="12844D8D" wp14:editId="789FCBD2">
            <wp:extent cx="5829300" cy="2905125"/>
            <wp:effectExtent l="0" t="0" r="0" b="0"/>
            <wp:docPr id="199565727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F3D89B"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Fuente: SICOM, 2023</w:t>
      </w:r>
    </w:p>
    <w:p w14:paraId="61C9A88B" w14:textId="77777777" w:rsidR="001212B1" w:rsidRPr="00EF22E0" w:rsidRDefault="001212B1" w:rsidP="001212B1">
      <w:pPr>
        <w:spacing w:line="360" w:lineRule="auto"/>
        <w:jc w:val="left"/>
        <w:rPr>
          <w:rFonts w:ascii="Helvetica" w:hAnsi="Helvetica" w:cs="Helvetica"/>
          <w:szCs w:val="24"/>
          <w:lang w:val="es-419"/>
        </w:rPr>
      </w:pPr>
    </w:p>
    <w:p w14:paraId="1053CE9D" w14:textId="6B52E54B"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 xml:space="preserve">Como se muestra en la </w:t>
      </w:r>
      <w:r w:rsidRPr="00EF22E0">
        <w:rPr>
          <w:rFonts w:ascii="Helvetica" w:hAnsi="Helvetica" w:cs="Helvetica"/>
          <w:szCs w:val="24"/>
          <w:lang w:val="es-419"/>
        </w:rPr>
        <w:fldChar w:fldCharType="begin"/>
      </w:r>
      <w:r w:rsidRPr="00EF22E0">
        <w:rPr>
          <w:rFonts w:ascii="Helvetica" w:hAnsi="Helvetica" w:cs="Helvetica"/>
          <w:szCs w:val="24"/>
          <w:lang w:val="es-419"/>
        </w:rPr>
        <w:instrText xml:space="preserve"> REF _Ref146815875 \h  \* MERGEFORMAT </w:instrText>
      </w:r>
      <w:r w:rsidRPr="00EF22E0">
        <w:rPr>
          <w:rFonts w:ascii="Helvetica" w:hAnsi="Helvetica" w:cs="Helvetica"/>
          <w:szCs w:val="24"/>
          <w:lang w:val="es-419"/>
        </w:rPr>
      </w:r>
      <w:r w:rsidRPr="00EF22E0">
        <w:rPr>
          <w:rFonts w:ascii="Helvetica" w:hAnsi="Helvetica" w:cs="Helvetica"/>
          <w:szCs w:val="24"/>
          <w:lang w:val="es-419"/>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1</w:t>
      </w:r>
      <w:r w:rsidRPr="00EF22E0">
        <w:rPr>
          <w:rFonts w:ascii="Helvetica" w:hAnsi="Helvetica" w:cs="Helvetica"/>
          <w:szCs w:val="24"/>
          <w:lang w:val="es-419"/>
        </w:rPr>
        <w:fldChar w:fldCharType="end"/>
      </w:r>
      <w:r w:rsidRPr="00EF22E0">
        <w:rPr>
          <w:rFonts w:ascii="Helvetica" w:hAnsi="Helvetica" w:cs="Helvetica"/>
          <w:szCs w:val="24"/>
          <w:lang w:val="es-419"/>
        </w:rPr>
        <w:t>, la refinería de Barrancabermeja produce en promedio el 75% de la producción nacional, mientras que el 25% restante es producido por la de Cartagena. El crecimiento promedio anual de la producción de Jet A1 ha sido del 2,7% entre 2009 y 2019, superando los 30 kBPD. La pandemia afectó la producción en un 38% en 2020, cayendo a niveles por debajo de los 20 kBPD. En 2022 y 2023 se logró superar el nivel de producción prepandemia, alcanzando niveles de 35 kBPD y 41 kBPD respectivamente.</w:t>
      </w:r>
    </w:p>
    <w:p w14:paraId="7A2A2902" w14:textId="77777777" w:rsidR="001212B1" w:rsidRPr="00EF22E0" w:rsidRDefault="001212B1" w:rsidP="001212B1">
      <w:pPr>
        <w:spacing w:line="360" w:lineRule="auto"/>
        <w:jc w:val="left"/>
        <w:rPr>
          <w:rFonts w:ascii="Helvetica" w:hAnsi="Helvetica" w:cs="Helvetica"/>
          <w:szCs w:val="24"/>
          <w:lang w:val="es-419"/>
        </w:rPr>
      </w:pPr>
    </w:p>
    <w:p w14:paraId="3E7438F9" w14:textId="3F27CF93" w:rsidR="001212B1" w:rsidRPr="00EF22E0" w:rsidRDefault="001212B1" w:rsidP="001212B1">
      <w:pPr>
        <w:pStyle w:val="Descripcin"/>
        <w:rPr>
          <w:rFonts w:ascii="Helvetica" w:hAnsi="Helvetica" w:cs="Helvetica"/>
          <w:sz w:val="24"/>
          <w:szCs w:val="24"/>
        </w:rPr>
      </w:pPr>
      <w:bookmarkStart w:id="13" w:name="_Ref146721806"/>
      <w:bookmarkStart w:id="14" w:name="_Toc167896842"/>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2</w:t>
      </w:r>
      <w:r w:rsidRPr="00EF22E0">
        <w:rPr>
          <w:rFonts w:ascii="Helvetica" w:hAnsi="Helvetica" w:cs="Helvetica"/>
          <w:sz w:val="24"/>
          <w:szCs w:val="24"/>
        </w:rPr>
        <w:fldChar w:fldCharType="end"/>
      </w:r>
      <w:bookmarkEnd w:id="13"/>
      <w:r w:rsidRPr="00EF22E0">
        <w:rPr>
          <w:rFonts w:ascii="Helvetica" w:hAnsi="Helvetica" w:cs="Helvetica"/>
          <w:sz w:val="24"/>
          <w:szCs w:val="24"/>
        </w:rPr>
        <w:t>. Importación de Jet A1</w:t>
      </w:r>
      <w:bookmarkEnd w:id="14"/>
    </w:p>
    <w:p w14:paraId="0BBA7D0E"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noProof/>
          <w:szCs w:val="24"/>
          <w:lang w:val="es-419"/>
        </w:rPr>
        <w:drawing>
          <wp:inline distT="0" distB="0" distL="0" distR="0" wp14:anchorId="255B40EF" wp14:editId="38D6DE3A">
            <wp:extent cx="4680000" cy="2160000"/>
            <wp:effectExtent l="0" t="0" r="6350" b="0"/>
            <wp:docPr id="215755504" name="Gráfico 215755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5C3856"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Fuente: SICOM, 2023</w:t>
      </w:r>
    </w:p>
    <w:p w14:paraId="48EA0233" w14:textId="77777777" w:rsidR="001212B1" w:rsidRPr="00EF22E0" w:rsidRDefault="001212B1" w:rsidP="001212B1">
      <w:pPr>
        <w:spacing w:line="360" w:lineRule="auto"/>
        <w:jc w:val="left"/>
        <w:rPr>
          <w:rFonts w:ascii="Helvetica" w:hAnsi="Helvetica" w:cs="Helvetica"/>
          <w:szCs w:val="24"/>
          <w:lang w:val="es-419"/>
        </w:rPr>
      </w:pPr>
    </w:p>
    <w:p w14:paraId="546338E4" w14:textId="508A59F4"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 xml:space="preserve">Si bien la producción de las refinerías puede cubrir la mayor parte del consumo nacional de Jet A1, la importación ha sido el mecanismo para atender el exceso de demanda. La </w:t>
      </w:r>
      <w:r w:rsidRPr="00EF22E0">
        <w:rPr>
          <w:rFonts w:ascii="Helvetica" w:hAnsi="Helvetica" w:cs="Helvetica"/>
          <w:szCs w:val="24"/>
          <w:lang w:val="es-419"/>
        </w:rPr>
        <w:fldChar w:fldCharType="begin"/>
      </w:r>
      <w:r w:rsidRPr="00EF22E0">
        <w:rPr>
          <w:rFonts w:ascii="Helvetica" w:hAnsi="Helvetica" w:cs="Helvetica"/>
          <w:szCs w:val="24"/>
          <w:lang w:val="es-419"/>
        </w:rPr>
        <w:instrText xml:space="preserve"> REF _Ref146721806 \h  \* MERGEFORMAT </w:instrText>
      </w:r>
      <w:r w:rsidRPr="00EF22E0">
        <w:rPr>
          <w:rFonts w:ascii="Helvetica" w:hAnsi="Helvetica" w:cs="Helvetica"/>
          <w:szCs w:val="24"/>
          <w:lang w:val="es-419"/>
        </w:rPr>
      </w:r>
      <w:r w:rsidRPr="00EF22E0">
        <w:rPr>
          <w:rFonts w:ascii="Helvetica" w:hAnsi="Helvetica" w:cs="Helvetica"/>
          <w:szCs w:val="24"/>
          <w:lang w:val="es-419"/>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2</w:t>
      </w:r>
      <w:r w:rsidRPr="00EF22E0">
        <w:rPr>
          <w:rFonts w:ascii="Helvetica" w:hAnsi="Helvetica" w:cs="Helvetica"/>
          <w:szCs w:val="24"/>
          <w:lang w:val="es-419"/>
        </w:rPr>
        <w:fldChar w:fldCharType="end"/>
      </w:r>
      <w:r w:rsidRPr="00EF22E0">
        <w:rPr>
          <w:rFonts w:ascii="Helvetica" w:hAnsi="Helvetica" w:cs="Helvetica"/>
          <w:szCs w:val="24"/>
          <w:lang w:val="es-419"/>
        </w:rPr>
        <w:t xml:space="preserve"> muestra como las importaciones aumentaron entre 2013 y 2015, alcanzando un máximo de alrededor de 7 KBPD. De igual manera, se observa a partir del 2016, una disminución del 63% en el volumen de importaciones en comparación con 2015, como consecuencia de la incorporación de una mayor capacidad en la refinería de Cartagena en 2016.</w:t>
      </w:r>
    </w:p>
    <w:p w14:paraId="7D8A5EE9" w14:textId="77777777" w:rsidR="001212B1" w:rsidRPr="00EF22E0" w:rsidRDefault="001212B1" w:rsidP="001212B1">
      <w:pPr>
        <w:spacing w:line="360" w:lineRule="auto"/>
        <w:jc w:val="left"/>
        <w:rPr>
          <w:rFonts w:ascii="Helvetica" w:hAnsi="Helvetica" w:cs="Helvetica"/>
          <w:szCs w:val="24"/>
        </w:rPr>
      </w:pPr>
    </w:p>
    <w:p w14:paraId="406819EA" w14:textId="77777777" w:rsidR="001212B1" w:rsidRPr="00EF22E0" w:rsidRDefault="001212B1" w:rsidP="001212B1">
      <w:pPr>
        <w:pStyle w:val="Ttulo3"/>
        <w:numPr>
          <w:ilvl w:val="2"/>
          <w:numId w:val="1"/>
        </w:numPr>
        <w:spacing w:line="360" w:lineRule="auto"/>
        <w:jc w:val="left"/>
        <w:rPr>
          <w:rFonts w:ascii="Helvetica" w:hAnsi="Helvetica" w:cs="Helvetica"/>
          <w:szCs w:val="24"/>
        </w:rPr>
      </w:pPr>
      <w:r w:rsidRPr="00EF22E0">
        <w:rPr>
          <w:rFonts w:ascii="Helvetica" w:hAnsi="Helvetica" w:cs="Helvetica"/>
          <w:szCs w:val="24"/>
        </w:rPr>
        <w:lastRenderedPageBreak/>
        <w:t>Consumo</w:t>
      </w:r>
    </w:p>
    <w:p w14:paraId="74B6F6DA" w14:textId="3FDC34C5"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 xml:space="preserve">Desde el año 2009, la demanda ha experimentado un aumento anual promedio del 4,5%. Sin embargo, con la llegada de la pandemia en 2020 y las consiguientes medidas sanitarias a nivel mundial (aislamientos preventivos, cierre de fronteras, etc.), se presentó una caída de alrededor del 50%. Incluso llegó a niveles de consumo inferiores a los que se presentaron en 2009 (por debajo de 15 kBPD). La recuperación del consumo de Jet A-1 no fue la misma que la de otros combustibles líquidos como la </w:t>
      </w:r>
      <w:bookmarkStart w:id="15" w:name="_Int_pmv8PpDn"/>
      <w:r w:rsidRPr="00EF22E0">
        <w:rPr>
          <w:rFonts w:ascii="Helvetica" w:hAnsi="Helvetica" w:cs="Helvetica"/>
          <w:szCs w:val="24"/>
          <w:lang w:val="es-419"/>
        </w:rPr>
        <w:t>gasolina motor</w:t>
      </w:r>
      <w:bookmarkEnd w:id="15"/>
      <w:r w:rsidRPr="00EF22E0">
        <w:rPr>
          <w:rFonts w:ascii="Helvetica" w:hAnsi="Helvetica" w:cs="Helvetica"/>
          <w:szCs w:val="24"/>
          <w:lang w:val="es-419"/>
        </w:rPr>
        <w:t xml:space="preserve"> corriente o el ACPM-diésel; solo alcanzó y superó el nivel de demanda prepandemia en 2022, como se muestra en la </w:t>
      </w:r>
      <w:r w:rsidRPr="00EF22E0">
        <w:rPr>
          <w:rFonts w:ascii="Helvetica" w:hAnsi="Helvetica" w:cs="Helvetica"/>
          <w:szCs w:val="24"/>
          <w:lang w:val="es-419"/>
        </w:rPr>
        <w:fldChar w:fldCharType="begin"/>
      </w:r>
      <w:r w:rsidRPr="00EF22E0">
        <w:rPr>
          <w:rFonts w:ascii="Helvetica" w:hAnsi="Helvetica" w:cs="Helvetica"/>
          <w:szCs w:val="24"/>
          <w:lang w:val="es-419"/>
        </w:rPr>
        <w:instrText xml:space="preserve"> REF _Ref146722198 \h  \* MERGEFORMAT </w:instrText>
      </w:r>
      <w:r w:rsidRPr="00EF22E0">
        <w:rPr>
          <w:rFonts w:ascii="Helvetica" w:hAnsi="Helvetica" w:cs="Helvetica"/>
          <w:szCs w:val="24"/>
          <w:lang w:val="es-419"/>
        </w:rPr>
      </w:r>
      <w:r w:rsidRPr="00EF22E0">
        <w:rPr>
          <w:rFonts w:ascii="Helvetica" w:hAnsi="Helvetica" w:cs="Helvetica"/>
          <w:szCs w:val="24"/>
          <w:lang w:val="es-419"/>
        </w:rPr>
        <w:fldChar w:fldCharType="separate"/>
      </w:r>
      <w:r w:rsidR="00874DC3" w:rsidRPr="00EF22E0">
        <w:rPr>
          <w:rFonts w:ascii="Helvetica" w:hAnsi="Helvetica" w:cs="Helvetica"/>
          <w:szCs w:val="24"/>
        </w:rPr>
        <w:t xml:space="preserve">Figura </w:t>
      </w:r>
      <w:r w:rsidR="00874DC3">
        <w:rPr>
          <w:rFonts w:ascii="Helvetica" w:hAnsi="Helvetica" w:cs="Helvetica"/>
          <w:szCs w:val="24"/>
        </w:rPr>
        <w:t>3</w:t>
      </w:r>
      <w:r w:rsidRPr="00EF22E0">
        <w:rPr>
          <w:rFonts w:ascii="Helvetica" w:hAnsi="Helvetica" w:cs="Helvetica"/>
          <w:szCs w:val="24"/>
          <w:lang w:val="es-419"/>
        </w:rPr>
        <w:fldChar w:fldCharType="end"/>
      </w:r>
      <w:r w:rsidRPr="00EF22E0">
        <w:rPr>
          <w:rFonts w:ascii="Helvetica" w:hAnsi="Helvetica" w:cs="Helvetica"/>
          <w:szCs w:val="24"/>
          <w:lang w:val="es-419"/>
        </w:rPr>
        <w:t>.</w:t>
      </w:r>
    </w:p>
    <w:p w14:paraId="2A290906" w14:textId="77777777" w:rsidR="001212B1" w:rsidRPr="00EF22E0" w:rsidRDefault="001212B1" w:rsidP="001212B1">
      <w:pPr>
        <w:spacing w:line="360" w:lineRule="auto"/>
        <w:jc w:val="left"/>
        <w:rPr>
          <w:rFonts w:ascii="Helvetica" w:hAnsi="Helvetica" w:cs="Helvetica"/>
          <w:szCs w:val="24"/>
          <w:lang w:val="es-419"/>
        </w:rPr>
      </w:pPr>
    </w:p>
    <w:p w14:paraId="034C0087" w14:textId="00C6AFD4" w:rsidR="001212B1" w:rsidRPr="00EF22E0" w:rsidRDefault="001212B1" w:rsidP="001212B1">
      <w:pPr>
        <w:pStyle w:val="Descripcin"/>
        <w:spacing w:line="360" w:lineRule="auto"/>
        <w:rPr>
          <w:rFonts w:ascii="Helvetica" w:hAnsi="Helvetica" w:cs="Helvetica"/>
          <w:sz w:val="24"/>
          <w:szCs w:val="24"/>
        </w:rPr>
      </w:pPr>
      <w:bookmarkStart w:id="16" w:name="_Ref146722198"/>
      <w:bookmarkStart w:id="17" w:name="_Toc167896843"/>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3</w:t>
      </w:r>
      <w:r w:rsidRPr="00EF22E0">
        <w:rPr>
          <w:rFonts w:ascii="Helvetica" w:hAnsi="Helvetica" w:cs="Helvetica"/>
          <w:sz w:val="24"/>
          <w:szCs w:val="24"/>
        </w:rPr>
        <w:fldChar w:fldCharType="end"/>
      </w:r>
      <w:bookmarkEnd w:id="16"/>
      <w:r w:rsidRPr="00EF22E0">
        <w:rPr>
          <w:rFonts w:ascii="Helvetica" w:hAnsi="Helvetica" w:cs="Helvetica"/>
          <w:sz w:val="24"/>
          <w:szCs w:val="24"/>
        </w:rPr>
        <w:t>. Consumo de Jet A1</w:t>
      </w:r>
      <w:bookmarkEnd w:id="17"/>
    </w:p>
    <w:p w14:paraId="15BCEA40"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noProof/>
          <w:szCs w:val="24"/>
        </w:rPr>
        <w:drawing>
          <wp:inline distT="0" distB="0" distL="0" distR="0" wp14:anchorId="261822E6" wp14:editId="06FFA481">
            <wp:extent cx="4965700" cy="2697480"/>
            <wp:effectExtent l="0" t="0" r="6350" b="7620"/>
            <wp:docPr id="4" name="Gráfico 4">
              <a:extLst xmlns:a="http://schemas.openxmlformats.org/drawingml/2006/main">
                <a:ext uri="{FF2B5EF4-FFF2-40B4-BE49-F238E27FC236}">
                  <a16:creationId xmlns:a16="http://schemas.microsoft.com/office/drawing/2014/main" id="{5C0C9CC8-9E91-B530-81DA-C54E89F2F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735D5E"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Fuente: SICOM, 2023</w:t>
      </w:r>
    </w:p>
    <w:p w14:paraId="63D18788" w14:textId="77777777" w:rsidR="001212B1" w:rsidRPr="00EF22E0" w:rsidRDefault="001212B1" w:rsidP="001212B1">
      <w:pPr>
        <w:spacing w:line="360" w:lineRule="auto"/>
        <w:jc w:val="left"/>
        <w:rPr>
          <w:rFonts w:ascii="Helvetica" w:hAnsi="Helvetica" w:cs="Helvetica"/>
          <w:szCs w:val="24"/>
        </w:rPr>
      </w:pPr>
    </w:p>
    <w:p w14:paraId="784968EF" w14:textId="77777777" w:rsidR="001212B1" w:rsidRPr="00EF22E0" w:rsidRDefault="001212B1" w:rsidP="001212B1">
      <w:pPr>
        <w:pStyle w:val="Ttulo3"/>
        <w:numPr>
          <w:ilvl w:val="2"/>
          <w:numId w:val="1"/>
        </w:numPr>
        <w:spacing w:line="360" w:lineRule="auto"/>
        <w:jc w:val="left"/>
        <w:rPr>
          <w:rFonts w:ascii="Helvetica" w:hAnsi="Helvetica" w:cs="Helvetica"/>
          <w:szCs w:val="24"/>
        </w:rPr>
      </w:pPr>
      <w:r w:rsidRPr="00EF22E0">
        <w:rPr>
          <w:rFonts w:ascii="Helvetica" w:hAnsi="Helvetica" w:cs="Helvetica"/>
          <w:szCs w:val="24"/>
        </w:rPr>
        <w:t>Balance</w:t>
      </w:r>
    </w:p>
    <w:p w14:paraId="334B94AF" w14:textId="63CE0509"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 xml:space="preserve">El balance histórico muestra un equilibrio dadas algunas importaciones entre 2012 y 2019, la cuales se coinciden con la dependencia de oferta de la refinería de </w:t>
      </w:r>
      <w:r w:rsidRPr="00EF22E0">
        <w:rPr>
          <w:rFonts w:ascii="Helvetica" w:hAnsi="Helvetica" w:cs="Helvetica"/>
          <w:szCs w:val="24"/>
        </w:rPr>
        <w:lastRenderedPageBreak/>
        <w:t>Barrancabermeja hasta el año 2015, año en</w:t>
      </w:r>
      <w:r>
        <w:rPr>
          <w:rFonts w:ascii="Helvetica" w:hAnsi="Helvetica" w:cs="Helvetica"/>
          <w:szCs w:val="24"/>
        </w:rPr>
        <w:t xml:space="preserve"> el</w:t>
      </w:r>
      <w:r w:rsidRPr="00EF22E0">
        <w:rPr>
          <w:rFonts w:ascii="Helvetica" w:hAnsi="Helvetica" w:cs="Helvetica"/>
          <w:szCs w:val="24"/>
        </w:rPr>
        <w:t xml:space="preserve"> cual entró en operación la refinería de Cartagena, tal como se muestra en la </w:t>
      </w:r>
      <w:r w:rsidRPr="00EF22E0">
        <w:rPr>
          <w:rFonts w:ascii="Helvetica" w:hAnsi="Helvetica" w:cs="Helvetica"/>
          <w:szCs w:val="24"/>
        </w:rPr>
        <w:fldChar w:fldCharType="begin"/>
      </w:r>
      <w:r w:rsidRPr="00EF22E0">
        <w:rPr>
          <w:rFonts w:ascii="Helvetica" w:hAnsi="Helvetica" w:cs="Helvetica"/>
          <w:szCs w:val="24"/>
        </w:rPr>
        <w:instrText xml:space="preserve"> REF _Ref146724140 \h  \* MERGEFORMAT </w:instrText>
      </w:r>
      <w:r w:rsidRPr="00EF22E0">
        <w:rPr>
          <w:rFonts w:ascii="Helvetica" w:hAnsi="Helvetica" w:cs="Helvetica"/>
          <w:szCs w:val="24"/>
        </w:rPr>
      </w:r>
      <w:r w:rsidRPr="00EF22E0">
        <w:rPr>
          <w:rFonts w:ascii="Helvetica" w:hAnsi="Helvetica" w:cs="Helvetica"/>
          <w:szCs w:val="24"/>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4</w:t>
      </w:r>
      <w:r w:rsidRPr="00EF22E0">
        <w:rPr>
          <w:rFonts w:ascii="Helvetica" w:hAnsi="Helvetica" w:cs="Helvetica"/>
          <w:szCs w:val="24"/>
        </w:rPr>
        <w:fldChar w:fldCharType="end"/>
      </w:r>
      <w:r w:rsidRPr="00EF22E0">
        <w:rPr>
          <w:rFonts w:ascii="Helvetica" w:hAnsi="Helvetica" w:cs="Helvetica"/>
          <w:szCs w:val="24"/>
        </w:rPr>
        <w:t>.</w:t>
      </w:r>
    </w:p>
    <w:p w14:paraId="7593BACA" w14:textId="77777777" w:rsidR="001212B1" w:rsidRPr="00EF22E0" w:rsidRDefault="001212B1" w:rsidP="001212B1">
      <w:pPr>
        <w:pStyle w:val="Descripcin"/>
        <w:spacing w:line="360" w:lineRule="auto"/>
        <w:rPr>
          <w:rFonts w:ascii="Helvetica" w:hAnsi="Helvetica" w:cs="Helvetica"/>
          <w:sz w:val="24"/>
          <w:szCs w:val="24"/>
        </w:rPr>
      </w:pPr>
    </w:p>
    <w:p w14:paraId="3F71C095" w14:textId="40B16473" w:rsidR="001212B1" w:rsidRPr="00EF22E0" w:rsidRDefault="001212B1" w:rsidP="001212B1">
      <w:pPr>
        <w:pStyle w:val="Descripcin"/>
        <w:spacing w:line="360" w:lineRule="auto"/>
        <w:rPr>
          <w:rFonts w:ascii="Helvetica" w:hAnsi="Helvetica" w:cs="Helvetica"/>
          <w:sz w:val="24"/>
          <w:szCs w:val="24"/>
        </w:rPr>
      </w:pPr>
      <w:bookmarkStart w:id="18" w:name="_Ref146724140"/>
      <w:bookmarkStart w:id="19" w:name="_Toc167896844"/>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4</w:t>
      </w:r>
      <w:r w:rsidRPr="00EF22E0">
        <w:rPr>
          <w:rFonts w:ascii="Helvetica" w:hAnsi="Helvetica" w:cs="Helvetica"/>
          <w:sz w:val="24"/>
          <w:szCs w:val="24"/>
        </w:rPr>
        <w:fldChar w:fldCharType="end"/>
      </w:r>
      <w:bookmarkEnd w:id="18"/>
      <w:r w:rsidRPr="00EF22E0">
        <w:rPr>
          <w:rFonts w:ascii="Helvetica" w:hAnsi="Helvetica" w:cs="Helvetica"/>
          <w:sz w:val="24"/>
          <w:szCs w:val="24"/>
        </w:rPr>
        <w:t>. Balance histórico de Jet A1</w:t>
      </w:r>
      <w:bookmarkEnd w:id="19"/>
    </w:p>
    <w:p w14:paraId="09F5EEDF"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noProof/>
          <w:szCs w:val="24"/>
        </w:rPr>
        <w:drawing>
          <wp:inline distT="0" distB="0" distL="0" distR="0" wp14:anchorId="18569F44" wp14:editId="4E28A23C">
            <wp:extent cx="5232400" cy="2357252"/>
            <wp:effectExtent l="0" t="0" r="6350" b="5080"/>
            <wp:docPr id="3" name="Gráfico 3">
              <a:extLst xmlns:a="http://schemas.openxmlformats.org/drawingml/2006/main">
                <a:ext uri="{FF2B5EF4-FFF2-40B4-BE49-F238E27FC236}">
                  <a16:creationId xmlns:a16="http://schemas.microsoft.com/office/drawing/2014/main" id="{5C0C9CC8-9E91-B530-81DA-C54E89F2F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D99337"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Fuente: SICOM, 2023</w:t>
      </w:r>
    </w:p>
    <w:p w14:paraId="47F17348" w14:textId="77777777" w:rsidR="001212B1" w:rsidRPr="00EF22E0" w:rsidRDefault="001212B1" w:rsidP="001212B1">
      <w:pPr>
        <w:spacing w:line="360" w:lineRule="auto"/>
        <w:jc w:val="left"/>
        <w:rPr>
          <w:rFonts w:ascii="Helvetica" w:hAnsi="Helvetica" w:cs="Helvetica"/>
          <w:szCs w:val="24"/>
        </w:rPr>
      </w:pPr>
    </w:p>
    <w:p w14:paraId="14E063E1"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Por otra parte, de acuerdo con las proyecciones de demanda de Jet A1 presentadas por la UPME en junio de 2022 y con base en el escenario de oferta presentado por la misma entidad en su Plan de Abastecimiento de Combustibles líquidos (30.000 BPD), se proyecta la necesidad de importación de producto para cubrir el exceso de demanda</w:t>
      </w:r>
      <w:r w:rsidRPr="00EF22E0">
        <w:rPr>
          <w:rStyle w:val="Refdenotaalpie"/>
          <w:rFonts w:ascii="Helvetica" w:hAnsi="Helvetica" w:cs="Helvetica"/>
          <w:szCs w:val="24"/>
          <w:lang w:val="es-ES"/>
        </w:rPr>
        <w:footnoteReference w:id="12"/>
      </w:r>
      <w:r w:rsidRPr="00EF22E0">
        <w:rPr>
          <w:rFonts w:ascii="Helvetica" w:hAnsi="Helvetica" w:cs="Helvetica"/>
          <w:szCs w:val="24"/>
          <w:lang w:val="es-ES"/>
        </w:rPr>
        <w:t>, con unas tasas anuales promedio de crecimiento de 4,63% en el período 2022 – 2035 en el escenario medio de proyección.</w:t>
      </w:r>
    </w:p>
    <w:p w14:paraId="7F647697" w14:textId="77777777" w:rsidR="001212B1" w:rsidRPr="00EF22E0" w:rsidRDefault="001212B1" w:rsidP="001212B1">
      <w:pPr>
        <w:spacing w:line="360" w:lineRule="auto"/>
        <w:jc w:val="left"/>
        <w:rPr>
          <w:rFonts w:ascii="Helvetica" w:hAnsi="Helvetica" w:cs="Helvetica"/>
          <w:szCs w:val="24"/>
          <w:lang w:val="es-ES"/>
        </w:rPr>
      </w:pPr>
    </w:p>
    <w:p w14:paraId="4C26867A" w14:textId="56140699" w:rsidR="001212B1" w:rsidRPr="00EF22E0" w:rsidRDefault="001212B1" w:rsidP="001212B1">
      <w:pPr>
        <w:pStyle w:val="Descripcin"/>
        <w:spacing w:line="360" w:lineRule="auto"/>
        <w:rPr>
          <w:rFonts w:ascii="Helvetica" w:hAnsi="Helvetica" w:cs="Helvetica"/>
          <w:sz w:val="24"/>
          <w:szCs w:val="24"/>
        </w:rPr>
      </w:pPr>
      <w:bookmarkStart w:id="20" w:name="_Ref155715131"/>
      <w:bookmarkStart w:id="21" w:name="_Toc167896845"/>
      <w:r w:rsidRPr="00EF22E0">
        <w:rPr>
          <w:rFonts w:ascii="Helvetica" w:hAnsi="Helvetica" w:cs="Helvetica"/>
          <w:sz w:val="24"/>
          <w:szCs w:val="24"/>
        </w:rPr>
        <w:lastRenderedPageBreak/>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5</w:t>
      </w:r>
      <w:r w:rsidRPr="00EF22E0">
        <w:rPr>
          <w:rFonts w:ascii="Helvetica" w:hAnsi="Helvetica" w:cs="Helvetica"/>
          <w:sz w:val="24"/>
          <w:szCs w:val="24"/>
        </w:rPr>
        <w:fldChar w:fldCharType="end"/>
      </w:r>
      <w:bookmarkEnd w:id="20"/>
      <w:r w:rsidRPr="00EF22E0">
        <w:rPr>
          <w:rFonts w:ascii="Helvetica" w:hAnsi="Helvetica" w:cs="Helvetica"/>
          <w:sz w:val="24"/>
          <w:szCs w:val="24"/>
        </w:rPr>
        <w:t>. Balance proyectado de Jet A1</w:t>
      </w:r>
      <w:bookmarkEnd w:id="21"/>
    </w:p>
    <w:p w14:paraId="7D01C777" w14:textId="77777777" w:rsidR="001212B1" w:rsidRPr="00EF22E0" w:rsidRDefault="001212B1" w:rsidP="001212B1">
      <w:pPr>
        <w:keepNext/>
        <w:spacing w:line="360" w:lineRule="auto"/>
        <w:ind w:left="708" w:hanging="708"/>
        <w:jc w:val="left"/>
        <w:rPr>
          <w:rFonts w:ascii="Helvetica" w:hAnsi="Helvetica" w:cs="Helvetica"/>
          <w:szCs w:val="24"/>
        </w:rPr>
      </w:pPr>
      <w:r w:rsidRPr="00EF22E0">
        <w:rPr>
          <w:rFonts w:ascii="Helvetica" w:hAnsi="Helvetica" w:cs="Helvetica"/>
          <w:noProof/>
          <w:szCs w:val="24"/>
          <w:lang w:val="es-419"/>
        </w:rPr>
        <w:drawing>
          <wp:inline distT="0" distB="0" distL="0" distR="0" wp14:anchorId="07E4A9EC" wp14:editId="6A577934">
            <wp:extent cx="5486400" cy="3200400"/>
            <wp:effectExtent l="0" t="0" r="0" b="0"/>
            <wp:docPr id="7811530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E1591"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 xml:space="preserve">Fuente: Proyecciones de demanda de energéticos, Plan de Abastecimiento de Combustibles líquidos, UPME, 2022. </w:t>
      </w:r>
      <w:r w:rsidRPr="00EF22E0">
        <w:rPr>
          <w:rFonts w:ascii="Helvetica" w:hAnsi="Helvetica" w:cs="Helvetica"/>
          <w:szCs w:val="24"/>
        </w:rPr>
        <w:t xml:space="preserve">Reunión Ecopetrol – CREG, </w:t>
      </w:r>
      <w:r w:rsidRPr="00EF22E0">
        <w:rPr>
          <w:rFonts w:ascii="Helvetica" w:hAnsi="Helvetica" w:cs="Helvetica"/>
          <w:szCs w:val="24"/>
          <w:lang w:val="es-419"/>
        </w:rPr>
        <w:t>junio 15 de 2023. SICOM, 2023.</w:t>
      </w:r>
    </w:p>
    <w:p w14:paraId="769E46E5" w14:textId="77777777" w:rsidR="001212B1" w:rsidRPr="00EF22E0" w:rsidRDefault="001212B1" w:rsidP="001212B1">
      <w:pPr>
        <w:spacing w:line="360" w:lineRule="auto"/>
        <w:jc w:val="left"/>
        <w:rPr>
          <w:rFonts w:ascii="Helvetica" w:hAnsi="Helvetica" w:cs="Helvetica"/>
          <w:szCs w:val="24"/>
        </w:rPr>
      </w:pPr>
    </w:p>
    <w:p w14:paraId="3112BC9F"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Sin embargo, de acuerdo con información suministrada por Ecopetrol a la CREG, se dispone de una capacidad de producción promedio de 42.000 BPD.</w:t>
      </w:r>
    </w:p>
    <w:p w14:paraId="36DAFC4D" w14:textId="77777777" w:rsidR="001212B1" w:rsidRPr="00EF22E0" w:rsidRDefault="001212B1" w:rsidP="001212B1">
      <w:pPr>
        <w:spacing w:line="360" w:lineRule="auto"/>
        <w:jc w:val="left"/>
        <w:rPr>
          <w:rFonts w:ascii="Helvetica" w:hAnsi="Helvetica" w:cs="Helvetica"/>
          <w:szCs w:val="24"/>
        </w:rPr>
      </w:pPr>
    </w:p>
    <w:p w14:paraId="0A0DD5F7" w14:textId="77777777" w:rsidR="001212B1" w:rsidRPr="00EF22E0" w:rsidRDefault="001212B1" w:rsidP="001212B1">
      <w:pPr>
        <w:pStyle w:val="Ttulo3"/>
        <w:numPr>
          <w:ilvl w:val="2"/>
          <w:numId w:val="1"/>
        </w:numPr>
        <w:spacing w:line="360" w:lineRule="auto"/>
        <w:ind w:left="709"/>
        <w:jc w:val="left"/>
        <w:rPr>
          <w:rFonts w:ascii="Helvetica" w:hAnsi="Helvetica" w:cs="Helvetica"/>
          <w:szCs w:val="24"/>
        </w:rPr>
      </w:pPr>
      <w:r w:rsidRPr="00EF22E0">
        <w:rPr>
          <w:rFonts w:ascii="Helvetica" w:hAnsi="Helvetica" w:cs="Helvetica"/>
          <w:szCs w:val="24"/>
        </w:rPr>
        <w:t>Productos sustitutos del Jet A1</w:t>
      </w:r>
    </w:p>
    <w:p w14:paraId="4FD61CDA" w14:textId="77777777" w:rsidR="001212B1" w:rsidRPr="00EF22E0" w:rsidRDefault="001212B1" w:rsidP="001212B1">
      <w:pPr>
        <w:pStyle w:val="Ttulo4"/>
        <w:numPr>
          <w:ilvl w:val="3"/>
          <w:numId w:val="1"/>
        </w:numPr>
        <w:ind w:left="851" w:hanging="862"/>
        <w:jc w:val="left"/>
        <w:rPr>
          <w:rFonts w:ascii="Helvetica" w:hAnsi="Helvetica" w:cs="Helvetica"/>
          <w:szCs w:val="24"/>
        </w:rPr>
      </w:pPr>
      <w:r w:rsidRPr="00EF22E0">
        <w:rPr>
          <w:rStyle w:val="normaltextrun"/>
          <w:rFonts w:ascii="Helvetica" w:hAnsi="Helvetica" w:cs="Helvetica"/>
          <w:szCs w:val="24"/>
        </w:rPr>
        <w:t>Diferencia entre el Jet A1 a Jet A</w:t>
      </w:r>
    </w:p>
    <w:p w14:paraId="641DB2E8" w14:textId="77777777" w:rsidR="001212B1"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 xml:space="preserve">En la aviación civil se utilizan combustibles como el Jet A (especialmente en Estados Unidos), el Jet A1 (usado en Europa y el resto del mundo), el TS1 (usado en Rusia y otros estados que formaron parte de la Unión Soviética) y el Jet B (usado principalmente en el norte de Canadá y Alaska debido a que su punto de congelación es a -60°C). En la aviación militar, en particular en Estados Unidos, se usan el JP-5 y el </w:t>
      </w:r>
      <w:r w:rsidRPr="00EF22E0">
        <w:rPr>
          <w:rFonts w:ascii="Helvetica" w:hAnsi="Helvetica" w:cs="Helvetica"/>
          <w:szCs w:val="24"/>
          <w:lang w:val="es-ES"/>
        </w:rPr>
        <w:lastRenderedPageBreak/>
        <w:t>JP-8. Una de las razones para usar combustibles diferentes a los de la aviación civil es por la demanda de alto rendimiento que los motores de los jet de combate requieren del combustible</w:t>
      </w:r>
      <w:r w:rsidRPr="00EF22E0">
        <w:rPr>
          <w:rStyle w:val="Refdenotaalpie"/>
          <w:rFonts w:ascii="Helvetica" w:hAnsi="Helvetica" w:cs="Helvetica"/>
          <w:szCs w:val="24"/>
          <w:lang w:val="es-ES"/>
        </w:rPr>
        <w:footnoteReference w:id="13"/>
      </w:r>
      <w:r w:rsidRPr="00EF22E0">
        <w:rPr>
          <w:rFonts w:ascii="Helvetica" w:hAnsi="Helvetica" w:cs="Helvetica"/>
          <w:szCs w:val="24"/>
          <w:lang w:val="es-ES"/>
        </w:rPr>
        <w:t xml:space="preserve">. </w:t>
      </w:r>
    </w:p>
    <w:p w14:paraId="43D9E210" w14:textId="77777777" w:rsidR="00130134" w:rsidRPr="00EF22E0" w:rsidRDefault="00130134" w:rsidP="001212B1">
      <w:pPr>
        <w:spacing w:line="360" w:lineRule="auto"/>
        <w:jc w:val="left"/>
        <w:rPr>
          <w:rFonts w:ascii="Helvetica" w:hAnsi="Helvetica" w:cs="Helvetica"/>
          <w:szCs w:val="24"/>
          <w:lang w:val="es-ES"/>
        </w:rPr>
      </w:pPr>
    </w:p>
    <w:p w14:paraId="626554B5"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lang w:val="es-ES"/>
        </w:rPr>
        <w:t xml:space="preserve">En el caso de Colombia el combustible utilizado es el Jet A1. De acuerdo con las especificaciones técnicas, el combustible más cercano como potencial sustituto es el Jet </w:t>
      </w:r>
      <w:r w:rsidRPr="00EB60CD">
        <w:rPr>
          <w:rFonts w:ascii="Helvetica" w:hAnsi="Helvetica" w:cs="Helvetica"/>
          <w:szCs w:val="24"/>
          <w:lang w:val="es-ES"/>
        </w:rPr>
        <w:t>A</w:t>
      </w:r>
      <w:r w:rsidRPr="00EB60CD">
        <w:rPr>
          <w:rStyle w:val="Refdenotaalpie"/>
          <w:rFonts w:ascii="Helvetica" w:hAnsi="Helvetica" w:cs="Helvetica"/>
          <w:szCs w:val="24"/>
        </w:rPr>
        <w:footnoteReference w:id="14"/>
      </w:r>
      <w:r w:rsidRPr="00EB60CD">
        <w:rPr>
          <w:rFonts w:ascii="Helvetica" w:hAnsi="Helvetica" w:cs="Helvetica"/>
          <w:szCs w:val="24"/>
        </w:rPr>
        <w:t xml:space="preserve">. </w:t>
      </w:r>
      <w:r w:rsidRPr="00EF22E0">
        <w:rPr>
          <w:rFonts w:ascii="Helvetica" w:hAnsi="Helvetica" w:cs="Helvetica"/>
          <w:szCs w:val="24"/>
        </w:rPr>
        <w:t>Como lo ilustró el estudio desarrollado por Roberto Albán para la CREG en 2014 la principal diferencia entre estos dos combustibles es el punto de congelación</w:t>
      </w:r>
      <w:r w:rsidRPr="00EF22E0">
        <w:rPr>
          <w:rStyle w:val="Refdenotaalpie"/>
          <w:rFonts w:ascii="Helvetica" w:hAnsi="Helvetica" w:cs="Helvetica"/>
          <w:szCs w:val="24"/>
        </w:rPr>
        <w:footnoteReference w:id="15"/>
      </w:r>
      <w:r w:rsidRPr="00EF22E0">
        <w:rPr>
          <w:rFonts w:ascii="Helvetica" w:hAnsi="Helvetica" w:cs="Helvetica"/>
          <w:szCs w:val="24"/>
        </w:rPr>
        <w:t xml:space="preserve">. </w:t>
      </w:r>
    </w:p>
    <w:p w14:paraId="646F8934"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A continuación, se presentan las especificaciones técnicas de las diferentes clases de Jet usados en la aviación comercial:</w:t>
      </w:r>
    </w:p>
    <w:p w14:paraId="25EF8DD9" w14:textId="79C25155" w:rsidR="001212B1" w:rsidRPr="00EF22E0" w:rsidRDefault="001212B1" w:rsidP="001212B1">
      <w:pPr>
        <w:pStyle w:val="Descripcin"/>
        <w:rPr>
          <w:rFonts w:ascii="Helvetica" w:hAnsi="Helvetica" w:cs="Helvetica"/>
          <w:sz w:val="24"/>
          <w:szCs w:val="24"/>
        </w:rPr>
      </w:pPr>
      <w:r w:rsidRPr="00EF22E0">
        <w:rPr>
          <w:rFonts w:ascii="Helvetica" w:hAnsi="Helvetica" w:cs="Helvetica"/>
          <w:sz w:val="24"/>
          <w:szCs w:val="24"/>
        </w:rPr>
        <w:lastRenderedPageBreak/>
        <w:t xml:space="preserve">Tabla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Tabla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w:t>
      </w:r>
      <w:r w:rsidRPr="00EF22E0">
        <w:rPr>
          <w:rFonts w:ascii="Helvetica" w:hAnsi="Helvetica" w:cs="Helvetica"/>
          <w:sz w:val="24"/>
          <w:szCs w:val="24"/>
        </w:rPr>
        <w:fldChar w:fldCharType="end"/>
      </w:r>
      <w:r w:rsidRPr="00EF22E0">
        <w:rPr>
          <w:rFonts w:ascii="Helvetica" w:hAnsi="Helvetica" w:cs="Helvetica"/>
          <w:sz w:val="24"/>
          <w:szCs w:val="24"/>
        </w:rPr>
        <w:t>. Especificaciones técnicas combustibles de aviación comercial</w:t>
      </w:r>
      <w:r w:rsidRPr="00EF22E0">
        <w:rPr>
          <w:rStyle w:val="Refdenotaalpie"/>
          <w:rFonts w:ascii="Helvetica" w:hAnsi="Helvetica" w:cs="Helvetica"/>
          <w:sz w:val="24"/>
          <w:szCs w:val="24"/>
        </w:rPr>
        <w:footnoteReference w:id="16"/>
      </w:r>
    </w:p>
    <w:p w14:paraId="72217E45" w14:textId="77777777" w:rsidR="001212B1" w:rsidRPr="00EF22E0" w:rsidRDefault="001212B1" w:rsidP="001212B1">
      <w:pPr>
        <w:spacing w:line="360" w:lineRule="auto"/>
        <w:jc w:val="center"/>
        <w:rPr>
          <w:rFonts w:ascii="Helvetica" w:hAnsi="Helvetica" w:cs="Helvetica"/>
          <w:szCs w:val="24"/>
        </w:rPr>
      </w:pPr>
      <w:r w:rsidRPr="00EF22E0">
        <w:rPr>
          <w:rFonts w:ascii="Helvetica" w:hAnsi="Helvetica" w:cs="Helvetica"/>
          <w:noProof/>
          <w:szCs w:val="24"/>
        </w:rPr>
        <w:drawing>
          <wp:inline distT="0" distB="0" distL="0" distR="0" wp14:anchorId="38D1C21E" wp14:editId="6210C6E6">
            <wp:extent cx="4312680" cy="3823371"/>
            <wp:effectExtent l="0" t="0" r="0" b="5715"/>
            <wp:docPr id="97647467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4674" name="Imagen 1"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939" cy="3825374"/>
                    </a:xfrm>
                    <a:prstGeom prst="rect">
                      <a:avLst/>
                    </a:prstGeom>
                    <a:noFill/>
                  </pic:spPr>
                </pic:pic>
              </a:graphicData>
            </a:graphic>
          </wp:inline>
        </w:drawing>
      </w:r>
    </w:p>
    <w:p w14:paraId="09F5FF00"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3D446610"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B64947">
        <w:rPr>
          <w:rFonts w:ascii="Helvetica" w:hAnsi="Helvetica" w:cs="Helvetica"/>
          <w:lang w:val="es-ES" w:eastAsia="es-ES"/>
        </w:rPr>
        <w:t>El índice de precio que se utiliza para determinar el ingreso al productor con el que se comercializa este combustible en el país es JET 54 USGC.</w:t>
      </w:r>
    </w:p>
    <w:p w14:paraId="040C3D19"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64908DEB"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Cuando la oferta de las refinerías locales es inferior a la demanda y se hace necesario importar, el refinador debe comprar el Jet A1 en el mercado internacional. El mercado de referencia para Colombia es el Golfo de México. Sin embargo, como se estableció previamente, Estados Unidos utiliza principalmente Jet A, por lo que solo algunas refinerías producen Jet A1. De igual manera, el Jet A1 importado es comprado y comercializado con base en el índice JET 54 USGC.</w:t>
      </w:r>
    </w:p>
    <w:p w14:paraId="18A16629"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02D8FB0E"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lastRenderedPageBreak/>
        <w:t xml:space="preserve">De acuerdo con lo manifestado por los agentes que intervienen en la cadena de Jet, si bien, no existen restricciones para tener las dos referencias (Jet A y Jet A1), es operativamente inviable porque implicaría aumentar capacidad de infraestructura de almacenamiento y transporte. </w:t>
      </w:r>
    </w:p>
    <w:p w14:paraId="5923F87D"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5400BA4A"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Por otro lado, el refinador ha manifestado que los costos asociados al cambio en la dieta, almacenamiento y comercialización no son significativos, y las refinerías de Barrancabermeja y Cartagena estarían en capacidad de refinar Jet A una vez se establezca la política pública que así que lo determine.</w:t>
      </w:r>
    </w:p>
    <w:p w14:paraId="3AF7826C" w14:textId="77777777" w:rsidR="001212B1" w:rsidRPr="00EF22E0" w:rsidRDefault="001212B1" w:rsidP="001212B1">
      <w:pPr>
        <w:pStyle w:val="paragraph"/>
        <w:spacing w:before="0" w:beforeAutospacing="0" w:after="0" w:afterAutospacing="0" w:line="360" w:lineRule="auto"/>
        <w:rPr>
          <w:rFonts w:ascii="Helvetica" w:hAnsi="Helvetica" w:cs="Helvetica"/>
          <w:lang w:val="es-ES" w:eastAsia="es-ES"/>
        </w:rPr>
      </w:pPr>
    </w:p>
    <w:p w14:paraId="44534565"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 xml:space="preserve">Los Ministerios de Minas y Energía y de Ambiente y Desarrollo Sostenible publicaron para comentarios el 30 de noviembre de 2023, el proyecto de resolución </w:t>
      </w:r>
      <w:r w:rsidRPr="00EF22E0">
        <w:rPr>
          <w:rFonts w:ascii="Helvetica" w:hAnsi="Helvetica" w:cs="Helvetica"/>
          <w:i/>
          <w:iCs/>
          <w:lang w:val="es-ES" w:eastAsia="es-ES"/>
        </w:rPr>
        <w:t>"Por la cual se expide el reglamento técnico que adopta los requisitos y parámetros de calidad de los combustibles de aviación para motores tipo turbina y se adoptan otras disposiciones"</w:t>
      </w:r>
      <w:r w:rsidRPr="00EF22E0">
        <w:rPr>
          <w:rStyle w:val="Refdenotaalpie"/>
          <w:rFonts w:ascii="Helvetica" w:hAnsi="Helvetica" w:cs="Helvetica"/>
          <w:lang w:val="es-ES" w:eastAsia="es-ES"/>
        </w:rPr>
        <w:footnoteReference w:id="17"/>
      </w:r>
      <w:r w:rsidRPr="00EF22E0">
        <w:rPr>
          <w:rFonts w:ascii="Helvetica" w:hAnsi="Helvetica" w:cs="Helvetica"/>
          <w:lang w:val="es-ES" w:eastAsia="es-ES"/>
        </w:rPr>
        <w:t xml:space="preserve">. </w:t>
      </w:r>
    </w:p>
    <w:p w14:paraId="499A1D91"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386D1067"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Conforme lo señala la memoria justificativa, se expide con el fin de “contar con una reglamentación integral en materia de calidad de combustibles de aviación tipo turbina y así, dinamizar las opciones en la canasta de energéticos disponibles para el sector aviación en el territorio nacional”.</w:t>
      </w:r>
    </w:p>
    <w:p w14:paraId="4B1B1942"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69A4CAA5"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El proyecto normativo se sustenta en la recomendación de la Dirección de Hidrocarburos del Ministerio de Minas y Energía, de expedir un reglamento técnico definitivo que adopte las disposiciones y requisitos de calidad que deben cumplir los combustibles de aviación para motores tipo turbina, con el fin de garantizar la continuidad en la prestación del servicio público de distribución de combustibles de aviación cumpliendo con la cobertura de la demanda del sector aéreo.</w:t>
      </w:r>
    </w:p>
    <w:p w14:paraId="71FF1BB1"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62D649E3"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Así mismo, se destaca que la medida busca el fortalecimiento de la conectividad aérea y el impulso a la competitividad del sector con los mercados internacionales fundamentales en la reactivación económica del país, considerando las siguientes necesidades:</w:t>
      </w:r>
    </w:p>
    <w:p w14:paraId="51DD7B94"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38DACF1B" w14:textId="77777777" w:rsidR="001212B1" w:rsidRPr="00EF22E0" w:rsidRDefault="001212B1" w:rsidP="001212B1">
      <w:pPr>
        <w:pStyle w:val="paragraph"/>
        <w:numPr>
          <w:ilvl w:val="0"/>
          <w:numId w:val="26"/>
        </w:numPr>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Mitigar los efectos que el uso de combustibles de aviación presenta en el ambiente y en la salud humana.</w:t>
      </w:r>
    </w:p>
    <w:p w14:paraId="3D481FB1" w14:textId="77777777" w:rsidR="001212B1" w:rsidRPr="00EF22E0" w:rsidRDefault="001212B1" w:rsidP="001212B1">
      <w:pPr>
        <w:pStyle w:val="paragraph"/>
        <w:numPr>
          <w:ilvl w:val="0"/>
          <w:numId w:val="26"/>
        </w:numPr>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Brindar mayor claridad al sector sobre cuáles son dichos parámetros y en qué condiciones se deben cumplir.</w:t>
      </w:r>
    </w:p>
    <w:p w14:paraId="12F49DD3" w14:textId="77777777" w:rsidR="001212B1" w:rsidRPr="00EF22E0" w:rsidRDefault="001212B1" w:rsidP="001212B1">
      <w:pPr>
        <w:pStyle w:val="paragraph"/>
        <w:numPr>
          <w:ilvl w:val="0"/>
          <w:numId w:val="26"/>
        </w:numPr>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Garantizar que los parámetros de calidad estén acordes con requerimientos internacionales que obedecen, tanto a las especificaciones para el suministro de combustibles de aviación como a la relación con los límites de los principales contaminantes atmosféricos que afectan la calidad del aire.</w:t>
      </w:r>
    </w:p>
    <w:p w14:paraId="4D5756EE" w14:textId="77777777" w:rsidR="001212B1" w:rsidRPr="00EF22E0" w:rsidRDefault="001212B1" w:rsidP="001212B1">
      <w:pPr>
        <w:pStyle w:val="paragraph"/>
        <w:numPr>
          <w:ilvl w:val="0"/>
          <w:numId w:val="26"/>
        </w:numPr>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Brindar mayor seguridad jurídica, a través de la claridad regulatoria en materia de parámetros de calidad y el marco jurídico sancionatorio por incumplimientos en los requisitos de calidad de los combustibles.</w:t>
      </w:r>
    </w:p>
    <w:p w14:paraId="2AAED9E7"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10EA4CE9"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Con anticipación a la expedición del proyecto regulatorio, los mismos Ministerios pusieron a consideración de los interesados, el documento de análisis de impacto normativo</w:t>
      </w:r>
      <w:r w:rsidRPr="00EF22E0">
        <w:rPr>
          <w:rStyle w:val="Refdenotaalpie"/>
          <w:rFonts w:ascii="Helvetica" w:hAnsi="Helvetica" w:cs="Helvetica"/>
          <w:lang w:val="es-ES" w:eastAsia="es-ES"/>
        </w:rPr>
        <w:footnoteReference w:id="18"/>
      </w:r>
      <w:r w:rsidRPr="00EF22E0">
        <w:rPr>
          <w:rFonts w:ascii="Helvetica" w:hAnsi="Helvetica" w:cs="Helvetica"/>
          <w:lang w:val="es-ES" w:eastAsia="es-ES"/>
        </w:rPr>
        <w:t xml:space="preserve">, en el cual se identifica como problema central el riesgo de desabastecimiento de los combustibles de aviación para motores tipo turbina en Colombia en condiciones de calidad. Como causas del problema plantea: i) Desactualización de la regulación en cuanto a la adopción de las normas técnicas por las cuales se establecen los parámetros de calidad de combustibles para aviones tipo turbina Jet A y Jet A-1, ii) Desconocimiento, por parte del sector aeronáutico, de que la regulación de combustibles para motores tipo turbina ya incluía los parámetros de </w:t>
      </w:r>
      <w:r w:rsidRPr="00EF22E0">
        <w:rPr>
          <w:rFonts w:ascii="Helvetica" w:hAnsi="Helvetica" w:cs="Helvetica"/>
          <w:lang w:val="es-ES" w:eastAsia="es-ES"/>
        </w:rPr>
        <w:lastRenderedPageBreak/>
        <w:t>calidad tanto para el combustible tipo Jet A-1, como Jet A, debido a la falta de socialización y promoción, por parte de las carteras competentes, del contenido de la regulación vigente, y iii) Falta de análisis del sector y del gobierno nacional sobre alternativas para el aseguramiento de abastecimiento de combustibles de aviación en un sector que ha presentado un crecimiento considerable de la demanda de combustibles.</w:t>
      </w:r>
    </w:p>
    <w:p w14:paraId="07953FE5"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03C0DEFB"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Como causas directas e indirectas de esta problemática, el documento identifica las siguientes: i) Desactualización de la regulación en cuanto a la adopción de las normas técnicas por las cuales se establecen los parámetros de calidad de combustibles para aviones tipo turbina Jet A y Jet A-1, ii) Falta de análisis del sector y del gobierno nacional sobre alternativas para el aseguramiento de abastecimiento de combustibles de aviación en un sector que ha presentado un crecimiento considerable de la demanda de combustibles y iii) Desconocimiento, por parte del sector aeronáutico, de que la regulación de combustibles para motores tipo turbina ya incluía los parámetros de calidad tanto para el combustible tipo Jet A-1, como Jet A, debido a la falta de socialización y promoción, por parte de las carteras competentes, del contenido de la regulación vigente.</w:t>
      </w:r>
    </w:p>
    <w:p w14:paraId="1936EBCC"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6B00B5D1"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Como consecuencias directas e indirectas plantea: i) Posibles impactos negativos en el servicio público de transporte aéreo por la insuficiencia en la oferta del producto nacional de combustibles para aeronaves tipo turbina, ii) En caso de insuficiencia en la oferta nacional, también se impactaría negativamente la prestación confiable de servicios esenciales como el de salud, la seguridad nacional y la seguridad alimentaria , iii) Posible no conformidad de los combustibles de aviación para motores tipo turbina frente al cumplimiento de los estándares mínimos internacionales de calidad, iv) Posible riesgo de seguridad en el uso de los combustibles de aviación para motores tipo turbina por comercialización de producto no conforme.</w:t>
      </w:r>
    </w:p>
    <w:p w14:paraId="154C026C"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p>
    <w:p w14:paraId="2005A781" w14:textId="77777777" w:rsidR="001212B1" w:rsidRPr="00EF22E0" w:rsidRDefault="001212B1" w:rsidP="001212B1">
      <w:pPr>
        <w:pStyle w:val="paragraph"/>
        <w:spacing w:line="360" w:lineRule="auto"/>
        <w:textAlignment w:val="baseline"/>
        <w:rPr>
          <w:rFonts w:ascii="Helvetica" w:hAnsi="Helvetica" w:cs="Helvetica"/>
          <w:lang w:val="es-ES" w:eastAsia="es-ES"/>
        </w:rPr>
      </w:pPr>
      <w:r w:rsidRPr="00EF22E0">
        <w:rPr>
          <w:rFonts w:ascii="Helvetica" w:hAnsi="Helvetica" w:cs="Helvetica"/>
          <w:lang w:val="es-ES" w:eastAsia="es-ES"/>
        </w:rPr>
        <w:lastRenderedPageBreak/>
        <w:t>El objetivo principal para tratar este problema, es  “Mitigar el riesgo de desabastecimiento de los combustibles de aviación para motores tipo turbina en Colombia”, mediante: i) La actualización de los parámetros de calidad de los combustibles para motores tipo turbina Jet A y Jet A-1, ii) Mediante la actualización de los parámetros de calidad de los mencionados tipos de combustibles, invitar al sector aeronáutico y al Gobierno Nacional a fortalecer el análisis que derive en el aseguramiento del abastecimiento de combustibles de aviación para motores tipo turbina. y iii) Socialización de la regulación en materia de calidad de los mencionados combustibles de aviación hacia el sector aeronáutico y a los agentes y actores de la cadena de distribución.</w:t>
      </w:r>
    </w:p>
    <w:p w14:paraId="13F7B12B" w14:textId="77777777" w:rsidR="001212B1" w:rsidRPr="00EF22E0" w:rsidRDefault="001212B1" w:rsidP="001212B1">
      <w:pPr>
        <w:pStyle w:val="paragraph"/>
        <w:spacing w:line="360" w:lineRule="auto"/>
        <w:textAlignment w:val="baseline"/>
        <w:rPr>
          <w:rFonts w:ascii="Helvetica" w:hAnsi="Helvetica" w:cs="Helvetica"/>
          <w:lang w:val="es-ES" w:eastAsia="es-ES"/>
        </w:rPr>
      </w:pPr>
      <w:r w:rsidRPr="00EF22E0">
        <w:rPr>
          <w:rFonts w:ascii="Helvetica" w:hAnsi="Helvetica" w:cs="Helvetica"/>
          <w:lang w:val="es-ES" w:eastAsia="es-ES"/>
        </w:rPr>
        <w:t>Lo anterior con el fin de “mitigar los impactos negativos en el servicio público de transporte aéreo que se generan por la insuficiencia en la oferta nacional de combustibles de aviación para motores tipo turbina, especialmente en los escenarios de retos técnicos y operativos para el abastecimiento” y “mitigar el riesgo en materia de seguridad en el uso de combustibles de aviación para motores tipo turbina por comercialización de producto no conforme, asegurando que los productores, importadores y demás agentes y actores de la cadena de distribución tengan a su disposición parámetros de calidad claros, tanto para el combustible tipo Jet A-1 como Jet A”.</w:t>
      </w:r>
    </w:p>
    <w:p w14:paraId="20548608" w14:textId="77777777" w:rsidR="001212B1" w:rsidRPr="00EF22E0" w:rsidRDefault="001212B1" w:rsidP="001212B1">
      <w:pPr>
        <w:pStyle w:val="paragraph"/>
        <w:spacing w:line="360" w:lineRule="auto"/>
        <w:textAlignment w:val="baseline"/>
        <w:rPr>
          <w:rFonts w:ascii="Helvetica" w:hAnsi="Helvetica" w:cs="Helvetica"/>
          <w:lang w:val="es-ES" w:eastAsia="es-ES"/>
        </w:rPr>
      </w:pPr>
      <w:r w:rsidRPr="00EF22E0">
        <w:rPr>
          <w:rFonts w:ascii="Helvetica" w:hAnsi="Helvetica" w:cs="Helvetica"/>
          <w:lang w:val="es-ES" w:eastAsia="es-ES"/>
        </w:rPr>
        <w:t>Finalmente, mediante un Análisis multicriterio (método análisis jerárquico), se escoge la primera alternativa de regular. Ahora bien, profundizando en el ejercicio, el Ministerio concluye que “la opción de contar con la regulación en materia de calidad para los combustibles Jet A-1 y Jet A se convierte en la mejor solución para dinamizar las alternativas disponibles en el mercado nacional de combustibles de aviación para motores tipo turbina”. Lo anterior, bajo la decisión de los agentes de escoger el producto que ofrezca una mejor eficiencia en términos comerciales.</w:t>
      </w:r>
    </w:p>
    <w:p w14:paraId="65A6985A"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432F9E6B" w14:textId="77777777" w:rsidR="001212B1" w:rsidRPr="00EF22E0" w:rsidRDefault="001212B1" w:rsidP="001212B1">
      <w:pPr>
        <w:pStyle w:val="Ttulo4"/>
        <w:numPr>
          <w:ilvl w:val="3"/>
          <w:numId w:val="1"/>
        </w:numPr>
        <w:ind w:left="851" w:hanging="862"/>
        <w:jc w:val="left"/>
        <w:rPr>
          <w:rStyle w:val="normaltextrun"/>
          <w:rFonts w:ascii="Helvetica" w:hAnsi="Helvetica" w:cs="Helvetica"/>
          <w:szCs w:val="24"/>
          <w:lang w:val="es-ES"/>
        </w:rPr>
      </w:pPr>
      <w:r w:rsidRPr="00EF22E0">
        <w:rPr>
          <w:rStyle w:val="normaltextrun"/>
          <w:rFonts w:ascii="Helvetica" w:hAnsi="Helvetica" w:cs="Helvetica"/>
          <w:szCs w:val="24"/>
          <w:lang w:val="es-ES"/>
        </w:rPr>
        <w:lastRenderedPageBreak/>
        <w:t>Combustible de aviación sostenible por sus siglas en inglés - SAF – “Sustainable Aviation Fuel”</w:t>
      </w:r>
    </w:p>
    <w:p w14:paraId="14DD5407"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09ED4C44"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El “</w:t>
      </w:r>
      <w:r w:rsidRPr="00EF22E0">
        <w:rPr>
          <w:rStyle w:val="normaltextrun"/>
          <w:rFonts w:ascii="Helvetica" w:hAnsi="Helvetica" w:cs="Helvetica"/>
        </w:rPr>
        <w:t>Sustainable Aviation Fuel”</w:t>
      </w:r>
      <w:r w:rsidRPr="00EF22E0">
        <w:rPr>
          <w:rFonts w:ascii="Helvetica" w:hAnsi="Helvetica" w:cs="Helvetica"/>
          <w:lang w:val="es-ES_tradnl" w:eastAsia="es-ES"/>
        </w:rPr>
        <w:t xml:space="preserve"> - SAF - (por sus siglas en inglés) o combustible de aviación sostenible es un biocombustible que dependiendo de la materia prima y las tecnologías utilizadas para producirlo reduce las emisiones de carbono entre el 9-12% comparado con el Jet convencional, según la agencia de protección ambiental de los Estados Unidos</w:t>
      </w:r>
      <w:r w:rsidRPr="00EF22E0">
        <w:rPr>
          <w:rStyle w:val="Refdenotaalpie"/>
          <w:rFonts w:ascii="Helvetica" w:hAnsi="Helvetica" w:cs="Helvetica"/>
          <w:lang w:val="es-ES_tradnl" w:eastAsia="es-ES"/>
        </w:rPr>
        <w:footnoteReference w:id="19"/>
      </w:r>
      <w:r w:rsidRPr="00EF22E0">
        <w:rPr>
          <w:rFonts w:ascii="Helvetica" w:hAnsi="Helvetica" w:cs="Helvetica"/>
          <w:lang w:val="es-ES_tradnl" w:eastAsia="es-ES"/>
        </w:rPr>
        <w:t>. Los gobiernos han impulsado la iniciativa de incorporación de SAF como una opción para lograr reducciones significativas en las emisiones de los aviones, y existen iniciativas en marcha para convertir a SAF en una realidad para la industria.</w:t>
      </w:r>
    </w:p>
    <w:p w14:paraId="6F937743"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075325C7"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Países como Estados Unidos y algunos en Europa están incentivando a las aerolíneas a usar un cierto porcentaje de SAF para 2030. Dentro del sector privado, las organizaciones internacionales de aviación y las corporaciones globales han formado alianzas, como Eco-Skies Alliance, para invertir en la producción de biocombustibles, captura y secuestro de carbono y la compra/comercialización de SAF. Actualmente, no existe homogeneidad de especificaciones técnicas y de sostenibilidad ambiental de las fuentes de SAF.</w:t>
      </w:r>
    </w:p>
    <w:p w14:paraId="1BDCEE14"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05A6443E"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Los biocombustibles se dividen en tres categorías: Familia 1, 2 y 3</w:t>
      </w:r>
      <w:r w:rsidRPr="00EF22E0">
        <w:rPr>
          <w:rStyle w:val="Refdenotaalpie"/>
          <w:rFonts w:ascii="Helvetica" w:hAnsi="Helvetica" w:cs="Helvetica"/>
          <w:lang w:val="es-ES" w:eastAsia="es-ES"/>
        </w:rPr>
        <w:footnoteReference w:id="20"/>
      </w:r>
      <w:r w:rsidRPr="00EF22E0">
        <w:rPr>
          <w:rFonts w:ascii="Helvetica" w:hAnsi="Helvetica" w:cs="Helvetica"/>
          <w:lang w:val="es-ES" w:eastAsia="es-ES"/>
        </w:rPr>
        <w:t>, de menor a mayor ventaja ambiental respectivamente. Un informe de agosto 2022 del Centro para la Diversidad Biológica de USA</w:t>
      </w:r>
      <w:r w:rsidRPr="00EF22E0">
        <w:rPr>
          <w:rStyle w:val="Refdenotaalpie"/>
          <w:rFonts w:ascii="Helvetica" w:hAnsi="Helvetica" w:cs="Helvetica"/>
          <w:lang w:val="es-ES" w:eastAsia="es-ES"/>
        </w:rPr>
        <w:footnoteReference w:id="21"/>
      </w:r>
      <w:r w:rsidRPr="00EF22E0">
        <w:rPr>
          <w:rFonts w:ascii="Helvetica" w:hAnsi="Helvetica" w:cs="Helvetica"/>
          <w:lang w:val="es-ES" w:eastAsia="es-ES"/>
        </w:rPr>
        <w:t xml:space="preserve">, señala que los principales productores de SAF están utilizando ciertos subconjuntos de materias primas (familia 1 y 2) que no son tan sostenibles, en particular materias primas basadas en alimentos, biomasa de madera y residuos forestales, aceite de cocina usado, grasas animales y estiércol. Si la industria </w:t>
      </w:r>
      <w:r w:rsidRPr="00EF22E0">
        <w:rPr>
          <w:rFonts w:ascii="Helvetica" w:hAnsi="Helvetica" w:cs="Helvetica"/>
          <w:lang w:val="es-ES" w:eastAsia="es-ES"/>
        </w:rPr>
        <w:lastRenderedPageBreak/>
        <w:t>de la aviación aumenta exponencialmente el uso de SAF para alcanzar los próximos objetivos netos cero, esto podría incentivar a la producción de estos biocombustibles no tan ambientalmente amigables, lo que conllevaría a retroceder en los esfuerzos de sostenibilidad pactados en las últimas COP.</w:t>
      </w:r>
    </w:p>
    <w:p w14:paraId="5694C33B"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24129DEE"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El reto más importante para la adopción de un modelo de mezcla Jet fuel con SAF es el alto costo, y algunos gobiernos, donde sobresalen Alemania y Estados Unidos están tratando de reducir ese costo de entrada subsidiando y dando otro tipo de incentivos.</w:t>
      </w:r>
    </w:p>
    <w:p w14:paraId="794171B9"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El Departamento de Energía de Estados Unidos diseñó una hoja de ruta para aumentar el suministro de SAF a por lo menos 3 mil millones de galones para 2030</w:t>
      </w:r>
      <w:r w:rsidRPr="00EF22E0">
        <w:rPr>
          <w:rStyle w:val="Refdenotaalpie"/>
          <w:rFonts w:ascii="Helvetica" w:hAnsi="Helvetica" w:cs="Helvetica"/>
          <w:lang w:val="es-ES_tradnl" w:eastAsia="es-ES"/>
        </w:rPr>
        <w:footnoteReference w:id="22"/>
      </w:r>
      <w:r w:rsidRPr="00EF22E0">
        <w:rPr>
          <w:rFonts w:ascii="Helvetica" w:hAnsi="Helvetica" w:cs="Helvetica"/>
          <w:lang w:val="es-ES_tradnl" w:eastAsia="es-ES"/>
        </w:rPr>
        <w:t>, un aumento del 9000% sobre los 33 millones de galones actuales producidos en 2022. La hoja de ruta se enfoca en una mayor producción a base de lípidos.</w:t>
      </w:r>
    </w:p>
    <w:p w14:paraId="5EB4C43C"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57D91FB7"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Por ahora, en Colombia se han dado señales en términos de política pública para incentivar la adopción de SAF en documentos como “ESCENARIOS NACIONALES. Transición Energética Justa” que será revisado en detalle en la siguiente sección.</w:t>
      </w:r>
    </w:p>
    <w:p w14:paraId="3FA29B3A"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5C29E18D" w14:textId="77777777" w:rsidR="001212B1" w:rsidRPr="00EF22E0" w:rsidRDefault="001212B1" w:rsidP="001212B1">
      <w:pPr>
        <w:pStyle w:val="paragraph"/>
        <w:spacing w:before="0" w:beforeAutospacing="0" w:after="0" w:afterAutospacing="0" w:line="360" w:lineRule="auto"/>
        <w:textAlignment w:val="baseline"/>
        <w:rPr>
          <w:rStyle w:val="normaltextrun"/>
          <w:rFonts w:ascii="Helvetica" w:hAnsi="Helvetica" w:cs="Helvetica"/>
          <w:b/>
          <w:lang w:val="es-ES_tradnl" w:eastAsia="es-ES"/>
        </w:rPr>
      </w:pPr>
    </w:p>
    <w:p w14:paraId="4DBEC420" w14:textId="77777777" w:rsidR="001212B1" w:rsidRPr="00EF22E0" w:rsidRDefault="001212B1" w:rsidP="001212B1">
      <w:pPr>
        <w:pStyle w:val="Ttulo5"/>
        <w:numPr>
          <w:ilvl w:val="4"/>
          <w:numId w:val="1"/>
        </w:numPr>
        <w:ind w:left="1009" w:hanging="1009"/>
        <w:rPr>
          <w:rStyle w:val="normaltextrun"/>
          <w:rFonts w:ascii="Helvetica" w:hAnsi="Helvetica" w:cs="Helvetica"/>
          <w:b/>
          <w:sz w:val="24"/>
          <w:szCs w:val="24"/>
        </w:rPr>
      </w:pPr>
      <w:r w:rsidRPr="00EF22E0">
        <w:rPr>
          <w:rStyle w:val="normaltextrun"/>
          <w:rFonts w:ascii="Helvetica" w:hAnsi="Helvetica" w:cs="Helvetica"/>
          <w:b/>
          <w:sz w:val="24"/>
          <w:szCs w:val="24"/>
        </w:rPr>
        <w:t>Contexto SAF en Colombia bajo el escenario TEJ (Transición energética justa).</w:t>
      </w:r>
    </w:p>
    <w:p w14:paraId="2A76DAAA" w14:textId="77777777" w:rsidR="001212B1" w:rsidRPr="00EF22E0" w:rsidRDefault="001212B1" w:rsidP="001212B1">
      <w:pPr>
        <w:jc w:val="left"/>
        <w:rPr>
          <w:rFonts w:ascii="Helvetica" w:hAnsi="Helvetica" w:cs="Helvetica"/>
          <w:szCs w:val="24"/>
        </w:rPr>
      </w:pPr>
    </w:p>
    <w:p w14:paraId="2CAF79D6"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La Hoja de Ruta de Transición Energética Justa</w:t>
      </w:r>
      <w:r w:rsidRPr="00EF22E0">
        <w:rPr>
          <w:rStyle w:val="Refdenotaalpie"/>
          <w:rFonts w:ascii="Helvetica" w:hAnsi="Helvetica" w:cs="Helvetica"/>
          <w:szCs w:val="24"/>
        </w:rPr>
        <w:footnoteReference w:id="23"/>
      </w:r>
      <w:r w:rsidRPr="00EF22E0">
        <w:rPr>
          <w:rFonts w:ascii="Helvetica" w:hAnsi="Helvetica" w:cs="Helvetica"/>
          <w:szCs w:val="24"/>
        </w:rPr>
        <w:t xml:space="preserve"> encamina al país hacia sistemas energéticos actualmente basados predominantemente en combustibles fósiles hacia aquellos con un mayor uso de las energías renovables, y hacia una economía cada vez menos dependiente económica y fiscalmente de los combustibles fósiles.</w:t>
      </w:r>
    </w:p>
    <w:p w14:paraId="62E1C48E" w14:textId="77777777" w:rsidR="001212B1" w:rsidRPr="00EF22E0" w:rsidRDefault="001212B1" w:rsidP="001212B1">
      <w:pPr>
        <w:spacing w:line="360" w:lineRule="auto"/>
        <w:jc w:val="left"/>
        <w:rPr>
          <w:rFonts w:ascii="Helvetica" w:hAnsi="Helvetica" w:cs="Helvetica"/>
          <w:szCs w:val="24"/>
        </w:rPr>
      </w:pPr>
    </w:p>
    <w:p w14:paraId="0A3E762C" w14:textId="77777777" w:rsidR="001212B1" w:rsidRPr="00EF22E0" w:rsidRDefault="001212B1" w:rsidP="001212B1">
      <w:pPr>
        <w:spacing w:line="360" w:lineRule="auto"/>
        <w:jc w:val="left"/>
        <w:rPr>
          <w:rFonts w:ascii="Helvetica" w:hAnsi="Helvetica" w:cs="Helvetica"/>
          <w:lang w:val="es-ES"/>
        </w:rPr>
      </w:pPr>
      <w:r w:rsidRPr="3CB43807">
        <w:rPr>
          <w:rFonts w:ascii="Helvetica" w:hAnsi="Helvetica" w:cs="Helvetica"/>
          <w:lang w:val="es-ES"/>
        </w:rPr>
        <w:lastRenderedPageBreak/>
        <w:t xml:space="preserve">En cuanto al sector transporte en general, la metodología para la construcción de la Hoja de Ruta se realizó bajo el enfoque de la movilidad sostenible, la cual involucró los más importantes agentes de la cadena de producción y distribución de energéticos para este sector. </w:t>
      </w:r>
    </w:p>
    <w:p w14:paraId="19482FC2" w14:textId="77777777" w:rsidR="001212B1" w:rsidRPr="00EF22E0" w:rsidRDefault="001212B1" w:rsidP="001212B1">
      <w:pPr>
        <w:spacing w:line="360" w:lineRule="auto"/>
        <w:jc w:val="left"/>
        <w:rPr>
          <w:rFonts w:ascii="Helvetica" w:hAnsi="Helvetica" w:cs="Helvetica"/>
          <w:szCs w:val="24"/>
        </w:rPr>
      </w:pPr>
    </w:p>
    <w:p w14:paraId="015CDAAE"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rPr>
        <w:t xml:space="preserve">Bajo esta mirada, empresas como </w:t>
      </w:r>
      <w:r w:rsidRPr="00EF22E0">
        <w:rPr>
          <w:rFonts w:ascii="Helvetica" w:hAnsi="Helvetica" w:cs="Helvetica"/>
          <w:lang w:val="es-ES" w:eastAsia="es-ES"/>
        </w:rPr>
        <w:t>Ecopetrol</w:t>
      </w:r>
      <w:r w:rsidRPr="00EF22E0">
        <w:rPr>
          <w:rFonts w:ascii="Helvetica" w:hAnsi="Helvetica" w:cs="Helvetica"/>
          <w:lang w:val="es-ES"/>
        </w:rPr>
        <w:t xml:space="preserve">, Empresas cultivadoras de caña de azúcar, de aceite de palma, de Biocombustibles, entre otras, </w:t>
      </w:r>
      <w:r w:rsidRPr="00EF22E0">
        <w:rPr>
          <w:rFonts w:ascii="Helvetica" w:hAnsi="Helvetica" w:cs="Helvetica"/>
          <w:lang w:val="es-ES_tradnl" w:eastAsia="es-ES"/>
        </w:rPr>
        <w:t>validaron factores como proyecciones en expansión del área cosechada de los cultivos, la cantidad los residuos que se generan y la disponibilidad que tienen para venta a otras industrias, generación de biogás, SAF, y otros combustibles renovables a partir de biomasa.</w:t>
      </w:r>
    </w:p>
    <w:p w14:paraId="623DF756"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7E468BEF"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3CB43807">
        <w:rPr>
          <w:rFonts w:ascii="Helvetica" w:hAnsi="Helvetica" w:cs="Helvetica"/>
          <w:lang w:val="es-ES" w:eastAsia="es-ES"/>
        </w:rPr>
        <w:t>Para el sector aéreo, el análisis contó con la participación de la Fuerza Aérea Colombiana, la Asociación Internacional de Transporte Aéreo (IATA) y representantes de la industria de combustibles como Ecopetrol, BioD, BioEnergy, Fedecombustibles, Agencia Danesa de energía, IEA, UPME, así como asociaciones de productores de biomasa, entre otras, lo que permitió establecer un horizonte de descarbonización realistas para la aviación.</w:t>
      </w:r>
    </w:p>
    <w:p w14:paraId="7373587E"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2B16BF9A"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Para ello, </w:t>
      </w:r>
      <w:r w:rsidRPr="00EF22E0">
        <w:rPr>
          <w:rFonts w:ascii="Helvetica" w:hAnsi="Helvetica" w:cs="Helvetica"/>
          <w:lang w:val="es-ES" w:eastAsia="es-ES"/>
        </w:rPr>
        <w:t>se requiere de la viabilización técnica y económica de la producción de SAF en el país, y en caso tal no sea que no sea escalable a corto y mediano plazo, la posibilidad de que el mercado internacional de SAF potencialice a Colombia como un “hub aéreo” internacional, suministrando (importaciones) el biocombustible para destinos domésticos e internacionales.</w:t>
      </w:r>
    </w:p>
    <w:p w14:paraId="22C14B18"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6C6A8A85"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Se encuentran algunos retos que deben ser resueltos con el fin de que el proceso de adopción de SAF sea económicamente viable. Estos retos son:</w:t>
      </w:r>
    </w:p>
    <w:p w14:paraId="4E50F000"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12140832" w14:textId="77777777" w:rsidR="001212B1" w:rsidRPr="00EF22E0" w:rsidRDefault="001212B1" w:rsidP="001212B1">
      <w:pPr>
        <w:pStyle w:val="paragraph"/>
        <w:numPr>
          <w:ilvl w:val="0"/>
          <w:numId w:val="19"/>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Desarrollo de infraestructura</w:t>
      </w:r>
    </w:p>
    <w:p w14:paraId="258B11A0" w14:textId="77777777" w:rsidR="001212B1" w:rsidRPr="00EF22E0" w:rsidRDefault="001212B1" w:rsidP="001212B1">
      <w:pPr>
        <w:pStyle w:val="paragraph"/>
        <w:numPr>
          <w:ilvl w:val="0"/>
          <w:numId w:val="19"/>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Política pública y regulación que incentive su producción. </w:t>
      </w:r>
    </w:p>
    <w:p w14:paraId="632FE816" w14:textId="77777777" w:rsidR="001212B1" w:rsidRPr="00EF22E0" w:rsidRDefault="001212B1" w:rsidP="001212B1">
      <w:pPr>
        <w:pStyle w:val="paragraph"/>
        <w:numPr>
          <w:ilvl w:val="0"/>
          <w:numId w:val="19"/>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lastRenderedPageBreak/>
        <w:t>Iniciativa de inversión del sector privado </w:t>
      </w:r>
    </w:p>
    <w:p w14:paraId="3FE78057" w14:textId="77777777" w:rsidR="001212B1" w:rsidRPr="00EF22E0" w:rsidRDefault="001212B1" w:rsidP="001212B1">
      <w:pPr>
        <w:pStyle w:val="paragraph"/>
        <w:numPr>
          <w:ilvl w:val="0"/>
          <w:numId w:val="19"/>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Parametrización de materias primas que permitan la sostenibilidad ambiental. </w:t>
      </w:r>
    </w:p>
    <w:p w14:paraId="2F33561C" w14:textId="77777777" w:rsidR="001212B1" w:rsidRPr="00EF22E0" w:rsidRDefault="001212B1" w:rsidP="001212B1">
      <w:pPr>
        <w:pStyle w:val="paragraph"/>
        <w:numPr>
          <w:ilvl w:val="0"/>
          <w:numId w:val="19"/>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Planeación de producción que encaje con el balance oferta/demanda del Jet Fuel fósil.</w:t>
      </w:r>
    </w:p>
    <w:p w14:paraId="5F7B351B" w14:textId="77777777" w:rsidR="001212B1" w:rsidRPr="00EF22E0" w:rsidRDefault="001212B1" w:rsidP="001212B1">
      <w:pPr>
        <w:pStyle w:val="paragraph"/>
        <w:spacing w:line="360" w:lineRule="auto"/>
        <w:textAlignment w:val="baseline"/>
        <w:rPr>
          <w:rFonts w:ascii="Helvetica" w:hAnsi="Helvetica" w:cs="Helvetica"/>
          <w:lang w:val="es-ES_tradnl" w:eastAsia="es-ES"/>
        </w:rPr>
      </w:pPr>
      <w:r w:rsidRPr="00EF22E0">
        <w:rPr>
          <w:rFonts w:ascii="Helvetica" w:hAnsi="Helvetica" w:cs="Helvetica"/>
          <w:lang w:val="es-ES_tradnl" w:eastAsia="es-ES"/>
        </w:rPr>
        <w:t>Sin embargo, el Ministerio de Minas y Energía, estableció para estas barreras planteadas en su documento: “ESCENARIOS NACIONALES. Transición Energética Justa”, el siguiente escenario:</w:t>
      </w:r>
    </w:p>
    <w:p w14:paraId="14B12AD9" w14:textId="77777777" w:rsidR="001212B1" w:rsidRPr="00EF22E0" w:rsidRDefault="001212B1" w:rsidP="001212B1">
      <w:pPr>
        <w:pStyle w:val="paragraph"/>
        <w:numPr>
          <w:ilvl w:val="0"/>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2023-2026:</w:t>
      </w:r>
    </w:p>
    <w:p w14:paraId="6BC578BB"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Preparación de la regulación, normatividad y ecosistema económico e industrial para el desarrollo y producción de combustible de aviación sostenible (SAF). </w:t>
      </w:r>
    </w:p>
    <w:p w14:paraId="11B59D17"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Planeación y generación de capacidades y competencias laborales para el desarrollo de SAF: nuevos empleos, reconversión laboral e impacto socioambiental.</w:t>
      </w:r>
    </w:p>
    <w:p w14:paraId="7F583845" w14:textId="77777777" w:rsidR="001212B1" w:rsidRPr="00EF22E0" w:rsidRDefault="001212B1" w:rsidP="001212B1">
      <w:pPr>
        <w:pStyle w:val="paragraph"/>
        <w:spacing w:before="0" w:beforeAutospacing="0" w:after="0" w:afterAutospacing="0" w:line="360" w:lineRule="auto"/>
        <w:ind w:left="1440"/>
        <w:textAlignment w:val="baseline"/>
        <w:rPr>
          <w:rFonts w:ascii="Helvetica" w:hAnsi="Helvetica" w:cs="Helvetica"/>
          <w:lang w:val="es-ES_tradnl" w:eastAsia="es-ES"/>
        </w:rPr>
      </w:pPr>
    </w:p>
    <w:p w14:paraId="7673A2C1" w14:textId="77777777" w:rsidR="001212B1" w:rsidRPr="00EF22E0" w:rsidRDefault="001212B1" w:rsidP="001212B1">
      <w:pPr>
        <w:pStyle w:val="paragraph"/>
        <w:numPr>
          <w:ilvl w:val="0"/>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2026-2030</w:t>
      </w:r>
    </w:p>
    <w:p w14:paraId="4D37B156"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El SAF comercializado podrá ser mezclado con el Jet Fuel en Colombia en al menos un aeropuerto internacional. </w:t>
      </w:r>
    </w:p>
    <w:p w14:paraId="6C9B0762"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Habilitador: se requiere de regulación técnica y normativa, así como incentivos para el desarrollo de la industria SAF. </w:t>
      </w:r>
    </w:p>
    <w:p w14:paraId="12771DF6"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Hito: instalación y operación de planta(s) para la producción local de combustible para la aviación sostenible a partir de biomasa, residuos y energía renovable, entre 2028 y 2030. </w:t>
      </w:r>
    </w:p>
    <w:p w14:paraId="7EC51472"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SAF alcanza una mezcla de hasta el 5 % en sus primeros años de producción.</w:t>
      </w:r>
    </w:p>
    <w:p w14:paraId="69AE4E73"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5F04877D" w14:textId="77777777" w:rsidR="001212B1" w:rsidRPr="00EF22E0" w:rsidRDefault="001212B1" w:rsidP="001212B1">
      <w:pPr>
        <w:pStyle w:val="paragraph"/>
        <w:numPr>
          <w:ilvl w:val="0"/>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2030-2040:</w:t>
      </w:r>
    </w:p>
    <w:p w14:paraId="4BCEADF6"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lastRenderedPageBreak/>
        <w:t xml:space="preserve">Hito: instalación y operación de segunda planta para la producción local de combustible para la aviación sostenible a partir de biomasa, residuos y energía renovable. </w:t>
      </w:r>
    </w:p>
    <w:p w14:paraId="52F49141"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 w:eastAsia="es-ES"/>
        </w:rPr>
      </w:pPr>
      <w:r w:rsidRPr="00EF22E0">
        <w:rPr>
          <w:rFonts w:ascii="Helvetica" w:hAnsi="Helvetica" w:cs="Helvetica"/>
          <w:lang w:val="es-ES" w:eastAsia="es-ES"/>
        </w:rPr>
        <w:t xml:space="preserve">Se espera un crecimiento del 10 % al 15 % de mezcla Jet Fuel-SAF. • Con la producción local de SAF, se espera el desarrollo de la agroindustria y el campo; la ciencia, tecnología e innovación en biocombustibles sostenibles para la descarbonización del sector aéreo (método Book &amp; Claim), así como la creación de un nuevo mercado y fuentes de empleo. </w:t>
      </w:r>
    </w:p>
    <w:p w14:paraId="0B75511E" w14:textId="77777777" w:rsidR="001212B1" w:rsidRPr="00EF22E0" w:rsidRDefault="001212B1" w:rsidP="001212B1">
      <w:pPr>
        <w:pStyle w:val="paragraph"/>
        <w:spacing w:before="0" w:beforeAutospacing="0" w:after="0" w:afterAutospacing="0" w:line="360" w:lineRule="auto"/>
        <w:textAlignment w:val="baseline"/>
        <w:rPr>
          <w:rFonts w:ascii="Helvetica" w:hAnsi="Helvetica" w:cs="Helvetica"/>
          <w:lang w:val="es-ES_tradnl" w:eastAsia="es-ES"/>
        </w:rPr>
      </w:pPr>
    </w:p>
    <w:p w14:paraId="2EB5B1F5" w14:textId="77777777" w:rsidR="001212B1" w:rsidRPr="00EF22E0" w:rsidRDefault="001212B1" w:rsidP="001212B1">
      <w:pPr>
        <w:pStyle w:val="paragraph"/>
        <w:numPr>
          <w:ilvl w:val="0"/>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2040-2050:</w:t>
      </w:r>
    </w:p>
    <w:p w14:paraId="0B78D77A"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 xml:space="preserve">Se espera un crecimiento superior al 15 % de la mezcla de SAF con Jet Fuel, mediante el aumento de la producción local y expansión de las capacidades de las plantas o la llegada de un tercer actor en el mercado de SAF. </w:t>
      </w:r>
    </w:p>
    <w:p w14:paraId="35EF2422" w14:textId="77777777" w:rsidR="001212B1" w:rsidRPr="00EF22E0" w:rsidRDefault="001212B1" w:rsidP="001212B1">
      <w:pPr>
        <w:pStyle w:val="paragraph"/>
        <w:numPr>
          <w:ilvl w:val="1"/>
          <w:numId w:val="20"/>
        </w:numPr>
        <w:spacing w:before="0" w:beforeAutospacing="0" w:after="0" w:afterAutospacing="0" w:line="360" w:lineRule="auto"/>
        <w:textAlignment w:val="baseline"/>
        <w:rPr>
          <w:rFonts w:ascii="Helvetica" w:hAnsi="Helvetica" w:cs="Helvetica"/>
          <w:lang w:val="es-ES_tradnl" w:eastAsia="es-ES"/>
        </w:rPr>
      </w:pPr>
      <w:r w:rsidRPr="00EF22E0">
        <w:rPr>
          <w:rFonts w:ascii="Helvetica" w:hAnsi="Helvetica" w:cs="Helvetica"/>
          <w:lang w:val="es-ES_tradnl" w:eastAsia="es-ES"/>
        </w:rPr>
        <w:t>Aumento de la eficiencia energética: navegación basada en rendimiento.</w:t>
      </w:r>
    </w:p>
    <w:p w14:paraId="324A0AC3" w14:textId="77777777" w:rsidR="001212B1" w:rsidRPr="00EF22E0" w:rsidRDefault="001212B1" w:rsidP="001212B1">
      <w:pPr>
        <w:pStyle w:val="paragraph"/>
        <w:spacing w:before="0" w:beforeAutospacing="0" w:after="0" w:afterAutospacing="0" w:line="360" w:lineRule="auto"/>
        <w:ind w:left="1440"/>
        <w:textAlignment w:val="baseline"/>
        <w:rPr>
          <w:rFonts w:ascii="Helvetica" w:hAnsi="Helvetica" w:cs="Helvetica"/>
          <w:lang w:val="es-ES_tradnl" w:eastAsia="es-ES"/>
        </w:rPr>
      </w:pPr>
    </w:p>
    <w:p w14:paraId="5D8BAF95" w14:textId="77777777" w:rsidR="001212B1" w:rsidRPr="00EF22E0" w:rsidRDefault="001212B1" w:rsidP="001212B1">
      <w:pPr>
        <w:pStyle w:val="Ttulo3"/>
        <w:numPr>
          <w:ilvl w:val="2"/>
          <w:numId w:val="1"/>
        </w:numPr>
        <w:jc w:val="left"/>
        <w:rPr>
          <w:rFonts w:ascii="Helvetica" w:hAnsi="Helvetica" w:cs="Helvetica"/>
          <w:szCs w:val="24"/>
        </w:rPr>
      </w:pPr>
      <w:r w:rsidRPr="00EF22E0">
        <w:rPr>
          <w:rFonts w:ascii="Helvetica" w:hAnsi="Helvetica" w:cs="Helvetica"/>
          <w:szCs w:val="24"/>
        </w:rPr>
        <w:t>Precios del combustible de aviación Jet A-1 en Colombia</w:t>
      </w:r>
    </w:p>
    <w:p w14:paraId="52DBD1AD" w14:textId="410CC79F" w:rsidR="001212B1" w:rsidRPr="00EF22E0" w:rsidRDefault="001212B1" w:rsidP="001212B1">
      <w:pPr>
        <w:spacing w:line="360" w:lineRule="auto"/>
        <w:jc w:val="left"/>
        <w:rPr>
          <w:rFonts w:ascii="Helvetica" w:hAnsi="Helvetica" w:cs="Helvetica"/>
          <w:szCs w:val="24"/>
          <w:lang w:eastAsia="es-CO"/>
        </w:rPr>
      </w:pPr>
      <w:r w:rsidRPr="00EF22E0">
        <w:rPr>
          <w:rFonts w:ascii="Helvetica" w:hAnsi="Helvetica" w:cs="Helvetica"/>
          <w:szCs w:val="24"/>
          <w:lang w:val="es-ES"/>
        </w:rPr>
        <w:t xml:space="preserve">Como ya se expuso en el capítulo de </w:t>
      </w:r>
      <w:r w:rsidRPr="00EF22E0">
        <w:rPr>
          <w:rFonts w:ascii="Helvetica" w:hAnsi="Helvetica" w:cs="Helvetica"/>
          <w:szCs w:val="24"/>
        </w:rPr>
        <w:fldChar w:fldCharType="begin"/>
      </w:r>
      <w:r w:rsidRPr="00EF22E0">
        <w:rPr>
          <w:rFonts w:ascii="Helvetica" w:hAnsi="Helvetica" w:cs="Helvetica"/>
          <w:szCs w:val="24"/>
        </w:rPr>
        <w:instrText xml:space="preserve"> REF _Ref145615221 \r \h  \* MERGEFORMAT </w:instrText>
      </w:r>
      <w:r w:rsidRPr="00EF22E0">
        <w:rPr>
          <w:rFonts w:ascii="Helvetica" w:hAnsi="Helvetica" w:cs="Helvetica"/>
          <w:szCs w:val="24"/>
        </w:rPr>
      </w:r>
      <w:r w:rsidRPr="00EF22E0">
        <w:rPr>
          <w:rFonts w:ascii="Helvetica" w:hAnsi="Helvetica" w:cs="Helvetica"/>
          <w:szCs w:val="24"/>
        </w:rPr>
        <w:fldChar w:fldCharType="separate"/>
      </w:r>
      <w:r w:rsidR="00874DC3" w:rsidRPr="00874DC3">
        <w:rPr>
          <w:rFonts w:ascii="Helvetica" w:hAnsi="Helvetica" w:cs="Helvetica"/>
          <w:szCs w:val="24"/>
          <w:lang w:val="es-ES"/>
        </w:rPr>
        <w:t>1.1</w:t>
      </w:r>
      <w:r w:rsidRPr="00EF22E0">
        <w:rPr>
          <w:rFonts w:ascii="Helvetica" w:hAnsi="Helvetica" w:cs="Helvetica"/>
          <w:szCs w:val="24"/>
        </w:rPr>
        <w:fldChar w:fldCharType="end"/>
      </w:r>
      <w:r w:rsidRPr="00EF22E0">
        <w:rPr>
          <w:rFonts w:ascii="Helvetica" w:hAnsi="Helvetica" w:cs="Helvetica"/>
          <w:szCs w:val="24"/>
          <w:lang w:val="es-ES"/>
        </w:rPr>
        <w:t xml:space="preserve"> </w:t>
      </w:r>
      <w:r w:rsidRPr="00EF22E0">
        <w:rPr>
          <w:rFonts w:ascii="Helvetica" w:hAnsi="Helvetica" w:cs="Helvetica"/>
          <w:szCs w:val="24"/>
        </w:rPr>
        <w:fldChar w:fldCharType="begin"/>
      </w:r>
      <w:r w:rsidRPr="00EF22E0">
        <w:rPr>
          <w:rFonts w:ascii="Helvetica" w:hAnsi="Helvetica" w:cs="Helvetica"/>
          <w:szCs w:val="24"/>
        </w:rPr>
        <w:instrText xml:space="preserve"> REF _Ref145615221 \h  \* MERGEFORMAT </w:instrText>
      </w:r>
      <w:r w:rsidRPr="00EF22E0">
        <w:rPr>
          <w:rFonts w:ascii="Helvetica" w:hAnsi="Helvetica" w:cs="Helvetica"/>
          <w:szCs w:val="24"/>
        </w:rPr>
      </w:r>
      <w:r w:rsidRPr="00EF22E0">
        <w:rPr>
          <w:rFonts w:ascii="Helvetica" w:hAnsi="Helvetica" w:cs="Helvetica"/>
          <w:szCs w:val="24"/>
        </w:rPr>
        <w:fldChar w:fldCharType="separate"/>
      </w:r>
      <w:r w:rsidR="00874DC3" w:rsidRPr="00874DC3">
        <w:rPr>
          <w:rFonts w:ascii="Helvetica" w:hAnsi="Helvetica" w:cs="Helvetica"/>
          <w:szCs w:val="24"/>
          <w:lang w:val="es-ES"/>
        </w:rPr>
        <w:t>Contexto Legal</w:t>
      </w:r>
      <w:r w:rsidRPr="00EF22E0">
        <w:rPr>
          <w:rFonts w:ascii="Helvetica" w:hAnsi="Helvetica" w:cs="Helvetica"/>
          <w:szCs w:val="24"/>
        </w:rPr>
        <w:fldChar w:fldCharType="end"/>
      </w:r>
      <w:r w:rsidRPr="00EF22E0">
        <w:rPr>
          <w:rFonts w:ascii="Helvetica" w:hAnsi="Helvetica" w:cs="Helvetica"/>
          <w:szCs w:val="24"/>
          <w:lang w:val="es-ES"/>
        </w:rPr>
        <w:t xml:space="preserve">, actualmente la fórmula de precios del combustible de aviación Jet A-1, regula el precio de venta del distribuidor mayorista de acuerdo con lo definido en la Ley 681 de 2001 y el artículo 116 de la Ley 1450 de 2011. </w:t>
      </w:r>
    </w:p>
    <w:p w14:paraId="5607BEED" w14:textId="77777777" w:rsidR="001212B1" w:rsidRPr="00EF22E0" w:rsidRDefault="001212B1" w:rsidP="001212B1">
      <w:pPr>
        <w:spacing w:line="360" w:lineRule="auto"/>
        <w:jc w:val="left"/>
        <w:rPr>
          <w:rFonts w:ascii="Helvetica" w:hAnsi="Helvetica" w:cs="Helvetica"/>
          <w:szCs w:val="24"/>
          <w:lang w:eastAsia="es-CO"/>
        </w:rPr>
      </w:pPr>
    </w:p>
    <w:p w14:paraId="02346537" w14:textId="77777777" w:rsidR="001212B1" w:rsidRPr="00EF22E0" w:rsidRDefault="001212B1" w:rsidP="001212B1">
      <w:pPr>
        <w:spacing w:line="360" w:lineRule="auto"/>
        <w:jc w:val="left"/>
        <w:rPr>
          <w:rFonts w:ascii="Helvetica" w:hAnsi="Helvetica" w:cs="Helvetica"/>
          <w:szCs w:val="24"/>
          <w:lang w:val="es-ES" w:eastAsia="es-CO"/>
        </w:rPr>
      </w:pPr>
      <w:r w:rsidRPr="00EF22E0">
        <w:rPr>
          <w:rFonts w:ascii="Helvetica" w:hAnsi="Helvetica" w:cs="Helvetica"/>
          <w:szCs w:val="24"/>
          <w:lang w:eastAsia="es-CO"/>
        </w:rPr>
        <w:t xml:space="preserve">Conforme con lo definido en la norma, Ecopetrol S.A publica </w:t>
      </w:r>
      <w:r w:rsidRPr="00EF22E0">
        <w:rPr>
          <w:rFonts w:ascii="Helvetica" w:hAnsi="Helvetica" w:cs="Helvetica"/>
          <w:szCs w:val="24"/>
          <w:lang w:val="es-ES" w:eastAsia="es-CO"/>
        </w:rPr>
        <w:t>de manera semanal</w:t>
      </w:r>
      <w:r w:rsidRPr="00EF22E0">
        <w:rPr>
          <w:rFonts w:ascii="Helvetica" w:hAnsi="Helvetica" w:cs="Helvetica"/>
          <w:szCs w:val="24"/>
          <w:lang w:eastAsia="es-CO"/>
        </w:rPr>
        <w:t xml:space="preserve"> en su página web</w:t>
      </w:r>
      <w:r w:rsidRPr="00EF22E0">
        <w:rPr>
          <w:rFonts w:ascii="Helvetica" w:hAnsi="Helvetica" w:cs="Helvetica"/>
          <w:szCs w:val="24"/>
          <w:lang w:val="es-ES" w:eastAsia="es-CO"/>
        </w:rPr>
        <w:t>, el precio de venta al distribuidor mayorista de la gasolina de aviación Jet A1 de origen nacional, así mismo lo hace cuando por garantía</w:t>
      </w:r>
      <w:r>
        <w:rPr>
          <w:rFonts w:ascii="Helvetica" w:hAnsi="Helvetica" w:cs="Helvetica"/>
          <w:szCs w:val="24"/>
          <w:lang w:val="es-ES" w:eastAsia="es-CO"/>
        </w:rPr>
        <w:t xml:space="preserve"> del abastecimiento realizan</w:t>
      </w:r>
      <w:r w:rsidRPr="00EF22E0">
        <w:rPr>
          <w:rFonts w:ascii="Helvetica" w:hAnsi="Helvetica" w:cs="Helvetica"/>
          <w:szCs w:val="24"/>
          <w:lang w:val="es-ES" w:eastAsia="es-CO"/>
        </w:rPr>
        <w:t xml:space="preserve"> importaciones. A continuación, se describe el comportamiento del precio de venta al distribuidor mayorista de la gasolina de aviación Jet A1 a precios constantes a diciembre de 2022. </w:t>
      </w:r>
    </w:p>
    <w:p w14:paraId="2F1B9DAA" w14:textId="77777777" w:rsidR="001212B1" w:rsidRPr="00EF22E0" w:rsidRDefault="001212B1" w:rsidP="001212B1">
      <w:pPr>
        <w:spacing w:line="360" w:lineRule="auto"/>
        <w:jc w:val="left"/>
        <w:rPr>
          <w:rFonts w:ascii="Helvetica" w:hAnsi="Helvetica" w:cs="Helvetica"/>
          <w:szCs w:val="24"/>
          <w:lang w:eastAsia="es-CO"/>
        </w:rPr>
      </w:pPr>
    </w:p>
    <w:p w14:paraId="517C3C74" w14:textId="018B7265" w:rsidR="001212B1" w:rsidRPr="00EF22E0" w:rsidRDefault="001212B1" w:rsidP="001212B1">
      <w:pPr>
        <w:spacing w:line="360" w:lineRule="auto"/>
        <w:jc w:val="left"/>
        <w:rPr>
          <w:rFonts w:ascii="Helvetica" w:hAnsi="Helvetica" w:cs="Helvetica"/>
          <w:szCs w:val="24"/>
          <w:lang w:eastAsia="es-CO"/>
        </w:rPr>
      </w:pPr>
      <w:r w:rsidRPr="00EF22E0">
        <w:rPr>
          <w:rFonts w:ascii="Helvetica" w:hAnsi="Helvetica" w:cs="Helvetica"/>
          <w:szCs w:val="24"/>
          <w:lang w:eastAsia="es-CO"/>
        </w:rPr>
        <w:t xml:space="preserve">En la </w:t>
      </w:r>
      <w:r w:rsidRPr="00EF22E0">
        <w:rPr>
          <w:rFonts w:ascii="Helvetica" w:hAnsi="Helvetica" w:cs="Helvetica"/>
          <w:szCs w:val="24"/>
          <w:lang w:eastAsia="es-CO"/>
        </w:rPr>
        <w:fldChar w:fldCharType="begin"/>
      </w:r>
      <w:r w:rsidRPr="00EF22E0">
        <w:rPr>
          <w:rFonts w:ascii="Helvetica" w:hAnsi="Helvetica" w:cs="Helvetica"/>
          <w:szCs w:val="24"/>
          <w:lang w:eastAsia="es-CO"/>
        </w:rPr>
        <w:instrText xml:space="preserve"> REF _Ref146726119 \h  \* MERGEFORMAT </w:instrText>
      </w:r>
      <w:r w:rsidRPr="00EF22E0">
        <w:rPr>
          <w:rFonts w:ascii="Helvetica" w:hAnsi="Helvetica" w:cs="Helvetica"/>
          <w:szCs w:val="24"/>
          <w:lang w:eastAsia="es-CO"/>
        </w:rPr>
      </w:r>
      <w:r w:rsidRPr="00EF22E0">
        <w:rPr>
          <w:rFonts w:ascii="Helvetica" w:hAnsi="Helvetica" w:cs="Helvetica"/>
          <w:szCs w:val="24"/>
          <w:lang w:eastAsia="es-CO"/>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6</w:t>
      </w:r>
      <w:r w:rsidRPr="00EF22E0">
        <w:rPr>
          <w:rFonts w:ascii="Helvetica" w:hAnsi="Helvetica" w:cs="Helvetica"/>
          <w:szCs w:val="24"/>
          <w:lang w:eastAsia="es-CO"/>
        </w:rPr>
        <w:fldChar w:fldCharType="end"/>
      </w:r>
      <w:r w:rsidRPr="00EF22E0">
        <w:rPr>
          <w:rFonts w:ascii="Helvetica" w:hAnsi="Helvetica" w:cs="Helvetica"/>
          <w:szCs w:val="24"/>
          <w:lang w:eastAsia="es-CO"/>
        </w:rPr>
        <w:t xml:space="preserve"> se observa el precio de venta al distribuidor mayorista del producto de origen nacional (línea azul) y el precio del producto importado (línea roja). La discontinuidad de la línea roja se debe a que el refinador en ocasiones no importa Jet A-1 para atención de la demanda, por lo cual no publica el precio del producto importado. Se observa diferencia entre el precio del producto importado y el producto nacional, dado que el precio del producto importado incluye el precio del producto en la Costa del Golfo, el costo del flete, seguros, impuestos, inspecciones, costos por ajuste de calidad, sobreestadía del barco, transporte terrestre, entre otros costos que dependen de la logística en puerto. La diferencia ha alcanzado valores positivos alrededor de 1,4 y 1,1 USD$/galón y valores negativos de hasta 0,7 USD/galón. Colombia es tomador de precios y su balanza comercial no tiene injerencia en las dinámicas del mercado internacional.</w:t>
      </w:r>
    </w:p>
    <w:p w14:paraId="262819BD" w14:textId="77777777" w:rsidR="001212B1" w:rsidRPr="00EF22E0" w:rsidRDefault="001212B1" w:rsidP="001212B1">
      <w:pPr>
        <w:spacing w:line="360" w:lineRule="auto"/>
        <w:jc w:val="left"/>
        <w:rPr>
          <w:rFonts w:ascii="Helvetica" w:hAnsi="Helvetica" w:cs="Helvetica"/>
          <w:szCs w:val="24"/>
          <w:lang w:eastAsia="es-CO"/>
        </w:rPr>
      </w:pPr>
    </w:p>
    <w:p w14:paraId="6B703B34" w14:textId="02A4870E" w:rsidR="001212B1" w:rsidRPr="00EF22E0" w:rsidRDefault="001212B1" w:rsidP="001212B1">
      <w:pPr>
        <w:pStyle w:val="Descripcin"/>
        <w:spacing w:line="360" w:lineRule="auto"/>
        <w:rPr>
          <w:rFonts w:ascii="Helvetica" w:hAnsi="Helvetica" w:cs="Helvetica"/>
          <w:sz w:val="24"/>
          <w:szCs w:val="24"/>
        </w:rPr>
      </w:pPr>
      <w:bookmarkStart w:id="22" w:name="_Ref146726119"/>
      <w:bookmarkStart w:id="23" w:name="_Toc167896846"/>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6</w:t>
      </w:r>
      <w:r w:rsidRPr="00EF22E0">
        <w:rPr>
          <w:rFonts w:ascii="Helvetica" w:hAnsi="Helvetica" w:cs="Helvetica"/>
          <w:sz w:val="24"/>
          <w:szCs w:val="24"/>
        </w:rPr>
        <w:fldChar w:fldCharType="end"/>
      </w:r>
      <w:bookmarkEnd w:id="22"/>
      <w:r w:rsidRPr="00EF22E0">
        <w:rPr>
          <w:rFonts w:ascii="Helvetica" w:hAnsi="Helvetica" w:cs="Helvetica"/>
          <w:sz w:val="24"/>
          <w:szCs w:val="24"/>
        </w:rPr>
        <w:t>. Precio de Jet A1 nacional e importado</w:t>
      </w:r>
      <w:bookmarkEnd w:id="23"/>
    </w:p>
    <w:p w14:paraId="4B9C2809" w14:textId="77777777" w:rsidR="001212B1" w:rsidRPr="00EF22E0" w:rsidRDefault="001212B1" w:rsidP="001212B1">
      <w:pPr>
        <w:spacing w:line="360" w:lineRule="auto"/>
        <w:jc w:val="left"/>
        <w:rPr>
          <w:rFonts w:ascii="Helvetica" w:hAnsi="Helvetica" w:cs="Helvetica"/>
          <w:szCs w:val="24"/>
          <w:lang w:eastAsia="es-CO"/>
        </w:rPr>
      </w:pPr>
      <w:r w:rsidRPr="00EF22E0">
        <w:rPr>
          <w:rFonts w:ascii="Helvetica" w:hAnsi="Helvetica" w:cs="Helvetica"/>
          <w:noProof/>
          <w:szCs w:val="24"/>
          <w:lang w:eastAsia="es-CO"/>
        </w:rPr>
        <w:drawing>
          <wp:inline distT="0" distB="0" distL="0" distR="0" wp14:anchorId="38AB42C4" wp14:editId="1D2D318C">
            <wp:extent cx="5676900" cy="3333750"/>
            <wp:effectExtent l="0" t="0" r="0" b="0"/>
            <wp:docPr id="1" name="Gráfico 1">
              <a:extLst xmlns:a="http://schemas.openxmlformats.org/drawingml/2006/main">
                <a:ext uri="{FF2B5EF4-FFF2-40B4-BE49-F238E27FC236}">
                  <a16:creationId xmlns:a16="http://schemas.microsoft.com/office/drawing/2014/main" id="{0BB33B78-8886-4361-87FF-B402B5703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B8BBB5" w14:textId="77777777" w:rsidR="001212B1" w:rsidRPr="00EF22E0" w:rsidRDefault="001212B1" w:rsidP="001212B1">
      <w:pPr>
        <w:spacing w:line="360" w:lineRule="auto"/>
        <w:jc w:val="left"/>
        <w:rPr>
          <w:rFonts w:ascii="Helvetica" w:hAnsi="Helvetica" w:cs="Helvetica"/>
          <w:szCs w:val="24"/>
          <w:lang w:val="es-419"/>
        </w:rPr>
      </w:pPr>
      <w:r w:rsidRPr="00EF22E0">
        <w:rPr>
          <w:rFonts w:ascii="Helvetica" w:hAnsi="Helvetica" w:cs="Helvetica"/>
          <w:szCs w:val="24"/>
          <w:lang w:val="es-419"/>
        </w:rPr>
        <w:t>Fuente: ECOPETROL, 2023</w:t>
      </w:r>
    </w:p>
    <w:p w14:paraId="0A05F1D0" w14:textId="77777777" w:rsidR="001212B1" w:rsidRPr="00EF22E0" w:rsidRDefault="001212B1" w:rsidP="001212B1">
      <w:pPr>
        <w:spacing w:line="360" w:lineRule="auto"/>
        <w:jc w:val="left"/>
        <w:rPr>
          <w:rFonts w:ascii="Helvetica" w:hAnsi="Helvetica" w:cs="Helvetica"/>
          <w:szCs w:val="24"/>
          <w:lang w:eastAsia="es-CO"/>
        </w:rPr>
      </w:pPr>
    </w:p>
    <w:p w14:paraId="211A70FC" w14:textId="77777777" w:rsidR="001212B1" w:rsidRPr="00EF22E0" w:rsidRDefault="001212B1" w:rsidP="001212B1">
      <w:pPr>
        <w:pStyle w:val="Ttulo2"/>
        <w:numPr>
          <w:ilvl w:val="1"/>
          <w:numId w:val="1"/>
        </w:numPr>
        <w:ind w:left="578" w:hanging="578"/>
        <w:jc w:val="left"/>
        <w:rPr>
          <w:rStyle w:val="normaltextrun"/>
          <w:rFonts w:ascii="Helvetica" w:hAnsi="Helvetica" w:cs="Helvetica"/>
        </w:rPr>
      </w:pPr>
      <w:r w:rsidRPr="00EF22E0">
        <w:rPr>
          <w:rStyle w:val="normaltextrun"/>
          <w:rFonts w:ascii="Helvetica" w:hAnsi="Helvetica" w:cs="Helvetica"/>
        </w:rPr>
        <w:t>Distribución Mayorista y Minorista de combustible de aviación para motores tipo turbina</w:t>
      </w:r>
    </w:p>
    <w:p w14:paraId="0E6D44C6" w14:textId="77777777" w:rsidR="001212B1" w:rsidRPr="00EF22E0" w:rsidRDefault="001212B1" w:rsidP="001212B1">
      <w:pPr>
        <w:spacing w:line="360" w:lineRule="auto"/>
        <w:jc w:val="left"/>
        <w:rPr>
          <w:rFonts w:ascii="Helvetica" w:hAnsi="Helvetica" w:cs="Helvetica"/>
          <w:szCs w:val="24"/>
          <w:lang w:val="es-CO"/>
        </w:rPr>
      </w:pPr>
    </w:p>
    <w:p w14:paraId="10F40F83"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El Decreto 1073 de 2015, define a los agentes de la cadena de distribución de combustibles líquidos como: refinador, importador, almacenador, distribuidor mayorista, transportador, distribuidor minorista y gran consumidor. Así mismo, define los requisitos que los agentes deben cumplir para ser autorizados para ejercer la actividad y las obligaciones que deben cumplir.</w:t>
      </w:r>
    </w:p>
    <w:p w14:paraId="7E03D52D" w14:textId="77777777" w:rsidR="001212B1" w:rsidRPr="00EF22E0" w:rsidRDefault="001212B1" w:rsidP="001212B1">
      <w:pPr>
        <w:spacing w:line="360" w:lineRule="auto"/>
        <w:jc w:val="left"/>
        <w:rPr>
          <w:rFonts w:ascii="Helvetica" w:hAnsi="Helvetica" w:cs="Helvetica"/>
          <w:szCs w:val="24"/>
          <w:lang w:val="es-CO"/>
        </w:rPr>
      </w:pPr>
    </w:p>
    <w:p w14:paraId="74160F36"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En este sentido, el mencionado Decreto establece lo siguiente:</w:t>
      </w:r>
    </w:p>
    <w:p w14:paraId="0D52922A" w14:textId="77777777" w:rsidR="001212B1" w:rsidRPr="00EF22E0" w:rsidRDefault="001212B1" w:rsidP="001212B1">
      <w:pPr>
        <w:spacing w:line="360" w:lineRule="auto"/>
        <w:jc w:val="left"/>
        <w:rPr>
          <w:rFonts w:ascii="Helvetica" w:hAnsi="Helvetica" w:cs="Helvetica"/>
          <w:szCs w:val="24"/>
          <w:lang w:val="es-CO"/>
        </w:rPr>
      </w:pPr>
    </w:p>
    <w:p w14:paraId="33BE1F5D" w14:textId="77777777" w:rsidR="001212B1" w:rsidRPr="00EF22E0" w:rsidRDefault="001212B1" w:rsidP="001212B1">
      <w:pPr>
        <w:spacing w:line="360" w:lineRule="auto"/>
        <w:jc w:val="left"/>
        <w:rPr>
          <w:rFonts w:ascii="Helvetica" w:hAnsi="Helvetica" w:cs="Helvetica"/>
          <w:i/>
          <w:szCs w:val="24"/>
          <w:lang w:val="es-CO"/>
        </w:rPr>
      </w:pPr>
      <w:r w:rsidRPr="00EF22E0">
        <w:rPr>
          <w:rFonts w:ascii="Helvetica" w:hAnsi="Helvetica" w:cs="Helvetica"/>
          <w:szCs w:val="24"/>
          <w:lang w:val="es-CO"/>
        </w:rPr>
        <w:t>Refinador</w:t>
      </w:r>
      <w:r w:rsidRPr="00EF22E0">
        <w:rPr>
          <w:rFonts w:ascii="Helvetica" w:hAnsi="Helvetica" w:cs="Helvetica"/>
          <w:i/>
          <w:szCs w:val="24"/>
          <w:lang w:val="es-CO"/>
        </w:rPr>
        <w:t>: “Toda persona natural o jurídica que ejerce la actividad de refinación de hidrocarburos para la producción de combustibles líquidos derivados del petróleo, en los términos del artículo 2.2.1.1.2.2.3.75.”</w:t>
      </w:r>
    </w:p>
    <w:p w14:paraId="1FC5FEEA" w14:textId="77777777" w:rsidR="001212B1" w:rsidRPr="00EF22E0" w:rsidRDefault="001212B1" w:rsidP="001212B1">
      <w:pPr>
        <w:spacing w:line="360" w:lineRule="auto"/>
        <w:jc w:val="left"/>
        <w:rPr>
          <w:rFonts w:ascii="Helvetica" w:hAnsi="Helvetica" w:cs="Helvetica"/>
          <w:szCs w:val="24"/>
          <w:lang w:val="es-CO"/>
        </w:rPr>
      </w:pPr>
    </w:p>
    <w:p w14:paraId="09D11F78"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szCs w:val="24"/>
          <w:lang w:val="es-CO"/>
        </w:rPr>
        <w:t>Distribuidor mayorista</w:t>
      </w:r>
      <w:r w:rsidRPr="00EF22E0">
        <w:rPr>
          <w:rFonts w:ascii="Helvetica" w:hAnsi="Helvetica" w:cs="Helvetica"/>
          <w:i/>
          <w:szCs w:val="24"/>
          <w:lang w:val="es-CO"/>
        </w:rPr>
        <w:t xml:space="preserve">: “Toda persona natural o jurídica dedicada a ejercer la distribución de combustibles líquidos derivados del petróleo, a través de una </w:t>
      </w:r>
      <w:r w:rsidRPr="00EF22E0">
        <w:rPr>
          <w:rFonts w:ascii="Helvetica" w:hAnsi="Helvetica" w:cs="Helvetica"/>
          <w:i/>
          <w:szCs w:val="24"/>
          <w:u w:val="single"/>
          <w:lang w:val="es-CO"/>
        </w:rPr>
        <w:t>planta de abastecimiento</w:t>
      </w:r>
      <w:r w:rsidRPr="00EF22E0">
        <w:rPr>
          <w:rFonts w:ascii="Helvetica" w:hAnsi="Helvetica" w:cs="Helvetica"/>
          <w:i/>
          <w:szCs w:val="24"/>
          <w:lang w:val="es-CO"/>
        </w:rPr>
        <w:t xml:space="preserve"> conforme a lo señalado en el Artículo 2.2.1.1.2.2.3.83” </w:t>
      </w:r>
      <w:r w:rsidRPr="00EF22E0">
        <w:rPr>
          <w:rFonts w:ascii="Helvetica" w:hAnsi="Helvetica" w:cs="Helvetica"/>
          <w:iCs/>
          <w:szCs w:val="24"/>
          <w:lang w:val="es-CO"/>
        </w:rPr>
        <w:t>(subrayado fuera del texto original).</w:t>
      </w:r>
    </w:p>
    <w:p w14:paraId="36B0E482" w14:textId="77777777" w:rsidR="001212B1" w:rsidRPr="00EF22E0" w:rsidRDefault="001212B1" w:rsidP="001212B1">
      <w:pPr>
        <w:spacing w:line="360" w:lineRule="auto"/>
        <w:jc w:val="left"/>
        <w:rPr>
          <w:rFonts w:ascii="Helvetica" w:hAnsi="Helvetica" w:cs="Helvetica"/>
          <w:szCs w:val="24"/>
          <w:lang w:val="es-CO"/>
        </w:rPr>
      </w:pPr>
    </w:p>
    <w:p w14:paraId="3B3B259F" w14:textId="77777777" w:rsidR="001212B1" w:rsidRPr="00EF22E0" w:rsidRDefault="001212B1" w:rsidP="001212B1">
      <w:pPr>
        <w:spacing w:line="360" w:lineRule="auto"/>
        <w:jc w:val="left"/>
        <w:rPr>
          <w:rFonts w:ascii="Helvetica" w:hAnsi="Helvetica" w:cs="Helvetica"/>
          <w:i/>
          <w:szCs w:val="24"/>
          <w:lang w:val="es-CO"/>
        </w:rPr>
      </w:pPr>
      <w:r w:rsidRPr="00EF22E0">
        <w:rPr>
          <w:rFonts w:ascii="Helvetica" w:hAnsi="Helvetica" w:cs="Helvetica"/>
          <w:szCs w:val="24"/>
          <w:lang w:val="es-CO"/>
        </w:rPr>
        <w:t>Distribuidor minorista</w:t>
      </w:r>
      <w:r w:rsidRPr="00EF22E0">
        <w:rPr>
          <w:rFonts w:ascii="Helvetica" w:hAnsi="Helvetica" w:cs="Helvetica"/>
          <w:i/>
          <w:szCs w:val="24"/>
          <w:lang w:val="es-CO"/>
        </w:rPr>
        <w:t>: “Toda persona natural o jurídica dedicada a ejercer la distribución de combustibles líquidos derivados del petróleo al consumidor final</w:t>
      </w:r>
      <w:r w:rsidRPr="00EF22E0">
        <w:rPr>
          <w:rFonts w:ascii="Helvetica" w:hAnsi="Helvetica" w:cs="Helvetica"/>
          <w:i/>
          <w:szCs w:val="24"/>
          <w:u w:val="single"/>
          <w:lang w:val="es-CO"/>
        </w:rPr>
        <w:t>, a través de una estación de servicio o como comercializador Industrial</w:t>
      </w:r>
      <w:r w:rsidRPr="00EF22E0">
        <w:rPr>
          <w:rFonts w:ascii="Helvetica" w:hAnsi="Helvetica" w:cs="Helvetica"/>
          <w:i/>
          <w:szCs w:val="24"/>
          <w:lang w:val="es-CO"/>
        </w:rPr>
        <w:t xml:space="preserve">, en los términos del artículo 2.2.1.1.2.2.3.90.”. </w:t>
      </w:r>
      <w:r w:rsidRPr="00EF22E0">
        <w:rPr>
          <w:rFonts w:ascii="Helvetica" w:hAnsi="Helvetica" w:cs="Helvetica"/>
          <w:iCs/>
          <w:szCs w:val="24"/>
          <w:lang w:val="es-CO"/>
        </w:rPr>
        <w:t>(subrayado fuera del texto original).</w:t>
      </w:r>
    </w:p>
    <w:p w14:paraId="671F08CB" w14:textId="77777777" w:rsidR="001212B1" w:rsidRPr="00EF22E0" w:rsidRDefault="001212B1" w:rsidP="001212B1">
      <w:pPr>
        <w:spacing w:line="360" w:lineRule="auto"/>
        <w:jc w:val="left"/>
        <w:rPr>
          <w:rFonts w:ascii="Helvetica" w:hAnsi="Helvetica" w:cs="Helvetica"/>
          <w:szCs w:val="24"/>
          <w:lang w:val="es-CO"/>
        </w:rPr>
      </w:pPr>
    </w:p>
    <w:p w14:paraId="2CA15141" w14:textId="77777777" w:rsidR="001212B1" w:rsidRPr="00EF22E0" w:rsidRDefault="001212B1" w:rsidP="001212B1">
      <w:pPr>
        <w:spacing w:line="360" w:lineRule="auto"/>
        <w:jc w:val="left"/>
        <w:rPr>
          <w:rFonts w:ascii="Helvetica" w:hAnsi="Helvetica" w:cs="Helvetica"/>
          <w:i/>
          <w:iCs/>
          <w:szCs w:val="24"/>
          <w:lang w:val="es-CO"/>
        </w:rPr>
      </w:pPr>
      <w:r w:rsidRPr="00EF22E0">
        <w:rPr>
          <w:rFonts w:ascii="Helvetica" w:hAnsi="Helvetica" w:cs="Helvetica"/>
          <w:szCs w:val="24"/>
          <w:lang w:val="es-CO"/>
        </w:rPr>
        <w:t>El decreto 1073 de 2015, en el numeral 10 del ARTÍCULO</w:t>
      </w:r>
      <w:bookmarkStart w:id="24" w:name="2.2.1.1.2.2.3.91"/>
      <w:bookmarkEnd w:id="24"/>
      <w:r w:rsidRPr="00EF22E0">
        <w:rPr>
          <w:rFonts w:ascii="Helvetica" w:hAnsi="Helvetica" w:cs="Helvetica"/>
          <w:szCs w:val="24"/>
          <w:lang w:val="es-CO"/>
        </w:rPr>
        <w:t xml:space="preserve"> 2.2.1.1.2.2.3.91. Obligaciones de los distribuidores minoristas a través de estaciones de servicio, señala que: </w:t>
      </w:r>
      <w:r w:rsidRPr="00EF22E0">
        <w:rPr>
          <w:rFonts w:ascii="Helvetica" w:hAnsi="Helvetica" w:cs="Helvetica"/>
          <w:i/>
          <w:iCs/>
          <w:szCs w:val="24"/>
          <w:lang w:val="es-CO"/>
        </w:rPr>
        <w:t>“…</w:t>
      </w:r>
      <w:r w:rsidRPr="00EF22E0">
        <w:rPr>
          <w:rFonts w:ascii="Helvetica" w:hAnsi="Helvetica" w:cs="Helvetica"/>
          <w:i/>
          <w:iCs/>
          <w:szCs w:val="24"/>
          <w:u w:val="single"/>
          <w:lang w:val="es-CO"/>
        </w:rPr>
        <w:t xml:space="preserve">la estación de servicio de aviación podrá adquirir los combustibles, de un </w:t>
      </w:r>
      <w:r w:rsidRPr="00EF22E0">
        <w:rPr>
          <w:rFonts w:ascii="Helvetica" w:hAnsi="Helvetica" w:cs="Helvetica"/>
          <w:i/>
          <w:iCs/>
          <w:szCs w:val="24"/>
          <w:u w:val="single"/>
          <w:lang w:val="es-CO"/>
        </w:rPr>
        <w:lastRenderedPageBreak/>
        <w:t>importador, refinador, distribuidor mayorista y/o de una estación de servicio de aviació</w:t>
      </w:r>
      <w:r w:rsidRPr="00EF22E0">
        <w:rPr>
          <w:rFonts w:ascii="Helvetica" w:hAnsi="Helvetica" w:cs="Helvetica"/>
          <w:i/>
          <w:iCs/>
          <w:szCs w:val="24"/>
          <w:lang w:val="es-CO"/>
        </w:rPr>
        <w:t xml:space="preserve">n…” </w:t>
      </w:r>
      <w:r w:rsidRPr="00EF22E0">
        <w:rPr>
          <w:rFonts w:ascii="Helvetica" w:hAnsi="Helvetica" w:cs="Helvetica"/>
          <w:szCs w:val="24"/>
          <w:lang w:val="es-CO"/>
        </w:rPr>
        <w:t>(subrayado fuera del texto original).</w:t>
      </w:r>
    </w:p>
    <w:p w14:paraId="43B6E79B" w14:textId="77777777" w:rsidR="001212B1" w:rsidRPr="00EF22E0" w:rsidRDefault="001212B1" w:rsidP="001212B1">
      <w:pPr>
        <w:spacing w:line="360" w:lineRule="auto"/>
        <w:jc w:val="left"/>
        <w:rPr>
          <w:rFonts w:ascii="Helvetica" w:hAnsi="Helvetica" w:cs="Helvetica"/>
          <w:szCs w:val="24"/>
          <w:lang w:val="es-CO"/>
        </w:rPr>
      </w:pPr>
    </w:p>
    <w:p w14:paraId="5ADFF99A" w14:textId="77777777" w:rsidR="001212B1" w:rsidRPr="00EF22E0" w:rsidRDefault="001212B1" w:rsidP="001212B1">
      <w:pPr>
        <w:spacing w:line="360" w:lineRule="auto"/>
        <w:jc w:val="left"/>
        <w:rPr>
          <w:rFonts w:ascii="Helvetica" w:hAnsi="Helvetica" w:cs="Helvetica"/>
          <w:szCs w:val="24"/>
          <w:lang w:val="es-CO"/>
        </w:rPr>
      </w:pPr>
    </w:p>
    <w:p w14:paraId="5D77700C" w14:textId="77777777" w:rsidR="001212B1" w:rsidRPr="00EF22E0" w:rsidRDefault="001212B1" w:rsidP="001212B1">
      <w:pPr>
        <w:pStyle w:val="Ttulo3"/>
        <w:numPr>
          <w:ilvl w:val="2"/>
          <w:numId w:val="1"/>
        </w:numPr>
        <w:rPr>
          <w:rStyle w:val="normaltextrun"/>
          <w:rFonts w:ascii="Helvetica" w:hAnsi="Helvetica" w:cs="Helvetica"/>
          <w:szCs w:val="24"/>
        </w:rPr>
      </w:pPr>
      <w:r w:rsidRPr="00EF22E0">
        <w:rPr>
          <w:rStyle w:val="normaltextrun"/>
          <w:rFonts w:ascii="Helvetica" w:hAnsi="Helvetica" w:cs="Helvetica"/>
          <w:szCs w:val="24"/>
        </w:rPr>
        <w:t>Distribución mayorista de combustibles líquidos.</w:t>
      </w:r>
    </w:p>
    <w:p w14:paraId="4A1253CD" w14:textId="77777777" w:rsidR="001212B1" w:rsidRPr="00EF22E0" w:rsidRDefault="001212B1" w:rsidP="001212B1">
      <w:pPr>
        <w:spacing w:line="360" w:lineRule="auto"/>
        <w:jc w:val="left"/>
        <w:rPr>
          <w:rFonts w:ascii="Helvetica" w:hAnsi="Helvetica" w:cs="Helvetica"/>
          <w:szCs w:val="24"/>
          <w:lang w:val="es-ES"/>
        </w:rPr>
      </w:pPr>
    </w:p>
    <w:p w14:paraId="6B77EDC0" w14:textId="77777777" w:rsidR="00874DC3" w:rsidRPr="00874DC3" w:rsidRDefault="001212B1" w:rsidP="00874DC3">
      <w:pPr>
        <w:spacing w:line="360" w:lineRule="auto"/>
        <w:jc w:val="left"/>
        <w:rPr>
          <w:rFonts w:ascii="Helvetica" w:hAnsi="Helvetica" w:cs="Helvetica"/>
          <w:szCs w:val="24"/>
        </w:rPr>
      </w:pPr>
      <w:r w:rsidRPr="00EF22E0">
        <w:rPr>
          <w:rFonts w:ascii="Helvetica" w:hAnsi="Helvetica" w:cs="Helvetica"/>
          <w:iCs/>
          <w:szCs w:val="24"/>
          <w:lang w:val="es-CO"/>
        </w:rPr>
        <w:t xml:space="preserve">Según los datos de SICOM de 2022, Colombia tiene 60 plantas de almacenamiento mayorista registradas, de las cuales alrededor de 30 están conectadas al sistema de poliductos </w:t>
      </w:r>
      <w:r w:rsidRPr="00EF22E0">
        <w:rPr>
          <w:rFonts w:ascii="Helvetica" w:hAnsi="Helvetica" w:cs="Helvetica"/>
          <w:iCs/>
          <w:szCs w:val="24"/>
          <w:lang w:val="es-CO"/>
        </w:rPr>
        <w:fldChar w:fldCharType="begin"/>
      </w:r>
      <w:r w:rsidRPr="00EF22E0">
        <w:rPr>
          <w:rFonts w:ascii="Helvetica" w:hAnsi="Helvetica" w:cs="Helvetica"/>
          <w:iCs/>
          <w:szCs w:val="24"/>
          <w:lang w:val="es-CO"/>
        </w:rPr>
        <w:instrText xml:space="preserve"> REF _Ref146726165 \h  \* MERGEFORMAT </w:instrText>
      </w:r>
      <w:r w:rsidRPr="00EF22E0">
        <w:rPr>
          <w:rFonts w:ascii="Helvetica" w:hAnsi="Helvetica" w:cs="Helvetica"/>
          <w:iCs/>
          <w:szCs w:val="24"/>
          <w:lang w:val="es-CO"/>
        </w:rPr>
      </w:r>
      <w:r w:rsidRPr="00EF22E0">
        <w:rPr>
          <w:rFonts w:ascii="Helvetica" w:hAnsi="Helvetica" w:cs="Helvetica"/>
          <w:iCs/>
          <w:szCs w:val="24"/>
          <w:lang w:val="es-CO"/>
        </w:rPr>
        <w:fldChar w:fldCharType="separate"/>
      </w:r>
    </w:p>
    <w:p w14:paraId="72E8CB65" w14:textId="77777777" w:rsidR="00874DC3" w:rsidRPr="00874DC3" w:rsidRDefault="00874DC3" w:rsidP="00874DC3">
      <w:pPr>
        <w:spacing w:line="360" w:lineRule="auto"/>
        <w:jc w:val="left"/>
        <w:rPr>
          <w:rFonts w:ascii="Helvetica" w:hAnsi="Helvetica" w:cs="Helvetica"/>
          <w:szCs w:val="24"/>
        </w:rPr>
      </w:pPr>
    </w:p>
    <w:p w14:paraId="67CFCA37" w14:textId="77777777" w:rsidR="00874DC3" w:rsidRPr="00874DC3" w:rsidRDefault="00874DC3" w:rsidP="00874DC3">
      <w:pPr>
        <w:spacing w:line="360" w:lineRule="auto"/>
        <w:jc w:val="left"/>
        <w:rPr>
          <w:rFonts w:ascii="Helvetica" w:hAnsi="Helvetica" w:cs="Helvetica"/>
          <w:szCs w:val="24"/>
        </w:rPr>
      </w:pPr>
    </w:p>
    <w:p w14:paraId="298D88CF" w14:textId="77777777" w:rsidR="00874DC3" w:rsidRPr="00874DC3" w:rsidRDefault="00874DC3" w:rsidP="00874DC3">
      <w:pPr>
        <w:spacing w:line="360" w:lineRule="auto"/>
        <w:jc w:val="left"/>
        <w:rPr>
          <w:rFonts w:ascii="Helvetica" w:hAnsi="Helvetica" w:cs="Helvetica"/>
          <w:szCs w:val="24"/>
        </w:rPr>
      </w:pPr>
    </w:p>
    <w:p w14:paraId="35C62519" w14:textId="77777777" w:rsidR="00874DC3" w:rsidRPr="00874DC3" w:rsidRDefault="00874DC3" w:rsidP="00874DC3">
      <w:pPr>
        <w:spacing w:line="360" w:lineRule="auto"/>
        <w:jc w:val="left"/>
        <w:rPr>
          <w:rFonts w:ascii="Helvetica" w:hAnsi="Helvetica" w:cs="Helvetica"/>
          <w:szCs w:val="24"/>
        </w:rPr>
      </w:pPr>
    </w:p>
    <w:p w14:paraId="0D89F6E5" w14:textId="77777777" w:rsidR="00874DC3" w:rsidRPr="00874DC3" w:rsidRDefault="00874DC3" w:rsidP="00874DC3">
      <w:pPr>
        <w:spacing w:line="360" w:lineRule="auto"/>
        <w:jc w:val="left"/>
        <w:rPr>
          <w:rFonts w:ascii="Helvetica" w:hAnsi="Helvetica" w:cs="Helvetica"/>
          <w:szCs w:val="24"/>
        </w:rPr>
      </w:pPr>
    </w:p>
    <w:p w14:paraId="00D15542" w14:textId="77777777" w:rsidR="00874DC3" w:rsidRPr="00874DC3" w:rsidRDefault="00874DC3" w:rsidP="00874DC3">
      <w:pPr>
        <w:spacing w:line="360" w:lineRule="auto"/>
        <w:jc w:val="left"/>
        <w:rPr>
          <w:rFonts w:ascii="Helvetica" w:hAnsi="Helvetica" w:cs="Helvetica"/>
          <w:szCs w:val="24"/>
        </w:rPr>
      </w:pPr>
    </w:p>
    <w:p w14:paraId="79C082F0" w14:textId="77777777" w:rsidR="00874DC3" w:rsidRPr="00874DC3" w:rsidRDefault="00874DC3" w:rsidP="00874DC3">
      <w:pPr>
        <w:spacing w:line="360" w:lineRule="auto"/>
        <w:jc w:val="left"/>
        <w:rPr>
          <w:rFonts w:ascii="Helvetica" w:hAnsi="Helvetica" w:cs="Helvetica"/>
          <w:szCs w:val="24"/>
        </w:rPr>
      </w:pPr>
    </w:p>
    <w:p w14:paraId="696C39B5" w14:textId="77777777" w:rsidR="00874DC3" w:rsidRPr="00874DC3" w:rsidRDefault="00874DC3" w:rsidP="00874DC3">
      <w:pPr>
        <w:spacing w:line="360" w:lineRule="auto"/>
        <w:jc w:val="left"/>
        <w:rPr>
          <w:rFonts w:ascii="Helvetica" w:hAnsi="Helvetica" w:cs="Helvetica"/>
          <w:szCs w:val="24"/>
        </w:rPr>
      </w:pPr>
    </w:p>
    <w:p w14:paraId="77EEB82E" w14:textId="77777777" w:rsidR="00874DC3" w:rsidRPr="00874DC3" w:rsidRDefault="00874DC3" w:rsidP="00874DC3">
      <w:pPr>
        <w:spacing w:line="360" w:lineRule="auto"/>
        <w:jc w:val="left"/>
        <w:rPr>
          <w:rFonts w:ascii="Helvetica" w:hAnsi="Helvetica" w:cs="Helvetica"/>
          <w:szCs w:val="24"/>
        </w:rPr>
      </w:pPr>
    </w:p>
    <w:p w14:paraId="1C1CBE57" w14:textId="77777777" w:rsidR="00874DC3" w:rsidRPr="00874DC3" w:rsidRDefault="00874DC3" w:rsidP="00874DC3">
      <w:pPr>
        <w:spacing w:line="360" w:lineRule="auto"/>
        <w:jc w:val="left"/>
        <w:rPr>
          <w:rFonts w:ascii="Helvetica" w:hAnsi="Helvetica" w:cs="Helvetica"/>
          <w:szCs w:val="24"/>
        </w:rPr>
      </w:pPr>
    </w:p>
    <w:p w14:paraId="15BECC60" w14:textId="77777777" w:rsidR="00874DC3" w:rsidRPr="00874DC3" w:rsidRDefault="00874DC3" w:rsidP="00874DC3">
      <w:pPr>
        <w:spacing w:line="360" w:lineRule="auto"/>
        <w:jc w:val="left"/>
        <w:rPr>
          <w:rFonts w:ascii="Helvetica" w:hAnsi="Helvetica" w:cs="Helvetica"/>
          <w:szCs w:val="24"/>
        </w:rPr>
      </w:pPr>
    </w:p>
    <w:p w14:paraId="3C25B857" w14:textId="1E6883CF" w:rsidR="001212B1" w:rsidRPr="00EF22E0" w:rsidRDefault="00874DC3" w:rsidP="001212B1">
      <w:pPr>
        <w:spacing w:line="360" w:lineRule="auto"/>
        <w:jc w:val="left"/>
        <w:rPr>
          <w:rFonts w:ascii="Helvetica" w:hAnsi="Helvetica" w:cs="Helvetica"/>
          <w:iCs/>
          <w:szCs w:val="24"/>
          <w:lang w:val="es-CO"/>
        </w:rPr>
      </w:pPr>
      <w:r w:rsidRPr="00EF22E0">
        <w:rPr>
          <w:rFonts w:ascii="Helvetica" w:hAnsi="Helvetica" w:cs="Helvetica"/>
          <w:szCs w:val="24"/>
        </w:rPr>
        <w:t xml:space="preserve">Figura </w:t>
      </w:r>
      <w:r w:rsidR="001212B1" w:rsidRPr="00EF22E0">
        <w:rPr>
          <w:rFonts w:ascii="Helvetica" w:hAnsi="Helvetica" w:cs="Helvetica"/>
          <w:iCs/>
          <w:szCs w:val="24"/>
          <w:lang w:val="es-CO"/>
        </w:rPr>
        <w:fldChar w:fldCharType="end"/>
      </w:r>
      <w:r w:rsidR="001212B1" w:rsidRPr="00EF22E0">
        <w:rPr>
          <w:rFonts w:ascii="Helvetica" w:hAnsi="Helvetica" w:cs="Helvetica"/>
          <w:szCs w:val="24"/>
          <w:lang w:val="es-CO"/>
        </w:rPr>
        <w:t>.</w:t>
      </w:r>
      <w:r w:rsidR="001212B1" w:rsidRPr="00EF22E0">
        <w:rPr>
          <w:rFonts w:ascii="Helvetica" w:hAnsi="Helvetica" w:cs="Helvetica"/>
          <w:iCs/>
          <w:szCs w:val="24"/>
          <w:lang w:val="es-CO"/>
        </w:rPr>
        <w:t xml:space="preserve"> Es importante señalar que, en las plantas mayoristas puede haber uno o más distribuidores mayoristas. El dueño de la planta tiene la posibilidad de arrendar dicho espacio de almacenamiento. Por ejemplo, en la planta de Puente Aranda, se ubican las empresas distribuidoras mayoristas Organización Terpel S.A., Chevron Petroleum Company, Primax, Puma Energy, Biomax, Petrobras y Petromil. </w:t>
      </w:r>
    </w:p>
    <w:p w14:paraId="0E1DA56B" w14:textId="77777777" w:rsidR="001212B1" w:rsidRPr="00EF22E0" w:rsidRDefault="001212B1" w:rsidP="001212B1">
      <w:pPr>
        <w:spacing w:line="360" w:lineRule="auto"/>
        <w:jc w:val="left"/>
        <w:rPr>
          <w:rFonts w:ascii="Helvetica" w:hAnsi="Helvetica" w:cs="Helvetica"/>
          <w:iCs/>
          <w:szCs w:val="24"/>
          <w:lang w:val="es-CO"/>
        </w:rPr>
      </w:pPr>
    </w:p>
    <w:p w14:paraId="225FBC1C"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Por otro lado, en la mayoría de las plantas de abasto de ZDF (zonas de frontera), solo existe un distribuidor mayorista, como es el caso de la planta de San José del Guaviare, donde solo existe Terpel S.A. Esta característica es un primer indicio de que las condiciones de competencia en el país pueden ser muy diferentes dependiendo de las restricciones geográficas.</w:t>
      </w:r>
    </w:p>
    <w:p w14:paraId="4DC04787" w14:textId="77777777" w:rsidR="001212B1" w:rsidRDefault="001212B1" w:rsidP="001212B1">
      <w:pPr>
        <w:jc w:val="left"/>
        <w:rPr>
          <w:rFonts w:ascii="Helvetica" w:hAnsi="Helvetica" w:cs="Helvetica"/>
          <w:b/>
          <w:iCs/>
          <w:szCs w:val="24"/>
        </w:rPr>
      </w:pPr>
      <w:bookmarkStart w:id="25" w:name="_Ref146726165"/>
      <w:bookmarkStart w:id="26" w:name="_Ref155712715"/>
    </w:p>
    <w:p w14:paraId="6484D936" w14:textId="77777777" w:rsidR="001212B1" w:rsidRDefault="001212B1" w:rsidP="001212B1">
      <w:pPr>
        <w:jc w:val="left"/>
        <w:rPr>
          <w:rFonts w:ascii="Helvetica" w:hAnsi="Helvetica" w:cs="Helvetica"/>
          <w:b/>
          <w:iCs/>
          <w:szCs w:val="24"/>
        </w:rPr>
      </w:pPr>
    </w:p>
    <w:p w14:paraId="578DDE48" w14:textId="77777777" w:rsidR="001212B1" w:rsidRDefault="001212B1" w:rsidP="001212B1">
      <w:pPr>
        <w:jc w:val="left"/>
        <w:rPr>
          <w:rFonts w:ascii="Helvetica" w:hAnsi="Helvetica" w:cs="Helvetica"/>
          <w:b/>
          <w:iCs/>
          <w:szCs w:val="24"/>
        </w:rPr>
      </w:pPr>
    </w:p>
    <w:p w14:paraId="78955F0C" w14:textId="77777777" w:rsidR="001212B1" w:rsidRDefault="001212B1" w:rsidP="001212B1">
      <w:pPr>
        <w:jc w:val="left"/>
        <w:rPr>
          <w:rFonts w:ascii="Helvetica" w:hAnsi="Helvetica" w:cs="Helvetica"/>
          <w:b/>
          <w:iCs/>
          <w:szCs w:val="24"/>
        </w:rPr>
      </w:pPr>
    </w:p>
    <w:p w14:paraId="156C48F9" w14:textId="77777777" w:rsidR="001212B1" w:rsidRDefault="001212B1" w:rsidP="001212B1">
      <w:pPr>
        <w:jc w:val="left"/>
        <w:rPr>
          <w:rFonts w:ascii="Helvetica" w:hAnsi="Helvetica" w:cs="Helvetica"/>
          <w:b/>
          <w:iCs/>
          <w:szCs w:val="24"/>
        </w:rPr>
      </w:pPr>
    </w:p>
    <w:p w14:paraId="76382470" w14:textId="77777777" w:rsidR="001212B1" w:rsidRDefault="001212B1" w:rsidP="001212B1">
      <w:pPr>
        <w:jc w:val="left"/>
        <w:rPr>
          <w:rFonts w:ascii="Helvetica" w:hAnsi="Helvetica" w:cs="Helvetica"/>
          <w:b/>
          <w:iCs/>
          <w:szCs w:val="24"/>
        </w:rPr>
      </w:pPr>
    </w:p>
    <w:p w14:paraId="62DACE6D" w14:textId="77777777" w:rsidR="001212B1" w:rsidRDefault="001212B1" w:rsidP="001212B1">
      <w:pPr>
        <w:jc w:val="left"/>
        <w:rPr>
          <w:rFonts w:ascii="Helvetica" w:hAnsi="Helvetica" w:cs="Helvetica"/>
          <w:b/>
          <w:iCs/>
          <w:szCs w:val="24"/>
        </w:rPr>
      </w:pPr>
    </w:p>
    <w:p w14:paraId="7F2E219B" w14:textId="77777777" w:rsidR="001212B1" w:rsidRDefault="001212B1" w:rsidP="001212B1">
      <w:pPr>
        <w:jc w:val="left"/>
        <w:rPr>
          <w:rFonts w:ascii="Helvetica" w:hAnsi="Helvetica" w:cs="Helvetica"/>
          <w:b/>
          <w:iCs/>
          <w:szCs w:val="24"/>
        </w:rPr>
      </w:pPr>
    </w:p>
    <w:p w14:paraId="27CC3ABC" w14:textId="77777777" w:rsidR="001212B1" w:rsidRDefault="001212B1" w:rsidP="001212B1">
      <w:pPr>
        <w:jc w:val="left"/>
        <w:rPr>
          <w:rFonts w:ascii="Helvetica" w:hAnsi="Helvetica" w:cs="Helvetica"/>
          <w:b/>
          <w:iCs/>
          <w:szCs w:val="24"/>
        </w:rPr>
      </w:pPr>
    </w:p>
    <w:p w14:paraId="60F608D9" w14:textId="77777777" w:rsidR="001212B1" w:rsidRDefault="001212B1" w:rsidP="001212B1">
      <w:pPr>
        <w:jc w:val="left"/>
        <w:rPr>
          <w:rFonts w:ascii="Helvetica" w:hAnsi="Helvetica" w:cs="Helvetica"/>
          <w:b/>
          <w:iCs/>
          <w:szCs w:val="24"/>
        </w:rPr>
      </w:pPr>
    </w:p>
    <w:p w14:paraId="59BE62C5" w14:textId="77777777" w:rsidR="001212B1" w:rsidRDefault="001212B1" w:rsidP="001212B1">
      <w:pPr>
        <w:jc w:val="left"/>
        <w:rPr>
          <w:rFonts w:ascii="Helvetica" w:hAnsi="Helvetica" w:cs="Helvetica"/>
          <w:b/>
          <w:iCs/>
          <w:szCs w:val="24"/>
        </w:rPr>
      </w:pPr>
    </w:p>
    <w:p w14:paraId="77DFF5A8" w14:textId="77777777" w:rsidR="001212B1" w:rsidRPr="00EF22E0" w:rsidRDefault="001212B1" w:rsidP="001212B1">
      <w:pPr>
        <w:jc w:val="left"/>
        <w:rPr>
          <w:rFonts w:ascii="Helvetica" w:hAnsi="Helvetica" w:cs="Helvetica"/>
          <w:b/>
          <w:iCs/>
          <w:szCs w:val="24"/>
        </w:rPr>
      </w:pPr>
    </w:p>
    <w:p w14:paraId="65E022EB" w14:textId="7DEB3872" w:rsidR="001212B1" w:rsidRPr="00EF22E0" w:rsidRDefault="001212B1" w:rsidP="001212B1">
      <w:pPr>
        <w:pStyle w:val="Descripcin"/>
        <w:spacing w:line="360" w:lineRule="auto"/>
        <w:rPr>
          <w:rFonts w:ascii="Helvetica" w:hAnsi="Helvetica" w:cs="Helvetica"/>
          <w:sz w:val="24"/>
          <w:szCs w:val="24"/>
        </w:rPr>
      </w:pPr>
      <w:bookmarkStart w:id="27" w:name="_Toc167896847"/>
      <w:r w:rsidRPr="00EF22E0">
        <w:rPr>
          <w:rFonts w:ascii="Helvetica" w:hAnsi="Helvetica" w:cs="Helvetica"/>
          <w:sz w:val="24"/>
          <w:szCs w:val="24"/>
        </w:rPr>
        <w:lastRenderedPageBreak/>
        <w:t xml:space="preserve">Figura </w:t>
      </w:r>
      <w:bookmarkEnd w:id="25"/>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7</w:t>
      </w:r>
      <w:r w:rsidRPr="00EF22E0">
        <w:rPr>
          <w:rFonts w:ascii="Helvetica" w:hAnsi="Helvetica" w:cs="Helvetica"/>
          <w:sz w:val="24"/>
          <w:szCs w:val="24"/>
        </w:rPr>
        <w:fldChar w:fldCharType="end"/>
      </w:r>
      <w:bookmarkEnd w:id="26"/>
      <w:r w:rsidRPr="00EF22E0">
        <w:rPr>
          <w:rFonts w:ascii="Helvetica" w:hAnsi="Helvetica" w:cs="Helvetica"/>
          <w:sz w:val="24"/>
          <w:szCs w:val="24"/>
        </w:rPr>
        <w:t>. Mapa de plantas de abasto a nivel nacional.</w:t>
      </w:r>
      <w:bookmarkEnd w:id="27"/>
    </w:p>
    <w:p w14:paraId="62A878FF"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noProof/>
          <w:szCs w:val="24"/>
          <w:lang w:val="es-CO" w:eastAsia="es-CO"/>
        </w:rPr>
        <w:drawing>
          <wp:anchor distT="0" distB="0" distL="114300" distR="114300" simplePos="0" relativeHeight="251659776" behindDoc="0" locked="0" layoutInCell="1" allowOverlap="1" wp14:anchorId="69D28141" wp14:editId="4BB579B2">
            <wp:simplePos x="0" y="0"/>
            <wp:positionH relativeFrom="column">
              <wp:posOffset>3109596</wp:posOffset>
            </wp:positionH>
            <wp:positionV relativeFrom="paragraph">
              <wp:posOffset>168910</wp:posOffset>
            </wp:positionV>
            <wp:extent cx="692944" cy="333375"/>
            <wp:effectExtent l="19050" t="19050" r="0" b="0"/>
            <wp:wrapNone/>
            <wp:docPr id="45" name="Picture 45" descr="Mapa&#10;&#10;Descripción generada automáticamente">
              <a:extLst xmlns:a="http://schemas.openxmlformats.org/drawingml/2006/main">
                <a:ext uri="{FF2B5EF4-FFF2-40B4-BE49-F238E27FC236}">
                  <a16:creationId xmlns:a16="http://schemas.microsoft.com/office/drawing/2014/main" id="{97DABFAE-7FC9-5260-D3F3-F7A4BEF43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6" descr="Mapa&#10;&#10;Descripción generada automáticamente">
                      <a:extLst>
                        <a:ext uri="{FF2B5EF4-FFF2-40B4-BE49-F238E27FC236}">
                          <a16:creationId xmlns:a16="http://schemas.microsoft.com/office/drawing/2014/main" id="{97DABFAE-7FC9-5260-D3F3-F7A4BEF43648}"/>
                        </a:ext>
                      </a:extLst>
                    </pic:cNvPr>
                    <pic:cNvPicPr>
                      <a:picLocks noChangeAspect="1"/>
                    </pic:cNvPicPr>
                  </pic:nvPicPr>
                  <pic:blipFill rotWithShape="1">
                    <a:blip r:embed="rId16">
                      <a:extLst>
                        <a:ext uri="{28A0092B-C50C-407E-A947-70E740481C1C}">
                          <a14:useLocalDpi xmlns:a14="http://schemas.microsoft.com/office/drawing/2010/main" val="0"/>
                        </a:ext>
                      </a:extLst>
                    </a:blip>
                    <a:srcRect l="87371" b="91647"/>
                    <a:stretch/>
                  </pic:blipFill>
                  <pic:spPr>
                    <a:xfrm>
                      <a:off x="0" y="0"/>
                      <a:ext cx="702864" cy="3381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F22E0">
        <w:rPr>
          <w:rFonts w:ascii="Helvetica" w:hAnsi="Helvetica" w:cs="Helvetica"/>
          <w:noProof/>
          <w:szCs w:val="24"/>
          <w:lang w:val="es-CO" w:eastAsia="es-CO"/>
        </w:rPr>
        <w:drawing>
          <wp:inline distT="0" distB="0" distL="0" distR="0" wp14:anchorId="0C0A8EC3" wp14:editId="0C13944D">
            <wp:extent cx="5862695" cy="30632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2695" cy="3063240"/>
                    </a:xfrm>
                    <a:prstGeom prst="rect">
                      <a:avLst/>
                    </a:prstGeom>
                    <a:noFill/>
                  </pic:spPr>
                </pic:pic>
              </a:graphicData>
            </a:graphic>
          </wp:inline>
        </w:drawing>
      </w:r>
    </w:p>
    <w:p w14:paraId="7436B07D" w14:textId="77777777" w:rsidR="001212B1" w:rsidRPr="00EF22E0" w:rsidRDefault="001212B1" w:rsidP="001212B1">
      <w:pPr>
        <w:pStyle w:val="Sinespaciado"/>
        <w:spacing w:line="360" w:lineRule="auto"/>
        <w:jc w:val="left"/>
        <w:rPr>
          <w:rFonts w:ascii="Helvetica" w:hAnsi="Helvetica" w:cs="Helvetica"/>
          <w:b w:val="0"/>
          <w:sz w:val="24"/>
          <w:szCs w:val="24"/>
        </w:rPr>
      </w:pPr>
      <w:r w:rsidRPr="00EF22E0">
        <w:rPr>
          <w:rFonts w:ascii="Helvetica" w:hAnsi="Helvetica" w:cs="Helvetica"/>
          <w:b w:val="0"/>
          <w:sz w:val="24"/>
          <w:szCs w:val="24"/>
        </w:rPr>
        <w:t>Fuente: SICOM y cálculos CREG (2022).</w:t>
      </w:r>
    </w:p>
    <w:p w14:paraId="711DB427" w14:textId="77777777" w:rsidR="001212B1" w:rsidRPr="00EF22E0" w:rsidRDefault="001212B1" w:rsidP="001212B1">
      <w:pPr>
        <w:spacing w:line="360" w:lineRule="auto"/>
        <w:jc w:val="left"/>
        <w:rPr>
          <w:rFonts w:ascii="Helvetica" w:hAnsi="Helvetica" w:cs="Helvetica"/>
          <w:szCs w:val="24"/>
          <w:lang w:val="es-CO"/>
        </w:rPr>
      </w:pPr>
    </w:p>
    <w:p w14:paraId="1B95290B"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Bajo esta misma óptica, no todas las plantas de abastecimiento de combustibles líquidos ofrecen Jet A1. El siguiente mapa muestra las plantas que, en 2022, registraron órdenes de pedido de este combustible en SICOM para comercializadores minoristas ubicados en el norte del país, incluidas las Islas de San Andrés. La planta de Baranoa, Arenal (SAI) y Mamonal se reflejan como las principales fuentes de abastecimiento.</w:t>
      </w:r>
    </w:p>
    <w:p w14:paraId="44543BA0" w14:textId="77777777" w:rsidR="001212B1" w:rsidRPr="00EF22E0" w:rsidRDefault="001212B1" w:rsidP="001212B1">
      <w:pPr>
        <w:spacing w:line="360" w:lineRule="auto"/>
        <w:jc w:val="left"/>
        <w:rPr>
          <w:rFonts w:ascii="Helvetica" w:hAnsi="Helvetica" w:cs="Helvetica"/>
          <w:szCs w:val="24"/>
          <w:lang w:val="es-CO"/>
        </w:rPr>
      </w:pPr>
    </w:p>
    <w:p w14:paraId="6E803E8A" w14:textId="2F655A36" w:rsidR="001212B1" w:rsidRPr="00EF22E0" w:rsidRDefault="001212B1" w:rsidP="001212B1">
      <w:pPr>
        <w:pStyle w:val="Descripcin"/>
        <w:spacing w:line="360" w:lineRule="auto"/>
        <w:rPr>
          <w:rFonts w:ascii="Helvetica" w:hAnsi="Helvetica" w:cs="Helvetica"/>
          <w:sz w:val="24"/>
          <w:szCs w:val="24"/>
        </w:rPr>
      </w:pPr>
      <w:bookmarkStart w:id="28" w:name="_Toc167896848"/>
      <w:r w:rsidRPr="00EF22E0">
        <w:rPr>
          <w:rFonts w:ascii="Helvetica" w:hAnsi="Helvetica" w:cs="Helvetica"/>
          <w:sz w:val="24"/>
          <w:szCs w:val="24"/>
        </w:rPr>
        <w:lastRenderedPageBreak/>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8</w:t>
      </w:r>
      <w:r w:rsidRPr="00EF22E0">
        <w:rPr>
          <w:rFonts w:ascii="Helvetica" w:hAnsi="Helvetica" w:cs="Helvetica"/>
          <w:sz w:val="24"/>
          <w:szCs w:val="24"/>
        </w:rPr>
        <w:fldChar w:fldCharType="end"/>
      </w:r>
      <w:r w:rsidRPr="00EF22E0">
        <w:rPr>
          <w:rFonts w:ascii="Helvetica" w:hAnsi="Helvetica" w:cs="Helvetica"/>
          <w:sz w:val="24"/>
          <w:szCs w:val="24"/>
        </w:rPr>
        <w:t>. Mapa de plantas de abasto de Jet en el norte del país.</w:t>
      </w:r>
      <w:bookmarkEnd w:id="28"/>
    </w:p>
    <w:p w14:paraId="48EC3708"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noProof/>
          <w:szCs w:val="24"/>
          <w:lang w:val="es-CO"/>
        </w:rPr>
        <w:drawing>
          <wp:inline distT="0" distB="0" distL="0" distR="0" wp14:anchorId="662D100F" wp14:editId="69CDF13A">
            <wp:extent cx="5972810" cy="2038985"/>
            <wp:effectExtent l="19050" t="19050" r="27940" b="18415"/>
            <wp:docPr id="1929969933" name="Picture 192996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69933" name=""/>
                    <pic:cNvPicPr/>
                  </pic:nvPicPr>
                  <pic:blipFill>
                    <a:blip r:embed="rId18"/>
                    <a:stretch>
                      <a:fillRect/>
                    </a:stretch>
                  </pic:blipFill>
                  <pic:spPr>
                    <a:xfrm>
                      <a:off x="0" y="0"/>
                      <a:ext cx="5972810" cy="2038985"/>
                    </a:xfrm>
                    <a:prstGeom prst="rect">
                      <a:avLst/>
                    </a:prstGeom>
                    <a:ln>
                      <a:solidFill>
                        <a:schemeClr val="tx1"/>
                      </a:solidFill>
                    </a:ln>
                  </pic:spPr>
                </pic:pic>
              </a:graphicData>
            </a:graphic>
          </wp:inline>
        </w:drawing>
      </w:r>
    </w:p>
    <w:p w14:paraId="29081456" w14:textId="77777777" w:rsidR="001212B1" w:rsidRPr="00EF22E0" w:rsidRDefault="001212B1" w:rsidP="001212B1">
      <w:pPr>
        <w:pStyle w:val="Sinespaciado"/>
        <w:spacing w:line="360" w:lineRule="auto"/>
        <w:jc w:val="left"/>
        <w:rPr>
          <w:rFonts w:ascii="Helvetica" w:hAnsi="Helvetica" w:cs="Helvetica"/>
          <w:b w:val="0"/>
          <w:bCs w:val="0"/>
          <w:sz w:val="24"/>
          <w:szCs w:val="24"/>
        </w:rPr>
      </w:pPr>
      <w:r w:rsidRPr="00EF22E0">
        <w:rPr>
          <w:rFonts w:ascii="Helvetica" w:hAnsi="Helvetica" w:cs="Helvetica"/>
          <w:b w:val="0"/>
          <w:bCs w:val="0"/>
          <w:sz w:val="24"/>
          <w:szCs w:val="24"/>
        </w:rPr>
        <w:t>Fuente: CREG (2023).</w:t>
      </w:r>
    </w:p>
    <w:p w14:paraId="3600E655" w14:textId="77777777" w:rsidR="001212B1" w:rsidRPr="00EF22E0" w:rsidRDefault="001212B1" w:rsidP="001212B1">
      <w:pPr>
        <w:spacing w:line="360" w:lineRule="auto"/>
        <w:jc w:val="left"/>
        <w:rPr>
          <w:rFonts w:ascii="Helvetica" w:hAnsi="Helvetica" w:cs="Helvetica"/>
          <w:szCs w:val="24"/>
          <w:lang w:val="es-CO"/>
        </w:rPr>
      </w:pPr>
    </w:p>
    <w:p w14:paraId="5B912278" w14:textId="5DFFDDFF"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 xml:space="preserve">De igual manera, en la </w:t>
      </w:r>
      <w:r w:rsidRPr="00EF22E0">
        <w:rPr>
          <w:rFonts w:ascii="Helvetica" w:hAnsi="Helvetica" w:cs="Helvetica"/>
          <w:szCs w:val="24"/>
          <w:highlight w:val="yellow"/>
          <w:lang w:val="es-CO"/>
        </w:rPr>
        <w:fldChar w:fldCharType="begin"/>
      </w:r>
      <w:r w:rsidRPr="00EF22E0">
        <w:rPr>
          <w:rFonts w:ascii="Helvetica" w:hAnsi="Helvetica" w:cs="Helvetica"/>
          <w:szCs w:val="24"/>
          <w:lang w:val="es-CO"/>
        </w:rPr>
        <w:instrText xml:space="preserve"> REF _Ref146726343 \h </w:instrText>
      </w:r>
      <w:r w:rsidRPr="00EF22E0">
        <w:rPr>
          <w:rFonts w:ascii="Helvetica" w:hAnsi="Helvetica" w:cs="Helvetica"/>
          <w:szCs w:val="24"/>
          <w:highlight w:val="yellow"/>
          <w:lang w:val="es-CO"/>
        </w:rPr>
        <w:instrText xml:space="preserve"> \* MERGEFORMAT </w:instrText>
      </w:r>
      <w:r w:rsidRPr="00EF22E0">
        <w:rPr>
          <w:rFonts w:ascii="Helvetica" w:hAnsi="Helvetica" w:cs="Helvetica"/>
          <w:szCs w:val="24"/>
          <w:highlight w:val="yellow"/>
          <w:lang w:val="es-CO"/>
        </w:rPr>
      </w:r>
      <w:r w:rsidRPr="00EF22E0">
        <w:rPr>
          <w:rFonts w:ascii="Helvetica" w:hAnsi="Helvetica" w:cs="Helvetica"/>
          <w:szCs w:val="24"/>
          <w:highlight w:val="yellow"/>
          <w:lang w:val="es-CO"/>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9</w:t>
      </w:r>
      <w:r w:rsidRPr="00EF22E0">
        <w:rPr>
          <w:rFonts w:ascii="Helvetica" w:hAnsi="Helvetica" w:cs="Helvetica"/>
          <w:szCs w:val="24"/>
          <w:highlight w:val="yellow"/>
          <w:lang w:val="es-CO"/>
        </w:rPr>
        <w:fldChar w:fldCharType="end"/>
      </w:r>
      <w:r w:rsidRPr="00EF22E0">
        <w:rPr>
          <w:rFonts w:ascii="Helvetica" w:hAnsi="Helvetica" w:cs="Helvetica"/>
          <w:szCs w:val="24"/>
          <w:lang w:val="es-CO"/>
        </w:rPr>
        <w:t xml:space="preserve"> correspondiente para el interior del país, se identifican las plantas de Sebastopol, El Pedregal, Puente Aranda, Chimita, Yumbo, La María, Mulaló, Rio Negro, Sebastopol, Mansilla y la Terminal de Arauca.</w:t>
      </w:r>
    </w:p>
    <w:p w14:paraId="69E43C65" w14:textId="77777777" w:rsidR="001212B1" w:rsidRPr="00EF22E0" w:rsidRDefault="001212B1" w:rsidP="001212B1">
      <w:pPr>
        <w:spacing w:line="360" w:lineRule="auto"/>
        <w:jc w:val="left"/>
        <w:rPr>
          <w:rFonts w:ascii="Helvetica" w:hAnsi="Helvetica" w:cs="Helvetica"/>
          <w:szCs w:val="24"/>
          <w:lang w:val="es-CO"/>
        </w:rPr>
      </w:pPr>
    </w:p>
    <w:p w14:paraId="73EDD09F" w14:textId="2E9AB072" w:rsidR="001212B1" w:rsidRPr="00EF22E0" w:rsidRDefault="001212B1" w:rsidP="001212B1">
      <w:pPr>
        <w:pStyle w:val="Descripcin"/>
        <w:spacing w:line="360" w:lineRule="auto"/>
        <w:rPr>
          <w:rFonts w:ascii="Helvetica" w:hAnsi="Helvetica" w:cs="Helvetica"/>
          <w:sz w:val="24"/>
          <w:szCs w:val="24"/>
        </w:rPr>
      </w:pPr>
      <w:bookmarkStart w:id="29" w:name="_Ref146726343"/>
      <w:bookmarkStart w:id="30" w:name="_Toc167896849"/>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9</w:t>
      </w:r>
      <w:r w:rsidRPr="00EF22E0">
        <w:rPr>
          <w:rFonts w:ascii="Helvetica" w:hAnsi="Helvetica" w:cs="Helvetica"/>
          <w:sz w:val="24"/>
          <w:szCs w:val="24"/>
        </w:rPr>
        <w:fldChar w:fldCharType="end"/>
      </w:r>
      <w:bookmarkEnd w:id="29"/>
      <w:r w:rsidRPr="00EF22E0">
        <w:rPr>
          <w:rFonts w:ascii="Helvetica" w:hAnsi="Helvetica" w:cs="Helvetica"/>
          <w:sz w:val="24"/>
          <w:szCs w:val="24"/>
        </w:rPr>
        <w:t>. Mapa de plantas de abasto de Jet en el centro del país.</w:t>
      </w:r>
      <w:bookmarkEnd w:id="30"/>
    </w:p>
    <w:p w14:paraId="05694D1D"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noProof/>
          <w:szCs w:val="24"/>
          <w:lang w:val="es-CO"/>
        </w:rPr>
        <w:drawing>
          <wp:inline distT="0" distB="0" distL="0" distR="0" wp14:anchorId="1CAC3FD9" wp14:editId="171A3263">
            <wp:extent cx="5972810" cy="2157095"/>
            <wp:effectExtent l="19050" t="19050" r="27940" b="14605"/>
            <wp:docPr id="96849940" name="Picture 968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9940" name=""/>
                    <pic:cNvPicPr/>
                  </pic:nvPicPr>
                  <pic:blipFill>
                    <a:blip r:embed="rId19"/>
                    <a:stretch>
                      <a:fillRect/>
                    </a:stretch>
                  </pic:blipFill>
                  <pic:spPr>
                    <a:xfrm>
                      <a:off x="0" y="0"/>
                      <a:ext cx="5972810" cy="2157095"/>
                    </a:xfrm>
                    <a:prstGeom prst="rect">
                      <a:avLst/>
                    </a:prstGeom>
                    <a:ln>
                      <a:solidFill>
                        <a:schemeClr val="tx1"/>
                      </a:solidFill>
                    </a:ln>
                  </pic:spPr>
                </pic:pic>
              </a:graphicData>
            </a:graphic>
          </wp:inline>
        </w:drawing>
      </w:r>
    </w:p>
    <w:p w14:paraId="33C013FF" w14:textId="77777777" w:rsidR="001212B1" w:rsidRPr="00EF22E0" w:rsidRDefault="001212B1" w:rsidP="001212B1">
      <w:pPr>
        <w:pStyle w:val="Sinespaciado"/>
        <w:spacing w:line="360" w:lineRule="auto"/>
        <w:jc w:val="left"/>
        <w:rPr>
          <w:rFonts w:ascii="Helvetica" w:hAnsi="Helvetica" w:cs="Helvetica"/>
          <w:b w:val="0"/>
          <w:sz w:val="24"/>
          <w:szCs w:val="24"/>
        </w:rPr>
      </w:pPr>
      <w:r w:rsidRPr="00EF22E0">
        <w:rPr>
          <w:rFonts w:ascii="Helvetica" w:hAnsi="Helvetica" w:cs="Helvetica"/>
          <w:b w:val="0"/>
          <w:sz w:val="24"/>
          <w:szCs w:val="24"/>
        </w:rPr>
        <w:t>Fuente: CREG (2023)</w:t>
      </w:r>
    </w:p>
    <w:p w14:paraId="6ACBFBE5" w14:textId="77777777" w:rsidR="001212B1" w:rsidRPr="00EF22E0" w:rsidRDefault="001212B1" w:rsidP="001212B1">
      <w:pPr>
        <w:spacing w:line="360" w:lineRule="auto"/>
        <w:jc w:val="left"/>
        <w:rPr>
          <w:rFonts w:ascii="Helvetica" w:hAnsi="Helvetica" w:cs="Helvetica"/>
          <w:szCs w:val="24"/>
          <w:lang w:val="es-CO"/>
        </w:rPr>
      </w:pPr>
    </w:p>
    <w:p w14:paraId="2E8B6D5D"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Finalmente, en el sur del país se encuentra como único punto de abastecimiento mayorista de Jet A1 la terminal de Leticia.</w:t>
      </w:r>
    </w:p>
    <w:p w14:paraId="35EF554A" w14:textId="77777777" w:rsidR="001212B1" w:rsidRPr="00EF22E0" w:rsidRDefault="001212B1" w:rsidP="001212B1">
      <w:pPr>
        <w:spacing w:line="360" w:lineRule="auto"/>
        <w:jc w:val="left"/>
        <w:rPr>
          <w:rFonts w:ascii="Helvetica" w:hAnsi="Helvetica" w:cs="Helvetica"/>
          <w:szCs w:val="24"/>
          <w:lang w:val="es-CO"/>
        </w:rPr>
      </w:pPr>
    </w:p>
    <w:p w14:paraId="39A7BCD1" w14:textId="1B66268B" w:rsidR="001212B1" w:rsidRPr="00EF22E0" w:rsidRDefault="001212B1" w:rsidP="001212B1">
      <w:pPr>
        <w:pStyle w:val="Descripcin"/>
        <w:spacing w:line="360" w:lineRule="auto"/>
        <w:rPr>
          <w:rFonts w:ascii="Helvetica" w:hAnsi="Helvetica" w:cs="Helvetica"/>
          <w:sz w:val="24"/>
          <w:szCs w:val="24"/>
        </w:rPr>
      </w:pPr>
      <w:bookmarkStart w:id="31" w:name="_Toc167896850"/>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10</w:t>
      </w:r>
      <w:r w:rsidRPr="00EF22E0">
        <w:rPr>
          <w:rFonts w:ascii="Helvetica" w:hAnsi="Helvetica" w:cs="Helvetica"/>
          <w:sz w:val="24"/>
          <w:szCs w:val="24"/>
        </w:rPr>
        <w:fldChar w:fldCharType="end"/>
      </w:r>
      <w:r w:rsidRPr="00EF22E0">
        <w:rPr>
          <w:rFonts w:ascii="Helvetica" w:hAnsi="Helvetica" w:cs="Helvetica"/>
          <w:sz w:val="24"/>
          <w:szCs w:val="24"/>
        </w:rPr>
        <w:t>. Mapa de plantas de abasto de Jet en el sur del país.</w:t>
      </w:r>
      <w:bookmarkEnd w:id="31"/>
    </w:p>
    <w:p w14:paraId="73037BF5"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noProof/>
          <w:szCs w:val="24"/>
          <w:lang w:val="es-CO"/>
        </w:rPr>
        <w:drawing>
          <wp:inline distT="0" distB="0" distL="0" distR="0" wp14:anchorId="630BCF89" wp14:editId="5725B739">
            <wp:extent cx="5972810" cy="2284763"/>
            <wp:effectExtent l="19050" t="19050" r="27940" b="20320"/>
            <wp:docPr id="1033186233" name="Picture 103318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6233" name=""/>
                    <pic:cNvPicPr/>
                  </pic:nvPicPr>
                  <pic:blipFill>
                    <a:blip r:embed="rId20"/>
                    <a:stretch>
                      <a:fillRect/>
                    </a:stretch>
                  </pic:blipFill>
                  <pic:spPr>
                    <a:xfrm>
                      <a:off x="0" y="0"/>
                      <a:ext cx="5981283" cy="2288004"/>
                    </a:xfrm>
                    <a:prstGeom prst="rect">
                      <a:avLst/>
                    </a:prstGeom>
                    <a:ln>
                      <a:solidFill>
                        <a:schemeClr val="tx1"/>
                      </a:solidFill>
                    </a:ln>
                  </pic:spPr>
                </pic:pic>
              </a:graphicData>
            </a:graphic>
          </wp:inline>
        </w:drawing>
      </w:r>
    </w:p>
    <w:p w14:paraId="67B764A1" w14:textId="77777777" w:rsidR="001212B1" w:rsidRPr="00EF22E0" w:rsidRDefault="001212B1" w:rsidP="001212B1">
      <w:pPr>
        <w:pStyle w:val="Sinespaciado"/>
        <w:spacing w:line="360" w:lineRule="auto"/>
        <w:jc w:val="left"/>
        <w:rPr>
          <w:rFonts w:ascii="Helvetica" w:hAnsi="Helvetica" w:cs="Helvetica"/>
          <w:b w:val="0"/>
          <w:sz w:val="24"/>
          <w:szCs w:val="24"/>
        </w:rPr>
      </w:pPr>
      <w:r w:rsidRPr="00EF22E0">
        <w:rPr>
          <w:rFonts w:ascii="Helvetica" w:hAnsi="Helvetica" w:cs="Helvetica"/>
          <w:b w:val="0"/>
          <w:sz w:val="24"/>
          <w:szCs w:val="24"/>
        </w:rPr>
        <w:t>Fuente: CREG (2023)</w:t>
      </w:r>
    </w:p>
    <w:p w14:paraId="019C73CC" w14:textId="77777777" w:rsidR="001212B1" w:rsidRPr="00EF22E0" w:rsidRDefault="001212B1" w:rsidP="001212B1">
      <w:pPr>
        <w:pStyle w:val="Descripcin"/>
        <w:spacing w:line="360" w:lineRule="auto"/>
        <w:rPr>
          <w:rFonts w:ascii="Helvetica" w:hAnsi="Helvetica" w:cs="Helvetica"/>
          <w:sz w:val="24"/>
          <w:szCs w:val="24"/>
        </w:rPr>
      </w:pPr>
    </w:p>
    <w:p w14:paraId="6A12FD86" w14:textId="60B18259" w:rsidR="001212B1" w:rsidRPr="00EF22E0" w:rsidRDefault="001212B1" w:rsidP="001212B1">
      <w:pPr>
        <w:spacing w:line="360" w:lineRule="auto"/>
        <w:rPr>
          <w:rFonts w:ascii="Helvetica" w:hAnsi="Helvetica" w:cs="Helvetica"/>
          <w:szCs w:val="24"/>
          <w:lang w:val="es-CO"/>
        </w:rPr>
      </w:pPr>
      <w:r w:rsidRPr="00EF22E0">
        <w:rPr>
          <w:rFonts w:ascii="Helvetica" w:hAnsi="Helvetica" w:cs="Helvetica"/>
          <w:szCs w:val="24"/>
          <w:lang w:val="es-CO"/>
        </w:rPr>
        <w:t xml:space="preserve">En la </w:t>
      </w:r>
      <w:r w:rsidRPr="00EF22E0">
        <w:rPr>
          <w:rFonts w:ascii="Helvetica" w:hAnsi="Helvetica" w:cs="Helvetica"/>
          <w:szCs w:val="24"/>
          <w:lang w:val="es-CO"/>
        </w:rPr>
        <w:fldChar w:fldCharType="begin"/>
      </w:r>
      <w:r w:rsidRPr="00EF22E0">
        <w:rPr>
          <w:rFonts w:ascii="Helvetica" w:hAnsi="Helvetica" w:cs="Helvetica"/>
          <w:szCs w:val="24"/>
          <w:lang w:val="es-CO"/>
        </w:rPr>
        <w:instrText xml:space="preserve"> REF _Ref158236281 \h  \* MERGEFORMAT </w:instrText>
      </w:r>
      <w:r w:rsidRPr="00EF22E0">
        <w:rPr>
          <w:rFonts w:ascii="Helvetica" w:hAnsi="Helvetica" w:cs="Helvetica"/>
          <w:szCs w:val="24"/>
          <w:lang w:val="es-CO"/>
        </w:rPr>
      </w:r>
      <w:r w:rsidRPr="00EF22E0">
        <w:rPr>
          <w:rFonts w:ascii="Helvetica" w:hAnsi="Helvetica" w:cs="Helvetica"/>
          <w:szCs w:val="24"/>
          <w:lang w:val="es-CO"/>
        </w:rPr>
        <w:fldChar w:fldCharType="separate"/>
      </w:r>
      <w:r w:rsidR="00874DC3" w:rsidRPr="00874DC3">
        <w:rPr>
          <w:rFonts w:ascii="Helvetica" w:hAnsi="Helvetica" w:cs="Helvetica"/>
          <w:szCs w:val="24"/>
          <w:lang w:val="es-CO"/>
        </w:rPr>
        <w:t xml:space="preserve">Tabla </w:t>
      </w:r>
      <w:r w:rsidR="00874DC3">
        <w:rPr>
          <w:rFonts w:ascii="Helvetica" w:hAnsi="Helvetica" w:cs="Helvetica"/>
          <w:noProof/>
          <w:szCs w:val="24"/>
        </w:rPr>
        <w:t>2</w:t>
      </w:r>
      <w:r w:rsidRPr="00EF22E0">
        <w:rPr>
          <w:rFonts w:ascii="Helvetica" w:hAnsi="Helvetica" w:cs="Helvetica"/>
          <w:szCs w:val="24"/>
          <w:lang w:val="es-CO"/>
        </w:rPr>
        <w:fldChar w:fldCharType="end"/>
      </w:r>
      <w:r w:rsidRPr="00EF22E0">
        <w:rPr>
          <w:rFonts w:ascii="Helvetica" w:hAnsi="Helvetica" w:cs="Helvetica"/>
          <w:szCs w:val="24"/>
          <w:lang w:val="es-CO"/>
        </w:rPr>
        <w:t xml:space="preserve"> se observa que, para los últimos 3 años, en la mayoría de las plantas se encuentra activo un único proveedor. Únicamente en las plantas de Mansilla, Mamonal y Puente Aranda se encuentran activos 3 agentes: Chevron, Terpel y Primax.</w:t>
      </w:r>
    </w:p>
    <w:p w14:paraId="7594E228" w14:textId="77777777" w:rsidR="001212B1" w:rsidRPr="00EF22E0" w:rsidRDefault="001212B1" w:rsidP="001212B1">
      <w:pPr>
        <w:rPr>
          <w:rFonts w:ascii="Helvetica" w:hAnsi="Helvetica" w:cs="Helvetica"/>
          <w:szCs w:val="24"/>
        </w:rPr>
      </w:pPr>
    </w:p>
    <w:p w14:paraId="6BB51416" w14:textId="2D1CEA27" w:rsidR="001212B1" w:rsidRPr="00EF22E0" w:rsidRDefault="001212B1" w:rsidP="001212B1">
      <w:pPr>
        <w:pStyle w:val="Descripcin"/>
        <w:spacing w:line="360" w:lineRule="auto"/>
        <w:rPr>
          <w:rFonts w:ascii="Helvetica" w:hAnsi="Helvetica" w:cs="Helvetica"/>
          <w:sz w:val="24"/>
          <w:szCs w:val="24"/>
          <w:lang w:val="es-ES"/>
        </w:rPr>
      </w:pPr>
      <w:bookmarkStart w:id="32" w:name="_Ref158236281"/>
      <w:r w:rsidRPr="3CB43807">
        <w:rPr>
          <w:rFonts w:ascii="Helvetica" w:hAnsi="Helvetica" w:cs="Helvetica"/>
          <w:sz w:val="24"/>
          <w:szCs w:val="24"/>
          <w:lang w:val="es-ES"/>
        </w:rPr>
        <w:t xml:space="preserve">Tabla </w:t>
      </w:r>
      <w:r w:rsidRPr="3CB43807">
        <w:rPr>
          <w:rFonts w:ascii="Helvetica" w:hAnsi="Helvetica" w:cs="Helvetica"/>
          <w:sz w:val="24"/>
          <w:szCs w:val="24"/>
        </w:rPr>
        <w:fldChar w:fldCharType="begin"/>
      </w:r>
      <w:r w:rsidRPr="3CB43807">
        <w:rPr>
          <w:rFonts w:ascii="Helvetica" w:hAnsi="Helvetica" w:cs="Helvetica"/>
          <w:sz w:val="24"/>
          <w:szCs w:val="24"/>
        </w:rPr>
        <w:instrText xml:space="preserve"> SEQ Tabla \* ARABIC </w:instrText>
      </w:r>
      <w:r w:rsidR="00000000">
        <w:rPr>
          <w:rFonts w:ascii="Helvetica" w:hAnsi="Helvetica" w:cs="Helvetica"/>
          <w:sz w:val="24"/>
          <w:szCs w:val="24"/>
        </w:rPr>
        <w:fldChar w:fldCharType="separate"/>
      </w:r>
      <w:r w:rsidR="00874DC3">
        <w:rPr>
          <w:rFonts w:ascii="Helvetica" w:hAnsi="Helvetica" w:cs="Helvetica"/>
          <w:noProof/>
          <w:sz w:val="24"/>
          <w:szCs w:val="24"/>
        </w:rPr>
        <w:t>2</w:t>
      </w:r>
      <w:r w:rsidRPr="3CB43807">
        <w:rPr>
          <w:rFonts w:ascii="Helvetica" w:hAnsi="Helvetica" w:cs="Helvetica"/>
          <w:sz w:val="24"/>
          <w:szCs w:val="24"/>
        </w:rPr>
        <w:fldChar w:fldCharType="end"/>
      </w:r>
      <w:bookmarkEnd w:id="32"/>
      <w:r w:rsidRPr="3CB43807">
        <w:rPr>
          <w:rFonts w:ascii="Helvetica" w:hAnsi="Helvetica" w:cs="Helvetica"/>
          <w:sz w:val="24"/>
          <w:szCs w:val="24"/>
          <w:lang w:val="es-ES"/>
        </w:rPr>
        <w:t>. Relación planta - proveedor</w:t>
      </w:r>
    </w:p>
    <w:tbl>
      <w:tblPr>
        <w:tblW w:w="7073" w:type="dxa"/>
        <w:tblCellMar>
          <w:left w:w="70" w:type="dxa"/>
          <w:right w:w="70" w:type="dxa"/>
        </w:tblCellMar>
        <w:tblLook w:val="04A0" w:firstRow="1" w:lastRow="0" w:firstColumn="1" w:lastColumn="0" w:noHBand="0" w:noVBand="1"/>
      </w:tblPr>
      <w:tblGrid>
        <w:gridCol w:w="3522"/>
        <w:gridCol w:w="3551"/>
      </w:tblGrid>
      <w:tr w:rsidR="001212B1" w:rsidRPr="00EF22E0" w14:paraId="40CB7476" w14:textId="77777777" w:rsidTr="00C610BB">
        <w:trPr>
          <w:trHeight w:val="920"/>
        </w:trPr>
        <w:tc>
          <w:tcPr>
            <w:tcW w:w="3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07E10" w14:textId="77777777" w:rsidR="001212B1" w:rsidRPr="00EF22E0" w:rsidRDefault="001212B1" w:rsidP="00C610BB">
            <w:pPr>
              <w:jc w:val="center"/>
              <w:rPr>
                <w:rFonts w:ascii="Helvetica" w:hAnsi="Helvetica" w:cs="Helvetica"/>
                <w:b/>
                <w:bCs/>
                <w:color w:val="000000"/>
                <w:szCs w:val="24"/>
                <w:lang w:val="es-CO" w:eastAsia="es-CO"/>
              </w:rPr>
            </w:pPr>
            <w:r w:rsidRPr="00EF22E0">
              <w:rPr>
                <w:rFonts w:ascii="Helvetica" w:hAnsi="Helvetica" w:cs="Helvetica"/>
                <w:b/>
                <w:bCs/>
                <w:color w:val="000000"/>
                <w:szCs w:val="24"/>
                <w:lang w:val="es-CO" w:eastAsia="es-CO"/>
              </w:rPr>
              <w:t>NOMBRE COMERCIAL PROVEEDOR</w:t>
            </w:r>
          </w:p>
        </w:tc>
        <w:tc>
          <w:tcPr>
            <w:tcW w:w="3551" w:type="dxa"/>
            <w:tcBorders>
              <w:top w:val="single" w:sz="4" w:space="0" w:color="auto"/>
              <w:left w:val="nil"/>
              <w:bottom w:val="single" w:sz="4" w:space="0" w:color="auto"/>
              <w:right w:val="single" w:sz="4" w:space="0" w:color="auto"/>
            </w:tcBorders>
            <w:shd w:val="clear" w:color="auto" w:fill="auto"/>
            <w:vAlign w:val="center"/>
            <w:hideMark/>
          </w:tcPr>
          <w:p w14:paraId="0580FF36" w14:textId="77777777" w:rsidR="001212B1" w:rsidRPr="00EF22E0" w:rsidRDefault="001212B1" w:rsidP="00C610BB">
            <w:pPr>
              <w:jc w:val="left"/>
              <w:rPr>
                <w:rFonts w:ascii="Helvetica" w:hAnsi="Helvetica" w:cs="Helvetica"/>
                <w:b/>
                <w:bCs/>
                <w:color w:val="000000"/>
                <w:szCs w:val="24"/>
                <w:lang w:val="es-CO" w:eastAsia="es-CO"/>
              </w:rPr>
            </w:pPr>
            <w:r w:rsidRPr="00EF22E0">
              <w:rPr>
                <w:rFonts w:ascii="Helvetica" w:hAnsi="Helvetica" w:cs="Helvetica"/>
                <w:b/>
                <w:bCs/>
                <w:color w:val="000000"/>
                <w:szCs w:val="24"/>
                <w:lang w:val="es-CO" w:eastAsia="es-CO"/>
              </w:rPr>
              <w:t>PLANTA AGENTE PROVEEDOR</w:t>
            </w:r>
          </w:p>
        </w:tc>
      </w:tr>
      <w:tr w:rsidR="001212B1" w:rsidRPr="00EF22E0" w14:paraId="7E47C34D" w14:textId="77777777" w:rsidTr="00C610BB">
        <w:trPr>
          <w:trHeight w:val="306"/>
        </w:trPr>
        <w:tc>
          <w:tcPr>
            <w:tcW w:w="3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FB566" w14:textId="77777777" w:rsidR="001212B1" w:rsidRPr="00EF22E0" w:rsidRDefault="001212B1"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CHEVRON PETROLEUM COMPANY</w:t>
            </w:r>
          </w:p>
        </w:tc>
        <w:tc>
          <w:tcPr>
            <w:tcW w:w="3551" w:type="dxa"/>
            <w:tcBorders>
              <w:top w:val="nil"/>
              <w:left w:val="nil"/>
              <w:bottom w:val="single" w:sz="4" w:space="0" w:color="auto"/>
              <w:right w:val="single" w:sz="4" w:space="0" w:color="auto"/>
            </w:tcBorders>
            <w:shd w:val="clear" w:color="auto" w:fill="auto"/>
            <w:noWrap/>
            <w:vAlign w:val="center"/>
            <w:hideMark/>
          </w:tcPr>
          <w:p w14:paraId="1F1EDE6D"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CHEVRON CARTAGENA - MAMONAL</w:t>
            </w:r>
          </w:p>
        </w:tc>
      </w:tr>
      <w:tr w:rsidR="001212B1" w:rsidRPr="00EF22E0" w14:paraId="798015B7"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221C5AA9"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34CEB846"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CHEVRON EL ARENAL</w:t>
            </w:r>
          </w:p>
        </w:tc>
      </w:tr>
      <w:tr w:rsidR="001212B1" w:rsidRPr="00EF22E0" w14:paraId="27D71AAD"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41CE07D7"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180F8E69"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CHEVRON PUENTE ARANDA</w:t>
            </w:r>
          </w:p>
        </w:tc>
      </w:tr>
      <w:tr w:rsidR="001212B1" w:rsidRPr="00EF22E0" w14:paraId="4E9598AF"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02273219"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34B994FE"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CONJUNTA YUMBO</w:t>
            </w:r>
          </w:p>
        </w:tc>
      </w:tr>
      <w:tr w:rsidR="001212B1" w:rsidRPr="00EF22E0" w14:paraId="3C36AC9C" w14:textId="77777777" w:rsidTr="00C610BB">
        <w:trPr>
          <w:trHeight w:val="306"/>
        </w:trPr>
        <w:tc>
          <w:tcPr>
            <w:tcW w:w="3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F5C32" w14:textId="77777777" w:rsidR="001212B1" w:rsidRPr="00EF22E0" w:rsidRDefault="001212B1"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ECOPETROL S.A.</w:t>
            </w:r>
          </w:p>
        </w:tc>
        <w:tc>
          <w:tcPr>
            <w:tcW w:w="3551" w:type="dxa"/>
            <w:tcBorders>
              <w:top w:val="nil"/>
              <w:left w:val="nil"/>
              <w:bottom w:val="single" w:sz="4" w:space="0" w:color="auto"/>
              <w:right w:val="single" w:sz="4" w:space="0" w:color="auto"/>
            </w:tcBorders>
            <w:shd w:val="clear" w:color="auto" w:fill="auto"/>
            <w:noWrap/>
            <w:vAlign w:val="center"/>
            <w:hideMark/>
          </w:tcPr>
          <w:p w14:paraId="5450D636"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LAS FLOREZ</w:t>
            </w:r>
          </w:p>
        </w:tc>
      </w:tr>
      <w:tr w:rsidR="001212B1" w:rsidRPr="00EF22E0" w14:paraId="586D292E"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1888B218"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4F24F8E4"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REFINERIA GCB</w:t>
            </w:r>
          </w:p>
        </w:tc>
      </w:tr>
      <w:tr w:rsidR="001212B1" w:rsidRPr="00EF22E0" w14:paraId="1A6DB4CE" w14:textId="77777777" w:rsidTr="00C610BB">
        <w:trPr>
          <w:trHeight w:val="306"/>
        </w:trPr>
        <w:tc>
          <w:tcPr>
            <w:tcW w:w="3522" w:type="dxa"/>
            <w:tcBorders>
              <w:top w:val="nil"/>
              <w:left w:val="single" w:sz="4" w:space="0" w:color="auto"/>
              <w:bottom w:val="single" w:sz="4" w:space="0" w:color="auto"/>
              <w:right w:val="single" w:sz="4" w:space="0" w:color="auto"/>
            </w:tcBorders>
            <w:shd w:val="clear" w:color="auto" w:fill="auto"/>
            <w:noWrap/>
            <w:vAlign w:val="center"/>
            <w:hideMark/>
          </w:tcPr>
          <w:p w14:paraId="6ED1A831" w14:textId="77777777" w:rsidR="001212B1" w:rsidRPr="00EF22E0" w:rsidRDefault="001212B1"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HIDROCARBUROS DEL CASANARE S.A.S.</w:t>
            </w:r>
          </w:p>
        </w:tc>
        <w:tc>
          <w:tcPr>
            <w:tcW w:w="3551" w:type="dxa"/>
            <w:tcBorders>
              <w:top w:val="nil"/>
              <w:left w:val="nil"/>
              <w:bottom w:val="single" w:sz="4" w:space="0" w:color="auto"/>
              <w:right w:val="single" w:sz="4" w:space="0" w:color="auto"/>
            </w:tcBorders>
            <w:shd w:val="clear" w:color="auto" w:fill="auto"/>
            <w:noWrap/>
            <w:vAlign w:val="center"/>
            <w:hideMark/>
          </w:tcPr>
          <w:p w14:paraId="7C2E61DF"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TOPPING UNIT</w:t>
            </w:r>
          </w:p>
        </w:tc>
      </w:tr>
      <w:tr w:rsidR="001212B1" w:rsidRPr="00EF22E0" w14:paraId="576C88C7" w14:textId="77777777" w:rsidTr="00C610BB">
        <w:trPr>
          <w:trHeight w:val="306"/>
        </w:trPr>
        <w:tc>
          <w:tcPr>
            <w:tcW w:w="3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E01FF" w14:textId="77777777" w:rsidR="001212B1" w:rsidRPr="00EF22E0" w:rsidRDefault="001212B1"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ORGANIZACION TERPEL S.A.</w:t>
            </w:r>
          </w:p>
        </w:tc>
        <w:tc>
          <w:tcPr>
            <w:tcW w:w="3551" w:type="dxa"/>
            <w:tcBorders>
              <w:top w:val="nil"/>
              <w:left w:val="nil"/>
              <w:bottom w:val="single" w:sz="4" w:space="0" w:color="auto"/>
              <w:right w:val="single" w:sz="4" w:space="0" w:color="auto"/>
            </w:tcBorders>
            <w:shd w:val="clear" w:color="auto" w:fill="auto"/>
            <w:noWrap/>
            <w:vAlign w:val="center"/>
            <w:hideMark/>
          </w:tcPr>
          <w:p w14:paraId="7D5F988E"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BARANOA</w:t>
            </w:r>
          </w:p>
        </w:tc>
      </w:tr>
      <w:tr w:rsidR="001212B1" w:rsidRPr="00EF22E0" w14:paraId="14AB8CEC"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79C82A9B"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0F17873B"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CHIMITA</w:t>
            </w:r>
          </w:p>
        </w:tc>
      </w:tr>
      <w:tr w:rsidR="001212B1" w:rsidRPr="00EF22E0" w14:paraId="39EA98D2"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1449ECD7"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730FA2EF"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CONJUNTA MAMONAL</w:t>
            </w:r>
          </w:p>
        </w:tc>
      </w:tr>
      <w:tr w:rsidR="001212B1" w:rsidRPr="00EF22E0" w14:paraId="76B4E99D"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77F57CA3"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1FBB7CF1"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LA MARIA</w:t>
            </w:r>
          </w:p>
        </w:tc>
      </w:tr>
      <w:tr w:rsidR="001212B1" w:rsidRPr="00EF22E0" w14:paraId="1F42668C"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1573117E"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7A72C026"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MULALO</w:t>
            </w:r>
          </w:p>
        </w:tc>
      </w:tr>
      <w:tr w:rsidR="001212B1" w:rsidRPr="00EF22E0" w14:paraId="4F21EA66"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5164BC56"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209A00EB"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PUENTE ARANDA</w:t>
            </w:r>
          </w:p>
        </w:tc>
      </w:tr>
      <w:tr w:rsidR="001212B1" w:rsidRPr="00EF22E0" w14:paraId="0A6178A0"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632A1947"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6118AAE8"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RIONEGRO</w:t>
            </w:r>
          </w:p>
        </w:tc>
      </w:tr>
      <w:tr w:rsidR="001212B1" w:rsidRPr="00EF22E0" w14:paraId="0133C684"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585D4CA5"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0E522A77"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SEBASTOPOL</w:t>
            </w:r>
          </w:p>
        </w:tc>
      </w:tr>
      <w:tr w:rsidR="001212B1" w:rsidRPr="00EF22E0" w14:paraId="290B193F"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3A535AAB"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2ACA2C1D"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TERPEL MANSILLA</w:t>
            </w:r>
          </w:p>
        </w:tc>
      </w:tr>
      <w:tr w:rsidR="001212B1" w:rsidRPr="00EF22E0" w14:paraId="76AFCA4B"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29D44F05"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50E83115"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TERMINAL ARAUCA</w:t>
            </w:r>
          </w:p>
        </w:tc>
      </w:tr>
      <w:tr w:rsidR="001212B1" w:rsidRPr="00EF22E0" w14:paraId="469FC3EF"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50F08D04"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375EB057"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TERMINAL LETICIA</w:t>
            </w:r>
          </w:p>
        </w:tc>
      </w:tr>
      <w:tr w:rsidR="001212B1" w:rsidRPr="00EF22E0" w14:paraId="08BE9302" w14:textId="77777777" w:rsidTr="00C610BB">
        <w:trPr>
          <w:trHeight w:val="306"/>
        </w:trPr>
        <w:tc>
          <w:tcPr>
            <w:tcW w:w="35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2C88DA" w14:textId="77777777" w:rsidR="001212B1" w:rsidRPr="00EF22E0" w:rsidRDefault="001212B1"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PRIMAX COLOMBIA S.A.</w:t>
            </w:r>
          </w:p>
        </w:tc>
        <w:tc>
          <w:tcPr>
            <w:tcW w:w="3551" w:type="dxa"/>
            <w:tcBorders>
              <w:top w:val="nil"/>
              <w:left w:val="nil"/>
              <w:bottom w:val="single" w:sz="4" w:space="0" w:color="auto"/>
              <w:right w:val="single" w:sz="4" w:space="0" w:color="auto"/>
            </w:tcBorders>
            <w:shd w:val="clear" w:color="auto" w:fill="auto"/>
            <w:noWrap/>
            <w:vAlign w:val="center"/>
            <w:hideMark/>
          </w:tcPr>
          <w:p w14:paraId="198B1C04"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CONJUNTA MAMONAL</w:t>
            </w:r>
          </w:p>
        </w:tc>
      </w:tr>
      <w:tr w:rsidR="001212B1" w:rsidRPr="00EF22E0" w14:paraId="20468ED0" w14:textId="77777777" w:rsidTr="00C610BB">
        <w:trPr>
          <w:trHeight w:val="306"/>
        </w:trPr>
        <w:tc>
          <w:tcPr>
            <w:tcW w:w="3522" w:type="dxa"/>
            <w:vMerge/>
            <w:tcBorders>
              <w:top w:val="nil"/>
              <w:left w:val="single" w:sz="4" w:space="0" w:color="auto"/>
              <w:bottom w:val="single" w:sz="4" w:space="0" w:color="auto"/>
              <w:right w:val="single" w:sz="4" w:space="0" w:color="auto"/>
            </w:tcBorders>
            <w:vAlign w:val="center"/>
            <w:hideMark/>
          </w:tcPr>
          <w:p w14:paraId="121A6721" w14:textId="77777777" w:rsidR="001212B1" w:rsidRPr="00EF22E0" w:rsidRDefault="001212B1" w:rsidP="00C610BB">
            <w:pPr>
              <w:jc w:val="left"/>
              <w:rPr>
                <w:rFonts w:ascii="Helvetica" w:hAnsi="Helvetica" w:cs="Helvetica"/>
                <w:color w:val="000000"/>
                <w:szCs w:val="24"/>
                <w:lang w:val="es-CO" w:eastAsia="es-CO"/>
              </w:rPr>
            </w:pPr>
          </w:p>
        </w:tc>
        <w:tc>
          <w:tcPr>
            <w:tcW w:w="3551" w:type="dxa"/>
            <w:tcBorders>
              <w:top w:val="nil"/>
              <w:left w:val="nil"/>
              <w:bottom w:val="single" w:sz="4" w:space="0" w:color="auto"/>
              <w:right w:val="single" w:sz="4" w:space="0" w:color="auto"/>
            </w:tcBorders>
            <w:shd w:val="clear" w:color="auto" w:fill="auto"/>
            <w:noWrap/>
            <w:vAlign w:val="center"/>
            <w:hideMark/>
          </w:tcPr>
          <w:p w14:paraId="19F327B2"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PLANTA PUENTE ARANDA</w:t>
            </w:r>
          </w:p>
        </w:tc>
      </w:tr>
      <w:tr w:rsidR="001212B1" w:rsidRPr="00EF22E0" w14:paraId="14896D3E" w14:textId="77777777" w:rsidTr="00C610BB">
        <w:trPr>
          <w:trHeight w:val="306"/>
        </w:trPr>
        <w:tc>
          <w:tcPr>
            <w:tcW w:w="3522" w:type="dxa"/>
            <w:tcBorders>
              <w:top w:val="nil"/>
              <w:left w:val="single" w:sz="4" w:space="0" w:color="auto"/>
              <w:bottom w:val="single" w:sz="4" w:space="0" w:color="auto"/>
              <w:right w:val="single" w:sz="4" w:space="0" w:color="auto"/>
            </w:tcBorders>
            <w:shd w:val="clear" w:color="auto" w:fill="auto"/>
            <w:noWrap/>
            <w:vAlign w:val="center"/>
            <w:hideMark/>
          </w:tcPr>
          <w:p w14:paraId="4DE18F6A" w14:textId="77777777" w:rsidR="001212B1" w:rsidRPr="00EF22E0" w:rsidRDefault="001212B1"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REFINERIA DE CARTAGENA S.A.</w:t>
            </w:r>
          </w:p>
        </w:tc>
        <w:tc>
          <w:tcPr>
            <w:tcW w:w="3551" w:type="dxa"/>
            <w:tcBorders>
              <w:top w:val="nil"/>
              <w:left w:val="nil"/>
              <w:bottom w:val="single" w:sz="4" w:space="0" w:color="auto"/>
              <w:right w:val="single" w:sz="4" w:space="0" w:color="auto"/>
            </w:tcBorders>
            <w:shd w:val="clear" w:color="auto" w:fill="auto"/>
            <w:noWrap/>
            <w:vAlign w:val="center"/>
            <w:hideMark/>
          </w:tcPr>
          <w:p w14:paraId="6147A4C8" w14:textId="77777777" w:rsidR="001212B1" w:rsidRPr="00EF22E0" w:rsidRDefault="001212B1"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REFINERIA GRC</w:t>
            </w:r>
          </w:p>
        </w:tc>
      </w:tr>
    </w:tbl>
    <w:p w14:paraId="77309C2B"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rPr>
      </w:pPr>
    </w:p>
    <w:p w14:paraId="1EE403C0" w14:textId="77777777" w:rsidR="001212B1" w:rsidRPr="00EF22E0" w:rsidRDefault="001212B1" w:rsidP="001212B1">
      <w:pPr>
        <w:pStyle w:val="Ttulo3"/>
        <w:numPr>
          <w:ilvl w:val="2"/>
          <w:numId w:val="1"/>
        </w:numPr>
        <w:rPr>
          <w:rFonts w:ascii="Helvetica" w:hAnsi="Helvetica" w:cs="Helvetica"/>
          <w:szCs w:val="24"/>
        </w:rPr>
      </w:pPr>
      <w:r w:rsidRPr="00EF22E0">
        <w:rPr>
          <w:rFonts w:ascii="Helvetica" w:hAnsi="Helvetica" w:cs="Helvetica"/>
          <w:szCs w:val="24"/>
        </w:rPr>
        <w:t>Distribución minorista de Jet A1</w:t>
      </w:r>
    </w:p>
    <w:p w14:paraId="2C70A668" w14:textId="77777777" w:rsidR="001212B1" w:rsidRPr="00EF22E0" w:rsidRDefault="001212B1" w:rsidP="001212B1">
      <w:pPr>
        <w:spacing w:line="360" w:lineRule="auto"/>
        <w:rPr>
          <w:rFonts w:ascii="Helvetica" w:hAnsi="Helvetica" w:cs="Helvetica"/>
          <w:szCs w:val="24"/>
          <w:lang w:val="es-CO"/>
        </w:rPr>
      </w:pPr>
      <w:r w:rsidRPr="00EF22E0">
        <w:rPr>
          <w:rFonts w:ascii="Helvetica" w:hAnsi="Helvetica" w:cs="Helvetica"/>
          <w:szCs w:val="24"/>
          <w:lang w:val="es-CO"/>
        </w:rPr>
        <w:t>En relación con la distribución minorista, en SICOM se registraron 97 nombres comerciales diferentes de minoristas, tanto de comercializadores industriales como de estaciones de servicio de aviación. Los principales proveedores en número de agentes son Chevron, quien provee a 33 EDS y a 9 comercializadores industriales, es decir al 43% de los agentes del mercado minorista. Por su parte, Terpel provee a 23 EDS y a 6 comercializadores industriales, agrupando el 30% de los agentes.</w:t>
      </w:r>
    </w:p>
    <w:p w14:paraId="78ACAC75" w14:textId="77777777" w:rsidR="001212B1" w:rsidRPr="00EF22E0" w:rsidRDefault="001212B1" w:rsidP="001212B1">
      <w:pPr>
        <w:rPr>
          <w:rFonts w:ascii="Helvetica" w:hAnsi="Helvetica" w:cs="Helvetica"/>
          <w:szCs w:val="24"/>
          <w:lang w:val="es-ES"/>
        </w:rPr>
      </w:pPr>
    </w:p>
    <w:p w14:paraId="13610C0D" w14:textId="57207774" w:rsidR="001212B1" w:rsidRPr="00EF22E0" w:rsidRDefault="001212B1" w:rsidP="001212B1">
      <w:pPr>
        <w:pStyle w:val="Descripcin"/>
        <w:spacing w:line="360" w:lineRule="auto"/>
        <w:rPr>
          <w:rFonts w:ascii="Helvetica" w:hAnsi="Helvetica" w:cs="Helvetica"/>
          <w:sz w:val="24"/>
          <w:szCs w:val="24"/>
        </w:rPr>
      </w:pPr>
      <w:r w:rsidRPr="00EF22E0">
        <w:rPr>
          <w:rFonts w:ascii="Helvetica" w:hAnsi="Helvetica" w:cs="Helvetica"/>
          <w:sz w:val="24"/>
          <w:szCs w:val="24"/>
        </w:rPr>
        <w:t xml:space="preserve">Tabla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Tabla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3</w:t>
      </w:r>
      <w:r w:rsidRPr="00EF22E0">
        <w:rPr>
          <w:rFonts w:ascii="Helvetica" w:hAnsi="Helvetica" w:cs="Helvetica"/>
          <w:sz w:val="24"/>
          <w:szCs w:val="24"/>
        </w:rPr>
        <w:fldChar w:fldCharType="end"/>
      </w:r>
      <w:r w:rsidRPr="00EF22E0">
        <w:rPr>
          <w:rFonts w:ascii="Helvetica" w:hAnsi="Helvetica" w:cs="Helvetica"/>
          <w:sz w:val="24"/>
          <w:szCs w:val="24"/>
        </w:rPr>
        <w:t>. Relación proveedores - distribuidores minoristas (en número)</w:t>
      </w:r>
    </w:p>
    <w:tbl>
      <w:tblPr>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8"/>
        <w:gridCol w:w="2588"/>
        <w:gridCol w:w="1781"/>
      </w:tblGrid>
      <w:tr w:rsidR="00143D30" w:rsidRPr="00EF22E0" w14:paraId="737190A4" w14:textId="77777777" w:rsidTr="00143D30">
        <w:trPr>
          <w:trHeight w:val="300"/>
        </w:trPr>
        <w:tc>
          <w:tcPr>
            <w:tcW w:w="3118" w:type="dxa"/>
            <w:shd w:val="clear" w:color="auto" w:fill="auto"/>
            <w:noWrap/>
            <w:vAlign w:val="center"/>
            <w:hideMark/>
          </w:tcPr>
          <w:p w14:paraId="0D1818D5" w14:textId="77777777" w:rsidR="00143D30" w:rsidRPr="00EF22E0" w:rsidRDefault="00143D30" w:rsidP="00C610BB">
            <w:pPr>
              <w:jc w:val="center"/>
              <w:rPr>
                <w:rFonts w:ascii="Helvetica" w:hAnsi="Helvetica" w:cs="Helvetica"/>
                <w:b/>
                <w:bCs/>
                <w:color w:val="000000"/>
                <w:szCs w:val="24"/>
                <w:lang w:val="es-CO" w:eastAsia="es-CO"/>
              </w:rPr>
            </w:pPr>
            <w:r w:rsidRPr="00EF22E0">
              <w:rPr>
                <w:rFonts w:ascii="Helvetica" w:hAnsi="Helvetica" w:cs="Helvetica"/>
                <w:b/>
                <w:bCs/>
                <w:color w:val="000000"/>
                <w:szCs w:val="24"/>
                <w:lang w:val="es-CO" w:eastAsia="es-CO"/>
              </w:rPr>
              <w:t>NOMBRE PROVEEDOR</w:t>
            </w:r>
          </w:p>
        </w:tc>
        <w:tc>
          <w:tcPr>
            <w:tcW w:w="2588" w:type="dxa"/>
            <w:shd w:val="clear" w:color="auto" w:fill="auto"/>
            <w:noWrap/>
            <w:vAlign w:val="center"/>
            <w:hideMark/>
          </w:tcPr>
          <w:p w14:paraId="707D4924" w14:textId="77777777" w:rsidR="00143D30" w:rsidRPr="00EF22E0" w:rsidRDefault="00143D30" w:rsidP="00C610BB">
            <w:pPr>
              <w:jc w:val="center"/>
              <w:rPr>
                <w:rFonts w:ascii="Helvetica" w:hAnsi="Helvetica" w:cs="Helvetica"/>
                <w:b/>
                <w:bCs/>
                <w:color w:val="000000"/>
                <w:szCs w:val="24"/>
                <w:lang w:val="es-CO" w:eastAsia="es-CO"/>
              </w:rPr>
            </w:pPr>
            <w:r w:rsidRPr="00EF22E0">
              <w:rPr>
                <w:rFonts w:ascii="Helvetica" w:hAnsi="Helvetica" w:cs="Helvetica"/>
                <w:b/>
                <w:bCs/>
                <w:color w:val="000000"/>
                <w:szCs w:val="24"/>
                <w:lang w:val="es-CO" w:eastAsia="es-CO"/>
              </w:rPr>
              <w:t>SUBTIPO AGENTE COMPRADOR</w:t>
            </w:r>
          </w:p>
        </w:tc>
        <w:tc>
          <w:tcPr>
            <w:tcW w:w="1711" w:type="dxa"/>
            <w:shd w:val="clear" w:color="auto" w:fill="auto"/>
            <w:noWrap/>
            <w:vAlign w:val="center"/>
            <w:hideMark/>
          </w:tcPr>
          <w:p w14:paraId="716CBBE7" w14:textId="77777777" w:rsidR="00143D30" w:rsidRPr="00EF22E0" w:rsidRDefault="00143D30" w:rsidP="00C610BB">
            <w:pPr>
              <w:jc w:val="center"/>
              <w:rPr>
                <w:rFonts w:ascii="Helvetica" w:hAnsi="Helvetica" w:cs="Helvetica"/>
                <w:b/>
                <w:bCs/>
                <w:color w:val="000000"/>
                <w:szCs w:val="24"/>
                <w:lang w:val="es-CO" w:eastAsia="es-CO"/>
              </w:rPr>
            </w:pPr>
            <w:r w:rsidRPr="00EF22E0">
              <w:rPr>
                <w:rFonts w:ascii="Helvetica" w:hAnsi="Helvetica" w:cs="Helvetica"/>
                <w:b/>
                <w:bCs/>
                <w:color w:val="000000"/>
                <w:szCs w:val="24"/>
                <w:lang w:val="es-CO" w:eastAsia="es-CO"/>
              </w:rPr>
              <w:t>PORCENTAJE</w:t>
            </w:r>
          </w:p>
        </w:tc>
      </w:tr>
      <w:tr w:rsidR="00143D30" w:rsidRPr="00EF22E0" w14:paraId="468A65FD" w14:textId="77777777" w:rsidTr="00143D30">
        <w:trPr>
          <w:trHeight w:val="300"/>
        </w:trPr>
        <w:tc>
          <w:tcPr>
            <w:tcW w:w="3118" w:type="dxa"/>
            <w:vMerge w:val="restart"/>
            <w:shd w:val="clear" w:color="auto" w:fill="auto"/>
            <w:noWrap/>
            <w:vAlign w:val="bottom"/>
            <w:hideMark/>
          </w:tcPr>
          <w:p w14:paraId="66C6CA01"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ORGANIZACION TERPEL S.A.</w:t>
            </w:r>
          </w:p>
        </w:tc>
        <w:tc>
          <w:tcPr>
            <w:tcW w:w="2588" w:type="dxa"/>
            <w:shd w:val="clear" w:color="auto" w:fill="auto"/>
            <w:noWrap/>
            <w:vAlign w:val="bottom"/>
            <w:hideMark/>
          </w:tcPr>
          <w:p w14:paraId="73406DE3"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COMERCIALIZADOR INDUSTRIAL</w:t>
            </w:r>
          </w:p>
        </w:tc>
        <w:tc>
          <w:tcPr>
            <w:tcW w:w="1711" w:type="dxa"/>
            <w:shd w:val="clear" w:color="auto" w:fill="auto"/>
            <w:noWrap/>
            <w:vAlign w:val="bottom"/>
            <w:hideMark/>
          </w:tcPr>
          <w:p w14:paraId="579692CB"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6%</w:t>
            </w:r>
          </w:p>
        </w:tc>
      </w:tr>
      <w:tr w:rsidR="00143D30" w:rsidRPr="00EF22E0" w14:paraId="7B40CFC4" w14:textId="77777777" w:rsidTr="00143D30">
        <w:trPr>
          <w:trHeight w:val="300"/>
        </w:trPr>
        <w:tc>
          <w:tcPr>
            <w:tcW w:w="3118" w:type="dxa"/>
            <w:vMerge/>
            <w:vAlign w:val="center"/>
            <w:hideMark/>
          </w:tcPr>
          <w:p w14:paraId="4677787F" w14:textId="77777777" w:rsidR="00143D30" w:rsidRPr="00EF22E0" w:rsidRDefault="00143D30" w:rsidP="00C610BB">
            <w:pPr>
              <w:jc w:val="left"/>
              <w:rPr>
                <w:rFonts w:ascii="Helvetica" w:hAnsi="Helvetica" w:cs="Helvetica"/>
                <w:color w:val="000000"/>
                <w:szCs w:val="24"/>
                <w:lang w:val="es-CO" w:eastAsia="es-CO"/>
              </w:rPr>
            </w:pPr>
          </w:p>
        </w:tc>
        <w:tc>
          <w:tcPr>
            <w:tcW w:w="2588" w:type="dxa"/>
            <w:shd w:val="clear" w:color="auto" w:fill="auto"/>
            <w:noWrap/>
            <w:vAlign w:val="bottom"/>
            <w:hideMark/>
          </w:tcPr>
          <w:p w14:paraId="705674F4"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ESTACION DE SERVICIO DE AVIACION</w:t>
            </w:r>
          </w:p>
        </w:tc>
        <w:tc>
          <w:tcPr>
            <w:tcW w:w="1711" w:type="dxa"/>
            <w:shd w:val="clear" w:color="auto" w:fill="auto"/>
            <w:noWrap/>
            <w:vAlign w:val="bottom"/>
            <w:hideMark/>
          </w:tcPr>
          <w:p w14:paraId="68E02D90"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24%</w:t>
            </w:r>
          </w:p>
        </w:tc>
      </w:tr>
      <w:tr w:rsidR="00143D30" w:rsidRPr="00EF22E0" w14:paraId="590B22C4" w14:textId="77777777" w:rsidTr="00143D30">
        <w:trPr>
          <w:trHeight w:val="300"/>
        </w:trPr>
        <w:tc>
          <w:tcPr>
            <w:tcW w:w="3118" w:type="dxa"/>
            <w:vMerge w:val="restart"/>
            <w:shd w:val="clear" w:color="auto" w:fill="auto"/>
            <w:noWrap/>
            <w:vAlign w:val="bottom"/>
            <w:hideMark/>
          </w:tcPr>
          <w:p w14:paraId="006F85F9"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CHEVRON PETROLEUM COMPANY</w:t>
            </w:r>
          </w:p>
        </w:tc>
        <w:tc>
          <w:tcPr>
            <w:tcW w:w="2588" w:type="dxa"/>
            <w:shd w:val="clear" w:color="auto" w:fill="auto"/>
            <w:noWrap/>
            <w:vAlign w:val="bottom"/>
            <w:hideMark/>
          </w:tcPr>
          <w:p w14:paraId="517346FF"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COMERCIALIZADOR INDUSTRIAL</w:t>
            </w:r>
          </w:p>
        </w:tc>
        <w:tc>
          <w:tcPr>
            <w:tcW w:w="1711" w:type="dxa"/>
            <w:shd w:val="clear" w:color="auto" w:fill="auto"/>
            <w:noWrap/>
            <w:vAlign w:val="bottom"/>
            <w:hideMark/>
          </w:tcPr>
          <w:p w14:paraId="593ECB53"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9%</w:t>
            </w:r>
          </w:p>
        </w:tc>
      </w:tr>
      <w:tr w:rsidR="00143D30" w:rsidRPr="00EF22E0" w14:paraId="4B3BB80B" w14:textId="77777777" w:rsidTr="00143D30">
        <w:trPr>
          <w:trHeight w:val="300"/>
        </w:trPr>
        <w:tc>
          <w:tcPr>
            <w:tcW w:w="3118" w:type="dxa"/>
            <w:vMerge/>
            <w:vAlign w:val="center"/>
            <w:hideMark/>
          </w:tcPr>
          <w:p w14:paraId="1B419D76" w14:textId="77777777" w:rsidR="00143D30" w:rsidRPr="00EF22E0" w:rsidRDefault="00143D30" w:rsidP="00C610BB">
            <w:pPr>
              <w:jc w:val="left"/>
              <w:rPr>
                <w:rFonts w:ascii="Helvetica" w:hAnsi="Helvetica" w:cs="Helvetica"/>
                <w:color w:val="000000"/>
                <w:szCs w:val="24"/>
                <w:lang w:val="es-CO" w:eastAsia="es-CO"/>
              </w:rPr>
            </w:pPr>
          </w:p>
        </w:tc>
        <w:tc>
          <w:tcPr>
            <w:tcW w:w="2588" w:type="dxa"/>
            <w:shd w:val="clear" w:color="auto" w:fill="auto"/>
            <w:noWrap/>
            <w:vAlign w:val="bottom"/>
            <w:hideMark/>
          </w:tcPr>
          <w:p w14:paraId="3F426CB1"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ESTACION DE SERVICIO DE AVIACION</w:t>
            </w:r>
          </w:p>
        </w:tc>
        <w:tc>
          <w:tcPr>
            <w:tcW w:w="1711" w:type="dxa"/>
            <w:shd w:val="clear" w:color="auto" w:fill="auto"/>
            <w:noWrap/>
            <w:vAlign w:val="bottom"/>
            <w:hideMark/>
          </w:tcPr>
          <w:p w14:paraId="19D63F01"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34%</w:t>
            </w:r>
          </w:p>
        </w:tc>
      </w:tr>
      <w:tr w:rsidR="00143D30" w:rsidRPr="00EF22E0" w14:paraId="39E8F209" w14:textId="77777777" w:rsidTr="00143D30">
        <w:trPr>
          <w:trHeight w:val="300"/>
        </w:trPr>
        <w:tc>
          <w:tcPr>
            <w:tcW w:w="3118" w:type="dxa"/>
            <w:vMerge w:val="restart"/>
            <w:shd w:val="clear" w:color="auto" w:fill="auto"/>
            <w:noWrap/>
            <w:vAlign w:val="bottom"/>
            <w:hideMark/>
          </w:tcPr>
          <w:p w14:paraId="4D105E0E"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PRIMAX COLOMBIA S.A.</w:t>
            </w:r>
          </w:p>
        </w:tc>
        <w:tc>
          <w:tcPr>
            <w:tcW w:w="2588" w:type="dxa"/>
            <w:shd w:val="clear" w:color="auto" w:fill="auto"/>
            <w:noWrap/>
            <w:vAlign w:val="bottom"/>
            <w:hideMark/>
          </w:tcPr>
          <w:p w14:paraId="07F513AF"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COMERCIALIZADOR INDUSTRIAL</w:t>
            </w:r>
          </w:p>
        </w:tc>
        <w:tc>
          <w:tcPr>
            <w:tcW w:w="1711" w:type="dxa"/>
            <w:shd w:val="clear" w:color="auto" w:fill="auto"/>
            <w:noWrap/>
            <w:vAlign w:val="bottom"/>
            <w:hideMark/>
          </w:tcPr>
          <w:p w14:paraId="1B3E239D"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4%</w:t>
            </w:r>
          </w:p>
        </w:tc>
      </w:tr>
      <w:tr w:rsidR="00143D30" w:rsidRPr="00EF22E0" w14:paraId="703593A0" w14:textId="77777777" w:rsidTr="00143D30">
        <w:trPr>
          <w:trHeight w:val="300"/>
        </w:trPr>
        <w:tc>
          <w:tcPr>
            <w:tcW w:w="3118" w:type="dxa"/>
            <w:vMerge/>
            <w:vAlign w:val="center"/>
            <w:hideMark/>
          </w:tcPr>
          <w:p w14:paraId="389A1F5B" w14:textId="77777777" w:rsidR="00143D30" w:rsidRPr="00EF22E0" w:rsidRDefault="00143D30" w:rsidP="00C610BB">
            <w:pPr>
              <w:jc w:val="left"/>
              <w:rPr>
                <w:rFonts w:ascii="Helvetica" w:hAnsi="Helvetica" w:cs="Helvetica"/>
                <w:color w:val="000000"/>
                <w:szCs w:val="24"/>
                <w:lang w:val="es-CO" w:eastAsia="es-CO"/>
              </w:rPr>
            </w:pPr>
          </w:p>
        </w:tc>
        <w:tc>
          <w:tcPr>
            <w:tcW w:w="2588" w:type="dxa"/>
            <w:shd w:val="clear" w:color="auto" w:fill="auto"/>
            <w:noWrap/>
            <w:vAlign w:val="bottom"/>
            <w:hideMark/>
          </w:tcPr>
          <w:p w14:paraId="0BB1C8F8"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ESTACION DE SERVICIO DE AVIACION</w:t>
            </w:r>
          </w:p>
        </w:tc>
        <w:tc>
          <w:tcPr>
            <w:tcW w:w="1711" w:type="dxa"/>
            <w:shd w:val="clear" w:color="auto" w:fill="auto"/>
            <w:noWrap/>
            <w:vAlign w:val="bottom"/>
            <w:hideMark/>
          </w:tcPr>
          <w:p w14:paraId="08F3133C"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3%</w:t>
            </w:r>
          </w:p>
        </w:tc>
      </w:tr>
      <w:tr w:rsidR="00143D30" w:rsidRPr="00EF22E0" w14:paraId="579D219C" w14:textId="77777777" w:rsidTr="00143D30">
        <w:trPr>
          <w:trHeight w:val="300"/>
        </w:trPr>
        <w:tc>
          <w:tcPr>
            <w:tcW w:w="3118" w:type="dxa"/>
            <w:shd w:val="clear" w:color="auto" w:fill="auto"/>
            <w:noWrap/>
            <w:vAlign w:val="bottom"/>
            <w:hideMark/>
          </w:tcPr>
          <w:p w14:paraId="526D4F1E"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ECOPETROL S.A.</w:t>
            </w:r>
          </w:p>
        </w:tc>
        <w:tc>
          <w:tcPr>
            <w:tcW w:w="2588" w:type="dxa"/>
            <w:shd w:val="clear" w:color="auto" w:fill="auto"/>
            <w:noWrap/>
            <w:vAlign w:val="bottom"/>
            <w:hideMark/>
          </w:tcPr>
          <w:p w14:paraId="4681249D"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ESTACION DE SERVICIO DE AVIACION</w:t>
            </w:r>
          </w:p>
        </w:tc>
        <w:tc>
          <w:tcPr>
            <w:tcW w:w="1711" w:type="dxa"/>
            <w:shd w:val="clear" w:color="auto" w:fill="auto"/>
            <w:noWrap/>
            <w:vAlign w:val="bottom"/>
            <w:hideMark/>
          </w:tcPr>
          <w:p w14:paraId="6D25A0F7"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10%</w:t>
            </w:r>
          </w:p>
        </w:tc>
      </w:tr>
      <w:tr w:rsidR="00143D30" w:rsidRPr="00EF22E0" w14:paraId="3749A32B" w14:textId="77777777" w:rsidTr="00143D30">
        <w:trPr>
          <w:trHeight w:val="300"/>
        </w:trPr>
        <w:tc>
          <w:tcPr>
            <w:tcW w:w="3118" w:type="dxa"/>
            <w:shd w:val="clear" w:color="auto" w:fill="auto"/>
            <w:noWrap/>
            <w:vAlign w:val="bottom"/>
            <w:hideMark/>
          </w:tcPr>
          <w:p w14:paraId="421F3D81"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REFINERIA DE CARTAGENA S.A.</w:t>
            </w:r>
          </w:p>
        </w:tc>
        <w:tc>
          <w:tcPr>
            <w:tcW w:w="2588" w:type="dxa"/>
            <w:shd w:val="clear" w:color="auto" w:fill="auto"/>
            <w:noWrap/>
            <w:vAlign w:val="bottom"/>
            <w:hideMark/>
          </w:tcPr>
          <w:p w14:paraId="438763EA"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ESTACION DE SERVICIO DE AVIACION</w:t>
            </w:r>
          </w:p>
        </w:tc>
        <w:tc>
          <w:tcPr>
            <w:tcW w:w="1711" w:type="dxa"/>
            <w:shd w:val="clear" w:color="auto" w:fill="auto"/>
            <w:noWrap/>
            <w:vAlign w:val="bottom"/>
            <w:hideMark/>
          </w:tcPr>
          <w:p w14:paraId="70F9B961"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3%</w:t>
            </w:r>
          </w:p>
        </w:tc>
      </w:tr>
      <w:tr w:rsidR="00143D30" w:rsidRPr="00EF22E0" w14:paraId="6B83F50A" w14:textId="77777777" w:rsidTr="00143D30">
        <w:trPr>
          <w:trHeight w:val="300"/>
        </w:trPr>
        <w:tc>
          <w:tcPr>
            <w:tcW w:w="3118" w:type="dxa"/>
            <w:shd w:val="clear" w:color="auto" w:fill="auto"/>
            <w:noWrap/>
            <w:vAlign w:val="bottom"/>
            <w:hideMark/>
          </w:tcPr>
          <w:p w14:paraId="1F0575E0"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HIDROCARBUROS DEL CASANARE S.A.S.</w:t>
            </w:r>
          </w:p>
        </w:tc>
        <w:tc>
          <w:tcPr>
            <w:tcW w:w="2588" w:type="dxa"/>
            <w:shd w:val="clear" w:color="auto" w:fill="auto"/>
            <w:noWrap/>
            <w:vAlign w:val="bottom"/>
            <w:hideMark/>
          </w:tcPr>
          <w:p w14:paraId="2F87D044" w14:textId="77777777" w:rsidR="00143D30" w:rsidRPr="00EF22E0" w:rsidRDefault="00143D30" w:rsidP="00C610BB">
            <w:pPr>
              <w:jc w:val="left"/>
              <w:rPr>
                <w:rFonts w:ascii="Helvetica" w:hAnsi="Helvetica" w:cs="Helvetica"/>
                <w:color w:val="000000"/>
                <w:szCs w:val="24"/>
                <w:lang w:val="es-CO" w:eastAsia="es-CO"/>
              </w:rPr>
            </w:pPr>
            <w:r w:rsidRPr="00EF22E0">
              <w:rPr>
                <w:rFonts w:ascii="Helvetica" w:hAnsi="Helvetica" w:cs="Helvetica"/>
                <w:color w:val="000000"/>
                <w:szCs w:val="24"/>
                <w:lang w:val="es-CO" w:eastAsia="es-CO"/>
              </w:rPr>
              <w:t>ESTACION DE SERVICIO DE AVIACION</w:t>
            </w:r>
          </w:p>
        </w:tc>
        <w:tc>
          <w:tcPr>
            <w:tcW w:w="1711" w:type="dxa"/>
            <w:shd w:val="clear" w:color="auto" w:fill="auto"/>
            <w:noWrap/>
            <w:vAlign w:val="bottom"/>
            <w:hideMark/>
          </w:tcPr>
          <w:p w14:paraId="246255D8"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6%</w:t>
            </w:r>
          </w:p>
        </w:tc>
      </w:tr>
      <w:tr w:rsidR="00143D30" w:rsidRPr="00EF22E0" w14:paraId="1B316662" w14:textId="77777777" w:rsidTr="00143D30">
        <w:trPr>
          <w:trHeight w:val="300"/>
        </w:trPr>
        <w:tc>
          <w:tcPr>
            <w:tcW w:w="5706" w:type="dxa"/>
            <w:gridSpan w:val="2"/>
            <w:shd w:val="clear" w:color="auto" w:fill="auto"/>
            <w:noWrap/>
            <w:vAlign w:val="center"/>
            <w:hideMark/>
          </w:tcPr>
          <w:p w14:paraId="405C7BF7" w14:textId="77777777" w:rsidR="00143D30" w:rsidRPr="00EF22E0" w:rsidRDefault="00143D30" w:rsidP="00C610BB">
            <w:pPr>
              <w:jc w:val="center"/>
              <w:rPr>
                <w:rFonts w:ascii="Helvetica" w:hAnsi="Helvetica" w:cs="Helvetica"/>
                <w:color w:val="000000"/>
                <w:szCs w:val="24"/>
                <w:lang w:val="es-CO" w:eastAsia="es-CO"/>
              </w:rPr>
            </w:pPr>
            <w:bookmarkStart w:id="33" w:name="_Int_KCZ2CsoM"/>
            <w:r w:rsidRPr="00EF22E0">
              <w:rPr>
                <w:rFonts w:ascii="Helvetica" w:hAnsi="Helvetica" w:cs="Helvetica"/>
                <w:color w:val="000000" w:themeColor="text1"/>
                <w:szCs w:val="24"/>
                <w:lang w:val="es-CO" w:eastAsia="es-CO"/>
              </w:rPr>
              <w:t>TOTAL</w:t>
            </w:r>
            <w:bookmarkEnd w:id="33"/>
            <w:r w:rsidRPr="00EF22E0">
              <w:rPr>
                <w:rFonts w:ascii="Helvetica" w:hAnsi="Helvetica" w:cs="Helvetica"/>
                <w:color w:val="000000" w:themeColor="text1"/>
                <w:szCs w:val="24"/>
                <w:lang w:val="es-CO" w:eastAsia="es-CO"/>
              </w:rPr>
              <w:t xml:space="preserve"> GENERAL</w:t>
            </w:r>
          </w:p>
        </w:tc>
        <w:tc>
          <w:tcPr>
            <w:tcW w:w="1711" w:type="dxa"/>
            <w:shd w:val="clear" w:color="auto" w:fill="auto"/>
            <w:noWrap/>
            <w:vAlign w:val="bottom"/>
            <w:hideMark/>
          </w:tcPr>
          <w:p w14:paraId="77628FBE" w14:textId="77777777" w:rsidR="00143D30" w:rsidRPr="00EF22E0" w:rsidRDefault="00143D30" w:rsidP="00C610BB">
            <w:pPr>
              <w:jc w:val="center"/>
              <w:rPr>
                <w:rFonts w:ascii="Helvetica" w:hAnsi="Helvetica" w:cs="Helvetica"/>
                <w:color w:val="000000"/>
                <w:szCs w:val="24"/>
                <w:lang w:val="es-CO" w:eastAsia="es-CO"/>
              </w:rPr>
            </w:pPr>
            <w:r w:rsidRPr="00EF22E0">
              <w:rPr>
                <w:rFonts w:ascii="Helvetica" w:hAnsi="Helvetica" w:cs="Helvetica"/>
                <w:color w:val="000000"/>
                <w:szCs w:val="24"/>
                <w:lang w:val="es-CO" w:eastAsia="es-CO"/>
              </w:rPr>
              <w:t>100%</w:t>
            </w:r>
          </w:p>
        </w:tc>
      </w:tr>
    </w:tbl>
    <w:p w14:paraId="513188E7"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lang w:val="es-ES"/>
        </w:rPr>
      </w:pPr>
    </w:p>
    <w:p w14:paraId="745DF4CF"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lang w:val="es-ES"/>
        </w:rPr>
      </w:pPr>
      <w:r w:rsidRPr="00EF22E0">
        <w:rPr>
          <w:rStyle w:val="Textoennegrita"/>
          <w:rFonts w:ascii="Helvetica" w:hAnsi="Helvetica" w:cs="Helvetica"/>
          <w:b w:val="0"/>
          <w:sz w:val="24"/>
          <w:szCs w:val="24"/>
          <w:lang w:val="es-ES"/>
        </w:rPr>
        <w:t>En volumen, el principal distribuidor minorista reportado en SICOM para 2023 fue la EDS AE EL DORADO, que compró cerca de 165 millones de galones en el año, alcanzando una participación en este eslabón del 31,8% de los volúmenes comercializados. El segundo agente minorista es CI CHEVRON EXPORT S.A.S. - PLANTA ABASTECIMIENTO DE CHEVRON, quien abarca el 9,1% de los volúmenes, seguido por APTO JOSE MARIA CORDOVA, con 8% de galones comprados para 2023.</w:t>
      </w:r>
    </w:p>
    <w:p w14:paraId="5385A2CF"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lang w:val="es-ES"/>
        </w:rPr>
      </w:pPr>
    </w:p>
    <w:p w14:paraId="48C3B18C" w14:textId="1F51A356" w:rsidR="001212B1" w:rsidRPr="00EF22E0" w:rsidRDefault="001212B1" w:rsidP="001212B1">
      <w:pPr>
        <w:pStyle w:val="Descripcin"/>
        <w:spacing w:line="360" w:lineRule="auto"/>
        <w:rPr>
          <w:rFonts w:ascii="Helvetica" w:hAnsi="Helvetica" w:cs="Helvetica"/>
          <w:sz w:val="24"/>
          <w:szCs w:val="24"/>
        </w:rPr>
      </w:pPr>
      <w:r w:rsidRPr="00EF22E0">
        <w:rPr>
          <w:rFonts w:ascii="Helvetica" w:hAnsi="Helvetica" w:cs="Helvetica"/>
          <w:sz w:val="24"/>
          <w:szCs w:val="24"/>
        </w:rPr>
        <w:t xml:space="preserve">Tabla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Tabla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4</w:t>
      </w:r>
      <w:r w:rsidRPr="00EF22E0">
        <w:rPr>
          <w:rFonts w:ascii="Helvetica" w:hAnsi="Helvetica" w:cs="Helvetica"/>
          <w:sz w:val="24"/>
          <w:szCs w:val="24"/>
        </w:rPr>
        <w:fldChar w:fldCharType="end"/>
      </w:r>
      <w:r w:rsidRPr="00EF22E0">
        <w:rPr>
          <w:rFonts w:ascii="Helvetica" w:hAnsi="Helvetica" w:cs="Helvetica"/>
          <w:sz w:val="24"/>
          <w:szCs w:val="24"/>
        </w:rPr>
        <w:t>. Participación compras - distribuidores minoristas (2023)</w:t>
      </w:r>
    </w:p>
    <w:tbl>
      <w:tblPr>
        <w:tblStyle w:val="Tablaconcuadrcula"/>
        <w:tblW w:w="8852" w:type="dxa"/>
        <w:tblLook w:val="04A0" w:firstRow="1" w:lastRow="0" w:firstColumn="1" w:lastColumn="0" w:noHBand="0" w:noVBand="1"/>
      </w:tblPr>
      <w:tblGrid>
        <w:gridCol w:w="629"/>
        <w:gridCol w:w="6113"/>
        <w:gridCol w:w="2067"/>
        <w:gridCol w:w="43"/>
      </w:tblGrid>
      <w:tr w:rsidR="004268B8" w:rsidRPr="00EF22E0" w14:paraId="7D4B789D" w14:textId="77777777" w:rsidTr="004268B8">
        <w:trPr>
          <w:trHeight w:val="287"/>
          <w:tblHeader/>
        </w:trPr>
        <w:tc>
          <w:tcPr>
            <w:tcW w:w="629" w:type="dxa"/>
            <w:noWrap/>
            <w:hideMark/>
          </w:tcPr>
          <w:p w14:paraId="167F133D" w14:textId="77777777" w:rsidR="004268B8" w:rsidRPr="00EF22E0" w:rsidRDefault="004268B8" w:rsidP="00C610BB">
            <w:pPr>
              <w:pStyle w:val="Sinespaciado"/>
              <w:spacing w:line="360" w:lineRule="auto"/>
              <w:rPr>
                <w:rFonts w:ascii="Helvetica" w:hAnsi="Helvetica" w:cs="Helvetica"/>
                <w:sz w:val="24"/>
                <w:szCs w:val="24"/>
              </w:rPr>
            </w:pPr>
            <w:r w:rsidRPr="00EF22E0">
              <w:rPr>
                <w:rFonts w:ascii="Helvetica" w:hAnsi="Helvetica" w:cs="Helvetica"/>
                <w:sz w:val="24"/>
                <w:szCs w:val="24"/>
                <w:lang w:val="es-ES_tradnl"/>
              </w:rPr>
              <w:t>#</w:t>
            </w:r>
          </w:p>
        </w:tc>
        <w:tc>
          <w:tcPr>
            <w:tcW w:w="6113" w:type="dxa"/>
            <w:noWrap/>
            <w:hideMark/>
          </w:tcPr>
          <w:p w14:paraId="2411DAA9" w14:textId="77777777" w:rsidR="004268B8" w:rsidRPr="00EF22E0" w:rsidRDefault="004268B8" w:rsidP="00C610BB">
            <w:pPr>
              <w:pStyle w:val="Sinespaciado"/>
              <w:spacing w:line="360" w:lineRule="auto"/>
              <w:rPr>
                <w:rFonts w:ascii="Helvetica" w:hAnsi="Helvetica" w:cs="Helvetica"/>
                <w:sz w:val="24"/>
                <w:szCs w:val="24"/>
                <w:lang w:val="es-ES_tradnl"/>
              </w:rPr>
            </w:pPr>
            <w:r w:rsidRPr="00EF22E0">
              <w:rPr>
                <w:rFonts w:ascii="Helvetica" w:hAnsi="Helvetica" w:cs="Helvetica"/>
                <w:sz w:val="24"/>
                <w:szCs w:val="24"/>
                <w:lang w:val="es-ES_tradnl"/>
              </w:rPr>
              <w:t>DISTRIBUIDOR MINORISTA</w:t>
            </w:r>
          </w:p>
        </w:tc>
        <w:tc>
          <w:tcPr>
            <w:tcW w:w="2110" w:type="dxa"/>
            <w:gridSpan w:val="2"/>
            <w:noWrap/>
            <w:hideMark/>
          </w:tcPr>
          <w:p w14:paraId="46FD44F6" w14:textId="77777777" w:rsidR="004268B8" w:rsidRPr="00EF22E0" w:rsidRDefault="004268B8" w:rsidP="00C610BB">
            <w:pPr>
              <w:pStyle w:val="Sinespaciado"/>
              <w:spacing w:line="360" w:lineRule="auto"/>
              <w:rPr>
                <w:rFonts w:ascii="Helvetica" w:hAnsi="Helvetica" w:cs="Helvetica"/>
                <w:sz w:val="24"/>
                <w:szCs w:val="24"/>
                <w:lang w:val="es-ES_tradnl"/>
              </w:rPr>
            </w:pPr>
            <w:r w:rsidRPr="00EF22E0">
              <w:rPr>
                <w:rFonts w:ascii="Helvetica" w:hAnsi="Helvetica" w:cs="Helvetica"/>
                <w:sz w:val="24"/>
                <w:szCs w:val="24"/>
                <w:lang w:val="es-ES_tradnl"/>
              </w:rPr>
              <w:t>PARTICIPACIÓN %</w:t>
            </w:r>
          </w:p>
        </w:tc>
      </w:tr>
      <w:tr w:rsidR="004268B8" w:rsidRPr="00EF22E0" w14:paraId="34BC3987" w14:textId="77777777" w:rsidTr="004268B8">
        <w:trPr>
          <w:gridAfter w:val="1"/>
          <w:wAfter w:w="43" w:type="dxa"/>
          <w:trHeight w:val="287"/>
        </w:trPr>
        <w:tc>
          <w:tcPr>
            <w:tcW w:w="629" w:type="dxa"/>
            <w:noWrap/>
            <w:hideMark/>
          </w:tcPr>
          <w:p w14:paraId="535F2AC7"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w:t>
            </w:r>
          </w:p>
        </w:tc>
        <w:tc>
          <w:tcPr>
            <w:tcW w:w="6113" w:type="dxa"/>
            <w:noWrap/>
            <w:hideMark/>
          </w:tcPr>
          <w:p w14:paraId="04F8E4FF"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EDS AVIACION AE EL DORADO</w:t>
            </w:r>
          </w:p>
        </w:tc>
        <w:tc>
          <w:tcPr>
            <w:tcW w:w="2067" w:type="dxa"/>
            <w:noWrap/>
            <w:vAlign w:val="center"/>
            <w:hideMark/>
          </w:tcPr>
          <w:p w14:paraId="4CE628E8"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31,8%</w:t>
            </w:r>
          </w:p>
        </w:tc>
      </w:tr>
      <w:tr w:rsidR="004268B8" w:rsidRPr="00EF22E0" w14:paraId="6311B478" w14:textId="77777777" w:rsidTr="004268B8">
        <w:trPr>
          <w:gridAfter w:val="1"/>
          <w:wAfter w:w="43" w:type="dxa"/>
          <w:trHeight w:val="287"/>
        </w:trPr>
        <w:tc>
          <w:tcPr>
            <w:tcW w:w="629" w:type="dxa"/>
            <w:noWrap/>
            <w:hideMark/>
          </w:tcPr>
          <w:p w14:paraId="33F7C370"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2</w:t>
            </w:r>
          </w:p>
        </w:tc>
        <w:tc>
          <w:tcPr>
            <w:tcW w:w="6113" w:type="dxa"/>
            <w:noWrap/>
            <w:hideMark/>
          </w:tcPr>
          <w:p w14:paraId="43117FE5"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CI CHEVRON EXPORT S.A.S. - PLANTA ABASTECIMIENTO DE CHEVRON</w:t>
            </w:r>
          </w:p>
        </w:tc>
        <w:tc>
          <w:tcPr>
            <w:tcW w:w="2067" w:type="dxa"/>
            <w:noWrap/>
            <w:vAlign w:val="center"/>
            <w:hideMark/>
          </w:tcPr>
          <w:p w14:paraId="515FCB93"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9,1%</w:t>
            </w:r>
          </w:p>
        </w:tc>
      </w:tr>
      <w:tr w:rsidR="004268B8" w:rsidRPr="00EF22E0" w14:paraId="0A596726" w14:textId="77777777" w:rsidTr="004268B8">
        <w:trPr>
          <w:gridAfter w:val="1"/>
          <w:wAfter w:w="43" w:type="dxa"/>
          <w:trHeight w:val="287"/>
        </w:trPr>
        <w:tc>
          <w:tcPr>
            <w:tcW w:w="629" w:type="dxa"/>
            <w:noWrap/>
            <w:hideMark/>
          </w:tcPr>
          <w:p w14:paraId="39455947"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3</w:t>
            </w:r>
          </w:p>
        </w:tc>
        <w:tc>
          <w:tcPr>
            <w:tcW w:w="6113" w:type="dxa"/>
            <w:noWrap/>
            <w:hideMark/>
          </w:tcPr>
          <w:p w14:paraId="347ED209"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APTO JOSE MARIA CORDOVA</w:t>
            </w:r>
          </w:p>
        </w:tc>
        <w:tc>
          <w:tcPr>
            <w:tcW w:w="2067" w:type="dxa"/>
            <w:noWrap/>
            <w:vAlign w:val="center"/>
            <w:hideMark/>
          </w:tcPr>
          <w:p w14:paraId="0D9438F2"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8,0%</w:t>
            </w:r>
          </w:p>
        </w:tc>
      </w:tr>
      <w:tr w:rsidR="004268B8" w:rsidRPr="00EF22E0" w14:paraId="5B7BA967" w14:textId="77777777" w:rsidTr="004268B8">
        <w:trPr>
          <w:gridAfter w:val="1"/>
          <w:wAfter w:w="43" w:type="dxa"/>
          <w:trHeight w:val="287"/>
        </w:trPr>
        <w:tc>
          <w:tcPr>
            <w:tcW w:w="629" w:type="dxa"/>
            <w:noWrap/>
            <w:hideMark/>
          </w:tcPr>
          <w:p w14:paraId="22D6C660"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lastRenderedPageBreak/>
              <w:t>4</w:t>
            </w:r>
          </w:p>
        </w:tc>
        <w:tc>
          <w:tcPr>
            <w:tcW w:w="6113" w:type="dxa"/>
            <w:noWrap/>
            <w:hideMark/>
          </w:tcPr>
          <w:p w14:paraId="248504EF"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CHEVRON PETROLEUM COMPANY - SERVICIO DE AVIACION ALLIED COLOMBIA S.A.S PLANTA AVENIDA EL DORADO No 113 17 85</w:t>
            </w:r>
          </w:p>
        </w:tc>
        <w:tc>
          <w:tcPr>
            <w:tcW w:w="2067" w:type="dxa"/>
            <w:noWrap/>
            <w:vAlign w:val="center"/>
            <w:hideMark/>
          </w:tcPr>
          <w:p w14:paraId="0E43D629"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7,2%</w:t>
            </w:r>
          </w:p>
        </w:tc>
      </w:tr>
      <w:tr w:rsidR="004268B8" w:rsidRPr="00EF22E0" w14:paraId="7A3C5130" w14:textId="77777777" w:rsidTr="004268B8">
        <w:trPr>
          <w:gridAfter w:val="1"/>
          <w:wAfter w:w="43" w:type="dxa"/>
          <w:trHeight w:val="287"/>
        </w:trPr>
        <w:tc>
          <w:tcPr>
            <w:tcW w:w="629" w:type="dxa"/>
            <w:noWrap/>
            <w:hideMark/>
          </w:tcPr>
          <w:p w14:paraId="321EAB56"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5</w:t>
            </w:r>
          </w:p>
        </w:tc>
        <w:tc>
          <w:tcPr>
            <w:tcW w:w="6113" w:type="dxa"/>
            <w:noWrap/>
            <w:hideMark/>
          </w:tcPr>
          <w:p w14:paraId="5D9FD0B1"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WORLD FUEL SERVICES COMPANY LLC SUCURSAL COLOMBIA - SERVICIO DE AVIACION ALLIED COLOMBIA SAS</w:t>
            </w:r>
          </w:p>
        </w:tc>
        <w:tc>
          <w:tcPr>
            <w:tcW w:w="2067" w:type="dxa"/>
            <w:noWrap/>
            <w:vAlign w:val="center"/>
            <w:hideMark/>
          </w:tcPr>
          <w:p w14:paraId="00AFFAFC"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6,5%</w:t>
            </w:r>
          </w:p>
        </w:tc>
      </w:tr>
      <w:tr w:rsidR="004268B8" w:rsidRPr="00EF22E0" w14:paraId="35E56DAF" w14:textId="77777777" w:rsidTr="004268B8">
        <w:trPr>
          <w:gridAfter w:val="1"/>
          <w:wAfter w:w="43" w:type="dxa"/>
          <w:trHeight w:val="287"/>
        </w:trPr>
        <w:tc>
          <w:tcPr>
            <w:tcW w:w="629" w:type="dxa"/>
            <w:noWrap/>
            <w:hideMark/>
          </w:tcPr>
          <w:p w14:paraId="77038EC1"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6</w:t>
            </w:r>
          </w:p>
        </w:tc>
        <w:tc>
          <w:tcPr>
            <w:tcW w:w="6113" w:type="dxa"/>
            <w:noWrap/>
            <w:hideMark/>
          </w:tcPr>
          <w:p w14:paraId="5E887248"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ORGANIZACION TERPEL S.A. - AEROPUERTO RAFAEL NUÑEZ ENTRADA I</w:t>
            </w:r>
          </w:p>
        </w:tc>
        <w:tc>
          <w:tcPr>
            <w:tcW w:w="2067" w:type="dxa"/>
            <w:noWrap/>
            <w:vAlign w:val="center"/>
            <w:hideMark/>
          </w:tcPr>
          <w:p w14:paraId="77CE06BD"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6,4%</w:t>
            </w:r>
          </w:p>
        </w:tc>
      </w:tr>
      <w:tr w:rsidR="004268B8" w:rsidRPr="00EF22E0" w14:paraId="210A7CED" w14:textId="77777777" w:rsidTr="004268B8">
        <w:trPr>
          <w:gridAfter w:val="1"/>
          <w:wAfter w:w="43" w:type="dxa"/>
          <w:trHeight w:val="287"/>
        </w:trPr>
        <w:tc>
          <w:tcPr>
            <w:tcW w:w="629" w:type="dxa"/>
            <w:noWrap/>
            <w:hideMark/>
          </w:tcPr>
          <w:p w14:paraId="3DAD9124"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7</w:t>
            </w:r>
          </w:p>
        </w:tc>
        <w:tc>
          <w:tcPr>
            <w:tcW w:w="6113" w:type="dxa"/>
            <w:noWrap/>
            <w:hideMark/>
          </w:tcPr>
          <w:p w14:paraId="46A5DF41"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ORGANIZACION TERPEL S.A. - SERVICIO DE AVIACION ALLIED COLOMBIA S.A.S PLANTA AVENIDA EL DORADO No 113 17 85 ENTRADA 5</w:t>
            </w:r>
          </w:p>
        </w:tc>
        <w:tc>
          <w:tcPr>
            <w:tcW w:w="2067" w:type="dxa"/>
            <w:noWrap/>
            <w:vAlign w:val="center"/>
            <w:hideMark/>
          </w:tcPr>
          <w:p w14:paraId="1C205FDE"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3,9%</w:t>
            </w:r>
          </w:p>
        </w:tc>
      </w:tr>
      <w:tr w:rsidR="004268B8" w:rsidRPr="00EF22E0" w14:paraId="3FD1B776" w14:textId="77777777" w:rsidTr="004268B8">
        <w:trPr>
          <w:gridAfter w:val="1"/>
          <w:wAfter w:w="43" w:type="dxa"/>
          <w:trHeight w:val="287"/>
        </w:trPr>
        <w:tc>
          <w:tcPr>
            <w:tcW w:w="629" w:type="dxa"/>
            <w:noWrap/>
            <w:hideMark/>
          </w:tcPr>
          <w:p w14:paraId="2A674932"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8</w:t>
            </w:r>
          </w:p>
        </w:tc>
        <w:tc>
          <w:tcPr>
            <w:tcW w:w="6113" w:type="dxa"/>
            <w:noWrap/>
            <w:hideMark/>
          </w:tcPr>
          <w:p w14:paraId="576FC660"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EDS AVIACION AE ALFONSO BONILLA ARAGON</w:t>
            </w:r>
          </w:p>
        </w:tc>
        <w:tc>
          <w:tcPr>
            <w:tcW w:w="2067" w:type="dxa"/>
            <w:noWrap/>
            <w:vAlign w:val="center"/>
            <w:hideMark/>
          </w:tcPr>
          <w:p w14:paraId="6480E4AD"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3,5%</w:t>
            </w:r>
          </w:p>
        </w:tc>
      </w:tr>
      <w:tr w:rsidR="004268B8" w:rsidRPr="00EF22E0" w14:paraId="3B4F0FC7" w14:textId="77777777" w:rsidTr="004268B8">
        <w:trPr>
          <w:gridAfter w:val="1"/>
          <w:wAfter w:w="43" w:type="dxa"/>
          <w:trHeight w:val="287"/>
        </w:trPr>
        <w:tc>
          <w:tcPr>
            <w:tcW w:w="629" w:type="dxa"/>
            <w:noWrap/>
            <w:hideMark/>
          </w:tcPr>
          <w:p w14:paraId="6B77F1F2"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9</w:t>
            </w:r>
          </w:p>
        </w:tc>
        <w:tc>
          <w:tcPr>
            <w:tcW w:w="6113" w:type="dxa"/>
            <w:noWrap/>
            <w:hideMark/>
          </w:tcPr>
          <w:p w14:paraId="7389C713" w14:textId="77777777" w:rsidR="004268B8" w:rsidRPr="00EF22E0" w:rsidRDefault="004268B8" w:rsidP="00C610BB">
            <w:pPr>
              <w:pStyle w:val="Sinespaciado"/>
              <w:spacing w:line="360" w:lineRule="auto"/>
              <w:rPr>
                <w:rFonts w:ascii="Helvetica" w:hAnsi="Helvetica" w:cs="Helvetica"/>
                <w:b w:val="0"/>
                <w:sz w:val="24"/>
                <w:szCs w:val="24"/>
                <w:lang w:val="it-IT"/>
              </w:rPr>
            </w:pPr>
            <w:r w:rsidRPr="00EF22E0">
              <w:rPr>
                <w:rFonts w:ascii="Helvetica" w:hAnsi="Helvetica" w:cs="Helvetica"/>
                <w:b w:val="0"/>
                <w:sz w:val="24"/>
                <w:szCs w:val="24"/>
                <w:lang w:val="it-IT"/>
              </w:rPr>
              <w:t xml:space="preserve">TX-AE JOSE MARIA CORDOVA </w:t>
            </w:r>
          </w:p>
        </w:tc>
        <w:tc>
          <w:tcPr>
            <w:tcW w:w="2067" w:type="dxa"/>
            <w:noWrap/>
            <w:vAlign w:val="center"/>
            <w:hideMark/>
          </w:tcPr>
          <w:p w14:paraId="2EF65607"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2,9%</w:t>
            </w:r>
          </w:p>
        </w:tc>
      </w:tr>
      <w:tr w:rsidR="004268B8" w:rsidRPr="00EF22E0" w14:paraId="3B1D9C55" w14:textId="77777777" w:rsidTr="004268B8">
        <w:trPr>
          <w:gridAfter w:val="1"/>
          <w:wAfter w:w="43" w:type="dxa"/>
          <w:trHeight w:val="287"/>
        </w:trPr>
        <w:tc>
          <w:tcPr>
            <w:tcW w:w="629" w:type="dxa"/>
            <w:noWrap/>
            <w:hideMark/>
          </w:tcPr>
          <w:p w14:paraId="631D18D6"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10</w:t>
            </w:r>
          </w:p>
        </w:tc>
        <w:tc>
          <w:tcPr>
            <w:tcW w:w="6113" w:type="dxa"/>
            <w:noWrap/>
            <w:hideMark/>
          </w:tcPr>
          <w:p w14:paraId="6E4EB7E2"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ORGANIZACION TERPEL S.A. - AEROPUERTO ERNESTO CORTISSOZ TERPEL</w:t>
            </w:r>
          </w:p>
        </w:tc>
        <w:tc>
          <w:tcPr>
            <w:tcW w:w="2067" w:type="dxa"/>
            <w:noWrap/>
            <w:vAlign w:val="center"/>
            <w:hideMark/>
          </w:tcPr>
          <w:p w14:paraId="320D164F"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2,9%</w:t>
            </w:r>
          </w:p>
        </w:tc>
      </w:tr>
      <w:tr w:rsidR="004268B8" w:rsidRPr="00EF22E0" w14:paraId="334B3448" w14:textId="77777777" w:rsidTr="004268B8">
        <w:trPr>
          <w:gridAfter w:val="1"/>
          <w:wAfter w:w="43" w:type="dxa"/>
          <w:trHeight w:val="287"/>
        </w:trPr>
        <w:tc>
          <w:tcPr>
            <w:tcW w:w="629" w:type="dxa"/>
            <w:noWrap/>
            <w:hideMark/>
          </w:tcPr>
          <w:p w14:paraId="7A03353A"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11</w:t>
            </w:r>
          </w:p>
        </w:tc>
        <w:tc>
          <w:tcPr>
            <w:tcW w:w="6113" w:type="dxa"/>
            <w:noWrap/>
            <w:hideMark/>
          </w:tcPr>
          <w:p w14:paraId="681DF5CB"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 xml:space="preserve">ESTACION DE SERVICIO DE AVIACIÓN PRIMAX COLOMBIA </w:t>
            </w:r>
          </w:p>
        </w:tc>
        <w:tc>
          <w:tcPr>
            <w:tcW w:w="2067" w:type="dxa"/>
            <w:noWrap/>
            <w:vAlign w:val="center"/>
            <w:hideMark/>
          </w:tcPr>
          <w:p w14:paraId="1062A471"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2,8%</w:t>
            </w:r>
          </w:p>
        </w:tc>
      </w:tr>
      <w:tr w:rsidR="004268B8" w:rsidRPr="00EF22E0" w14:paraId="70CEBCDD" w14:textId="77777777" w:rsidTr="004268B8">
        <w:trPr>
          <w:gridAfter w:val="1"/>
          <w:wAfter w:w="43" w:type="dxa"/>
          <w:trHeight w:val="287"/>
        </w:trPr>
        <w:tc>
          <w:tcPr>
            <w:tcW w:w="629" w:type="dxa"/>
            <w:noWrap/>
            <w:hideMark/>
          </w:tcPr>
          <w:p w14:paraId="67216E98"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12</w:t>
            </w:r>
          </w:p>
        </w:tc>
        <w:tc>
          <w:tcPr>
            <w:tcW w:w="6113" w:type="dxa"/>
            <w:noWrap/>
            <w:hideMark/>
          </w:tcPr>
          <w:p w14:paraId="089C9F27"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ORGANIZACION TERPEL SA - AEROPUERTO ALFONSO BONILLA ARAGON</w:t>
            </w:r>
          </w:p>
        </w:tc>
        <w:tc>
          <w:tcPr>
            <w:tcW w:w="2067" w:type="dxa"/>
            <w:noWrap/>
            <w:vAlign w:val="center"/>
            <w:hideMark/>
          </w:tcPr>
          <w:p w14:paraId="3932E6D8"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1,8%</w:t>
            </w:r>
          </w:p>
        </w:tc>
      </w:tr>
      <w:tr w:rsidR="004268B8" w:rsidRPr="00EF22E0" w14:paraId="5CC8A1EE" w14:textId="77777777" w:rsidTr="004268B8">
        <w:trPr>
          <w:gridAfter w:val="1"/>
          <w:wAfter w:w="43" w:type="dxa"/>
          <w:trHeight w:val="287"/>
        </w:trPr>
        <w:tc>
          <w:tcPr>
            <w:tcW w:w="629" w:type="dxa"/>
            <w:noWrap/>
            <w:hideMark/>
          </w:tcPr>
          <w:p w14:paraId="463066AB"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13</w:t>
            </w:r>
          </w:p>
        </w:tc>
        <w:tc>
          <w:tcPr>
            <w:tcW w:w="6113" w:type="dxa"/>
            <w:noWrap/>
            <w:hideMark/>
          </w:tcPr>
          <w:p w14:paraId="49DF75AD"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ORGANIZACION TERPEL S.A. - AEROPUERTO SIMON BOLIVAR</w:t>
            </w:r>
          </w:p>
        </w:tc>
        <w:tc>
          <w:tcPr>
            <w:tcW w:w="2067" w:type="dxa"/>
            <w:noWrap/>
            <w:vAlign w:val="center"/>
            <w:hideMark/>
          </w:tcPr>
          <w:p w14:paraId="0123FDB4"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1,8%</w:t>
            </w:r>
          </w:p>
        </w:tc>
      </w:tr>
      <w:tr w:rsidR="004268B8" w:rsidRPr="00EF22E0" w14:paraId="4CEDBE7D" w14:textId="77777777" w:rsidTr="004268B8">
        <w:trPr>
          <w:gridAfter w:val="1"/>
          <w:wAfter w:w="43" w:type="dxa"/>
          <w:trHeight w:val="287"/>
        </w:trPr>
        <w:tc>
          <w:tcPr>
            <w:tcW w:w="629" w:type="dxa"/>
            <w:noWrap/>
            <w:hideMark/>
          </w:tcPr>
          <w:p w14:paraId="17F90281"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14</w:t>
            </w:r>
          </w:p>
        </w:tc>
        <w:tc>
          <w:tcPr>
            <w:tcW w:w="6113" w:type="dxa"/>
            <w:noWrap/>
            <w:hideMark/>
          </w:tcPr>
          <w:p w14:paraId="46E1C20A"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COMBUSTIBLES Y TRANSPORTES HERNANDEZ SA</w:t>
            </w:r>
          </w:p>
        </w:tc>
        <w:tc>
          <w:tcPr>
            <w:tcW w:w="2067" w:type="dxa"/>
            <w:noWrap/>
            <w:vAlign w:val="center"/>
            <w:hideMark/>
          </w:tcPr>
          <w:p w14:paraId="225FB69F"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1,2%</w:t>
            </w:r>
          </w:p>
        </w:tc>
      </w:tr>
      <w:tr w:rsidR="004268B8" w:rsidRPr="00EF22E0" w14:paraId="35CACDF3" w14:textId="77777777" w:rsidTr="004268B8">
        <w:trPr>
          <w:gridAfter w:val="1"/>
          <w:wAfter w:w="43" w:type="dxa"/>
          <w:trHeight w:val="287"/>
        </w:trPr>
        <w:tc>
          <w:tcPr>
            <w:tcW w:w="629" w:type="dxa"/>
            <w:noWrap/>
            <w:hideMark/>
          </w:tcPr>
          <w:p w14:paraId="57B19B40"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15</w:t>
            </w:r>
          </w:p>
        </w:tc>
        <w:tc>
          <w:tcPr>
            <w:tcW w:w="6113" w:type="dxa"/>
            <w:noWrap/>
            <w:hideMark/>
          </w:tcPr>
          <w:p w14:paraId="539DB7EC"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CHEVRON PETROLEUM COMPANY - AEROPUERTO GUSTAVO ROJAS PINILLA</w:t>
            </w:r>
          </w:p>
        </w:tc>
        <w:tc>
          <w:tcPr>
            <w:tcW w:w="2067" w:type="dxa"/>
            <w:noWrap/>
            <w:vAlign w:val="center"/>
            <w:hideMark/>
          </w:tcPr>
          <w:p w14:paraId="43AF43DA" w14:textId="77777777" w:rsidR="004268B8" w:rsidRPr="00EF22E0" w:rsidRDefault="004268B8" w:rsidP="00C610BB">
            <w:pPr>
              <w:pStyle w:val="Sinespaciado"/>
              <w:spacing w:line="360" w:lineRule="auto"/>
              <w:rPr>
                <w:rFonts w:ascii="Helvetica" w:hAnsi="Helvetica" w:cs="Helvetica"/>
                <w:b w:val="0"/>
                <w:sz w:val="24"/>
                <w:szCs w:val="24"/>
                <w:lang w:val="es-ES_tradnl"/>
              </w:rPr>
            </w:pPr>
            <w:r w:rsidRPr="00EF22E0">
              <w:rPr>
                <w:rFonts w:ascii="Helvetica" w:hAnsi="Helvetica" w:cs="Helvetica"/>
                <w:b w:val="0"/>
                <w:sz w:val="24"/>
                <w:szCs w:val="24"/>
                <w:lang w:val="es-ES_tradnl"/>
              </w:rPr>
              <w:t>1,0%</w:t>
            </w:r>
          </w:p>
        </w:tc>
      </w:tr>
      <w:tr w:rsidR="004268B8" w:rsidRPr="00EF22E0" w14:paraId="4FC522ED" w14:textId="77777777" w:rsidTr="004268B8">
        <w:trPr>
          <w:gridAfter w:val="1"/>
          <w:wAfter w:w="43" w:type="dxa"/>
          <w:trHeight w:val="287"/>
        </w:trPr>
        <w:tc>
          <w:tcPr>
            <w:tcW w:w="629" w:type="dxa"/>
            <w:noWrap/>
            <w:hideMark/>
          </w:tcPr>
          <w:p w14:paraId="404BAF41" w14:textId="77777777" w:rsidR="004268B8" w:rsidRPr="00EF22E0" w:rsidRDefault="004268B8" w:rsidP="00C610BB">
            <w:pPr>
              <w:pStyle w:val="Sinespaciado"/>
              <w:spacing w:line="360" w:lineRule="auto"/>
              <w:rPr>
                <w:rFonts w:ascii="Helvetica" w:hAnsi="Helvetica" w:cs="Helvetica"/>
                <w:sz w:val="24"/>
                <w:szCs w:val="24"/>
                <w:lang w:val="es-ES_tradnl"/>
              </w:rPr>
            </w:pPr>
            <w:r w:rsidRPr="00EF22E0">
              <w:rPr>
                <w:rFonts w:ascii="Helvetica" w:hAnsi="Helvetica" w:cs="Helvetica"/>
                <w:sz w:val="24"/>
                <w:szCs w:val="24"/>
                <w:lang w:val="es-ES_tradnl"/>
              </w:rPr>
              <w:t>…</w:t>
            </w:r>
          </w:p>
        </w:tc>
        <w:tc>
          <w:tcPr>
            <w:tcW w:w="6113" w:type="dxa"/>
            <w:noWrap/>
            <w:hideMark/>
          </w:tcPr>
          <w:p w14:paraId="328F317F" w14:textId="77777777" w:rsidR="004268B8" w:rsidRPr="00EF22E0" w:rsidRDefault="004268B8" w:rsidP="00C610BB">
            <w:pPr>
              <w:pStyle w:val="Sinespaciado"/>
              <w:spacing w:line="360" w:lineRule="auto"/>
              <w:jc w:val="left"/>
              <w:rPr>
                <w:rFonts w:ascii="Helvetica" w:hAnsi="Helvetica" w:cs="Helvetica"/>
                <w:sz w:val="24"/>
                <w:szCs w:val="24"/>
                <w:lang w:val="es-ES_tradnl"/>
              </w:rPr>
            </w:pPr>
            <w:r w:rsidRPr="00EF22E0">
              <w:rPr>
                <w:rFonts w:ascii="Helvetica" w:hAnsi="Helvetica" w:cs="Helvetica"/>
                <w:sz w:val="24"/>
                <w:szCs w:val="24"/>
                <w:lang w:val="es-ES_tradnl"/>
              </w:rPr>
              <w:t>…</w:t>
            </w:r>
          </w:p>
        </w:tc>
        <w:tc>
          <w:tcPr>
            <w:tcW w:w="2067" w:type="dxa"/>
            <w:noWrap/>
            <w:hideMark/>
          </w:tcPr>
          <w:p w14:paraId="28FB67AD" w14:textId="77777777" w:rsidR="004268B8" w:rsidRPr="00EF22E0" w:rsidRDefault="004268B8" w:rsidP="00C610BB">
            <w:pPr>
              <w:pStyle w:val="Sinespaciado"/>
              <w:spacing w:line="360" w:lineRule="auto"/>
              <w:jc w:val="left"/>
              <w:rPr>
                <w:rFonts w:ascii="Helvetica" w:hAnsi="Helvetica" w:cs="Helvetica"/>
                <w:b w:val="0"/>
                <w:sz w:val="24"/>
                <w:szCs w:val="24"/>
                <w:lang w:val="es-ES_tradnl"/>
              </w:rPr>
            </w:pPr>
            <w:r w:rsidRPr="00EF22E0">
              <w:rPr>
                <w:rFonts w:ascii="Helvetica" w:hAnsi="Helvetica" w:cs="Helvetica"/>
                <w:b w:val="0"/>
                <w:sz w:val="24"/>
                <w:szCs w:val="24"/>
                <w:lang w:val="es-ES_tradnl"/>
              </w:rPr>
              <w:t>…</w:t>
            </w:r>
          </w:p>
        </w:tc>
      </w:tr>
    </w:tbl>
    <w:p w14:paraId="58D9B816" w14:textId="77777777" w:rsidR="001212B1" w:rsidRPr="00EF22E0" w:rsidRDefault="001212B1" w:rsidP="001212B1">
      <w:pPr>
        <w:pStyle w:val="Sinespaciado"/>
        <w:spacing w:line="360" w:lineRule="auto"/>
        <w:jc w:val="left"/>
        <w:rPr>
          <w:rFonts w:ascii="Helvetica" w:hAnsi="Helvetica" w:cs="Helvetica"/>
          <w:b w:val="0"/>
          <w:sz w:val="24"/>
          <w:szCs w:val="24"/>
        </w:rPr>
      </w:pPr>
    </w:p>
    <w:p w14:paraId="3378039A" w14:textId="77777777" w:rsidR="001212B1" w:rsidRPr="00EF22E0" w:rsidRDefault="001212B1" w:rsidP="001212B1">
      <w:pPr>
        <w:pStyle w:val="Ttulo3"/>
        <w:numPr>
          <w:ilvl w:val="2"/>
          <w:numId w:val="1"/>
        </w:numPr>
        <w:rPr>
          <w:rFonts w:ascii="Helvetica" w:hAnsi="Helvetica" w:cs="Helvetica"/>
          <w:szCs w:val="24"/>
        </w:rPr>
      </w:pPr>
      <w:r w:rsidRPr="00EF22E0">
        <w:rPr>
          <w:rFonts w:ascii="Helvetica" w:hAnsi="Helvetica" w:cs="Helvetica"/>
          <w:szCs w:val="24"/>
        </w:rPr>
        <w:t>Compras de la distribución mayorista y minorista de Jet A1</w:t>
      </w:r>
    </w:p>
    <w:p w14:paraId="1E2EFC18"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Las cifras de SICOM indican que los distribuidores minoristas (EDS de aviación y comercializadores industriales) manejaron cerca de un total de 479 millones de galones de Jet A1 en 2023.</w:t>
      </w:r>
    </w:p>
    <w:p w14:paraId="0B89F3B2" w14:textId="77777777" w:rsidR="001212B1" w:rsidRDefault="001212B1" w:rsidP="001212B1">
      <w:pPr>
        <w:spacing w:line="360" w:lineRule="auto"/>
        <w:jc w:val="left"/>
        <w:rPr>
          <w:rFonts w:ascii="Helvetica" w:hAnsi="Helvetica" w:cs="Helvetica"/>
          <w:szCs w:val="24"/>
          <w:lang w:val="es-CO"/>
        </w:rPr>
      </w:pPr>
    </w:p>
    <w:p w14:paraId="4656B860" w14:textId="77777777" w:rsidR="001212B1" w:rsidRPr="00EF22E0" w:rsidRDefault="001212B1" w:rsidP="001212B1">
      <w:pPr>
        <w:spacing w:line="360" w:lineRule="auto"/>
        <w:jc w:val="left"/>
        <w:rPr>
          <w:rFonts w:ascii="Helvetica" w:hAnsi="Helvetica" w:cs="Helvetica"/>
          <w:szCs w:val="24"/>
          <w:lang w:val="es-CO"/>
        </w:rPr>
      </w:pPr>
    </w:p>
    <w:p w14:paraId="07EC0402" w14:textId="1D9F09EE" w:rsidR="001212B1" w:rsidRPr="00EF22E0" w:rsidRDefault="001212B1" w:rsidP="001212B1">
      <w:pPr>
        <w:pStyle w:val="Descripcin"/>
        <w:spacing w:line="360" w:lineRule="auto"/>
        <w:rPr>
          <w:rFonts w:ascii="Helvetica" w:hAnsi="Helvetica" w:cs="Helvetica"/>
          <w:sz w:val="24"/>
          <w:szCs w:val="24"/>
        </w:rPr>
      </w:pPr>
      <w:bookmarkStart w:id="34" w:name="_Toc167896851"/>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11</w:t>
      </w:r>
      <w:r w:rsidRPr="00EF22E0">
        <w:rPr>
          <w:rFonts w:ascii="Helvetica" w:hAnsi="Helvetica" w:cs="Helvetica"/>
          <w:sz w:val="24"/>
          <w:szCs w:val="24"/>
        </w:rPr>
        <w:fldChar w:fldCharType="end"/>
      </w:r>
      <w:r w:rsidRPr="00EF22E0">
        <w:rPr>
          <w:rFonts w:ascii="Helvetica" w:hAnsi="Helvetica" w:cs="Helvetica"/>
          <w:sz w:val="24"/>
          <w:szCs w:val="24"/>
        </w:rPr>
        <w:t>. Volumen Jet A1 (2013-2023) Millones de galones</w:t>
      </w:r>
      <w:bookmarkEnd w:id="34"/>
    </w:p>
    <w:p w14:paraId="04627EFF" w14:textId="77777777" w:rsidR="001212B1" w:rsidRPr="00EF22E0" w:rsidRDefault="001212B1" w:rsidP="001212B1">
      <w:pPr>
        <w:jc w:val="left"/>
        <w:rPr>
          <w:rFonts w:ascii="Helvetica" w:hAnsi="Helvetica" w:cs="Helvetica"/>
          <w:szCs w:val="24"/>
        </w:rPr>
      </w:pPr>
      <w:r w:rsidRPr="00EF22E0">
        <w:rPr>
          <w:rFonts w:ascii="Helvetica" w:hAnsi="Helvetica" w:cs="Helvetica"/>
          <w:noProof/>
          <w:szCs w:val="24"/>
        </w:rPr>
        <w:drawing>
          <wp:inline distT="0" distB="0" distL="0" distR="0" wp14:anchorId="5CF2FA98" wp14:editId="708480D8">
            <wp:extent cx="5766727" cy="3423994"/>
            <wp:effectExtent l="0" t="0" r="5715" b="5080"/>
            <wp:docPr id="3651429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AEADF0"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rPr>
      </w:pPr>
      <w:r w:rsidRPr="00EF22E0">
        <w:rPr>
          <w:rStyle w:val="Textoennegrita"/>
          <w:rFonts w:ascii="Helvetica" w:hAnsi="Helvetica" w:cs="Helvetica"/>
          <w:b w:val="0"/>
          <w:sz w:val="24"/>
          <w:szCs w:val="24"/>
        </w:rPr>
        <w:t>Fuente: SICOM y cálculos CREG (2024)</w:t>
      </w:r>
    </w:p>
    <w:p w14:paraId="3553BDF5" w14:textId="77777777" w:rsidR="001212B1" w:rsidRPr="00EF22E0" w:rsidRDefault="001212B1" w:rsidP="001212B1">
      <w:pPr>
        <w:pStyle w:val="Sinespaciado"/>
        <w:spacing w:line="360" w:lineRule="auto"/>
        <w:jc w:val="left"/>
        <w:rPr>
          <w:rFonts w:ascii="Helvetica" w:hAnsi="Helvetica" w:cs="Helvetica"/>
          <w:sz w:val="24"/>
          <w:szCs w:val="24"/>
        </w:rPr>
      </w:pPr>
    </w:p>
    <w:p w14:paraId="68AB3DD0" w14:textId="1E62018D" w:rsidR="001212B1" w:rsidRPr="00EF22E0" w:rsidRDefault="001212B1" w:rsidP="001212B1">
      <w:pPr>
        <w:pStyle w:val="Descripcin"/>
        <w:spacing w:line="360" w:lineRule="auto"/>
        <w:rPr>
          <w:rFonts w:ascii="Helvetica" w:hAnsi="Helvetica" w:cs="Helvetica"/>
          <w:sz w:val="24"/>
          <w:szCs w:val="24"/>
        </w:rPr>
      </w:pPr>
      <w:bookmarkStart w:id="35" w:name="_Ref146727001"/>
      <w:bookmarkStart w:id="36" w:name="_Toc167896852"/>
      <w:r w:rsidRPr="00EF22E0">
        <w:rPr>
          <w:rFonts w:ascii="Helvetica" w:hAnsi="Helvetica" w:cs="Helvetica"/>
          <w:sz w:val="24"/>
          <w:szCs w:val="24"/>
        </w:rPr>
        <w:lastRenderedPageBreak/>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12</w:t>
      </w:r>
      <w:r w:rsidRPr="00EF22E0">
        <w:rPr>
          <w:rFonts w:ascii="Helvetica" w:hAnsi="Helvetica" w:cs="Helvetica"/>
          <w:sz w:val="24"/>
          <w:szCs w:val="24"/>
        </w:rPr>
        <w:fldChar w:fldCharType="end"/>
      </w:r>
      <w:bookmarkEnd w:id="35"/>
      <w:r w:rsidRPr="00EF22E0">
        <w:rPr>
          <w:rFonts w:ascii="Helvetica" w:hAnsi="Helvetica" w:cs="Helvetica"/>
          <w:sz w:val="24"/>
          <w:szCs w:val="24"/>
        </w:rPr>
        <w:t>. Volumen de compras realizadas por los minoristas de Jet A1 (2009-2022) por proveedor</w:t>
      </w:r>
      <w:bookmarkEnd w:id="36"/>
    </w:p>
    <w:p w14:paraId="0C6F3E4A" w14:textId="77777777" w:rsidR="001212B1" w:rsidRPr="00EF22E0" w:rsidRDefault="001212B1" w:rsidP="001212B1">
      <w:pPr>
        <w:pStyle w:val="Sinespaciado"/>
        <w:spacing w:line="360" w:lineRule="auto"/>
        <w:jc w:val="left"/>
        <w:rPr>
          <w:rFonts w:ascii="Helvetica" w:hAnsi="Helvetica" w:cs="Helvetica"/>
          <w:b w:val="0"/>
          <w:sz w:val="24"/>
          <w:szCs w:val="24"/>
        </w:rPr>
      </w:pPr>
      <w:r w:rsidRPr="00EF22E0">
        <w:rPr>
          <w:rFonts w:ascii="Helvetica" w:hAnsi="Helvetica" w:cs="Helvetica"/>
          <w:b w:val="0"/>
          <w:noProof/>
          <w:sz w:val="24"/>
          <w:szCs w:val="24"/>
        </w:rPr>
        <w:drawing>
          <wp:inline distT="0" distB="0" distL="0" distR="0" wp14:anchorId="264FC054" wp14:editId="5C9212AE">
            <wp:extent cx="5916725" cy="2449524"/>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161" cy="2461297"/>
                    </a:xfrm>
                    <a:prstGeom prst="rect">
                      <a:avLst/>
                    </a:prstGeom>
                    <a:noFill/>
                  </pic:spPr>
                </pic:pic>
              </a:graphicData>
            </a:graphic>
          </wp:inline>
        </w:drawing>
      </w:r>
    </w:p>
    <w:p w14:paraId="22B55BAD"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rPr>
      </w:pPr>
      <w:r w:rsidRPr="00EF22E0">
        <w:rPr>
          <w:rStyle w:val="Textoennegrita"/>
          <w:rFonts w:ascii="Helvetica" w:hAnsi="Helvetica" w:cs="Helvetica"/>
          <w:b w:val="0"/>
          <w:sz w:val="24"/>
          <w:szCs w:val="24"/>
        </w:rPr>
        <w:t>Fuente: SICOM y cálculos CREG (2024)</w:t>
      </w:r>
    </w:p>
    <w:p w14:paraId="228AB791" w14:textId="77777777" w:rsidR="001212B1" w:rsidRPr="00EF22E0" w:rsidRDefault="001212B1" w:rsidP="001212B1">
      <w:pPr>
        <w:jc w:val="left"/>
        <w:rPr>
          <w:rFonts w:ascii="Helvetica" w:hAnsi="Helvetica" w:cs="Helvetica"/>
          <w:szCs w:val="24"/>
          <w:lang w:val="es-CO"/>
        </w:rPr>
      </w:pPr>
    </w:p>
    <w:p w14:paraId="3EB10699" w14:textId="18791943"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 xml:space="preserve">Como se muestra en la </w:t>
      </w:r>
      <w:r w:rsidRPr="00EF22E0">
        <w:rPr>
          <w:rFonts w:ascii="Helvetica" w:hAnsi="Helvetica" w:cs="Helvetica"/>
          <w:szCs w:val="24"/>
          <w:lang w:val="es-CO"/>
        </w:rPr>
        <w:fldChar w:fldCharType="begin"/>
      </w:r>
      <w:r w:rsidRPr="00EF22E0">
        <w:rPr>
          <w:rFonts w:ascii="Helvetica" w:hAnsi="Helvetica" w:cs="Helvetica"/>
          <w:szCs w:val="24"/>
          <w:lang w:val="es-CO"/>
        </w:rPr>
        <w:instrText xml:space="preserve"> REF _Ref146727001 \h  \* MERGEFORMAT </w:instrText>
      </w:r>
      <w:r w:rsidRPr="00EF22E0">
        <w:rPr>
          <w:rFonts w:ascii="Helvetica" w:hAnsi="Helvetica" w:cs="Helvetica"/>
          <w:szCs w:val="24"/>
          <w:lang w:val="es-CO"/>
        </w:rPr>
      </w:r>
      <w:r w:rsidRPr="00EF22E0">
        <w:rPr>
          <w:rFonts w:ascii="Helvetica" w:hAnsi="Helvetica" w:cs="Helvetica"/>
          <w:szCs w:val="24"/>
          <w:lang w:val="es-CO"/>
        </w:rPr>
        <w:fldChar w:fldCharType="separate"/>
      </w:r>
      <w:r w:rsidR="00874DC3" w:rsidRPr="00EF22E0">
        <w:rPr>
          <w:rFonts w:ascii="Helvetica" w:hAnsi="Helvetica" w:cs="Helvetica"/>
          <w:szCs w:val="24"/>
        </w:rPr>
        <w:t xml:space="preserve">Figura </w:t>
      </w:r>
      <w:r w:rsidR="00874DC3">
        <w:rPr>
          <w:rFonts w:ascii="Helvetica" w:hAnsi="Helvetica" w:cs="Helvetica"/>
          <w:szCs w:val="24"/>
        </w:rPr>
        <w:t>12</w:t>
      </w:r>
      <w:r w:rsidRPr="00EF22E0">
        <w:rPr>
          <w:rFonts w:ascii="Helvetica" w:hAnsi="Helvetica" w:cs="Helvetica"/>
          <w:szCs w:val="24"/>
          <w:lang w:val="es-CO"/>
        </w:rPr>
        <w:fldChar w:fldCharType="end"/>
      </w:r>
      <w:r w:rsidRPr="00EF22E0">
        <w:rPr>
          <w:rFonts w:ascii="Helvetica" w:hAnsi="Helvetica" w:cs="Helvetica"/>
          <w:szCs w:val="24"/>
          <w:lang w:val="es-CO"/>
        </w:rPr>
        <w:t xml:space="preserve"> y en la </w:t>
      </w:r>
      <w:r w:rsidRPr="00EF22E0">
        <w:rPr>
          <w:rFonts w:ascii="Helvetica" w:hAnsi="Helvetica" w:cs="Helvetica"/>
          <w:szCs w:val="24"/>
          <w:lang w:val="es-CO"/>
        </w:rPr>
        <w:fldChar w:fldCharType="begin"/>
      </w:r>
      <w:r w:rsidRPr="00EF22E0">
        <w:rPr>
          <w:rFonts w:ascii="Helvetica" w:hAnsi="Helvetica" w:cs="Helvetica"/>
          <w:szCs w:val="24"/>
          <w:lang w:val="es-CO"/>
        </w:rPr>
        <w:instrText xml:space="preserve"> REF _Ref158236694 \h  \* MERGEFORMAT </w:instrText>
      </w:r>
      <w:r w:rsidRPr="00EF22E0">
        <w:rPr>
          <w:rFonts w:ascii="Helvetica" w:hAnsi="Helvetica" w:cs="Helvetica"/>
          <w:szCs w:val="24"/>
          <w:lang w:val="es-CO"/>
        </w:rPr>
      </w:r>
      <w:r w:rsidRPr="00EF22E0">
        <w:rPr>
          <w:rFonts w:ascii="Helvetica" w:hAnsi="Helvetica" w:cs="Helvetica"/>
          <w:szCs w:val="24"/>
          <w:lang w:val="es-CO"/>
        </w:rPr>
        <w:fldChar w:fldCharType="separate"/>
      </w:r>
      <w:r w:rsidR="00874DC3" w:rsidRPr="00EF22E0">
        <w:rPr>
          <w:rFonts w:ascii="Helvetica" w:hAnsi="Helvetica" w:cs="Helvetica"/>
          <w:szCs w:val="24"/>
        </w:rPr>
        <w:t xml:space="preserve">Tabla </w:t>
      </w:r>
      <w:r w:rsidR="00874DC3">
        <w:rPr>
          <w:rFonts w:ascii="Helvetica" w:hAnsi="Helvetica" w:cs="Helvetica"/>
          <w:szCs w:val="24"/>
        </w:rPr>
        <w:t>5</w:t>
      </w:r>
      <w:r w:rsidRPr="00EF22E0">
        <w:rPr>
          <w:rFonts w:ascii="Helvetica" w:hAnsi="Helvetica" w:cs="Helvetica"/>
          <w:szCs w:val="24"/>
          <w:lang w:val="es-CO"/>
        </w:rPr>
        <w:fldChar w:fldCharType="end"/>
      </w:r>
      <w:r w:rsidRPr="00EF22E0">
        <w:rPr>
          <w:rFonts w:ascii="Helvetica" w:hAnsi="Helvetica" w:cs="Helvetica"/>
          <w:szCs w:val="24"/>
          <w:lang w:val="es-CO"/>
        </w:rPr>
        <w:t xml:space="preserve">, Biomax, Petromil y Puma Energy, que antes estaban activos como distribuidores mayoristas de Jet, ya no reportan volúmenes a partir de 2022. Como resultado, solo cuatro agentes se encargaban de la venta de Jet A1 al por mayor en 2022, siendo uno de esos el refinador. En 2023, se evidencia un cambio importante en la distribución de la participación de los proveedores en relación con las ventas a los distribuidores minoristas. Esto debido a que </w:t>
      </w:r>
      <w:r w:rsidRPr="00EF22E0">
        <w:rPr>
          <w:rFonts w:ascii="Helvetica" w:hAnsi="Helvetica" w:cs="Helvetica"/>
          <w:szCs w:val="24"/>
          <w:lang w:val="es-MX"/>
        </w:rPr>
        <w:t>en 2022 se crearon empresas, que conforme con lo definido por el Decreto 1073 de 2015, como distribuidoras minoristas, pueden realizar compras directas al refinador, por lo cual, parte de las ventas antes realizadas como mayorista pasaron a ser registradas por el refinador. Adicionalmente, en la Figura 15</w:t>
      </w:r>
      <w:r w:rsidRPr="00EF22E0">
        <w:rPr>
          <w:rFonts w:ascii="Helvetica" w:hAnsi="Helvetica" w:cs="Helvetica"/>
          <w:szCs w:val="24"/>
          <w:lang w:val="es-CO"/>
        </w:rPr>
        <w:fldChar w:fldCharType="begin"/>
      </w:r>
      <w:r w:rsidRPr="00EF22E0">
        <w:rPr>
          <w:rFonts w:ascii="Helvetica" w:hAnsi="Helvetica" w:cs="Helvetica"/>
          <w:szCs w:val="24"/>
          <w:lang w:val="es-CO"/>
        </w:rPr>
        <w:instrText xml:space="preserve"> REF _Ref146727001 \h  \* MERGEFORMAT </w:instrText>
      </w:r>
      <w:r w:rsidRPr="00EF22E0">
        <w:rPr>
          <w:rFonts w:ascii="Helvetica" w:hAnsi="Helvetica" w:cs="Helvetica"/>
          <w:szCs w:val="24"/>
          <w:lang w:val="es-CO"/>
        </w:rPr>
      </w:r>
      <w:r w:rsidR="00000000">
        <w:rPr>
          <w:rFonts w:ascii="Helvetica" w:hAnsi="Helvetica" w:cs="Helvetica"/>
          <w:szCs w:val="24"/>
          <w:lang w:val="es-CO"/>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12</w:t>
      </w:r>
      <w:r w:rsidRPr="00EF22E0">
        <w:rPr>
          <w:rFonts w:ascii="Helvetica" w:hAnsi="Helvetica" w:cs="Helvetica"/>
          <w:szCs w:val="24"/>
          <w:lang w:val="es-CO"/>
        </w:rPr>
        <w:fldChar w:fldCharType="end"/>
      </w:r>
      <w:r w:rsidRPr="00EF22E0">
        <w:rPr>
          <w:rFonts w:ascii="Helvetica" w:hAnsi="Helvetica" w:cs="Helvetica"/>
          <w:szCs w:val="24"/>
          <w:lang w:val="es-MX"/>
        </w:rPr>
        <w:t>, se evidencia una alta concentración en los dos principales agentes por la nueva distribución de las ventas.</w:t>
      </w:r>
    </w:p>
    <w:p w14:paraId="2856FC04" w14:textId="77777777" w:rsidR="001212B1" w:rsidRPr="00EF22E0" w:rsidRDefault="001212B1" w:rsidP="001212B1">
      <w:pPr>
        <w:jc w:val="left"/>
        <w:rPr>
          <w:rFonts w:ascii="Helvetica" w:hAnsi="Helvetica" w:cs="Helvetica"/>
          <w:szCs w:val="24"/>
          <w:lang w:val="es-CO"/>
        </w:rPr>
      </w:pPr>
    </w:p>
    <w:p w14:paraId="2C0EF687" w14:textId="42E47232" w:rsidR="001212B1" w:rsidRPr="00EF22E0" w:rsidRDefault="001212B1" w:rsidP="001212B1">
      <w:pPr>
        <w:pStyle w:val="Descripcin"/>
        <w:spacing w:line="360" w:lineRule="auto"/>
        <w:rPr>
          <w:rFonts w:ascii="Helvetica" w:hAnsi="Helvetica" w:cs="Helvetica"/>
          <w:sz w:val="24"/>
          <w:szCs w:val="24"/>
        </w:rPr>
      </w:pPr>
      <w:bookmarkStart w:id="37" w:name="_Ref158236694"/>
      <w:bookmarkStart w:id="38" w:name="_Toc146809475"/>
      <w:r w:rsidRPr="00EF22E0">
        <w:rPr>
          <w:rFonts w:ascii="Helvetica" w:hAnsi="Helvetica" w:cs="Helvetica"/>
          <w:sz w:val="24"/>
          <w:szCs w:val="24"/>
        </w:rPr>
        <w:t xml:space="preserve">Tabla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Tabla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5</w:t>
      </w:r>
      <w:r w:rsidRPr="00EF22E0">
        <w:rPr>
          <w:rFonts w:ascii="Helvetica" w:hAnsi="Helvetica" w:cs="Helvetica"/>
          <w:sz w:val="24"/>
          <w:szCs w:val="24"/>
        </w:rPr>
        <w:fldChar w:fldCharType="end"/>
      </w:r>
      <w:bookmarkEnd w:id="37"/>
      <w:r w:rsidRPr="00EF22E0">
        <w:rPr>
          <w:rFonts w:ascii="Helvetica" w:hAnsi="Helvetica" w:cs="Helvetica"/>
          <w:sz w:val="24"/>
          <w:szCs w:val="24"/>
        </w:rPr>
        <w:t>. Volúmenes Jet A1 por distribuidor mayorista</w:t>
      </w:r>
      <w:bookmarkEnd w:id="38"/>
      <w:r w:rsidRPr="00EF22E0">
        <w:rPr>
          <w:rFonts w:ascii="Helvetica" w:hAnsi="Helvetica" w:cs="Helvetica"/>
          <w:sz w:val="24"/>
          <w:szCs w:val="24"/>
        </w:rPr>
        <w:t xml:space="preserve"> (millones de galones)</w:t>
      </w:r>
    </w:p>
    <w:tbl>
      <w:tblPr>
        <w:tblW w:w="4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2"/>
        <w:gridCol w:w="585"/>
        <w:gridCol w:w="585"/>
        <w:gridCol w:w="585"/>
        <w:gridCol w:w="585"/>
        <w:gridCol w:w="585"/>
        <w:gridCol w:w="585"/>
        <w:gridCol w:w="585"/>
        <w:gridCol w:w="585"/>
        <w:gridCol w:w="585"/>
        <w:gridCol w:w="585"/>
        <w:gridCol w:w="585"/>
      </w:tblGrid>
      <w:tr w:rsidR="001212B1" w:rsidRPr="00A234D0" w14:paraId="3EA0C8D3" w14:textId="77777777" w:rsidTr="00C610BB">
        <w:trPr>
          <w:trHeight w:val="363"/>
          <w:tblHeader/>
          <w:jc w:val="center"/>
        </w:trPr>
        <w:tc>
          <w:tcPr>
            <w:tcW w:w="1574" w:type="pct"/>
            <w:shd w:val="clear" w:color="auto" w:fill="E7E6E6" w:themeFill="background2"/>
            <w:noWrap/>
            <w:vAlign w:val="bottom"/>
            <w:hideMark/>
          </w:tcPr>
          <w:p w14:paraId="5514610C"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Proveedor</w:t>
            </w:r>
          </w:p>
        </w:tc>
        <w:tc>
          <w:tcPr>
            <w:tcW w:w="311" w:type="pct"/>
            <w:shd w:val="clear" w:color="auto" w:fill="D9E2F3" w:themeFill="accent5" w:themeFillTint="33"/>
            <w:noWrap/>
            <w:vAlign w:val="bottom"/>
            <w:hideMark/>
          </w:tcPr>
          <w:p w14:paraId="09DBF88E"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2013</w:t>
            </w:r>
          </w:p>
        </w:tc>
        <w:tc>
          <w:tcPr>
            <w:tcW w:w="311" w:type="pct"/>
            <w:shd w:val="clear" w:color="auto" w:fill="D9E2F3" w:themeFill="accent5" w:themeFillTint="33"/>
            <w:noWrap/>
            <w:vAlign w:val="bottom"/>
            <w:hideMark/>
          </w:tcPr>
          <w:p w14:paraId="56DB2857"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2014</w:t>
            </w:r>
          </w:p>
        </w:tc>
        <w:tc>
          <w:tcPr>
            <w:tcW w:w="311" w:type="pct"/>
            <w:shd w:val="clear" w:color="auto" w:fill="D9E2F3" w:themeFill="accent5" w:themeFillTint="33"/>
            <w:noWrap/>
            <w:vAlign w:val="bottom"/>
            <w:hideMark/>
          </w:tcPr>
          <w:p w14:paraId="30A779C2"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2015</w:t>
            </w:r>
          </w:p>
        </w:tc>
        <w:tc>
          <w:tcPr>
            <w:tcW w:w="311" w:type="pct"/>
            <w:shd w:val="clear" w:color="auto" w:fill="D9E2F3" w:themeFill="accent5" w:themeFillTint="33"/>
            <w:noWrap/>
            <w:vAlign w:val="bottom"/>
            <w:hideMark/>
          </w:tcPr>
          <w:p w14:paraId="23F6CD63"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2016</w:t>
            </w:r>
          </w:p>
        </w:tc>
        <w:tc>
          <w:tcPr>
            <w:tcW w:w="311" w:type="pct"/>
            <w:shd w:val="clear" w:color="auto" w:fill="D9E2F3" w:themeFill="accent5" w:themeFillTint="33"/>
            <w:noWrap/>
            <w:vAlign w:val="bottom"/>
            <w:hideMark/>
          </w:tcPr>
          <w:p w14:paraId="4E32147F"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2017</w:t>
            </w:r>
          </w:p>
        </w:tc>
        <w:tc>
          <w:tcPr>
            <w:tcW w:w="311" w:type="pct"/>
            <w:shd w:val="clear" w:color="auto" w:fill="D9E2F3" w:themeFill="accent5" w:themeFillTint="33"/>
            <w:noWrap/>
            <w:vAlign w:val="bottom"/>
            <w:hideMark/>
          </w:tcPr>
          <w:p w14:paraId="72493B8D"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2018</w:t>
            </w:r>
          </w:p>
        </w:tc>
        <w:tc>
          <w:tcPr>
            <w:tcW w:w="311" w:type="pct"/>
            <w:shd w:val="clear" w:color="auto" w:fill="D9E2F3" w:themeFill="accent5" w:themeFillTint="33"/>
            <w:noWrap/>
            <w:vAlign w:val="bottom"/>
            <w:hideMark/>
          </w:tcPr>
          <w:p w14:paraId="7E7E943E"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2019</w:t>
            </w:r>
          </w:p>
        </w:tc>
        <w:tc>
          <w:tcPr>
            <w:tcW w:w="311" w:type="pct"/>
            <w:shd w:val="clear" w:color="auto" w:fill="D9E2F3" w:themeFill="accent5" w:themeFillTint="33"/>
            <w:noWrap/>
            <w:vAlign w:val="bottom"/>
            <w:hideMark/>
          </w:tcPr>
          <w:p w14:paraId="590A10D3"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2020</w:t>
            </w:r>
          </w:p>
        </w:tc>
        <w:tc>
          <w:tcPr>
            <w:tcW w:w="311" w:type="pct"/>
            <w:shd w:val="clear" w:color="auto" w:fill="D9E2F3" w:themeFill="accent5" w:themeFillTint="33"/>
            <w:noWrap/>
            <w:vAlign w:val="bottom"/>
            <w:hideMark/>
          </w:tcPr>
          <w:p w14:paraId="723443B1"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2021</w:t>
            </w:r>
          </w:p>
        </w:tc>
        <w:tc>
          <w:tcPr>
            <w:tcW w:w="311" w:type="pct"/>
            <w:shd w:val="clear" w:color="auto" w:fill="D9E2F3" w:themeFill="accent5" w:themeFillTint="33"/>
            <w:noWrap/>
            <w:vAlign w:val="bottom"/>
            <w:hideMark/>
          </w:tcPr>
          <w:p w14:paraId="5A15E3B9"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2022</w:t>
            </w:r>
          </w:p>
        </w:tc>
        <w:tc>
          <w:tcPr>
            <w:tcW w:w="311" w:type="pct"/>
            <w:shd w:val="clear" w:color="auto" w:fill="D9E2F3" w:themeFill="accent5" w:themeFillTint="33"/>
            <w:noWrap/>
            <w:vAlign w:val="bottom"/>
            <w:hideMark/>
          </w:tcPr>
          <w:p w14:paraId="14CE04F4" w14:textId="77777777" w:rsidR="001212B1" w:rsidRPr="00A234D0" w:rsidRDefault="001212B1" w:rsidP="00C610BB">
            <w:pPr>
              <w:spacing w:line="360" w:lineRule="auto"/>
              <w:jc w:val="center"/>
              <w:rPr>
                <w:rFonts w:ascii="Helvetica" w:hAnsi="Helvetica" w:cs="Helvetica"/>
                <w:b/>
                <w:sz w:val="20"/>
                <w:lang w:val="es-CO" w:eastAsia="es-CO"/>
              </w:rPr>
            </w:pPr>
            <w:r w:rsidRPr="00A234D0">
              <w:rPr>
                <w:rFonts w:ascii="Helvetica" w:hAnsi="Helvetica" w:cs="Helvetica"/>
                <w:b/>
                <w:sz w:val="20"/>
                <w:lang w:val="es-CO" w:eastAsia="es-CO"/>
              </w:rPr>
              <w:t>2023</w:t>
            </w:r>
          </w:p>
        </w:tc>
      </w:tr>
      <w:tr w:rsidR="001212B1" w:rsidRPr="00A234D0" w14:paraId="50231E5C" w14:textId="77777777" w:rsidTr="00C610BB">
        <w:trPr>
          <w:trHeight w:val="363"/>
          <w:jc w:val="center"/>
        </w:trPr>
        <w:tc>
          <w:tcPr>
            <w:tcW w:w="1574" w:type="pct"/>
            <w:shd w:val="clear" w:color="auto" w:fill="auto"/>
            <w:noWrap/>
            <w:vAlign w:val="bottom"/>
            <w:hideMark/>
          </w:tcPr>
          <w:p w14:paraId="39452BBB"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t>ORGANIZACION TERPEL S.A.</w:t>
            </w:r>
          </w:p>
        </w:tc>
        <w:tc>
          <w:tcPr>
            <w:tcW w:w="311" w:type="pct"/>
            <w:shd w:val="clear" w:color="auto" w:fill="auto"/>
            <w:noWrap/>
            <w:vAlign w:val="bottom"/>
            <w:hideMark/>
          </w:tcPr>
          <w:p w14:paraId="2DAB800C"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217</w:t>
            </w:r>
          </w:p>
        </w:tc>
        <w:tc>
          <w:tcPr>
            <w:tcW w:w="311" w:type="pct"/>
            <w:shd w:val="clear" w:color="auto" w:fill="auto"/>
            <w:noWrap/>
            <w:vAlign w:val="bottom"/>
            <w:hideMark/>
          </w:tcPr>
          <w:p w14:paraId="275C216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247</w:t>
            </w:r>
          </w:p>
        </w:tc>
        <w:tc>
          <w:tcPr>
            <w:tcW w:w="311" w:type="pct"/>
            <w:shd w:val="clear" w:color="auto" w:fill="auto"/>
            <w:noWrap/>
            <w:vAlign w:val="bottom"/>
            <w:hideMark/>
          </w:tcPr>
          <w:p w14:paraId="147A4C7B"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286</w:t>
            </w:r>
          </w:p>
        </w:tc>
        <w:tc>
          <w:tcPr>
            <w:tcW w:w="311" w:type="pct"/>
            <w:shd w:val="clear" w:color="auto" w:fill="auto"/>
            <w:noWrap/>
            <w:vAlign w:val="bottom"/>
            <w:hideMark/>
          </w:tcPr>
          <w:p w14:paraId="32D4B8EA"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305</w:t>
            </w:r>
          </w:p>
        </w:tc>
        <w:tc>
          <w:tcPr>
            <w:tcW w:w="311" w:type="pct"/>
            <w:shd w:val="clear" w:color="auto" w:fill="auto"/>
            <w:noWrap/>
            <w:vAlign w:val="bottom"/>
            <w:hideMark/>
          </w:tcPr>
          <w:p w14:paraId="25C6C59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305</w:t>
            </w:r>
          </w:p>
        </w:tc>
        <w:tc>
          <w:tcPr>
            <w:tcW w:w="311" w:type="pct"/>
            <w:shd w:val="clear" w:color="auto" w:fill="auto"/>
            <w:noWrap/>
            <w:vAlign w:val="bottom"/>
            <w:hideMark/>
          </w:tcPr>
          <w:p w14:paraId="55982BB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334</w:t>
            </w:r>
          </w:p>
        </w:tc>
        <w:tc>
          <w:tcPr>
            <w:tcW w:w="311" w:type="pct"/>
            <w:shd w:val="clear" w:color="auto" w:fill="auto"/>
            <w:noWrap/>
            <w:vAlign w:val="bottom"/>
            <w:hideMark/>
          </w:tcPr>
          <w:p w14:paraId="49D20C3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362</w:t>
            </w:r>
          </w:p>
        </w:tc>
        <w:tc>
          <w:tcPr>
            <w:tcW w:w="311" w:type="pct"/>
            <w:shd w:val="clear" w:color="auto" w:fill="auto"/>
            <w:noWrap/>
            <w:vAlign w:val="bottom"/>
            <w:hideMark/>
          </w:tcPr>
          <w:p w14:paraId="1A2B295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145</w:t>
            </w:r>
          </w:p>
        </w:tc>
        <w:tc>
          <w:tcPr>
            <w:tcW w:w="311" w:type="pct"/>
            <w:shd w:val="clear" w:color="auto" w:fill="auto"/>
            <w:noWrap/>
            <w:vAlign w:val="bottom"/>
            <w:hideMark/>
          </w:tcPr>
          <w:p w14:paraId="04DDD184"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282</w:t>
            </w:r>
          </w:p>
        </w:tc>
        <w:tc>
          <w:tcPr>
            <w:tcW w:w="311" w:type="pct"/>
            <w:shd w:val="clear" w:color="auto" w:fill="auto"/>
            <w:noWrap/>
            <w:vAlign w:val="bottom"/>
            <w:hideMark/>
          </w:tcPr>
          <w:p w14:paraId="4CBB5F70"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368</w:t>
            </w:r>
          </w:p>
        </w:tc>
        <w:tc>
          <w:tcPr>
            <w:tcW w:w="311" w:type="pct"/>
            <w:shd w:val="clear" w:color="auto" w:fill="auto"/>
            <w:noWrap/>
            <w:vAlign w:val="bottom"/>
            <w:hideMark/>
          </w:tcPr>
          <w:p w14:paraId="4B492527"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153</w:t>
            </w:r>
          </w:p>
        </w:tc>
      </w:tr>
      <w:tr w:rsidR="001212B1" w:rsidRPr="00A234D0" w14:paraId="2E83E2BB" w14:textId="77777777" w:rsidTr="00C610BB">
        <w:trPr>
          <w:trHeight w:val="363"/>
          <w:jc w:val="center"/>
        </w:trPr>
        <w:tc>
          <w:tcPr>
            <w:tcW w:w="1574" w:type="pct"/>
            <w:shd w:val="clear" w:color="auto" w:fill="auto"/>
            <w:noWrap/>
            <w:vAlign w:val="bottom"/>
            <w:hideMark/>
          </w:tcPr>
          <w:p w14:paraId="6E509D6A"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t>CHEVRON PETROLEUM</w:t>
            </w:r>
          </w:p>
        </w:tc>
        <w:tc>
          <w:tcPr>
            <w:tcW w:w="311" w:type="pct"/>
            <w:shd w:val="clear" w:color="auto" w:fill="auto"/>
            <w:noWrap/>
            <w:vAlign w:val="bottom"/>
            <w:hideMark/>
          </w:tcPr>
          <w:p w14:paraId="25B3DE3A"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61</w:t>
            </w:r>
          </w:p>
        </w:tc>
        <w:tc>
          <w:tcPr>
            <w:tcW w:w="311" w:type="pct"/>
            <w:shd w:val="clear" w:color="auto" w:fill="auto"/>
            <w:noWrap/>
            <w:vAlign w:val="bottom"/>
            <w:hideMark/>
          </w:tcPr>
          <w:p w14:paraId="00610E26"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24</w:t>
            </w:r>
          </w:p>
        </w:tc>
        <w:tc>
          <w:tcPr>
            <w:tcW w:w="311" w:type="pct"/>
            <w:shd w:val="clear" w:color="auto" w:fill="auto"/>
            <w:noWrap/>
            <w:vAlign w:val="bottom"/>
            <w:hideMark/>
          </w:tcPr>
          <w:p w14:paraId="26686853"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29</w:t>
            </w:r>
          </w:p>
        </w:tc>
        <w:tc>
          <w:tcPr>
            <w:tcW w:w="311" w:type="pct"/>
            <w:shd w:val="clear" w:color="auto" w:fill="auto"/>
            <w:noWrap/>
            <w:vAlign w:val="bottom"/>
            <w:hideMark/>
          </w:tcPr>
          <w:p w14:paraId="0E770B8D"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36</w:t>
            </w:r>
          </w:p>
        </w:tc>
        <w:tc>
          <w:tcPr>
            <w:tcW w:w="311" w:type="pct"/>
            <w:shd w:val="clear" w:color="auto" w:fill="auto"/>
            <w:noWrap/>
            <w:vAlign w:val="bottom"/>
            <w:hideMark/>
          </w:tcPr>
          <w:p w14:paraId="0802E87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27</w:t>
            </w:r>
          </w:p>
        </w:tc>
        <w:tc>
          <w:tcPr>
            <w:tcW w:w="311" w:type="pct"/>
            <w:shd w:val="clear" w:color="auto" w:fill="auto"/>
            <w:noWrap/>
            <w:vAlign w:val="bottom"/>
            <w:hideMark/>
          </w:tcPr>
          <w:p w14:paraId="729C87E0"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31</w:t>
            </w:r>
          </w:p>
        </w:tc>
        <w:tc>
          <w:tcPr>
            <w:tcW w:w="311" w:type="pct"/>
            <w:shd w:val="clear" w:color="auto" w:fill="auto"/>
            <w:noWrap/>
            <w:vAlign w:val="bottom"/>
            <w:hideMark/>
          </w:tcPr>
          <w:p w14:paraId="7A157F2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35</w:t>
            </w:r>
          </w:p>
        </w:tc>
        <w:tc>
          <w:tcPr>
            <w:tcW w:w="311" w:type="pct"/>
            <w:shd w:val="clear" w:color="auto" w:fill="auto"/>
            <w:noWrap/>
            <w:vAlign w:val="bottom"/>
            <w:hideMark/>
          </w:tcPr>
          <w:p w14:paraId="25BAFE6A"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20</w:t>
            </w:r>
          </w:p>
        </w:tc>
        <w:tc>
          <w:tcPr>
            <w:tcW w:w="311" w:type="pct"/>
            <w:shd w:val="clear" w:color="auto" w:fill="auto"/>
            <w:noWrap/>
            <w:vAlign w:val="bottom"/>
            <w:hideMark/>
          </w:tcPr>
          <w:p w14:paraId="11BEF1DE"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19</w:t>
            </w:r>
          </w:p>
        </w:tc>
        <w:tc>
          <w:tcPr>
            <w:tcW w:w="311" w:type="pct"/>
            <w:shd w:val="clear" w:color="auto" w:fill="auto"/>
            <w:noWrap/>
            <w:vAlign w:val="bottom"/>
            <w:hideMark/>
          </w:tcPr>
          <w:p w14:paraId="65517E74"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26</w:t>
            </w:r>
          </w:p>
        </w:tc>
        <w:tc>
          <w:tcPr>
            <w:tcW w:w="311" w:type="pct"/>
            <w:shd w:val="clear" w:color="auto" w:fill="auto"/>
            <w:noWrap/>
            <w:vAlign w:val="bottom"/>
            <w:hideMark/>
          </w:tcPr>
          <w:p w14:paraId="026D19D0"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51</w:t>
            </w:r>
          </w:p>
        </w:tc>
      </w:tr>
      <w:tr w:rsidR="001212B1" w:rsidRPr="00A234D0" w14:paraId="41D0C9CF" w14:textId="77777777" w:rsidTr="00C610BB">
        <w:trPr>
          <w:trHeight w:val="363"/>
          <w:jc w:val="center"/>
        </w:trPr>
        <w:tc>
          <w:tcPr>
            <w:tcW w:w="1574" w:type="pct"/>
            <w:shd w:val="clear" w:color="auto" w:fill="auto"/>
            <w:noWrap/>
            <w:vAlign w:val="bottom"/>
            <w:hideMark/>
          </w:tcPr>
          <w:p w14:paraId="149DF32F"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lastRenderedPageBreak/>
              <w:t>PRIMAX COLOMBIA S.A.</w:t>
            </w:r>
          </w:p>
        </w:tc>
        <w:tc>
          <w:tcPr>
            <w:tcW w:w="311" w:type="pct"/>
            <w:shd w:val="clear" w:color="auto" w:fill="auto"/>
            <w:noWrap/>
            <w:vAlign w:val="bottom"/>
            <w:hideMark/>
          </w:tcPr>
          <w:p w14:paraId="0A8714FD"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32</w:t>
            </w:r>
          </w:p>
        </w:tc>
        <w:tc>
          <w:tcPr>
            <w:tcW w:w="311" w:type="pct"/>
            <w:shd w:val="clear" w:color="auto" w:fill="auto"/>
            <w:noWrap/>
            <w:vAlign w:val="bottom"/>
            <w:hideMark/>
          </w:tcPr>
          <w:p w14:paraId="7B3CE940"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24</w:t>
            </w:r>
          </w:p>
        </w:tc>
        <w:tc>
          <w:tcPr>
            <w:tcW w:w="311" w:type="pct"/>
            <w:shd w:val="clear" w:color="auto" w:fill="auto"/>
            <w:noWrap/>
            <w:vAlign w:val="bottom"/>
            <w:hideMark/>
          </w:tcPr>
          <w:p w14:paraId="6ACD370E"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5DC60933"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115BBFC6"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07D8C50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20B7CEE"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DC472B4"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5</w:t>
            </w:r>
          </w:p>
        </w:tc>
        <w:tc>
          <w:tcPr>
            <w:tcW w:w="311" w:type="pct"/>
            <w:shd w:val="clear" w:color="auto" w:fill="auto"/>
            <w:noWrap/>
            <w:vAlign w:val="bottom"/>
            <w:hideMark/>
          </w:tcPr>
          <w:p w14:paraId="64713EBA"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25</w:t>
            </w:r>
          </w:p>
        </w:tc>
        <w:tc>
          <w:tcPr>
            <w:tcW w:w="311" w:type="pct"/>
            <w:shd w:val="clear" w:color="auto" w:fill="auto"/>
            <w:noWrap/>
            <w:vAlign w:val="bottom"/>
            <w:hideMark/>
          </w:tcPr>
          <w:p w14:paraId="67804F84"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34</w:t>
            </w:r>
          </w:p>
        </w:tc>
        <w:tc>
          <w:tcPr>
            <w:tcW w:w="311" w:type="pct"/>
            <w:shd w:val="clear" w:color="auto" w:fill="auto"/>
            <w:noWrap/>
            <w:vAlign w:val="bottom"/>
            <w:hideMark/>
          </w:tcPr>
          <w:p w14:paraId="40777503"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26</w:t>
            </w:r>
          </w:p>
        </w:tc>
      </w:tr>
      <w:tr w:rsidR="001212B1" w:rsidRPr="00A234D0" w14:paraId="6BF63D1D" w14:textId="77777777" w:rsidTr="00C610BB">
        <w:trPr>
          <w:trHeight w:val="363"/>
          <w:jc w:val="center"/>
        </w:trPr>
        <w:tc>
          <w:tcPr>
            <w:tcW w:w="1574" w:type="pct"/>
            <w:shd w:val="clear" w:color="auto" w:fill="auto"/>
            <w:noWrap/>
            <w:vAlign w:val="bottom"/>
            <w:hideMark/>
          </w:tcPr>
          <w:p w14:paraId="01DADC40"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t>REFINADOR</w:t>
            </w:r>
          </w:p>
        </w:tc>
        <w:tc>
          <w:tcPr>
            <w:tcW w:w="311" w:type="pct"/>
            <w:shd w:val="clear" w:color="auto" w:fill="auto"/>
            <w:noWrap/>
            <w:vAlign w:val="bottom"/>
            <w:hideMark/>
          </w:tcPr>
          <w:p w14:paraId="444032C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21</w:t>
            </w:r>
          </w:p>
        </w:tc>
        <w:tc>
          <w:tcPr>
            <w:tcW w:w="311" w:type="pct"/>
            <w:shd w:val="clear" w:color="auto" w:fill="auto"/>
            <w:noWrap/>
            <w:vAlign w:val="bottom"/>
            <w:hideMark/>
          </w:tcPr>
          <w:p w14:paraId="6DE7F619"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51</w:t>
            </w:r>
          </w:p>
        </w:tc>
        <w:tc>
          <w:tcPr>
            <w:tcW w:w="311" w:type="pct"/>
            <w:shd w:val="clear" w:color="auto" w:fill="auto"/>
            <w:noWrap/>
            <w:vAlign w:val="bottom"/>
            <w:hideMark/>
          </w:tcPr>
          <w:p w14:paraId="76D901B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56</w:t>
            </w:r>
          </w:p>
        </w:tc>
        <w:tc>
          <w:tcPr>
            <w:tcW w:w="311" w:type="pct"/>
            <w:shd w:val="clear" w:color="auto" w:fill="auto"/>
            <w:noWrap/>
            <w:vAlign w:val="bottom"/>
            <w:hideMark/>
          </w:tcPr>
          <w:p w14:paraId="7E237ADB"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49</w:t>
            </w:r>
          </w:p>
        </w:tc>
        <w:tc>
          <w:tcPr>
            <w:tcW w:w="311" w:type="pct"/>
            <w:shd w:val="clear" w:color="auto" w:fill="auto"/>
            <w:noWrap/>
            <w:vAlign w:val="bottom"/>
            <w:hideMark/>
          </w:tcPr>
          <w:p w14:paraId="322D185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53</w:t>
            </w:r>
          </w:p>
        </w:tc>
        <w:tc>
          <w:tcPr>
            <w:tcW w:w="311" w:type="pct"/>
            <w:shd w:val="clear" w:color="auto" w:fill="auto"/>
            <w:noWrap/>
            <w:vAlign w:val="bottom"/>
            <w:hideMark/>
          </w:tcPr>
          <w:p w14:paraId="070CD53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61</w:t>
            </w:r>
          </w:p>
        </w:tc>
        <w:tc>
          <w:tcPr>
            <w:tcW w:w="311" w:type="pct"/>
            <w:shd w:val="clear" w:color="auto" w:fill="auto"/>
            <w:noWrap/>
            <w:vAlign w:val="bottom"/>
            <w:hideMark/>
          </w:tcPr>
          <w:p w14:paraId="125D9879"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65</w:t>
            </w:r>
          </w:p>
        </w:tc>
        <w:tc>
          <w:tcPr>
            <w:tcW w:w="311" w:type="pct"/>
            <w:shd w:val="clear" w:color="auto" w:fill="auto"/>
            <w:noWrap/>
            <w:vAlign w:val="bottom"/>
            <w:hideMark/>
          </w:tcPr>
          <w:p w14:paraId="2BAF117B"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33</w:t>
            </w:r>
          </w:p>
        </w:tc>
        <w:tc>
          <w:tcPr>
            <w:tcW w:w="311" w:type="pct"/>
            <w:shd w:val="clear" w:color="auto" w:fill="auto"/>
            <w:noWrap/>
            <w:vAlign w:val="bottom"/>
            <w:hideMark/>
          </w:tcPr>
          <w:p w14:paraId="763E6602"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25</w:t>
            </w:r>
          </w:p>
        </w:tc>
        <w:tc>
          <w:tcPr>
            <w:tcW w:w="311" w:type="pct"/>
            <w:shd w:val="clear" w:color="auto" w:fill="auto"/>
            <w:noWrap/>
            <w:vAlign w:val="bottom"/>
            <w:hideMark/>
          </w:tcPr>
          <w:p w14:paraId="52DC621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82</w:t>
            </w:r>
          </w:p>
        </w:tc>
        <w:tc>
          <w:tcPr>
            <w:tcW w:w="311" w:type="pct"/>
            <w:shd w:val="clear" w:color="auto" w:fill="auto"/>
            <w:noWrap/>
            <w:vAlign w:val="bottom"/>
            <w:hideMark/>
          </w:tcPr>
          <w:p w14:paraId="6BAD21CA"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249</w:t>
            </w:r>
          </w:p>
        </w:tc>
      </w:tr>
      <w:tr w:rsidR="001212B1" w:rsidRPr="00A234D0" w14:paraId="7CFFF892" w14:textId="77777777" w:rsidTr="00C610BB">
        <w:trPr>
          <w:trHeight w:val="363"/>
          <w:jc w:val="center"/>
        </w:trPr>
        <w:tc>
          <w:tcPr>
            <w:tcW w:w="1574" w:type="pct"/>
            <w:shd w:val="clear" w:color="auto" w:fill="auto"/>
            <w:noWrap/>
            <w:vAlign w:val="bottom"/>
            <w:hideMark/>
          </w:tcPr>
          <w:p w14:paraId="60936FC1"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t>BIOMAX</w:t>
            </w:r>
          </w:p>
        </w:tc>
        <w:tc>
          <w:tcPr>
            <w:tcW w:w="311" w:type="pct"/>
            <w:shd w:val="clear" w:color="auto" w:fill="auto"/>
            <w:noWrap/>
            <w:vAlign w:val="bottom"/>
            <w:hideMark/>
          </w:tcPr>
          <w:p w14:paraId="13332073"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B708D62"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17ECA58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w:t>
            </w:r>
          </w:p>
        </w:tc>
        <w:tc>
          <w:tcPr>
            <w:tcW w:w="311" w:type="pct"/>
            <w:shd w:val="clear" w:color="auto" w:fill="auto"/>
            <w:noWrap/>
            <w:vAlign w:val="bottom"/>
            <w:hideMark/>
          </w:tcPr>
          <w:p w14:paraId="6C96ACA4"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6B69FACC"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5BC7619D"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0AF8A77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003D5B7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4CEBD3C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0E276AE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193E103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r>
      <w:tr w:rsidR="001212B1" w:rsidRPr="00A234D0" w14:paraId="5691A3BC" w14:textId="77777777" w:rsidTr="00C610BB">
        <w:trPr>
          <w:trHeight w:val="363"/>
          <w:jc w:val="center"/>
        </w:trPr>
        <w:tc>
          <w:tcPr>
            <w:tcW w:w="1574" w:type="pct"/>
            <w:shd w:val="clear" w:color="auto" w:fill="auto"/>
            <w:noWrap/>
            <w:vAlign w:val="bottom"/>
            <w:hideMark/>
          </w:tcPr>
          <w:p w14:paraId="02EFF1E7"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t>PETROMIL S.A.S.</w:t>
            </w:r>
          </w:p>
        </w:tc>
        <w:tc>
          <w:tcPr>
            <w:tcW w:w="311" w:type="pct"/>
            <w:shd w:val="clear" w:color="auto" w:fill="auto"/>
            <w:noWrap/>
            <w:vAlign w:val="bottom"/>
            <w:hideMark/>
          </w:tcPr>
          <w:p w14:paraId="4A1FDDF2"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43925B24"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60BF56D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w:t>
            </w:r>
          </w:p>
        </w:tc>
        <w:tc>
          <w:tcPr>
            <w:tcW w:w="311" w:type="pct"/>
            <w:shd w:val="clear" w:color="auto" w:fill="auto"/>
            <w:noWrap/>
            <w:vAlign w:val="bottom"/>
            <w:hideMark/>
          </w:tcPr>
          <w:p w14:paraId="277312A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049F726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73F3A15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64809576"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33F2C59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0392A652"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C034C5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15937F91"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r>
      <w:tr w:rsidR="001212B1" w:rsidRPr="00A234D0" w14:paraId="4D64B3D2" w14:textId="77777777" w:rsidTr="00C610BB">
        <w:trPr>
          <w:trHeight w:val="363"/>
          <w:jc w:val="center"/>
        </w:trPr>
        <w:tc>
          <w:tcPr>
            <w:tcW w:w="1574" w:type="pct"/>
            <w:shd w:val="clear" w:color="auto" w:fill="auto"/>
            <w:noWrap/>
            <w:vAlign w:val="bottom"/>
            <w:hideMark/>
          </w:tcPr>
          <w:p w14:paraId="2C4336C5" w14:textId="77777777" w:rsidR="001212B1" w:rsidRPr="00A234D0" w:rsidRDefault="001212B1" w:rsidP="00C610BB">
            <w:pPr>
              <w:jc w:val="left"/>
              <w:rPr>
                <w:rFonts w:ascii="Helvetica" w:hAnsi="Helvetica" w:cs="Helvetica"/>
                <w:color w:val="000000"/>
                <w:sz w:val="20"/>
                <w:lang w:val="es-CO" w:eastAsia="es-CO"/>
              </w:rPr>
            </w:pPr>
            <w:r w:rsidRPr="00A234D0">
              <w:rPr>
                <w:rFonts w:ascii="Helvetica" w:hAnsi="Helvetica" w:cs="Helvetica"/>
                <w:color w:val="000000"/>
                <w:sz w:val="20"/>
                <w:lang w:val="es-CO" w:eastAsia="es-CO"/>
              </w:rPr>
              <w:t>PUMA ENERGY</w:t>
            </w:r>
          </w:p>
        </w:tc>
        <w:tc>
          <w:tcPr>
            <w:tcW w:w="311" w:type="pct"/>
            <w:shd w:val="clear" w:color="auto" w:fill="auto"/>
            <w:noWrap/>
            <w:vAlign w:val="bottom"/>
            <w:hideMark/>
          </w:tcPr>
          <w:p w14:paraId="2998E462"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697E3BA5"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AC3240D"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1B4ACAE9"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w:t>
            </w:r>
          </w:p>
        </w:tc>
        <w:tc>
          <w:tcPr>
            <w:tcW w:w="311" w:type="pct"/>
            <w:shd w:val="clear" w:color="auto" w:fill="auto"/>
            <w:noWrap/>
            <w:vAlign w:val="bottom"/>
            <w:hideMark/>
          </w:tcPr>
          <w:p w14:paraId="1F570B5D"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w:t>
            </w:r>
          </w:p>
        </w:tc>
        <w:tc>
          <w:tcPr>
            <w:tcW w:w="311" w:type="pct"/>
            <w:shd w:val="clear" w:color="auto" w:fill="auto"/>
            <w:noWrap/>
            <w:vAlign w:val="bottom"/>
            <w:hideMark/>
          </w:tcPr>
          <w:p w14:paraId="695BA388"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w:t>
            </w:r>
          </w:p>
        </w:tc>
        <w:tc>
          <w:tcPr>
            <w:tcW w:w="311" w:type="pct"/>
            <w:shd w:val="clear" w:color="auto" w:fill="auto"/>
            <w:noWrap/>
            <w:vAlign w:val="bottom"/>
            <w:hideMark/>
          </w:tcPr>
          <w:p w14:paraId="7B9D93CF"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2</w:t>
            </w:r>
          </w:p>
        </w:tc>
        <w:tc>
          <w:tcPr>
            <w:tcW w:w="311" w:type="pct"/>
            <w:shd w:val="clear" w:color="auto" w:fill="auto"/>
            <w:noWrap/>
            <w:vAlign w:val="bottom"/>
            <w:hideMark/>
          </w:tcPr>
          <w:p w14:paraId="673C729E"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1</w:t>
            </w:r>
          </w:p>
        </w:tc>
        <w:tc>
          <w:tcPr>
            <w:tcW w:w="311" w:type="pct"/>
            <w:shd w:val="clear" w:color="auto" w:fill="auto"/>
            <w:noWrap/>
            <w:vAlign w:val="bottom"/>
            <w:hideMark/>
          </w:tcPr>
          <w:p w14:paraId="15061282"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500C96A"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c>
          <w:tcPr>
            <w:tcW w:w="311" w:type="pct"/>
            <w:shd w:val="clear" w:color="auto" w:fill="auto"/>
            <w:noWrap/>
            <w:vAlign w:val="bottom"/>
            <w:hideMark/>
          </w:tcPr>
          <w:p w14:paraId="2A3BA639" w14:textId="77777777" w:rsidR="001212B1" w:rsidRPr="00A234D0" w:rsidRDefault="001212B1" w:rsidP="00C610BB">
            <w:pPr>
              <w:jc w:val="right"/>
              <w:rPr>
                <w:rFonts w:ascii="Helvetica" w:hAnsi="Helvetica" w:cs="Helvetica"/>
                <w:color w:val="000000"/>
                <w:sz w:val="20"/>
                <w:lang w:val="es-CO" w:eastAsia="es-CO"/>
              </w:rPr>
            </w:pPr>
            <w:r w:rsidRPr="00A234D0">
              <w:rPr>
                <w:rFonts w:ascii="Helvetica" w:hAnsi="Helvetica" w:cs="Helvetica"/>
                <w:color w:val="000000"/>
                <w:sz w:val="20"/>
                <w:lang w:val="es-CO" w:eastAsia="es-CO"/>
              </w:rPr>
              <w:t>0</w:t>
            </w:r>
          </w:p>
        </w:tc>
      </w:tr>
    </w:tbl>
    <w:p w14:paraId="2B535456" w14:textId="77777777" w:rsidR="001212B1" w:rsidRPr="00EF22E0" w:rsidRDefault="001212B1" w:rsidP="001212B1">
      <w:pPr>
        <w:pStyle w:val="Sinespaciado"/>
        <w:spacing w:line="360" w:lineRule="auto"/>
        <w:jc w:val="left"/>
        <w:rPr>
          <w:rStyle w:val="Textoennegrita"/>
          <w:rFonts w:ascii="Helvetica" w:hAnsi="Helvetica" w:cs="Helvetica"/>
          <w:b w:val="0"/>
          <w:bCs w:val="0"/>
          <w:sz w:val="24"/>
          <w:szCs w:val="24"/>
        </w:rPr>
      </w:pPr>
    </w:p>
    <w:p w14:paraId="36D720F0" w14:textId="77777777" w:rsidR="001212B1" w:rsidRPr="00EF22E0" w:rsidRDefault="001212B1" w:rsidP="001212B1">
      <w:pPr>
        <w:pStyle w:val="Sinespaciado"/>
        <w:spacing w:line="360" w:lineRule="auto"/>
        <w:jc w:val="left"/>
        <w:rPr>
          <w:rStyle w:val="Textoennegrita"/>
          <w:rFonts w:ascii="Helvetica" w:hAnsi="Helvetica" w:cs="Helvetica"/>
          <w:b w:val="0"/>
          <w:bCs w:val="0"/>
          <w:sz w:val="24"/>
          <w:szCs w:val="24"/>
        </w:rPr>
      </w:pPr>
      <w:r w:rsidRPr="00EF22E0">
        <w:rPr>
          <w:rStyle w:val="Textoennegrita"/>
          <w:rFonts w:ascii="Helvetica" w:hAnsi="Helvetica" w:cs="Helvetica"/>
          <w:b w:val="0"/>
          <w:bCs w:val="0"/>
          <w:sz w:val="24"/>
          <w:szCs w:val="24"/>
        </w:rPr>
        <w:t>Fuente: CREG (2024)</w:t>
      </w:r>
    </w:p>
    <w:p w14:paraId="76176BC7" w14:textId="77777777" w:rsidR="001212B1" w:rsidRPr="00EF22E0" w:rsidRDefault="001212B1" w:rsidP="001212B1">
      <w:pPr>
        <w:spacing w:line="360" w:lineRule="auto"/>
        <w:jc w:val="left"/>
        <w:rPr>
          <w:rFonts w:ascii="Helvetica" w:hAnsi="Helvetica" w:cs="Helvetica"/>
          <w:szCs w:val="24"/>
        </w:rPr>
      </w:pPr>
    </w:p>
    <w:p w14:paraId="7B8EB444" w14:textId="397E08E9" w:rsidR="001212B1" w:rsidRPr="00EF22E0" w:rsidRDefault="001212B1" w:rsidP="001212B1">
      <w:pPr>
        <w:pStyle w:val="Descripcin"/>
        <w:spacing w:line="360" w:lineRule="auto"/>
        <w:rPr>
          <w:rFonts w:ascii="Helvetica" w:hAnsi="Helvetica" w:cs="Helvetica"/>
          <w:sz w:val="24"/>
          <w:szCs w:val="24"/>
        </w:rPr>
      </w:pPr>
      <w:bookmarkStart w:id="39" w:name="_Toc167896853"/>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13</w:t>
      </w:r>
      <w:r w:rsidRPr="00EF22E0">
        <w:rPr>
          <w:rFonts w:ascii="Helvetica" w:hAnsi="Helvetica" w:cs="Helvetica"/>
          <w:sz w:val="24"/>
          <w:szCs w:val="24"/>
        </w:rPr>
        <w:fldChar w:fldCharType="end"/>
      </w:r>
      <w:r w:rsidRPr="00EF22E0">
        <w:rPr>
          <w:rFonts w:ascii="Helvetica" w:hAnsi="Helvetica" w:cs="Helvetica"/>
          <w:sz w:val="24"/>
          <w:szCs w:val="24"/>
        </w:rPr>
        <w:t>. Pareto Distribuidores Mayoristas Jet A1 (2023)</w:t>
      </w:r>
      <w:bookmarkEnd w:id="39"/>
    </w:p>
    <w:p w14:paraId="2CA68206" w14:textId="77777777" w:rsidR="001212B1" w:rsidRPr="00EF22E0" w:rsidRDefault="001212B1" w:rsidP="001212B1">
      <w:pPr>
        <w:pStyle w:val="Sinespaciado"/>
        <w:spacing w:line="360" w:lineRule="auto"/>
        <w:rPr>
          <w:rStyle w:val="Textoennegrita"/>
          <w:rFonts w:ascii="Helvetica" w:hAnsi="Helvetica" w:cs="Helvetica"/>
          <w:b w:val="0"/>
          <w:sz w:val="24"/>
          <w:szCs w:val="24"/>
        </w:rPr>
      </w:pPr>
      <w:r w:rsidRPr="00EF22E0">
        <w:rPr>
          <w:rFonts w:ascii="Helvetica" w:hAnsi="Helvetica" w:cs="Helvetica"/>
          <w:b w:val="0"/>
          <w:noProof/>
          <w:sz w:val="24"/>
          <w:szCs w:val="24"/>
        </w:rPr>
        <w:drawing>
          <wp:inline distT="0" distB="0" distL="0" distR="0" wp14:anchorId="6AE397F1" wp14:editId="3848E69F">
            <wp:extent cx="5486400" cy="3200400"/>
            <wp:effectExtent l="0" t="0" r="0" b="0"/>
            <wp:docPr id="45454020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D6FA9F"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rPr>
      </w:pPr>
      <w:r w:rsidRPr="00EF22E0">
        <w:rPr>
          <w:rStyle w:val="Textoennegrita"/>
          <w:rFonts w:ascii="Helvetica" w:hAnsi="Helvetica" w:cs="Helvetica"/>
          <w:b w:val="0"/>
          <w:sz w:val="24"/>
          <w:szCs w:val="24"/>
        </w:rPr>
        <w:t>Fuente: CREG (2023)</w:t>
      </w:r>
    </w:p>
    <w:p w14:paraId="74596273"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lang w:val="es-ES"/>
        </w:rPr>
      </w:pPr>
      <w:bookmarkStart w:id="40" w:name="_Toc116458450"/>
      <w:bookmarkStart w:id="41" w:name="_Toc122592548"/>
      <w:bookmarkStart w:id="42" w:name="_Toc122592602"/>
      <w:bookmarkEnd w:id="10"/>
    </w:p>
    <w:p w14:paraId="2422DAED" w14:textId="77777777" w:rsidR="001212B1" w:rsidRPr="00EF22E0" w:rsidRDefault="001212B1" w:rsidP="001212B1">
      <w:pPr>
        <w:pStyle w:val="Ttulo1"/>
        <w:numPr>
          <w:ilvl w:val="0"/>
          <w:numId w:val="1"/>
        </w:numPr>
        <w:jc w:val="left"/>
        <w:rPr>
          <w:rFonts w:ascii="Helvetica" w:eastAsia="Arial" w:hAnsi="Helvetica" w:cs="Helvetica"/>
          <w:szCs w:val="24"/>
        </w:rPr>
      </w:pPr>
      <w:bookmarkStart w:id="43" w:name="_Toc167896836"/>
      <w:r w:rsidRPr="00EF22E0">
        <w:rPr>
          <w:rFonts w:ascii="Helvetica" w:hAnsi="Helvetica" w:cs="Helvetica"/>
          <w:szCs w:val="24"/>
        </w:rPr>
        <w:t>DIAGNÓSTICO</w:t>
      </w:r>
      <w:bookmarkEnd w:id="40"/>
      <w:bookmarkEnd w:id="41"/>
      <w:bookmarkEnd w:id="42"/>
      <w:bookmarkEnd w:id="43"/>
    </w:p>
    <w:p w14:paraId="68358765"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 xml:space="preserve">En el mercado del combustible de aviación para motores tipo turbina de ahora en adelante Jet, intervienen múltiples agentes: productores, importadores, distribuidores del combustible, los aeropuertos, los operadores de aeropuertos y las aerolíneas. En el </w:t>
      </w:r>
      <w:r w:rsidRPr="00EF22E0">
        <w:rPr>
          <w:rFonts w:ascii="Helvetica" w:hAnsi="Helvetica" w:cs="Helvetica"/>
          <w:szCs w:val="24"/>
        </w:rPr>
        <w:lastRenderedPageBreak/>
        <w:t>desarrollo de este análisis de impacto normativo, abordamos el tema desde el combustible y la determinación de los componentes de la estructura del precio.</w:t>
      </w:r>
    </w:p>
    <w:p w14:paraId="68980A9A" w14:textId="77777777" w:rsidR="001212B1" w:rsidRPr="00EF22E0" w:rsidRDefault="001212B1" w:rsidP="001212B1">
      <w:pPr>
        <w:spacing w:line="360" w:lineRule="auto"/>
        <w:jc w:val="left"/>
        <w:rPr>
          <w:rFonts w:ascii="Helvetica" w:hAnsi="Helvetica" w:cs="Helvetica"/>
          <w:iCs/>
          <w:szCs w:val="24"/>
          <w:lang w:val="es-CO"/>
        </w:rPr>
      </w:pPr>
    </w:p>
    <w:p w14:paraId="2BDB98C7"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El precio de venta de la gasolina Jet A1 a los distribuidores mayoristas está regulado, y es el resultado de la suma de los ingresos del productor, los cargos de transporte a través del sistema de poliductos, el IVA y el impuesto al carbono.</w:t>
      </w:r>
    </w:p>
    <w:p w14:paraId="2280D42D" w14:textId="77777777" w:rsidR="001212B1" w:rsidRPr="00EF22E0" w:rsidRDefault="001212B1" w:rsidP="001212B1">
      <w:pPr>
        <w:spacing w:line="360" w:lineRule="auto"/>
        <w:jc w:val="left"/>
        <w:rPr>
          <w:rFonts w:ascii="Helvetica" w:hAnsi="Helvetica" w:cs="Helvetica"/>
          <w:iCs/>
          <w:szCs w:val="24"/>
          <w:lang w:val="es-CO"/>
        </w:rPr>
      </w:pPr>
    </w:p>
    <w:p w14:paraId="43587992"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 xml:space="preserve">La definición anterior, no incluye el tránsito del producto entre las refinerías o entre las refinerías y los centros de consumo, es decir, desde la refinería de Barrancabermeja hasta Cartagena, o el costo de transportar el combustible a los puntos de consumo. </w:t>
      </w:r>
    </w:p>
    <w:p w14:paraId="343CAADC" w14:textId="77777777" w:rsidR="001212B1" w:rsidRPr="00EF22E0" w:rsidRDefault="001212B1" w:rsidP="001212B1">
      <w:pPr>
        <w:spacing w:line="360" w:lineRule="auto"/>
        <w:jc w:val="left"/>
        <w:rPr>
          <w:rFonts w:ascii="Helvetica" w:hAnsi="Helvetica" w:cs="Helvetica"/>
          <w:iCs/>
          <w:szCs w:val="24"/>
          <w:lang w:val="es-CO"/>
        </w:rPr>
      </w:pPr>
    </w:p>
    <w:p w14:paraId="16738514"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De acuerdo con las cifras de mercado presentadas en el capítulo anterior, el país ha importado entre el 4 y el 7% del consumo nacional en promedio anual entre los años 1999 y 2022. El Plan de Abastecimiento de Combustibles Líquidos de la UPME, en su escenario medio de proyección, prevé un crecimiento promedio anual de la demanda de 4,63%. Este escenario implica importaciones del 8% en 2024 hasta el 50% de la demanda en 2040.</w:t>
      </w:r>
    </w:p>
    <w:p w14:paraId="68C50ADB" w14:textId="77777777" w:rsidR="001212B1" w:rsidRPr="00EF22E0" w:rsidRDefault="001212B1" w:rsidP="001212B1">
      <w:pPr>
        <w:spacing w:line="360" w:lineRule="auto"/>
        <w:jc w:val="left"/>
        <w:rPr>
          <w:rFonts w:ascii="Helvetica" w:hAnsi="Helvetica" w:cs="Helvetica"/>
          <w:iCs/>
          <w:szCs w:val="24"/>
          <w:lang w:val="es-CO"/>
        </w:rPr>
      </w:pPr>
    </w:p>
    <w:p w14:paraId="6A3E7568" w14:textId="77777777" w:rsidR="001212B1" w:rsidRPr="00EF22E0" w:rsidRDefault="001212B1" w:rsidP="001212B1">
      <w:pPr>
        <w:spacing w:line="360" w:lineRule="auto"/>
        <w:jc w:val="left"/>
        <w:rPr>
          <w:rFonts w:ascii="Helvetica" w:hAnsi="Helvetica" w:cs="Helvetica"/>
          <w:i/>
          <w:szCs w:val="24"/>
          <w:lang w:val="es-CO"/>
        </w:rPr>
      </w:pPr>
      <w:r w:rsidRPr="00EF22E0">
        <w:rPr>
          <w:rFonts w:ascii="Helvetica" w:hAnsi="Helvetica" w:cs="Helvetica"/>
          <w:iCs/>
          <w:szCs w:val="24"/>
          <w:lang w:val="es-CO"/>
        </w:rPr>
        <w:t xml:space="preserve">Por otra parte, de acuerdo con lo establecido en el Artículo 116 de la Ley 1450 de 2011, la derogatoria de los artículos 10, 11 y el parágrafo del artículo 12 de la Ley 681 de 2001, mediante los cuales se establece la fórmula para determinar los componentes de la estructura de precios del combustible de aviación Jet A-1, señala que: </w:t>
      </w:r>
      <w:r w:rsidRPr="00EF22E0">
        <w:rPr>
          <w:rFonts w:ascii="Helvetica" w:hAnsi="Helvetica" w:cs="Helvetica"/>
          <w:i/>
          <w:szCs w:val="24"/>
          <w:lang w:val="es-CO"/>
        </w:rPr>
        <w:t>“…en el evento que por garantía de abastecimiento se requiere importar producto o realizar el transporte del producto entre las refinerías o entre las refinerías y los centros de consumo, estos costos no serán asumidos por el refinador y serán trasladados en el primer caso, al precio de venta del producto por el refinador y en el segundo, definidos entre los distribuidores y los clientes, cuando a ello haya lugar, con base en las tarifas de transporte de mercado.”</w:t>
      </w:r>
    </w:p>
    <w:p w14:paraId="792B0EAA" w14:textId="77777777" w:rsidR="001212B1" w:rsidRPr="00EF22E0" w:rsidRDefault="001212B1" w:rsidP="001212B1">
      <w:pPr>
        <w:spacing w:after="240" w:line="360" w:lineRule="auto"/>
        <w:jc w:val="left"/>
        <w:rPr>
          <w:rFonts w:ascii="Helvetica" w:hAnsi="Helvetica" w:cs="Helvetica"/>
          <w:iCs/>
          <w:szCs w:val="24"/>
          <w:lang w:val="es-CO"/>
        </w:rPr>
      </w:pPr>
    </w:p>
    <w:p w14:paraId="03DE8194" w14:textId="77777777" w:rsidR="001212B1" w:rsidRPr="00EF22E0" w:rsidRDefault="001212B1" w:rsidP="001212B1">
      <w:pPr>
        <w:spacing w:after="240" w:line="360" w:lineRule="auto"/>
        <w:jc w:val="left"/>
        <w:rPr>
          <w:rFonts w:ascii="Helvetica" w:hAnsi="Helvetica" w:cs="Helvetica"/>
          <w:iCs/>
          <w:szCs w:val="24"/>
          <w:lang w:val="es-CO"/>
        </w:rPr>
      </w:pPr>
      <w:r w:rsidRPr="00EF22E0">
        <w:rPr>
          <w:rFonts w:ascii="Helvetica" w:hAnsi="Helvetica" w:cs="Helvetica"/>
          <w:iCs/>
          <w:szCs w:val="24"/>
          <w:lang w:val="es-CO"/>
        </w:rPr>
        <w:lastRenderedPageBreak/>
        <w:t xml:space="preserve">Bajo esta premisa, se podría entender que el refinador es el único agente encargado de importar dada la garantía del abastecimiento, ya que la normatividad le da autonomía de: i) trasladar los costos relacionados con la importación, ii) conocer la cantidad disponible en las refinerías y, por lo tanto, la necesidad de importación para satisfacer la demanda de combustible, y iii) asignar el producto importado a los mayoristas. Adicionalmente, el usuario final debe pagar el transporte al centro de consumo si el punto de entrega (Reficar o Refinería de Barrancabermeja), cambia debido a que el producto no está disponible en el punto de entrega solicitado. </w:t>
      </w:r>
    </w:p>
    <w:p w14:paraId="0A1DBAF3" w14:textId="42F9DB4C" w:rsidR="001212B1" w:rsidRPr="00EF22E0" w:rsidRDefault="001212B1" w:rsidP="001212B1">
      <w:pPr>
        <w:spacing w:after="240" w:line="360" w:lineRule="auto"/>
        <w:jc w:val="left"/>
        <w:rPr>
          <w:rFonts w:ascii="Helvetica" w:hAnsi="Helvetica" w:cs="Helvetica"/>
          <w:color w:val="000000"/>
          <w:szCs w:val="24"/>
        </w:rPr>
      </w:pPr>
      <w:r w:rsidRPr="00EF22E0">
        <w:rPr>
          <w:rFonts w:ascii="Helvetica" w:hAnsi="Helvetica" w:cs="Helvetica"/>
          <w:iCs/>
          <w:szCs w:val="24"/>
          <w:lang w:val="es-CO"/>
        </w:rPr>
        <w:t xml:space="preserve">En el caso de la importación, Ecopetrol hace un traslado directo de los costos en los que incurre. Como se aprecia en la </w:t>
      </w:r>
      <w:r w:rsidRPr="00EF22E0">
        <w:rPr>
          <w:rFonts w:ascii="Helvetica" w:hAnsi="Helvetica" w:cs="Helvetica"/>
          <w:iCs/>
          <w:szCs w:val="24"/>
          <w:lang w:val="es-CO"/>
        </w:rPr>
        <w:fldChar w:fldCharType="begin"/>
      </w:r>
      <w:r w:rsidRPr="00EF22E0">
        <w:rPr>
          <w:rFonts w:ascii="Helvetica" w:hAnsi="Helvetica" w:cs="Helvetica"/>
          <w:iCs/>
          <w:szCs w:val="24"/>
          <w:lang w:val="es-CO"/>
        </w:rPr>
        <w:instrText xml:space="preserve"> REF _Ref146726119 \h  \* MERGEFORMAT </w:instrText>
      </w:r>
      <w:r w:rsidRPr="00EF22E0">
        <w:rPr>
          <w:rFonts w:ascii="Helvetica" w:hAnsi="Helvetica" w:cs="Helvetica"/>
          <w:iCs/>
          <w:szCs w:val="24"/>
          <w:lang w:val="es-CO"/>
        </w:rPr>
      </w:r>
      <w:r w:rsidRPr="00EF22E0">
        <w:rPr>
          <w:rFonts w:ascii="Helvetica" w:hAnsi="Helvetica" w:cs="Helvetica"/>
          <w:iCs/>
          <w:szCs w:val="24"/>
          <w:lang w:val="es-CO"/>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6</w:t>
      </w:r>
      <w:r w:rsidRPr="00EF22E0">
        <w:rPr>
          <w:rFonts w:ascii="Helvetica" w:hAnsi="Helvetica" w:cs="Helvetica"/>
          <w:iCs/>
          <w:szCs w:val="24"/>
          <w:lang w:val="es-CO"/>
        </w:rPr>
        <w:fldChar w:fldCharType="end"/>
      </w:r>
      <w:r w:rsidRPr="00EF22E0">
        <w:rPr>
          <w:rFonts w:ascii="Helvetica" w:hAnsi="Helvetica" w:cs="Helvetica"/>
          <w:iCs/>
          <w:szCs w:val="24"/>
          <w:lang w:val="es-CO"/>
        </w:rPr>
        <w:t xml:space="preserve"> los precios del producto importado aumentaron aproximadamente entre USD$0.5/gal y USD$1/gal, entre 2020 y 2022.  La coyuntura actual de mercado hace que Ecopetrol consolide su poder de mercado, dado que es el único agente productor (refinador) de Jet A-1 en Colombia. </w:t>
      </w:r>
      <w:r w:rsidRPr="00EF22E0">
        <w:rPr>
          <w:rFonts w:ascii="Helvetica" w:hAnsi="Helvetica" w:cs="Helvetica"/>
          <w:color w:val="000000"/>
          <w:szCs w:val="24"/>
        </w:rPr>
        <w:t>Así mismo, se incurre en unos costos por la internación del producto, que, sumado a lo anterior, se traducen en un posible incremento de precios al usuario final, por la posible ausencia de incentivos y de controles que optimicen los costos asociados a la importación.</w:t>
      </w:r>
    </w:p>
    <w:p w14:paraId="3199A7E3" w14:textId="77777777" w:rsidR="001212B1" w:rsidRPr="00EF22E0" w:rsidRDefault="001212B1" w:rsidP="001212B1">
      <w:pPr>
        <w:spacing w:after="240" w:line="360" w:lineRule="auto"/>
        <w:jc w:val="left"/>
        <w:rPr>
          <w:rFonts w:ascii="Helvetica" w:hAnsi="Helvetica" w:cs="Helvetica"/>
          <w:iCs/>
          <w:szCs w:val="24"/>
          <w:lang w:val="es-CO"/>
        </w:rPr>
      </w:pPr>
      <w:r w:rsidRPr="00EF22E0">
        <w:rPr>
          <w:rFonts w:ascii="Helvetica" w:hAnsi="Helvetica" w:cs="Helvetica"/>
          <w:iCs/>
          <w:szCs w:val="24"/>
          <w:lang w:val="es-CO"/>
        </w:rPr>
        <w:t>De lo anterior, se identifica la necesidad de disponer de información sobre la oferta, la demanda y de los costos asociados a la actividad de importación. Este marco de transparencia permitirá que los agentes tomen decisiones más informadas que se reflejen en una eficiencia del precio del producto para el consumidor final.  De igual manera, la información publicada por Ecopetrol S.A sobre el IP importado no desagrega los costos asociados a la importación. Sin embargo, según la información publicada por Ecopetrol S.A, el precio de venta del Jet importado es el resultado de la negociación del cargamento de Jet A1 y se encuentra en la factura de importación, que incluye los costos necesarios para nacionalizar y comercializar el Producto en el territorio nacional.</w:t>
      </w:r>
    </w:p>
    <w:p w14:paraId="6ECA7E5D" w14:textId="77777777" w:rsidR="001212B1" w:rsidRPr="00EF22E0" w:rsidRDefault="001212B1" w:rsidP="001212B1">
      <w:pPr>
        <w:spacing w:line="360" w:lineRule="auto"/>
        <w:jc w:val="left"/>
        <w:rPr>
          <w:rFonts w:ascii="Helvetica" w:hAnsi="Helvetica" w:cs="Helvetica"/>
          <w:iCs/>
          <w:szCs w:val="24"/>
          <w:lang w:val="es-CO"/>
        </w:rPr>
      </w:pPr>
    </w:p>
    <w:p w14:paraId="695E99E3"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lastRenderedPageBreak/>
        <w:t>Por último, en la estructura de la cadena, el margen mayorista de combustibles líquidos se encuentra bajo el régimen de libertad vigilada, lo que significa que los agentes pueden definir libremente este valor. No obstante, la Ley 81 de 1988 establece que “los productores y distribuidores podrán determinar libremente los precios de los bienes y servicios en cuestión, bajo la obligación de informar en forma escrita a la respectiva entidad sobre las variaciones y determinaciones de sus precios, de acuerdo con la metodología que la entidad determine”. Es evidente que, debido al régimen que los cobija, los distribuidores mayoristas deberían informar públicamente los gastos logísticos en los que incurren, desde el retiro del producto en la refinería hasta su entrega al comercializador</w:t>
      </w:r>
      <w:r w:rsidRPr="00EF22E0">
        <w:rPr>
          <w:rStyle w:val="Refdenotaalpie"/>
          <w:rFonts w:ascii="Helvetica" w:hAnsi="Helvetica" w:cs="Helvetica"/>
          <w:iCs/>
          <w:szCs w:val="24"/>
          <w:lang w:val="es-CO"/>
        </w:rPr>
        <w:footnoteReference w:id="24"/>
      </w:r>
      <w:r w:rsidRPr="00EF22E0">
        <w:rPr>
          <w:rFonts w:ascii="Helvetica" w:hAnsi="Helvetica" w:cs="Helvetica"/>
          <w:iCs/>
          <w:szCs w:val="24"/>
          <w:lang w:val="es-CO"/>
        </w:rPr>
        <w:t>.</w:t>
      </w:r>
    </w:p>
    <w:p w14:paraId="6D428D14" w14:textId="77777777" w:rsidR="001212B1" w:rsidRPr="00EF22E0" w:rsidRDefault="001212B1" w:rsidP="001212B1">
      <w:pPr>
        <w:spacing w:line="360" w:lineRule="auto"/>
        <w:jc w:val="left"/>
        <w:rPr>
          <w:rFonts w:ascii="Helvetica" w:hAnsi="Helvetica" w:cs="Helvetica"/>
          <w:iCs/>
          <w:szCs w:val="24"/>
          <w:lang w:val="es-CO"/>
        </w:rPr>
      </w:pPr>
    </w:p>
    <w:p w14:paraId="2D2B1C85"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Como se ha expuesto, la oferta de Jet, en la actividad de distribución mayorista y minorista, se encuentra concentrada en pocos agentes. Si bien la alta concentración no implica que exista baja dinámica de competencia, en ausencia de un estudio detallado de la misma, y una correcta clasificación de los mercados, es posible que se presente una extracción de rentas económicas derivadas de competencia imperfecta. Esta realidad del mercado aconseja examinar el régimen de precios aplicable en busca de la eficiencia.</w:t>
      </w:r>
    </w:p>
    <w:p w14:paraId="69F1F5A7" w14:textId="77777777" w:rsidR="001212B1" w:rsidRPr="00EF22E0" w:rsidRDefault="001212B1" w:rsidP="001212B1">
      <w:pPr>
        <w:spacing w:line="360" w:lineRule="auto"/>
        <w:jc w:val="left"/>
        <w:rPr>
          <w:rFonts w:ascii="Helvetica" w:hAnsi="Helvetica" w:cs="Helvetica"/>
          <w:iCs/>
          <w:szCs w:val="24"/>
          <w:lang w:val="es-CO"/>
        </w:rPr>
      </w:pPr>
    </w:p>
    <w:p w14:paraId="0269F19F"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De esta manera, se plantean los problemas a tratar desde tres perspectivas diferentes:</w:t>
      </w:r>
    </w:p>
    <w:p w14:paraId="35670E18" w14:textId="77777777" w:rsidR="001212B1" w:rsidRPr="00EF22E0" w:rsidRDefault="001212B1" w:rsidP="001212B1">
      <w:pPr>
        <w:spacing w:line="360" w:lineRule="auto"/>
        <w:jc w:val="left"/>
        <w:rPr>
          <w:rFonts w:ascii="Helvetica" w:hAnsi="Helvetica" w:cs="Helvetica"/>
          <w:iCs/>
          <w:szCs w:val="24"/>
          <w:lang w:val="es-CO"/>
        </w:rPr>
      </w:pPr>
    </w:p>
    <w:p w14:paraId="4D948470"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1. Analizar y definir la metodología de ingresos para el productor y/o importador.</w:t>
      </w:r>
    </w:p>
    <w:p w14:paraId="55A9A5BC" w14:textId="77777777" w:rsidR="001212B1" w:rsidRPr="00EF22E0" w:rsidRDefault="001212B1" w:rsidP="001212B1">
      <w:pPr>
        <w:spacing w:line="360" w:lineRule="auto"/>
        <w:jc w:val="left"/>
        <w:rPr>
          <w:rFonts w:ascii="Helvetica" w:hAnsi="Helvetica" w:cs="Helvetica"/>
          <w:iCs/>
          <w:szCs w:val="24"/>
          <w:lang w:val="es-CO"/>
        </w:rPr>
      </w:pPr>
      <w:r w:rsidRPr="00EF22E0">
        <w:rPr>
          <w:rFonts w:ascii="Helvetica" w:hAnsi="Helvetica" w:cs="Helvetica"/>
          <w:iCs/>
          <w:szCs w:val="24"/>
          <w:lang w:val="es-CO"/>
        </w:rPr>
        <w:t>2. Definir mecanismos para la transparencia de la información.</w:t>
      </w:r>
    </w:p>
    <w:p w14:paraId="68481076" w14:textId="77777777" w:rsidR="001212B1" w:rsidRPr="00EF22E0" w:rsidRDefault="001212B1" w:rsidP="001212B1">
      <w:pPr>
        <w:spacing w:line="360" w:lineRule="auto"/>
        <w:jc w:val="left"/>
        <w:rPr>
          <w:rFonts w:ascii="Helvetica" w:hAnsi="Helvetica" w:cs="Helvetica"/>
          <w:iCs/>
          <w:szCs w:val="24"/>
          <w:highlight w:val="darkCyan"/>
          <w:lang w:val="es-CO"/>
        </w:rPr>
      </w:pPr>
      <w:r w:rsidRPr="00EF22E0">
        <w:rPr>
          <w:rFonts w:ascii="Helvetica" w:hAnsi="Helvetica" w:cs="Helvetica"/>
          <w:iCs/>
          <w:szCs w:val="24"/>
          <w:lang w:val="es-CO"/>
        </w:rPr>
        <w:t>3. Analizar el régimen de precios aplicable a la distribución mayorista y minorista.</w:t>
      </w:r>
    </w:p>
    <w:p w14:paraId="2FAC5FAD" w14:textId="77777777" w:rsidR="001212B1" w:rsidRPr="00EF22E0" w:rsidRDefault="001212B1" w:rsidP="001212B1">
      <w:pPr>
        <w:spacing w:line="360" w:lineRule="auto"/>
        <w:jc w:val="left"/>
        <w:rPr>
          <w:rFonts w:ascii="Helvetica" w:eastAsia="Arial" w:hAnsi="Helvetica" w:cs="Helvetica"/>
          <w:szCs w:val="24"/>
        </w:rPr>
      </w:pPr>
    </w:p>
    <w:p w14:paraId="02DF3D67" w14:textId="77777777" w:rsidR="001212B1" w:rsidRPr="00EF22E0" w:rsidRDefault="001212B1" w:rsidP="001212B1">
      <w:pPr>
        <w:pStyle w:val="Ttulo1"/>
        <w:numPr>
          <w:ilvl w:val="0"/>
          <w:numId w:val="1"/>
        </w:numPr>
        <w:spacing w:line="360" w:lineRule="auto"/>
        <w:jc w:val="left"/>
        <w:rPr>
          <w:rFonts w:ascii="Helvetica" w:hAnsi="Helvetica" w:cs="Helvetica"/>
          <w:szCs w:val="24"/>
        </w:rPr>
      </w:pPr>
      <w:bookmarkStart w:id="44" w:name="_Toc116458451"/>
      <w:bookmarkStart w:id="45" w:name="_Toc122592549"/>
      <w:bookmarkStart w:id="46" w:name="_Toc122592603"/>
      <w:bookmarkStart w:id="47" w:name="_Toc167896837"/>
      <w:r w:rsidRPr="00EF22E0">
        <w:rPr>
          <w:rFonts w:ascii="Helvetica" w:hAnsi="Helvetica" w:cs="Helvetica"/>
          <w:szCs w:val="24"/>
        </w:rPr>
        <w:lastRenderedPageBreak/>
        <w:t>DEFINICIÓN DEL PROBLEMA</w:t>
      </w:r>
      <w:bookmarkEnd w:id="44"/>
      <w:bookmarkEnd w:id="45"/>
      <w:bookmarkEnd w:id="46"/>
      <w:bookmarkEnd w:id="47"/>
    </w:p>
    <w:p w14:paraId="49434BD2"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Como se mencionó anteriormente, la determinación por parte de la CREG de los componentes de la estructura de precios del combustible Jet A-1, surge de la delegación de funciones por parte del MME y del MHCP. En consecuencia, se han identificado los siguientes problemas de manera preliminar.</w:t>
      </w:r>
    </w:p>
    <w:p w14:paraId="35C081FF" w14:textId="77777777" w:rsidR="001212B1" w:rsidRPr="00EF22E0" w:rsidRDefault="001212B1" w:rsidP="001212B1">
      <w:pPr>
        <w:spacing w:line="360" w:lineRule="auto"/>
        <w:jc w:val="left"/>
        <w:rPr>
          <w:rFonts w:ascii="Helvetica" w:hAnsi="Helvetica" w:cs="Helvetica"/>
          <w:szCs w:val="24"/>
          <w:lang w:val="es-CO"/>
        </w:rPr>
      </w:pPr>
    </w:p>
    <w:p w14:paraId="3547E1CA" w14:textId="51B290FB" w:rsidR="001212B1" w:rsidRPr="00EF22E0" w:rsidRDefault="001212B1" w:rsidP="001212B1">
      <w:pPr>
        <w:pStyle w:val="Descripcin"/>
        <w:spacing w:line="360" w:lineRule="auto"/>
        <w:rPr>
          <w:rFonts w:ascii="Helvetica" w:hAnsi="Helvetica" w:cs="Helvetica"/>
          <w:sz w:val="24"/>
          <w:szCs w:val="24"/>
        </w:rPr>
      </w:pPr>
      <w:bookmarkStart w:id="48" w:name="_Toc167896854"/>
      <w:r w:rsidRPr="00EF22E0">
        <w:rPr>
          <w:rFonts w:ascii="Helvetica" w:hAnsi="Helvetica" w:cs="Helvetica"/>
          <w:sz w:val="24"/>
          <w:szCs w:val="24"/>
        </w:rPr>
        <w:t xml:space="preserve">Figura </w:t>
      </w:r>
      <w:r w:rsidRPr="00EF22E0">
        <w:rPr>
          <w:rFonts w:ascii="Helvetica" w:hAnsi="Helvetica" w:cs="Helvetica"/>
          <w:sz w:val="24"/>
          <w:szCs w:val="24"/>
        </w:rPr>
        <w:fldChar w:fldCharType="begin"/>
      </w:r>
      <w:r w:rsidRPr="00EF22E0">
        <w:rPr>
          <w:rFonts w:ascii="Helvetica" w:hAnsi="Helvetica" w:cs="Helvetica"/>
          <w:sz w:val="24"/>
          <w:szCs w:val="24"/>
        </w:rPr>
        <w:instrText xml:space="preserve"> SEQ Figura \* ARABIC </w:instrText>
      </w:r>
      <w:r w:rsidRPr="00EF22E0">
        <w:rPr>
          <w:rFonts w:ascii="Helvetica" w:hAnsi="Helvetica" w:cs="Helvetica"/>
          <w:sz w:val="24"/>
          <w:szCs w:val="24"/>
        </w:rPr>
        <w:fldChar w:fldCharType="separate"/>
      </w:r>
      <w:r w:rsidR="00874DC3">
        <w:rPr>
          <w:rFonts w:ascii="Helvetica" w:hAnsi="Helvetica" w:cs="Helvetica"/>
          <w:noProof/>
          <w:sz w:val="24"/>
          <w:szCs w:val="24"/>
        </w:rPr>
        <w:t>14</w:t>
      </w:r>
      <w:r w:rsidRPr="00EF22E0">
        <w:rPr>
          <w:rFonts w:ascii="Helvetica" w:hAnsi="Helvetica" w:cs="Helvetica"/>
          <w:sz w:val="24"/>
          <w:szCs w:val="24"/>
        </w:rPr>
        <w:fldChar w:fldCharType="end"/>
      </w:r>
      <w:r w:rsidRPr="00EF22E0">
        <w:rPr>
          <w:rFonts w:ascii="Helvetica" w:hAnsi="Helvetica" w:cs="Helvetica"/>
          <w:sz w:val="24"/>
          <w:szCs w:val="24"/>
        </w:rPr>
        <w:t>. Problemas identificados.</w:t>
      </w:r>
      <w:bookmarkEnd w:id="48"/>
    </w:p>
    <w:p w14:paraId="21ADC72B" w14:textId="77777777" w:rsidR="001212B1" w:rsidRPr="00EF22E0" w:rsidRDefault="001212B1" w:rsidP="001212B1">
      <w:pPr>
        <w:spacing w:line="360" w:lineRule="auto"/>
        <w:jc w:val="center"/>
        <w:rPr>
          <w:rFonts w:ascii="Helvetica" w:hAnsi="Helvetica" w:cs="Helvetica"/>
          <w:szCs w:val="24"/>
          <w:lang w:val="es-CO"/>
        </w:rPr>
      </w:pPr>
      <w:r w:rsidRPr="00EF22E0">
        <w:rPr>
          <w:rFonts w:ascii="Helvetica" w:hAnsi="Helvetica" w:cs="Helvetica"/>
          <w:noProof/>
          <w:szCs w:val="24"/>
          <w:lang w:val="es-CO"/>
        </w:rPr>
        <w:drawing>
          <wp:inline distT="0" distB="0" distL="0" distR="0" wp14:anchorId="5FC43528" wp14:editId="05381FBE">
            <wp:extent cx="5821200" cy="2890800"/>
            <wp:effectExtent l="0" t="0" r="8255" b="508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1200" cy="2890800"/>
                    </a:xfrm>
                    <a:prstGeom prst="rect">
                      <a:avLst/>
                    </a:prstGeom>
                    <a:noFill/>
                  </pic:spPr>
                </pic:pic>
              </a:graphicData>
            </a:graphic>
          </wp:inline>
        </w:drawing>
      </w:r>
    </w:p>
    <w:p w14:paraId="22BE8CB9" w14:textId="77777777" w:rsidR="001212B1" w:rsidRPr="00EF22E0" w:rsidRDefault="001212B1" w:rsidP="001212B1">
      <w:pPr>
        <w:pStyle w:val="Sinespaciado"/>
        <w:spacing w:line="360" w:lineRule="auto"/>
        <w:jc w:val="left"/>
        <w:rPr>
          <w:rStyle w:val="Textoennegrita"/>
          <w:rFonts w:ascii="Helvetica" w:hAnsi="Helvetica" w:cs="Helvetica"/>
          <w:b w:val="0"/>
          <w:sz w:val="24"/>
          <w:szCs w:val="24"/>
        </w:rPr>
      </w:pPr>
      <w:r w:rsidRPr="00EF22E0">
        <w:rPr>
          <w:rStyle w:val="Textoennegrita"/>
          <w:rFonts w:ascii="Helvetica" w:hAnsi="Helvetica" w:cs="Helvetica"/>
          <w:b w:val="0"/>
          <w:sz w:val="24"/>
          <w:szCs w:val="24"/>
        </w:rPr>
        <w:t>Fuente: CREG (2023)</w:t>
      </w:r>
    </w:p>
    <w:p w14:paraId="03294F5B" w14:textId="77777777" w:rsidR="001212B1" w:rsidRPr="00EF22E0" w:rsidRDefault="001212B1" w:rsidP="001212B1">
      <w:pPr>
        <w:spacing w:line="360" w:lineRule="auto"/>
        <w:jc w:val="left"/>
        <w:rPr>
          <w:rFonts w:ascii="Helvetica" w:hAnsi="Helvetica" w:cs="Helvetica"/>
          <w:szCs w:val="24"/>
          <w:lang w:val="es-CO"/>
        </w:rPr>
      </w:pPr>
    </w:p>
    <w:p w14:paraId="62D607BC" w14:textId="77777777" w:rsidR="001212B1" w:rsidRPr="00EF22E0" w:rsidRDefault="001212B1" w:rsidP="001212B1">
      <w:pPr>
        <w:pStyle w:val="Ttulo2"/>
        <w:numPr>
          <w:ilvl w:val="1"/>
          <w:numId w:val="1"/>
        </w:numPr>
        <w:ind w:left="578" w:hanging="578"/>
        <w:jc w:val="left"/>
        <w:rPr>
          <w:rFonts w:ascii="Helvetica" w:hAnsi="Helvetica" w:cs="Helvetica"/>
        </w:rPr>
      </w:pPr>
      <w:r w:rsidRPr="00EF22E0">
        <w:rPr>
          <w:rFonts w:ascii="Helvetica" w:hAnsi="Helvetica" w:cs="Helvetica"/>
        </w:rPr>
        <w:t>Posible falta de incentivos a la producción nacional de combustible de aviación para motores tipo turbina.</w:t>
      </w:r>
    </w:p>
    <w:p w14:paraId="47F3A18C" w14:textId="77777777" w:rsidR="001212B1" w:rsidRPr="00EF22E0" w:rsidRDefault="001212B1" w:rsidP="001212B1">
      <w:pPr>
        <w:spacing w:line="360" w:lineRule="auto"/>
        <w:jc w:val="left"/>
        <w:rPr>
          <w:rFonts w:ascii="Helvetica" w:hAnsi="Helvetica" w:cs="Helvetica"/>
          <w:szCs w:val="24"/>
          <w:lang w:val="es-CO"/>
        </w:rPr>
      </w:pPr>
    </w:p>
    <w:p w14:paraId="68895811" w14:textId="5D58A1D8"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El balance de oferta y demanda de Jet A-1 muestra que a partir del año 2025 existiría exceso de demanda (</w:t>
      </w:r>
      <w:r w:rsidRPr="00EF22E0">
        <w:rPr>
          <w:rFonts w:ascii="Helvetica" w:hAnsi="Helvetica" w:cs="Helvetica"/>
          <w:szCs w:val="24"/>
          <w:lang w:val="es-CO"/>
        </w:rPr>
        <w:fldChar w:fldCharType="begin"/>
      </w:r>
      <w:r w:rsidRPr="00EF22E0">
        <w:rPr>
          <w:rFonts w:ascii="Helvetica" w:hAnsi="Helvetica" w:cs="Helvetica"/>
          <w:szCs w:val="24"/>
          <w:lang w:val="es-CO"/>
        </w:rPr>
        <w:instrText xml:space="preserve"> REF _Ref155715131 \h  \* MERGEFORMAT </w:instrText>
      </w:r>
      <w:r w:rsidRPr="00EF22E0">
        <w:rPr>
          <w:rFonts w:ascii="Helvetica" w:hAnsi="Helvetica" w:cs="Helvetica"/>
          <w:szCs w:val="24"/>
          <w:lang w:val="es-CO"/>
        </w:rPr>
      </w:r>
      <w:r w:rsidRPr="00EF22E0">
        <w:rPr>
          <w:rFonts w:ascii="Helvetica" w:hAnsi="Helvetica" w:cs="Helvetica"/>
          <w:szCs w:val="24"/>
          <w:lang w:val="es-CO"/>
        </w:rPr>
        <w:fldChar w:fldCharType="separate"/>
      </w:r>
      <w:r w:rsidR="00874DC3" w:rsidRPr="00EF22E0">
        <w:rPr>
          <w:rFonts w:ascii="Helvetica" w:hAnsi="Helvetica" w:cs="Helvetica"/>
          <w:szCs w:val="24"/>
        </w:rPr>
        <w:t xml:space="preserve">Figura </w:t>
      </w:r>
      <w:r w:rsidR="00874DC3">
        <w:rPr>
          <w:rFonts w:ascii="Helvetica" w:hAnsi="Helvetica" w:cs="Helvetica"/>
          <w:noProof/>
          <w:szCs w:val="24"/>
        </w:rPr>
        <w:t>5</w:t>
      </w:r>
      <w:r w:rsidRPr="00EF22E0">
        <w:rPr>
          <w:rFonts w:ascii="Helvetica" w:hAnsi="Helvetica" w:cs="Helvetica"/>
          <w:szCs w:val="24"/>
          <w:lang w:val="es-CO"/>
        </w:rPr>
        <w:fldChar w:fldCharType="end"/>
      </w:r>
      <w:r w:rsidRPr="00EF22E0">
        <w:rPr>
          <w:rFonts w:ascii="Helvetica" w:hAnsi="Helvetica" w:cs="Helvetica"/>
          <w:szCs w:val="24"/>
          <w:lang w:val="es-CO"/>
        </w:rPr>
        <w:t xml:space="preserve">), razón por la cual es posible que en el corto y mediano plazo surja la necesidad de realizar importaciones del producto. De acuerdo con el artículo 116 de la Ley 1450 de 2011, en caso de que sea necesario importar combustible para garantizar el suministro, los gastos de importación se transfieren al </w:t>
      </w:r>
      <w:r w:rsidRPr="00EF22E0">
        <w:rPr>
          <w:rFonts w:ascii="Helvetica" w:hAnsi="Helvetica" w:cs="Helvetica"/>
          <w:szCs w:val="24"/>
          <w:lang w:val="es-CO"/>
        </w:rPr>
        <w:lastRenderedPageBreak/>
        <w:t>precio de venta del producto por el refinador y los costos de internación o movilización de producto serán definidos entre los distribuidores y los clientes, cuando a ello haya lugar, con base en las tarifas de transporte de mercado.</w:t>
      </w:r>
    </w:p>
    <w:p w14:paraId="780466B4" w14:textId="77777777" w:rsidR="001212B1" w:rsidRPr="00EF22E0" w:rsidRDefault="001212B1" w:rsidP="001212B1">
      <w:pPr>
        <w:spacing w:line="360" w:lineRule="auto"/>
        <w:jc w:val="left"/>
        <w:rPr>
          <w:rFonts w:ascii="Helvetica" w:hAnsi="Helvetica" w:cs="Helvetica"/>
          <w:szCs w:val="24"/>
          <w:lang w:val="es-CO"/>
        </w:rPr>
      </w:pPr>
    </w:p>
    <w:p w14:paraId="5BE5021F"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lang w:val="es-CO"/>
        </w:rPr>
        <w:t>A partir de lo anterior se formula el interrogante sobre la necesidad de generar incentivos para el refinador de manera que e</w:t>
      </w:r>
      <w:r w:rsidRPr="00EF22E0">
        <w:rPr>
          <w:rFonts w:ascii="Helvetica" w:hAnsi="Helvetica" w:cs="Helvetica"/>
          <w:szCs w:val="24"/>
        </w:rPr>
        <w:t xml:space="preserve">l costo de oportunidad de producción nacional de combustible de aviación para motores tipo turbina sea remunerado por un ingreso al productor eficiente que lo motive a incrementar la oferta nacional del combustible. </w:t>
      </w:r>
    </w:p>
    <w:p w14:paraId="7B8F4D7A" w14:textId="77777777" w:rsidR="001212B1" w:rsidRPr="00EF22E0" w:rsidRDefault="001212B1" w:rsidP="001212B1">
      <w:pPr>
        <w:spacing w:line="360" w:lineRule="auto"/>
        <w:jc w:val="left"/>
        <w:rPr>
          <w:rFonts w:ascii="Helvetica" w:hAnsi="Helvetica" w:cs="Helvetica"/>
          <w:szCs w:val="24"/>
          <w:lang w:val="es-CO"/>
        </w:rPr>
      </w:pPr>
    </w:p>
    <w:p w14:paraId="439C48F1"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lang w:val="es-CO"/>
        </w:rPr>
        <w:t xml:space="preserve">Es así como a partir de la norma vigente y el incremento de la demanda, podría darse un </w:t>
      </w:r>
      <w:r w:rsidRPr="00EF22E0">
        <w:rPr>
          <w:rFonts w:ascii="Helvetica" w:hAnsi="Helvetica" w:cs="Helvetica"/>
          <w:szCs w:val="24"/>
          <w:lang w:val="es-MX"/>
        </w:rPr>
        <w:t>traslado de costos que posiblemente generan ineficiencias en el precio al usuario final o un posible desabastecimiento dado el incremento de la demanda por la falta de incentivo del productor a producir el combustible.</w:t>
      </w:r>
    </w:p>
    <w:p w14:paraId="5DA716B2" w14:textId="77777777" w:rsidR="001212B1" w:rsidRPr="00EF22E0" w:rsidRDefault="001212B1" w:rsidP="001212B1">
      <w:pPr>
        <w:spacing w:line="360" w:lineRule="auto"/>
        <w:jc w:val="left"/>
        <w:rPr>
          <w:rFonts w:ascii="Helvetica" w:hAnsi="Helvetica" w:cs="Helvetica"/>
          <w:szCs w:val="24"/>
          <w:highlight w:val="darkCyan"/>
          <w:lang w:val="es-CO"/>
        </w:rPr>
      </w:pPr>
    </w:p>
    <w:p w14:paraId="6E1EA000" w14:textId="709D4723" w:rsidR="001212B1" w:rsidRPr="00EF22E0" w:rsidRDefault="001212B1" w:rsidP="001212B1">
      <w:pPr>
        <w:pStyle w:val="Descripcin"/>
        <w:spacing w:line="360" w:lineRule="auto"/>
        <w:rPr>
          <w:rFonts w:ascii="Helvetica" w:hAnsi="Helvetica" w:cs="Helvetica"/>
          <w:sz w:val="24"/>
          <w:szCs w:val="24"/>
        </w:rPr>
      </w:pPr>
      <w:bookmarkStart w:id="49" w:name="_Toc167896855"/>
      <w:bookmarkStart w:id="50" w:name="_Hlk146724787"/>
      <w:r w:rsidRPr="00EF22E0">
        <w:rPr>
          <w:rFonts w:ascii="Helvetica" w:hAnsi="Helvetica" w:cs="Helvetica"/>
          <w:noProof/>
          <w:sz w:val="24"/>
          <w:szCs w:val="24"/>
        </w:rPr>
        <w:lastRenderedPageBreak/>
        <w:t xml:space="preserve">Figura </w:t>
      </w:r>
      <w:r w:rsidRPr="00EF22E0">
        <w:rPr>
          <w:rFonts w:ascii="Helvetica" w:hAnsi="Helvetica" w:cs="Helvetica"/>
          <w:noProof/>
          <w:sz w:val="24"/>
          <w:szCs w:val="24"/>
        </w:rPr>
        <w:fldChar w:fldCharType="begin"/>
      </w:r>
      <w:r w:rsidRPr="00EF22E0">
        <w:rPr>
          <w:rFonts w:ascii="Helvetica" w:hAnsi="Helvetica" w:cs="Helvetica"/>
          <w:noProof/>
          <w:sz w:val="24"/>
          <w:szCs w:val="24"/>
        </w:rPr>
        <w:instrText xml:space="preserve"> SEQ Figura \* ARABIC </w:instrText>
      </w:r>
      <w:r w:rsidRPr="00EF22E0">
        <w:rPr>
          <w:rFonts w:ascii="Helvetica" w:hAnsi="Helvetica" w:cs="Helvetica"/>
          <w:noProof/>
          <w:sz w:val="24"/>
          <w:szCs w:val="24"/>
        </w:rPr>
        <w:fldChar w:fldCharType="separate"/>
      </w:r>
      <w:r w:rsidR="00874DC3">
        <w:rPr>
          <w:rFonts w:ascii="Helvetica" w:hAnsi="Helvetica" w:cs="Helvetica"/>
          <w:noProof/>
          <w:sz w:val="24"/>
          <w:szCs w:val="24"/>
        </w:rPr>
        <w:t>15</w:t>
      </w:r>
      <w:r w:rsidRPr="00EF22E0">
        <w:rPr>
          <w:rFonts w:ascii="Helvetica" w:hAnsi="Helvetica" w:cs="Helvetica"/>
          <w:noProof/>
          <w:sz w:val="24"/>
          <w:szCs w:val="24"/>
        </w:rPr>
        <w:fldChar w:fldCharType="end"/>
      </w:r>
      <w:r w:rsidRPr="00EF22E0">
        <w:rPr>
          <w:rFonts w:ascii="Helvetica" w:hAnsi="Helvetica" w:cs="Helvetica"/>
          <w:noProof/>
          <w:sz w:val="24"/>
          <w:szCs w:val="24"/>
        </w:rPr>
        <w:t xml:space="preserve">. </w:t>
      </w:r>
      <w:r w:rsidRPr="00EF22E0">
        <w:rPr>
          <w:rFonts w:ascii="Helvetica" w:hAnsi="Helvetica" w:cs="Helvetica"/>
          <w:sz w:val="24"/>
          <w:szCs w:val="24"/>
        </w:rPr>
        <w:t>Esquema Problema 1</w:t>
      </w:r>
      <w:bookmarkEnd w:id="49"/>
    </w:p>
    <w:bookmarkEnd w:id="50"/>
    <w:p w14:paraId="27ED0B13"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noProof/>
          <w:szCs w:val="24"/>
        </w:rPr>
        <w:drawing>
          <wp:inline distT="0" distB="0" distL="0" distR="0" wp14:anchorId="55267831" wp14:editId="3FDDC42C">
            <wp:extent cx="5972810" cy="3835730"/>
            <wp:effectExtent l="0" t="0" r="27940" b="50800"/>
            <wp:docPr id="9" name="Diagrama 9">
              <a:extLst xmlns:a="http://schemas.openxmlformats.org/drawingml/2006/main">
                <a:ext uri="{FF2B5EF4-FFF2-40B4-BE49-F238E27FC236}">
                  <a16:creationId xmlns:a16="http://schemas.microsoft.com/office/drawing/2014/main" id="{29502557-D8E6-169A-E18A-4B19DB1FA97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BCEA11B"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rPr>
        <w:t>Fuente: CREG.</w:t>
      </w:r>
    </w:p>
    <w:p w14:paraId="51077468" w14:textId="77777777" w:rsidR="001212B1" w:rsidRPr="00EF22E0" w:rsidRDefault="001212B1" w:rsidP="001212B1">
      <w:pPr>
        <w:spacing w:line="360" w:lineRule="auto"/>
        <w:jc w:val="left"/>
        <w:rPr>
          <w:rFonts w:ascii="Helvetica" w:hAnsi="Helvetica" w:cs="Helvetica"/>
          <w:szCs w:val="24"/>
        </w:rPr>
      </w:pPr>
    </w:p>
    <w:p w14:paraId="26098D54"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Como resultado, el objetivo de este análisis es promover el aumento de producción nacional, mediante la definición de una remuneración eficiente de la producción local y la armonización de la normatividad relacionada con la importación, para reflejar el contexto actual del mercado.</w:t>
      </w:r>
    </w:p>
    <w:p w14:paraId="577F974C" w14:textId="77777777" w:rsidR="001212B1" w:rsidRPr="00EF22E0" w:rsidRDefault="001212B1" w:rsidP="001212B1">
      <w:pPr>
        <w:spacing w:line="360" w:lineRule="auto"/>
        <w:jc w:val="left"/>
        <w:rPr>
          <w:rFonts w:ascii="Helvetica" w:hAnsi="Helvetica" w:cs="Helvetica"/>
          <w:b/>
          <w:szCs w:val="24"/>
        </w:rPr>
      </w:pPr>
    </w:p>
    <w:p w14:paraId="54DC18E6" w14:textId="77777777" w:rsidR="001212B1" w:rsidRPr="00EF22E0" w:rsidRDefault="001212B1" w:rsidP="001212B1">
      <w:pPr>
        <w:pStyle w:val="Ttulo2"/>
        <w:numPr>
          <w:ilvl w:val="1"/>
          <w:numId w:val="1"/>
        </w:numPr>
        <w:spacing w:line="360" w:lineRule="auto"/>
        <w:ind w:left="578" w:hanging="578"/>
        <w:jc w:val="left"/>
        <w:rPr>
          <w:rFonts w:ascii="Helvetica" w:hAnsi="Helvetica" w:cs="Helvetica"/>
        </w:rPr>
      </w:pPr>
      <w:bookmarkStart w:id="51" w:name="_Hlk155365931"/>
      <w:r w:rsidRPr="00EF22E0">
        <w:rPr>
          <w:rFonts w:ascii="Helvetica" w:hAnsi="Helvetica" w:cs="Helvetica"/>
        </w:rPr>
        <w:t>Ausencia de claridad en la norma para desarrollar la actividad de importación de Jet.</w:t>
      </w:r>
      <w:bookmarkEnd w:id="51"/>
    </w:p>
    <w:p w14:paraId="1AB404AD" w14:textId="77777777" w:rsidR="001212B1" w:rsidRPr="00EF22E0" w:rsidRDefault="001212B1" w:rsidP="001212B1">
      <w:pPr>
        <w:pStyle w:val="Default"/>
        <w:spacing w:line="360" w:lineRule="auto"/>
        <w:rPr>
          <w:rFonts w:ascii="Helvetica" w:hAnsi="Helvetica" w:cs="Helvetica"/>
          <w:color w:val="auto"/>
          <w:lang w:val="es-ES"/>
        </w:rPr>
      </w:pPr>
      <w:r w:rsidRPr="00EF22E0">
        <w:rPr>
          <w:rFonts w:ascii="Helvetica" w:hAnsi="Helvetica" w:cs="Helvetica"/>
          <w:lang w:val="es-ES"/>
        </w:rPr>
        <w:t xml:space="preserve">Como ya se ha mencionado a lo largo del documento, </w:t>
      </w:r>
      <w:r w:rsidRPr="00EF22E0">
        <w:rPr>
          <w:rFonts w:ascii="Helvetica" w:hAnsi="Helvetica" w:cs="Helvetica"/>
          <w:color w:val="auto"/>
          <w:lang w:val="es-ES"/>
        </w:rPr>
        <w:t xml:space="preserve">el artículo 116 de la Ley 1450 plantea que cuando por garantía de abastecimiento se requiera importar producto o realizar el transporte del producto entre las refinerías o entre las refinerías y los centros </w:t>
      </w:r>
      <w:r w:rsidRPr="00EF22E0">
        <w:rPr>
          <w:rFonts w:ascii="Helvetica" w:hAnsi="Helvetica" w:cs="Helvetica"/>
          <w:color w:val="auto"/>
          <w:lang w:val="es-ES"/>
        </w:rPr>
        <w:lastRenderedPageBreak/>
        <w:t xml:space="preserve">de consumo, estos costos no </w:t>
      </w:r>
      <w:r w:rsidRPr="00EF22E0">
        <w:rPr>
          <w:rFonts w:ascii="Helvetica" w:hAnsi="Helvetica" w:cs="Helvetica"/>
          <w:color w:val="auto"/>
          <w:u w:val="single"/>
          <w:lang w:val="es-ES"/>
        </w:rPr>
        <w:t>serán asumidos por el refinador</w:t>
      </w:r>
      <w:r w:rsidRPr="00EF22E0">
        <w:rPr>
          <w:rFonts w:ascii="Helvetica" w:hAnsi="Helvetica" w:cs="Helvetica"/>
          <w:color w:val="auto"/>
          <w:lang w:val="es-ES"/>
        </w:rPr>
        <w:t xml:space="preserve"> y serán trasladados en </w:t>
      </w:r>
      <w:r w:rsidRPr="00EF22E0">
        <w:rPr>
          <w:rFonts w:ascii="Helvetica" w:hAnsi="Helvetica" w:cs="Helvetica"/>
          <w:color w:val="auto"/>
          <w:u w:val="single"/>
          <w:lang w:val="es-ES"/>
        </w:rPr>
        <w:t>el primer caso al precio de venta del producto por el refinador</w:t>
      </w:r>
      <w:r w:rsidRPr="00EF22E0">
        <w:rPr>
          <w:rFonts w:ascii="Helvetica" w:hAnsi="Helvetica" w:cs="Helvetica"/>
          <w:color w:val="auto"/>
          <w:lang w:val="es-ES"/>
        </w:rPr>
        <w:t xml:space="preserve"> y en el segundo, definidos entre los distribuidores y los clientes, cuando a ello haya lugar, con base en las tarifas de transporte de mercado.</w:t>
      </w:r>
    </w:p>
    <w:p w14:paraId="07242184" w14:textId="77777777" w:rsidR="001212B1" w:rsidRPr="00EF22E0" w:rsidRDefault="001212B1" w:rsidP="001212B1">
      <w:pPr>
        <w:pStyle w:val="Default"/>
        <w:spacing w:line="360" w:lineRule="auto"/>
        <w:rPr>
          <w:rFonts w:ascii="Helvetica" w:hAnsi="Helvetica" w:cs="Helvetica"/>
          <w:color w:val="auto"/>
        </w:rPr>
      </w:pPr>
    </w:p>
    <w:p w14:paraId="10266F11" w14:textId="77777777" w:rsidR="001212B1" w:rsidRPr="00EF22E0" w:rsidRDefault="001212B1" w:rsidP="001212B1">
      <w:pPr>
        <w:pStyle w:val="Default"/>
        <w:spacing w:line="360" w:lineRule="auto"/>
        <w:rPr>
          <w:rFonts w:ascii="Helvetica" w:hAnsi="Helvetica" w:cs="Helvetica"/>
          <w:color w:val="auto"/>
          <w:lang w:val="es-ES"/>
        </w:rPr>
      </w:pPr>
      <w:r w:rsidRPr="3CB43807">
        <w:rPr>
          <w:rFonts w:ascii="Helvetica" w:hAnsi="Helvetica" w:cs="Helvetica"/>
          <w:color w:val="auto"/>
          <w:lang w:val="es-ES"/>
        </w:rPr>
        <w:t>De la escritura de la norma han surgido varias interpretaciones, entre ellas que únicamente bajo el escenario de garantía de abastecimiento, el refinador podrá trasladar sus costos, generando que los demás agentes no puedan desarrollar dicha actividad, ya que para los demás no está garantizada la posibilidad de trasladar los costos incurridos por dicha actividad de importación. Otra interpretación es que el traslado de costos se puede por cualquier agente siempre y cuando la importación no tenga origen en la garantía del abastecimiento. Como consecuencia de las diferentes interpretaciones de la norma a la fecha únicamente el refinador ha realizado importaciones.</w:t>
      </w:r>
    </w:p>
    <w:p w14:paraId="2D7F95CD" w14:textId="77777777" w:rsidR="001212B1" w:rsidRPr="00EF22E0" w:rsidRDefault="001212B1" w:rsidP="001212B1">
      <w:pPr>
        <w:pStyle w:val="Default"/>
        <w:spacing w:line="360" w:lineRule="auto"/>
        <w:rPr>
          <w:rFonts w:ascii="Helvetica" w:hAnsi="Helvetica" w:cs="Helvetica"/>
          <w:color w:val="auto"/>
        </w:rPr>
      </w:pPr>
    </w:p>
    <w:p w14:paraId="12A29CE9"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Lo anterior se traduce en un posible traslado de costos ineficientes a los usuarios finales y una posición dominante del refinador como agente encargado también de las importaciones.</w:t>
      </w:r>
    </w:p>
    <w:p w14:paraId="036A5C68" w14:textId="77777777" w:rsidR="001212B1" w:rsidRPr="00EF22E0" w:rsidRDefault="001212B1" w:rsidP="001212B1">
      <w:pPr>
        <w:pStyle w:val="Default"/>
        <w:spacing w:line="360" w:lineRule="auto"/>
        <w:rPr>
          <w:rFonts w:ascii="Helvetica" w:hAnsi="Helvetica" w:cs="Helvetica"/>
          <w:color w:val="auto"/>
        </w:rPr>
      </w:pPr>
    </w:p>
    <w:p w14:paraId="2267B961" w14:textId="77777777" w:rsidR="001212B1" w:rsidRPr="00EF22E0" w:rsidRDefault="001212B1" w:rsidP="001212B1">
      <w:pPr>
        <w:pStyle w:val="Default"/>
        <w:spacing w:line="360" w:lineRule="auto"/>
        <w:rPr>
          <w:rFonts w:ascii="Helvetica" w:hAnsi="Helvetica" w:cs="Helvetica"/>
          <w:color w:val="auto"/>
        </w:rPr>
      </w:pPr>
      <w:r w:rsidRPr="00EF22E0">
        <w:rPr>
          <w:rFonts w:ascii="Helvetica" w:hAnsi="Helvetica" w:cs="Helvetica"/>
          <w:color w:val="auto"/>
        </w:rPr>
        <w:t xml:space="preserve">Por otra parte, la tendencia a futuro de incremento en la demanda de Jet muestra la necesidad de importar lo que hace necesario, dar claridad en qué tipo de agente y bajo que condición puede realizarlas. </w:t>
      </w:r>
    </w:p>
    <w:p w14:paraId="003F8F8A" w14:textId="77777777" w:rsidR="001212B1" w:rsidRPr="00EF22E0" w:rsidRDefault="001212B1" w:rsidP="001212B1">
      <w:pPr>
        <w:spacing w:line="360" w:lineRule="auto"/>
        <w:jc w:val="left"/>
        <w:rPr>
          <w:rFonts w:ascii="Helvetica" w:hAnsi="Helvetica" w:cs="Helvetica"/>
          <w:szCs w:val="24"/>
        </w:rPr>
      </w:pPr>
    </w:p>
    <w:p w14:paraId="217257AF" w14:textId="497E55F0" w:rsidR="001212B1" w:rsidRPr="00EF22E0" w:rsidRDefault="001212B1" w:rsidP="001212B1">
      <w:pPr>
        <w:pStyle w:val="Descripcin"/>
        <w:spacing w:line="360" w:lineRule="auto"/>
        <w:rPr>
          <w:rFonts w:ascii="Helvetica" w:hAnsi="Helvetica" w:cs="Helvetica"/>
          <w:noProof/>
          <w:sz w:val="24"/>
          <w:szCs w:val="24"/>
        </w:rPr>
      </w:pPr>
      <w:bookmarkStart w:id="52" w:name="_Toc167896856"/>
      <w:r w:rsidRPr="00EF22E0">
        <w:rPr>
          <w:rFonts w:ascii="Helvetica" w:hAnsi="Helvetica" w:cs="Helvetica"/>
          <w:noProof/>
          <w:sz w:val="24"/>
          <w:szCs w:val="24"/>
        </w:rPr>
        <w:lastRenderedPageBreak/>
        <w:t xml:space="preserve">Figura </w:t>
      </w:r>
      <w:r w:rsidRPr="00EF22E0">
        <w:rPr>
          <w:rFonts w:ascii="Helvetica" w:hAnsi="Helvetica" w:cs="Helvetica"/>
          <w:noProof/>
          <w:sz w:val="24"/>
          <w:szCs w:val="24"/>
        </w:rPr>
        <w:fldChar w:fldCharType="begin"/>
      </w:r>
      <w:r w:rsidRPr="00EF22E0">
        <w:rPr>
          <w:rFonts w:ascii="Helvetica" w:hAnsi="Helvetica" w:cs="Helvetica"/>
          <w:noProof/>
          <w:sz w:val="24"/>
          <w:szCs w:val="24"/>
        </w:rPr>
        <w:instrText xml:space="preserve"> SEQ Figura \* ARABIC </w:instrText>
      </w:r>
      <w:r w:rsidRPr="00EF22E0">
        <w:rPr>
          <w:rFonts w:ascii="Helvetica" w:hAnsi="Helvetica" w:cs="Helvetica"/>
          <w:noProof/>
          <w:sz w:val="24"/>
          <w:szCs w:val="24"/>
        </w:rPr>
        <w:fldChar w:fldCharType="separate"/>
      </w:r>
      <w:r w:rsidR="00874DC3">
        <w:rPr>
          <w:rFonts w:ascii="Helvetica" w:hAnsi="Helvetica" w:cs="Helvetica"/>
          <w:noProof/>
          <w:sz w:val="24"/>
          <w:szCs w:val="24"/>
        </w:rPr>
        <w:t>16</w:t>
      </w:r>
      <w:r w:rsidRPr="00EF22E0">
        <w:rPr>
          <w:rFonts w:ascii="Helvetica" w:hAnsi="Helvetica" w:cs="Helvetica"/>
          <w:noProof/>
          <w:sz w:val="24"/>
          <w:szCs w:val="24"/>
        </w:rPr>
        <w:fldChar w:fldCharType="end"/>
      </w:r>
      <w:r w:rsidRPr="00EF22E0">
        <w:rPr>
          <w:rFonts w:ascii="Helvetica" w:hAnsi="Helvetica" w:cs="Helvetica"/>
          <w:noProof/>
          <w:sz w:val="24"/>
          <w:szCs w:val="24"/>
        </w:rPr>
        <w:t>. Esquema Problema 2</w:t>
      </w:r>
      <w:bookmarkEnd w:id="52"/>
    </w:p>
    <w:p w14:paraId="3A9A910B" w14:textId="77777777" w:rsidR="001212B1" w:rsidRPr="00EF22E0" w:rsidRDefault="001212B1" w:rsidP="001212B1">
      <w:pPr>
        <w:jc w:val="left"/>
        <w:rPr>
          <w:rFonts w:ascii="Helvetica" w:hAnsi="Helvetica" w:cs="Helvetica"/>
          <w:szCs w:val="24"/>
        </w:rPr>
      </w:pPr>
      <w:r w:rsidRPr="00EF22E0">
        <w:rPr>
          <w:rFonts w:ascii="Helvetica" w:hAnsi="Helvetica" w:cs="Helvetica"/>
          <w:noProof/>
          <w:szCs w:val="24"/>
        </w:rPr>
        <w:drawing>
          <wp:inline distT="0" distB="0" distL="0" distR="0" wp14:anchorId="39BB93B1" wp14:editId="6C1DC09E">
            <wp:extent cx="5972810" cy="3182587"/>
            <wp:effectExtent l="0" t="0" r="8890" b="18415"/>
            <wp:docPr id="10" name="Diagrama 10">
              <a:extLst xmlns:a="http://schemas.openxmlformats.org/drawingml/2006/main">
                <a:ext uri="{FF2B5EF4-FFF2-40B4-BE49-F238E27FC236}">
                  <a16:creationId xmlns:a16="http://schemas.microsoft.com/office/drawing/2014/main" id="{FA6FF496-7878-5AAE-B246-198B26B47D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6BB2B43" w14:textId="77777777" w:rsidR="001212B1" w:rsidRPr="00EF22E0" w:rsidRDefault="001212B1" w:rsidP="001212B1">
      <w:pPr>
        <w:jc w:val="left"/>
        <w:rPr>
          <w:rFonts w:ascii="Helvetica" w:hAnsi="Helvetica" w:cs="Helvetica"/>
          <w:szCs w:val="24"/>
        </w:rPr>
      </w:pPr>
    </w:p>
    <w:p w14:paraId="65778221" w14:textId="77777777" w:rsidR="001212B1" w:rsidRPr="00EF22E0" w:rsidRDefault="001212B1" w:rsidP="001212B1">
      <w:pPr>
        <w:pStyle w:val="Ttulo2"/>
        <w:numPr>
          <w:ilvl w:val="1"/>
          <w:numId w:val="1"/>
        </w:numPr>
        <w:spacing w:line="360" w:lineRule="auto"/>
        <w:ind w:left="578" w:hanging="578"/>
        <w:jc w:val="left"/>
        <w:rPr>
          <w:rFonts w:ascii="Helvetica" w:hAnsi="Helvetica" w:cs="Helvetica"/>
        </w:rPr>
      </w:pPr>
      <w:r w:rsidRPr="00EF22E0">
        <w:rPr>
          <w:rFonts w:ascii="Helvetica" w:hAnsi="Helvetica" w:cs="Helvetica"/>
        </w:rPr>
        <w:t>Posible traslado de costos ineficientes del producto importado y de la cadena de valor de importación.</w:t>
      </w:r>
    </w:p>
    <w:p w14:paraId="34C80F32"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De acuerdo con la información brindada por agentes que intervienen en la cadena de comercialización del combustible de aviación para motores tipo turbina, posiblemente existe una ineficiencia en el precio de suministro del producto importado y en los costos logísticos de internación, como consecuencia de un posible ejercicio de poder de mercado de parte del refinador (produce e importa), una ausencia de claridad en la forma en la que está planteada la remuneración de la actividad de importación y una posible ausencia de incentivos para optimizar tanto los costos del producto importado como los costos de fletes, seguros, etc. en los que debe incurrirse para llevar a cabo la importación y de la internación del producto desde puerto hasta los centros de consumo.</w:t>
      </w:r>
    </w:p>
    <w:p w14:paraId="79FBB785" w14:textId="77777777" w:rsidR="001212B1" w:rsidRPr="00EF22E0" w:rsidRDefault="001212B1" w:rsidP="001212B1">
      <w:pPr>
        <w:spacing w:line="360" w:lineRule="auto"/>
        <w:jc w:val="left"/>
        <w:rPr>
          <w:rFonts w:ascii="Helvetica" w:hAnsi="Helvetica" w:cs="Helvetica"/>
          <w:szCs w:val="24"/>
        </w:rPr>
      </w:pPr>
    </w:p>
    <w:p w14:paraId="48BC58A9" w14:textId="2C8BF3F4" w:rsidR="001212B1" w:rsidRPr="00EF22E0" w:rsidRDefault="001212B1" w:rsidP="001212B1">
      <w:pPr>
        <w:pStyle w:val="Descripcin"/>
        <w:spacing w:line="360" w:lineRule="auto"/>
        <w:rPr>
          <w:rFonts w:ascii="Helvetica" w:hAnsi="Helvetica" w:cs="Helvetica"/>
          <w:noProof/>
          <w:sz w:val="24"/>
          <w:szCs w:val="24"/>
        </w:rPr>
      </w:pPr>
      <w:bookmarkStart w:id="53" w:name="_Toc167896857"/>
      <w:r w:rsidRPr="00EF22E0">
        <w:rPr>
          <w:rFonts w:ascii="Helvetica" w:hAnsi="Helvetica" w:cs="Helvetica"/>
          <w:noProof/>
          <w:sz w:val="24"/>
          <w:szCs w:val="24"/>
        </w:rPr>
        <w:lastRenderedPageBreak/>
        <w:t xml:space="preserve">Figura </w:t>
      </w:r>
      <w:r w:rsidRPr="00EF22E0">
        <w:rPr>
          <w:rFonts w:ascii="Helvetica" w:hAnsi="Helvetica" w:cs="Helvetica"/>
          <w:noProof/>
          <w:sz w:val="24"/>
          <w:szCs w:val="24"/>
        </w:rPr>
        <w:fldChar w:fldCharType="begin"/>
      </w:r>
      <w:r w:rsidRPr="00EF22E0">
        <w:rPr>
          <w:rFonts w:ascii="Helvetica" w:hAnsi="Helvetica" w:cs="Helvetica"/>
          <w:noProof/>
          <w:sz w:val="24"/>
          <w:szCs w:val="24"/>
        </w:rPr>
        <w:instrText xml:space="preserve"> SEQ Figura \* ARABIC </w:instrText>
      </w:r>
      <w:r w:rsidRPr="00EF22E0">
        <w:rPr>
          <w:rFonts w:ascii="Helvetica" w:hAnsi="Helvetica" w:cs="Helvetica"/>
          <w:noProof/>
          <w:sz w:val="24"/>
          <w:szCs w:val="24"/>
        </w:rPr>
        <w:fldChar w:fldCharType="separate"/>
      </w:r>
      <w:r w:rsidR="00874DC3">
        <w:rPr>
          <w:rFonts w:ascii="Helvetica" w:hAnsi="Helvetica" w:cs="Helvetica"/>
          <w:noProof/>
          <w:sz w:val="24"/>
          <w:szCs w:val="24"/>
        </w:rPr>
        <w:t>17</w:t>
      </w:r>
      <w:r w:rsidRPr="00EF22E0">
        <w:rPr>
          <w:rFonts w:ascii="Helvetica" w:hAnsi="Helvetica" w:cs="Helvetica"/>
          <w:noProof/>
          <w:sz w:val="24"/>
          <w:szCs w:val="24"/>
        </w:rPr>
        <w:fldChar w:fldCharType="end"/>
      </w:r>
      <w:r w:rsidRPr="00EF22E0">
        <w:rPr>
          <w:rFonts w:ascii="Helvetica" w:hAnsi="Helvetica" w:cs="Helvetica"/>
          <w:noProof/>
          <w:sz w:val="24"/>
          <w:szCs w:val="24"/>
        </w:rPr>
        <w:t>. Esquema Problema 3</w:t>
      </w:r>
      <w:bookmarkEnd w:id="53"/>
    </w:p>
    <w:p w14:paraId="7CA2223C"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noProof/>
          <w:szCs w:val="24"/>
        </w:rPr>
        <w:drawing>
          <wp:inline distT="0" distB="0" distL="0" distR="0" wp14:anchorId="4C736D00" wp14:editId="03297FBB">
            <wp:extent cx="5972810" cy="3421118"/>
            <wp:effectExtent l="19050" t="0" r="8890" b="27305"/>
            <wp:docPr id="11" name="Diagrama 11">
              <a:extLst xmlns:a="http://schemas.openxmlformats.org/drawingml/2006/main">
                <a:ext uri="{FF2B5EF4-FFF2-40B4-BE49-F238E27FC236}">
                  <a16:creationId xmlns:a16="http://schemas.microsoft.com/office/drawing/2014/main" id="{FA6FF496-7878-5AAE-B246-198B26B47D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30845A4"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rPr>
        <w:t>Fuente: CREG.</w:t>
      </w:r>
    </w:p>
    <w:p w14:paraId="1F648982" w14:textId="77777777" w:rsidR="001212B1" w:rsidRPr="00EF22E0" w:rsidRDefault="001212B1" w:rsidP="001212B1">
      <w:pPr>
        <w:spacing w:line="360" w:lineRule="auto"/>
        <w:jc w:val="left"/>
        <w:rPr>
          <w:rFonts w:ascii="Helvetica" w:hAnsi="Helvetica" w:cs="Helvetica"/>
          <w:szCs w:val="24"/>
        </w:rPr>
      </w:pPr>
    </w:p>
    <w:p w14:paraId="6EFC0D7A"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En consecuencia, posiblemente hay un traslado ineficiente de costos al usuario final por lo que se plantea como objetivo establecer una metodología para determinar el valor eficiente del precio de suministro y de la logística asociada al traslado a puertos colombianos del producto importado, así como los costos logísticos de internación, mediante la creación de incentivos para la optimización de esos costos y la armonización de la normatividad relacionada con importación de combustible de aviación para motores tipo turbina de modo que se refleje el contexto actual del mercado.</w:t>
      </w:r>
    </w:p>
    <w:p w14:paraId="569DE593" w14:textId="77777777" w:rsidR="001212B1" w:rsidRPr="00EF22E0" w:rsidRDefault="001212B1" w:rsidP="001212B1">
      <w:pPr>
        <w:spacing w:line="360" w:lineRule="auto"/>
        <w:jc w:val="left"/>
        <w:rPr>
          <w:rFonts w:ascii="Helvetica" w:hAnsi="Helvetica" w:cs="Helvetica"/>
          <w:szCs w:val="24"/>
        </w:rPr>
      </w:pPr>
    </w:p>
    <w:p w14:paraId="027D13BE" w14:textId="77777777" w:rsidR="001212B1" w:rsidRPr="00EF22E0" w:rsidRDefault="001212B1" w:rsidP="001212B1">
      <w:pPr>
        <w:pStyle w:val="Ttulo2"/>
        <w:numPr>
          <w:ilvl w:val="1"/>
          <w:numId w:val="1"/>
        </w:numPr>
        <w:spacing w:line="360" w:lineRule="auto"/>
        <w:ind w:left="578" w:hanging="578"/>
        <w:rPr>
          <w:rFonts w:ascii="Helvetica" w:hAnsi="Helvetica" w:cs="Helvetica"/>
          <w:lang w:val="es-CO"/>
        </w:rPr>
      </w:pPr>
      <w:r w:rsidRPr="00EF22E0">
        <w:rPr>
          <w:rFonts w:ascii="Helvetica" w:hAnsi="Helvetica" w:cs="Helvetica"/>
          <w:lang w:val="es-CO"/>
        </w:rPr>
        <w:lastRenderedPageBreak/>
        <w:t>Posible asimetría de información entre agentes y frente al regulador (oferta – costos trasladados del producto importado)</w:t>
      </w:r>
    </w:p>
    <w:p w14:paraId="136B239D"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Cuando uno de los participantes en una operación tiene más información que el otro sobre el objeto del acuerdo se presenta asimetría de información. En otras palabras, una de las partes tiene más información sobre las características del bien o servicio que se vende.</w:t>
      </w:r>
    </w:p>
    <w:p w14:paraId="1041EB5F" w14:textId="77777777" w:rsidR="001212B1" w:rsidRPr="00EF22E0" w:rsidRDefault="001212B1" w:rsidP="001212B1">
      <w:pPr>
        <w:spacing w:line="360" w:lineRule="auto"/>
        <w:jc w:val="left"/>
        <w:rPr>
          <w:rFonts w:ascii="Helvetica" w:hAnsi="Helvetica" w:cs="Helvetica"/>
          <w:szCs w:val="24"/>
        </w:rPr>
      </w:pPr>
    </w:p>
    <w:p w14:paraId="4BEF61DE" w14:textId="77777777" w:rsidR="001212B1" w:rsidRPr="00EF22E0" w:rsidRDefault="001212B1" w:rsidP="001212B1">
      <w:pPr>
        <w:spacing w:line="360" w:lineRule="auto"/>
        <w:jc w:val="left"/>
        <w:rPr>
          <w:rFonts w:ascii="Helvetica" w:hAnsi="Helvetica" w:cs="Helvetica"/>
          <w:szCs w:val="24"/>
          <w:highlight w:val="darkCyan"/>
          <w:lang w:val="es-ES"/>
        </w:rPr>
      </w:pPr>
      <w:bookmarkStart w:id="54" w:name="_Int_i0TQOAbw"/>
      <w:r w:rsidRPr="00EF22E0">
        <w:rPr>
          <w:rFonts w:ascii="Helvetica" w:hAnsi="Helvetica" w:cs="Helvetica"/>
          <w:szCs w:val="24"/>
          <w:lang w:val="es-ES"/>
        </w:rPr>
        <w:t>En la comercialización del combustible de aviación para motores tipo turbina es posible que exista una asimetría de información, debido a que hay un posible desconocimiento de los costos de importación y el distribuidor mayorista no tiene conocimiento de la oferta proyectada del refinador en un período de más allá de tres meses, siendo solo el primer mes la oferta real.</w:t>
      </w:r>
      <w:bookmarkEnd w:id="54"/>
      <w:r w:rsidRPr="00EF22E0">
        <w:rPr>
          <w:rFonts w:ascii="Helvetica" w:hAnsi="Helvetica" w:cs="Helvetica"/>
          <w:szCs w:val="24"/>
          <w:lang w:val="es-ES"/>
        </w:rPr>
        <w:t xml:space="preserve"> Este problema se clasifica como de asimetría de información porque el refinador sí conoce la oferta proyectada (conoce el programa de producción y mantenimiento preventivo), pero en ausencia de la obligación de reporte de dicha información, ni sus clientes ni los entes de regulación, vigilancia y control tienen acceso a esta.</w:t>
      </w:r>
    </w:p>
    <w:p w14:paraId="398A70FE" w14:textId="3492127C" w:rsidR="001212B1" w:rsidRPr="00EF22E0" w:rsidRDefault="001212B1" w:rsidP="001212B1">
      <w:pPr>
        <w:pStyle w:val="Descripcin"/>
        <w:spacing w:line="360" w:lineRule="auto"/>
        <w:rPr>
          <w:rFonts w:ascii="Helvetica" w:hAnsi="Helvetica" w:cs="Helvetica"/>
          <w:noProof/>
          <w:sz w:val="24"/>
          <w:szCs w:val="24"/>
        </w:rPr>
      </w:pPr>
      <w:bookmarkStart w:id="55" w:name="_Toc167896858"/>
      <w:r w:rsidRPr="00EF22E0">
        <w:rPr>
          <w:rFonts w:ascii="Helvetica" w:hAnsi="Helvetica" w:cs="Helvetica"/>
          <w:noProof/>
          <w:sz w:val="24"/>
          <w:szCs w:val="24"/>
        </w:rPr>
        <w:lastRenderedPageBreak/>
        <w:t xml:space="preserve">Figura </w:t>
      </w:r>
      <w:r w:rsidRPr="00EF22E0">
        <w:rPr>
          <w:rFonts w:ascii="Helvetica" w:hAnsi="Helvetica" w:cs="Helvetica"/>
          <w:noProof/>
          <w:sz w:val="24"/>
          <w:szCs w:val="24"/>
        </w:rPr>
        <w:fldChar w:fldCharType="begin"/>
      </w:r>
      <w:r w:rsidRPr="00EF22E0">
        <w:rPr>
          <w:rFonts w:ascii="Helvetica" w:hAnsi="Helvetica" w:cs="Helvetica"/>
          <w:noProof/>
          <w:sz w:val="24"/>
          <w:szCs w:val="24"/>
        </w:rPr>
        <w:instrText xml:space="preserve"> SEQ Figura \* ARABIC </w:instrText>
      </w:r>
      <w:r w:rsidRPr="00EF22E0">
        <w:rPr>
          <w:rFonts w:ascii="Helvetica" w:hAnsi="Helvetica" w:cs="Helvetica"/>
          <w:noProof/>
          <w:sz w:val="24"/>
          <w:szCs w:val="24"/>
        </w:rPr>
        <w:fldChar w:fldCharType="separate"/>
      </w:r>
      <w:r w:rsidR="00874DC3">
        <w:rPr>
          <w:rFonts w:ascii="Helvetica" w:hAnsi="Helvetica" w:cs="Helvetica"/>
          <w:noProof/>
          <w:sz w:val="24"/>
          <w:szCs w:val="24"/>
        </w:rPr>
        <w:t>18</w:t>
      </w:r>
      <w:r w:rsidRPr="00EF22E0">
        <w:rPr>
          <w:rFonts w:ascii="Helvetica" w:hAnsi="Helvetica" w:cs="Helvetica"/>
          <w:noProof/>
          <w:sz w:val="24"/>
          <w:szCs w:val="24"/>
        </w:rPr>
        <w:fldChar w:fldCharType="end"/>
      </w:r>
      <w:r w:rsidRPr="00EF22E0">
        <w:rPr>
          <w:rFonts w:ascii="Helvetica" w:hAnsi="Helvetica" w:cs="Helvetica"/>
          <w:noProof/>
          <w:sz w:val="24"/>
          <w:szCs w:val="24"/>
        </w:rPr>
        <w:t>. Esquema Problema 4</w:t>
      </w:r>
      <w:bookmarkEnd w:id="55"/>
    </w:p>
    <w:p w14:paraId="0F1D96F8"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noProof/>
          <w:szCs w:val="24"/>
        </w:rPr>
        <w:drawing>
          <wp:inline distT="0" distB="0" distL="0" distR="0" wp14:anchorId="6A15DD88" wp14:editId="63E097E1">
            <wp:extent cx="6086475" cy="4133850"/>
            <wp:effectExtent l="0" t="0" r="28575" b="19050"/>
            <wp:docPr id="5" name="Diagrama 5">
              <a:extLst xmlns:a="http://schemas.openxmlformats.org/drawingml/2006/main">
                <a:ext uri="{FF2B5EF4-FFF2-40B4-BE49-F238E27FC236}">
                  <a16:creationId xmlns:a16="http://schemas.microsoft.com/office/drawing/2014/main" id="{8DDF841F-DF1E-C883-F5F7-FDA58589A43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D3561A3"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rPr>
        <w:t>Fuente: CREG.</w:t>
      </w:r>
    </w:p>
    <w:p w14:paraId="03EF973D" w14:textId="77777777" w:rsidR="001212B1" w:rsidRPr="00EF22E0" w:rsidRDefault="001212B1" w:rsidP="001212B1">
      <w:pPr>
        <w:spacing w:line="360" w:lineRule="auto"/>
        <w:jc w:val="left"/>
        <w:rPr>
          <w:rFonts w:ascii="Helvetica" w:hAnsi="Helvetica" w:cs="Helvetica"/>
          <w:szCs w:val="24"/>
        </w:rPr>
      </w:pPr>
    </w:p>
    <w:p w14:paraId="1989BDBA"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rPr>
        <w:t xml:space="preserve">La incertidumbre y la falta de comunicación del proceso de la importación pueden resultar en sobrecostos en el precio del combustible. Es posible que el distribuidor mayorista encuentre dificultades para planificar la demanda y, en última instancia, traslade costos ineficientes al usuario final. El propósito del desarrollo regulatorio es reducir significativamente el problema de </w:t>
      </w:r>
      <w:r w:rsidRPr="00EF22E0">
        <w:rPr>
          <w:rFonts w:ascii="Helvetica" w:hAnsi="Helvetica" w:cs="Helvetica"/>
          <w:szCs w:val="24"/>
          <w:lang w:val="es-CO"/>
        </w:rPr>
        <w:t xml:space="preserve">asimetría de información </w:t>
      </w:r>
      <w:r w:rsidRPr="00EF22E0">
        <w:rPr>
          <w:rFonts w:ascii="Helvetica" w:hAnsi="Helvetica" w:cs="Helvetica"/>
          <w:szCs w:val="24"/>
          <w:lang w:val="es-ES"/>
        </w:rPr>
        <w:t>mediante la definición de algún mecanismo de declaración de producción y de desagregación de costos, alternativas que se plantean más adelante.</w:t>
      </w:r>
    </w:p>
    <w:p w14:paraId="544055BF" w14:textId="77777777" w:rsidR="001212B1" w:rsidRPr="00EF22E0" w:rsidRDefault="001212B1" w:rsidP="001212B1">
      <w:pPr>
        <w:spacing w:line="360" w:lineRule="auto"/>
        <w:jc w:val="left"/>
        <w:rPr>
          <w:rFonts w:ascii="Helvetica" w:hAnsi="Helvetica" w:cs="Helvetica"/>
          <w:szCs w:val="24"/>
        </w:rPr>
      </w:pPr>
    </w:p>
    <w:p w14:paraId="43265DAC" w14:textId="77777777" w:rsidR="001212B1" w:rsidRPr="00EF22E0" w:rsidRDefault="001212B1" w:rsidP="001212B1">
      <w:pPr>
        <w:pStyle w:val="Ttulo2"/>
        <w:numPr>
          <w:ilvl w:val="1"/>
          <w:numId w:val="1"/>
        </w:numPr>
        <w:spacing w:line="360" w:lineRule="auto"/>
        <w:ind w:left="578" w:hanging="578"/>
        <w:rPr>
          <w:rFonts w:ascii="Helvetica" w:hAnsi="Helvetica" w:cs="Helvetica"/>
          <w:bCs/>
          <w:lang w:val="es-CO"/>
        </w:rPr>
      </w:pPr>
      <w:r w:rsidRPr="00EF22E0">
        <w:rPr>
          <w:rFonts w:ascii="Helvetica" w:hAnsi="Helvetica" w:cs="Helvetica"/>
          <w:bCs/>
        </w:rPr>
        <w:lastRenderedPageBreak/>
        <w:t xml:space="preserve">Ante el desconocimiento de la dinámica de la distribución mayorista y minorista, </w:t>
      </w:r>
      <w:r w:rsidRPr="00EF22E0">
        <w:rPr>
          <w:rFonts w:ascii="Helvetica" w:hAnsi="Helvetica" w:cs="Helvetica"/>
          <w:bCs/>
          <w:lang w:val="es-CO"/>
        </w:rPr>
        <w:t>posiblemente el régimen de precios requiere modificaciones.</w:t>
      </w:r>
    </w:p>
    <w:p w14:paraId="31E46ECB" w14:textId="77777777" w:rsidR="001212B1" w:rsidRPr="00EF22E0" w:rsidRDefault="001212B1" w:rsidP="001212B1">
      <w:pPr>
        <w:spacing w:line="360" w:lineRule="auto"/>
        <w:jc w:val="left"/>
        <w:rPr>
          <w:rFonts w:ascii="Helvetica" w:hAnsi="Helvetica" w:cs="Helvetica"/>
          <w:szCs w:val="24"/>
          <w:lang w:val="es-ES"/>
        </w:rPr>
      </w:pPr>
      <w:r w:rsidRPr="00EF22E0">
        <w:rPr>
          <w:rFonts w:ascii="Helvetica" w:hAnsi="Helvetica" w:cs="Helvetica"/>
          <w:szCs w:val="24"/>
          <w:lang w:val="es-ES"/>
        </w:rPr>
        <w:t>Dado que recientemente no se ha analizado la dinámica de mercado y como consecuencia de la existencia de un régimen de libertad vigilada con una concentración significativa de la actividad en pocos agentes económicos, es posible que se presenten precios ineficientes. En consecuencia, es conveniente examinar el régimen aplicable.</w:t>
      </w:r>
    </w:p>
    <w:p w14:paraId="237B3D63" w14:textId="77777777" w:rsidR="001212B1" w:rsidRPr="00EF22E0" w:rsidRDefault="001212B1" w:rsidP="001212B1">
      <w:pPr>
        <w:spacing w:line="360" w:lineRule="auto"/>
        <w:jc w:val="left"/>
        <w:rPr>
          <w:rFonts w:ascii="Helvetica" w:hAnsi="Helvetica" w:cs="Helvetica"/>
          <w:szCs w:val="24"/>
        </w:rPr>
      </w:pPr>
    </w:p>
    <w:p w14:paraId="49EEB80F" w14:textId="77777777" w:rsidR="001212B1" w:rsidRPr="00EF22E0" w:rsidRDefault="001212B1" w:rsidP="001212B1">
      <w:pPr>
        <w:spacing w:line="360" w:lineRule="auto"/>
        <w:jc w:val="left"/>
        <w:rPr>
          <w:rFonts w:ascii="Helvetica" w:hAnsi="Helvetica" w:cs="Helvetica"/>
          <w:szCs w:val="24"/>
          <w:lang w:val="es-CO"/>
        </w:rPr>
      </w:pPr>
      <w:r w:rsidRPr="00EF22E0">
        <w:rPr>
          <w:rFonts w:ascii="Helvetica" w:hAnsi="Helvetica" w:cs="Helvetica"/>
          <w:szCs w:val="24"/>
        </w:rPr>
        <w:t xml:space="preserve">En este sentido, se plantea profundizar en la identificación de los </w:t>
      </w:r>
      <w:r w:rsidRPr="00EF22E0">
        <w:rPr>
          <w:rFonts w:ascii="Helvetica" w:hAnsi="Helvetica" w:cs="Helvetica"/>
          <w:szCs w:val="24"/>
          <w:lang w:val="es-ES"/>
        </w:rPr>
        <w:t xml:space="preserve">mercados y sus características particulares, </w:t>
      </w:r>
      <w:r w:rsidRPr="00EF22E0">
        <w:rPr>
          <w:rFonts w:ascii="Helvetica" w:hAnsi="Helvetica" w:cs="Helvetica"/>
          <w:szCs w:val="24"/>
          <w:lang w:val="es-CO"/>
        </w:rPr>
        <w:t>seleccionando los índices adecuados para el análisis de competencia e identificando los mecanismos para el seguimiento de mercado con el fin de establecer un régimen de precios que corresponda con la necesidad del mercado mayorista de Jet.</w:t>
      </w:r>
    </w:p>
    <w:p w14:paraId="66180105" w14:textId="77777777" w:rsidR="001212B1" w:rsidRPr="00EF22E0" w:rsidRDefault="001212B1" w:rsidP="001212B1">
      <w:pPr>
        <w:spacing w:line="360" w:lineRule="auto"/>
        <w:jc w:val="left"/>
        <w:rPr>
          <w:rFonts w:ascii="Helvetica" w:hAnsi="Helvetica" w:cs="Helvetica"/>
          <w:szCs w:val="24"/>
          <w:lang w:val="es-CO"/>
        </w:rPr>
      </w:pPr>
    </w:p>
    <w:p w14:paraId="41EC1A65" w14:textId="6D7025E0" w:rsidR="001212B1" w:rsidRPr="00EF22E0" w:rsidRDefault="001212B1" w:rsidP="001212B1">
      <w:pPr>
        <w:pStyle w:val="Descripcin"/>
        <w:spacing w:line="360" w:lineRule="auto"/>
        <w:rPr>
          <w:rFonts w:ascii="Helvetica" w:hAnsi="Helvetica" w:cs="Helvetica"/>
          <w:sz w:val="24"/>
          <w:szCs w:val="24"/>
        </w:rPr>
      </w:pPr>
      <w:bookmarkStart w:id="56" w:name="_Toc167896859"/>
      <w:r w:rsidRPr="00EF22E0">
        <w:rPr>
          <w:rFonts w:ascii="Helvetica" w:hAnsi="Helvetica" w:cs="Helvetica"/>
          <w:noProof/>
          <w:sz w:val="24"/>
          <w:szCs w:val="24"/>
        </w:rPr>
        <w:t xml:space="preserve">Figura </w:t>
      </w:r>
      <w:r w:rsidRPr="00EF22E0">
        <w:rPr>
          <w:rFonts w:ascii="Helvetica" w:hAnsi="Helvetica" w:cs="Helvetica"/>
          <w:noProof/>
          <w:sz w:val="24"/>
          <w:szCs w:val="24"/>
        </w:rPr>
        <w:fldChar w:fldCharType="begin"/>
      </w:r>
      <w:r w:rsidRPr="00EF22E0">
        <w:rPr>
          <w:rFonts w:ascii="Helvetica" w:hAnsi="Helvetica" w:cs="Helvetica"/>
          <w:noProof/>
          <w:sz w:val="24"/>
          <w:szCs w:val="24"/>
        </w:rPr>
        <w:instrText xml:space="preserve"> SEQ Figura \* ARABIC </w:instrText>
      </w:r>
      <w:r w:rsidRPr="00EF22E0">
        <w:rPr>
          <w:rFonts w:ascii="Helvetica" w:hAnsi="Helvetica" w:cs="Helvetica"/>
          <w:noProof/>
          <w:sz w:val="24"/>
          <w:szCs w:val="24"/>
        </w:rPr>
        <w:fldChar w:fldCharType="separate"/>
      </w:r>
      <w:r w:rsidR="00874DC3">
        <w:rPr>
          <w:rFonts w:ascii="Helvetica" w:hAnsi="Helvetica" w:cs="Helvetica"/>
          <w:noProof/>
          <w:sz w:val="24"/>
          <w:szCs w:val="24"/>
        </w:rPr>
        <w:t>19</w:t>
      </w:r>
      <w:r w:rsidRPr="00EF22E0">
        <w:rPr>
          <w:rFonts w:ascii="Helvetica" w:hAnsi="Helvetica" w:cs="Helvetica"/>
          <w:noProof/>
          <w:sz w:val="24"/>
          <w:szCs w:val="24"/>
        </w:rPr>
        <w:fldChar w:fldCharType="end"/>
      </w:r>
      <w:r w:rsidRPr="00EF22E0">
        <w:rPr>
          <w:rFonts w:ascii="Helvetica" w:hAnsi="Helvetica" w:cs="Helvetica"/>
          <w:noProof/>
          <w:sz w:val="24"/>
          <w:szCs w:val="24"/>
        </w:rPr>
        <w:t xml:space="preserve">. </w:t>
      </w:r>
      <w:r w:rsidRPr="00EF22E0">
        <w:rPr>
          <w:rFonts w:ascii="Helvetica" w:hAnsi="Helvetica" w:cs="Helvetica"/>
          <w:sz w:val="24"/>
          <w:szCs w:val="24"/>
        </w:rPr>
        <w:t>Esquema Problema 5</w:t>
      </w:r>
      <w:bookmarkEnd w:id="56"/>
    </w:p>
    <w:p w14:paraId="19BD7F04"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noProof/>
          <w:szCs w:val="24"/>
        </w:rPr>
        <w:drawing>
          <wp:inline distT="0" distB="0" distL="0" distR="0" wp14:anchorId="3A2F6BAE" wp14:editId="4842BCFD">
            <wp:extent cx="5445760" cy="3265714"/>
            <wp:effectExtent l="0" t="0" r="21590" b="11430"/>
            <wp:docPr id="20" name="Diagrama 20">
              <a:extLst xmlns:a="http://schemas.openxmlformats.org/drawingml/2006/main">
                <a:ext uri="{FF2B5EF4-FFF2-40B4-BE49-F238E27FC236}">
                  <a16:creationId xmlns:a16="http://schemas.microsoft.com/office/drawing/2014/main" id="{B6353703-3A08-B82B-7AA6-C8070ACD357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5BE8CA1" w14:textId="77777777" w:rsidR="001212B1" w:rsidRPr="00EF22E0" w:rsidRDefault="001212B1" w:rsidP="001212B1">
      <w:pPr>
        <w:spacing w:line="360" w:lineRule="auto"/>
        <w:jc w:val="left"/>
        <w:rPr>
          <w:rFonts w:ascii="Helvetica" w:hAnsi="Helvetica" w:cs="Helvetica"/>
          <w:szCs w:val="24"/>
        </w:rPr>
      </w:pPr>
      <w:r w:rsidRPr="00EF22E0">
        <w:rPr>
          <w:rFonts w:ascii="Helvetica" w:hAnsi="Helvetica" w:cs="Helvetica"/>
          <w:szCs w:val="24"/>
        </w:rPr>
        <w:t>Fuente: CREG.</w:t>
      </w:r>
    </w:p>
    <w:p w14:paraId="4A25BD9A" w14:textId="77777777" w:rsidR="001212B1" w:rsidRPr="00BE4D69" w:rsidRDefault="001212B1" w:rsidP="001212B1">
      <w:pPr>
        <w:spacing w:line="360" w:lineRule="auto"/>
        <w:jc w:val="left"/>
        <w:rPr>
          <w:rFonts w:ascii="Helvetica" w:hAnsi="Helvetica" w:cs="Helvetica"/>
          <w:szCs w:val="24"/>
          <w:lang w:val="es-CO"/>
        </w:rPr>
      </w:pPr>
    </w:p>
    <w:p w14:paraId="24E790DE" w14:textId="77777777" w:rsidR="001212B1" w:rsidRPr="00BE4D69" w:rsidRDefault="001212B1" w:rsidP="001212B1">
      <w:pPr>
        <w:pStyle w:val="Ttulo1"/>
        <w:numPr>
          <w:ilvl w:val="0"/>
          <w:numId w:val="1"/>
        </w:numPr>
        <w:jc w:val="left"/>
        <w:rPr>
          <w:rFonts w:ascii="Helvetica" w:hAnsi="Helvetica" w:cs="Helvetica"/>
          <w:szCs w:val="24"/>
        </w:rPr>
      </w:pPr>
      <w:bookmarkStart w:id="57" w:name="_Toc167896838"/>
      <w:r w:rsidRPr="00BE4D69">
        <w:rPr>
          <w:rFonts w:ascii="Helvetica" w:hAnsi="Helvetica" w:cs="Helvetica"/>
          <w:szCs w:val="24"/>
        </w:rPr>
        <w:t>OBJETIVOS</w:t>
      </w:r>
      <w:bookmarkStart w:id="58" w:name="_Toc112943332"/>
      <w:bookmarkStart w:id="59" w:name="_Toc115266482"/>
      <w:bookmarkEnd w:id="57"/>
      <w:bookmarkEnd w:id="58"/>
      <w:bookmarkEnd w:id="59"/>
    </w:p>
    <w:p w14:paraId="62AD58E8" w14:textId="77777777" w:rsidR="001212B1" w:rsidRPr="00BE4D69" w:rsidRDefault="001212B1" w:rsidP="001212B1">
      <w:pPr>
        <w:spacing w:line="360" w:lineRule="auto"/>
        <w:jc w:val="left"/>
        <w:rPr>
          <w:rFonts w:ascii="Helvetica" w:hAnsi="Helvetica" w:cs="Helvetica"/>
          <w:szCs w:val="24"/>
        </w:rPr>
      </w:pPr>
      <w:r w:rsidRPr="00BE4D69">
        <w:rPr>
          <w:rFonts w:ascii="Helvetica" w:hAnsi="Helvetica" w:cs="Helvetica"/>
          <w:szCs w:val="24"/>
        </w:rPr>
        <w:t>Teniendo en cuenta todo lo anterior, y con base en los problemas presentados, se presentan los posibles objetivos identificados.</w:t>
      </w:r>
    </w:p>
    <w:p w14:paraId="2F38A854" w14:textId="77777777" w:rsidR="001212B1" w:rsidRPr="00BE4D69" w:rsidRDefault="001212B1" w:rsidP="001212B1">
      <w:pPr>
        <w:spacing w:line="360" w:lineRule="auto"/>
        <w:jc w:val="left"/>
        <w:rPr>
          <w:rFonts w:ascii="Helvetica" w:hAnsi="Helvetica" w:cs="Helvetica"/>
          <w:szCs w:val="24"/>
        </w:rPr>
      </w:pPr>
    </w:p>
    <w:p w14:paraId="2B9E7582" w14:textId="77777777" w:rsidR="001212B1" w:rsidRPr="00BE4D69" w:rsidRDefault="001212B1" w:rsidP="001212B1">
      <w:pPr>
        <w:pStyle w:val="Ttulo2"/>
        <w:numPr>
          <w:ilvl w:val="1"/>
          <w:numId w:val="1"/>
        </w:numPr>
        <w:ind w:left="578" w:hanging="578"/>
        <w:jc w:val="left"/>
        <w:rPr>
          <w:rFonts w:ascii="Helvetica" w:hAnsi="Helvetica" w:cs="Helvetica"/>
        </w:rPr>
      </w:pPr>
      <w:r w:rsidRPr="00BE4D69">
        <w:rPr>
          <w:rFonts w:ascii="Helvetica" w:hAnsi="Helvetica" w:cs="Helvetica"/>
        </w:rPr>
        <w:t>Problema 1. Posible falta de incentivos a la producción nacional</w:t>
      </w:r>
    </w:p>
    <w:p w14:paraId="790ED1A4" w14:textId="77777777" w:rsidR="001212B1" w:rsidRPr="00BE4D69" w:rsidRDefault="001212B1" w:rsidP="001212B1">
      <w:pPr>
        <w:pStyle w:val="Prrafodelista"/>
        <w:numPr>
          <w:ilvl w:val="0"/>
          <w:numId w:val="22"/>
        </w:numPr>
        <w:spacing w:line="360" w:lineRule="auto"/>
        <w:jc w:val="left"/>
        <w:rPr>
          <w:rFonts w:ascii="Helvetica" w:hAnsi="Helvetica" w:cs="Helvetica"/>
          <w:szCs w:val="24"/>
        </w:rPr>
      </w:pPr>
      <w:r w:rsidRPr="00BE4D69">
        <w:rPr>
          <w:rFonts w:ascii="Helvetica" w:hAnsi="Helvetica" w:cs="Helvetica"/>
          <w:szCs w:val="24"/>
        </w:rPr>
        <w:t>Objetivo general: Establecer incentivos al desarrollo de una producción nacional eficiente.</w:t>
      </w:r>
    </w:p>
    <w:p w14:paraId="488D837A" w14:textId="77777777" w:rsidR="001212B1" w:rsidRPr="00BE4D69" w:rsidRDefault="001212B1" w:rsidP="001212B1">
      <w:pPr>
        <w:pStyle w:val="Prrafodelista"/>
        <w:numPr>
          <w:ilvl w:val="0"/>
          <w:numId w:val="22"/>
        </w:numPr>
        <w:spacing w:line="360" w:lineRule="auto"/>
        <w:jc w:val="left"/>
        <w:rPr>
          <w:rFonts w:ascii="Helvetica" w:hAnsi="Helvetica" w:cs="Helvetica"/>
          <w:szCs w:val="24"/>
          <w:lang w:val="es-CO"/>
        </w:rPr>
      </w:pPr>
      <w:r w:rsidRPr="00BE4D69">
        <w:rPr>
          <w:rFonts w:ascii="Helvetica" w:hAnsi="Helvetica" w:cs="Helvetica"/>
          <w:szCs w:val="24"/>
        </w:rPr>
        <w:t>Objetivo específico: Remunerar eficientemente la producción nacional.</w:t>
      </w:r>
    </w:p>
    <w:p w14:paraId="77F9C5BF" w14:textId="77777777" w:rsidR="001212B1" w:rsidRPr="00BE4D69" w:rsidRDefault="001212B1" w:rsidP="001212B1">
      <w:pPr>
        <w:spacing w:line="360" w:lineRule="auto"/>
        <w:jc w:val="left"/>
        <w:rPr>
          <w:rFonts w:ascii="Helvetica" w:hAnsi="Helvetica" w:cs="Helvetica"/>
          <w:szCs w:val="24"/>
          <w:lang w:val="es-CO"/>
        </w:rPr>
      </w:pPr>
    </w:p>
    <w:p w14:paraId="442415D7" w14:textId="77777777" w:rsidR="001212B1" w:rsidRPr="00BE4D69" w:rsidRDefault="001212B1" w:rsidP="001212B1">
      <w:pPr>
        <w:pStyle w:val="Ttulo2"/>
        <w:numPr>
          <w:ilvl w:val="1"/>
          <w:numId w:val="1"/>
        </w:numPr>
        <w:ind w:left="578" w:hanging="578"/>
        <w:jc w:val="left"/>
        <w:rPr>
          <w:rFonts w:ascii="Helvetica" w:hAnsi="Helvetica" w:cs="Helvetica"/>
        </w:rPr>
      </w:pPr>
      <w:r w:rsidRPr="00BE4D69">
        <w:rPr>
          <w:rFonts w:ascii="Helvetica" w:hAnsi="Helvetica" w:cs="Helvetica"/>
        </w:rPr>
        <w:t>Problema 2. Ausencia de claridad en la norma para desarrollar la actividad de importación de Jet.</w:t>
      </w:r>
    </w:p>
    <w:p w14:paraId="3766B0D9" w14:textId="77777777" w:rsidR="001212B1" w:rsidRPr="00BE4D69" w:rsidRDefault="001212B1" w:rsidP="001212B1">
      <w:pPr>
        <w:jc w:val="left"/>
        <w:rPr>
          <w:rFonts w:ascii="Helvetica" w:hAnsi="Helvetica" w:cs="Helvetica"/>
          <w:szCs w:val="24"/>
          <w:lang w:val="es-CO"/>
        </w:rPr>
      </w:pPr>
    </w:p>
    <w:p w14:paraId="799B4334" w14:textId="77777777" w:rsidR="001212B1" w:rsidRPr="00BE4D69" w:rsidRDefault="001212B1" w:rsidP="001212B1">
      <w:pPr>
        <w:pStyle w:val="Prrafodelista"/>
        <w:numPr>
          <w:ilvl w:val="0"/>
          <w:numId w:val="21"/>
        </w:numPr>
        <w:spacing w:line="360" w:lineRule="auto"/>
        <w:jc w:val="left"/>
        <w:rPr>
          <w:rFonts w:ascii="Helvetica" w:hAnsi="Helvetica" w:cs="Helvetica"/>
          <w:szCs w:val="24"/>
          <w:lang w:val="es-CO"/>
        </w:rPr>
      </w:pPr>
      <w:r w:rsidRPr="00BE4D69">
        <w:rPr>
          <w:rFonts w:ascii="Helvetica" w:hAnsi="Helvetica" w:cs="Helvetica"/>
          <w:szCs w:val="24"/>
          <w:lang w:val="es-CO"/>
        </w:rPr>
        <w:t>Objetivo general: Analizar la normatividad aplicable a la importación de Jet de cara al contexto actual y futuro del mercado.</w:t>
      </w:r>
    </w:p>
    <w:p w14:paraId="546E21F1" w14:textId="77777777" w:rsidR="001212B1" w:rsidRPr="00BE4D69" w:rsidRDefault="001212B1" w:rsidP="001212B1">
      <w:pPr>
        <w:pStyle w:val="Prrafodelista"/>
        <w:numPr>
          <w:ilvl w:val="0"/>
          <w:numId w:val="21"/>
        </w:numPr>
        <w:spacing w:line="360" w:lineRule="auto"/>
        <w:jc w:val="left"/>
        <w:rPr>
          <w:rFonts w:ascii="Helvetica" w:hAnsi="Helvetica" w:cs="Helvetica"/>
          <w:szCs w:val="24"/>
          <w:lang w:val="es-CO"/>
        </w:rPr>
      </w:pPr>
      <w:r w:rsidRPr="00BE4D69">
        <w:rPr>
          <w:rFonts w:ascii="Helvetica" w:hAnsi="Helvetica" w:cs="Helvetica"/>
          <w:szCs w:val="24"/>
          <w:lang w:val="es-CO"/>
        </w:rPr>
        <w:t>Objetivo específico: Establecer qué agente de la cadena y en qué condiciones puede llevar a cabo la actividad de importación de Jet.</w:t>
      </w:r>
    </w:p>
    <w:p w14:paraId="201904BA" w14:textId="77777777" w:rsidR="001212B1" w:rsidRPr="00BE4D69" w:rsidRDefault="001212B1" w:rsidP="001212B1">
      <w:pPr>
        <w:spacing w:line="360" w:lineRule="auto"/>
        <w:jc w:val="left"/>
        <w:rPr>
          <w:rFonts w:ascii="Helvetica" w:hAnsi="Helvetica" w:cs="Helvetica"/>
          <w:szCs w:val="24"/>
          <w:lang w:val="es-CO"/>
        </w:rPr>
      </w:pPr>
    </w:p>
    <w:p w14:paraId="7AD715CE" w14:textId="77777777" w:rsidR="001212B1" w:rsidRPr="00BE4D69" w:rsidRDefault="001212B1" w:rsidP="001212B1">
      <w:pPr>
        <w:pStyle w:val="Ttulo2"/>
        <w:numPr>
          <w:ilvl w:val="1"/>
          <w:numId w:val="1"/>
        </w:numPr>
        <w:ind w:left="578" w:hanging="578"/>
        <w:jc w:val="left"/>
        <w:rPr>
          <w:rFonts w:ascii="Helvetica" w:hAnsi="Helvetica" w:cs="Helvetica"/>
        </w:rPr>
      </w:pPr>
      <w:r w:rsidRPr="00BE4D69">
        <w:rPr>
          <w:rFonts w:ascii="Helvetica" w:hAnsi="Helvetica" w:cs="Helvetica"/>
        </w:rPr>
        <w:t>Problema 3. Posible traslado de costos ineficientes del producto importado y de la cadena de valor de importación.</w:t>
      </w:r>
    </w:p>
    <w:p w14:paraId="286C6F8E" w14:textId="77777777" w:rsidR="001212B1" w:rsidRPr="00BE4D69" w:rsidRDefault="001212B1" w:rsidP="001212B1">
      <w:pPr>
        <w:pStyle w:val="Prrafodelista"/>
        <w:numPr>
          <w:ilvl w:val="0"/>
          <w:numId w:val="23"/>
        </w:numPr>
        <w:spacing w:line="360" w:lineRule="auto"/>
        <w:ind w:left="1069"/>
        <w:jc w:val="left"/>
        <w:rPr>
          <w:rFonts w:ascii="Helvetica" w:hAnsi="Helvetica" w:cs="Helvetica"/>
          <w:szCs w:val="24"/>
          <w:lang w:val="es-CO"/>
        </w:rPr>
      </w:pPr>
      <w:r w:rsidRPr="00BE4D69">
        <w:rPr>
          <w:rFonts w:ascii="Helvetica" w:hAnsi="Helvetica" w:cs="Helvetica"/>
          <w:szCs w:val="24"/>
          <w:lang w:val="es-CO"/>
        </w:rPr>
        <w:t>Objetivo general: Establecer una metodología para determinar el valor eficiente del precio del producto importado y los costos logísticos (Fletes, seguros, etc.)</w:t>
      </w:r>
    </w:p>
    <w:p w14:paraId="63006DD4" w14:textId="77777777" w:rsidR="001212B1" w:rsidRPr="00BE4D69" w:rsidRDefault="001212B1" w:rsidP="001212B1">
      <w:pPr>
        <w:pStyle w:val="Prrafodelista"/>
        <w:numPr>
          <w:ilvl w:val="0"/>
          <w:numId w:val="23"/>
        </w:numPr>
        <w:spacing w:line="360" w:lineRule="auto"/>
        <w:ind w:left="1069"/>
        <w:jc w:val="left"/>
        <w:rPr>
          <w:rFonts w:ascii="Helvetica" w:hAnsi="Helvetica" w:cs="Helvetica"/>
          <w:szCs w:val="24"/>
          <w:lang w:val="es-CO"/>
        </w:rPr>
      </w:pPr>
      <w:r w:rsidRPr="00BE4D69">
        <w:rPr>
          <w:rFonts w:ascii="Helvetica" w:hAnsi="Helvetica" w:cs="Helvetica"/>
          <w:szCs w:val="24"/>
          <w:lang w:val="es-CO"/>
        </w:rPr>
        <w:t>Objetivos específicos: Establecer incentivos para la optimización de costos.</w:t>
      </w:r>
    </w:p>
    <w:p w14:paraId="228256A7" w14:textId="77777777" w:rsidR="001212B1" w:rsidRPr="00BE4D69" w:rsidRDefault="001212B1" w:rsidP="001212B1">
      <w:pPr>
        <w:spacing w:line="360" w:lineRule="auto"/>
        <w:ind w:left="720"/>
        <w:jc w:val="left"/>
        <w:rPr>
          <w:rFonts w:ascii="Helvetica" w:hAnsi="Helvetica" w:cs="Helvetica"/>
          <w:szCs w:val="24"/>
          <w:lang w:val="es-CO"/>
        </w:rPr>
      </w:pPr>
    </w:p>
    <w:p w14:paraId="7D430913" w14:textId="77777777" w:rsidR="001212B1" w:rsidRPr="00BE4D69" w:rsidRDefault="001212B1" w:rsidP="001212B1">
      <w:pPr>
        <w:pStyle w:val="Ttulo2"/>
        <w:numPr>
          <w:ilvl w:val="1"/>
          <w:numId w:val="1"/>
        </w:numPr>
        <w:ind w:left="578" w:hanging="578"/>
        <w:rPr>
          <w:rFonts w:ascii="Helvetica" w:hAnsi="Helvetica" w:cs="Helvetica"/>
        </w:rPr>
      </w:pPr>
      <w:r w:rsidRPr="00BE4D69">
        <w:rPr>
          <w:rFonts w:ascii="Helvetica" w:hAnsi="Helvetica" w:cs="Helvetica"/>
        </w:rPr>
        <w:t>Problema 4. Posible asimetría de información entre agentes y frente al regulador (oferta – costos trasladados del producto importado).</w:t>
      </w:r>
    </w:p>
    <w:p w14:paraId="0FC017E4" w14:textId="77777777" w:rsidR="001212B1" w:rsidRPr="00BE4D69" w:rsidRDefault="001212B1" w:rsidP="001212B1">
      <w:pPr>
        <w:pStyle w:val="Prrafodelista"/>
        <w:numPr>
          <w:ilvl w:val="0"/>
          <w:numId w:val="24"/>
        </w:numPr>
        <w:spacing w:line="360" w:lineRule="auto"/>
        <w:jc w:val="left"/>
        <w:rPr>
          <w:rFonts w:ascii="Helvetica" w:hAnsi="Helvetica" w:cs="Helvetica"/>
          <w:szCs w:val="24"/>
          <w:lang w:val="es-CO"/>
        </w:rPr>
      </w:pPr>
      <w:r w:rsidRPr="00BE4D69">
        <w:rPr>
          <w:rFonts w:ascii="Helvetica" w:hAnsi="Helvetica" w:cs="Helvetica"/>
          <w:szCs w:val="24"/>
          <w:lang w:val="es-CO"/>
        </w:rPr>
        <w:t>Objetivo general: Eliminar asimetría de información relacionada con la oferta nacional e importada y los costos del producto importado.</w:t>
      </w:r>
    </w:p>
    <w:p w14:paraId="57612E37" w14:textId="77777777" w:rsidR="001212B1" w:rsidRPr="00BE4D69" w:rsidRDefault="001212B1" w:rsidP="001212B1">
      <w:pPr>
        <w:pStyle w:val="Prrafodelista"/>
        <w:numPr>
          <w:ilvl w:val="0"/>
          <w:numId w:val="24"/>
        </w:numPr>
        <w:jc w:val="left"/>
        <w:rPr>
          <w:rFonts w:ascii="Helvetica" w:hAnsi="Helvetica" w:cs="Helvetica"/>
          <w:szCs w:val="24"/>
          <w:lang w:val="es-CO"/>
        </w:rPr>
      </w:pPr>
      <w:r w:rsidRPr="00BE4D69">
        <w:rPr>
          <w:rFonts w:ascii="Helvetica" w:hAnsi="Helvetica" w:cs="Helvetica"/>
          <w:szCs w:val="24"/>
          <w:lang w:val="es-CO"/>
        </w:rPr>
        <w:lastRenderedPageBreak/>
        <w:t>Objetivo específico: Promover el reporte de información y la trasparencia en las relaciones comerciales</w:t>
      </w:r>
    </w:p>
    <w:p w14:paraId="4636CA26" w14:textId="77777777" w:rsidR="001212B1" w:rsidRPr="00BE4D69" w:rsidRDefault="001212B1" w:rsidP="001212B1">
      <w:pPr>
        <w:jc w:val="left"/>
        <w:rPr>
          <w:rFonts w:ascii="Helvetica" w:hAnsi="Helvetica" w:cs="Helvetica"/>
          <w:szCs w:val="24"/>
          <w:lang w:val="es-CO"/>
        </w:rPr>
      </w:pPr>
    </w:p>
    <w:p w14:paraId="3EF5E94C" w14:textId="77777777" w:rsidR="001212B1" w:rsidRPr="00BE4D69" w:rsidRDefault="001212B1" w:rsidP="001212B1">
      <w:pPr>
        <w:pStyle w:val="Ttulo2"/>
        <w:numPr>
          <w:ilvl w:val="1"/>
          <w:numId w:val="1"/>
        </w:numPr>
        <w:ind w:left="578" w:hanging="578"/>
        <w:rPr>
          <w:rFonts w:ascii="Helvetica" w:hAnsi="Helvetica" w:cs="Helvetica"/>
          <w:lang w:val="es-CO"/>
        </w:rPr>
      </w:pPr>
      <w:r w:rsidRPr="00BE4D69">
        <w:rPr>
          <w:rFonts w:ascii="Helvetica" w:hAnsi="Helvetica" w:cs="Helvetica"/>
        </w:rPr>
        <w:t xml:space="preserve">Problema 5: Ante el desconocimiento de la dinámica de mercado en la distribución mayorista y minorista, </w:t>
      </w:r>
      <w:r w:rsidRPr="00BE4D69">
        <w:rPr>
          <w:rFonts w:ascii="Helvetica" w:hAnsi="Helvetica" w:cs="Helvetica"/>
          <w:lang w:val="es-CO"/>
        </w:rPr>
        <w:t>posiblemente el régimen de precios no es el adecuado</w:t>
      </w:r>
      <w:r w:rsidRPr="00BE4D69">
        <w:rPr>
          <w:rFonts w:ascii="Helvetica" w:hAnsi="Helvetica" w:cs="Helvetica"/>
        </w:rPr>
        <w:t>.</w:t>
      </w:r>
    </w:p>
    <w:p w14:paraId="7B03EC1C" w14:textId="77777777" w:rsidR="001212B1" w:rsidRPr="00BE4D69" w:rsidRDefault="001212B1" w:rsidP="001212B1">
      <w:pPr>
        <w:pStyle w:val="Prrafodelista"/>
        <w:numPr>
          <w:ilvl w:val="0"/>
          <w:numId w:val="25"/>
        </w:numPr>
        <w:spacing w:line="360" w:lineRule="auto"/>
        <w:rPr>
          <w:rFonts w:ascii="Helvetica" w:hAnsi="Helvetica" w:cs="Helvetica"/>
          <w:szCs w:val="24"/>
        </w:rPr>
      </w:pPr>
      <w:r w:rsidRPr="00BE4D69">
        <w:rPr>
          <w:rFonts w:ascii="Helvetica" w:hAnsi="Helvetica" w:cs="Helvetica"/>
          <w:szCs w:val="24"/>
          <w:lang w:val="es-CO"/>
        </w:rPr>
        <w:t xml:space="preserve">Objetivo general: </w:t>
      </w:r>
      <w:r w:rsidRPr="00BE4D69">
        <w:rPr>
          <w:rFonts w:ascii="Helvetica" w:hAnsi="Helvetica" w:cs="Helvetica"/>
          <w:szCs w:val="24"/>
        </w:rPr>
        <w:t>Establecer el régimen de precios que corresponda con la necesidad del mercado mayorista y minorista de Jet.</w:t>
      </w:r>
    </w:p>
    <w:p w14:paraId="6085F6C4" w14:textId="77777777" w:rsidR="001212B1" w:rsidRPr="00BE4D69" w:rsidRDefault="001212B1" w:rsidP="001212B1">
      <w:pPr>
        <w:pStyle w:val="Prrafodelista"/>
        <w:numPr>
          <w:ilvl w:val="0"/>
          <w:numId w:val="25"/>
        </w:numPr>
        <w:spacing w:line="360" w:lineRule="auto"/>
        <w:rPr>
          <w:rFonts w:ascii="Helvetica" w:hAnsi="Helvetica" w:cs="Helvetica"/>
          <w:szCs w:val="24"/>
        </w:rPr>
      </w:pPr>
      <w:r w:rsidRPr="00BE4D69">
        <w:rPr>
          <w:rFonts w:ascii="Helvetica" w:hAnsi="Helvetica" w:cs="Helvetica"/>
          <w:szCs w:val="24"/>
          <w:lang w:val="es-CO"/>
        </w:rPr>
        <w:t xml:space="preserve">Objetivos específicos: i) </w:t>
      </w:r>
      <w:r w:rsidRPr="00BE4D69">
        <w:rPr>
          <w:rFonts w:ascii="Helvetica" w:hAnsi="Helvetica" w:cs="Helvetica"/>
          <w:szCs w:val="24"/>
          <w:lang w:val="es-ES"/>
        </w:rPr>
        <w:t xml:space="preserve">Identificar mercados y características particulares, ii) </w:t>
      </w:r>
      <w:r w:rsidRPr="00BE4D69">
        <w:rPr>
          <w:rFonts w:ascii="Helvetica" w:hAnsi="Helvetica" w:cs="Helvetica"/>
          <w:szCs w:val="24"/>
          <w:lang w:val="es-CO"/>
        </w:rPr>
        <w:t>Escoger los índices adecuados para el análisis de competencia, iii) Identificar mecanismos para el seguimiento de mercado.</w:t>
      </w:r>
    </w:p>
    <w:p w14:paraId="0E589C24" w14:textId="77777777" w:rsidR="001212B1" w:rsidRDefault="001212B1" w:rsidP="001212B1">
      <w:pPr>
        <w:spacing w:line="360" w:lineRule="auto"/>
        <w:rPr>
          <w:rFonts w:ascii="Helvetica" w:hAnsi="Helvetica" w:cs="Helvetica"/>
          <w:szCs w:val="24"/>
        </w:rPr>
      </w:pPr>
    </w:p>
    <w:p w14:paraId="786AC9DF" w14:textId="77777777" w:rsidR="001212B1" w:rsidRDefault="001212B1" w:rsidP="001212B1">
      <w:pPr>
        <w:spacing w:line="360" w:lineRule="auto"/>
        <w:rPr>
          <w:rFonts w:ascii="Helvetica" w:hAnsi="Helvetica" w:cs="Helvetica"/>
          <w:szCs w:val="24"/>
        </w:rPr>
      </w:pPr>
    </w:p>
    <w:p w14:paraId="33CF6414" w14:textId="77777777" w:rsidR="001212B1" w:rsidRDefault="001212B1" w:rsidP="001212B1">
      <w:pPr>
        <w:jc w:val="left"/>
        <w:rPr>
          <w:rFonts w:ascii="Helvetica" w:hAnsi="Helvetica" w:cs="Helvetica"/>
          <w:szCs w:val="24"/>
          <w:lang w:val="es-CO"/>
        </w:rPr>
      </w:pPr>
      <w:r>
        <w:rPr>
          <w:rFonts w:ascii="Helvetica" w:hAnsi="Helvetica" w:cs="Helvetica"/>
          <w:szCs w:val="24"/>
          <w:lang w:val="es-CO"/>
        </w:rPr>
        <w:br w:type="page"/>
      </w:r>
    </w:p>
    <w:p w14:paraId="363F14AE" w14:textId="77777777" w:rsidR="001212B1" w:rsidRPr="00F77DFC" w:rsidRDefault="001212B1" w:rsidP="001212B1">
      <w:pPr>
        <w:spacing w:line="360" w:lineRule="auto"/>
        <w:jc w:val="left"/>
        <w:rPr>
          <w:rFonts w:ascii="Helvetica" w:hAnsi="Helvetica" w:cs="Helvetica"/>
          <w:szCs w:val="24"/>
          <w:lang w:val="es-CO"/>
        </w:rPr>
      </w:pPr>
    </w:p>
    <w:p w14:paraId="2D0920A4" w14:textId="77777777" w:rsidR="001212B1" w:rsidRPr="008A1AB5" w:rsidRDefault="001212B1" w:rsidP="001212B1">
      <w:pPr>
        <w:pStyle w:val="Ttulo1"/>
        <w:numPr>
          <w:ilvl w:val="0"/>
          <w:numId w:val="1"/>
        </w:numPr>
        <w:jc w:val="left"/>
        <w:rPr>
          <w:rFonts w:ascii="Helvetica" w:hAnsi="Helvetica" w:cs="Helvetica"/>
          <w:szCs w:val="24"/>
        </w:rPr>
      </w:pPr>
      <w:bookmarkStart w:id="60" w:name="_Toc116458453"/>
      <w:bookmarkStart w:id="61" w:name="_Toc122592553"/>
      <w:bookmarkStart w:id="62" w:name="_Toc122592607"/>
      <w:bookmarkStart w:id="63" w:name="_Toc167896839"/>
      <w:r w:rsidRPr="00F77DFC">
        <w:rPr>
          <w:rFonts w:ascii="Helvetica" w:hAnsi="Helvetica" w:cs="Helvetica"/>
          <w:szCs w:val="24"/>
        </w:rPr>
        <w:t>ALTERNATIVAS</w:t>
      </w:r>
      <w:bookmarkEnd w:id="60"/>
      <w:bookmarkEnd w:id="61"/>
      <w:bookmarkEnd w:id="62"/>
      <w:bookmarkEnd w:id="63"/>
    </w:p>
    <w:p w14:paraId="52360DB7" w14:textId="77777777" w:rsidR="001212B1" w:rsidRPr="006A0E67" w:rsidRDefault="001212B1" w:rsidP="001212B1">
      <w:pPr>
        <w:spacing w:line="360" w:lineRule="auto"/>
        <w:jc w:val="left"/>
        <w:rPr>
          <w:rFonts w:ascii="Helvetica" w:hAnsi="Helvetica" w:cs="Helvetica"/>
          <w:szCs w:val="24"/>
        </w:rPr>
      </w:pPr>
      <w:r w:rsidRPr="006A0E67">
        <w:rPr>
          <w:rFonts w:ascii="Helvetica" w:hAnsi="Helvetica" w:cs="Helvetica"/>
          <w:szCs w:val="24"/>
        </w:rPr>
        <w:t>Teniendo en cuenta los análisis anteriores, y con base en los problemas</w:t>
      </w:r>
      <w:r>
        <w:rPr>
          <w:rFonts w:ascii="Helvetica" w:hAnsi="Helvetica" w:cs="Helvetica"/>
          <w:szCs w:val="24"/>
        </w:rPr>
        <w:t xml:space="preserve"> </w:t>
      </w:r>
      <w:r w:rsidRPr="006A0E67">
        <w:rPr>
          <w:rFonts w:ascii="Helvetica" w:hAnsi="Helvetica" w:cs="Helvetica"/>
          <w:szCs w:val="24"/>
        </w:rPr>
        <w:t>presentados, se presentan l</w:t>
      </w:r>
      <w:r>
        <w:rPr>
          <w:rFonts w:ascii="Helvetica" w:hAnsi="Helvetica" w:cs="Helvetica"/>
          <w:szCs w:val="24"/>
        </w:rPr>
        <w:t>o</w:t>
      </w:r>
      <w:r w:rsidRPr="006A0E67">
        <w:rPr>
          <w:rFonts w:ascii="Helvetica" w:hAnsi="Helvetica" w:cs="Helvetica"/>
          <w:szCs w:val="24"/>
        </w:rPr>
        <w:t xml:space="preserve">s posibles </w:t>
      </w:r>
      <w:r>
        <w:rPr>
          <w:rFonts w:ascii="Helvetica" w:hAnsi="Helvetica" w:cs="Helvetica"/>
          <w:szCs w:val="24"/>
        </w:rPr>
        <w:t xml:space="preserve">objetivos y </w:t>
      </w:r>
      <w:r w:rsidRPr="006A0E67">
        <w:rPr>
          <w:rFonts w:ascii="Helvetica" w:hAnsi="Helvetica" w:cs="Helvetica"/>
          <w:szCs w:val="24"/>
        </w:rPr>
        <w:t>alternativas identificadas.</w:t>
      </w:r>
    </w:p>
    <w:p w14:paraId="7EB91306" w14:textId="77777777" w:rsidR="001212B1" w:rsidRPr="00EF22E0" w:rsidRDefault="001212B1" w:rsidP="001212B1">
      <w:pPr>
        <w:spacing w:line="360" w:lineRule="auto"/>
        <w:jc w:val="left"/>
        <w:rPr>
          <w:rFonts w:ascii="Helvetica" w:hAnsi="Helvetica" w:cs="Helvetica"/>
          <w:szCs w:val="24"/>
        </w:rPr>
      </w:pPr>
    </w:p>
    <w:p w14:paraId="1D1BBC73" w14:textId="77777777" w:rsidR="001212B1" w:rsidRPr="00EF22E0" w:rsidRDefault="001212B1" w:rsidP="001212B1">
      <w:pPr>
        <w:pStyle w:val="Ttulo2"/>
        <w:numPr>
          <w:ilvl w:val="1"/>
          <w:numId w:val="1"/>
        </w:numPr>
        <w:ind w:left="578" w:hanging="578"/>
        <w:jc w:val="left"/>
        <w:rPr>
          <w:rFonts w:ascii="Helvetica" w:hAnsi="Helvetica" w:cs="Helvetica"/>
        </w:rPr>
      </w:pPr>
      <w:r w:rsidRPr="00EF22E0">
        <w:rPr>
          <w:rFonts w:ascii="Helvetica" w:hAnsi="Helvetica" w:cs="Helvetica"/>
        </w:rPr>
        <w:t>Problema 1. Posible falta de incentivos a la producción nacional</w:t>
      </w:r>
    </w:p>
    <w:p w14:paraId="4C195793" w14:textId="77777777" w:rsidR="001212B1" w:rsidRPr="00EF22E0" w:rsidRDefault="001212B1" w:rsidP="001212B1">
      <w:pPr>
        <w:pStyle w:val="Prrafodelista"/>
        <w:numPr>
          <w:ilvl w:val="0"/>
          <w:numId w:val="22"/>
        </w:numPr>
        <w:spacing w:line="360" w:lineRule="auto"/>
        <w:jc w:val="left"/>
        <w:rPr>
          <w:rFonts w:ascii="Helvetica" w:hAnsi="Helvetica" w:cs="Helvetica"/>
          <w:szCs w:val="24"/>
        </w:rPr>
      </w:pPr>
      <w:r w:rsidRPr="00EF22E0">
        <w:rPr>
          <w:rFonts w:ascii="Helvetica" w:hAnsi="Helvetica" w:cs="Helvetica"/>
          <w:szCs w:val="24"/>
        </w:rPr>
        <w:t>Objetivo general: Establecer incentivos al desarrollo de una producción nacional eficiente.</w:t>
      </w:r>
    </w:p>
    <w:p w14:paraId="03418D67" w14:textId="77777777" w:rsidR="001212B1" w:rsidRPr="00EF22E0" w:rsidRDefault="001212B1" w:rsidP="001212B1">
      <w:pPr>
        <w:pStyle w:val="Prrafodelista"/>
        <w:numPr>
          <w:ilvl w:val="0"/>
          <w:numId w:val="22"/>
        </w:numPr>
        <w:spacing w:line="360" w:lineRule="auto"/>
        <w:jc w:val="left"/>
        <w:rPr>
          <w:rFonts w:ascii="Helvetica" w:hAnsi="Helvetica" w:cs="Helvetica"/>
          <w:szCs w:val="24"/>
          <w:lang w:val="es-CO"/>
        </w:rPr>
      </w:pPr>
      <w:r w:rsidRPr="00EF22E0">
        <w:rPr>
          <w:rFonts w:ascii="Helvetica" w:hAnsi="Helvetica" w:cs="Helvetica"/>
          <w:szCs w:val="24"/>
        </w:rPr>
        <w:t>Objetivo específico: Remunerar eficientemente la producción nacional.</w:t>
      </w:r>
    </w:p>
    <w:p w14:paraId="04DA6A95" w14:textId="77777777" w:rsidR="001212B1" w:rsidRPr="00EF22E0" w:rsidRDefault="001212B1" w:rsidP="001212B1">
      <w:pPr>
        <w:spacing w:line="360" w:lineRule="auto"/>
        <w:jc w:val="left"/>
        <w:rPr>
          <w:rFonts w:ascii="Helvetica" w:hAnsi="Helvetica" w:cs="Helvetica"/>
          <w:szCs w:val="24"/>
          <w:lang w:val="es-CO"/>
        </w:rPr>
      </w:pPr>
    </w:p>
    <w:p w14:paraId="4A379884" w14:textId="77777777" w:rsidR="001212B1" w:rsidRPr="00F77DFC" w:rsidRDefault="001212B1" w:rsidP="001212B1">
      <w:pPr>
        <w:pStyle w:val="Ttulo3"/>
        <w:numPr>
          <w:ilvl w:val="2"/>
          <w:numId w:val="1"/>
        </w:numPr>
        <w:ind w:hanging="1004"/>
        <w:jc w:val="left"/>
        <w:rPr>
          <w:rFonts w:ascii="Helvetica" w:hAnsi="Helvetica" w:cs="Helvetica"/>
          <w:szCs w:val="24"/>
        </w:rPr>
      </w:pPr>
      <w:r w:rsidRPr="00F77DFC">
        <w:rPr>
          <w:rFonts w:ascii="Helvetica" w:hAnsi="Helvetica" w:cs="Helvetica"/>
          <w:szCs w:val="24"/>
        </w:rPr>
        <w:t>Alternativa 1. Statu quo – Mantener la metodología actual.</w:t>
      </w:r>
    </w:p>
    <w:p w14:paraId="51E2EE3D" w14:textId="77777777" w:rsidR="001212B1" w:rsidRPr="006A0E67" w:rsidRDefault="001212B1" w:rsidP="001212B1">
      <w:pPr>
        <w:pStyle w:val="Prrafodelista"/>
        <w:spacing w:line="360" w:lineRule="auto"/>
        <w:ind w:left="720"/>
        <w:jc w:val="left"/>
        <w:rPr>
          <w:rFonts w:ascii="Helvetica" w:hAnsi="Helvetica" w:cs="Helvetica"/>
          <w:szCs w:val="24"/>
        </w:rPr>
      </w:pPr>
      <w:r w:rsidRPr="006A0E67">
        <w:rPr>
          <w:rFonts w:ascii="Helvetica" w:hAnsi="Helvetica" w:cs="Helvetica"/>
          <w:szCs w:val="24"/>
          <w:lang w:val="es-CO"/>
        </w:rPr>
        <w:t>Esta alternativa consiste en mantener la</w:t>
      </w:r>
      <w:r w:rsidRPr="006A0E67">
        <w:rPr>
          <w:rFonts w:ascii="Helvetica" w:hAnsi="Helvetica" w:cs="Helvetica"/>
          <w:szCs w:val="24"/>
        </w:rPr>
        <w:t xml:space="preserve"> metodología de cálculo del Ingreso al Productor, </w:t>
      </w:r>
      <w:r>
        <w:rPr>
          <w:rFonts w:ascii="Helvetica" w:hAnsi="Helvetica" w:cs="Helvetica"/>
          <w:szCs w:val="24"/>
          <w:lang w:val="es-CO"/>
        </w:rPr>
        <w:t xml:space="preserve">establecida </w:t>
      </w:r>
      <w:r w:rsidRPr="006A0E67">
        <w:rPr>
          <w:rFonts w:ascii="Helvetica" w:hAnsi="Helvetica" w:cs="Helvetica"/>
          <w:szCs w:val="24"/>
          <w:lang w:val="es-CO"/>
        </w:rPr>
        <w:t xml:space="preserve">en la </w:t>
      </w:r>
      <w:r w:rsidRPr="006A0E67">
        <w:rPr>
          <w:rFonts w:ascii="Helvetica" w:hAnsi="Helvetica" w:cs="Helvetica"/>
          <w:szCs w:val="24"/>
        </w:rPr>
        <w:t>Ley 681 de 2001</w:t>
      </w:r>
      <w:r w:rsidRPr="006A0E67">
        <w:rPr>
          <w:rStyle w:val="Refdenotaalpie"/>
          <w:rFonts w:ascii="Helvetica" w:hAnsi="Helvetica" w:cs="Helvetica"/>
          <w:szCs w:val="24"/>
        </w:rPr>
        <w:footnoteReference w:id="25"/>
      </w:r>
      <w:r w:rsidRPr="006A0E67">
        <w:rPr>
          <w:rFonts w:ascii="Helvetica" w:hAnsi="Helvetica" w:cs="Helvetica"/>
          <w:szCs w:val="24"/>
        </w:rPr>
        <w:t>, que en su artículo 11 señala:</w:t>
      </w:r>
    </w:p>
    <w:p w14:paraId="09DA731B" w14:textId="77777777" w:rsidR="001212B1" w:rsidRPr="006A0E67" w:rsidRDefault="001212B1" w:rsidP="001212B1">
      <w:pPr>
        <w:pStyle w:val="Prrafodelista"/>
        <w:spacing w:line="360" w:lineRule="auto"/>
        <w:ind w:left="720"/>
        <w:jc w:val="left"/>
        <w:rPr>
          <w:rFonts w:ascii="Helvetica" w:hAnsi="Helvetica" w:cs="Helvetica"/>
          <w:szCs w:val="24"/>
        </w:rPr>
      </w:pPr>
    </w:p>
    <w:p w14:paraId="1C7E773A" w14:textId="77777777" w:rsidR="001212B1" w:rsidRPr="006A0E67" w:rsidRDefault="001212B1" w:rsidP="001212B1">
      <w:pPr>
        <w:spacing w:line="360" w:lineRule="auto"/>
        <w:ind w:left="1416"/>
        <w:jc w:val="left"/>
        <w:rPr>
          <w:rFonts w:ascii="Helvetica" w:hAnsi="Helvetica" w:cs="Helvetica"/>
          <w:i/>
          <w:szCs w:val="24"/>
          <w:lang w:val="es-CO" w:eastAsia="es-CO"/>
        </w:rPr>
      </w:pPr>
      <w:r w:rsidRPr="006A0E67">
        <w:rPr>
          <w:rFonts w:ascii="Helvetica" w:hAnsi="Helvetica" w:cs="Helvetica"/>
          <w:b/>
          <w:i/>
          <w:szCs w:val="24"/>
          <w:lang w:val="es-CO" w:eastAsia="es-CO"/>
        </w:rPr>
        <w:t>“…Artículo 11.</w:t>
      </w:r>
      <w:r w:rsidRPr="006A0E67">
        <w:rPr>
          <w:rFonts w:ascii="Helvetica" w:hAnsi="Helvetica" w:cs="Helvetica"/>
          <w:i/>
          <w:szCs w:val="24"/>
          <w:lang w:val="es-CO" w:eastAsia="es-CO"/>
        </w:rPr>
        <w:t> Ingreso al productor. El ingreso al productor de gasolina de aviación Jet Al es el precio de venta en puerta de refinería (ip), entendiendo como el precio FOB Cartagena, equivalente al índice Platt's US Golf Coast Wb (Low) de las cotizaciones del índice JET 54 USGC, tomando el promedio de los precios de referencia de los días 1 a 25 del mes inmediatamente anterior al mes en que entra en vigencia el nuevo precio. Ecopetrol lo publicará en su página Web de Internet, el primer día calendario de cada mes. Este ingreso al productor así definido, será igual para la venta en puerta de refinería tanto en Cartagena como en Barrancabermeja.</w:t>
      </w:r>
    </w:p>
    <w:p w14:paraId="3AB0AA30" w14:textId="77777777" w:rsidR="001212B1" w:rsidRPr="006A0E67" w:rsidRDefault="001212B1" w:rsidP="001212B1">
      <w:pPr>
        <w:spacing w:line="360" w:lineRule="auto"/>
        <w:ind w:left="1416"/>
        <w:jc w:val="left"/>
        <w:rPr>
          <w:rFonts w:ascii="Helvetica" w:hAnsi="Helvetica" w:cs="Helvetica"/>
          <w:i/>
          <w:szCs w:val="24"/>
          <w:lang w:val="es-CO" w:eastAsia="es-CO"/>
        </w:rPr>
      </w:pPr>
    </w:p>
    <w:p w14:paraId="267DBD2B" w14:textId="77777777" w:rsidR="001212B1" w:rsidRPr="006A0E67" w:rsidRDefault="001212B1" w:rsidP="001212B1">
      <w:pPr>
        <w:spacing w:line="360" w:lineRule="auto"/>
        <w:ind w:left="1416"/>
        <w:jc w:val="left"/>
        <w:rPr>
          <w:rFonts w:ascii="Helvetica" w:hAnsi="Helvetica" w:cs="Helvetica"/>
          <w:i/>
          <w:szCs w:val="24"/>
          <w:lang w:val="es-CO" w:eastAsia="es-CO"/>
        </w:rPr>
      </w:pPr>
      <w:r w:rsidRPr="006A0E67">
        <w:rPr>
          <w:rFonts w:ascii="Helvetica" w:hAnsi="Helvetica" w:cs="Helvetica"/>
          <w:b/>
          <w:i/>
          <w:szCs w:val="24"/>
          <w:lang w:val="es-CO" w:eastAsia="es-CO"/>
        </w:rPr>
        <w:lastRenderedPageBreak/>
        <w:t>Parágrafo 1º</w:t>
      </w:r>
      <w:r w:rsidRPr="006A0E67">
        <w:rPr>
          <w:rFonts w:ascii="Helvetica" w:hAnsi="Helvetica" w:cs="Helvetica"/>
          <w:i/>
          <w:szCs w:val="24"/>
          <w:lang w:val="es-CO" w:eastAsia="es-CO"/>
        </w:rPr>
        <w:t>. El precio determinado en este artículo es un valor máximo, pero Ecopetrol previo concepto favorable del Ministerio de Minas y Energía, podrá otorgar descuentos sobre la base del principio de no discriminación, con el fin de promover una política de competitividad aeroportuaria respecto de otros aeropuertos del área y del Golfo de Méjico (USCG).</w:t>
      </w:r>
    </w:p>
    <w:p w14:paraId="40CEEA45" w14:textId="77777777" w:rsidR="001212B1" w:rsidRPr="006A0E67" w:rsidRDefault="001212B1" w:rsidP="001212B1">
      <w:pPr>
        <w:spacing w:line="360" w:lineRule="auto"/>
        <w:ind w:left="1416"/>
        <w:jc w:val="left"/>
        <w:rPr>
          <w:rFonts w:ascii="Helvetica" w:hAnsi="Helvetica" w:cs="Helvetica"/>
          <w:i/>
          <w:szCs w:val="24"/>
          <w:lang w:val="es-CO" w:eastAsia="es-CO"/>
        </w:rPr>
      </w:pPr>
    </w:p>
    <w:p w14:paraId="5CFE3620" w14:textId="77777777" w:rsidR="001212B1" w:rsidRPr="006A0E67" w:rsidRDefault="001212B1" w:rsidP="001212B1">
      <w:pPr>
        <w:spacing w:line="360" w:lineRule="auto"/>
        <w:ind w:left="1416"/>
        <w:jc w:val="left"/>
        <w:rPr>
          <w:rFonts w:ascii="Helvetica" w:hAnsi="Helvetica" w:cs="Helvetica"/>
          <w:szCs w:val="24"/>
          <w:lang w:val="es-CO" w:eastAsia="es-CO"/>
        </w:rPr>
      </w:pPr>
      <w:r w:rsidRPr="006A0E67">
        <w:rPr>
          <w:rFonts w:ascii="Helvetica" w:hAnsi="Helvetica" w:cs="Helvetica"/>
          <w:b/>
          <w:i/>
          <w:szCs w:val="24"/>
          <w:lang w:val="es-CO" w:eastAsia="es-CO"/>
        </w:rPr>
        <w:t>Parágrafo 2º</w:t>
      </w:r>
      <w:r w:rsidRPr="006A0E67">
        <w:rPr>
          <w:rFonts w:ascii="Helvetica" w:hAnsi="Helvetica" w:cs="Helvetica"/>
          <w:i/>
          <w:szCs w:val="24"/>
          <w:lang w:val="es-CO" w:eastAsia="es-CO"/>
        </w:rPr>
        <w:t>. El ingreso al productor en puerta de refinería es único y no se establecerán diferencias de precio según modo de transporte…”</w:t>
      </w:r>
    </w:p>
    <w:p w14:paraId="1F6F5A65" w14:textId="77777777" w:rsidR="001212B1" w:rsidRPr="006A0E67" w:rsidRDefault="001212B1" w:rsidP="001212B1">
      <w:pPr>
        <w:pStyle w:val="Default"/>
        <w:spacing w:line="360" w:lineRule="auto"/>
        <w:rPr>
          <w:rFonts w:ascii="Helvetica" w:hAnsi="Helvetica" w:cs="Helvetica"/>
          <w:color w:val="auto"/>
        </w:rPr>
      </w:pPr>
    </w:p>
    <w:p w14:paraId="0DEB9655" w14:textId="77777777" w:rsidR="001212B1" w:rsidRPr="006A0E67" w:rsidRDefault="001212B1" w:rsidP="001212B1">
      <w:pPr>
        <w:pStyle w:val="Default"/>
        <w:spacing w:line="360" w:lineRule="auto"/>
        <w:ind w:left="720"/>
        <w:rPr>
          <w:rFonts w:ascii="Helvetica" w:hAnsi="Helvetica" w:cs="Helvetica"/>
          <w:color w:val="auto"/>
        </w:rPr>
      </w:pPr>
      <w:r w:rsidRPr="006A0E67">
        <w:rPr>
          <w:rFonts w:ascii="Helvetica" w:hAnsi="Helvetica" w:cs="Helvetica"/>
          <w:color w:val="auto"/>
        </w:rPr>
        <w:t xml:space="preserve">No obstante, se debe tener en cuenta lo establecido en el </w:t>
      </w:r>
      <w:r>
        <w:rPr>
          <w:rFonts w:ascii="Helvetica" w:hAnsi="Helvetica" w:cs="Helvetica"/>
          <w:color w:val="auto"/>
        </w:rPr>
        <w:t>Ley</w:t>
      </w:r>
      <w:r w:rsidRPr="006A0E67">
        <w:rPr>
          <w:rFonts w:ascii="Helvetica" w:hAnsi="Helvetica" w:cs="Helvetica"/>
          <w:color w:val="auto"/>
        </w:rPr>
        <w:t xml:space="preserve"> 1450 de 2011, y su artículo 116 que modifica la periodicidad del cálculo:</w:t>
      </w:r>
    </w:p>
    <w:p w14:paraId="21F2F2DA" w14:textId="77777777" w:rsidR="001212B1" w:rsidRPr="006A0E67" w:rsidRDefault="001212B1" w:rsidP="001212B1">
      <w:pPr>
        <w:pStyle w:val="Default"/>
        <w:spacing w:line="360" w:lineRule="auto"/>
        <w:ind w:left="426"/>
        <w:rPr>
          <w:rFonts w:ascii="Helvetica" w:hAnsi="Helvetica" w:cs="Helvetica"/>
          <w:color w:val="auto"/>
        </w:rPr>
      </w:pPr>
    </w:p>
    <w:p w14:paraId="005B62FA" w14:textId="77777777" w:rsidR="001212B1" w:rsidRPr="006A0E67" w:rsidRDefault="001212B1" w:rsidP="001212B1">
      <w:pPr>
        <w:pStyle w:val="Default"/>
        <w:spacing w:line="360" w:lineRule="auto"/>
        <w:ind w:left="1416"/>
        <w:rPr>
          <w:rFonts w:ascii="Helvetica" w:hAnsi="Helvetica" w:cs="Helvetica"/>
          <w:i/>
          <w:color w:val="auto"/>
        </w:rPr>
      </w:pPr>
      <w:r w:rsidRPr="006A0E67">
        <w:rPr>
          <w:rFonts w:ascii="Helvetica" w:hAnsi="Helvetica" w:cs="Helvetica"/>
          <w:i/>
          <w:color w:val="auto"/>
        </w:rPr>
        <w:t>“…No obstante lo anterior, durante la transición los componentes de la estructura de precios del combustible de aviación JET A-1, se calcularán en forma semanal y no mensual. El refinador los días martes publicará el precio, tomando como referencia los precios de la semana anterior de lunes a viernes, y regirán a partir del día miércoles…”</w:t>
      </w:r>
    </w:p>
    <w:p w14:paraId="4CF0B2C3" w14:textId="77777777" w:rsidR="001212B1" w:rsidRPr="006A0E67" w:rsidRDefault="001212B1" w:rsidP="001212B1">
      <w:pPr>
        <w:pStyle w:val="Default"/>
        <w:spacing w:line="360" w:lineRule="auto"/>
        <w:ind w:left="708"/>
        <w:rPr>
          <w:rFonts w:ascii="Helvetica" w:hAnsi="Helvetica" w:cs="Helvetica"/>
          <w:color w:val="auto"/>
        </w:rPr>
      </w:pPr>
    </w:p>
    <w:p w14:paraId="4906C78B" w14:textId="77777777" w:rsidR="001212B1" w:rsidRPr="006A0E67" w:rsidRDefault="001212B1" w:rsidP="001212B1">
      <w:pPr>
        <w:pStyle w:val="Default"/>
        <w:spacing w:line="360" w:lineRule="auto"/>
        <w:ind w:left="708"/>
        <w:rPr>
          <w:rFonts w:ascii="Helvetica" w:hAnsi="Helvetica" w:cs="Helvetica"/>
          <w:color w:val="auto"/>
        </w:rPr>
      </w:pPr>
      <w:r w:rsidRPr="006A0E67">
        <w:rPr>
          <w:rFonts w:ascii="Helvetica" w:hAnsi="Helvetica" w:cs="Helvetica"/>
          <w:color w:val="auto"/>
        </w:rPr>
        <w:t xml:space="preserve">Por lo tanto, esta alternativa implica mantener el precio internacional para la remuneración del ingreso al productor, con un cálculo semanal del índice </w:t>
      </w:r>
      <w:r w:rsidRPr="006A0E67">
        <w:rPr>
          <w:rFonts w:ascii="Helvetica" w:hAnsi="Helvetica" w:cs="Helvetica"/>
          <w:i/>
          <w:color w:val="auto"/>
        </w:rPr>
        <w:t>Platt's US Golf Coast Wb (Low) de las cotizaciones del índice JET 54 USGC.</w:t>
      </w:r>
    </w:p>
    <w:p w14:paraId="24220C85" w14:textId="77777777" w:rsidR="001212B1" w:rsidRPr="006A0E67" w:rsidRDefault="001212B1" w:rsidP="001212B1">
      <w:pPr>
        <w:spacing w:line="360" w:lineRule="auto"/>
        <w:jc w:val="left"/>
        <w:rPr>
          <w:rFonts w:ascii="Helvetica" w:hAnsi="Helvetica" w:cs="Helvetica"/>
          <w:szCs w:val="24"/>
          <w:lang w:val="es-CO"/>
        </w:rPr>
      </w:pPr>
    </w:p>
    <w:p w14:paraId="494708CE" w14:textId="77777777" w:rsidR="001212B1" w:rsidRPr="00F77DFC" w:rsidRDefault="001212B1" w:rsidP="001212B1">
      <w:pPr>
        <w:pStyle w:val="Ttulo3"/>
        <w:numPr>
          <w:ilvl w:val="2"/>
          <w:numId w:val="1"/>
        </w:numPr>
        <w:ind w:hanging="1004"/>
        <w:jc w:val="left"/>
        <w:rPr>
          <w:rFonts w:ascii="Helvetica" w:hAnsi="Helvetica" w:cs="Helvetica"/>
          <w:szCs w:val="24"/>
        </w:rPr>
      </w:pPr>
      <w:r w:rsidRPr="00F77DFC">
        <w:rPr>
          <w:rFonts w:ascii="Helvetica" w:hAnsi="Helvetica" w:cs="Helvetica"/>
          <w:szCs w:val="24"/>
        </w:rPr>
        <w:t xml:space="preserve">Alternativa 2. Revisar </w:t>
      </w:r>
      <w:r>
        <w:rPr>
          <w:rFonts w:ascii="Helvetica" w:hAnsi="Helvetica" w:cs="Helvetica"/>
          <w:szCs w:val="24"/>
        </w:rPr>
        <w:t>el precio internacional de referencia para</w:t>
      </w:r>
      <w:r w:rsidRPr="00F77DFC">
        <w:rPr>
          <w:rFonts w:ascii="Helvetica" w:hAnsi="Helvetica" w:cs="Helvetica"/>
          <w:szCs w:val="24"/>
        </w:rPr>
        <w:t xml:space="preserve"> el cálculo del IP.</w:t>
      </w:r>
    </w:p>
    <w:p w14:paraId="4529B368" w14:textId="77777777" w:rsidR="001212B1" w:rsidRPr="006A0E67" w:rsidRDefault="001212B1" w:rsidP="001212B1">
      <w:pPr>
        <w:spacing w:line="360" w:lineRule="auto"/>
        <w:ind w:left="708"/>
        <w:jc w:val="left"/>
        <w:rPr>
          <w:rFonts w:ascii="Helvetica" w:hAnsi="Helvetica" w:cs="Helvetica"/>
          <w:szCs w:val="24"/>
          <w:lang w:val="es-CO"/>
        </w:rPr>
      </w:pPr>
      <w:r w:rsidRPr="006A0E67">
        <w:rPr>
          <w:rFonts w:ascii="Helvetica" w:hAnsi="Helvetica" w:cs="Helvetica"/>
          <w:szCs w:val="24"/>
          <w:lang w:val="es-CO"/>
        </w:rPr>
        <w:t>Esta alternativa, consiste en considerar el índice internacional que se utiliza actualmente, para el cálculo del IP del Jet-A1: “</w:t>
      </w:r>
      <w:r w:rsidRPr="006A0E67">
        <w:rPr>
          <w:rFonts w:ascii="Helvetica" w:hAnsi="Helvetica" w:cs="Helvetica"/>
          <w:i/>
          <w:iCs/>
          <w:szCs w:val="24"/>
          <w:lang w:val="es-CO" w:eastAsia="es-CO"/>
        </w:rPr>
        <w:t>Platt's US Golf Coast Wb (Low) de las cotizaciones del índice JET 54 USGC</w:t>
      </w:r>
      <w:r w:rsidRPr="006A0E67">
        <w:rPr>
          <w:rFonts w:ascii="Helvetica" w:hAnsi="Helvetica" w:cs="Helvetica"/>
          <w:szCs w:val="24"/>
          <w:lang w:val="es-CO"/>
        </w:rPr>
        <w:t xml:space="preserve">”, frente a otros posibles índices e identificar la pertinencia de mantenerlo o modificarlo, escogiendo el que más se </w:t>
      </w:r>
      <w:r w:rsidRPr="006A0E67">
        <w:rPr>
          <w:rFonts w:ascii="Helvetica" w:hAnsi="Helvetica" w:cs="Helvetica"/>
          <w:szCs w:val="24"/>
          <w:lang w:val="es-CO"/>
        </w:rPr>
        <w:lastRenderedPageBreak/>
        <w:t>ajuste a la realidad del contexto de mercado. Específicamente, esta alternativa se enfoca en la escogencia del índice adecuado para Jet.</w:t>
      </w:r>
    </w:p>
    <w:p w14:paraId="6BD47E30" w14:textId="77777777" w:rsidR="001212B1" w:rsidRPr="006A0E67" w:rsidRDefault="001212B1" w:rsidP="001212B1">
      <w:pPr>
        <w:spacing w:line="360" w:lineRule="auto"/>
        <w:ind w:left="708"/>
        <w:jc w:val="left"/>
        <w:rPr>
          <w:rFonts w:ascii="Helvetica" w:hAnsi="Helvetica" w:cs="Helvetica"/>
          <w:szCs w:val="24"/>
          <w:lang w:val="es-CO"/>
        </w:rPr>
      </w:pPr>
    </w:p>
    <w:p w14:paraId="51F9D65F" w14:textId="77777777" w:rsidR="001212B1" w:rsidRPr="006A0E67" w:rsidRDefault="001212B1" w:rsidP="001212B1">
      <w:pPr>
        <w:spacing w:line="360" w:lineRule="auto"/>
        <w:ind w:left="708"/>
        <w:jc w:val="left"/>
        <w:rPr>
          <w:rFonts w:ascii="Helvetica" w:hAnsi="Helvetica" w:cs="Helvetica"/>
          <w:szCs w:val="24"/>
          <w:lang w:val="es-CO"/>
        </w:rPr>
      </w:pPr>
      <w:r w:rsidRPr="006A0E67">
        <w:rPr>
          <w:rFonts w:ascii="Helvetica" w:hAnsi="Helvetica" w:cs="Helvetica"/>
          <w:szCs w:val="24"/>
          <w:lang w:val="es-CO"/>
        </w:rPr>
        <w:t xml:space="preserve">Dentro del proceso de estandarización de procesos y mecanismos para este estudio, la CREG ha delimitado diversas fuentes que proveen información de mercados internacionales, volúmenes comercializados en tiempo real, fletes e índices, tales como Argus, Bloomberg, Platts, Opis, entre otros.  Cada fuente maneja diferentes metodologías, horarios, volúmenes de comercialización y fuentes de información que deben ser evaluadas por la Comisión. </w:t>
      </w:r>
    </w:p>
    <w:p w14:paraId="78A1D9BE" w14:textId="77777777" w:rsidR="001212B1" w:rsidRPr="006A0E67" w:rsidRDefault="001212B1" w:rsidP="001212B1">
      <w:pPr>
        <w:spacing w:line="360" w:lineRule="auto"/>
        <w:jc w:val="left"/>
        <w:rPr>
          <w:rFonts w:ascii="Helvetica" w:hAnsi="Helvetica" w:cs="Helvetica"/>
          <w:szCs w:val="24"/>
          <w:lang w:val="es-CO"/>
        </w:rPr>
      </w:pPr>
    </w:p>
    <w:p w14:paraId="742B490E" w14:textId="77777777" w:rsidR="001212B1" w:rsidRPr="006A0E67" w:rsidRDefault="001212B1" w:rsidP="001212B1">
      <w:pPr>
        <w:spacing w:line="360" w:lineRule="auto"/>
        <w:ind w:left="708"/>
        <w:jc w:val="left"/>
        <w:rPr>
          <w:rFonts w:ascii="Helvetica" w:hAnsi="Helvetica" w:cs="Helvetica"/>
          <w:szCs w:val="24"/>
          <w:lang w:val="es-CO"/>
        </w:rPr>
      </w:pPr>
      <w:r w:rsidRPr="006A0E67">
        <w:rPr>
          <w:rFonts w:ascii="Helvetica" w:hAnsi="Helvetica" w:cs="Helvetica"/>
          <w:szCs w:val="24"/>
          <w:lang w:val="es-CO"/>
        </w:rPr>
        <w:t>Con esta perspectiva, serán evaluados aspectos como la liquidez de los diferentes mercados, profundidad, cantidad de transacciones y metodologías de cálculo utilizadas por los diferentes proveedores.</w:t>
      </w:r>
    </w:p>
    <w:p w14:paraId="3B9E81D1" w14:textId="77777777" w:rsidR="001212B1" w:rsidRPr="006A0E67" w:rsidRDefault="001212B1" w:rsidP="001212B1">
      <w:pPr>
        <w:spacing w:line="360" w:lineRule="auto"/>
        <w:ind w:left="708"/>
        <w:jc w:val="left"/>
        <w:rPr>
          <w:rFonts w:ascii="Helvetica" w:hAnsi="Helvetica" w:cs="Helvetica"/>
          <w:szCs w:val="24"/>
          <w:lang w:val="es-CO"/>
        </w:rPr>
      </w:pPr>
    </w:p>
    <w:p w14:paraId="4AE6FFC6" w14:textId="77777777" w:rsidR="001212B1" w:rsidRPr="00F77DFC" w:rsidRDefault="001212B1" w:rsidP="001212B1">
      <w:pPr>
        <w:pStyle w:val="Ttulo3"/>
        <w:numPr>
          <w:ilvl w:val="2"/>
          <w:numId w:val="1"/>
        </w:numPr>
        <w:ind w:hanging="1004"/>
        <w:jc w:val="left"/>
        <w:rPr>
          <w:rFonts w:ascii="Helvetica" w:hAnsi="Helvetica" w:cs="Helvetica"/>
          <w:szCs w:val="24"/>
        </w:rPr>
      </w:pPr>
      <w:r w:rsidRPr="00F77DFC">
        <w:rPr>
          <w:rFonts w:ascii="Helvetica" w:hAnsi="Helvetica" w:cs="Helvetica"/>
          <w:szCs w:val="24"/>
        </w:rPr>
        <w:t>Alternativa 3. Metodología de precio paridad exportación en el IP.</w:t>
      </w:r>
    </w:p>
    <w:p w14:paraId="1AEF2866" w14:textId="77777777" w:rsidR="001212B1" w:rsidRPr="00F03BAB" w:rsidRDefault="001212B1" w:rsidP="001212B1">
      <w:pPr>
        <w:spacing w:line="360" w:lineRule="auto"/>
        <w:ind w:left="708"/>
        <w:jc w:val="left"/>
        <w:rPr>
          <w:rFonts w:ascii="Helvetica" w:hAnsi="Helvetica" w:cs="Helvetica"/>
          <w:szCs w:val="24"/>
          <w:lang w:val="es-CO"/>
        </w:rPr>
      </w:pPr>
      <w:r w:rsidRPr="00F03BAB">
        <w:rPr>
          <w:rFonts w:ascii="Helvetica" w:hAnsi="Helvetica" w:cs="Helvetica"/>
          <w:szCs w:val="24"/>
          <w:lang w:val="es-CO"/>
        </w:rPr>
        <w:t xml:space="preserve">Esta alternativa plantea un cambio en la metodología de cálculo del IP, principalmente partiendo de que este componente se calcula con base en los índices internacionales, pero no se reconoce el costo de oportunidad de la exportación de dicho producto. </w:t>
      </w:r>
    </w:p>
    <w:p w14:paraId="63ED7FE2" w14:textId="77777777" w:rsidR="001212B1" w:rsidRPr="00F03BAB" w:rsidRDefault="001212B1" w:rsidP="001212B1">
      <w:pPr>
        <w:spacing w:line="360" w:lineRule="auto"/>
        <w:ind w:left="708"/>
        <w:jc w:val="left"/>
        <w:rPr>
          <w:rFonts w:ascii="Helvetica" w:hAnsi="Helvetica" w:cs="Helvetica"/>
          <w:szCs w:val="24"/>
          <w:lang w:val="es-CO"/>
        </w:rPr>
      </w:pPr>
    </w:p>
    <w:p w14:paraId="294FEF19" w14:textId="77777777" w:rsidR="001212B1" w:rsidRPr="00F03BAB" w:rsidRDefault="001212B1" w:rsidP="001212B1">
      <w:pPr>
        <w:spacing w:line="360" w:lineRule="auto"/>
        <w:ind w:left="708"/>
        <w:jc w:val="left"/>
        <w:rPr>
          <w:rFonts w:ascii="Helvetica" w:hAnsi="Helvetica" w:cs="Helvetica"/>
          <w:szCs w:val="24"/>
          <w:lang w:val="es-CO"/>
        </w:rPr>
      </w:pPr>
      <w:r w:rsidRPr="00F03BAB">
        <w:rPr>
          <w:rFonts w:ascii="Helvetica" w:hAnsi="Helvetica" w:cs="Helvetica"/>
          <w:szCs w:val="24"/>
          <w:lang w:val="es-CO"/>
        </w:rPr>
        <w:t>De hecho, a pesar de que el mercado de Jet A-1 tiene dos fuentes de producción (Cartagena y Barranca), ambas se rigen por el mismo IP, sin hacer diferenciación sobre el costo de oportunidad de</w:t>
      </w:r>
      <w:r>
        <w:rPr>
          <w:rFonts w:ascii="Helvetica" w:hAnsi="Helvetica" w:cs="Helvetica"/>
          <w:szCs w:val="24"/>
          <w:lang w:val="es-CO"/>
        </w:rPr>
        <w:t>l traslado del Jet al punto de</w:t>
      </w:r>
      <w:r w:rsidRPr="00F03BAB">
        <w:rPr>
          <w:rFonts w:ascii="Helvetica" w:hAnsi="Helvetica" w:cs="Helvetica"/>
          <w:szCs w:val="24"/>
          <w:lang w:val="es-CO"/>
        </w:rPr>
        <w:t xml:space="preserve"> exportación </w:t>
      </w:r>
      <w:r>
        <w:rPr>
          <w:rFonts w:ascii="Helvetica" w:hAnsi="Helvetica" w:cs="Helvetica"/>
          <w:szCs w:val="24"/>
          <w:lang w:val="es-CO"/>
        </w:rPr>
        <w:t>más cercano (asumido como Cartagena)</w:t>
      </w:r>
      <w:r w:rsidRPr="00F03BAB">
        <w:rPr>
          <w:rFonts w:ascii="Helvetica" w:hAnsi="Helvetica" w:cs="Helvetica"/>
          <w:szCs w:val="24"/>
          <w:lang w:val="es-CO"/>
        </w:rPr>
        <w:t>. Por ejemplo, bajo esta metodología, el Jet producido en Barrancabermeja tendría unos costos adicionales de transportar el producto hasta su fuente más cercana de exportación (Cartagena).</w:t>
      </w:r>
    </w:p>
    <w:p w14:paraId="7A945E6E" w14:textId="77777777" w:rsidR="001212B1" w:rsidRPr="00F03BAB" w:rsidRDefault="001212B1" w:rsidP="001212B1">
      <w:pPr>
        <w:spacing w:line="360" w:lineRule="auto"/>
        <w:ind w:left="708"/>
        <w:jc w:val="left"/>
        <w:rPr>
          <w:rFonts w:ascii="Helvetica" w:hAnsi="Helvetica" w:cs="Helvetica"/>
          <w:szCs w:val="24"/>
          <w:lang w:val="es-CO"/>
        </w:rPr>
      </w:pPr>
    </w:p>
    <w:p w14:paraId="28F7A5B0" w14:textId="77777777" w:rsidR="001212B1" w:rsidRPr="00F03BAB" w:rsidRDefault="001212B1" w:rsidP="001212B1">
      <w:pPr>
        <w:tabs>
          <w:tab w:val="num" w:pos="720"/>
        </w:tabs>
        <w:spacing w:line="360" w:lineRule="auto"/>
        <w:ind w:left="708"/>
        <w:jc w:val="left"/>
        <w:rPr>
          <w:rFonts w:ascii="Helvetica" w:hAnsi="Helvetica" w:cs="Helvetica"/>
          <w:szCs w:val="24"/>
          <w:lang w:val="es-CO"/>
        </w:rPr>
      </w:pPr>
      <w:r w:rsidRPr="00F03BAB">
        <w:rPr>
          <w:rFonts w:ascii="Helvetica" w:hAnsi="Helvetica" w:cs="Helvetica"/>
          <w:szCs w:val="24"/>
          <w:lang w:val="es-CO"/>
        </w:rPr>
        <w:lastRenderedPageBreak/>
        <w:t>Por lo tanto, como incentivo al refinador a dejar el Jet disponible para el consumo nacional o al menos en una posición indiferente ante el mercado internacional, a los precios internacionales se les sustraen los costos de la actividad de exportación, los cuales son principalmente los costos logísticos de transporte, embarque, entre otros.</w:t>
      </w:r>
    </w:p>
    <w:p w14:paraId="3F9C1100" w14:textId="77777777" w:rsidR="001212B1" w:rsidRPr="00182264" w:rsidRDefault="001212B1" w:rsidP="001212B1">
      <w:pPr>
        <w:rPr>
          <w:lang w:val="es-CO"/>
        </w:rPr>
      </w:pPr>
    </w:p>
    <w:p w14:paraId="61451274" w14:textId="77777777" w:rsidR="001212B1" w:rsidRDefault="001212B1" w:rsidP="001212B1">
      <w:pPr>
        <w:pStyle w:val="Ttulo3"/>
        <w:numPr>
          <w:ilvl w:val="2"/>
          <w:numId w:val="1"/>
        </w:numPr>
        <w:ind w:hanging="1004"/>
        <w:jc w:val="left"/>
        <w:rPr>
          <w:rFonts w:ascii="Helvetica" w:hAnsi="Helvetica" w:cs="Helvetica"/>
          <w:szCs w:val="24"/>
        </w:rPr>
      </w:pPr>
      <w:r w:rsidRPr="00F77DFC">
        <w:rPr>
          <w:rFonts w:ascii="Helvetica" w:hAnsi="Helvetica" w:cs="Helvetica"/>
          <w:szCs w:val="24"/>
        </w:rPr>
        <w:t>Alternativa 4. Metodología de precio paridad importación en el IP.</w:t>
      </w:r>
    </w:p>
    <w:p w14:paraId="31E1C3BC" w14:textId="77777777" w:rsidR="001212B1" w:rsidRPr="007E5C7F" w:rsidRDefault="001212B1" w:rsidP="001212B1">
      <w:pPr>
        <w:rPr>
          <w:lang w:val="es-ES"/>
        </w:rPr>
      </w:pPr>
    </w:p>
    <w:p w14:paraId="3D1EC3BC" w14:textId="77777777" w:rsidR="001212B1" w:rsidRPr="00F03BAB" w:rsidRDefault="001212B1" w:rsidP="001212B1">
      <w:pPr>
        <w:pStyle w:val="Prrafodelista"/>
        <w:spacing w:line="360" w:lineRule="auto"/>
        <w:jc w:val="left"/>
        <w:rPr>
          <w:rFonts w:ascii="Helvetica" w:hAnsi="Helvetica" w:cs="Helvetica"/>
          <w:szCs w:val="24"/>
          <w:lang w:val="es-CO"/>
        </w:rPr>
      </w:pPr>
      <w:r w:rsidRPr="00F03BAB">
        <w:rPr>
          <w:rFonts w:ascii="Helvetica" w:hAnsi="Helvetica" w:cs="Helvetica"/>
          <w:szCs w:val="24"/>
          <w:lang w:val="es-CO"/>
        </w:rPr>
        <w:t>Esta alternativa, al igual que la anterior, plantea un cambio en lo establecido con la remuneración del IP del Jet, en la cual se busca remunerar la producción nacional a costo de oportunidad de la importación.</w:t>
      </w:r>
    </w:p>
    <w:p w14:paraId="6047E53A" w14:textId="77777777" w:rsidR="001212B1" w:rsidRPr="00F03BAB" w:rsidRDefault="001212B1" w:rsidP="001212B1">
      <w:pPr>
        <w:pStyle w:val="Prrafodelista"/>
        <w:spacing w:line="360" w:lineRule="auto"/>
        <w:jc w:val="left"/>
        <w:rPr>
          <w:rFonts w:ascii="Helvetica" w:hAnsi="Helvetica" w:cs="Helvetica"/>
          <w:szCs w:val="24"/>
          <w:lang w:val="es-CO"/>
        </w:rPr>
      </w:pPr>
    </w:p>
    <w:p w14:paraId="4131CB6B" w14:textId="77777777" w:rsidR="001212B1" w:rsidRPr="001D0E3B" w:rsidRDefault="001212B1" w:rsidP="001212B1">
      <w:pPr>
        <w:tabs>
          <w:tab w:val="num" w:pos="720"/>
        </w:tabs>
        <w:spacing w:line="360" w:lineRule="auto"/>
        <w:ind w:left="708"/>
        <w:jc w:val="left"/>
        <w:rPr>
          <w:rFonts w:ascii="Helvetica" w:hAnsi="Helvetica" w:cs="Helvetica"/>
          <w:szCs w:val="24"/>
          <w:lang w:val="es-CO"/>
        </w:rPr>
      </w:pPr>
      <w:r w:rsidRPr="00F03BAB">
        <w:rPr>
          <w:rFonts w:ascii="Helvetica" w:hAnsi="Helvetica" w:cs="Helvetica"/>
          <w:szCs w:val="24"/>
          <w:lang w:val="es-CO"/>
        </w:rPr>
        <w:t xml:space="preserve">Por lo tanto, como incentivo al refinador a producir Jet para el consumo nacional, se remunera a precios internacionales, los cuales incluyen los costos de la </w:t>
      </w:r>
      <w:r w:rsidRPr="001D0E3B">
        <w:rPr>
          <w:rFonts w:ascii="Helvetica" w:hAnsi="Helvetica" w:cs="Helvetica"/>
          <w:szCs w:val="24"/>
          <w:lang w:val="es-CO"/>
        </w:rPr>
        <w:t>actividad de importación (costos logísticos de transporte, embarque, entre otros).</w:t>
      </w:r>
    </w:p>
    <w:p w14:paraId="2E55B08C" w14:textId="77777777" w:rsidR="001212B1" w:rsidRPr="001D0E3B" w:rsidRDefault="001212B1" w:rsidP="001212B1">
      <w:pPr>
        <w:rPr>
          <w:lang w:val="es-CO"/>
        </w:rPr>
      </w:pPr>
    </w:p>
    <w:p w14:paraId="2862BB2F" w14:textId="77777777" w:rsidR="001212B1" w:rsidRPr="001D0E3B" w:rsidRDefault="001212B1" w:rsidP="001212B1">
      <w:pPr>
        <w:pStyle w:val="Ttulo3"/>
        <w:numPr>
          <w:ilvl w:val="2"/>
          <w:numId w:val="1"/>
        </w:numPr>
        <w:ind w:hanging="1004"/>
        <w:jc w:val="left"/>
        <w:rPr>
          <w:rFonts w:ascii="Helvetica" w:hAnsi="Helvetica" w:cs="Helvetica"/>
          <w:szCs w:val="24"/>
        </w:rPr>
      </w:pPr>
      <w:r w:rsidRPr="001D0E3B">
        <w:rPr>
          <w:rFonts w:ascii="Helvetica" w:hAnsi="Helvetica" w:cs="Helvetica"/>
          <w:szCs w:val="24"/>
        </w:rPr>
        <w:t>Alternativa 5. Metodología de costos de producción más un margen en el IP.</w:t>
      </w:r>
    </w:p>
    <w:p w14:paraId="6EB3C91F" w14:textId="77777777" w:rsidR="001212B1" w:rsidRPr="001D0E3B" w:rsidRDefault="001212B1" w:rsidP="001212B1">
      <w:pPr>
        <w:pStyle w:val="Prrafodelista"/>
        <w:spacing w:line="360" w:lineRule="auto"/>
        <w:jc w:val="left"/>
        <w:rPr>
          <w:rFonts w:ascii="Helvetica" w:hAnsi="Helvetica" w:cs="Helvetica"/>
          <w:szCs w:val="24"/>
          <w:lang w:val="es-ES"/>
        </w:rPr>
      </w:pPr>
      <w:r w:rsidRPr="001D0E3B">
        <w:rPr>
          <w:rFonts w:ascii="Helvetica" w:hAnsi="Helvetica" w:cs="Helvetica"/>
          <w:szCs w:val="24"/>
          <w:lang w:val="es-ES"/>
        </w:rPr>
        <w:t>Esta alternativa plantea remunerar el ingreso al productor a partir de los costos de producción del Jet más un margen por llevar a cabo la actividad de producción.</w:t>
      </w:r>
    </w:p>
    <w:p w14:paraId="02379C4F" w14:textId="77777777" w:rsidR="001212B1" w:rsidRPr="001D0E3B" w:rsidRDefault="001212B1" w:rsidP="001212B1">
      <w:pPr>
        <w:spacing w:line="360" w:lineRule="auto"/>
        <w:jc w:val="left"/>
        <w:rPr>
          <w:rFonts w:ascii="Helvetica" w:hAnsi="Helvetica" w:cs="Helvetica"/>
          <w:szCs w:val="24"/>
          <w:lang w:val="es-CO"/>
        </w:rPr>
      </w:pPr>
    </w:p>
    <w:p w14:paraId="2A74217F" w14:textId="77777777" w:rsidR="001212B1" w:rsidRPr="00F77DFC" w:rsidRDefault="001212B1" w:rsidP="001212B1">
      <w:pPr>
        <w:pStyle w:val="Ttulo2"/>
        <w:numPr>
          <w:ilvl w:val="1"/>
          <w:numId w:val="1"/>
        </w:numPr>
        <w:ind w:left="578" w:hanging="578"/>
        <w:jc w:val="left"/>
        <w:rPr>
          <w:rFonts w:ascii="Helvetica" w:hAnsi="Helvetica" w:cs="Helvetica"/>
        </w:rPr>
      </w:pPr>
      <w:r w:rsidRPr="00F77DFC">
        <w:rPr>
          <w:rFonts w:ascii="Helvetica" w:hAnsi="Helvetica" w:cs="Helvetica"/>
        </w:rPr>
        <w:t>Problema 2.</w:t>
      </w:r>
      <w:r>
        <w:rPr>
          <w:rFonts w:ascii="Helvetica" w:hAnsi="Helvetica" w:cs="Helvetica"/>
        </w:rPr>
        <w:t xml:space="preserve"> </w:t>
      </w:r>
      <w:r w:rsidRPr="00EF22E0">
        <w:rPr>
          <w:rFonts w:ascii="Helvetica" w:hAnsi="Helvetica" w:cs="Helvetica"/>
        </w:rPr>
        <w:t>Ausencia de claridad en la norma para desarrollar la actividad de importación de Jet.</w:t>
      </w:r>
    </w:p>
    <w:p w14:paraId="4435D1B7" w14:textId="77777777" w:rsidR="001212B1" w:rsidRPr="00F77DFC" w:rsidRDefault="001212B1" w:rsidP="001212B1">
      <w:pPr>
        <w:jc w:val="left"/>
        <w:rPr>
          <w:rFonts w:ascii="Helvetica" w:hAnsi="Helvetica" w:cs="Helvetica"/>
          <w:szCs w:val="24"/>
          <w:lang w:val="es-CO"/>
        </w:rPr>
      </w:pPr>
    </w:p>
    <w:p w14:paraId="5FBB3C62" w14:textId="77777777" w:rsidR="001212B1" w:rsidRPr="00C01A3F" w:rsidRDefault="001212B1" w:rsidP="001212B1">
      <w:pPr>
        <w:pStyle w:val="Prrafodelista"/>
        <w:numPr>
          <w:ilvl w:val="0"/>
          <w:numId w:val="21"/>
        </w:numPr>
        <w:spacing w:line="360" w:lineRule="auto"/>
        <w:jc w:val="left"/>
        <w:rPr>
          <w:rFonts w:ascii="Helvetica" w:hAnsi="Helvetica" w:cs="Helvetica"/>
          <w:szCs w:val="24"/>
          <w:lang w:val="es-CO"/>
        </w:rPr>
      </w:pPr>
      <w:r w:rsidRPr="00C01A3F">
        <w:rPr>
          <w:rFonts w:ascii="Helvetica" w:hAnsi="Helvetica" w:cs="Helvetica"/>
          <w:szCs w:val="24"/>
          <w:lang w:val="es-CO"/>
        </w:rPr>
        <w:t>Objetivo general: Analizar la normatividad aplicable a la importación de Jet de cara al contexto actual y futuro del mercado.</w:t>
      </w:r>
    </w:p>
    <w:p w14:paraId="2D0872D0" w14:textId="77777777" w:rsidR="001212B1" w:rsidRDefault="001212B1" w:rsidP="001212B1">
      <w:pPr>
        <w:pStyle w:val="Prrafodelista"/>
        <w:numPr>
          <w:ilvl w:val="0"/>
          <w:numId w:val="21"/>
        </w:numPr>
        <w:spacing w:line="360" w:lineRule="auto"/>
        <w:jc w:val="left"/>
        <w:rPr>
          <w:rFonts w:ascii="Helvetica" w:hAnsi="Helvetica" w:cs="Helvetica"/>
          <w:szCs w:val="24"/>
          <w:lang w:val="es-CO"/>
        </w:rPr>
      </w:pPr>
      <w:r>
        <w:rPr>
          <w:rFonts w:ascii="Helvetica" w:hAnsi="Helvetica" w:cs="Helvetica"/>
          <w:szCs w:val="24"/>
          <w:lang w:val="es-CO"/>
        </w:rPr>
        <w:t xml:space="preserve">Objetivo específico: </w:t>
      </w:r>
      <w:r w:rsidRPr="00981CFA">
        <w:rPr>
          <w:rFonts w:ascii="Helvetica" w:hAnsi="Helvetica" w:cs="Helvetica"/>
          <w:szCs w:val="24"/>
          <w:lang w:val="es-CO"/>
        </w:rPr>
        <w:t>Establecer qu</w:t>
      </w:r>
      <w:r>
        <w:rPr>
          <w:rFonts w:ascii="Helvetica" w:hAnsi="Helvetica" w:cs="Helvetica"/>
          <w:szCs w:val="24"/>
          <w:lang w:val="es-CO"/>
        </w:rPr>
        <w:t>é</w:t>
      </w:r>
      <w:r w:rsidRPr="00981CFA">
        <w:rPr>
          <w:rFonts w:ascii="Helvetica" w:hAnsi="Helvetica" w:cs="Helvetica"/>
          <w:szCs w:val="24"/>
          <w:lang w:val="es-CO"/>
        </w:rPr>
        <w:t xml:space="preserve"> agente de la cadena y </w:t>
      </w:r>
      <w:r>
        <w:rPr>
          <w:rFonts w:ascii="Helvetica" w:hAnsi="Helvetica" w:cs="Helvetica"/>
          <w:szCs w:val="24"/>
          <w:lang w:val="es-CO"/>
        </w:rPr>
        <w:t>bajo</w:t>
      </w:r>
      <w:r w:rsidRPr="00981CFA">
        <w:rPr>
          <w:rFonts w:ascii="Helvetica" w:hAnsi="Helvetica" w:cs="Helvetica"/>
          <w:szCs w:val="24"/>
          <w:lang w:val="es-CO"/>
        </w:rPr>
        <w:t xml:space="preserve"> qué condiciones puede llevar a cabo la actividad de importación de Jet.</w:t>
      </w:r>
    </w:p>
    <w:p w14:paraId="38296F07" w14:textId="77777777" w:rsidR="001212B1" w:rsidRPr="00981CFA" w:rsidRDefault="001212B1" w:rsidP="001212B1">
      <w:pPr>
        <w:pStyle w:val="Prrafodelista"/>
        <w:spacing w:line="360" w:lineRule="auto"/>
        <w:ind w:left="1068"/>
        <w:jc w:val="left"/>
        <w:rPr>
          <w:rFonts w:ascii="Helvetica" w:hAnsi="Helvetica" w:cs="Helvetica"/>
          <w:szCs w:val="24"/>
          <w:lang w:val="es-CO"/>
        </w:rPr>
      </w:pPr>
    </w:p>
    <w:p w14:paraId="289534BD" w14:textId="77777777" w:rsidR="001212B1" w:rsidRPr="00F77DFC" w:rsidRDefault="001212B1" w:rsidP="001212B1">
      <w:pPr>
        <w:pStyle w:val="Ttulo3"/>
        <w:numPr>
          <w:ilvl w:val="2"/>
          <w:numId w:val="1"/>
        </w:numPr>
        <w:ind w:hanging="1004"/>
        <w:jc w:val="left"/>
        <w:rPr>
          <w:rFonts w:ascii="Helvetica" w:hAnsi="Helvetica" w:cs="Helvetica"/>
          <w:szCs w:val="24"/>
        </w:rPr>
      </w:pPr>
      <w:r w:rsidRPr="00F77DFC">
        <w:rPr>
          <w:rFonts w:ascii="Helvetica" w:hAnsi="Helvetica" w:cs="Helvetica"/>
          <w:szCs w:val="24"/>
        </w:rPr>
        <w:lastRenderedPageBreak/>
        <w:t>Alternativa 1. Statu quo</w:t>
      </w:r>
    </w:p>
    <w:p w14:paraId="7F14FE4A" w14:textId="77777777" w:rsidR="001212B1" w:rsidRPr="006A0E67" w:rsidRDefault="001212B1" w:rsidP="001212B1">
      <w:pPr>
        <w:pStyle w:val="Default"/>
        <w:spacing w:line="360" w:lineRule="auto"/>
        <w:ind w:left="720"/>
        <w:rPr>
          <w:rFonts w:ascii="Helvetica" w:hAnsi="Helvetica" w:cs="Helvetica"/>
          <w:color w:val="auto"/>
          <w:highlight w:val="cyan"/>
        </w:rPr>
      </w:pPr>
      <w:r w:rsidRPr="006A0E67">
        <w:rPr>
          <w:rFonts w:ascii="Helvetica" w:hAnsi="Helvetica" w:cs="Helvetica"/>
          <w:color w:val="auto"/>
        </w:rPr>
        <w:t xml:space="preserve">Esta alternativa plantea que los diferentes agentes de la cadena pueden realizar la importación, según el entendimiento que extiende la Comisión sobre la Ley. La limitación se basa en que, solo en el contexto de la garantía de abastecimiento, </w:t>
      </w:r>
      <w:r>
        <w:rPr>
          <w:rFonts w:ascii="Helvetica" w:hAnsi="Helvetica" w:cs="Helvetica"/>
          <w:color w:val="auto"/>
        </w:rPr>
        <w:t xml:space="preserve">únicamente </w:t>
      </w:r>
      <w:r w:rsidRPr="006A0E67">
        <w:rPr>
          <w:rFonts w:ascii="Helvetica" w:hAnsi="Helvetica" w:cs="Helvetica"/>
          <w:color w:val="auto"/>
        </w:rPr>
        <w:t>el refinador podrá trasladar los costos, lo que impide que los demás agentes realicen la actividad de importación de combustible Jet, así como el manejo de inventarios o la importación para disminuir los costos de transporte desde el puerto colombiano hasta el interior del país.</w:t>
      </w:r>
    </w:p>
    <w:p w14:paraId="636C4F99" w14:textId="77777777" w:rsidR="001212B1" w:rsidRPr="006A0E67" w:rsidRDefault="001212B1" w:rsidP="001212B1">
      <w:pPr>
        <w:pStyle w:val="Default"/>
        <w:spacing w:line="360" w:lineRule="auto"/>
        <w:ind w:left="720"/>
        <w:rPr>
          <w:rFonts w:ascii="Helvetica" w:hAnsi="Helvetica" w:cs="Helvetica"/>
          <w:color w:val="auto"/>
          <w:highlight w:val="cyan"/>
        </w:rPr>
      </w:pPr>
    </w:p>
    <w:p w14:paraId="4D367E04"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 xml:space="preserve">Alternativa 2. Determinar que la importación </w:t>
      </w:r>
      <w:r w:rsidRPr="00F77DFC">
        <w:rPr>
          <w:rFonts w:ascii="Helvetica" w:hAnsi="Helvetica" w:cs="Helvetica"/>
          <w:szCs w:val="24"/>
          <w:u w:val="single"/>
        </w:rPr>
        <w:t>solo</w:t>
      </w:r>
      <w:r w:rsidRPr="00F77DFC">
        <w:rPr>
          <w:rFonts w:ascii="Helvetica" w:hAnsi="Helvetica" w:cs="Helvetica"/>
          <w:szCs w:val="24"/>
        </w:rPr>
        <w:t xml:space="preserve"> puede ser realizada por los refinadores y no sujeta a condiciones de desabastecimiento</w:t>
      </w:r>
    </w:p>
    <w:p w14:paraId="3E8D4CB3" w14:textId="77777777" w:rsidR="001212B1" w:rsidRPr="006A0E67" w:rsidRDefault="001212B1" w:rsidP="001212B1">
      <w:pPr>
        <w:pStyle w:val="Default"/>
        <w:spacing w:line="360" w:lineRule="auto"/>
        <w:ind w:left="709"/>
        <w:rPr>
          <w:rFonts w:ascii="Helvetica" w:hAnsi="Helvetica" w:cs="Helvetica"/>
          <w:color w:val="auto"/>
        </w:rPr>
      </w:pPr>
      <w:r w:rsidRPr="006A0E67">
        <w:rPr>
          <w:rFonts w:ascii="Helvetica" w:hAnsi="Helvetica" w:cs="Helvetica"/>
          <w:color w:val="auto"/>
        </w:rPr>
        <w:t>Esta alternativa plantea que sea el refinador (Ecopetrol), el único agente que pueda realizar dichas importaciones, eliminando la mención a que las importaciones solo se realicen en condiciones de riesgo de desabastecimiento.</w:t>
      </w:r>
    </w:p>
    <w:p w14:paraId="4DC4426C" w14:textId="77777777" w:rsidR="001212B1" w:rsidRPr="006A0E67" w:rsidRDefault="001212B1" w:rsidP="001212B1">
      <w:pPr>
        <w:spacing w:line="360" w:lineRule="auto"/>
        <w:jc w:val="left"/>
        <w:rPr>
          <w:rFonts w:ascii="Helvetica" w:hAnsi="Helvetica" w:cs="Helvetica"/>
          <w:szCs w:val="24"/>
          <w:lang w:val="es-CO"/>
        </w:rPr>
      </w:pPr>
    </w:p>
    <w:p w14:paraId="7D350970"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3. Determinar que la importación puede ser realizada por cualquier agente importador y no sujeta a condiciones de desabastecimiento</w:t>
      </w:r>
    </w:p>
    <w:p w14:paraId="76B81694" w14:textId="77777777" w:rsidR="001212B1" w:rsidRPr="00F77DFC" w:rsidRDefault="001212B1" w:rsidP="001212B1">
      <w:pPr>
        <w:spacing w:line="360" w:lineRule="auto"/>
        <w:ind w:left="708"/>
        <w:jc w:val="left"/>
        <w:rPr>
          <w:rFonts w:ascii="Helvetica" w:hAnsi="Helvetica" w:cs="Helvetica"/>
          <w:szCs w:val="24"/>
        </w:rPr>
      </w:pPr>
      <w:r w:rsidRPr="00F03BAB">
        <w:rPr>
          <w:rFonts w:ascii="Helvetica" w:hAnsi="Helvetica" w:cs="Helvetica"/>
          <w:szCs w:val="24"/>
          <w:lang w:val="es-CO"/>
        </w:rPr>
        <w:t xml:space="preserve">Esta última alternativa plantea que se defina explícitamente que sea el agente importador definido en el Decreto </w:t>
      </w:r>
      <w:r w:rsidRPr="00F77DFC">
        <w:rPr>
          <w:rFonts w:ascii="Helvetica" w:hAnsi="Helvetica" w:cs="Helvetica"/>
          <w:szCs w:val="24"/>
        </w:rPr>
        <w:t>1073 de 2015 es el que pueda realizar esta actividad. Este agente se define de la siguiente manera:</w:t>
      </w:r>
    </w:p>
    <w:p w14:paraId="0F472694" w14:textId="77777777" w:rsidR="001212B1" w:rsidRPr="00F77DFC" w:rsidRDefault="001212B1" w:rsidP="001212B1">
      <w:pPr>
        <w:spacing w:line="360" w:lineRule="auto"/>
        <w:ind w:left="1416"/>
        <w:jc w:val="left"/>
        <w:rPr>
          <w:rFonts w:ascii="Helvetica" w:hAnsi="Helvetica" w:cs="Helvetica"/>
          <w:i/>
          <w:szCs w:val="24"/>
        </w:rPr>
      </w:pPr>
      <w:r w:rsidRPr="00F77DFC">
        <w:rPr>
          <w:rFonts w:ascii="Helvetica" w:hAnsi="Helvetica" w:cs="Helvetica"/>
          <w:i/>
          <w:szCs w:val="24"/>
        </w:rPr>
        <w:t>“…Importador: Toda persona natural o jurídica que ejerce la actividad de importación de combustibles líquidos derivados del petróleo, conforme a lo establecido en el artículo 2.2.1.1.2.2.3.77. y siguientes del presente Decreto…”</w:t>
      </w:r>
    </w:p>
    <w:p w14:paraId="379FA427" w14:textId="77777777" w:rsidR="001212B1" w:rsidRPr="00F03BAB" w:rsidRDefault="001212B1" w:rsidP="001212B1">
      <w:pPr>
        <w:spacing w:line="360" w:lineRule="auto"/>
        <w:ind w:left="708"/>
        <w:jc w:val="left"/>
        <w:rPr>
          <w:rFonts w:ascii="Helvetica" w:hAnsi="Helvetica" w:cs="Helvetica"/>
          <w:szCs w:val="24"/>
          <w:lang w:val="es-CO"/>
        </w:rPr>
      </w:pPr>
      <w:r w:rsidRPr="00F77DFC">
        <w:rPr>
          <w:rFonts w:ascii="Helvetica" w:hAnsi="Helvetica" w:cs="Helvetica"/>
          <w:szCs w:val="24"/>
        </w:rPr>
        <w:t>Tal y como se menciona en la definición anterior, el agente deberá constituirse como importador y cumplir con lo estipulado en el artículo 2.2.1.1.2.2.3.77, constituyéndose con un NIT y razón social diferente, si es un agente ya constituido dentro de la cadena de combustibles líquidos.</w:t>
      </w:r>
    </w:p>
    <w:p w14:paraId="02694257" w14:textId="77777777" w:rsidR="001212B1" w:rsidRPr="006A0E67" w:rsidRDefault="001212B1" w:rsidP="001212B1">
      <w:pPr>
        <w:spacing w:line="360" w:lineRule="auto"/>
        <w:jc w:val="left"/>
        <w:rPr>
          <w:rFonts w:ascii="Helvetica" w:hAnsi="Helvetica" w:cs="Helvetica"/>
          <w:szCs w:val="24"/>
          <w:lang w:val="es-CO"/>
        </w:rPr>
      </w:pPr>
    </w:p>
    <w:p w14:paraId="1B22B2BD" w14:textId="77777777" w:rsidR="001212B1" w:rsidRPr="002F368A" w:rsidRDefault="001212B1" w:rsidP="001212B1">
      <w:pPr>
        <w:pStyle w:val="Ttulo2"/>
        <w:numPr>
          <w:ilvl w:val="1"/>
          <w:numId w:val="1"/>
        </w:numPr>
        <w:ind w:left="578" w:hanging="578"/>
        <w:jc w:val="left"/>
        <w:rPr>
          <w:rFonts w:ascii="Helvetica" w:hAnsi="Helvetica" w:cs="Helvetica"/>
        </w:rPr>
      </w:pPr>
      <w:r w:rsidRPr="002F368A">
        <w:rPr>
          <w:rFonts w:ascii="Helvetica" w:hAnsi="Helvetica" w:cs="Helvetica"/>
        </w:rPr>
        <w:t xml:space="preserve">Problema 3. </w:t>
      </w:r>
      <w:r w:rsidRPr="00EF22E0">
        <w:rPr>
          <w:rFonts w:ascii="Helvetica" w:hAnsi="Helvetica" w:cs="Helvetica"/>
        </w:rPr>
        <w:t>Posible traslado de costos ineficientes del producto importado y de la cadena de valor de importación.</w:t>
      </w:r>
    </w:p>
    <w:p w14:paraId="1D2FB9CE" w14:textId="77777777" w:rsidR="001212B1" w:rsidRDefault="001212B1" w:rsidP="001212B1">
      <w:pPr>
        <w:pStyle w:val="Prrafodelista"/>
        <w:numPr>
          <w:ilvl w:val="0"/>
          <w:numId w:val="23"/>
        </w:numPr>
        <w:spacing w:line="360" w:lineRule="auto"/>
        <w:ind w:left="1069"/>
        <w:jc w:val="left"/>
        <w:rPr>
          <w:rFonts w:ascii="Helvetica" w:hAnsi="Helvetica" w:cs="Helvetica"/>
          <w:szCs w:val="24"/>
          <w:lang w:val="es-CO"/>
        </w:rPr>
      </w:pPr>
      <w:r>
        <w:rPr>
          <w:rFonts w:ascii="Helvetica" w:hAnsi="Helvetica" w:cs="Helvetica"/>
          <w:szCs w:val="24"/>
          <w:lang w:val="es-CO"/>
        </w:rPr>
        <w:t xml:space="preserve">Objetivo general: </w:t>
      </w:r>
      <w:r w:rsidRPr="00064169">
        <w:rPr>
          <w:rFonts w:ascii="Helvetica" w:hAnsi="Helvetica" w:cs="Helvetica"/>
          <w:szCs w:val="24"/>
          <w:lang w:val="es-CO"/>
        </w:rPr>
        <w:t>Establecer una metodología para determinar el valor eficiente del precio del producto importado y los costos logísticos (Fletes, seguros, etc).</w:t>
      </w:r>
    </w:p>
    <w:p w14:paraId="4AF7E6B5" w14:textId="77777777" w:rsidR="001212B1" w:rsidRPr="00064169" w:rsidRDefault="001212B1" w:rsidP="001212B1">
      <w:pPr>
        <w:pStyle w:val="Prrafodelista"/>
        <w:numPr>
          <w:ilvl w:val="0"/>
          <w:numId w:val="23"/>
        </w:numPr>
        <w:spacing w:line="360" w:lineRule="auto"/>
        <w:ind w:left="1069"/>
        <w:jc w:val="left"/>
        <w:rPr>
          <w:rFonts w:ascii="Helvetica" w:hAnsi="Helvetica" w:cs="Helvetica"/>
          <w:szCs w:val="24"/>
          <w:lang w:val="es-CO"/>
        </w:rPr>
      </w:pPr>
      <w:r>
        <w:rPr>
          <w:rFonts w:ascii="Helvetica" w:hAnsi="Helvetica" w:cs="Helvetica"/>
          <w:szCs w:val="24"/>
          <w:lang w:val="es-CO"/>
        </w:rPr>
        <w:t xml:space="preserve">Objetivos específicos: </w:t>
      </w:r>
      <w:r w:rsidRPr="00064169">
        <w:rPr>
          <w:rFonts w:ascii="Helvetica" w:hAnsi="Helvetica" w:cs="Helvetica"/>
          <w:szCs w:val="24"/>
          <w:lang w:val="es-CO"/>
        </w:rPr>
        <w:t>Establecer incentivos para la optimización de costos.</w:t>
      </w:r>
    </w:p>
    <w:p w14:paraId="235A838D" w14:textId="77777777" w:rsidR="001212B1" w:rsidRPr="00E71318" w:rsidRDefault="001212B1" w:rsidP="001212B1">
      <w:pPr>
        <w:spacing w:line="360" w:lineRule="auto"/>
        <w:jc w:val="left"/>
        <w:rPr>
          <w:rFonts w:ascii="Helvetica" w:hAnsi="Helvetica" w:cs="Helvetica"/>
          <w:szCs w:val="24"/>
          <w:lang w:val="es-CO"/>
        </w:rPr>
      </w:pPr>
    </w:p>
    <w:p w14:paraId="62756ADF"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1.</w:t>
      </w:r>
      <w:r>
        <w:rPr>
          <w:rFonts w:ascii="Helvetica" w:hAnsi="Helvetica" w:cs="Helvetica"/>
          <w:szCs w:val="24"/>
        </w:rPr>
        <w:t xml:space="preserve"> Status quo.</w:t>
      </w:r>
      <w:r w:rsidRPr="00F77DFC">
        <w:rPr>
          <w:rFonts w:ascii="Helvetica" w:hAnsi="Helvetica" w:cs="Helvetica"/>
          <w:szCs w:val="24"/>
        </w:rPr>
        <w:t xml:space="preserve"> Mantener el traslado de costos directo.</w:t>
      </w:r>
    </w:p>
    <w:p w14:paraId="4D91E51F" w14:textId="77777777" w:rsidR="001212B1" w:rsidRPr="00F03BAB" w:rsidRDefault="001212B1" w:rsidP="001212B1">
      <w:pPr>
        <w:spacing w:line="360" w:lineRule="auto"/>
        <w:ind w:left="720"/>
        <w:jc w:val="left"/>
        <w:rPr>
          <w:rFonts w:ascii="Helvetica" w:hAnsi="Helvetica" w:cs="Helvetica"/>
          <w:szCs w:val="24"/>
          <w:lang w:val="es-CO"/>
        </w:rPr>
      </w:pPr>
      <w:r w:rsidRPr="00F03BAB">
        <w:rPr>
          <w:rFonts w:ascii="Helvetica" w:hAnsi="Helvetica" w:cs="Helvetica"/>
          <w:szCs w:val="24"/>
          <w:lang w:val="es-CO"/>
        </w:rPr>
        <w:t>Esta alternativa plantea que el refinador o agente importador continuará realizado la importación y podrá trasladar los costos asociados a la importación de manera directa a sus clientes. Esta alternativa no contempla la obligación de reporte de los costos en los cuales incurre por la actividad de importación.</w:t>
      </w:r>
    </w:p>
    <w:p w14:paraId="710FB69E" w14:textId="77777777" w:rsidR="001212B1" w:rsidRPr="006A0E67" w:rsidRDefault="001212B1" w:rsidP="001212B1">
      <w:pPr>
        <w:spacing w:line="360" w:lineRule="auto"/>
        <w:ind w:left="720"/>
        <w:jc w:val="left"/>
        <w:rPr>
          <w:rFonts w:ascii="Helvetica" w:hAnsi="Helvetica" w:cs="Helvetica"/>
          <w:szCs w:val="24"/>
          <w:lang w:val="es-CO"/>
        </w:rPr>
      </w:pPr>
    </w:p>
    <w:p w14:paraId="02DDBBDF"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2. Mantener el traslado de costos directo libertad vigilada (reporte).</w:t>
      </w:r>
    </w:p>
    <w:p w14:paraId="0F7CFFDB" w14:textId="77777777" w:rsidR="001212B1" w:rsidRPr="006A0E67" w:rsidRDefault="001212B1" w:rsidP="001212B1">
      <w:pPr>
        <w:spacing w:line="360" w:lineRule="auto"/>
        <w:ind w:left="708"/>
        <w:jc w:val="left"/>
        <w:rPr>
          <w:rFonts w:ascii="Helvetica" w:hAnsi="Helvetica" w:cs="Helvetica"/>
          <w:szCs w:val="24"/>
          <w:lang w:val="es-CO"/>
        </w:rPr>
      </w:pPr>
      <w:r w:rsidRPr="00C45688">
        <w:rPr>
          <w:rFonts w:ascii="Helvetica" w:hAnsi="Helvetica" w:cs="Helvetica"/>
          <w:szCs w:val="24"/>
          <w:lang w:val="es-CO"/>
        </w:rPr>
        <w:t>Esta alternativa, plantea que el agente refinador o agente importador continuará realizado la actividad de importación y podrá trasladar los costos asociados a la importación de manera directa, con la obligación de reporte de los costos en los cuales incurre por la actividad de importación, tal cual lo establece la Ley 81 de 1988.</w:t>
      </w:r>
    </w:p>
    <w:p w14:paraId="49701D9F" w14:textId="77777777" w:rsidR="001212B1" w:rsidRPr="006A0E67" w:rsidRDefault="001212B1" w:rsidP="001212B1">
      <w:pPr>
        <w:spacing w:line="360" w:lineRule="auto"/>
        <w:ind w:left="720"/>
        <w:jc w:val="left"/>
        <w:rPr>
          <w:rFonts w:ascii="Helvetica" w:hAnsi="Helvetica" w:cs="Helvetica"/>
          <w:szCs w:val="24"/>
          <w:lang w:val="es-CO"/>
        </w:rPr>
      </w:pPr>
    </w:p>
    <w:p w14:paraId="6D2D3BEB"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3. Establecer un valor máximo fijo en pesos o en dólares (ingreso imp.)</w:t>
      </w:r>
    </w:p>
    <w:p w14:paraId="7B609A6F" w14:textId="77777777" w:rsidR="001212B1" w:rsidRPr="006A0E67" w:rsidRDefault="001212B1" w:rsidP="001212B1">
      <w:pPr>
        <w:spacing w:line="360" w:lineRule="auto"/>
        <w:ind w:left="720"/>
        <w:jc w:val="left"/>
        <w:rPr>
          <w:rFonts w:ascii="Helvetica" w:hAnsi="Helvetica" w:cs="Helvetica"/>
          <w:szCs w:val="24"/>
          <w:lang w:val="es-CO"/>
        </w:rPr>
      </w:pPr>
      <w:r w:rsidRPr="006A0E67">
        <w:rPr>
          <w:rFonts w:ascii="Helvetica" w:hAnsi="Helvetica" w:cs="Helvetica"/>
          <w:szCs w:val="24"/>
          <w:lang w:val="es-CO"/>
        </w:rPr>
        <w:t>Esta alternativa propone identificar las inversiones, gastos de operación y mantenimiento, así como los costos recurrentes para pagar la actividad de importación y el valor máximo que se pueda reconocer por ella.</w:t>
      </w:r>
    </w:p>
    <w:p w14:paraId="44117C1A" w14:textId="77777777" w:rsidR="001212B1" w:rsidRPr="006A0E67" w:rsidRDefault="001212B1" w:rsidP="001212B1">
      <w:pPr>
        <w:spacing w:line="360" w:lineRule="auto"/>
        <w:ind w:left="720"/>
        <w:jc w:val="left"/>
        <w:rPr>
          <w:rFonts w:ascii="Helvetica" w:hAnsi="Helvetica" w:cs="Helvetica"/>
          <w:szCs w:val="24"/>
          <w:lang w:val="es-CO"/>
        </w:rPr>
      </w:pPr>
    </w:p>
    <w:p w14:paraId="6DD2BAF3"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lastRenderedPageBreak/>
        <w:t xml:space="preserve">Alternativa 4. Índice internacional + pesos o dólares fijos por galón. </w:t>
      </w:r>
    </w:p>
    <w:p w14:paraId="485ADD62" w14:textId="77777777" w:rsidR="001212B1" w:rsidRPr="006A0E67" w:rsidRDefault="001212B1" w:rsidP="001212B1">
      <w:pPr>
        <w:pStyle w:val="Prrafodelista"/>
        <w:spacing w:line="360" w:lineRule="auto"/>
        <w:ind w:left="720"/>
        <w:jc w:val="left"/>
        <w:rPr>
          <w:rFonts w:ascii="Helvetica" w:hAnsi="Helvetica" w:cs="Helvetica"/>
          <w:szCs w:val="24"/>
          <w:lang w:val="es-CO"/>
        </w:rPr>
      </w:pPr>
      <w:r w:rsidRPr="00F03BAB">
        <w:rPr>
          <w:rFonts w:ascii="Helvetica" w:hAnsi="Helvetica" w:cs="Helvetica"/>
          <w:szCs w:val="24"/>
          <w:lang w:val="es-CO"/>
        </w:rPr>
        <w:t>Esta alternativa reconoce un índice internacional más un valor en pesos o dólares fijos por galón que remuneren la actividad de comercialización de producto importado. Se deberá establecer además un indexador que actualice los costos de dicha actividad cada año para su correspondiente actualización.</w:t>
      </w:r>
    </w:p>
    <w:p w14:paraId="60EBE206" w14:textId="77777777" w:rsidR="001212B1" w:rsidRPr="006A0E67" w:rsidRDefault="001212B1" w:rsidP="001212B1">
      <w:pPr>
        <w:spacing w:line="360" w:lineRule="auto"/>
        <w:jc w:val="left"/>
        <w:rPr>
          <w:rFonts w:ascii="Helvetica" w:hAnsi="Helvetica" w:cs="Helvetica"/>
          <w:szCs w:val="24"/>
          <w:lang w:val="es-CO"/>
        </w:rPr>
      </w:pPr>
    </w:p>
    <w:p w14:paraId="544AEFD2"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 xml:space="preserve">Alternativa 5. Índice internacional + % por galón. </w:t>
      </w:r>
    </w:p>
    <w:p w14:paraId="59DF3DDA" w14:textId="77777777" w:rsidR="001212B1" w:rsidRPr="00B15C77" w:rsidRDefault="001212B1" w:rsidP="001212B1">
      <w:pPr>
        <w:pStyle w:val="Prrafodelista"/>
        <w:spacing w:line="360" w:lineRule="auto"/>
        <w:ind w:left="720"/>
        <w:jc w:val="left"/>
        <w:rPr>
          <w:rFonts w:ascii="Helvetica" w:hAnsi="Helvetica" w:cs="Helvetica"/>
          <w:szCs w:val="24"/>
          <w:lang w:val="es-CO"/>
        </w:rPr>
      </w:pPr>
      <w:r w:rsidRPr="006A0E67">
        <w:rPr>
          <w:rFonts w:ascii="Helvetica" w:hAnsi="Helvetica" w:cs="Helvetica"/>
          <w:szCs w:val="24"/>
          <w:lang w:val="es-CO"/>
        </w:rPr>
        <w:t xml:space="preserve">En lugar de establecer un valor fijo por galón, </w:t>
      </w:r>
      <w:r>
        <w:rPr>
          <w:rFonts w:ascii="Helvetica" w:hAnsi="Helvetica" w:cs="Helvetica"/>
          <w:szCs w:val="24"/>
          <w:lang w:val="es-CO"/>
        </w:rPr>
        <w:t xml:space="preserve">esta alternativa </w:t>
      </w:r>
      <w:r w:rsidRPr="006A0E67">
        <w:rPr>
          <w:rFonts w:ascii="Helvetica" w:hAnsi="Helvetica" w:cs="Helvetica"/>
          <w:szCs w:val="24"/>
          <w:lang w:val="es-CO"/>
        </w:rPr>
        <w:t xml:space="preserve">propone establecer un porcentaje </w:t>
      </w:r>
      <w:r w:rsidRPr="00F03BAB">
        <w:rPr>
          <w:rFonts w:ascii="Helvetica" w:hAnsi="Helvetica" w:cs="Helvetica"/>
          <w:szCs w:val="24"/>
          <w:lang w:val="es-CO"/>
        </w:rPr>
        <w:t>corresponda a una remuneración eficiente de las actividades en las que incurre el importador.</w:t>
      </w:r>
      <w:r>
        <w:rPr>
          <w:rFonts w:ascii="Helvetica" w:hAnsi="Helvetica" w:cs="Helvetica"/>
          <w:szCs w:val="24"/>
          <w:lang w:val="es-CO"/>
        </w:rPr>
        <w:t xml:space="preserve"> </w:t>
      </w:r>
      <w:r w:rsidRPr="00B15C77">
        <w:rPr>
          <w:rFonts w:ascii="Helvetica" w:hAnsi="Helvetica" w:cs="Helvetica"/>
          <w:szCs w:val="24"/>
          <w:lang w:val="es-CO"/>
        </w:rPr>
        <w:t>Esta alternativa no requiere la definición de un indexador para la actualización de los costos de dicha actividad.</w:t>
      </w:r>
    </w:p>
    <w:p w14:paraId="6454C9FB" w14:textId="77777777" w:rsidR="001212B1" w:rsidRPr="006A0E67" w:rsidRDefault="001212B1" w:rsidP="001212B1">
      <w:pPr>
        <w:spacing w:line="360" w:lineRule="auto"/>
        <w:ind w:firstLine="708"/>
        <w:jc w:val="left"/>
        <w:rPr>
          <w:rFonts w:ascii="Helvetica" w:hAnsi="Helvetica" w:cs="Helvetica"/>
          <w:szCs w:val="24"/>
          <w:lang w:val="es-CO"/>
        </w:rPr>
      </w:pPr>
    </w:p>
    <w:p w14:paraId="23D590B4" w14:textId="77777777" w:rsidR="001212B1" w:rsidRPr="00F77DFC" w:rsidRDefault="001212B1" w:rsidP="001212B1">
      <w:pPr>
        <w:pStyle w:val="Ttulo3"/>
        <w:numPr>
          <w:ilvl w:val="2"/>
          <w:numId w:val="1"/>
        </w:numPr>
        <w:ind w:left="709" w:hanging="709"/>
        <w:jc w:val="left"/>
        <w:rPr>
          <w:rFonts w:ascii="Helvetica" w:hAnsi="Helvetica" w:cs="Helvetica"/>
          <w:szCs w:val="24"/>
          <w:lang w:val="es-CO"/>
        </w:rPr>
      </w:pPr>
      <w:r w:rsidRPr="00F77DFC">
        <w:rPr>
          <w:rFonts w:ascii="Helvetica" w:hAnsi="Helvetica" w:cs="Helvetica"/>
          <w:szCs w:val="24"/>
        </w:rPr>
        <w:t>Alternativa 6. Precio paridad importación.</w:t>
      </w:r>
    </w:p>
    <w:p w14:paraId="531D2028" w14:textId="77777777" w:rsidR="001212B1" w:rsidRPr="006A0E67" w:rsidRDefault="001212B1" w:rsidP="001212B1">
      <w:pPr>
        <w:spacing w:line="360" w:lineRule="auto"/>
        <w:ind w:left="720"/>
        <w:jc w:val="left"/>
        <w:rPr>
          <w:rFonts w:ascii="Helvetica" w:hAnsi="Helvetica" w:cs="Helvetica"/>
          <w:szCs w:val="24"/>
          <w:lang w:val="es-MX"/>
        </w:rPr>
      </w:pPr>
      <w:r w:rsidRPr="00360DF1">
        <w:rPr>
          <w:rFonts w:ascii="Helvetica" w:hAnsi="Helvetica" w:cs="Helvetica"/>
          <w:szCs w:val="24"/>
          <w:lang w:val="es-MX"/>
        </w:rPr>
        <w:t>Esta alternativa se describe en el numeral 7.1.</w:t>
      </w:r>
    </w:p>
    <w:p w14:paraId="1F678569" w14:textId="77777777" w:rsidR="001212B1" w:rsidRPr="006A0E67" w:rsidRDefault="001212B1" w:rsidP="001212B1">
      <w:pPr>
        <w:spacing w:line="360" w:lineRule="auto"/>
        <w:ind w:left="720"/>
        <w:jc w:val="left"/>
        <w:rPr>
          <w:rFonts w:ascii="Helvetica" w:hAnsi="Helvetica" w:cs="Helvetica"/>
          <w:szCs w:val="24"/>
          <w:lang w:val="es-CO"/>
        </w:rPr>
      </w:pPr>
    </w:p>
    <w:p w14:paraId="6175CFAE" w14:textId="77777777" w:rsidR="001212B1" w:rsidRPr="00F77DFC" w:rsidRDefault="001212B1" w:rsidP="001212B1">
      <w:pPr>
        <w:pStyle w:val="Ttulo2"/>
        <w:numPr>
          <w:ilvl w:val="1"/>
          <w:numId w:val="1"/>
        </w:numPr>
        <w:ind w:left="578" w:hanging="578"/>
        <w:jc w:val="left"/>
        <w:rPr>
          <w:rFonts w:ascii="Helvetica" w:hAnsi="Helvetica" w:cs="Helvetica"/>
        </w:rPr>
      </w:pPr>
      <w:r w:rsidRPr="00F77DFC">
        <w:rPr>
          <w:rFonts w:ascii="Helvetica" w:hAnsi="Helvetica" w:cs="Helvetica"/>
        </w:rPr>
        <w:t>Problema 4.</w:t>
      </w:r>
      <w:r>
        <w:rPr>
          <w:rFonts w:ascii="Helvetica" w:hAnsi="Helvetica" w:cs="Helvetica"/>
        </w:rPr>
        <w:t xml:space="preserve"> </w:t>
      </w:r>
      <w:r w:rsidRPr="00EF22E0">
        <w:rPr>
          <w:rFonts w:ascii="Helvetica" w:hAnsi="Helvetica" w:cs="Helvetica"/>
        </w:rPr>
        <w:t>Posible asimetría de información entre agentes y frente al regulador (oferta – costos trasladados del producto importado).</w:t>
      </w:r>
    </w:p>
    <w:p w14:paraId="7FAD2B6F" w14:textId="77777777" w:rsidR="001212B1" w:rsidRDefault="001212B1" w:rsidP="001212B1">
      <w:pPr>
        <w:pStyle w:val="Prrafodelista"/>
        <w:numPr>
          <w:ilvl w:val="0"/>
          <w:numId w:val="24"/>
        </w:numPr>
        <w:spacing w:line="360" w:lineRule="auto"/>
        <w:jc w:val="left"/>
        <w:rPr>
          <w:rFonts w:ascii="Helvetica" w:hAnsi="Helvetica" w:cs="Helvetica"/>
          <w:szCs w:val="24"/>
          <w:lang w:val="es-CO"/>
        </w:rPr>
      </w:pPr>
      <w:r>
        <w:rPr>
          <w:rFonts w:ascii="Helvetica" w:hAnsi="Helvetica" w:cs="Helvetica"/>
          <w:szCs w:val="24"/>
          <w:lang w:val="es-CO"/>
        </w:rPr>
        <w:t>Objetivo general: E</w:t>
      </w:r>
      <w:r w:rsidRPr="00E22981">
        <w:rPr>
          <w:rFonts w:ascii="Helvetica" w:hAnsi="Helvetica" w:cs="Helvetica"/>
          <w:szCs w:val="24"/>
          <w:lang w:val="es-CO"/>
        </w:rPr>
        <w:t>liminar asimetría de información relacionada con la oferta nacional e importada y los costos del producto importado.</w:t>
      </w:r>
    </w:p>
    <w:p w14:paraId="316850BD" w14:textId="77777777" w:rsidR="001212B1" w:rsidRDefault="001212B1" w:rsidP="001212B1">
      <w:pPr>
        <w:pStyle w:val="Prrafodelista"/>
        <w:numPr>
          <w:ilvl w:val="0"/>
          <w:numId w:val="24"/>
        </w:numPr>
        <w:jc w:val="left"/>
        <w:rPr>
          <w:rFonts w:ascii="Helvetica" w:hAnsi="Helvetica" w:cs="Helvetica"/>
          <w:szCs w:val="24"/>
          <w:lang w:val="es-CO"/>
        </w:rPr>
      </w:pPr>
      <w:r w:rsidRPr="00E22981">
        <w:rPr>
          <w:rFonts w:ascii="Helvetica" w:hAnsi="Helvetica" w:cs="Helvetica"/>
          <w:szCs w:val="24"/>
          <w:lang w:val="es-CO"/>
        </w:rPr>
        <w:t>O</w:t>
      </w:r>
      <w:r>
        <w:rPr>
          <w:rFonts w:ascii="Helvetica" w:hAnsi="Helvetica" w:cs="Helvetica"/>
          <w:szCs w:val="24"/>
          <w:lang w:val="es-CO"/>
        </w:rPr>
        <w:t xml:space="preserve">bjetivo específico: </w:t>
      </w:r>
      <w:r w:rsidRPr="00E22981">
        <w:rPr>
          <w:rFonts w:ascii="Helvetica" w:hAnsi="Helvetica" w:cs="Helvetica"/>
          <w:szCs w:val="24"/>
          <w:lang w:val="es-CO"/>
        </w:rPr>
        <w:t>Promover el reporte de información y la trasparencia en las relaciones comerciales</w:t>
      </w:r>
    </w:p>
    <w:p w14:paraId="09EE2F9D" w14:textId="77777777" w:rsidR="001212B1" w:rsidRPr="00F77DFC" w:rsidRDefault="001212B1" w:rsidP="001212B1">
      <w:pPr>
        <w:pStyle w:val="Epgrafe"/>
        <w:jc w:val="left"/>
        <w:rPr>
          <w:rFonts w:ascii="Helvetica" w:hAnsi="Helvetica" w:cs="Helvetica"/>
          <w:szCs w:val="24"/>
        </w:rPr>
      </w:pPr>
    </w:p>
    <w:p w14:paraId="11A5626B"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1. Statu quo.</w:t>
      </w:r>
    </w:p>
    <w:p w14:paraId="10BD682F" w14:textId="77777777" w:rsidR="001212B1" w:rsidRPr="007A2E85" w:rsidRDefault="001212B1" w:rsidP="001212B1">
      <w:pPr>
        <w:spacing w:line="360" w:lineRule="auto"/>
        <w:ind w:left="708"/>
        <w:jc w:val="left"/>
        <w:rPr>
          <w:rFonts w:ascii="Helvetica" w:hAnsi="Helvetica" w:cs="Helvetica"/>
          <w:szCs w:val="24"/>
        </w:rPr>
      </w:pPr>
      <w:r w:rsidRPr="006A0E67">
        <w:rPr>
          <w:rFonts w:ascii="Helvetica" w:hAnsi="Helvetica" w:cs="Helvetica"/>
          <w:szCs w:val="24"/>
          <w:lang w:val="es-CO"/>
        </w:rPr>
        <w:t xml:space="preserve">Como se ha expuesto en el desarrollo de este estudio, </w:t>
      </w:r>
      <w:r>
        <w:rPr>
          <w:rFonts w:ascii="Helvetica" w:hAnsi="Helvetica" w:cs="Helvetica"/>
          <w:szCs w:val="24"/>
          <w:lang w:val="es-CO"/>
        </w:rPr>
        <w:t xml:space="preserve">en </w:t>
      </w:r>
      <w:r w:rsidRPr="006A0E67">
        <w:rPr>
          <w:rFonts w:ascii="Helvetica" w:hAnsi="Helvetica" w:cs="Helvetica"/>
          <w:szCs w:val="24"/>
          <w:lang w:val="es-CO"/>
        </w:rPr>
        <w:t xml:space="preserve">el escenario actual </w:t>
      </w:r>
      <w:r w:rsidRPr="007A2E85">
        <w:rPr>
          <w:rFonts w:ascii="Helvetica" w:hAnsi="Helvetica" w:cs="Helvetica"/>
          <w:szCs w:val="24"/>
        </w:rPr>
        <w:t xml:space="preserve">el distribuidor mayorista no conoce la oferta proyectada del refinador más allá de 3 meses, siendo solo el primer mes la oferta real. Tampoco existe la obligación de reporte o publicación de esta información por un mayor periodo de tiempo, lo que </w:t>
      </w:r>
      <w:r w:rsidRPr="007A2E85">
        <w:rPr>
          <w:rFonts w:ascii="Helvetica" w:hAnsi="Helvetica" w:cs="Helvetica"/>
          <w:szCs w:val="24"/>
        </w:rPr>
        <w:lastRenderedPageBreak/>
        <w:t>no permite hacer una adecuada planeación del sector por parte de los agentes que intervienen.</w:t>
      </w:r>
    </w:p>
    <w:p w14:paraId="4D528739" w14:textId="77777777" w:rsidR="001212B1" w:rsidRPr="006A0E67" w:rsidRDefault="001212B1" w:rsidP="001212B1">
      <w:pPr>
        <w:spacing w:line="360" w:lineRule="auto"/>
        <w:ind w:left="708"/>
        <w:jc w:val="left"/>
        <w:rPr>
          <w:rFonts w:ascii="Helvetica" w:hAnsi="Helvetica" w:cs="Helvetica"/>
          <w:szCs w:val="24"/>
          <w:lang w:val="es-CO"/>
        </w:rPr>
      </w:pPr>
    </w:p>
    <w:p w14:paraId="721A7FBA" w14:textId="77777777" w:rsidR="001212B1" w:rsidRPr="007A2E85" w:rsidRDefault="001212B1" w:rsidP="001212B1">
      <w:pPr>
        <w:spacing w:line="360" w:lineRule="auto"/>
        <w:ind w:left="708"/>
        <w:jc w:val="left"/>
        <w:rPr>
          <w:rFonts w:ascii="Helvetica" w:hAnsi="Helvetica" w:cs="Helvetica"/>
          <w:szCs w:val="24"/>
          <w:lang w:val="es-CO"/>
        </w:rPr>
      </w:pPr>
      <w:r w:rsidRPr="007A2E85">
        <w:rPr>
          <w:rFonts w:ascii="Helvetica" w:hAnsi="Helvetica" w:cs="Helvetica"/>
          <w:szCs w:val="24"/>
        </w:rPr>
        <w:t>Así mismo, no existen en la regulación señales de transparencia en los costos del producto importado ni de los costos asociados a la importación. Bajo esta alternativa se plantea mantener esta situación sin que se promueva el desarrollo de un mecanismo de reporte de información que permita a los distribuidores mayoristas conocer la oferta de Jet a más largo plazo y los costos en los que incurre el refinador cuando realiza importaciones de Jet.</w:t>
      </w:r>
    </w:p>
    <w:p w14:paraId="7DA30398" w14:textId="77777777" w:rsidR="001212B1" w:rsidRPr="006A0E67" w:rsidRDefault="001212B1" w:rsidP="001212B1">
      <w:pPr>
        <w:spacing w:line="360" w:lineRule="auto"/>
        <w:jc w:val="left"/>
        <w:rPr>
          <w:rFonts w:ascii="Helvetica" w:hAnsi="Helvetica" w:cs="Helvetica"/>
          <w:szCs w:val="24"/>
          <w:lang w:val="es-CO"/>
        </w:rPr>
      </w:pPr>
    </w:p>
    <w:p w14:paraId="71CDD653"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2. Establecer reglas generales de comportamiento de los agentes de la cadena de distribución de combustibles líquidos.</w:t>
      </w:r>
    </w:p>
    <w:p w14:paraId="00A434F4" w14:textId="77777777" w:rsidR="001212B1" w:rsidRPr="007A2E85" w:rsidRDefault="001212B1" w:rsidP="001212B1">
      <w:pPr>
        <w:spacing w:line="360" w:lineRule="auto"/>
        <w:ind w:left="708"/>
        <w:jc w:val="left"/>
        <w:rPr>
          <w:rFonts w:ascii="Helvetica" w:hAnsi="Helvetica" w:cs="Helvetica"/>
          <w:szCs w:val="24"/>
          <w:lang w:val="es-CO"/>
        </w:rPr>
      </w:pPr>
      <w:r w:rsidRPr="007A2E85">
        <w:rPr>
          <w:rFonts w:ascii="Helvetica" w:hAnsi="Helvetica" w:cs="Helvetica"/>
          <w:szCs w:val="24"/>
          <w:lang w:val="es-CO"/>
        </w:rPr>
        <w:t>Esta alternativa invita a la autorregulación vigilada como una alternativa de regulación de los agentes, mediante la definición de reglas generales de comportamiento de los agentes que hacen parte de la cadena de Jet y de los combustibles líquidos en general.</w:t>
      </w:r>
    </w:p>
    <w:p w14:paraId="36901F6D" w14:textId="77777777" w:rsidR="001212B1" w:rsidRDefault="001212B1" w:rsidP="001212B1">
      <w:pPr>
        <w:spacing w:line="360" w:lineRule="auto"/>
        <w:ind w:left="708"/>
        <w:jc w:val="left"/>
        <w:rPr>
          <w:rFonts w:ascii="Helvetica" w:hAnsi="Helvetica" w:cs="Helvetica"/>
          <w:szCs w:val="24"/>
          <w:lang w:val="es-CO"/>
        </w:rPr>
      </w:pPr>
    </w:p>
    <w:p w14:paraId="52126793" w14:textId="77777777" w:rsidR="001212B1" w:rsidRPr="007A2E85" w:rsidRDefault="001212B1" w:rsidP="001212B1">
      <w:pPr>
        <w:spacing w:line="360" w:lineRule="auto"/>
        <w:ind w:left="708"/>
        <w:jc w:val="left"/>
        <w:rPr>
          <w:rFonts w:ascii="Helvetica" w:hAnsi="Helvetica" w:cs="Helvetica"/>
          <w:szCs w:val="24"/>
          <w:lang w:val="es-CO"/>
        </w:rPr>
      </w:pPr>
      <w:r w:rsidRPr="007A2E85">
        <w:rPr>
          <w:rFonts w:ascii="Helvetica" w:hAnsi="Helvetica" w:cs="Helvetica"/>
          <w:szCs w:val="24"/>
          <w:lang w:val="es-CO"/>
        </w:rPr>
        <w:t>Las necesidades actuales del sector se traducen en una búsqueda de una regulación adaptativa, mediante el establecimiento de reglas generales de comportamiento que tiene como objeto proveer una base normativa integral que guíe el actuar de los prestadores, congruente con los principios y las obligaciones establecidas en la ley.</w:t>
      </w:r>
    </w:p>
    <w:p w14:paraId="271C4294" w14:textId="77777777" w:rsidR="001212B1" w:rsidRDefault="001212B1" w:rsidP="001212B1">
      <w:pPr>
        <w:spacing w:line="360" w:lineRule="auto"/>
        <w:ind w:left="708"/>
        <w:jc w:val="left"/>
        <w:rPr>
          <w:rFonts w:ascii="Helvetica" w:hAnsi="Helvetica" w:cs="Helvetica"/>
          <w:szCs w:val="24"/>
          <w:lang w:val="es-CO"/>
        </w:rPr>
      </w:pPr>
    </w:p>
    <w:p w14:paraId="0232E8E2" w14:textId="77777777" w:rsidR="001212B1" w:rsidRPr="007A2E85" w:rsidRDefault="001212B1" w:rsidP="001212B1">
      <w:pPr>
        <w:spacing w:line="360" w:lineRule="auto"/>
        <w:ind w:left="708"/>
        <w:jc w:val="left"/>
        <w:rPr>
          <w:rFonts w:ascii="Helvetica" w:hAnsi="Helvetica" w:cs="Helvetica"/>
          <w:szCs w:val="24"/>
          <w:lang w:val="es-CO"/>
        </w:rPr>
      </w:pPr>
      <w:r w:rsidRPr="007A2E85">
        <w:rPr>
          <w:rFonts w:ascii="Helvetica" w:hAnsi="Helvetica" w:cs="Helvetica"/>
          <w:szCs w:val="24"/>
          <w:lang w:val="es-CO"/>
        </w:rPr>
        <w:t>Sin embargo, en los casos en que exista regulación específica vigente sobre los temas de esta resolución, dicha regulación prevalecerá sobre las reglas de carácter general establecidas en dicha norma.</w:t>
      </w:r>
    </w:p>
    <w:p w14:paraId="761CD3A8" w14:textId="77777777" w:rsidR="001212B1" w:rsidRPr="007A2E85" w:rsidRDefault="001212B1" w:rsidP="001212B1">
      <w:pPr>
        <w:spacing w:line="360" w:lineRule="auto"/>
        <w:ind w:left="708"/>
        <w:jc w:val="left"/>
        <w:rPr>
          <w:rFonts w:ascii="Helvetica" w:hAnsi="Helvetica" w:cs="Helvetica"/>
          <w:szCs w:val="24"/>
          <w:lang w:val="es-CO"/>
        </w:rPr>
      </w:pPr>
      <w:r w:rsidRPr="007A2E85">
        <w:rPr>
          <w:rFonts w:ascii="Helvetica" w:hAnsi="Helvetica" w:cs="Helvetica"/>
          <w:szCs w:val="24"/>
          <w:lang w:val="es-CO"/>
        </w:rPr>
        <w:t xml:space="preserve">Estas reglas generales se establecen sobre comportamientos que: (i) propenden por el cumplimiento de los fines de la regulación, (ii) propenden por la transparencia del mercado, (iii) propenden por la independencia en la toma de </w:t>
      </w:r>
      <w:r w:rsidRPr="007A2E85">
        <w:rPr>
          <w:rFonts w:ascii="Helvetica" w:hAnsi="Helvetica" w:cs="Helvetica"/>
          <w:szCs w:val="24"/>
          <w:lang w:val="es-CO"/>
        </w:rPr>
        <w:lastRenderedPageBreak/>
        <w:t>decisiones por parte de los agentes, (iv) en procura de los intereses de los usuarios ante el mercado, (v) propenden por el libre acceso a los bienes esenciales empleados para la organización y prestación de los servicios y el libre acceso a los mercados, (vi) que propenden por la competencia efectiva en el mercado y (vii) propenden por la adecuada prestación del servicio público, entre otros.</w:t>
      </w:r>
    </w:p>
    <w:p w14:paraId="4AF0BEA8" w14:textId="77777777" w:rsidR="001212B1" w:rsidRPr="006A0E67" w:rsidRDefault="001212B1" w:rsidP="001212B1">
      <w:pPr>
        <w:pStyle w:val="Prrafodelista"/>
        <w:spacing w:line="360" w:lineRule="auto"/>
        <w:ind w:left="1080"/>
        <w:jc w:val="left"/>
        <w:rPr>
          <w:rFonts w:ascii="Helvetica" w:hAnsi="Helvetica" w:cs="Helvetica"/>
          <w:szCs w:val="24"/>
          <w:lang w:val="es-CO"/>
        </w:rPr>
      </w:pPr>
    </w:p>
    <w:p w14:paraId="10CF0FB9"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 xml:space="preserve">Alternativa </w:t>
      </w:r>
      <w:r>
        <w:rPr>
          <w:rFonts w:ascii="Helvetica" w:hAnsi="Helvetica" w:cs="Helvetica"/>
          <w:szCs w:val="24"/>
        </w:rPr>
        <w:t>3</w:t>
      </w:r>
      <w:r w:rsidRPr="00F77DFC">
        <w:rPr>
          <w:rFonts w:ascii="Helvetica" w:hAnsi="Helvetica" w:cs="Helvetica"/>
          <w:szCs w:val="24"/>
        </w:rPr>
        <w:t>. Establecer reglas específicas de reporte de información asociada a la proyección de oferta disponible (nacional e importación) y a los costos de importación.</w:t>
      </w:r>
    </w:p>
    <w:p w14:paraId="729AD3C4" w14:textId="77777777" w:rsidR="001212B1" w:rsidRDefault="001212B1" w:rsidP="001212B1">
      <w:pPr>
        <w:spacing w:line="360" w:lineRule="auto"/>
        <w:ind w:left="708"/>
        <w:jc w:val="left"/>
        <w:rPr>
          <w:rFonts w:ascii="Helvetica" w:hAnsi="Helvetica" w:cs="Helvetica"/>
          <w:szCs w:val="24"/>
        </w:rPr>
      </w:pPr>
      <w:r w:rsidRPr="006A0E67">
        <w:rPr>
          <w:rFonts w:ascii="Helvetica" w:hAnsi="Helvetica" w:cs="Helvetica"/>
          <w:szCs w:val="24"/>
          <w:lang w:val="es-CO"/>
        </w:rPr>
        <w:t xml:space="preserve">Esta alternativa </w:t>
      </w:r>
      <w:r w:rsidRPr="007A2E85">
        <w:rPr>
          <w:rFonts w:ascii="Helvetica" w:hAnsi="Helvetica" w:cs="Helvetica"/>
          <w:szCs w:val="24"/>
          <w:lang w:val="es-CO"/>
        </w:rPr>
        <w:t xml:space="preserve">pretende </w:t>
      </w:r>
      <w:r w:rsidRPr="007A2E85">
        <w:rPr>
          <w:rFonts w:ascii="Helvetica" w:hAnsi="Helvetica" w:cs="Helvetica"/>
          <w:szCs w:val="24"/>
        </w:rPr>
        <w:t>que</w:t>
      </w:r>
      <w:r>
        <w:rPr>
          <w:rFonts w:ascii="Helvetica" w:hAnsi="Helvetica" w:cs="Helvetica"/>
          <w:szCs w:val="24"/>
        </w:rPr>
        <w:t xml:space="preserve">, </w:t>
      </w:r>
      <w:r w:rsidRPr="007A2E85">
        <w:rPr>
          <w:rFonts w:ascii="Helvetica" w:hAnsi="Helvetica" w:cs="Helvetica"/>
          <w:szCs w:val="24"/>
        </w:rPr>
        <w:t>mediante un mecanismo de reporte de información, los distribuidores mayoristas dispongan de información de oferta de Jet a mediano y largo plazo, así como de los costos en los que el refinador o el agente importador cuando realiza importaciones de Jet.</w:t>
      </w:r>
    </w:p>
    <w:p w14:paraId="38BB02CF" w14:textId="77777777" w:rsidR="001212B1" w:rsidRDefault="001212B1" w:rsidP="001212B1">
      <w:pPr>
        <w:spacing w:line="360" w:lineRule="auto"/>
        <w:ind w:left="708"/>
        <w:jc w:val="left"/>
        <w:rPr>
          <w:rFonts w:ascii="Helvetica" w:hAnsi="Helvetica" w:cs="Helvetica"/>
          <w:szCs w:val="24"/>
        </w:rPr>
      </w:pPr>
    </w:p>
    <w:p w14:paraId="79679BBC" w14:textId="77777777" w:rsidR="001212B1" w:rsidRPr="007A2E85" w:rsidRDefault="001212B1" w:rsidP="001212B1">
      <w:pPr>
        <w:spacing w:line="360" w:lineRule="auto"/>
        <w:ind w:left="708"/>
        <w:jc w:val="left"/>
        <w:rPr>
          <w:rFonts w:ascii="Helvetica" w:hAnsi="Helvetica" w:cs="Helvetica"/>
          <w:szCs w:val="24"/>
          <w:lang w:val="es-CO"/>
        </w:rPr>
      </w:pPr>
      <w:r w:rsidRPr="00014E22">
        <w:rPr>
          <w:rFonts w:ascii="Helvetica" w:hAnsi="Helvetica" w:cs="Helvetica"/>
          <w:szCs w:val="24"/>
        </w:rPr>
        <w:t>Se espera que</w:t>
      </w:r>
      <w:r>
        <w:rPr>
          <w:rFonts w:ascii="Helvetica" w:hAnsi="Helvetica" w:cs="Helvetica"/>
          <w:szCs w:val="24"/>
        </w:rPr>
        <w:t>,</w:t>
      </w:r>
      <w:r w:rsidRPr="00014E22">
        <w:rPr>
          <w:rFonts w:ascii="Helvetica" w:hAnsi="Helvetica" w:cs="Helvetica"/>
          <w:szCs w:val="24"/>
        </w:rPr>
        <w:t xml:space="preserve"> con esta información, e</w:t>
      </w:r>
      <w:r w:rsidRPr="00014E22">
        <w:rPr>
          <w:rFonts w:ascii="Helvetica" w:hAnsi="Helvetica" w:cs="Helvetica"/>
          <w:szCs w:val="24"/>
          <w:lang w:val="es-CO"/>
        </w:rPr>
        <w:t>l distribuidor mayorista tome decisiones respaldadas en la información disponible, planee a mediano y largo plazo la atención de sus clientes y conozca los costos en los que incurre el refinador o agente importador cuando realice la actividad de importación. Las reglas específicas de reporte de información serán alternativas a estudiar por la Comisión, las cuales podrán ser definidas a través de la factura de venta en el caso de los costos asociados a la importación y/o publicación en la página web de la oferta proyectada de Jet, entre otras.</w:t>
      </w:r>
    </w:p>
    <w:p w14:paraId="16CE61A7" w14:textId="77777777" w:rsidR="001212B1" w:rsidRPr="006A0E67" w:rsidRDefault="001212B1" w:rsidP="001212B1">
      <w:pPr>
        <w:spacing w:line="360" w:lineRule="auto"/>
        <w:jc w:val="left"/>
        <w:rPr>
          <w:rFonts w:ascii="Helvetica" w:hAnsi="Helvetica" w:cs="Helvetica"/>
          <w:szCs w:val="24"/>
          <w:lang w:val="es-CO"/>
        </w:rPr>
      </w:pPr>
    </w:p>
    <w:p w14:paraId="0684FBF1"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 xml:space="preserve">Alternativa </w:t>
      </w:r>
      <w:r>
        <w:rPr>
          <w:rFonts w:ascii="Helvetica" w:hAnsi="Helvetica" w:cs="Helvetica"/>
          <w:szCs w:val="24"/>
        </w:rPr>
        <w:t>4</w:t>
      </w:r>
      <w:r w:rsidRPr="00F77DFC">
        <w:rPr>
          <w:rFonts w:ascii="Helvetica" w:hAnsi="Helvetica" w:cs="Helvetica"/>
          <w:szCs w:val="24"/>
        </w:rPr>
        <w:t>. Definir un mecanismo de comercialización de combustible de aviación para motores tipo turbina (Jet).</w:t>
      </w:r>
    </w:p>
    <w:p w14:paraId="36C20FD6" w14:textId="77777777" w:rsidR="001212B1" w:rsidRPr="007A2E85" w:rsidRDefault="001212B1" w:rsidP="001212B1">
      <w:pPr>
        <w:spacing w:line="360" w:lineRule="auto"/>
        <w:ind w:left="708"/>
        <w:jc w:val="left"/>
        <w:rPr>
          <w:rFonts w:ascii="Helvetica" w:hAnsi="Helvetica" w:cs="Helvetica"/>
          <w:szCs w:val="24"/>
          <w:lang w:val="es-CO"/>
        </w:rPr>
      </w:pPr>
      <w:r w:rsidRPr="007A2E85">
        <w:rPr>
          <w:rFonts w:ascii="Helvetica" w:hAnsi="Helvetica" w:cs="Helvetica"/>
          <w:szCs w:val="24"/>
          <w:lang w:val="es-CO"/>
        </w:rPr>
        <w:t xml:space="preserve">Esta alternativa contempla la estructuración de un mecanismo mediante el cual se disponga de las cantidades de oferta nacional disponibles de producto para un periodo de tiempo y mediante el cual los distribuidores mayoristas soliciten el </w:t>
      </w:r>
      <w:r w:rsidRPr="007A2E85">
        <w:rPr>
          <w:rFonts w:ascii="Helvetica" w:hAnsi="Helvetica" w:cs="Helvetica"/>
          <w:szCs w:val="24"/>
          <w:lang w:val="es-CO"/>
        </w:rPr>
        <w:lastRenderedPageBreak/>
        <w:t>producto al refinador, les sea asignado y entregado. Así mismo, bajo periodos de exceso de demanda los distribuidores mayoristas podrán conocer la cantidad de producto que el refinador está dispuesto a importar y el precio de suministro del producto importado (discriminando precio del producto y los costos asociados a la importación).</w:t>
      </w:r>
    </w:p>
    <w:p w14:paraId="4DE662ED" w14:textId="77777777" w:rsidR="001212B1" w:rsidRPr="00F77DFC" w:rsidRDefault="001212B1" w:rsidP="001212B1">
      <w:pPr>
        <w:jc w:val="left"/>
        <w:rPr>
          <w:rFonts w:ascii="Helvetica" w:hAnsi="Helvetica" w:cs="Helvetica"/>
          <w:szCs w:val="24"/>
          <w:lang w:val="es-CO"/>
        </w:rPr>
      </w:pPr>
    </w:p>
    <w:p w14:paraId="1A6E044D" w14:textId="77777777" w:rsidR="001212B1" w:rsidRPr="00DB7090" w:rsidRDefault="001212B1" w:rsidP="001212B1">
      <w:pPr>
        <w:pStyle w:val="Ttulo2"/>
        <w:numPr>
          <w:ilvl w:val="1"/>
          <w:numId w:val="1"/>
        </w:numPr>
        <w:ind w:left="578" w:hanging="578"/>
      </w:pPr>
      <w:r w:rsidRPr="00DB7090">
        <w:t xml:space="preserve">Problema 5: </w:t>
      </w:r>
      <w:r w:rsidRPr="00757829">
        <w:t>Ante el desconocimiento de la dinámica de mercado en la distribución mayorista y minorista, posiblemente el régimen de precios no es el adecuado.</w:t>
      </w:r>
    </w:p>
    <w:p w14:paraId="09A7CE86" w14:textId="77777777" w:rsidR="001212B1" w:rsidRPr="00934ED9" w:rsidRDefault="001212B1" w:rsidP="001212B1">
      <w:pPr>
        <w:pStyle w:val="Prrafodelista"/>
        <w:numPr>
          <w:ilvl w:val="0"/>
          <w:numId w:val="25"/>
        </w:numPr>
        <w:spacing w:line="360" w:lineRule="auto"/>
        <w:jc w:val="left"/>
        <w:rPr>
          <w:rFonts w:ascii="Helvetica" w:hAnsi="Helvetica" w:cs="Helvetica"/>
          <w:szCs w:val="24"/>
          <w:lang w:val="es-CO"/>
        </w:rPr>
      </w:pPr>
      <w:r w:rsidRPr="00934ED9">
        <w:rPr>
          <w:rFonts w:ascii="Helvetica" w:hAnsi="Helvetica" w:cs="Helvetica"/>
          <w:szCs w:val="24"/>
          <w:lang w:val="es-CO"/>
        </w:rPr>
        <w:t>Objetivo general: Establecer el régimen de precios que corresponda con la necesidad del mercado mayorista y minorista de Jet.</w:t>
      </w:r>
    </w:p>
    <w:p w14:paraId="05AAA846" w14:textId="77777777" w:rsidR="001212B1" w:rsidRDefault="001212B1" w:rsidP="001212B1">
      <w:pPr>
        <w:pStyle w:val="Prrafodelista"/>
        <w:numPr>
          <w:ilvl w:val="0"/>
          <w:numId w:val="25"/>
        </w:numPr>
        <w:spacing w:line="360" w:lineRule="auto"/>
        <w:jc w:val="left"/>
        <w:rPr>
          <w:rFonts w:ascii="Helvetica" w:hAnsi="Helvetica" w:cs="Helvetica"/>
          <w:szCs w:val="24"/>
          <w:lang w:val="es-CO"/>
        </w:rPr>
      </w:pPr>
      <w:r w:rsidRPr="00934ED9">
        <w:rPr>
          <w:rFonts w:ascii="Helvetica" w:hAnsi="Helvetica" w:cs="Helvetica"/>
          <w:szCs w:val="24"/>
          <w:lang w:val="es-CO"/>
        </w:rPr>
        <w:t>Objetivos específicos: i) Identificar mercados y características particulares, ii) Escoger los índices adecuados para el análisis de competencia, iii) Identificar mecanismos para el seguimiento de mercado.</w:t>
      </w:r>
    </w:p>
    <w:p w14:paraId="7F0644BE" w14:textId="77777777" w:rsidR="001212B1" w:rsidRPr="00134587" w:rsidRDefault="001212B1" w:rsidP="001212B1">
      <w:pPr>
        <w:spacing w:line="360" w:lineRule="auto"/>
        <w:jc w:val="left"/>
        <w:rPr>
          <w:rFonts w:ascii="Helvetica" w:hAnsi="Helvetica" w:cs="Helvetica"/>
          <w:szCs w:val="24"/>
          <w:lang w:val="es-CO"/>
        </w:rPr>
      </w:pPr>
    </w:p>
    <w:p w14:paraId="2E881985" w14:textId="77777777" w:rsidR="001212B1" w:rsidRPr="006A0E67" w:rsidRDefault="001212B1" w:rsidP="001212B1">
      <w:pPr>
        <w:pStyle w:val="Ttulo3"/>
        <w:numPr>
          <w:ilvl w:val="2"/>
          <w:numId w:val="1"/>
        </w:numPr>
        <w:ind w:left="709" w:hanging="709"/>
        <w:jc w:val="left"/>
        <w:rPr>
          <w:rFonts w:ascii="Helvetica" w:hAnsi="Helvetica" w:cs="Helvetica"/>
          <w:szCs w:val="24"/>
          <w:lang w:val="es-CO"/>
        </w:rPr>
      </w:pPr>
      <w:r w:rsidRPr="006A0E67">
        <w:rPr>
          <w:rFonts w:ascii="Helvetica" w:hAnsi="Helvetica" w:cs="Helvetica"/>
          <w:szCs w:val="24"/>
          <w:lang w:val="es-CO"/>
        </w:rPr>
        <w:t>Alternativa 1. Statu quo.</w:t>
      </w:r>
    </w:p>
    <w:p w14:paraId="3647DDC1" w14:textId="77777777" w:rsidR="001212B1" w:rsidRPr="006A0E67" w:rsidRDefault="001212B1" w:rsidP="001212B1">
      <w:pPr>
        <w:spacing w:line="360" w:lineRule="auto"/>
        <w:ind w:left="708"/>
        <w:jc w:val="left"/>
        <w:rPr>
          <w:rFonts w:ascii="Helvetica" w:hAnsi="Helvetica" w:cs="Helvetica"/>
          <w:b/>
          <w:bCs/>
          <w:szCs w:val="24"/>
          <w:lang w:val="es-CO"/>
        </w:rPr>
      </w:pPr>
      <w:r w:rsidRPr="006A0E67">
        <w:rPr>
          <w:rFonts w:ascii="Helvetica" w:hAnsi="Helvetica" w:cs="Helvetica"/>
          <w:szCs w:val="24"/>
          <w:lang w:val="es-CO"/>
        </w:rPr>
        <w:t xml:space="preserve">Esta alternativa contempla mantener el régimen actual de libertad vigilada establecido en </w:t>
      </w:r>
      <w:r w:rsidRPr="006A0E67">
        <w:rPr>
          <w:rFonts w:ascii="Helvetica" w:hAnsi="Helvetica" w:cs="Helvetica"/>
          <w:szCs w:val="24"/>
        </w:rPr>
        <w:t xml:space="preserve">la Resolución 32512 de 1993 proferida por el Ministerio de Minas y Energía, sin realizar un análisis de competencia. </w:t>
      </w:r>
    </w:p>
    <w:p w14:paraId="7E13182A" w14:textId="77777777" w:rsidR="001212B1" w:rsidRPr="006A0E67" w:rsidRDefault="001212B1" w:rsidP="001212B1">
      <w:pPr>
        <w:spacing w:line="360" w:lineRule="auto"/>
        <w:jc w:val="left"/>
        <w:rPr>
          <w:rFonts w:ascii="Helvetica" w:hAnsi="Helvetica" w:cs="Helvetica"/>
          <w:b/>
          <w:bCs/>
          <w:szCs w:val="24"/>
          <w:lang w:val="es-CO"/>
        </w:rPr>
      </w:pPr>
    </w:p>
    <w:p w14:paraId="3D930868" w14:textId="77777777" w:rsidR="001212B1" w:rsidRPr="00F77DFC" w:rsidRDefault="001212B1" w:rsidP="001212B1">
      <w:pPr>
        <w:pStyle w:val="Ttulo3"/>
        <w:numPr>
          <w:ilvl w:val="2"/>
          <w:numId w:val="1"/>
        </w:numPr>
        <w:ind w:left="709" w:hanging="709"/>
        <w:jc w:val="left"/>
        <w:rPr>
          <w:rFonts w:ascii="Helvetica" w:hAnsi="Helvetica" w:cs="Helvetica"/>
          <w:szCs w:val="24"/>
        </w:rPr>
      </w:pPr>
      <w:r w:rsidRPr="00F77DFC">
        <w:rPr>
          <w:rFonts w:ascii="Helvetica" w:hAnsi="Helvetica" w:cs="Helvetica"/>
          <w:szCs w:val="24"/>
        </w:rPr>
        <w:t>Alternativa 2. Aplicar un análisis integral de competencia para determinar el régimen aplicable.</w:t>
      </w:r>
    </w:p>
    <w:p w14:paraId="4CB64F14" w14:textId="77777777" w:rsidR="001212B1" w:rsidRDefault="001212B1" w:rsidP="001212B1">
      <w:pPr>
        <w:spacing w:line="360" w:lineRule="auto"/>
        <w:ind w:left="708"/>
        <w:jc w:val="left"/>
        <w:rPr>
          <w:rFonts w:ascii="Helvetica" w:hAnsi="Helvetica" w:cs="Helvetica"/>
          <w:szCs w:val="24"/>
          <w:lang w:val="es-CO"/>
        </w:rPr>
      </w:pPr>
      <w:r w:rsidRPr="006A0E67">
        <w:rPr>
          <w:rFonts w:ascii="Helvetica" w:hAnsi="Helvetica" w:cs="Helvetica"/>
          <w:szCs w:val="24"/>
          <w:lang w:val="es-CO"/>
        </w:rPr>
        <w:t>Esta alternativa plantea hacer un análisis integral de competencia, i) identificando los mercados relevantes, ii) escogiendo los índices de competencia adecuados de la teoría económica que apliquen al eslabón mayorista de Jet y iii) con base en el resultado asignar el régimen adecuado a la dinámica de competencia. Es importante mencionar que son el i) y ii) ejercicios independientes y que para poder implementar el ii), previamente hay que definir los mercados relevantes.</w:t>
      </w:r>
    </w:p>
    <w:p w14:paraId="09048F2E" w14:textId="77777777" w:rsidR="001212B1" w:rsidRDefault="001212B1" w:rsidP="001212B1">
      <w:pPr>
        <w:spacing w:line="360" w:lineRule="auto"/>
        <w:jc w:val="left"/>
        <w:rPr>
          <w:rFonts w:ascii="Helvetica" w:hAnsi="Helvetica" w:cs="Helvetica"/>
          <w:szCs w:val="24"/>
        </w:rPr>
      </w:pPr>
    </w:p>
    <w:p w14:paraId="0EF5942E" w14:textId="77777777" w:rsidR="001212B1" w:rsidRDefault="001212B1" w:rsidP="001212B1">
      <w:pPr>
        <w:spacing w:line="360" w:lineRule="auto"/>
        <w:jc w:val="left"/>
        <w:rPr>
          <w:rFonts w:ascii="Helvetica" w:hAnsi="Helvetica" w:cs="Helvetica"/>
          <w:szCs w:val="24"/>
        </w:rPr>
      </w:pPr>
      <w:r>
        <w:rPr>
          <w:rFonts w:ascii="Helvetica" w:hAnsi="Helvetica" w:cs="Helvetica"/>
          <w:szCs w:val="24"/>
        </w:rPr>
        <w:lastRenderedPageBreak/>
        <w:t>A continuación, se presenta un resumen de los problemas con sus respectivos objetivos y alternativas.</w:t>
      </w:r>
    </w:p>
    <w:p w14:paraId="7E427296" w14:textId="77777777" w:rsidR="001212B1" w:rsidRDefault="001212B1" w:rsidP="001212B1">
      <w:pPr>
        <w:spacing w:line="360" w:lineRule="auto"/>
        <w:jc w:val="left"/>
        <w:rPr>
          <w:rFonts w:ascii="Helvetica" w:hAnsi="Helvetica" w:cs="Helvetica"/>
          <w:szCs w:val="24"/>
        </w:rPr>
      </w:pPr>
    </w:p>
    <w:p w14:paraId="5632E871" w14:textId="77777777" w:rsidR="001212B1" w:rsidRDefault="001212B1" w:rsidP="001212B1">
      <w:pPr>
        <w:pStyle w:val="Descripcin"/>
        <w:sectPr w:rsidR="001212B1" w:rsidSect="001212B1">
          <w:headerReference w:type="default" r:id="rId50"/>
          <w:footerReference w:type="default" r:id="rId51"/>
          <w:headerReference w:type="first" r:id="rId52"/>
          <w:footerReference w:type="first" r:id="rId53"/>
          <w:pgSz w:w="12242" w:h="15842" w:code="1"/>
          <w:pgMar w:top="1418" w:right="1418" w:bottom="1418" w:left="1418" w:header="850" w:footer="567" w:gutter="0"/>
          <w:cols w:space="720"/>
          <w:titlePg/>
          <w:docGrid w:linePitch="326"/>
        </w:sectPr>
      </w:pPr>
    </w:p>
    <w:p w14:paraId="7A0C0BF1" w14:textId="3F816EB6" w:rsidR="001212B1" w:rsidRPr="00FC6947" w:rsidRDefault="001212B1" w:rsidP="001212B1">
      <w:pPr>
        <w:pStyle w:val="Descripcin"/>
        <w:rPr>
          <w:rFonts w:ascii="Helvetica" w:hAnsi="Helvetica" w:cs="Helvetica"/>
          <w:sz w:val="24"/>
          <w:szCs w:val="24"/>
        </w:rPr>
      </w:pPr>
      <w:bookmarkStart w:id="64" w:name="_Toc167459908"/>
      <w:bookmarkStart w:id="65" w:name="_Toc167896860"/>
      <w:r w:rsidRPr="00FC6947">
        <w:rPr>
          <w:rFonts w:ascii="Helvetica" w:hAnsi="Helvetica" w:cs="Helvetica"/>
          <w:sz w:val="24"/>
          <w:szCs w:val="24"/>
        </w:rPr>
        <w:lastRenderedPageBreak/>
        <w:t xml:space="preserve">Figura </w:t>
      </w:r>
      <w:r w:rsidRPr="00FC6947">
        <w:rPr>
          <w:rFonts w:ascii="Helvetica" w:hAnsi="Helvetica" w:cs="Helvetica"/>
          <w:sz w:val="24"/>
          <w:szCs w:val="24"/>
        </w:rPr>
        <w:fldChar w:fldCharType="begin"/>
      </w:r>
      <w:r w:rsidRPr="00FC6947">
        <w:rPr>
          <w:rFonts w:ascii="Helvetica" w:hAnsi="Helvetica" w:cs="Helvetica"/>
          <w:sz w:val="24"/>
          <w:szCs w:val="24"/>
        </w:rPr>
        <w:instrText xml:space="preserve"> SEQ Figura \* ARABIC </w:instrText>
      </w:r>
      <w:r w:rsidRPr="00FC6947">
        <w:rPr>
          <w:rFonts w:ascii="Helvetica" w:hAnsi="Helvetica" w:cs="Helvetica"/>
          <w:sz w:val="24"/>
          <w:szCs w:val="24"/>
        </w:rPr>
        <w:fldChar w:fldCharType="separate"/>
      </w:r>
      <w:r w:rsidR="00874DC3">
        <w:rPr>
          <w:rFonts w:ascii="Helvetica" w:hAnsi="Helvetica" w:cs="Helvetica"/>
          <w:noProof/>
          <w:sz w:val="24"/>
          <w:szCs w:val="24"/>
        </w:rPr>
        <w:t>20</w:t>
      </w:r>
      <w:r w:rsidRPr="00FC6947">
        <w:rPr>
          <w:rFonts w:ascii="Helvetica" w:hAnsi="Helvetica" w:cs="Helvetica"/>
          <w:sz w:val="24"/>
          <w:szCs w:val="24"/>
        </w:rPr>
        <w:fldChar w:fldCharType="end"/>
      </w:r>
      <w:r w:rsidRPr="00FC6947">
        <w:rPr>
          <w:rFonts w:ascii="Helvetica" w:hAnsi="Helvetica" w:cs="Helvetica"/>
          <w:sz w:val="24"/>
          <w:szCs w:val="24"/>
        </w:rPr>
        <w:t>. Resumen de alternativas</w:t>
      </w:r>
      <w:bookmarkEnd w:id="64"/>
      <w:bookmarkEnd w:id="65"/>
    </w:p>
    <w:p w14:paraId="3B331509" w14:textId="77777777" w:rsidR="001212B1" w:rsidRPr="00FC6947" w:rsidRDefault="001212B1" w:rsidP="001212B1">
      <w:pPr>
        <w:rPr>
          <w:rFonts w:ascii="Helvetica" w:hAnsi="Helvetica" w:cs="Helvetica"/>
          <w:b/>
          <w:bCs/>
          <w:i/>
          <w:iCs/>
          <w:sz w:val="18"/>
          <w:szCs w:val="18"/>
        </w:rPr>
      </w:pPr>
      <w:r w:rsidRPr="00FC6947">
        <w:rPr>
          <w:rFonts w:ascii="Helvetica" w:hAnsi="Helvetica" w:cs="Helvetica"/>
          <w:b/>
          <w:bCs/>
          <w:i/>
          <w:iCs/>
          <w:sz w:val="18"/>
          <w:szCs w:val="18"/>
        </w:rPr>
        <w:t>Nota: OG - Objetivo General, OE - Objetivo específico, P: Problema y Alt: Alternativa.</w:t>
      </w:r>
    </w:p>
    <w:tbl>
      <w:tblPr>
        <w:tblpPr w:leftFromText="141" w:rightFromText="141" w:vertAnchor="page" w:horzAnchor="margin" w:tblpY="1827"/>
        <w:tblW w:w="12954" w:type="dxa"/>
        <w:tblCellMar>
          <w:left w:w="70" w:type="dxa"/>
          <w:right w:w="70" w:type="dxa"/>
        </w:tblCellMar>
        <w:tblLook w:val="04A0" w:firstRow="1" w:lastRow="0" w:firstColumn="1" w:lastColumn="0" w:noHBand="0" w:noVBand="1"/>
      </w:tblPr>
      <w:tblGrid>
        <w:gridCol w:w="1218"/>
        <w:gridCol w:w="1144"/>
        <w:gridCol w:w="1224"/>
        <w:gridCol w:w="1635"/>
        <w:gridCol w:w="1086"/>
        <w:gridCol w:w="1117"/>
        <w:gridCol w:w="1148"/>
        <w:gridCol w:w="1584"/>
        <w:gridCol w:w="1511"/>
        <w:gridCol w:w="1141"/>
        <w:gridCol w:w="146"/>
      </w:tblGrid>
      <w:tr w:rsidR="001212B1" w:rsidRPr="007614FF" w14:paraId="32195743" w14:textId="77777777" w:rsidTr="00C610BB">
        <w:trPr>
          <w:gridAfter w:val="1"/>
          <w:trHeight w:val="207"/>
        </w:trPr>
        <w:tc>
          <w:tcPr>
            <w:tcW w:w="0" w:type="auto"/>
            <w:gridSpan w:val="2"/>
            <w:tcBorders>
              <w:top w:val="double" w:sz="6" w:space="0" w:color="auto"/>
              <w:left w:val="double" w:sz="6" w:space="0" w:color="auto"/>
              <w:bottom w:val="single" w:sz="8" w:space="0" w:color="auto"/>
              <w:right w:val="double" w:sz="6" w:space="0" w:color="000000"/>
            </w:tcBorders>
            <w:shd w:val="clear" w:color="000000" w:fill="FFD966"/>
            <w:vAlign w:val="center"/>
            <w:hideMark/>
          </w:tcPr>
          <w:p w14:paraId="31BAD71B"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P1. Falta de incentivos a la producción nacional</w:t>
            </w:r>
          </w:p>
        </w:tc>
        <w:tc>
          <w:tcPr>
            <w:tcW w:w="0" w:type="auto"/>
            <w:gridSpan w:val="2"/>
            <w:tcBorders>
              <w:top w:val="double" w:sz="6" w:space="0" w:color="auto"/>
              <w:left w:val="nil"/>
              <w:bottom w:val="single" w:sz="8" w:space="0" w:color="auto"/>
              <w:right w:val="double" w:sz="6" w:space="0" w:color="000000"/>
            </w:tcBorders>
            <w:shd w:val="clear" w:color="000000" w:fill="FFD966"/>
            <w:vAlign w:val="center"/>
            <w:hideMark/>
          </w:tcPr>
          <w:p w14:paraId="67DB02AB"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P2. Ausencia de claridad en el desarrollo de la actividad de importación de Jet</w:t>
            </w:r>
          </w:p>
        </w:tc>
        <w:tc>
          <w:tcPr>
            <w:tcW w:w="0" w:type="auto"/>
            <w:gridSpan w:val="2"/>
            <w:tcBorders>
              <w:top w:val="double" w:sz="6" w:space="0" w:color="auto"/>
              <w:left w:val="nil"/>
              <w:bottom w:val="single" w:sz="8" w:space="0" w:color="auto"/>
              <w:right w:val="double" w:sz="6" w:space="0" w:color="000000"/>
            </w:tcBorders>
            <w:shd w:val="clear" w:color="000000" w:fill="FFD966"/>
            <w:vAlign w:val="center"/>
            <w:hideMark/>
          </w:tcPr>
          <w:p w14:paraId="58024E7C"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P3. Posible ineficiencia en el traslado de costos del producto importado y la cadena de valor de importación</w:t>
            </w:r>
          </w:p>
        </w:tc>
        <w:tc>
          <w:tcPr>
            <w:tcW w:w="0" w:type="auto"/>
            <w:gridSpan w:val="2"/>
            <w:tcBorders>
              <w:top w:val="double" w:sz="6" w:space="0" w:color="auto"/>
              <w:left w:val="nil"/>
              <w:bottom w:val="single" w:sz="8" w:space="0" w:color="auto"/>
              <w:right w:val="double" w:sz="6" w:space="0" w:color="000000"/>
            </w:tcBorders>
            <w:shd w:val="clear" w:color="000000" w:fill="FFD966"/>
            <w:vAlign w:val="center"/>
            <w:hideMark/>
          </w:tcPr>
          <w:p w14:paraId="6B89C841"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P4. Asimetría de información (oferta – costos trasladados del producto importado</w:t>
            </w:r>
          </w:p>
        </w:tc>
        <w:tc>
          <w:tcPr>
            <w:tcW w:w="0" w:type="auto"/>
            <w:gridSpan w:val="2"/>
            <w:tcBorders>
              <w:top w:val="double" w:sz="6" w:space="0" w:color="auto"/>
              <w:left w:val="nil"/>
              <w:bottom w:val="single" w:sz="8" w:space="0" w:color="auto"/>
              <w:right w:val="double" w:sz="6" w:space="0" w:color="000000"/>
            </w:tcBorders>
            <w:shd w:val="clear" w:color="000000" w:fill="FFD966"/>
            <w:vAlign w:val="center"/>
            <w:hideMark/>
          </w:tcPr>
          <w:p w14:paraId="1FD46452"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P</w:t>
            </w:r>
            <w:r w:rsidRPr="007614FF">
              <w:rPr>
                <w:rFonts w:ascii="Calibri" w:hAnsi="Calibri" w:cs="Calibri"/>
                <w:b/>
                <w:bCs/>
                <w:color w:val="000000"/>
                <w:sz w:val="15"/>
                <w:szCs w:val="15"/>
                <w:lang w:val="es-CO" w:eastAsia="es-CO"/>
              </w:rPr>
              <w:t>5. Posiblemente</w:t>
            </w:r>
            <w:r w:rsidRPr="00467B18">
              <w:rPr>
                <w:rFonts w:ascii="Calibri" w:hAnsi="Calibri" w:cs="Calibri"/>
                <w:b/>
                <w:bCs/>
                <w:color w:val="000000"/>
                <w:sz w:val="15"/>
                <w:szCs w:val="15"/>
                <w:lang w:val="es-CO" w:eastAsia="es-CO"/>
              </w:rPr>
              <w:t xml:space="preserve"> el régimen no se ajusta a las condiciones actuales de competencia de mercado.</w:t>
            </w:r>
          </w:p>
        </w:tc>
      </w:tr>
      <w:tr w:rsidR="001212B1" w:rsidRPr="007614FF" w14:paraId="01234466" w14:textId="77777777" w:rsidTr="00C610BB">
        <w:trPr>
          <w:gridAfter w:val="1"/>
          <w:trHeight w:val="255"/>
        </w:trPr>
        <w:tc>
          <w:tcPr>
            <w:tcW w:w="0" w:type="auto"/>
            <w:gridSpan w:val="2"/>
            <w:tcBorders>
              <w:top w:val="single" w:sz="8" w:space="0" w:color="auto"/>
              <w:left w:val="double" w:sz="6" w:space="0" w:color="auto"/>
              <w:bottom w:val="single" w:sz="8" w:space="0" w:color="auto"/>
              <w:right w:val="nil"/>
            </w:tcBorders>
            <w:shd w:val="clear" w:color="000000" w:fill="FFFFCC"/>
            <w:vAlign w:val="center"/>
            <w:hideMark/>
          </w:tcPr>
          <w:p w14:paraId="11356508"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G-P1. Establecer incentivos a la producción nacional.</w:t>
            </w:r>
          </w:p>
        </w:tc>
        <w:tc>
          <w:tcPr>
            <w:tcW w:w="0" w:type="auto"/>
            <w:gridSpan w:val="2"/>
            <w:tcBorders>
              <w:top w:val="single" w:sz="8" w:space="0" w:color="auto"/>
              <w:left w:val="double" w:sz="6" w:space="0" w:color="auto"/>
              <w:bottom w:val="single" w:sz="8" w:space="0" w:color="auto"/>
              <w:right w:val="double" w:sz="6" w:space="0" w:color="000000"/>
            </w:tcBorders>
            <w:shd w:val="clear" w:color="000000" w:fill="FFFFCC"/>
            <w:vAlign w:val="center"/>
            <w:hideMark/>
          </w:tcPr>
          <w:p w14:paraId="4871A684"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OG-P2. Analizar la normatividad aplicable a la importación de Jet de cara al contexto actual y futuro del mercado.</w:t>
            </w:r>
          </w:p>
        </w:tc>
        <w:tc>
          <w:tcPr>
            <w:tcW w:w="0" w:type="auto"/>
            <w:gridSpan w:val="2"/>
            <w:tcBorders>
              <w:top w:val="single" w:sz="8" w:space="0" w:color="auto"/>
              <w:left w:val="nil"/>
              <w:bottom w:val="single" w:sz="8" w:space="0" w:color="auto"/>
              <w:right w:val="nil"/>
            </w:tcBorders>
            <w:shd w:val="clear" w:color="000000" w:fill="FFFFCC"/>
            <w:vAlign w:val="center"/>
            <w:hideMark/>
          </w:tcPr>
          <w:p w14:paraId="4B0E0226"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OG-P3. Establecer una metodología para determinar el valor eficiente del precio del producto importado y los costos logísticos.</w:t>
            </w:r>
          </w:p>
        </w:tc>
        <w:tc>
          <w:tcPr>
            <w:tcW w:w="0" w:type="auto"/>
            <w:gridSpan w:val="2"/>
            <w:tcBorders>
              <w:top w:val="single" w:sz="8" w:space="0" w:color="auto"/>
              <w:left w:val="double" w:sz="6" w:space="0" w:color="auto"/>
              <w:bottom w:val="single" w:sz="8" w:space="0" w:color="auto"/>
              <w:right w:val="nil"/>
            </w:tcBorders>
            <w:shd w:val="clear" w:color="000000" w:fill="FFFFCC"/>
            <w:vAlign w:val="center"/>
            <w:hideMark/>
          </w:tcPr>
          <w:p w14:paraId="737550BB"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OG-P4. Eliminar asimetría de información relacionada con la oferta nacional e importada y los costos del producto importado.</w:t>
            </w:r>
          </w:p>
        </w:tc>
        <w:tc>
          <w:tcPr>
            <w:tcW w:w="0" w:type="auto"/>
            <w:gridSpan w:val="2"/>
            <w:tcBorders>
              <w:top w:val="single" w:sz="8" w:space="0" w:color="auto"/>
              <w:left w:val="double" w:sz="6" w:space="0" w:color="auto"/>
              <w:bottom w:val="single" w:sz="8" w:space="0" w:color="auto"/>
              <w:right w:val="double" w:sz="6" w:space="0" w:color="000000"/>
            </w:tcBorders>
            <w:shd w:val="clear" w:color="000000" w:fill="FFFFCC"/>
            <w:vAlign w:val="center"/>
            <w:hideMark/>
          </w:tcPr>
          <w:p w14:paraId="76A70978"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OG-P5. Establecer el régimen de precios que corresponda con la necesidad del mercado mayorista de Jet.</w:t>
            </w:r>
          </w:p>
        </w:tc>
      </w:tr>
      <w:tr w:rsidR="001212B1" w:rsidRPr="007614FF" w14:paraId="7BCF3561" w14:textId="77777777" w:rsidTr="00C610BB">
        <w:trPr>
          <w:gridAfter w:val="1"/>
          <w:trHeight w:val="140"/>
        </w:trPr>
        <w:tc>
          <w:tcPr>
            <w:tcW w:w="0" w:type="auto"/>
            <w:gridSpan w:val="2"/>
            <w:tcBorders>
              <w:top w:val="single" w:sz="8" w:space="0" w:color="auto"/>
              <w:left w:val="double" w:sz="6" w:space="0" w:color="auto"/>
              <w:bottom w:val="single" w:sz="8" w:space="0" w:color="auto"/>
              <w:right w:val="double" w:sz="6" w:space="0" w:color="000000"/>
            </w:tcBorders>
            <w:shd w:val="clear" w:color="auto" w:fill="auto"/>
            <w:vAlign w:val="center"/>
            <w:hideMark/>
          </w:tcPr>
          <w:p w14:paraId="41039DA6"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Alternativas P1.</w:t>
            </w:r>
          </w:p>
        </w:tc>
        <w:tc>
          <w:tcPr>
            <w:tcW w:w="0" w:type="auto"/>
            <w:gridSpan w:val="2"/>
            <w:tcBorders>
              <w:top w:val="single" w:sz="8" w:space="0" w:color="auto"/>
              <w:left w:val="nil"/>
              <w:bottom w:val="single" w:sz="8" w:space="0" w:color="auto"/>
              <w:right w:val="double" w:sz="6" w:space="0" w:color="000000"/>
            </w:tcBorders>
            <w:shd w:val="clear" w:color="auto" w:fill="auto"/>
            <w:vAlign w:val="center"/>
            <w:hideMark/>
          </w:tcPr>
          <w:p w14:paraId="42C3C3AB"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Alternativas P2.</w:t>
            </w:r>
          </w:p>
        </w:tc>
        <w:tc>
          <w:tcPr>
            <w:tcW w:w="0" w:type="auto"/>
            <w:gridSpan w:val="2"/>
            <w:tcBorders>
              <w:top w:val="single" w:sz="8" w:space="0" w:color="auto"/>
              <w:left w:val="nil"/>
              <w:bottom w:val="single" w:sz="8" w:space="0" w:color="auto"/>
              <w:right w:val="double" w:sz="6" w:space="0" w:color="000000"/>
            </w:tcBorders>
            <w:shd w:val="clear" w:color="auto" w:fill="auto"/>
            <w:vAlign w:val="center"/>
            <w:hideMark/>
          </w:tcPr>
          <w:p w14:paraId="6B365EAB"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Alternativas P3.</w:t>
            </w:r>
          </w:p>
        </w:tc>
        <w:tc>
          <w:tcPr>
            <w:tcW w:w="0" w:type="auto"/>
            <w:gridSpan w:val="2"/>
            <w:tcBorders>
              <w:top w:val="single" w:sz="8" w:space="0" w:color="auto"/>
              <w:left w:val="nil"/>
              <w:bottom w:val="single" w:sz="8" w:space="0" w:color="auto"/>
              <w:right w:val="double" w:sz="6" w:space="0" w:color="000000"/>
            </w:tcBorders>
            <w:shd w:val="clear" w:color="auto" w:fill="auto"/>
            <w:vAlign w:val="center"/>
            <w:hideMark/>
          </w:tcPr>
          <w:p w14:paraId="1FDAC760"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Alternativas P4.</w:t>
            </w:r>
          </w:p>
        </w:tc>
        <w:tc>
          <w:tcPr>
            <w:tcW w:w="0" w:type="auto"/>
            <w:gridSpan w:val="2"/>
            <w:tcBorders>
              <w:top w:val="single" w:sz="8" w:space="0" w:color="auto"/>
              <w:left w:val="nil"/>
              <w:bottom w:val="single" w:sz="8" w:space="0" w:color="auto"/>
              <w:right w:val="double" w:sz="6" w:space="0" w:color="000000"/>
            </w:tcBorders>
            <w:shd w:val="clear" w:color="auto" w:fill="auto"/>
            <w:vAlign w:val="center"/>
            <w:hideMark/>
          </w:tcPr>
          <w:p w14:paraId="271F6E17"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Alternativas P5.</w:t>
            </w:r>
          </w:p>
        </w:tc>
      </w:tr>
      <w:tr w:rsidR="001212B1" w:rsidRPr="007614FF" w14:paraId="60D5B5CC" w14:textId="77777777" w:rsidTr="00C610BB">
        <w:trPr>
          <w:gridAfter w:val="1"/>
          <w:trHeight w:val="80"/>
        </w:trPr>
        <w:tc>
          <w:tcPr>
            <w:tcW w:w="0" w:type="auto"/>
            <w:vMerge w:val="restart"/>
            <w:tcBorders>
              <w:top w:val="nil"/>
              <w:left w:val="double" w:sz="6" w:space="0" w:color="auto"/>
              <w:bottom w:val="double" w:sz="6" w:space="0" w:color="000000"/>
              <w:right w:val="single" w:sz="8" w:space="0" w:color="auto"/>
            </w:tcBorders>
            <w:shd w:val="clear" w:color="auto" w:fill="auto"/>
            <w:vAlign w:val="center"/>
            <w:hideMark/>
          </w:tcPr>
          <w:p w14:paraId="573FBFF3"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OE1_P1. Remunerar eficientemente la producción nacional.</w:t>
            </w:r>
          </w:p>
        </w:tc>
        <w:tc>
          <w:tcPr>
            <w:tcW w:w="0" w:type="auto"/>
            <w:tcBorders>
              <w:top w:val="nil"/>
              <w:left w:val="nil"/>
              <w:bottom w:val="single" w:sz="4" w:space="0" w:color="auto"/>
              <w:right w:val="double" w:sz="6" w:space="0" w:color="auto"/>
            </w:tcBorders>
            <w:shd w:val="clear" w:color="auto" w:fill="auto"/>
            <w:vAlign w:val="center"/>
            <w:hideMark/>
          </w:tcPr>
          <w:p w14:paraId="43B3B4E7"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1. Statu quo - Mantener la metodología actual.</w:t>
            </w:r>
          </w:p>
        </w:tc>
        <w:tc>
          <w:tcPr>
            <w:tcW w:w="0" w:type="auto"/>
            <w:vMerge w:val="restart"/>
            <w:tcBorders>
              <w:top w:val="nil"/>
              <w:left w:val="double" w:sz="6" w:space="0" w:color="auto"/>
              <w:bottom w:val="double" w:sz="6" w:space="0" w:color="000000"/>
              <w:right w:val="single" w:sz="8" w:space="0" w:color="auto"/>
            </w:tcBorders>
            <w:shd w:val="clear" w:color="auto" w:fill="auto"/>
            <w:vAlign w:val="center"/>
            <w:hideMark/>
          </w:tcPr>
          <w:p w14:paraId="602FE3C6"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OE1_P2. Establecer que agente de la cadena y bajo que condiciones puede llevar a cabo la actividad de  importación de Jet.</w:t>
            </w:r>
          </w:p>
        </w:tc>
        <w:tc>
          <w:tcPr>
            <w:tcW w:w="0" w:type="auto"/>
            <w:tcBorders>
              <w:top w:val="nil"/>
              <w:left w:val="nil"/>
              <w:bottom w:val="single" w:sz="4" w:space="0" w:color="auto"/>
              <w:right w:val="double" w:sz="6" w:space="0" w:color="auto"/>
            </w:tcBorders>
            <w:shd w:val="clear" w:color="auto" w:fill="auto"/>
            <w:vAlign w:val="center"/>
            <w:hideMark/>
          </w:tcPr>
          <w:p w14:paraId="28420550"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1. Statu quo</w:t>
            </w:r>
          </w:p>
        </w:tc>
        <w:tc>
          <w:tcPr>
            <w:tcW w:w="0" w:type="auto"/>
            <w:vMerge w:val="restart"/>
            <w:tcBorders>
              <w:top w:val="nil"/>
              <w:left w:val="double" w:sz="6" w:space="0" w:color="auto"/>
              <w:bottom w:val="double" w:sz="6" w:space="0" w:color="000000"/>
              <w:right w:val="single" w:sz="8" w:space="0" w:color="auto"/>
            </w:tcBorders>
            <w:shd w:val="clear" w:color="auto" w:fill="auto"/>
            <w:vAlign w:val="center"/>
            <w:hideMark/>
          </w:tcPr>
          <w:p w14:paraId="07D29480"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OE1_P3. Establecer incentivos para la optimización de costos.</w:t>
            </w:r>
          </w:p>
        </w:tc>
        <w:tc>
          <w:tcPr>
            <w:tcW w:w="0" w:type="auto"/>
            <w:tcBorders>
              <w:top w:val="nil"/>
              <w:left w:val="nil"/>
              <w:bottom w:val="single" w:sz="4" w:space="0" w:color="auto"/>
              <w:right w:val="double" w:sz="6" w:space="0" w:color="auto"/>
            </w:tcBorders>
            <w:shd w:val="clear" w:color="auto" w:fill="auto"/>
            <w:vAlign w:val="center"/>
            <w:hideMark/>
          </w:tcPr>
          <w:p w14:paraId="34979C16"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1. Statu quo - Mantener el traslado de costos directo.</w:t>
            </w:r>
          </w:p>
        </w:tc>
        <w:tc>
          <w:tcPr>
            <w:tcW w:w="0" w:type="auto"/>
            <w:vMerge w:val="restart"/>
            <w:tcBorders>
              <w:top w:val="nil"/>
              <w:left w:val="double" w:sz="6" w:space="0" w:color="auto"/>
              <w:bottom w:val="double" w:sz="6" w:space="0" w:color="000000"/>
              <w:right w:val="single" w:sz="8" w:space="0" w:color="auto"/>
            </w:tcBorders>
            <w:shd w:val="clear" w:color="auto" w:fill="auto"/>
            <w:vAlign w:val="center"/>
            <w:hideMark/>
          </w:tcPr>
          <w:p w14:paraId="374BCA90"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OE1_P4. Promover el reporte de información y la trasparencia en las relaciones comerciales</w:t>
            </w:r>
          </w:p>
        </w:tc>
        <w:tc>
          <w:tcPr>
            <w:tcW w:w="0" w:type="auto"/>
            <w:tcBorders>
              <w:top w:val="nil"/>
              <w:left w:val="nil"/>
              <w:bottom w:val="single" w:sz="4" w:space="0" w:color="auto"/>
              <w:right w:val="double" w:sz="6" w:space="0" w:color="auto"/>
            </w:tcBorders>
            <w:shd w:val="clear" w:color="auto" w:fill="auto"/>
            <w:vAlign w:val="center"/>
            <w:hideMark/>
          </w:tcPr>
          <w:p w14:paraId="71A6D698"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1. Statu quo</w:t>
            </w:r>
          </w:p>
        </w:tc>
        <w:tc>
          <w:tcPr>
            <w:tcW w:w="0" w:type="auto"/>
            <w:vMerge w:val="restart"/>
            <w:tcBorders>
              <w:top w:val="nil"/>
              <w:left w:val="double" w:sz="6" w:space="0" w:color="auto"/>
              <w:bottom w:val="double" w:sz="6" w:space="0" w:color="000000"/>
              <w:right w:val="single" w:sz="8" w:space="0" w:color="auto"/>
            </w:tcBorders>
            <w:shd w:val="clear" w:color="auto" w:fill="auto"/>
            <w:vAlign w:val="center"/>
            <w:hideMark/>
          </w:tcPr>
          <w:p w14:paraId="28836EB8" w14:textId="77777777" w:rsidR="001212B1" w:rsidRPr="00467B18" w:rsidRDefault="001212B1" w:rsidP="00C610BB">
            <w:pPr>
              <w:jc w:val="center"/>
              <w:rPr>
                <w:rFonts w:ascii="Calibri" w:hAnsi="Calibri" w:cs="Calibri"/>
                <w:b/>
                <w:bCs/>
                <w:color w:val="000000"/>
                <w:sz w:val="15"/>
                <w:szCs w:val="15"/>
                <w:lang w:val="es-CO" w:eastAsia="es-CO"/>
              </w:rPr>
            </w:pPr>
            <w:r w:rsidRPr="00467B18">
              <w:rPr>
                <w:rFonts w:ascii="Calibri" w:hAnsi="Calibri" w:cs="Calibri"/>
                <w:b/>
                <w:bCs/>
                <w:color w:val="000000"/>
                <w:sz w:val="15"/>
                <w:szCs w:val="15"/>
                <w:lang w:val="es-CO" w:eastAsia="es-CO"/>
              </w:rPr>
              <w:t>OE1_P5. Identificar mercados y características particulares, escoger los índices adecuados para el análisis de competencia, identificar mecanismos para el seguimiento de mercado.</w:t>
            </w:r>
          </w:p>
        </w:tc>
        <w:tc>
          <w:tcPr>
            <w:tcW w:w="0" w:type="auto"/>
            <w:vMerge w:val="restart"/>
            <w:tcBorders>
              <w:top w:val="nil"/>
              <w:left w:val="single" w:sz="8" w:space="0" w:color="auto"/>
              <w:bottom w:val="nil"/>
              <w:right w:val="double" w:sz="6" w:space="0" w:color="auto"/>
            </w:tcBorders>
            <w:shd w:val="clear" w:color="auto" w:fill="auto"/>
            <w:vAlign w:val="center"/>
            <w:hideMark/>
          </w:tcPr>
          <w:p w14:paraId="553B5917" w14:textId="77777777" w:rsidR="001212B1" w:rsidRPr="00467B18" w:rsidRDefault="001212B1" w:rsidP="00C610BB">
            <w:pPr>
              <w:jc w:val="center"/>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 xml:space="preserve">Alt 1. Statu quo. Régimen actual de libertad vigilada </w:t>
            </w:r>
          </w:p>
        </w:tc>
      </w:tr>
      <w:tr w:rsidR="001212B1" w:rsidRPr="007614FF" w14:paraId="4C730696" w14:textId="77777777" w:rsidTr="00C610BB">
        <w:trPr>
          <w:gridAfter w:val="1"/>
          <w:trHeight w:val="315"/>
        </w:trPr>
        <w:tc>
          <w:tcPr>
            <w:tcW w:w="0" w:type="auto"/>
            <w:vMerge/>
            <w:tcBorders>
              <w:top w:val="nil"/>
              <w:left w:val="double" w:sz="6" w:space="0" w:color="auto"/>
              <w:bottom w:val="double" w:sz="6" w:space="0" w:color="000000"/>
              <w:right w:val="single" w:sz="8" w:space="0" w:color="auto"/>
            </w:tcBorders>
            <w:vAlign w:val="center"/>
            <w:hideMark/>
          </w:tcPr>
          <w:p w14:paraId="01AC4947"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single" w:sz="4" w:space="0" w:color="auto"/>
              <w:right w:val="double" w:sz="6" w:space="0" w:color="auto"/>
            </w:tcBorders>
            <w:shd w:val="clear" w:color="auto" w:fill="auto"/>
            <w:vAlign w:val="center"/>
            <w:hideMark/>
          </w:tcPr>
          <w:p w14:paraId="4983C710" w14:textId="77777777" w:rsidR="001212B1" w:rsidRPr="00467B18" w:rsidRDefault="001212B1" w:rsidP="00C610BB">
            <w:pPr>
              <w:jc w:val="left"/>
              <w:rPr>
                <w:rFonts w:ascii="Calibri" w:hAnsi="Calibri" w:cs="Calibri"/>
                <w:color w:val="000000"/>
                <w:sz w:val="15"/>
                <w:szCs w:val="15"/>
                <w:lang w:val="en-US" w:eastAsia="es-CO"/>
              </w:rPr>
            </w:pPr>
            <w:r w:rsidRPr="00467B18">
              <w:rPr>
                <w:rFonts w:ascii="Calibri" w:hAnsi="Calibri" w:cs="Calibri"/>
                <w:color w:val="000000"/>
                <w:sz w:val="15"/>
                <w:szCs w:val="15"/>
                <w:lang w:val="es-CO" w:eastAsia="es-CO"/>
              </w:rPr>
              <w:t xml:space="preserve">Alt 2. Plantear un índice internacional. </w:t>
            </w:r>
            <w:r w:rsidRPr="00467B18">
              <w:rPr>
                <w:rFonts w:ascii="Calibri" w:hAnsi="Calibri" w:cs="Calibri"/>
                <w:color w:val="000000"/>
                <w:sz w:val="15"/>
                <w:szCs w:val="15"/>
                <w:lang w:val="en-US" w:eastAsia="es-CO"/>
              </w:rPr>
              <w:t>Platts, Opis, Bloomberg y Argus.</w:t>
            </w:r>
          </w:p>
        </w:tc>
        <w:tc>
          <w:tcPr>
            <w:tcW w:w="0" w:type="auto"/>
            <w:vMerge/>
            <w:tcBorders>
              <w:top w:val="nil"/>
              <w:left w:val="double" w:sz="6" w:space="0" w:color="auto"/>
              <w:bottom w:val="double" w:sz="6" w:space="0" w:color="000000"/>
              <w:right w:val="single" w:sz="8" w:space="0" w:color="auto"/>
            </w:tcBorders>
            <w:vAlign w:val="center"/>
            <w:hideMark/>
          </w:tcPr>
          <w:p w14:paraId="5F789957" w14:textId="77777777" w:rsidR="001212B1" w:rsidRPr="00467B18" w:rsidRDefault="001212B1" w:rsidP="00C610BB">
            <w:pPr>
              <w:jc w:val="left"/>
              <w:rPr>
                <w:rFonts w:ascii="Calibri" w:hAnsi="Calibri" w:cs="Calibri"/>
                <w:b/>
                <w:bCs/>
                <w:color w:val="000000"/>
                <w:sz w:val="15"/>
                <w:szCs w:val="15"/>
                <w:lang w:val="en-US" w:eastAsia="es-CO"/>
              </w:rPr>
            </w:pPr>
          </w:p>
        </w:tc>
        <w:tc>
          <w:tcPr>
            <w:tcW w:w="0" w:type="auto"/>
            <w:tcBorders>
              <w:top w:val="nil"/>
              <w:left w:val="nil"/>
              <w:bottom w:val="single" w:sz="4" w:space="0" w:color="auto"/>
              <w:right w:val="double" w:sz="6" w:space="0" w:color="auto"/>
            </w:tcBorders>
            <w:shd w:val="clear" w:color="auto" w:fill="auto"/>
            <w:vAlign w:val="center"/>
            <w:hideMark/>
          </w:tcPr>
          <w:p w14:paraId="309F77FF"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2. Determinar que la importación solo puede ser realizada por los refinadores y no sujeta a condiciones de desabastecimiento</w:t>
            </w:r>
          </w:p>
        </w:tc>
        <w:tc>
          <w:tcPr>
            <w:tcW w:w="0" w:type="auto"/>
            <w:vMerge/>
            <w:tcBorders>
              <w:top w:val="nil"/>
              <w:left w:val="double" w:sz="6" w:space="0" w:color="auto"/>
              <w:bottom w:val="double" w:sz="6" w:space="0" w:color="000000"/>
              <w:right w:val="single" w:sz="8" w:space="0" w:color="auto"/>
            </w:tcBorders>
            <w:vAlign w:val="center"/>
            <w:hideMark/>
          </w:tcPr>
          <w:p w14:paraId="70CB3FDC"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nil"/>
              <w:right w:val="nil"/>
            </w:tcBorders>
            <w:shd w:val="clear" w:color="auto" w:fill="auto"/>
            <w:vAlign w:val="center"/>
            <w:hideMark/>
          </w:tcPr>
          <w:p w14:paraId="405DCD0A"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1. Mantener el traslado de costos directo libertad vigilada (reporte).</w:t>
            </w:r>
          </w:p>
        </w:tc>
        <w:tc>
          <w:tcPr>
            <w:tcW w:w="0" w:type="auto"/>
            <w:vMerge/>
            <w:tcBorders>
              <w:top w:val="nil"/>
              <w:left w:val="double" w:sz="6" w:space="0" w:color="auto"/>
              <w:bottom w:val="double" w:sz="6" w:space="0" w:color="000000"/>
              <w:right w:val="single" w:sz="8" w:space="0" w:color="auto"/>
            </w:tcBorders>
            <w:vAlign w:val="center"/>
            <w:hideMark/>
          </w:tcPr>
          <w:p w14:paraId="698FC4AF"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single" w:sz="4" w:space="0" w:color="auto"/>
              <w:right w:val="double" w:sz="6" w:space="0" w:color="auto"/>
            </w:tcBorders>
            <w:shd w:val="clear" w:color="auto" w:fill="auto"/>
            <w:vAlign w:val="center"/>
            <w:hideMark/>
          </w:tcPr>
          <w:p w14:paraId="4B79556D"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2. Establecer reglas generales de comportamiento de los agentes de la cadena de distribución de combustibles líquidos</w:t>
            </w:r>
          </w:p>
        </w:tc>
        <w:tc>
          <w:tcPr>
            <w:tcW w:w="0" w:type="auto"/>
            <w:vMerge/>
            <w:tcBorders>
              <w:top w:val="nil"/>
              <w:left w:val="double" w:sz="6" w:space="0" w:color="auto"/>
              <w:bottom w:val="double" w:sz="6" w:space="0" w:color="000000"/>
              <w:right w:val="single" w:sz="8" w:space="0" w:color="auto"/>
            </w:tcBorders>
            <w:vAlign w:val="center"/>
            <w:hideMark/>
          </w:tcPr>
          <w:p w14:paraId="08CF0700"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nil"/>
              <w:right w:val="double" w:sz="6" w:space="0" w:color="auto"/>
            </w:tcBorders>
            <w:vAlign w:val="center"/>
            <w:hideMark/>
          </w:tcPr>
          <w:p w14:paraId="094C3AA8" w14:textId="77777777" w:rsidR="001212B1" w:rsidRPr="00467B18" w:rsidRDefault="001212B1" w:rsidP="00C610BB">
            <w:pPr>
              <w:jc w:val="left"/>
              <w:rPr>
                <w:rFonts w:ascii="Calibri" w:hAnsi="Calibri" w:cs="Calibri"/>
                <w:color w:val="000000"/>
                <w:sz w:val="15"/>
                <w:szCs w:val="15"/>
                <w:lang w:val="es-CO" w:eastAsia="es-CO"/>
              </w:rPr>
            </w:pPr>
          </w:p>
        </w:tc>
      </w:tr>
      <w:tr w:rsidR="001212B1" w:rsidRPr="007614FF" w14:paraId="6EA35046" w14:textId="77777777" w:rsidTr="00C610BB">
        <w:trPr>
          <w:gridAfter w:val="1"/>
          <w:trHeight w:val="247"/>
        </w:trPr>
        <w:tc>
          <w:tcPr>
            <w:tcW w:w="0" w:type="auto"/>
            <w:vMerge/>
            <w:tcBorders>
              <w:top w:val="nil"/>
              <w:left w:val="double" w:sz="6" w:space="0" w:color="auto"/>
              <w:bottom w:val="double" w:sz="6" w:space="0" w:color="000000"/>
              <w:right w:val="single" w:sz="8" w:space="0" w:color="auto"/>
            </w:tcBorders>
            <w:vAlign w:val="center"/>
            <w:hideMark/>
          </w:tcPr>
          <w:p w14:paraId="73D0943C"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single" w:sz="4" w:space="0" w:color="auto"/>
              <w:right w:val="double" w:sz="6" w:space="0" w:color="auto"/>
            </w:tcBorders>
            <w:shd w:val="clear" w:color="auto" w:fill="auto"/>
            <w:vAlign w:val="center"/>
            <w:hideMark/>
          </w:tcPr>
          <w:p w14:paraId="23D3C9A5"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3. Plantear un IP precio paridad exportación.</w:t>
            </w:r>
          </w:p>
        </w:tc>
        <w:tc>
          <w:tcPr>
            <w:tcW w:w="0" w:type="auto"/>
            <w:vMerge/>
            <w:tcBorders>
              <w:top w:val="nil"/>
              <w:left w:val="double" w:sz="6" w:space="0" w:color="auto"/>
              <w:bottom w:val="double" w:sz="6" w:space="0" w:color="000000"/>
              <w:right w:val="single" w:sz="8" w:space="0" w:color="auto"/>
            </w:tcBorders>
            <w:vAlign w:val="center"/>
            <w:hideMark/>
          </w:tcPr>
          <w:p w14:paraId="0EEB7E8F"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val="restart"/>
            <w:tcBorders>
              <w:top w:val="nil"/>
              <w:left w:val="single" w:sz="8" w:space="0" w:color="auto"/>
              <w:bottom w:val="double" w:sz="6" w:space="0" w:color="000000"/>
              <w:right w:val="double" w:sz="6" w:space="0" w:color="auto"/>
            </w:tcBorders>
            <w:shd w:val="clear" w:color="auto" w:fill="auto"/>
            <w:vAlign w:val="center"/>
            <w:hideMark/>
          </w:tcPr>
          <w:p w14:paraId="7B62EF97"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3. Determinar que la importación puede ser realizada por cualquier agente importador y no sujeta a condiciones de desabastecimiento</w:t>
            </w:r>
          </w:p>
        </w:tc>
        <w:tc>
          <w:tcPr>
            <w:tcW w:w="0" w:type="auto"/>
            <w:vMerge/>
            <w:tcBorders>
              <w:top w:val="nil"/>
              <w:left w:val="double" w:sz="6" w:space="0" w:color="auto"/>
              <w:bottom w:val="double" w:sz="6" w:space="0" w:color="000000"/>
              <w:right w:val="single" w:sz="8" w:space="0" w:color="auto"/>
            </w:tcBorders>
            <w:vAlign w:val="center"/>
            <w:hideMark/>
          </w:tcPr>
          <w:p w14:paraId="1D8E642D"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single" w:sz="4" w:space="0" w:color="auto"/>
              <w:left w:val="nil"/>
              <w:bottom w:val="single" w:sz="4" w:space="0" w:color="auto"/>
              <w:right w:val="double" w:sz="6" w:space="0" w:color="auto"/>
            </w:tcBorders>
            <w:shd w:val="clear" w:color="auto" w:fill="auto"/>
            <w:vAlign w:val="center"/>
            <w:hideMark/>
          </w:tcPr>
          <w:p w14:paraId="7AA5D09C"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2. Establecer un valor máximo fijo en pesos o en dólares (ingreso imp.)</w:t>
            </w:r>
          </w:p>
        </w:tc>
        <w:tc>
          <w:tcPr>
            <w:tcW w:w="0" w:type="auto"/>
            <w:vMerge/>
            <w:tcBorders>
              <w:top w:val="nil"/>
              <w:left w:val="double" w:sz="6" w:space="0" w:color="auto"/>
              <w:bottom w:val="double" w:sz="6" w:space="0" w:color="000000"/>
              <w:right w:val="single" w:sz="8" w:space="0" w:color="auto"/>
            </w:tcBorders>
            <w:vAlign w:val="center"/>
            <w:hideMark/>
          </w:tcPr>
          <w:p w14:paraId="4640EEB4"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single" w:sz="4" w:space="0" w:color="auto"/>
              <w:right w:val="double" w:sz="6" w:space="0" w:color="auto"/>
            </w:tcBorders>
            <w:shd w:val="clear" w:color="auto" w:fill="auto"/>
            <w:vAlign w:val="center"/>
            <w:hideMark/>
          </w:tcPr>
          <w:p w14:paraId="441236F2"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3. Establecer reglas específicas de reporte de información asociada a la proyección de oferta disponible (nacional e importación) y a los costos de importación</w:t>
            </w:r>
          </w:p>
        </w:tc>
        <w:tc>
          <w:tcPr>
            <w:tcW w:w="0" w:type="auto"/>
            <w:vMerge/>
            <w:tcBorders>
              <w:top w:val="nil"/>
              <w:left w:val="double" w:sz="6" w:space="0" w:color="auto"/>
              <w:bottom w:val="double" w:sz="6" w:space="0" w:color="000000"/>
              <w:right w:val="single" w:sz="8" w:space="0" w:color="auto"/>
            </w:tcBorders>
            <w:vAlign w:val="center"/>
            <w:hideMark/>
          </w:tcPr>
          <w:p w14:paraId="09D2CDAA"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val="restart"/>
            <w:tcBorders>
              <w:top w:val="nil"/>
              <w:left w:val="single" w:sz="8" w:space="0" w:color="auto"/>
              <w:bottom w:val="double" w:sz="6" w:space="0" w:color="000000"/>
              <w:right w:val="double" w:sz="6" w:space="0" w:color="auto"/>
            </w:tcBorders>
            <w:shd w:val="clear" w:color="auto" w:fill="auto"/>
            <w:vAlign w:val="center"/>
            <w:hideMark/>
          </w:tcPr>
          <w:p w14:paraId="7728ADE0" w14:textId="77777777" w:rsidR="001212B1" w:rsidRPr="00467B18" w:rsidRDefault="001212B1" w:rsidP="00C610BB">
            <w:pPr>
              <w:jc w:val="center"/>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2. Aplicar un análisis integral de competencia para determinar el régimen aplicable.</w:t>
            </w:r>
          </w:p>
        </w:tc>
      </w:tr>
      <w:tr w:rsidR="001212B1" w:rsidRPr="007614FF" w14:paraId="456A24E1" w14:textId="77777777" w:rsidTr="00C610BB">
        <w:trPr>
          <w:gridAfter w:val="1"/>
          <w:trHeight w:val="121"/>
        </w:trPr>
        <w:tc>
          <w:tcPr>
            <w:tcW w:w="0" w:type="auto"/>
            <w:vMerge/>
            <w:tcBorders>
              <w:top w:val="nil"/>
              <w:left w:val="double" w:sz="6" w:space="0" w:color="auto"/>
              <w:bottom w:val="double" w:sz="6" w:space="0" w:color="000000"/>
              <w:right w:val="single" w:sz="8" w:space="0" w:color="auto"/>
            </w:tcBorders>
            <w:vAlign w:val="center"/>
            <w:hideMark/>
          </w:tcPr>
          <w:p w14:paraId="0A4B8ED6"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val="restart"/>
            <w:tcBorders>
              <w:top w:val="nil"/>
              <w:left w:val="single" w:sz="8" w:space="0" w:color="auto"/>
              <w:bottom w:val="double" w:sz="6" w:space="0" w:color="000000"/>
              <w:right w:val="double" w:sz="6" w:space="0" w:color="auto"/>
            </w:tcBorders>
            <w:shd w:val="clear" w:color="auto" w:fill="auto"/>
            <w:vAlign w:val="center"/>
            <w:hideMark/>
          </w:tcPr>
          <w:p w14:paraId="0FB34F88" w14:textId="77777777" w:rsidR="001212B1" w:rsidRPr="00467B18" w:rsidRDefault="001212B1" w:rsidP="00C610BB">
            <w:pPr>
              <w:jc w:val="center"/>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4. Plantear un IP precio paridad importación.</w:t>
            </w:r>
          </w:p>
        </w:tc>
        <w:tc>
          <w:tcPr>
            <w:tcW w:w="0" w:type="auto"/>
            <w:vMerge/>
            <w:tcBorders>
              <w:top w:val="nil"/>
              <w:left w:val="double" w:sz="6" w:space="0" w:color="auto"/>
              <w:bottom w:val="double" w:sz="6" w:space="0" w:color="000000"/>
              <w:right w:val="single" w:sz="8" w:space="0" w:color="auto"/>
            </w:tcBorders>
            <w:vAlign w:val="center"/>
            <w:hideMark/>
          </w:tcPr>
          <w:p w14:paraId="6CFED930"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07DEFCE7"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1098E424"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single" w:sz="4" w:space="0" w:color="auto"/>
              <w:right w:val="double" w:sz="6" w:space="0" w:color="auto"/>
            </w:tcBorders>
            <w:shd w:val="clear" w:color="auto" w:fill="auto"/>
            <w:vAlign w:val="center"/>
            <w:hideMark/>
          </w:tcPr>
          <w:p w14:paraId="5474F1B9"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 xml:space="preserve">Alt 3. Índice internacional + pesos o dólares fijos por galón. </w:t>
            </w:r>
          </w:p>
        </w:tc>
        <w:tc>
          <w:tcPr>
            <w:tcW w:w="0" w:type="auto"/>
            <w:vMerge/>
            <w:tcBorders>
              <w:top w:val="nil"/>
              <w:left w:val="double" w:sz="6" w:space="0" w:color="auto"/>
              <w:bottom w:val="double" w:sz="6" w:space="0" w:color="000000"/>
              <w:right w:val="single" w:sz="8" w:space="0" w:color="auto"/>
            </w:tcBorders>
            <w:vAlign w:val="center"/>
            <w:hideMark/>
          </w:tcPr>
          <w:p w14:paraId="256A2C56"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val="restart"/>
            <w:tcBorders>
              <w:top w:val="nil"/>
              <w:left w:val="single" w:sz="8" w:space="0" w:color="auto"/>
              <w:bottom w:val="double" w:sz="6" w:space="0" w:color="000000"/>
              <w:right w:val="double" w:sz="6" w:space="0" w:color="auto"/>
            </w:tcBorders>
            <w:shd w:val="clear" w:color="auto" w:fill="auto"/>
            <w:vAlign w:val="center"/>
            <w:hideMark/>
          </w:tcPr>
          <w:p w14:paraId="7533A8D2" w14:textId="77777777" w:rsidR="001212B1" w:rsidRPr="00467B18" w:rsidRDefault="001212B1" w:rsidP="00C610BB">
            <w:pPr>
              <w:jc w:val="center"/>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4. Definir un mecanismo de comercialización de combustible de aviación para motores tipo turbina (Jet).</w:t>
            </w:r>
          </w:p>
        </w:tc>
        <w:tc>
          <w:tcPr>
            <w:tcW w:w="0" w:type="auto"/>
            <w:vMerge/>
            <w:tcBorders>
              <w:top w:val="nil"/>
              <w:left w:val="double" w:sz="6" w:space="0" w:color="auto"/>
              <w:bottom w:val="double" w:sz="6" w:space="0" w:color="000000"/>
              <w:right w:val="single" w:sz="8" w:space="0" w:color="auto"/>
            </w:tcBorders>
            <w:vAlign w:val="center"/>
            <w:hideMark/>
          </w:tcPr>
          <w:p w14:paraId="59E0685D"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11109D2B" w14:textId="77777777" w:rsidR="001212B1" w:rsidRPr="00467B18" w:rsidRDefault="001212B1" w:rsidP="00C610BB">
            <w:pPr>
              <w:jc w:val="left"/>
              <w:rPr>
                <w:rFonts w:ascii="Calibri" w:hAnsi="Calibri" w:cs="Calibri"/>
                <w:color w:val="000000"/>
                <w:sz w:val="15"/>
                <w:szCs w:val="15"/>
                <w:lang w:val="es-CO" w:eastAsia="es-CO"/>
              </w:rPr>
            </w:pPr>
          </w:p>
        </w:tc>
      </w:tr>
      <w:tr w:rsidR="001212B1" w:rsidRPr="007614FF" w14:paraId="7DA4203B" w14:textId="77777777" w:rsidTr="00C610BB">
        <w:trPr>
          <w:gridAfter w:val="1"/>
          <w:trHeight w:val="80"/>
        </w:trPr>
        <w:tc>
          <w:tcPr>
            <w:tcW w:w="0" w:type="auto"/>
            <w:vMerge/>
            <w:tcBorders>
              <w:top w:val="nil"/>
              <w:left w:val="double" w:sz="6" w:space="0" w:color="auto"/>
              <w:bottom w:val="double" w:sz="6" w:space="0" w:color="000000"/>
              <w:right w:val="single" w:sz="8" w:space="0" w:color="auto"/>
            </w:tcBorders>
            <w:vAlign w:val="center"/>
            <w:hideMark/>
          </w:tcPr>
          <w:p w14:paraId="1415B6AA"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200D52F4"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3A342126"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7CE885B8"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7F5ED8A7"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tcBorders>
              <w:top w:val="nil"/>
              <w:left w:val="nil"/>
              <w:bottom w:val="single" w:sz="4" w:space="0" w:color="auto"/>
              <w:right w:val="double" w:sz="6" w:space="0" w:color="auto"/>
            </w:tcBorders>
            <w:shd w:val="clear" w:color="auto" w:fill="auto"/>
            <w:vAlign w:val="center"/>
            <w:hideMark/>
          </w:tcPr>
          <w:p w14:paraId="74AA85C3"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4 . Índice internacional + % por galón.</w:t>
            </w:r>
          </w:p>
        </w:tc>
        <w:tc>
          <w:tcPr>
            <w:tcW w:w="0" w:type="auto"/>
            <w:vMerge/>
            <w:tcBorders>
              <w:top w:val="nil"/>
              <w:left w:val="double" w:sz="6" w:space="0" w:color="auto"/>
              <w:bottom w:val="double" w:sz="6" w:space="0" w:color="000000"/>
              <w:right w:val="single" w:sz="8" w:space="0" w:color="auto"/>
            </w:tcBorders>
            <w:vAlign w:val="center"/>
            <w:hideMark/>
          </w:tcPr>
          <w:p w14:paraId="4CDA76DC"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740EBAD9"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74230A5E"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7F51BBF2" w14:textId="77777777" w:rsidR="001212B1" w:rsidRPr="00467B18" w:rsidRDefault="001212B1" w:rsidP="00C610BB">
            <w:pPr>
              <w:jc w:val="left"/>
              <w:rPr>
                <w:rFonts w:ascii="Calibri" w:hAnsi="Calibri" w:cs="Calibri"/>
                <w:color w:val="000000"/>
                <w:sz w:val="15"/>
                <w:szCs w:val="15"/>
                <w:lang w:val="es-CO" w:eastAsia="es-CO"/>
              </w:rPr>
            </w:pPr>
          </w:p>
        </w:tc>
      </w:tr>
      <w:tr w:rsidR="001212B1" w:rsidRPr="007614FF" w14:paraId="7B384A9E" w14:textId="77777777" w:rsidTr="00C610BB">
        <w:trPr>
          <w:gridAfter w:val="1"/>
          <w:trHeight w:val="276"/>
        </w:trPr>
        <w:tc>
          <w:tcPr>
            <w:tcW w:w="0" w:type="auto"/>
            <w:vMerge/>
            <w:tcBorders>
              <w:top w:val="nil"/>
              <w:left w:val="double" w:sz="6" w:space="0" w:color="auto"/>
              <w:bottom w:val="double" w:sz="6" w:space="0" w:color="000000"/>
              <w:right w:val="single" w:sz="8" w:space="0" w:color="auto"/>
            </w:tcBorders>
            <w:vAlign w:val="center"/>
            <w:hideMark/>
          </w:tcPr>
          <w:p w14:paraId="1C75783D"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619278ED"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4B3601DA"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71F1D54B"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65909AED"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val="restart"/>
            <w:tcBorders>
              <w:top w:val="nil"/>
              <w:left w:val="single" w:sz="8" w:space="0" w:color="auto"/>
              <w:bottom w:val="double" w:sz="6" w:space="0" w:color="000000"/>
              <w:right w:val="double" w:sz="6" w:space="0" w:color="auto"/>
            </w:tcBorders>
            <w:shd w:val="clear" w:color="auto" w:fill="auto"/>
            <w:vAlign w:val="center"/>
            <w:hideMark/>
          </w:tcPr>
          <w:p w14:paraId="77945986" w14:textId="77777777" w:rsidR="001212B1" w:rsidRPr="00467B18" w:rsidRDefault="001212B1" w:rsidP="00C610BB">
            <w:pPr>
              <w:jc w:val="left"/>
              <w:rPr>
                <w:rFonts w:ascii="Calibri" w:hAnsi="Calibri" w:cs="Calibri"/>
                <w:color w:val="000000"/>
                <w:sz w:val="15"/>
                <w:szCs w:val="15"/>
                <w:lang w:val="es-CO" w:eastAsia="es-CO"/>
              </w:rPr>
            </w:pPr>
            <w:r w:rsidRPr="00467B18">
              <w:rPr>
                <w:rFonts w:ascii="Calibri" w:hAnsi="Calibri" w:cs="Calibri"/>
                <w:color w:val="000000"/>
                <w:sz w:val="15"/>
                <w:szCs w:val="15"/>
                <w:lang w:val="es-CO" w:eastAsia="es-CO"/>
              </w:rPr>
              <w:t>Alt 5. Precio paridad importación.</w:t>
            </w:r>
          </w:p>
        </w:tc>
        <w:tc>
          <w:tcPr>
            <w:tcW w:w="0" w:type="auto"/>
            <w:vMerge/>
            <w:tcBorders>
              <w:top w:val="nil"/>
              <w:left w:val="double" w:sz="6" w:space="0" w:color="auto"/>
              <w:bottom w:val="double" w:sz="6" w:space="0" w:color="000000"/>
              <w:right w:val="single" w:sz="8" w:space="0" w:color="auto"/>
            </w:tcBorders>
            <w:vAlign w:val="center"/>
            <w:hideMark/>
          </w:tcPr>
          <w:p w14:paraId="113B6B4F"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2F907278"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538424FB"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0F8BA4A7" w14:textId="77777777" w:rsidR="001212B1" w:rsidRPr="00467B18" w:rsidRDefault="001212B1" w:rsidP="00C610BB">
            <w:pPr>
              <w:jc w:val="left"/>
              <w:rPr>
                <w:rFonts w:ascii="Calibri" w:hAnsi="Calibri" w:cs="Calibri"/>
                <w:color w:val="000000"/>
                <w:sz w:val="15"/>
                <w:szCs w:val="15"/>
                <w:lang w:val="es-CO" w:eastAsia="es-CO"/>
              </w:rPr>
            </w:pPr>
          </w:p>
        </w:tc>
      </w:tr>
      <w:tr w:rsidR="001212B1" w:rsidRPr="007614FF" w14:paraId="08472FD3" w14:textId="77777777" w:rsidTr="00C610BB">
        <w:trPr>
          <w:trHeight w:val="24"/>
        </w:trPr>
        <w:tc>
          <w:tcPr>
            <w:tcW w:w="0" w:type="auto"/>
            <w:vMerge/>
            <w:tcBorders>
              <w:top w:val="nil"/>
              <w:left w:val="double" w:sz="6" w:space="0" w:color="auto"/>
              <w:bottom w:val="double" w:sz="6" w:space="0" w:color="000000"/>
              <w:right w:val="single" w:sz="8" w:space="0" w:color="auto"/>
            </w:tcBorders>
            <w:vAlign w:val="center"/>
            <w:hideMark/>
          </w:tcPr>
          <w:p w14:paraId="39939931"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6E68C823"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44D2D0AA"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669BDD9A"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0491409B"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53681DC0"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5C4A255E"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23886017"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41DB1D22"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0DF985D5" w14:textId="77777777" w:rsidR="001212B1" w:rsidRPr="00467B18" w:rsidRDefault="001212B1" w:rsidP="00C610BB">
            <w:pPr>
              <w:jc w:val="left"/>
              <w:rPr>
                <w:rFonts w:ascii="Calibri" w:hAnsi="Calibri" w:cs="Calibri"/>
                <w:color w:val="000000"/>
                <w:sz w:val="15"/>
                <w:szCs w:val="15"/>
                <w:lang w:val="es-CO" w:eastAsia="es-CO"/>
              </w:rPr>
            </w:pPr>
          </w:p>
        </w:tc>
        <w:tc>
          <w:tcPr>
            <w:tcW w:w="0" w:type="auto"/>
            <w:tcBorders>
              <w:top w:val="nil"/>
              <w:left w:val="nil"/>
              <w:bottom w:val="nil"/>
              <w:right w:val="nil"/>
            </w:tcBorders>
            <w:shd w:val="clear" w:color="auto" w:fill="auto"/>
            <w:noWrap/>
            <w:vAlign w:val="bottom"/>
            <w:hideMark/>
          </w:tcPr>
          <w:p w14:paraId="3890061C" w14:textId="77777777" w:rsidR="001212B1" w:rsidRPr="00467B18" w:rsidRDefault="001212B1" w:rsidP="00C610BB">
            <w:pPr>
              <w:jc w:val="left"/>
              <w:rPr>
                <w:rFonts w:ascii="Calibri" w:hAnsi="Calibri" w:cs="Calibri"/>
                <w:color w:val="000000"/>
                <w:sz w:val="15"/>
                <w:szCs w:val="15"/>
                <w:lang w:val="es-CO" w:eastAsia="es-CO"/>
              </w:rPr>
            </w:pPr>
          </w:p>
        </w:tc>
      </w:tr>
      <w:tr w:rsidR="001212B1" w:rsidRPr="007614FF" w14:paraId="3D2C3CC3" w14:textId="77777777" w:rsidTr="00C610BB">
        <w:trPr>
          <w:trHeight w:val="25"/>
        </w:trPr>
        <w:tc>
          <w:tcPr>
            <w:tcW w:w="0" w:type="auto"/>
            <w:vMerge/>
            <w:tcBorders>
              <w:top w:val="nil"/>
              <w:left w:val="double" w:sz="6" w:space="0" w:color="auto"/>
              <w:bottom w:val="double" w:sz="6" w:space="0" w:color="000000"/>
              <w:right w:val="single" w:sz="8" w:space="0" w:color="auto"/>
            </w:tcBorders>
            <w:vAlign w:val="center"/>
            <w:hideMark/>
          </w:tcPr>
          <w:p w14:paraId="2E02685A"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2D6A0F1A"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58D21A15"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0F3F75F8"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109D5282"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7E730D87"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1EDAFF1D"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5279B3CE" w14:textId="77777777" w:rsidR="001212B1" w:rsidRPr="00467B18" w:rsidRDefault="001212B1" w:rsidP="00C610BB">
            <w:pPr>
              <w:jc w:val="left"/>
              <w:rPr>
                <w:rFonts w:ascii="Calibri" w:hAnsi="Calibri" w:cs="Calibri"/>
                <w:color w:val="000000"/>
                <w:sz w:val="15"/>
                <w:szCs w:val="15"/>
                <w:lang w:val="es-CO" w:eastAsia="es-CO"/>
              </w:rPr>
            </w:pPr>
          </w:p>
        </w:tc>
        <w:tc>
          <w:tcPr>
            <w:tcW w:w="0" w:type="auto"/>
            <w:vMerge/>
            <w:tcBorders>
              <w:top w:val="nil"/>
              <w:left w:val="double" w:sz="6" w:space="0" w:color="auto"/>
              <w:bottom w:val="double" w:sz="6" w:space="0" w:color="000000"/>
              <w:right w:val="single" w:sz="8" w:space="0" w:color="auto"/>
            </w:tcBorders>
            <w:vAlign w:val="center"/>
            <w:hideMark/>
          </w:tcPr>
          <w:p w14:paraId="21F3CF7D" w14:textId="77777777" w:rsidR="001212B1" w:rsidRPr="00467B18" w:rsidRDefault="001212B1" w:rsidP="00C610BB">
            <w:pPr>
              <w:jc w:val="left"/>
              <w:rPr>
                <w:rFonts w:ascii="Calibri" w:hAnsi="Calibri" w:cs="Calibri"/>
                <w:b/>
                <w:bCs/>
                <w:color w:val="000000"/>
                <w:sz w:val="15"/>
                <w:szCs w:val="15"/>
                <w:lang w:val="es-CO" w:eastAsia="es-CO"/>
              </w:rPr>
            </w:pPr>
          </w:p>
        </w:tc>
        <w:tc>
          <w:tcPr>
            <w:tcW w:w="0" w:type="auto"/>
            <w:vMerge/>
            <w:tcBorders>
              <w:top w:val="nil"/>
              <w:left w:val="single" w:sz="8" w:space="0" w:color="auto"/>
              <w:bottom w:val="double" w:sz="6" w:space="0" w:color="000000"/>
              <w:right w:val="double" w:sz="6" w:space="0" w:color="auto"/>
            </w:tcBorders>
            <w:vAlign w:val="center"/>
            <w:hideMark/>
          </w:tcPr>
          <w:p w14:paraId="216BA63C" w14:textId="77777777" w:rsidR="001212B1" w:rsidRPr="00467B18" w:rsidRDefault="001212B1" w:rsidP="00C610BB">
            <w:pPr>
              <w:jc w:val="left"/>
              <w:rPr>
                <w:rFonts w:ascii="Calibri" w:hAnsi="Calibri" w:cs="Calibri"/>
                <w:color w:val="000000"/>
                <w:sz w:val="15"/>
                <w:szCs w:val="15"/>
                <w:lang w:val="es-CO" w:eastAsia="es-CO"/>
              </w:rPr>
            </w:pPr>
          </w:p>
        </w:tc>
        <w:tc>
          <w:tcPr>
            <w:tcW w:w="0" w:type="auto"/>
            <w:tcBorders>
              <w:top w:val="nil"/>
              <w:left w:val="nil"/>
              <w:bottom w:val="nil"/>
              <w:right w:val="nil"/>
            </w:tcBorders>
            <w:shd w:val="clear" w:color="auto" w:fill="auto"/>
            <w:noWrap/>
            <w:vAlign w:val="bottom"/>
            <w:hideMark/>
          </w:tcPr>
          <w:p w14:paraId="39D50BA3" w14:textId="77777777" w:rsidR="001212B1" w:rsidRPr="00467B18" w:rsidRDefault="001212B1" w:rsidP="00C610BB">
            <w:pPr>
              <w:jc w:val="left"/>
              <w:rPr>
                <w:rFonts w:ascii="Times New Roman" w:hAnsi="Times New Roman"/>
                <w:sz w:val="15"/>
                <w:szCs w:val="15"/>
                <w:lang w:val="es-CO" w:eastAsia="es-CO"/>
              </w:rPr>
            </w:pPr>
          </w:p>
        </w:tc>
      </w:tr>
      <w:tr w:rsidR="001212B1" w:rsidRPr="007614FF" w14:paraId="602276B9" w14:textId="77777777" w:rsidTr="00C610BB">
        <w:trPr>
          <w:trHeight w:val="124"/>
        </w:trPr>
        <w:tc>
          <w:tcPr>
            <w:tcW w:w="0" w:type="auto"/>
            <w:gridSpan w:val="3"/>
            <w:tcBorders>
              <w:top w:val="double" w:sz="6" w:space="0" w:color="auto"/>
              <w:left w:val="nil"/>
              <w:bottom w:val="nil"/>
              <w:right w:val="nil"/>
            </w:tcBorders>
            <w:shd w:val="clear" w:color="auto" w:fill="auto"/>
            <w:hideMark/>
          </w:tcPr>
          <w:p w14:paraId="6523E8CB" w14:textId="77777777" w:rsidR="001212B1" w:rsidRPr="00467B18" w:rsidRDefault="001212B1" w:rsidP="00C610BB">
            <w:pPr>
              <w:jc w:val="left"/>
              <w:rPr>
                <w:rFonts w:ascii="Calibri" w:hAnsi="Calibri" w:cs="Calibri"/>
                <w:i/>
                <w:iCs/>
                <w:color w:val="000000"/>
                <w:sz w:val="15"/>
                <w:szCs w:val="15"/>
                <w:lang w:val="es-CO" w:eastAsia="es-CO"/>
              </w:rPr>
            </w:pPr>
          </w:p>
        </w:tc>
        <w:tc>
          <w:tcPr>
            <w:tcW w:w="0" w:type="auto"/>
            <w:tcBorders>
              <w:top w:val="nil"/>
              <w:left w:val="nil"/>
              <w:bottom w:val="nil"/>
              <w:right w:val="nil"/>
            </w:tcBorders>
            <w:shd w:val="clear" w:color="auto" w:fill="auto"/>
            <w:vAlign w:val="center"/>
            <w:hideMark/>
          </w:tcPr>
          <w:p w14:paraId="2DA6996D" w14:textId="77777777" w:rsidR="001212B1" w:rsidRPr="00467B18" w:rsidRDefault="001212B1" w:rsidP="00C610BB">
            <w:pPr>
              <w:jc w:val="left"/>
              <w:rPr>
                <w:rFonts w:ascii="Calibri" w:hAnsi="Calibri" w:cs="Calibri"/>
                <w:i/>
                <w:iCs/>
                <w:color w:val="000000"/>
                <w:sz w:val="15"/>
                <w:szCs w:val="15"/>
                <w:lang w:val="es-CO" w:eastAsia="es-CO"/>
              </w:rPr>
            </w:pPr>
          </w:p>
        </w:tc>
        <w:tc>
          <w:tcPr>
            <w:tcW w:w="0" w:type="auto"/>
            <w:tcBorders>
              <w:top w:val="nil"/>
              <w:left w:val="nil"/>
              <w:bottom w:val="nil"/>
              <w:right w:val="nil"/>
            </w:tcBorders>
            <w:shd w:val="clear" w:color="auto" w:fill="auto"/>
            <w:vAlign w:val="center"/>
            <w:hideMark/>
          </w:tcPr>
          <w:p w14:paraId="6B58B0BA" w14:textId="77777777" w:rsidR="001212B1" w:rsidRPr="00467B18" w:rsidRDefault="001212B1" w:rsidP="00C610BB">
            <w:pPr>
              <w:jc w:val="left"/>
              <w:rPr>
                <w:rFonts w:ascii="Times New Roman" w:hAnsi="Times New Roman"/>
                <w:sz w:val="15"/>
                <w:szCs w:val="15"/>
                <w:lang w:val="es-CO" w:eastAsia="es-CO"/>
              </w:rPr>
            </w:pPr>
          </w:p>
        </w:tc>
        <w:tc>
          <w:tcPr>
            <w:tcW w:w="0" w:type="auto"/>
            <w:tcBorders>
              <w:top w:val="nil"/>
              <w:left w:val="nil"/>
              <w:bottom w:val="nil"/>
              <w:right w:val="nil"/>
            </w:tcBorders>
            <w:shd w:val="clear" w:color="auto" w:fill="auto"/>
            <w:vAlign w:val="center"/>
            <w:hideMark/>
          </w:tcPr>
          <w:p w14:paraId="4480D05F" w14:textId="77777777" w:rsidR="001212B1" w:rsidRPr="00467B18" w:rsidRDefault="001212B1" w:rsidP="00C610BB">
            <w:pPr>
              <w:jc w:val="left"/>
              <w:rPr>
                <w:rFonts w:ascii="Times New Roman" w:hAnsi="Times New Roman"/>
                <w:sz w:val="15"/>
                <w:szCs w:val="15"/>
                <w:lang w:val="es-CO" w:eastAsia="es-CO"/>
              </w:rPr>
            </w:pPr>
          </w:p>
        </w:tc>
        <w:tc>
          <w:tcPr>
            <w:tcW w:w="0" w:type="auto"/>
            <w:tcBorders>
              <w:top w:val="nil"/>
              <w:left w:val="nil"/>
              <w:bottom w:val="nil"/>
              <w:right w:val="nil"/>
            </w:tcBorders>
            <w:shd w:val="clear" w:color="auto" w:fill="auto"/>
            <w:vAlign w:val="center"/>
            <w:hideMark/>
          </w:tcPr>
          <w:p w14:paraId="1CC6AFA5" w14:textId="77777777" w:rsidR="001212B1" w:rsidRPr="00467B18" w:rsidRDefault="001212B1" w:rsidP="00C610BB">
            <w:pPr>
              <w:jc w:val="left"/>
              <w:rPr>
                <w:rFonts w:ascii="Times New Roman" w:hAnsi="Times New Roman"/>
                <w:sz w:val="15"/>
                <w:szCs w:val="15"/>
                <w:lang w:val="es-CO" w:eastAsia="es-CO"/>
              </w:rPr>
            </w:pPr>
          </w:p>
        </w:tc>
        <w:tc>
          <w:tcPr>
            <w:tcW w:w="0" w:type="auto"/>
            <w:tcBorders>
              <w:top w:val="nil"/>
              <w:left w:val="nil"/>
              <w:bottom w:val="nil"/>
              <w:right w:val="nil"/>
            </w:tcBorders>
            <w:shd w:val="clear" w:color="auto" w:fill="auto"/>
            <w:vAlign w:val="center"/>
            <w:hideMark/>
          </w:tcPr>
          <w:p w14:paraId="0D4D0C56" w14:textId="77777777" w:rsidR="001212B1" w:rsidRPr="00467B18" w:rsidRDefault="001212B1" w:rsidP="00C610BB">
            <w:pPr>
              <w:jc w:val="left"/>
              <w:rPr>
                <w:rFonts w:ascii="Times New Roman" w:hAnsi="Times New Roman"/>
                <w:sz w:val="15"/>
                <w:szCs w:val="15"/>
                <w:lang w:val="es-CO" w:eastAsia="es-CO"/>
              </w:rPr>
            </w:pPr>
          </w:p>
        </w:tc>
        <w:tc>
          <w:tcPr>
            <w:tcW w:w="0" w:type="auto"/>
            <w:tcBorders>
              <w:top w:val="nil"/>
              <w:left w:val="nil"/>
              <w:bottom w:val="nil"/>
              <w:right w:val="nil"/>
            </w:tcBorders>
            <w:shd w:val="clear" w:color="auto" w:fill="auto"/>
            <w:vAlign w:val="center"/>
            <w:hideMark/>
          </w:tcPr>
          <w:p w14:paraId="5FDEE5FA" w14:textId="77777777" w:rsidR="001212B1" w:rsidRPr="00467B18" w:rsidRDefault="001212B1" w:rsidP="00C610BB">
            <w:pPr>
              <w:jc w:val="left"/>
              <w:rPr>
                <w:rFonts w:ascii="Times New Roman" w:hAnsi="Times New Roman"/>
                <w:sz w:val="15"/>
                <w:szCs w:val="15"/>
                <w:lang w:val="es-CO" w:eastAsia="es-CO"/>
              </w:rPr>
            </w:pPr>
          </w:p>
        </w:tc>
        <w:tc>
          <w:tcPr>
            <w:tcW w:w="0" w:type="auto"/>
            <w:tcBorders>
              <w:top w:val="nil"/>
              <w:left w:val="nil"/>
              <w:bottom w:val="nil"/>
              <w:right w:val="nil"/>
            </w:tcBorders>
            <w:shd w:val="clear" w:color="auto" w:fill="auto"/>
            <w:vAlign w:val="center"/>
            <w:hideMark/>
          </w:tcPr>
          <w:p w14:paraId="0529A481" w14:textId="77777777" w:rsidR="001212B1" w:rsidRPr="00467B18" w:rsidRDefault="001212B1" w:rsidP="00C610BB">
            <w:pPr>
              <w:jc w:val="left"/>
              <w:rPr>
                <w:rFonts w:ascii="Times New Roman" w:hAnsi="Times New Roman"/>
                <w:sz w:val="15"/>
                <w:szCs w:val="15"/>
                <w:lang w:val="es-CO" w:eastAsia="es-CO"/>
              </w:rPr>
            </w:pPr>
          </w:p>
        </w:tc>
        <w:tc>
          <w:tcPr>
            <w:tcW w:w="0" w:type="auto"/>
            <w:vAlign w:val="center"/>
            <w:hideMark/>
          </w:tcPr>
          <w:p w14:paraId="2998A5EE" w14:textId="77777777" w:rsidR="001212B1" w:rsidRPr="00467B18" w:rsidRDefault="001212B1" w:rsidP="00C610BB">
            <w:pPr>
              <w:keepNext/>
              <w:jc w:val="left"/>
              <w:rPr>
                <w:rFonts w:ascii="Times New Roman" w:hAnsi="Times New Roman"/>
                <w:sz w:val="15"/>
                <w:szCs w:val="15"/>
                <w:lang w:val="es-CO" w:eastAsia="es-CO"/>
              </w:rPr>
            </w:pPr>
          </w:p>
        </w:tc>
      </w:tr>
    </w:tbl>
    <w:p w14:paraId="25317A30" w14:textId="77777777" w:rsidR="001212B1" w:rsidRPr="008A49AA" w:rsidRDefault="001212B1" w:rsidP="001212B1">
      <w:pPr>
        <w:sectPr w:rsidR="001212B1" w:rsidRPr="008A49AA" w:rsidSect="001212B1">
          <w:pgSz w:w="15842" w:h="12242" w:orient="landscape" w:code="1"/>
          <w:pgMar w:top="1418" w:right="1418" w:bottom="1418" w:left="1418" w:header="851" w:footer="567" w:gutter="0"/>
          <w:cols w:space="720"/>
          <w:titlePg/>
          <w:docGrid w:linePitch="326"/>
        </w:sectPr>
      </w:pPr>
    </w:p>
    <w:p w14:paraId="76295B40" w14:textId="77777777" w:rsidR="001212B1" w:rsidRPr="007614FF" w:rsidRDefault="001212B1" w:rsidP="001212B1">
      <w:pPr>
        <w:pStyle w:val="Descripcin"/>
        <w:rPr>
          <w:lang w:val="es-CO"/>
        </w:rPr>
      </w:pPr>
    </w:p>
    <w:p w14:paraId="2B9EA1F5" w14:textId="77777777" w:rsidR="001212B1" w:rsidRPr="007614FF" w:rsidRDefault="001212B1" w:rsidP="001212B1">
      <w:pPr>
        <w:pStyle w:val="Ttulo1"/>
        <w:numPr>
          <w:ilvl w:val="0"/>
          <w:numId w:val="1"/>
        </w:numPr>
        <w:jc w:val="left"/>
        <w:rPr>
          <w:rFonts w:ascii="Helvetica" w:hAnsi="Helvetica" w:cs="Helvetica"/>
          <w:szCs w:val="24"/>
          <w:lang w:val="es-CO"/>
        </w:rPr>
      </w:pPr>
      <w:bookmarkStart w:id="66" w:name="_Toc167459883"/>
      <w:bookmarkStart w:id="67" w:name="_Toc167896840"/>
      <w:r w:rsidRPr="007614FF">
        <w:rPr>
          <w:rFonts w:ascii="Helvetica" w:hAnsi="Helvetica" w:cs="Helvetica"/>
          <w:szCs w:val="24"/>
          <w:lang w:val="es-CO"/>
        </w:rPr>
        <w:t>ANÁLISIS DE LAS ALTERNATIVAS E IMPACTOS</w:t>
      </w:r>
      <w:bookmarkEnd w:id="66"/>
      <w:bookmarkEnd w:id="67"/>
    </w:p>
    <w:p w14:paraId="7FB809A5" w14:textId="77777777" w:rsidR="001212B1" w:rsidRPr="00B4670D" w:rsidRDefault="001212B1" w:rsidP="001212B1">
      <w:pPr>
        <w:pStyle w:val="Ttulo2"/>
        <w:numPr>
          <w:ilvl w:val="1"/>
          <w:numId w:val="1"/>
        </w:numPr>
        <w:ind w:left="578" w:hanging="578"/>
        <w:jc w:val="left"/>
        <w:rPr>
          <w:rFonts w:ascii="Helvetica" w:hAnsi="Helvetica" w:cs="Helvetica"/>
        </w:rPr>
      </w:pPr>
      <w:r w:rsidRPr="00F77DFC">
        <w:rPr>
          <w:rFonts w:ascii="Helvetica" w:hAnsi="Helvetica" w:cs="Helvetica"/>
          <w:lang w:val="es-CO"/>
        </w:rPr>
        <w:t>Problema</w:t>
      </w:r>
      <w:r w:rsidRPr="00F77DFC">
        <w:rPr>
          <w:rFonts w:ascii="Helvetica" w:hAnsi="Helvetica" w:cs="Helvetica"/>
        </w:rPr>
        <w:t xml:space="preserve"> 1. Falta de incentivos a la producción nacional</w:t>
      </w:r>
      <w:r>
        <w:rPr>
          <w:rFonts w:ascii="Helvetica" w:hAnsi="Helvetica" w:cs="Helvetica"/>
        </w:rPr>
        <w:t xml:space="preserve"> de Jet</w:t>
      </w:r>
    </w:p>
    <w:p w14:paraId="5256F062" w14:textId="77777777" w:rsidR="001212B1" w:rsidRPr="005D4F24" w:rsidRDefault="001212B1" w:rsidP="001212B1">
      <w:pPr>
        <w:spacing w:line="360" w:lineRule="auto"/>
        <w:ind w:left="708"/>
        <w:jc w:val="left"/>
        <w:rPr>
          <w:rFonts w:ascii="Helvetica" w:hAnsi="Helvetica" w:cs="Helvetica"/>
          <w:szCs w:val="24"/>
          <w:lang w:val="es-CO"/>
        </w:rPr>
      </w:pPr>
      <w:r w:rsidRPr="006A0E67">
        <w:rPr>
          <w:rFonts w:ascii="Helvetica" w:hAnsi="Helvetica" w:cs="Helvetica"/>
          <w:szCs w:val="24"/>
          <w:lang w:val="es-CO"/>
        </w:rPr>
        <w:t>Como consideraciones a la presente alternativa, se observa que se continuaría i) aplicando un precio internacional al valor del producto, ii) sin diferenciación entre el precio entre las fuentes (refinerías), iii) sin revisión de la periodicidad y iv) sin establecer el procedimiento para pasar a pesos colombianos.</w:t>
      </w:r>
    </w:p>
    <w:p w14:paraId="6C50B9BD" w14:textId="77777777" w:rsidR="001212B1" w:rsidRPr="00F77DFC" w:rsidRDefault="001212B1" w:rsidP="001212B1">
      <w:pPr>
        <w:jc w:val="left"/>
        <w:rPr>
          <w:rFonts w:ascii="Helvetica" w:hAnsi="Helvetica" w:cs="Helvetica"/>
          <w:szCs w:val="24"/>
        </w:rPr>
      </w:pPr>
    </w:p>
    <w:p w14:paraId="6FF27534" w14:textId="6481654E" w:rsidR="001212B1" w:rsidRDefault="001212B1" w:rsidP="001212B1">
      <w:pPr>
        <w:pStyle w:val="Descripcin"/>
        <w:spacing w:line="360" w:lineRule="auto"/>
        <w:rPr>
          <w:rFonts w:ascii="Helvetica" w:hAnsi="Helvetica" w:cs="Helvetica"/>
          <w:sz w:val="24"/>
          <w:szCs w:val="24"/>
        </w:rPr>
      </w:pPr>
      <w:bookmarkStart w:id="68" w:name="_Toc167459909"/>
      <w:bookmarkStart w:id="69" w:name="_Toc167896861"/>
      <w:r w:rsidRPr="00CA7BCB">
        <w:rPr>
          <w:rFonts w:ascii="Helvetica" w:hAnsi="Helvetica" w:cs="Helvetica"/>
          <w:noProof/>
          <w:sz w:val="24"/>
          <w:szCs w:val="24"/>
        </w:rPr>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21</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6A0E67">
        <w:rPr>
          <w:rFonts w:ascii="Helvetica" w:hAnsi="Helvetica" w:cs="Helvetica"/>
          <w:sz w:val="24"/>
          <w:szCs w:val="24"/>
        </w:rPr>
        <w:t>Status quo</w:t>
      </w:r>
      <w:r>
        <w:rPr>
          <w:rFonts w:ascii="Helvetica" w:hAnsi="Helvetica" w:cs="Helvetica"/>
          <w:sz w:val="24"/>
          <w:szCs w:val="24"/>
        </w:rPr>
        <w:t xml:space="preserve"> de la alternativa 1</w:t>
      </w:r>
      <w:bookmarkEnd w:id="68"/>
      <w:bookmarkEnd w:id="69"/>
    </w:p>
    <w:p w14:paraId="43873B4F" w14:textId="77777777" w:rsidR="001212B1" w:rsidRPr="006A0E67" w:rsidRDefault="001212B1" w:rsidP="001212B1">
      <w:pPr>
        <w:keepNext/>
        <w:spacing w:line="360" w:lineRule="auto"/>
        <w:jc w:val="left"/>
        <w:rPr>
          <w:rFonts w:ascii="Helvetica" w:hAnsi="Helvetica" w:cs="Helvetica"/>
          <w:szCs w:val="24"/>
        </w:rPr>
      </w:pPr>
      <w:r w:rsidRPr="006A0E67">
        <w:rPr>
          <w:rFonts w:ascii="Helvetica" w:hAnsi="Helvetica" w:cs="Helvetica"/>
          <w:b/>
          <w:noProof/>
          <w:szCs w:val="24"/>
          <w:lang w:val="es-CO"/>
        </w:rPr>
        <w:drawing>
          <wp:inline distT="0" distB="0" distL="0" distR="0" wp14:anchorId="43591A64" wp14:editId="4C56380F">
            <wp:extent cx="3745428" cy="4041522"/>
            <wp:effectExtent l="19050" t="19050" r="26670" b="16510"/>
            <wp:docPr id="1099187256" name="Picture 109918725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87256" name="Picture 1099187256" descr="Mapa&#10;&#10;Descripción generada automáticament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208" b="-1"/>
                    <a:stretch/>
                  </pic:blipFill>
                  <pic:spPr bwMode="auto">
                    <a:xfrm>
                      <a:off x="0" y="0"/>
                      <a:ext cx="3760529" cy="4057817"/>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5FB236F"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7E8B3C14" w14:textId="77777777" w:rsidR="001212B1" w:rsidRPr="006A0E67" w:rsidRDefault="001212B1" w:rsidP="001212B1">
      <w:pPr>
        <w:spacing w:line="360" w:lineRule="auto"/>
        <w:jc w:val="left"/>
        <w:rPr>
          <w:rFonts w:ascii="Helvetica" w:hAnsi="Helvetica" w:cs="Helvetica"/>
          <w:b/>
          <w:szCs w:val="24"/>
          <w:lang w:val="es-CO"/>
        </w:rPr>
      </w:pPr>
    </w:p>
    <w:p w14:paraId="3E8CB48A" w14:textId="77777777" w:rsidR="001212B1" w:rsidRPr="00F77DFC" w:rsidRDefault="001212B1" w:rsidP="001212B1">
      <w:pPr>
        <w:spacing w:line="360" w:lineRule="auto"/>
        <w:ind w:left="708"/>
        <w:jc w:val="left"/>
        <w:rPr>
          <w:rFonts w:ascii="Helvetica" w:hAnsi="Helvetica" w:cs="Helvetica"/>
          <w:szCs w:val="24"/>
        </w:rPr>
      </w:pPr>
      <w:r>
        <w:rPr>
          <w:rFonts w:ascii="Helvetica" w:hAnsi="Helvetica" w:cs="Helvetica"/>
        </w:rPr>
        <w:t xml:space="preserve">Desde la Comisión </w:t>
      </w:r>
      <w:r w:rsidRPr="00F77DFC">
        <w:rPr>
          <w:rFonts w:ascii="Helvetica" w:hAnsi="Helvetica" w:cs="Helvetica"/>
          <w:szCs w:val="24"/>
        </w:rPr>
        <w:t xml:space="preserve">no se recomienda esta alternativa por lo ya mencionado en el capítulo de contexto legal, destacando que i) existe un mandato de revisión de esta remuneración mediante el </w:t>
      </w:r>
      <w:r>
        <w:rPr>
          <w:rFonts w:ascii="Helvetica" w:hAnsi="Helvetica" w:cs="Helvetica"/>
          <w:szCs w:val="24"/>
        </w:rPr>
        <w:t>Ley</w:t>
      </w:r>
      <w:r w:rsidRPr="00F77DFC">
        <w:rPr>
          <w:rFonts w:ascii="Helvetica" w:hAnsi="Helvetica" w:cs="Helvetica"/>
          <w:szCs w:val="24"/>
        </w:rPr>
        <w:t xml:space="preserve"> 1450 de 2011, que establece que el Gobierno Nacional delegará estas funciones y ii) Resolución MME 40193 del 21 de junio de 2021, delegó en materia de combustible de aviación Jet A-1 que la CREG deberá </w:t>
      </w:r>
      <w:r w:rsidRPr="00F77DFC">
        <w:rPr>
          <w:rFonts w:ascii="Helvetica" w:hAnsi="Helvetica" w:cs="Helvetica"/>
          <w:szCs w:val="24"/>
        </w:rPr>
        <w:lastRenderedPageBreak/>
        <w:t>determinar los componentes de la estructura de precios del combustible de aviación Jet A-1, según lo establecido en el artículo 116 de la Ley 1450 de 2011 y bajo los criterios orientadores dictados por esta entidad.</w:t>
      </w:r>
    </w:p>
    <w:p w14:paraId="36F6F3EA" w14:textId="77777777" w:rsidR="001212B1" w:rsidRDefault="001212B1" w:rsidP="001212B1">
      <w:pPr>
        <w:pStyle w:val="Default"/>
        <w:spacing w:line="360" w:lineRule="auto"/>
        <w:ind w:left="708"/>
        <w:rPr>
          <w:rFonts w:ascii="Helvetica" w:hAnsi="Helvetica" w:cs="Helvetica"/>
          <w:color w:val="auto"/>
        </w:rPr>
      </w:pPr>
    </w:p>
    <w:p w14:paraId="3AF8336C" w14:textId="77777777" w:rsidR="001212B1" w:rsidRDefault="001212B1" w:rsidP="001212B1">
      <w:pPr>
        <w:pStyle w:val="Default"/>
        <w:spacing w:line="360" w:lineRule="auto"/>
        <w:ind w:left="708"/>
        <w:rPr>
          <w:rFonts w:ascii="Helvetica" w:hAnsi="Helvetica" w:cs="Helvetica"/>
          <w:color w:val="auto"/>
        </w:rPr>
      </w:pPr>
      <w:r>
        <w:rPr>
          <w:rFonts w:ascii="Helvetica" w:hAnsi="Helvetica" w:cs="Helvetica"/>
          <w:color w:val="auto"/>
        </w:rPr>
        <w:t>Por otro lado, se plantean alternativas como la revisión de los índices utilizados actualmente, para identificar si hay otros que se ajusten mejor al contexto nacional e internacional del Jet y la</w:t>
      </w:r>
      <w:r w:rsidRPr="00D33B73">
        <w:rPr>
          <w:rFonts w:ascii="Helvetica" w:hAnsi="Helvetica" w:cs="Helvetica"/>
          <w:color w:val="auto"/>
        </w:rPr>
        <w:t xml:space="preserve"> periodicidad del cálculo de</w:t>
      </w:r>
      <w:r>
        <w:rPr>
          <w:rFonts w:ascii="Helvetica" w:hAnsi="Helvetica" w:cs="Helvetica"/>
          <w:color w:val="auto"/>
        </w:rPr>
        <w:t xml:space="preserve"> este IP. </w:t>
      </w:r>
    </w:p>
    <w:p w14:paraId="5ED980C9" w14:textId="77777777" w:rsidR="001212B1" w:rsidRDefault="001212B1" w:rsidP="001212B1">
      <w:pPr>
        <w:pStyle w:val="Default"/>
        <w:spacing w:line="360" w:lineRule="auto"/>
        <w:ind w:left="708"/>
        <w:rPr>
          <w:rFonts w:ascii="Helvetica" w:hAnsi="Helvetica" w:cs="Helvetica"/>
          <w:color w:val="auto"/>
        </w:rPr>
      </w:pPr>
    </w:p>
    <w:p w14:paraId="592E94F5" w14:textId="77777777" w:rsidR="001212B1" w:rsidRDefault="001212B1" w:rsidP="001212B1">
      <w:pPr>
        <w:pStyle w:val="Default"/>
        <w:spacing w:line="360" w:lineRule="auto"/>
        <w:ind w:left="708"/>
        <w:rPr>
          <w:rFonts w:ascii="Helvetica" w:hAnsi="Helvetica" w:cs="Helvetica"/>
          <w:color w:val="auto"/>
        </w:rPr>
      </w:pPr>
      <w:r>
        <w:rPr>
          <w:rFonts w:ascii="Helvetica" w:hAnsi="Helvetica" w:cs="Helvetica"/>
          <w:color w:val="auto"/>
        </w:rPr>
        <w:t xml:space="preserve">Así mismo, se plantea reconocer al refinador el costo de oportunidad de exportación en la cual se reconoce el costo de poner el Jet en el mercado internacional, en este caso la costa del Golfo, eliminando del IP los costos de flete, costos de embarque, entre otros. De igual manera, para internar el producto a Barranca, se reduce el costo terrestre sobre el cual tendría que incurrir el refinador desde la fuente del interior hasta el punto de exportación más cercano, asumido este como la Refinería de Cartagena. </w:t>
      </w:r>
    </w:p>
    <w:p w14:paraId="6B155118" w14:textId="77777777" w:rsidR="001212B1" w:rsidRDefault="001212B1" w:rsidP="001212B1">
      <w:pPr>
        <w:pStyle w:val="Default"/>
        <w:spacing w:line="360" w:lineRule="auto"/>
        <w:ind w:left="708"/>
        <w:rPr>
          <w:rFonts w:ascii="Helvetica" w:hAnsi="Helvetica" w:cs="Helvetica"/>
          <w:color w:val="auto"/>
        </w:rPr>
      </w:pPr>
    </w:p>
    <w:p w14:paraId="2BD4FA9C" w14:textId="77777777" w:rsidR="001212B1" w:rsidRPr="006A0E67" w:rsidRDefault="001212B1" w:rsidP="001212B1">
      <w:pPr>
        <w:pStyle w:val="Default"/>
        <w:spacing w:line="360" w:lineRule="auto"/>
        <w:ind w:left="708"/>
        <w:rPr>
          <w:rFonts w:ascii="Helvetica" w:hAnsi="Helvetica" w:cs="Helvetica"/>
          <w:color w:val="auto"/>
        </w:rPr>
      </w:pPr>
      <w:r>
        <w:rPr>
          <w:rFonts w:ascii="Helvetica" w:hAnsi="Helvetica" w:cs="Helvetica"/>
          <w:color w:val="auto"/>
        </w:rPr>
        <w:t>Debido a que hoy se remunera el IP con un precio del Jet puesto en la Costa del Golfo, pero asumido como Cartagena (FOB), esta alternativa a pesar de que representa un reconocimiento del costo de oportunidad de exportar el producto representaría una desmejora en el beneficio del productor. Por último, es importante mencionar que esta metodología se usa para la remuneración del IP de la gasolina motor corriente y el ACPM-Diésel (para el porcentaje de la oferta que se utiliza para atender la demanda nacional).</w:t>
      </w:r>
    </w:p>
    <w:p w14:paraId="249EF3F0" w14:textId="6747EEF8" w:rsidR="001212B1" w:rsidRPr="00F77DFC" w:rsidRDefault="001212B1" w:rsidP="001212B1">
      <w:pPr>
        <w:pStyle w:val="Descripcin"/>
        <w:spacing w:line="360" w:lineRule="auto"/>
        <w:rPr>
          <w:rFonts w:ascii="Helvetica" w:hAnsi="Helvetica" w:cs="Helvetica"/>
          <w:sz w:val="24"/>
          <w:szCs w:val="24"/>
        </w:rPr>
      </w:pPr>
      <w:bookmarkStart w:id="70" w:name="_Toc167459910"/>
      <w:bookmarkStart w:id="71" w:name="_Toc167896862"/>
      <w:r w:rsidRPr="00CA7BCB">
        <w:rPr>
          <w:rFonts w:ascii="Helvetica" w:hAnsi="Helvetica" w:cs="Helvetica"/>
          <w:noProof/>
          <w:sz w:val="24"/>
          <w:szCs w:val="24"/>
        </w:rPr>
        <w:lastRenderedPageBreak/>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22</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6A0E67">
        <w:rPr>
          <w:rFonts w:ascii="Helvetica" w:hAnsi="Helvetica" w:cs="Helvetica"/>
          <w:sz w:val="24"/>
          <w:szCs w:val="24"/>
        </w:rPr>
        <w:t>Alternativas paridad exportación/importación.</w:t>
      </w:r>
      <w:bookmarkEnd w:id="70"/>
      <w:bookmarkEnd w:id="71"/>
    </w:p>
    <w:p w14:paraId="0100F9AF" w14:textId="77777777" w:rsidR="001212B1" w:rsidRPr="006A0E67" w:rsidRDefault="001212B1" w:rsidP="001212B1">
      <w:pPr>
        <w:pStyle w:val="Default"/>
        <w:keepNext/>
        <w:spacing w:line="360" w:lineRule="auto"/>
        <w:ind w:left="708"/>
        <w:rPr>
          <w:rFonts w:ascii="Helvetica" w:hAnsi="Helvetica" w:cs="Helvetica"/>
          <w:color w:val="auto"/>
        </w:rPr>
      </w:pPr>
      <w:r w:rsidRPr="006A0E67">
        <w:rPr>
          <w:rFonts w:ascii="Helvetica" w:hAnsi="Helvetica" w:cs="Helvetica"/>
          <w:b/>
          <w:noProof/>
          <w:color w:val="auto"/>
        </w:rPr>
        <w:drawing>
          <wp:inline distT="0" distB="0" distL="0" distR="0" wp14:anchorId="22B1671A" wp14:editId="0ACD0726">
            <wp:extent cx="4630791" cy="3852306"/>
            <wp:effectExtent l="19050" t="19050" r="17780" b="15240"/>
            <wp:docPr id="1009590955" name="Picture 10095909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0955" name="Imagen 5" descr="Mapa&#10;&#10;Descripción generada automáticament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78"/>
                    <a:stretch/>
                  </pic:blipFill>
                  <pic:spPr bwMode="auto">
                    <a:xfrm>
                      <a:off x="0" y="0"/>
                      <a:ext cx="4651866" cy="3869838"/>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776A98"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09410FA8" w14:textId="77777777" w:rsidR="001212B1" w:rsidRPr="006A0E67" w:rsidRDefault="001212B1" w:rsidP="001212B1">
      <w:pPr>
        <w:pStyle w:val="Default"/>
        <w:spacing w:line="360" w:lineRule="auto"/>
        <w:rPr>
          <w:rFonts w:ascii="Helvetica" w:hAnsi="Helvetica" w:cs="Helvetica"/>
          <w:color w:val="auto"/>
        </w:rPr>
      </w:pPr>
    </w:p>
    <w:p w14:paraId="2002551F" w14:textId="77777777" w:rsidR="001212B1" w:rsidRPr="006A0E67" w:rsidRDefault="001212B1" w:rsidP="001212B1">
      <w:pPr>
        <w:pStyle w:val="Default"/>
        <w:spacing w:line="360" w:lineRule="auto"/>
        <w:ind w:left="708"/>
        <w:rPr>
          <w:rFonts w:ascii="Helvetica" w:hAnsi="Helvetica" w:cs="Helvetica"/>
          <w:color w:val="auto"/>
        </w:rPr>
      </w:pPr>
      <w:r w:rsidRPr="006A0E67">
        <w:rPr>
          <w:rFonts w:ascii="Helvetica" w:hAnsi="Helvetica" w:cs="Helvetica"/>
          <w:color w:val="auto"/>
        </w:rPr>
        <w:t xml:space="preserve">En contraparte, se presenta también la alternativa de precio paridad importación, el cual reconoce el costo de oportunidad de importar el producto, reconociendo el costo de flete, costo de embarque, entre otros. Así mismo, tiene en cuenta el costo de internación del producto, reconociendo el costo de llevar el producto al interior del país. Esta metodología se utiliza actualmente para el caso del ACPM-Diésel por la necesidad del cumplir de una calidad especifica de este producto establecida en el reglamento técnico, y que el refinador no puede suplir. En el caso del Jet, no existe esta restricción de calidad. </w:t>
      </w:r>
    </w:p>
    <w:p w14:paraId="1488411F" w14:textId="77777777" w:rsidR="001212B1" w:rsidRPr="006A0E67" w:rsidRDefault="001212B1" w:rsidP="001212B1">
      <w:pPr>
        <w:pStyle w:val="Default"/>
        <w:spacing w:line="360" w:lineRule="auto"/>
        <w:ind w:left="708"/>
        <w:rPr>
          <w:rFonts w:ascii="Helvetica" w:hAnsi="Helvetica" w:cs="Helvetica"/>
          <w:color w:val="auto"/>
        </w:rPr>
      </w:pPr>
    </w:p>
    <w:p w14:paraId="4A36FC98" w14:textId="77777777" w:rsidR="001212B1" w:rsidRPr="006A0E67" w:rsidRDefault="001212B1" w:rsidP="001212B1">
      <w:pPr>
        <w:pStyle w:val="Default"/>
        <w:spacing w:line="360" w:lineRule="auto"/>
        <w:ind w:left="708"/>
        <w:rPr>
          <w:rFonts w:ascii="Helvetica" w:hAnsi="Helvetica" w:cs="Helvetica"/>
          <w:color w:val="auto"/>
        </w:rPr>
      </w:pPr>
      <w:r w:rsidRPr="006A0E67">
        <w:rPr>
          <w:rFonts w:ascii="Helvetica" w:hAnsi="Helvetica" w:cs="Helvetica"/>
          <w:color w:val="auto"/>
        </w:rPr>
        <w:t xml:space="preserve">Por otro lado, dado que las opciones del refinador son producir localmente o traer el producto importado, esta alternativa incentivaría al refinador tomar la primera opción, con lo cual también se estaría asegurando la seguridad energética </w:t>
      </w:r>
      <w:r w:rsidRPr="006A0E67">
        <w:rPr>
          <w:rFonts w:ascii="Helvetica" w:hAnsi="Helvetica" w:cs="Helvetica"/>
          <w:color w:val="auto"/>
        </w:rPr>
        <w:lastRenderedPageBreak/>
        <w:t xml:space="preserve">(capacidad de cubrir la demanda actual y futura de manera ininterrumpida), ya que en el corto plazo no se tendría que recurrir a producto externo, porque la oferta actual de las refinerías es capaz de atender hasta el 100% de la demanda. </w:t>
      </w:r>
    </w:p>
    <w:p w14:paraId="3A852980" w14:textId="77777777" w:rsidR="001212B1" w:rsidRPr="006A0E67" w:rsidRDefault="001212B1" w:rsidP="001212B1">
      <w:pPr>
        <w:pStyle w:val="Default"/>
        <w:spacing w:line="360" w:lineRule="auto"/>
        <w:ind w:left="708"/>
        <w:rPr>
          <w:rFonts w:ascii="Helvetica" w:hAnsi="Helvetica" w:cs="Helvetica"/>
          <w:color w:val="auto"/>
        </w:rPr>
      </w:pPr>
      <w:r w:rsidRPr="006A0E67">
        <w:rPr>
          <w:rFonts w:ascii="Helvetica" w:hAnsi="Helvetica" w:cs="Helvetica"/>
          <w:color w:val="auto"/>
        </w:rPr>
        <w:t>Por el contexto de oferta actual, en donde Ecopetrol cubre en su mayoría la demanda nacional, se estaría presentando una desmejora en el bienestar del consumidor, al igual que se estaría afectando el indicador de equidad energética (brindar acceso universal y accesible a los energéticos).</w:t>
      </w:r>
    </w:p>
    <w:p w14:paraId="2195E03B" w14:textId="77777777" w:rsidR="001212B1" w:rsidRDefault="001212B1" w:rsidP="001212B1">
      <w:pPr>
        <w:pStyle w:val="Default"/>
        <w:spacing w:line="360" w:lineRule="auto"/>
        <w:ind w:left="708"/>
        <w:rPr>
          <w:rFonts w:ascii="Helvetica" w:hAnsi="Helvetica" w:cs="Helvetica"/>
          <w:color w:val="auto"/>
        </w:rPr>
      </w:pPr>
    </w:p>
    <w:p w14:paraId="0DC7EAEA" w14:textId="77777777" w:rsidR="001212B1" w:rsidRPr="006133F5" w:rsidRDefault="001212B1" w:rsidP="001212B1">
      <w:pPr>
        <w:pStyle w:val="Prrafodelista"/>
        <w:spacing w:line="360" w:lineRule="auto"/>
        <w:jc w:val="left"/>
        <w:rPr>
          <w:rFonts w:ascii="Helvetica" w:hAnsi="Helvetica" w:cs="Helvetica"/>
          <w:szCs w:val="24"/>
          <w:lang w:val="es-ES"/>
        </w:rPr>
      </w:pPr>
      <w:r w:rsidRPr="006133F5">
        <w:rPr>
          <w:rFonts w:ascii="Helvetica" w:hAnsi="Helvetica" w:cs="Helvetica"/>
        </w:rPr>
        <w:t xml:space="preserve">Finalmente se plantea una remuneración </w:t>
      </w:r>
      <w:r w:rsidRPr="006133F5">
        <w:rPr>
          <w:rFonts w:ascii="Helvetica" w:hAnsi="Helvetica" w:cs="Helvetica"/>
          <w:szCs w:val="24"/>
          <w:lang w:val="es-ES"/>
        </w:rPr>
        <w:t>a partir de los costos de producción del Jet más un margen por llevar a cabo la actividad de producción.</w:t>
      </w:r>
      <w:r w:rsidRPr="006133F5">
        <w:rPr>
          <w:rFonts w:ascii="Helvetica" w:hAnsi="Helvetica" w:cs="Helvetica"/>
          <w:lang w:val="es-ES"/>
        </w:rPr>
        <w:t xml:space="preserve"> </w:t>
      </w:r>
      <w:r w:rsidRPr="006133F5">
        <w:rPr>
          <w:rFonts w:ascii="Helvetica" w:hAnsi="Helvetica" w:cs="Helvetica"/>
          <w:szCs w:val="24"/>
          <w:lang w:val="es-ES"/>
        </w:rPr>
        <w:t>Esta alternativa se aparta de los precios internacionales de referencia, puede disminuir los incentivos al refinador de optimizar costos y requiere de manera periódica del reporte y la verificación de información.</w:t>
      </w:r>
    </w:p>
    <w:p w14:paraId="498BBE51" w14:textId="77777777" w:rsidR="001212B1" w:rsidRPr="006133F5" w:rsidRDefault="001212B1" w:rsidP="001212B1">
      <w:pPr>
        <w:pStyle w:val="Default"/>
        <w:spacing w:line="360" w:lineRule="auto"/>
        <w:ind w:left="708"/>
        <w:rPr>
          <w:rFonts w:ascii="Helvetica" w:hAnsi="Helvetica" w:cs="Helvetica"/>
          <w:color w:val="auto"/>
        </w:rPr>
      </w:pPr>
    </w:p>
    <w:p w14:paraId="111102D2" w14:textId="77777777" w:rsidR="001212B1" w:rsidRPr="006133F5" w:rsidRDefault="001212B1" w:rsidP="001212B1">
      <w:pPr>
        <w:pStyle w:val="Default"/>
        <w:spacing w:line="360" w:lineRule="auto"/>
        <w:ind w:left="708"/>
        <w:rPr>
          <w:rFonts w:ascii="Helvetica" w:hAnsi="Helvetica" w:cs="Helvetica"/>
          <w:color w:val="auto"/>
        </w:rPr>
      </w:pPr>
      <w:r w:rsidRPr="006133F5">
        <w:rPr>
          <w:rFonts w:ascii="Helvetica" w:hAnsi="Helvetica" w:cs="Helvetica"/>
          <w:color w:val="auto"/>
        </w:rPr>
        <w:t>A continuación, se presentan los impactos, positivos y negativos, anteriormente mencionados.</w:t>
      </w:r>
    </w:p>
    <w:p w14:paraId="54A5DA26" w14:textId="77777777" w:rsidR="001212B1" w:rsidRPr="006133F5" w:rsidRDefault="001212B1" w:rsidP="001212B1">
      <w:pPr>
        <w:pStyle w:val="Default"/>
        <w:spacing w:line="360" w:lineRule="auto"/>
        <w:ind w:left="708"/>
        <w:rPr>
          <w:rFonts w:ascii="Helvetica" w:hAnsi="Helvetica" w:cs="Helvetica"/>
          <w:color w:val="auto"/>
        </w:rPr>
      </w:pPr>
    </w:p>
    <w:p w14:paraId="79AED5EB" w14:textId="34502B0B" w:rsidR="001212B1" w:rsidRDefault="001212B1" w:rsidP="001212B1">
      <w:pPr>
        <w:pStyle w:val="Descripcin"/>
        <w:spacing w:line="360" w:lineRule="auto"/>
        <w:rPr>
          <w:rFonts w:ascii="Helvetica" w:hAnsi="Helvetica" w:cs="Helvetica"/>
          <w:sz w:val="24"/>
          <w:szCs w:val="24"/>
        </w:rPr>
      </w:pPr>
      <w:bookmarkStart w:id="72" w:name="_Toc167459911"/>
      <w:bookmarkStart w:id="73" w:name="_Toc167896863"/>
      <w:r w:rsidRPr="00CA7BCB">
        <w:rPr>
          <w:rFonts w:ascii="Helvetica" w:hAnsi="Helvetica" w:cs="Helvetica"/>
          <w:noProof/>
          <w:sz w:val="24"/>
          <w:szCs w:val="24"/>
        </w:rPr>
        <w:t>Figura</w:t>
      </w:r>
      <w:r w:rsidRPr="006A0E67">
        <w:rPr>
          <w:rFonts w:ascii="Helvetica" w:hAnsi="Helvetica" w:cs="Helvetica"/>
          <w:sz w:val="24"/>
          <w:szCs w:val="24"/>
        </w:rPr>
        <w:t xml:space="preserve">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23</w:t>
      </w:r>
      <w:r w:rsidRPr="00CA7BCB">
        <w:rPr>
          <w:rFonts w:ascii="Helvetica" w:hAnsi="Helvetica" w:cs="Helvetica"/>
          <w:noProof/>
          <w:sz w:val="24"/>
          <w:szCs w:val="24"/>
        </w:rPr>
        <w:fldChar w:fldCharType="end"/>
      </w:r>
      <w:r w:rsidRPr="00CA7BCB">
        <w:rPr>
          <w:rFonts w:ascii="Helvetica" w:hAnsi="Helvetica" w:cs="Helvetica"/>
          <w:noProof/>
          <w:sz w:val="24"/>
          <w:szCs w:val="24"/>
        </w:rPr>
        <w:t>.</w:t>
      </w:r>
      <w:r w:rsidRPr="006A0E67">
        <w:rPr>
          <w:rFonts w:ascii="Helvetica" w:hAnsi="Helvetica" w:cs="Helvetica"/>
          <w:sz w:val="24"/>
          <w:szCs w:val="24"/>
        </w:rPr>
        <w:t xml:space="preserve"> Posibles impactos identificados en las alternativas del problema 1.</w:t>
      </w:r>
      <w:bookmarkEnd w:id="72"/>
      <w:bookmarkEnd w:id="73"/>
    </w:p>
    <w:p w14:paraId="43518AB6" w14:textId="77777777" w:rsidR="001212B1" w:rsidRDefault="001212B1" w:rsidP="001212B1">
      <w:r>
        <w:rPr>
          <w:noProof/>
        </w:rPr>
        <w:drawing>
          <wp:inline distT="0" distB="0" distL="0" distR="0" wp14:anchorId="7697E0D8" wp14:editId="06BC4B67">
            <wp:extent cx="5838429" cy="2658101"/>
            <wp:effectExtent l="0" t="0" r="0" b="9525"/>
            <wp:docPr id="1462820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79379" cy="2676744"/>
                    </a:xfrm>
                    <a:prstGeom prst="rect">
                      <a:avLst/>
                    </a:prstGeom>
                    <a:noFill/>
                  </pic:spPr>
                </pic:pic>
              </a:graphicData>
            </a:graphic>
          </wp:inline>
        </w:drawing>
      </w:r>
    </w:p>
    <w:p w14:paraId="2A434927" w14:textId="77777777" w:rsidR="001212B1" w:rsidRPr="002B31EC" w:rsidRDefault="001212B1" w:rsidP="001212B1"/>
    <w:p w14:paraId="725A1942"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0587ECBF" w14:textId="77777777" w:rsidR="001212B1" w:rsidRPr="00F77DFC" w:rsidRDefault="001212B1" w:rsidP="001212B1">
      <w:pPr>
        <w:keepNext/>
        <w:spacing w:line="360" w:lineRule="auto"/>
        <w:jc w:val="left"/>
        <w:rPr>
          <w:rFonts w:ascii="Helvetica" w:hAnsi="Helvetica" w:cs="Helvetica"/>
          <w:szCs w:val="24"/>
        </w:rPr>
      </w:pPr>
      <w:r w:rsidRPr="00F77DFC">
        <w:rPr>
          <w:rFonts w:ascii="Helvetica" w:hAnsi="Helvetica" w:cs="Helvetica"/>
          <w:szCs w:val="24"/>
        </w:rPr>
        <w:lastRenderedPageBreak/>
        <w:t>*Impactos positivos en verde, impactos negativos en rojo.</w:t>
      </w:r>
    </w:p>
    <w:p w14:paraId="4A9200ED" w14:textId="77777777" w:rsidR="001212B1" w:rsidRPr="006A0E67" w:rsidRDefault="001212B1" w:rsidP="001212B1">
      <w:pPr>
        <w:spacing w:line="360" w:lineRule="auto"/>
        <w:jc w:val="left"/>
        <w:rPr>
          <w:rFonts w:ascii="Helvetica" w:hAnsi="Helvetica" w:cs="Helvetica"/>
          <w:bCs/>
          <w:szCs w:val="24"/>
          <w:lang w:val="es-CO"/>
        </w:rPr>
      </w:pPr>
    </w:p>
    <w:p w14:paraId="5E3A5E03" w14:textId="77777777" w:rsidR="001212B1" w:rsidRPr="006A0E67" w:rsidRDefault="001212B1" w:rsidP="001212B1">
      <w:pPr>
        <w:pStyle w:val="Ttulo2"/>
        <w:numPr>
          <w:ilvl w:val="1"/>
          <w:numId w:val="1"/>
        </w:numPr>
        <w:ind w:left="578" w:hanging="578"/>
        <w:jc w:val="left"/>
        <w:rPr>
          <w:rFonts w:ascii="Helvetica" w:hAnsi="Helvetica" w:cs="Helvetica"/>
          <w:lang w:val="es-CO"/>
        </w:rPr>
      </w:pPr>
      <w:r w:rsidRPr="006A0E67">
        <w:rPr>
          <w:rFonts w:ascii="Helvetica" w:hAnsi="Helvetica" w:cs="Helvetica"/>
          <w:lang w:val="es-CO"/>
        </w:rPr>
        <w:t>P</w:t>
      </w:r>
      <w:r>
        <w:rPr>
          <w:rFonts w:ascii="Helvetica" w:hAnsi="Helvetica" w:cs="Helvetica"/>
          <w:lang w:val="es-CO"/>
        </w:rPr>
        <w:t xml:space="preserve">roblema </w:t>
      </w:r>
      <w:r w:rsidRPr="006A0E67">
        <w:rPr>
          <w:rFonts w:ascii="Helvetica" w:hAnsi="Helvetica" w:cs="Helvetica"/>
          <w:lang w:val="es-CO"/>
        </w:rPr>
        <w:t>2. Ausencia de claridad en el desarrollo de la actividad de importación de Jet.</w:t>
      </w:r>
    </w:p>
    <w:p w14:paraId="003571BC" w14:textId="77777777" w:rsidR="001212B1" w:rsidRPr="001357F9" w:rsidRDefault="001212B1" w:rsidP="001212B1">
      <w:pPr>
        <w:spacing w:line="360" w:lineRule="auto"/>
        <w:ind w:left="567"/>
        <w:jc w:val="left"/>
        <w:rPr>
          <w:rFonts w:ascii="Helvetica" w:hAnsi="Helvetica" w:cs="Helvetica"/>
          <w:szCs w:val="24"/>
          <w:lang w:val="es-CO" w:eastAsia="es-CO"/>
        </w:rPr>
      </w:pPr>
      <w:r w:rsidRPr="005B56A5">
        <w:rPr>
          <w:rFonts w:ascii="Helvetica" w:hAnsi="Helvetica" w:cs="Helvetica"/>
          <w:szCs w:val="24"/>
          <w:lang w:val="es-CO" w:eastAsia="es-CO"/>
        </w:rPr>
        <w:t xml:space="preserve">De acuerdo con el Artículo 116 Ley 1450 de 2011, la derogatoria de la fórmula </w:t>
      </w:r>
      <w:r w:rsidRPr="001357F9">
        <w:rPr>
          <w:rFonts w:ascii="Helvetica" w:hAnsi="Helvetica" w:cs="Helvetica"/>
          <w:szCs w:val="24"/>
          <w:lang w:val="es-CO" w:eastAsia="es-CO"/>
        </w:rPr>
        <w:t xml:space="preserve">para determinar los componentes de la estructura de precios del combustible de aviación JET A-1, se hará efectiva cuando </w:t>
      </w:r>
      <w:r w:rsidRPr="005B56A5">
        <w:rPr>
          <w:rFonts w:ascii="Helvetica" w:hAnsi="Helvetica" w:cs="Helvetica"/>
          <w:szCs w:val="24"/>
          <w:lang w:val="es-CO" w:eastAsia="es-CO"/>
        </w:rPr>
        <w:t>la CREG</w:t>
      </w:r>
      <w:r w:rsidRPr="001357F9">
        <w:rPr>
          <w:rFonts w:ascii="Helvetica" w:hAnsi="Helvetica" w:cs="Helvetica"/>
          <w:szCs w:val="24"/>
          <w:lang w:val="es-CO" w:eastAsia="es-CO"/>
        </w:rPr>
        <w:t xml:space="preserve"> determine </w:t>
      </w:r>
      <w:r w:rsidRPr="005B56A5">
        <w:rPr>
          <w:rFonts w:ascii="Helvetica" w:hAnsi="Helvetica" w:cs="Helvetica"/>
          <w:szCs w:val="24"/>
          <w:lang w:val="es-CO" w:eastAsia="es-CO"/>
        </w:rPr>
        <w:t xml:space="preserve">la estructura de precios del combustible de aviación para motores tipo turbina y </w:t>
      </w:r>
      <w:r w:rsidRPr="001357F9">
        <w:rPr>
          <w:rFonts w:ascii="Helvetica" w:hAnsi="Helvetica" w:cs="Helvetica"/>
          <w:szCs w:val="24"/>
          <w:lang w:val="es-CO" w:eastAsia="es-CO"/>
        </w:rPr>
        <w:t xml:space="preserve">dicte la primera regulación sobre </w:t>
      </w:r>
      <w:r w:rsidRPr="005B56A5">
        <w:rPr>
          <w:rFonts w:ascii="Helvetica" w:hAnsi="Helvetica" w:cs="Helvetica"/>
          <w:szCs w:val="24"/>
          <w:lang w:val="es-CO" w:eastAsia="es-CO"/>
        </w:rPr>
        <w:t xml:space="preserve">la materia. Así mismo y hasta tanto se expida la primera regulación, </w:t>
      </w:r>
      <w:r w:rsidRPr="001357F9">
        <w:rPr>
          <w:rFonts w:ascii="Helvetica" w:hAnsi="Helvetica" w:cs="Helvetica"/>
          <w:szCs w:val="24"/>
          <w:lang w:val="es-CO" w:eastAsia="es-CO"/>
        </w:rPr>
        <w:t xml:space="preserve">en el evento </w:t>
      </w:r>
      <w:r w:rsidRPr="005B56A5">
        <w:rPr>
          <w:rFonts w:ascii="Helvetica" w:hAnsi="Helvetica" w:cs="Helvetica"/>
          <w:szCs w:val="24"/>
          <w:lang w:val="es-CO" w:eastAsia="es-CO"/>
        </w:rPr>
        <w:t>que,</w:t>
      </w:r>
      <w:r w:rsidRPr="001357F9">
        <w:rPr>
          <w:rFonts w:ascii="Helvetica" w:hAnsi="Helvetica" w:cs="Helvetica"/>
          <w:szCs w:val="24"/>
          <w:lang w:val="es-CO" w:eastAsia="es-CO"/>
        </w:rPr>
        <w:t xml:space="preserve"> por garantía de abastecimiento</w:t>
      </w:r>
      <w:r w:rsidRPr="005B56A5">
        <w:rPr>
          <w:rFonts w:ascii="Helvetica" w:hAnsi="Helvetica" w:cs="Helvetica"/>
          <w:szCs w:val="24"/>
          <w:lang w:val="es-CO" w:eastAsia="es-CO"/>
        </w:rPr>
        <w:t>,</w:t>
      </w:r>
      <w:r w:rsidRPr="001357F9">
        <w:rPr>
          <w:rFonts w:ascii="Helvetica" w:hAnsi="Helvetica" w:cs="Helvetica"/>
          <w:szCs w:val="24"/>
          <w:lang w:val="es-CO" w:eastAsia="es-CO"/>
        </w:rPr>
        <w:t xml:space="preserve"> se requier</w:t>
      </w:r>
      <w:r w:rsidRPr="005B56A5">
        <w:rPr>
          <w:rFonts w:ascii="Helvetica" w:hAnsi="Helvetica" w:cs="Helvetica"/>
          <w:szCs w:val="24"/>
          <w:lang w:val="es-CO" w:eastAsia="es-CO"/>
        </w:rPr>
        <w:t>a</w:t>
      </w:r>
      <w:r w:rsidRPr="001357F9">
        <w:rPr>
          <w:rFonts w:ascii="Helvetica" w:hAnsi="Helvetica" w:cs="Helvetica"/>
          <w:szCs w:val="24"/>
          <w:lang w:val="es-CO" w:eastAsia="es-CO"/>
        </w:rPr>
        <w:t xml:space="preserve"> importar producto o realizar el transporte del producto entre las refinerías, estos costos no serán asumidos por el refinador y serán trasladados al precio de venta del producto por el refinador</w:t>
      </w:r>
      <w:r w:rsidRPr="005B56A5">
        <w:rPr>
          <w:rFonts w:ascii="Helvetica" w:hAnsi="Helvetica" w:cs="Helvetica"/>
          <w:szCs w:val="24"/>
          <w:lang w:val="es-CO" w:eastAsia="es-CO"/>
        </w:rPr>
        <w:t>.</w:t>
      </w:r>
    </w:p>
    <w:p w14:paraId="1D58E834" w14:textId="77777777" w:rsidR="001212B1" w:rsidRPr="005B56A5" w:rsidRDefault="001212B1" w:rsidP="001212B1">
      <w:pPr>
        <w:spacing w:line="360" w:lineRule="auto"/>
        <w:ind w:left="567"/>
        <w:jc w:val="left"/>
        <w:rPr>
          <w:rFonts w:ascii="Helvetica" w:hAnsi="Helvetica" w:cs="Helvetica"/>
          <w:szCs w:val="24"/>
          <w:lang w:val="es-CO" w:eastAsia="es-CO"/>
        </w:rPr>
      </w:pPr>
    </w:p>
    <w:p w14:paraId="76D0E17D" w14:textId="77777777" w:rsidR="001212B1" w:rsidRPr="005B56A5" w:rsidRDefault="001212B1" w:rsidP="001212B1">
      <w:pPr>
        <w:spacing w:line="360" w:lineRule="auto"/>
        <w:ind w:left="567"/>
        <w:jc w:val="left"/>
        <w:rPr>
          <w:rFonts w:ascii="Helvetica" w:hAnsi="Helvetica" w:cs="Helvetica"/>
          <w:szCs w:val="24"/>
          <w:lang w:val="es-CO" w:eastAsia="es-CO"/>
        </w:rPr>
      </w:pPr>
      <w:r w:rsidRPr="005B56A5">
        <w:rPr>
          <w:rFonts w:ascii="Helvetica" w:hAnsi="Helvetica" w:cs="Helvetica"/>
          <w:szCs w:val="24"/>
          <w:lang w:val="es-CO" w:eastAsia="es-CO"/>
        </w:rPr>
        <w:t>La primera alternativa propuesta, plantea que continue siendo el refinador quien por garantía del abastecimiento nacional tenga la obligación de realizar las importaciones y suministrar el producto importado a la demanda. Bajo esta posibilidad, el precio de venta del producto importado por el refinador deberá incluir los costos asociados a la importación y costo del transporte entre refinerías, si se requiere.</w:t>
      </w:r>
    </w:p>
    <w:p w14:paraId="46677564" w14:textId="77777777" w:rsidR="001212B1" w:rsidRPr="005B56A5" w:rsidRDefault="001212B1" w:rsidP="001212B1">
      <w:pPr>
        <w:spacing w:line="360" w:lineRule="auto"/>
        <w:ind w:left="567"/>
        <w:jc w:val="left"/>
        <w:rPr>
          <w:rFonts w:ascii="Helvetica" w:hAnsi="Helvetica" w:cs="Helvetica"/>
          <w:szCs w:val="24"/>
          <w:lang w:val="es-CO" w:eastAsia="es-CO"/>
        </w:rPr>
      </w:pPr>
    </w:p>
    <w:p w14:paraId="0A0F5646" w14:textId="77777777" w:rsidR="001212B1" w:rsidRPr="00CD3FB0" w:rsidRDefault="001212B1" w:rsidP="001212B1">
      <w:pPr>
        <w:spacing w:line="360" w:lineRule="auto"/>
        <w:ind w:left="567"/>
        <w:jc w:val="left"/>
        <w:rPr>
          <w:rFonts w:ascii="Helvetica" w:hAnsi="Helvetica" w:cs="Helvetica"/>
          <w:szCs w:val="24"/>
          <w:lang w:val="es-CO" w:eastAsia="es-CO"/>
        </w:rPr>
      </w:pPr>
      <w:r w:rsidRPr="005B56A5">
        <w:rPr>
          <w:rFonts w:ascii="Helvetica" w:hAnsi="Helvetica" w:cs="Helvetica"/>
          <w:szCs w:val="24"/>
          <w:lang w:val="es-CO" w:eastAsia="es-CO"/>
        </w:rPr>
        <w:t xml:space="preserve">La aplicación de esta alternativa puede implicar un bajo costo en su implementación, sin embargo, </w:t>
      </w:r>
      <w:r w:rsidRPr="00CD3FB0">
        <w:rPr>
          <w:rFonts w:ascii="Helvetica" w:hAnsi="Helvetica" w:cs="Helvetica"/>
          <w:szCs w:val="24"/>
          <w:lang w:val="es-CO" w:eastAsia="es-CO"/>
        </w:rPr>
        <w:t>mantienen la falta de claridad por sobre quien puede realizar la actividad de importación</w:t>
      </w:r>
      <w:r w:rsidRPr="005B56A5">
        <w:rPr>
          <w:rFonts w:ascii="Helvetica" w:hAnsi="Helvetica" w:cs="Helvetica"/>
          <w:szCs w:val="24"/>
          <w:lang w:val="es-CO" w:eastAsia="es-CO"/>
        </w:rPr>
        <w:t xml:space="preserve"> y la p</w:t>
      </w:r>
      <w:r w:rsidRPr="00CD3FB0">
        <w:rPr>
          <w:rFonts w:ascii="Helvetica" w:hAnsi="Helvetica" w:cs="Helvetica"/>
          <w:szCs w:val="24"/>
          <w:lang w:val="es-CO" w:eastAsia="es-CO"/>
        </w:rPr>
        <w:t>otencial barrera de entrada a nuevos agentes.</w:t>
      </w:r>
    </w:p>
    <w:p w14:paraId="096D5FD9" w14:textId="77777777" w:rsidR="001212B1" w:rsidRPr="005B56A5" w:rsidRDefault="001212B1" w:rsidP="001212B1">
      <w:pPr>
        <w:spacing w:line="360" w:lineRule="auto"/>
        <w:ind w:left="567"/>
        <w:jc w:val="left"/>
        <w:rPr>
          <w:rFonts w:ascii="Helvetica" w:hAnsi="Helvetica" w:cs="Helvetica"/>
          <w:szCs w:val="24"/>
          <w:lang w:val="es-CO" w:eastAsia="es-CO"/>
        </w:rPr>
      </w:pPr>
    </w:p>
    <w:p w14:paraId="4402C5F3" w14:textId="77777777" w:rsidR="001212B1" w:rsidRPr="005B56A5" w:rsidRDefault="001212B1" w:rsidP="001212B1">
      <w:pPr>
        <w:spacing w:line="360" w:lineRule="auto"/>
        <w:ind w:left="567"/>
        <w:jc w:val="left"/>
        <w:rPr>
          <w:rFonts w:ascii="Helvetica" w:hAnsi="Helvetica" w:cs="Helvetica"/>
          <w:szCs w:val="24"/>
          <w:lang w:val="es-CO" w:eastAsia="es-CO"/>
        </w:rPr>
      </w:pPr>
      <w:r w:rsidRPr="005B56A5">
        <w:rPr>
          <w:rFonts w:ascii="Helvetica" w:hAnsi="Helvetica" w:cs="Helvetica"/>
          <w:szCs w:val="24"/>
          <w:lang w:val="es-CO" w:eastAsia="es-CO"/>
        </w:rPr>
        <w:t xml:space="preserve">A partir de lo anterior se plantean las alternativas 2 y 3, las cuales en su orden definen que el refinador bajo cualquier circunstancia (garantía del abastecimiento o no) sea el único que realice importaciones de Jet </w:t>
      </w:r>
      <w:r>
        <w:rPr>
          <w:rFonts w:ascii="Helvetica" w:hAnsi="Helvetica" w:cs="Helvetica"/>
          <w:szCs w:val="24"/>
          <w:lang w:val="es-CO" w:eastAsia="es-CO"/>
        </w:rPr>
        <w:t>o</w:t>
      </w:r>
      <w:r w:rsidRPr="005B56A5">
        <w:rPr>
          <w:rFonts w:ascii="Helvetica" w:hAnsi="Helvetica" w:cs="Helvetica"/>
          <w:szCs w:val="24"/>
          <w:lang w:val="es-CO" w:eastAsia="es-CO"/>
        </w:rPr>
        <w:t xml:space="preserve"> que cualquier agente constituido como agente importador, conforme con lo definido en el Decreto 1073 </w:t>
      </w:r>
      <w:r w:rsidRPr="005B56A5">
        <w:rPr>
          <w:rFonts w:ascii="Helvetica" w:hAnsi="Helvetica" w:cs="Helvetica"/>
          <w:szCs w:val="24"/>
          <w:lang w:val="es-CO" w:eastAsia="es-CO"/>
        </w:rPr>
        <w:lastRenderedPageBreak/>
        <w:t>de 2015 y los decretos que lo modifiquen o sustituyan, pueda realizar la importación del producto y sea remunerado bajo las condiciones de mercado.</w:t>
      </w:r>
    </w:p>
    <w:p w14:paraId="3970C502" w14:textId="77777777" w:rsidR="001212B1" w:rsidRDefault="001212B1" w:rsidP="001212B1">
      <w:pPr>
        <w:spacing w:line="360" w:lineRule="auto"/>
        <w:ind w:left="567"/>
        <w:jc w:val="left"/>
        <w:rPr>
          <w:rFonts w:ascii="Helvetica" w:hAnsi="Helvetica" w:cs="Helvetica"/>
          <w:szCs w:val="24"/>
          <w:lang w:val="es-CO" w:eastAsia="es-CO"/>
        </w:rPr>
      </w:pPr>
    </w:p>
    <w:p w14:paraId="3642AD60" w14:textId="77777777" w:rsidR="001212B1" w:rsidRDefault="001212B1" w:rsidP="001212B1">
      <w:pPr>
        <w:spacing w:line="360" w:lineRule="auto"/>
        <w:ind w:left="567"/>
        <w:jc w:val="left"/>
        <w:rPr>
          <w:rFonts w:ascii="Helvetica" w:hAnsi="Helvetica" w:cs="Helvetica"/>
          <w:szCs w:val="24"/>
          <w:lang w:val="es-CO" w:eastAsia="es-CO"/>
        </w:rPr>
      </w:pPr>
      <w:r w:rsidRPr="005B56A5">
        <w:rPr>
          <w:rFonts w:ascii="Helvetica" w:hAnsi="Helvetica" w:cs="Helvetica"/>
          <w:szCs w:val="24"/>
          <w:lang w:val="es-CO" w:eastAsia="es-CO"/>
        </w:rPr>
        <w:t>La implementación de la alternativa 2 conlleva a un incremento de la posición dominante del refinador en el mercado, siendo este quien hoy cuenta con la experiencia y con la infraestructura para realizar las importaciones de producto. Bajo la alternativa 3 se considera a futuro un potencial riesgo de integración vertical, sin embargo,</w:t>
      </w:r>
      <w:r>
        <w:rPr>
          <w:rFonts w:ascii="Helvetica" w:hAnsi="Helvetica" w:cs="Helvetica"/>
          <w:szCs w:val="24"/>
          <w:lang w:val="es-CO" w:eastAsia="es-CO"/>
        </w:rPr>
        <w:t xml:space="preserve"> </w:t>
      </w:r>
      <w:r w:rsidRPr="005B56A5">
        <w:rPr>
          <w:rFonts w:ascii="Helvetica" w:hAnsi="Helvetica" w:cs="Helvetica"/>
          <w:szCs w:val="24"/>
          <w:lang w:val="es-CO" w:eastAsia="es-CO"/>
        </w:rPr>
        <w:t>se abre claramente la posibilidad de realizar importaciones de este producto a nuevos agentes constituidos como importadores.</w:t>
      </w:r>
    </w:p>
    <w:p w14:paraId="370218F0" w14:textId="77777777" w:rsidR="001212B1" w:rsidRDefault="001212B1" w:rsidP="001212B1">
      <w:pPr>
        <w:pStyle w:val="Default"/>
        <w:spacing w:line="360" w:lineRule="auto"/>
        <w:ind w:left="708"/>
        <w:rPr>
          <w:rFonts w:ascii="Helvetica" w:hAnsi="Helvetica" w:cs="Helvetica"/>
          <w:color w:val="auto"/>
        </w:rPr>
      </w:pPr>
    </w:p>
    <w:p w14:paraId="66837997" w14:textId="76DFA606" w:rsidR="001212B1" w:rsidRPr="006A0E67" w:rsidRDefault="001212B1" w:rsidP="001212B1">
      <w:pPr>
        <w:pStyle w:val="Descripcin"/>
        <w:spacing w:line="360" w:lineRule="auto"/>
        <w:rPr>
          <w:rFonts w:ascii="Helvetica" w:hAnsi="Helvetica" w:cs="Helvetica"/>
          <w:sz w:val="24"/>
          <w:szCs w:val="24"/>
        </w:rPr>
      </w:pPr>
      <w:bookmarkStart w:id="74" w:name="_Toc167459912"/>
      <w:bookmarkStart w:id="75" w:name="_Toc167896864"/>
      <w:r w:rsidRPr="00CA7BCB">
        <w:rPr>
          <w:rFonts w:ascii="Helvetica" w:hAnsi="Helvetica" w:cs="Helvetica"/>
          <w:noProof/>
          <w:sz w:val="24"/>
          <w:szCs w:val="24"/>
        </w:rPr>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24</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6A0E67">
        <w:rPr>
          <w:rFonts w:ascii="Helvetica" w:hAnsi="Helvetica" w:cs="Helvetica"/>
          <w:sz w:val="24"/>
          <w:szCs w:val="24"/>
        </w:rPr>
        <w:t xml:space="preserve">Posibles impactos identificados en las alternativas del problema </w:t>
      </w:r>
      <w:r>
        <w:rPr>
          <w:rFonts w:ascii="Helvetica" w:hAnsi="Helvetica" w:cs="Helvetica"/>
          <w:sz w:val="24"/>
          <w:szCs w:val="24"/>
        </w:rPr>
        <w:t>2</w:t>
      </w:r>
      <w:r w:rsidRPr="006A0E67">
        <w:rPr>
          <w:rFonts w:ascii="Helvetica" w:hAnsi="Helvetica" w:cs="Helvetica"/>
          <w:sz w:val="24"/>
          <w:szCs w:val="24"/>
        </w:rPr>
        <w:t>.</w:t>
      </w:r>
      <w:bookmarkEnd w:id="74"/>
      <w:bookmarkEnd w:id="75"/>
    </w:p>
    <w:p w14:paraId="5CDC7DDB" w14:textId="77777777" w:rsidR="001212B1" w:rsidRPr="006A0E67" w:rsidRDefault="001212B1" w:rsidP="001212B1">
      <w:pPr>
        <w:spacing w:line="360" w:lineRule="auto"/>
        <w:jc w:val="left"/>
        <w:rPr>
          <w:rFonts w:ascii="Helvetica" w:hAnsi="Helvetica" w:cs="Helvetica"/>
          <w:szCs w:val="24"/>
          <w:lang w:val="es-CO"/>
        </w:rPr>
      </w:pPr>
      <w:r w:rsidRPr="006A0E67">
        <w:rPr>
          <w:rFonts w:ascii="Helvetica" w:hAnsi="Helvetica" w:cs="Helvetica"/>
          <w:noProof/>
          <w:szCs w:val="24"/>
          <w:lang w:val="es-CO"/>
        </w:rPr>
        <w:drawing>
          <wp:inline distT="0" distB="0" distL="0" distR="0" wp14:anchorId="109427EF" wp14:editId="1ECCA33D">
            <wp:extent cx="5945953" cy="3575714"/>
            <wp:effectExtent l="0" t="0" r="0" b="5715"/>
            <wp:docPr id="367355442" name="Picture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55442" name="Picture 7" descr="Interfaz de usuario gráfica, Texto, Aplicación&#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8329" cy="3601198"/>
                    </a:xfrm>
                    <a:prstGeom prst="rect">
                      <a:avLst/>
                    </a:prstGeom>
                    <a:noFill/>
                  </pic:spPr>
                </pic:pic>
              </a:graphicData>
            </a:graphic>
          </wp:inline>
        </w:drawing>
      </w:r>
    </w:p>
    <w:p w14:paraId="11D518E5"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3728D6F8" w14:textId="77777777" w:rsidR="001212B1" w:rsidRPr="00F77DFC" w:rsidRDefault="001212B1" w:rsidP="001212B1">
      <w:pPr>
        <w:keepNext/>
        <w:spacing w:line="360" w:lineRule="auto"/>
        <w:jc w:val="left"/>
        <w:rPr>
          <w:rFonts w:ascii="Helvetica" w:hAnsi="Helvetica" w:cs="Helvetica"/>
          <w:szCs w:val="24"/>
        </w:rPr>
      </w:pPr>
      <w:r w:rsidRPr="00F77DFC">
        <w:rPr>
          <w:rFonts w:ascii="Helvetica" w:hAnsi="Helvetica" w:cs="Helvetica"/>
          <w:szCs w:val="24"/>
        </w:rPr>
        <w:t>*Impactos positivos en verde, impactos negativos en rojo.</w:t>
      </w:r>
    </w:p>
    <w:p w14:paraId="34CBB067" w14:textId="77777777" w:rsidR="001212B1" w:rsidRPr="006A0E67" w:rsidRDefault="001212B1" w:rsidP="001212B1">
      <w:pPr>
        <w:spacing w:line="360" w:lineRule="auto"/>
        <w:jc w:val="left"/>
        <w:rPr>
          <w:rFonts w:ascii="Helvetica" w:hAnsi="Helvetica" w:cs="Helvetica"/>
          <w:szCs w:val="24"/>
          <w:lang w:val="es-CO"/>
        </w:rPr>
      </w:pPr>
    </w:p>
    <w:p w14:paraId="053B1DC3" w14:textId="77777777" w:rsidR="001212B1" w:rsidRPr="006A0E67" w:rsidRDefault="001212B1" w:rsidP="001212B1">
      <w:pPr>
        <w:pStyle w:val="Ttulo2"/>
        <w:numPr>
          <w:ilvl w:val="1"/>
          <w:numId w:val="1"/>
        </w:numPr>
        <w:ind w:left="578" w:hanging="578"/>
        <w:jc w:val="left"/>
        <w:rPr>
          <w:rFonts w:ascii="Helvetica" w:hAnsi="Helvetica" w:cs="Helvetica"/>
          <w:lang w:val="es-CO"/>
        </w:rPr>
      </w:pPr>
      <w:r w:rsidRPr="006A0E67">
        <w:rPr>
          <w:rFonts w:ascii="Helvetica" w:hAnsi="Helvetica" w:cs="Helvetica"/>
          <w:lang w:val="es-CO"/>
        </w:rPr>
        <w:lastRenderedPageBreak/>
        <w:t>P</w:t>
      </w:r>
      <w:r>
        <w:rPr>
          <w:rFonts w:ascii="Helvetica" w:hAnsi="Helvetica" w:cs="Helvetica"/>
          <w:lang w:val="es-CO"/>
        </w:rPr>
        <w:t xml:space="preserve">roblema </w:t>
      </w:r>
      <w:r w:rsidRPr="006A0E67">
        <w:rPr>
          <w:rFonts w:ascii="Helvetica" w:hAnsi="Helvetica" w:cs="Helvetica"/>
          <w:lang w:val="es-CO"/>
        </w:rPr>
        <w:t xml:space="preserve">3. </w:t>
      </w:r>
      <w:r w:rsidRPr="005E2708">
        <w:rPr>
          <w:rFonts w:ascii="Helvetica" w:hAnsi="Helvetica" w:cs="Helvetica"/>
          <w:bCs/>
        </w:rPr>
        <w:t>Posible traslado de costos ineficientes del producto importado y de la cadena de valor de importación.</w:t>
      </w:r>
    </w:p>
    <w:p w14:paraId="47F17A1C" w14:textId="6175348A" w:rsidR="001212B1" w:rsidRDefault="001212B1" w:rsidP="001212B1">
      <w:pPr>
        <w:pStyle w:val="Ttulo2"/>
        <w:numPr>
          <w:ilvl w:val="0"/>
          <w:numId w:val="0"/>
        </w:numPr>
        <w:spacing w:line="360" w:lineRule="auto"/>
        <w:ind w:left="576"/>
        <w:jc w:val="left"/>
        <w:rPr>
          <w:rFonts w:ascii="Helvetica" w:hAnsi="Helvetica" w:cs="Helvetica"/>
          <w:b w:val="0"/>
          <w:bCs/>
          <w:lang w:val="es-CO"/>
        </w:rPr>
      </w:pPr>
      <w:r w:rsidRPr="006A0E67">
        <w:rPr>
          <w:rFonts w:ascii="Helvetica" w:hAnsi="Helvetica" w:cs="Helvetica"/>
          <w:b w:val="0"/>
          <w:bCs/>
          <w:lang w:val="es-CO"/>
        </w:rPr>
        <w:t>La primera alternativa plantea continuar con el traslado de costos, y por ende con los posibles impactos identificados en la</w:t>
      </w:r>
      <w:r>
        <w:rPr>
          <w:rFonts w:ascii="Helvetica" w:hAnsi="Helvetica" w:cs="Helvetica"/>
          <w:b w:val="0"/>
          <w:bCs/>
          <w:lang w:val="es-CO"/>
        </w:rPr>
        <w:fldChar w:fldCharType="begin"/>
      </w:r>
      <w:r>
        <w:rPr>
          <w:rFonts w:ascii="Helvetica" w:hAnsi="Helvetica" w:cs="Helvetica"/>
          <w:b w:val="0"/>
          <w:bCs/>
          <w:lang w:val="es-CO"/>
        </w:rPr>
        <w:instrText xml:space="preserve"> REF _Ref146726119 \h </w:instrText>
      </w:r>
      <w:r>
        <w:rPr>
          <w:rFonts w:ascii="Helvetica" w:hAnsi="Helvetica" w:cs="Helvetica"/>
          <w:b w:val="0"/>
          <w:bCs/>
          <w:lang w:val="es-CO"/>
        </w:rPr>
      </w:r>
      <w:r>
        <w:rPr>
          <w:rFonts w:ascii="Helvetica" w:hAnsi="Helvetica" w:cs="Helvetica"/>
          <w:b w:val="0"/>
          <w:bCs/>
          <w:lang w:val="es-CO"/>
        </w:rPr>
        <w:fldChar w:fldCharType="separate"/>
      </w:r>
      <w:r w:rsidR="00874DC3" w:rsidRPr="00EF22E0">
        <w:rPr>
          <w:rFonts w:ascii="Helvetica" w:hAnsi="Helvetica" w:cs="Helvetica"/>
        </w:rPr>
        <w:t xml:space="preserve">Figura </w:t>
      </w:r>
      <w:r w:rsidR="00874DC3">
        <w:rPr>
          <w:rFonts w:ascii="Helvetica" w:hAnsi="Helvetica" w:cs="Helvetica"/>
          <w:noProof/>
        </w:rPr>
        <w:t>6</w:t>
      </w:r>
      <w:r>
        <w:rPr>
          <w:rFonts w:ascii="Helvetica" w:hAnsi="Helvetica" w:cs="Helvetica"/>
          <w:b w:val="0"/>
          <w:bCs/>
          <w:lang w:val="es-CO"/>
        </w:rPr>
        <w:fldChar w:fldCharType="end"/>
      </w:r>
      <w:r w:rsidRPr="006A0E67">
        <w:rPr>
          <w:rFonts w:ascii="Helvetica" w:hAnsi="Helvetica" w:cs="Helvetica"/>
          <w:b w:val="0"/>
          <w:bCs/>
          <w:lang w:val="es-CO"/>
        </w:rPr>
        <w:t xml:space="preserve">, referente a las diferencias </w:t>
      </w:r>
      <w:r>
        <w:rPr>
          <w:rFonts w:ascii="Helvetica" w:hAnsi="Helvetica" w:cs="Helvetica"/>
          <w:b w:val="0"/>
          <w:bCs/>
          <w:lang w:val="es-CO"/>
        </w:rPr>
        <w:t>de</w:t>
      </w:r>
      <w:r w:rsidRPr="006A0E67">
        <w:rPr>
          <w:rFonts w:ascii="Helvetica" w:hAnsi="Helvetica" w:cs="Helvetica"/>
          <w:b w:val="0"/>
          <w:bCs/>
          <w:lang w:val="es-CO"/>
        </w:rPr>
        <w:t xml:space="preserve"> USD$ 1/gal entre el IP nacional y el IP importado.</w:t>
      </w:r>
    </w:p>
    <w:p w14:paraId="15E66DD3" w14:textId="77777777" w:rsidR="001212B1" w:rsidRPr="004977E4" w:rsidRDefault="001212B1" w:rsidP="001212B1">
      <w:pPr>
        <w:pStyle w:val="Ttulo2"/>
        <w:numPr>
          <w:ilvl w:val="0"/>
          <w:numId w:val="0"/>
        </w:numPr>
        <w:spacing w:line="360" w:lineRule="auto"/>
        <w:ind w:left="576"/>
        <w:jc w:val="left"/>
        <w:rPr>
          <w:rFonts w:ascii="Helvetica" w:hAnsi="Helvetica" w:cs="Helvetica"/>
          <w:b w:val="0"/>
          <w:bCs/>
          <w:lang w:val="es-CO"/>
        </w:rPr>
      </w:pPr>
      <w:r>
        <w:rPr>
          <w:rFonts w:ascii="Helvetica" w:hAnsi="Helvetica" w:cs="Helvetica"/>
          <w:b w:val="0"/>
          <w:bCs/>
          <w:lang w:val="es-CO"/>
        </w:rPr>
        <w:t xml:space="preserve">La segunda alternativa corresponde al statu quo, considerando además la obligación al reporte como lo establece la Ley 81 de 1988, con el fin de hacer seguimiento a los costos incurridos en la </w:t>
      </w:r>
      <w:r w:rsidRPr="008A64C5">
        <w:rPr>
          <w:rFonts w:ascii="Helvetica" w:hAnsi="Helvetica" w:cs="Helvetica"/>
          <w:b w:val="0"/>
          <w:bCs/>
          <w:lang w:val="es-CO"/>
        </w:rPr>
        <w:t>importación. Esta alternativa aplicaría a cualquier agente que se constituya como importador</w:t>
      </w:r>
      <w:r>
        <w:rPr>
          <w:rFonts w:ascii="Helvetica" w:hAnsi="Helvetica" w:cs="Helvetica"/>
          <w:b w:val="0"/>
          <w:bCs/>
          <w:lang w:val="es-CO"/>
        </w:rPr>
        <w:t xml:space="preserve"> y que en el mercado no se evidencie una posición dominante.</w:t>
      </w:r>
    </w:p>
    <w:p w14:paraId="440FEF79" w14:textId="77777777" w:rsidR="001212B1" w:rsidRPr="00B02836" w:rsidRDefault="001212B1" w:rsidP="001212B1">
      <w:pPr>
        <w:pStyle w:val="Ttulo2"/>
        <w:numPr>
          <w:ilvl w:val="0"/>
          <w:numId w:val="0"/>
        </w:numPr>
        <w:spacing w:line="360" w:lineRule="auto"/>
        <w:ind w:left="576"/>
        <w:jc w:val="left"/>
        <w:rPr>
          <w:rFonts w:ascii="Helvetica" w:hAnsi="Helvetica" w:cs="Helvetica"/>
          <w:b w:val="0"/>
          <w:bCs/>
          <w:lang w:val="es-CO"/>
        </w:rPr>
      </w:pPr>
      <w:r w:rsidRPr="004977E4">
        <w:rPr>
          <w:rFonts w:ascii="Helvetica" w:hAnsi="Helvetica" w:cs="Helvetica"/>
          <w:b w:val="0"/>
          <w:lang w:val="es-CO"/>
        </w:rPr>
        <w:t>Ahora bien, se plantean las alternativas 3, 4</w:t>
      </w:r>
      <w:r w:rsidRPr="004977E4">
        <w:rPr>
          <w:rFonts w:ascii="Helvetica" w:hAnsi="Helvetica" w:cs="Helvetica"/>
          <w:b w:val="0"/>
          <w:bCs/>
          <w:lang w:val="es-CO"/>
        </w:rPr>
        <w:t>, 5 y 6 que establecen una metodología para la remuneración de los costos</w:t>
      </w:r>
      <w:r w:rsidRPr="006A0E67">
        <w:rPr>
          <w:rFonts w:ascii="Helvetica" w:hAnsi="Helvetica" w:cs="Helvetica"/>
          <w:b w:val="0"/>
          <w:bCs/>
          <w:lang w:val="es-CO"/>
        </w:rPr>
        <w:t xml:space="preserve"> eficientes en los que incurre por dicha actividad</w:t>
      </w:r>
      <w:r>
        <w:rPr>
          <w:rFonts w:ascii="Helvetica" w:hAnsi="Helvetica" w:cs="Helvetica"/>
          <w:b w:val="0"/>
          <w:bCs/>
          <w:lang w:val="es-CO"/>
        </w:rPr>
        <w:t xml:space="preserve"> el actual refinador, que hoy está constituido también como importador</w:t>
      </w:r>
      <w:r w:rsidRPr="006A0E67">
        <w:rPr>
          <w:rFonts w:ascii="Helvetica" w:hAnsi="Helvetica" w:cs="Helvetica"/>
          <w:b w:val="0"/>
          <w:bCs/>
          <w:lang w:val="es-CO"/>
        </w:rPr>
        <w:t>.</w:t>
      </w:r>
      <w:r>
        <w:rPr>
          <w:rFonts w:ascii="Helvetica" w:hAnsi="Helvetica" w:cs="Helvetica"/>
          <w:b w:val="0"/>
          <w:bCs/>
          <w:lang w:val="es-CO"/>
        </w:rPr>
        <w:t xml:space="preserve"> S</w:t>
      </w:r>
      <w:r w:rsidRPr="006C5477">
        <w:rPr>
          <w:rFonts w:ascii="Helvetica" w:hAnsi="Helvetica" w:cs="Helvetica"/>
          <w:b w:val="0"/>
          <w:bCs/>
          <w:lang w:val="es-CO"/>
        </w:rPr>
        <w:t xml:space="preserve">e plantea como alternativa </w:t>
      </w:r>
      <w:r>
        <w:rPr>
          <w:rFonts w:ascii="Helvetica" w:hAnsi="Helvetica" w:cs="Helvetica"/>
          <w:b w:val="0"/>
          <w:bCs/>
          <w:lang w:val="es-CO"/>
        </w:rPr>
        <w:t xml:space="preserve">3 </w:t>
      </w:r>
      <w:r w:rsidRPr="006C5477">
        <w:rPr>
          <w:rFonts w:ascii="Helvetica" w:hAnsi="Helvetica" w:cs="Helvetica"/>
          <w:b w:val="0"/>
          <w:bCs/>
          <w:lang w:val="es-CO"/>
        </w:rPr>
        <w:t>un valor máximo en pesos para la remuneración de esta actividad, teniendo en cuenta las inversiones, costos y gastos AOM. Sin embargo, esta alternativa no reconoce las variaciones del precio internacional, lo cual es fundamental para cubrir el riesgo de llevar a cabo la actividad de importación.</w:t>
      </w:r>
    </w:p>
    <w:p w14:paraId="3262DB29" w14:textId="77777777" w:rsidR="001212B1" w:rsidRPr="006A0E67" w:rsidRDefault="001212B1" w:rsidP="001212B1">
      <w:pPr>
        <w:spacing w:line="360" w:lineRule="auto"/>
        <w:ind w:left="576"/>
        <w:jc w:val="left"/>
        <w:rPr>
          <w:rFonts w:ascii="Helvetica" w:hAnsi="Helvetica" w:cs="Helvetica"/>
          <w:szCs w:val="24"/>
          <w:lang w:val="es-CO"/>
        </w:rPr>
      </w:pPr>
      <w:r w:rsidRPr="006A0E67">
        <w:rPr>
          <w:rFonts w:ascii="Helvetica" w:hAnsi="Helvetica" w:cs="Helvetica"/>
          <w:szCs w:val="24"/>
          <w:lang w:val="es-CO"/>
        </w:rPr>
        <w:t xml:space="preserve">Por otro lado, se plantean las alternativas 4 y 5, que hacen referencia a un precio internacional más un componente adicional, que puede ser un componente fijo o un porcentaje de comercialización que remunere los costos eficientes de realizar dicha actividad. </w:t>
      </w:r>
      <w:r>
        <w:rPr>
          <w:rFonts w:ascii="Helvetica" w:hAnsi="Helvetica" w:cs="Helvetica"/>
          <w:szCs w:val="24"/>
          <w:lang w:val="es-CO"/>
        </w:rPr>
        <w:t xml:space="preserve"> Por último, </w:t>
      </w:r>
      <w:r w:rsidRPr="006A0E67">
        <w:rPr>
          <w:rFonts w:ascii="Helvetica" w:hAnsi="Helvetica" w:cs="Helvetica"/>
          <w:szCs w:val="24"/>
          <w:lang w:val="es-CO"/>
        </w:rPr>
        <w:t>se plantea la alternativa</w:t>
      </w:r>
      <w:r>
        <w:rPr>
          <w:rFonts w:ascii="Helvetica" w:hAnsi="Helvetica" w:cs="Helvetica"/>
          <w:szCs w:val="24"/>
          <w:lang w:val="es-CO"/>
        </w:rPr>
        <w:t xml:space="preserve"> 6</w:t>
      </w:r>
      <w:r w:rsidRPr="006A0E67">
        <w:rPr>
          <w:rFonts w:ascii="Helvetica" w:hAnsi="Helvetica" w:cs="Helvetica"/>
          <w:szCs w:val="24"/>
          <w:lang w:val="es-CO"/>
        </w:rPr>
        <w:t xml:space="preserve"> de paridad importación como metodología para reconocer los costos eficientes. A continuación, se plantean los impactos de las alternativas.</w:t>
      </w:r>
    </w:p>
    <w:p w14:paraId="157E8472" w14:textId="77777777" w:rsidR="001212B1" w:rsidRDefault="001212B1" w:rsidP="001212B1">
      <w:pPr>
        <w:pStyle w:val="Default"/>
        <w:spacing w:line="360" w:lineRule="auto"/>
        <w:ind w:left="708"/>
        <w:rPr>
          <w:rFonts w:ascii="Helvetica" w:hAnsi="Helvetica" w:cs="Helvetica"/>
          <w:color w:val="auto"/>
        </w:rPr>
      </w:pPr>
    </w:p>
    <w:p w14:paraId="31ABC702" w14:textId="59F9EC70" w:rsidR="001212B1" w:rsidRPr="006A0E67" w:rsidRDefault="001212B1" w:rsidP="001212B1">
      <w:pPr>
        <w:pStyle w:val="Descripcin"/>
        <w:spacing w:line="360" w:lineRule="auto"/>
        <w:rPr>
          <w:rFonts w:ascii="Helvetica" w:hAnsi="Helvetica" w:cs="Helvetica"/>
          <w:sz w:val="24"/>
          <w:szCs w:val="24"/>
        </w:rPr>
      </w:pPr>
      <w:bookmarkStart w:id="76" w:name="_Toc167459913"/>
      <w:bookmarkStart w:id="77" w:name="_Toc167896865"/>
      <w:r w:rsidRPr="00CA7BCB">
        <w:rPr>
          <w:rFonts w:ascii="Helvetica" w:hAnsi="Helvetica" w:cs="Helvetica"/>
          <w:noProof/>
          <w:sz w:val="24"/>
          <w:szCs w:val="24"/>
        </w:rPr>
        <w:lastRenderedPageBreak/>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25</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6A0E67">
        <w:rPr>
          <w:rFonts w:ascii="Helvetica" w:hAnsi="Helvetica" w:cs="Helvetica"/>
          <w:sz w:val="24"/>
          <w:szCs w:val="24"/>
        </w:rPr>
        <w:t xml:space="preserve">Posibles impactos identificados en las alternativas del problema </w:t>
      </w:r>
      <w:r>
        <w:rPr>
          <w:rFonts w:ascii="Helvetica" w:hAnsi="Helvetica" w:cs="Helvetica"/>
          <w:sz w:val="24"/>
          <w:szCs w:val="24"/>
        </w:rPr>
        <w:t>3</w:t>
      </w:r>
      <w:r w:rsidRPr="006A0E67">
        <w:rPr>
          <w:rFonts w:ascii="Helvetica" w:hAnsi="Helvetica" w:cs="Helvetica"/>
          <w:sz w:val="24"/>
          <w:szCs w:val="24"/>
        </w:rPr>
        <w:t>.</w:t>
      </w:r>
      <w:bookmarkEnd w:id="76"/>
      <w:bookmarkEnd w:id="77"/>
    </w:p>
    <w:p w14:paraId="25FE570B" w14:textId="77777777" w:rsidR="001212B1" w:rsidRPr="006A0E67" w:rsidRDefault="001212B1" w:rsidP="001212B1">
      <w:pPr>
        <w:pStyle w:val="Descripcin"/>
        <w:spacing w:line="360" w:lineRule="auto"/>
        <w:rPr>
          <w:rFonts w:ascii="Helvetica" w:hAnsi="Helvetica" w:cs="Helvetica"/>
          <w:sz w:val="24"/>
          <w:szCs w:val="24"/>
          <w:lang w:val="es-CO"/>
        </w:rPr>
      </w:pPr>
      <w:r w:rsidRPr="006A0E67">
        <w:rPr>
          <w:rFonts w:ascii="Helvetica" w:hAnsi="Helvetica" w:cs="Helvetica"/>
          <w:noProof/>
          <w:sz w:val="24"/>
          <w:szCs w:val="24"/>
          <w:lang w:val="es-CO"/>
        </w:rPr>
        <w:drawing>
          <wp:inline distT="0" distB="0" distL="0" distR="0" wp14:anchorId="2B9F2378" wp14:editId="4A1AF1D5">
            <wp:extent cx="5917963" cy="2755882"/>
            <wp:effectExtent l="0" t="0" r="6985" b="6985"/>
            <wp:docPr id="141947648" name="Picture 14194764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7648" name="Picture 141947648" descr="Imagen que contiene Escala de tiempo&#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6478" cy="2764504"/>
                    </a:xfrm>
                    <a:prstGeom prst="rect">
                      <a:avLst/>
                    </a:prstGeom>
                    <a:noFill/>
                  </pic:spPr>
                </pic:pic>
              </a:graphicData>
            </a:graphic>
          </wp:inline>
        </w:drawing>
      </w:r>
    </w:p>
    <w:p w14:paraId="295E0721"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1744576E" w14:textId="77777777" w:rsidR="001212B1" w:rsidRPr="00F77DFC" w:rsidRDefault="001212B1" w:rsidP="001212B1">
      <w:pPr>
        <w:keepNext/>
        <w:spacing w:line="360" w:lineRule="auto"/>
        <w:jc w:val="left"/>
        <w:rPr>
          <w:rFonts w:ascii="Helvetica" w:hAnsi="Helvetica" w:cs="Helvetica"/>
          <w:szCs w:val="24"/>
        </w:rPr>
      </w:pPr>
      <w:r w:rsidRPr="00F77DFC">
        <w:rPr>
          <w:rFonts w:ascii="Helvetica" w:hAnsi="Helvetica" w:cs="Helvetica"/>
          <w:szCs w:val="24"/>
        </w:rPr>
        <w:t>*Impactos positivos en verde, impactos negativos en rojo.</w:t>
      </w:r>
    </w:p>
    <w:p w14:paraId="33DAD3A7" w14:textId="77777777" w:rsidR="001212B1" w:rsidRPr="006A0E67" w:rsidRDefault="001212B1" w:rsidP="001212B1">
      <w:pPr>
        <w:spacing w:line="360" w:lineRule="auto"/>
        <w:jc w:val="left"/>
        <w:rPr>
          <w:rFonts w:ascii="Helvetica" w:hAnsi="Helvetica" w:cs="Helvetica"/>
          <w:szCs w:val="24"/>
          <w:lang w:val="es-CO"/>
        </w:rPr>
      </w:pPr>
    </w:p>
    <w:p w14:paraId="6CF68C73" w14:textId="77777777" w:rsidR="001212B1" w:rsidRPr="003D63CC" w:rsidRDefault="001212B1" w:rsidP="001212B1">
      <w:pPr>
        <w:pStyle w:val="Ttulo2"/>
        <w:numPr>
          <w:ilvl w:val="1"/>
          <w:numId w:val="1"/>
        </w:numPr>
        <w:ind w:left="578" w:hanging="578"/>
        <w:rPr>
          <w:rFonts w:ascii="Helvetica" w:hAnsi="Helvetica" w:cs="Helvetica"/>
          <w:lang w:val="es-CO"/>
        </w:rPr>
      </w:pPr>
      <w:r w:rsidRPr="00F77DFC">
        <w:rPr>
          <w:rFonts w:ascii="Helvetica" w:hAnsi="Helvetica" w:cs="Helvetica"/>
          <w:lang w:val="es-CO"/>
        </w:rPr>
        <w:t xml:space="preserve">Problema 4. </w:t>
      </w:r>
      <w:r w:rsidRPr="00DD3FC5">
        <w:rPr>
          <w:rFonts w:ascii="Helvetica" w:hAnsi="Helvetica" w:cs="Helvetica"/>
          <w:lang w:val="es-CO"/>
        </w:rPr>
        <w:t xml:space="preserve">Posible asimetría de información entre agentes y frente al regulador (oferta – costos trasladados del producto importado) </w:t>
      </w:r>
    </w:p>
    <w:p w14:paraId="49770F5D" w14:textId="77777777" w:rsidR="001212B1" w:rsidRPr="00F77DFC" w:rsidRDefault="001212B1" w:rsidP="001212B1">
      <w:pPr>
        <w:jc w:val="left"/>
        <w:rPr>
          <w:rFonts w:ascii="Helvetica" w:hAnsi="Helvetica" w:cs="Helvetica"/>
          <w:szCs w:val="24"/>
          <w:lang w:val="es-CO"/>
        </w:rPr>
      </w:pPr>
    </w:p>
    <w:p w14:paraId="779538BA" w14:textId="77777777" w:rsidR="001212B1" w:rsidRDefault="001212B1" w:rsidP="001212B1">
      <w:pPr>
        <w:spacing w:line="360" w:lineRule="auto"/>
        <w:ind w:left="567"/>
        <w:jc w:val="left"/>
        <w:rPr>
          <w:rFonts w:ascii="Helvetica" w:hAnsi="Helvetica" w:cs="Helvetica"/>
          <w:szCs w:val="24"/>
        </w:rPr>
      </w:pPr>
      <w:r w:rsidRPr="008E7E18">
        <w:rPr>
          <w:rFonts w:ascii="Helvetica" w:hAnsi="Helvetica" w:cs="Helvetica"/>
          <w:szCs w:val="24"/>
          <w:lang w:val="es-CO"/>
        </w:rPr>
        <w:t xml:space="preserve">Como ya se mencionó en el contexto, actualmente </w:t>
      </w:r>
      <w:r w:rsidRPr="008E7E18">
        <w:rPr>
          <w:rFonts w:ascii="Helvetica" w:hAnsi="Helvetica" w:cs="Helvetica"/>
          <w:szCs w:val="24"/>
        </w:rPr>
        <w:t>el distribuidor mayorista no conoce la oferta proyectada del refinador más allá de 3 meses, siendo solo el primer mes la oferta real. Tampoco existe la obligación de reporte o publicación de esta información por un mayor periodo de tiempo, lo que no permite hacer una adecuada planeación del sector por parte de los agentes que intervienen.</w:t>
      </w:r>
      <w:r>
        <w:rPr>
          <w:rFonts w:ascii="Helvetica" w:hAnsi="Helvetica" w:cs="Helvetica"/>
          <w:szCs w:val="24"/>
        </w:rPr>
        <w:t xml:space="preserve"> </w:t>
      </w:r>
      <w:r w:rsidRPr="000D1FC1">
        <w:rPr>
          <w:rFonts w:ascii="Helvetica" w:hAnsi="Helvetica" w:cs="Helvetica"/>
          <w:szCs w:val="24"/>
        </w:rPr>
        <w:t>Así mismo, no existen en la regulación señales de transparencia en los costos del producto importado ni de los costos asociados a la importación.</w:t>
      </w:r>
    </w:p>
    <w:p w14:paraId="32AE1E86" w14:textId="77777777" w:rsidR="001212B1" w:rsidRDefault="001212B1" w:rsidP="001212B1">
      <w:pPr>
        <w:spacing w:line="360" w:lineRule="auto"/>
        <w:ind w:left="567"/>
        <w:jc w:val="left"/>
        <w:rPr>
          <w:rFonts w:ascii="Helvetica" w:hAnsi="Helvetica" w:cs="Helvetica"/>
          <w:szCs w:val="24"/>
        </w:rPr>
      </w:pPr>
    </w:p>
    <w:p w14:paraId="5CD5C455" w14:textId="77777777" w:rsidR="001212B1" w:rsidRPr="00847399" w:rsidRDefault="001212B1" w:rsidP="001212B1">
      <w:pPr>
        <w:spacing w:line="360" w:lineRule="auto"/>
        <w:ind w:left="567"/>
        <w:jc w:val="left"/>
        <w:rPr>
          <w:rFonts w:ascii="Helvetica" w:hAnsi="Helvetica" w:cs="Helvetica"/>
          <w:szCs w:val="24"/>
        </w:rPr>
      </w:pPr>
      <w:r w:rsidRPr="000D1FC1">
        <w:rPr>
          <w:rFonts w:ascii="Helvetica" w:hAnsi="Helvetica" w:cs="Helvetica"/>
          <w:szCs w:val="24"/>
        </w:rPr>
        <w:t xml:space="preserve">Bajo </w:t>
      </w:r>
      <w:r>
        <w:rPr>
          <w:rFonts w:ascii="Helvetica" w:hAnsi="Helvetica" w:cs="Helvetica"/>
          <w:szCs w:val="24"/>
        </w:rPr>
        <w:t xml:space="preserve">la primera </w:t>
      </w:r>
      <w:r w:rsidRPr="000D1FC1">
        <w:rPr>
          <w:rFonts w:ascii="Helvetica" w:hAnsi="Helvetica" w:cs="Helvetica"/>
          <w:szCs w:val="24"/>
        </w:rPr>
        <w:t>alternativa se plantea mantener esta situación sin que se promueva algún mecanismo de reporte de información que permita a los distribuidores mayoristas conocer la oferta de Jet a más largo plazo y los costos en los que incurre el refinador cuando realiza importaciones de Jet</w:t>
      </w:r>
      <w:r>
        <w:rPr>
          <w:rFonts w:ascii="Helvetica" w:hAnsi="Helvetica" w:cs="Helvetica"/>
          <w:szCs w:val="24"/>
        </w:rPr>
        <w:t xml:space="preserve">. Esta alternativa no brinda elementos facilitadores de la </w:t>
      </w:r>
      <w:r w:rsidRPr="00DF77A5">
        <w:rPr>
          <w:rFonts w:ascii="Helvetica" w:hAnsi="Helvetica" w:cs="Helvetica"/>
          <w:szCs w:val="24"/>
          <w:lang w:val="es-CO"/>
        </w:rPr>
        <w:t>planeación</w:t>
      </w:r>
      <w:r>
        <w:rPr>
          <w:rFonts w:ascii="Helvetica" w:hAnsi="Helvetica" w:cs="Helvetica"/>
          <w:szCs w:val="24"/>
          <w:lang w:val="es-CO"/>
        </w:rPr>
        <w:t xml:space="preserve"> a mediano o largo </w:t>
      </w:r>
      <w:r>
        <w:rPr>
          <w:rFonts w:ascii="Helvetica" w:hAnsi="Helvetica" w:cs="Helvetica"/>
          <w:szCs w:val="24"/>
          <w:lang w:val="es-CO"/>
        </w:rPr>
        <w:lastRenderedPageBreak/>
        <w:t xml:space="preserve">plazo del mercado de Jet y se </w:t>
      </w:r>
      <w:r w:rsidRPr="00DF77A5">
        <w:rPr>
          <w:rFonts w:ascii="Helvetica" w:hAnsi="Helvetica" w:cs="Helvetica"/>
          <w:szCs w:val="24"/>
          <w:lang w:val="es-CO"/>
        </w:rPr>
        <w:t>mantienen</w:t>
      </w:r>
      <w:r>
        <w:rPr>
          <w:rFonts w:ascii="Helvetica" w:hAnsi="Helvetica" w:cs="Helvetica"/>
          <w:szCs w:val="24"/>
          <w:lang w:val="es-CO"/>
        </w:rPr>
        <w:t xml:space="preserve"> las</w:t>
      </w:r>
      <w:r w:rsidRPr="00DF77A5">
        <w:rPr>
          <w:rFonts w:ascii="Helvetica" w:hAnsi="Helvetica" w:cs="Helvetica"/>
          <w:szCs w:val="24"/>
          <w:lang w:val="es-CO"/>
        </w:rPr>
        <w:t xml:space="preserve"> posibles ineficiencias en </w:t>
      </w:r>
      <w:r>
        <w:rPr>
          <w:rFonts w:ascii="Helvetica" w:hAnsi="Helvetica" w:cs="Helvetica"/>
          <w:szCs w:val="24"/>
          <w:lang w:val="es-CO"/>
        </w:rPr>
        <w:t xml:space="preserve">los </w:t>
      </w:r>
      <w:r w:rsidRPr="00DF77A5">
        <w:rPr>
          <w:rFonts w:ascii="Helvetica" w:hAnsi="Helvetica" w:cs="Helvetica"/>
          <w:szCs w:val="24"/>
          <w:lang w:val="es-CO"/>
        </w:rPr>
        <w:t>costo</w:t>
      </w:r>
      <w:r>
        <w:rPr>
          <w:rFonts w:ascii="Helvetica" w:hAnsi="Helvetica" w:cs="Helvetica"/>
          <w:szCs w:val="24"/>
          <w:lang w:val="es-CO"/>
        </w:rPr>
        <w:t>s</w:t>
      </w:r>
      <w:r w:rsidRPr="00DF77A5">
        <w:rPr>
          <w:rFonts w:ascii="Helvetica" w:hAnsi="Helvetica" w:cs="Helvetica"/>
          <w:szCs w:val="24"/>
          <w:lang w:val="es-CO"/>
        </w:rPr>
        <w:t xml:space="preserve"> de importación.</w:t>
      </w:r>
    </w:p>
    <w:p w14:paraId="0FD9DFED" w14:textId="77777777" w:rsidR="001212B1" w:rsidRDefault="001212B1" w:rsidP="001212B1">
      <w:pPr>
        <w:spacing w:line="360" w:lineRule="auto"/>
        <w:jc w:val="left"/>
        <w:rPr>
          <w:rFonts w:ascii="Helvetica" w:hAnsi="Helvetica" w:cs="Helvetica"/>
          <w:szCs w:val="24"/>
        </w:rPr>
      </w:pPr>
    </w:p>
    <w:p w14:paraId="347041EB" w14:textId="77777777" w:rsidR="001212B1" w:rsidRDefault="001212B1" w:rsidP="001212B1">
      <w:pPr>
        <w:spacing w:line="360" w:lineRule="auto"/>
        <w:ind w:left="567"/>
        <w:jc w:val="left"/>
        <w:rPr>
          <w:rFonts w:ascii="Helvetica" w:hAnsi="Helvetica" w:cs="Helvetica"/>
          <w:szCs w:val="24"/>
          <w:lang w:val="es-CO"/>
        </w:rPr>
      </w:pPr>
      <w:r>
        <w:rPr>
          <w:rFonts w:ascii="Helvetica" w:hAnsi="Helvetica" w:cs="Helvetica"/>
          <w:szCs w:val="24"/>
        </w:rPr>
        <w:t>La definición de</w:t>
      </w:r>
      <w:r w:rsidRPr="00B15C80">
        <w:rPr>
          <w:rFonts w:ascii="Helvetica" w:hAnsi="Helvetica" w:cs="Helvetica"/>
          <w:szCs w:val="24"/>
          <w:lang w:val="es-CO"/>
        </w:rPr>
        <w:t xml:space="preserve"> reglas generales de comportamiento de los agentes de la cadena de distribución de combustibles líquidos</w:t>
      </w:r>
      <w:r>
        <w:rPr>
          <w:rFonts w:ascii="Helvetica" w:hAnsi="Helvetica" w:cs="Helvetica"/>
          <w:szCs w:val="24"/>
          <w:lang w:val="es-CO"/>
        </w:rPr>
        <w:t xml:space="preserve">, como alternativa 2, </w:t>
      </w:r>
      <w:r w:rsidRPr="007A40DD">
        <w:rPr>
          <w:rFonts w:ascii="Helvetica" w:hAnsi="Helvetica" w:cs="Helvetica"/>
          <w:szCs w:val="24"/>
          <w:lang w:val="es-CO"/>
        </w:rPr>
        <w:t xml:space="preserve">invita a la autorregulación vigilada como una alternativa de regulación de los agentes. </w:t>
      </w:r>
      <w:r w:rsidRPr="00036495">
        <w:rPr>
          <w:rFonts w:ascii="Helvetica" w:hAnsi="Helvetica" w:cs="Helvetica"/>
          <w:szCs w:val="24"/>
          <w:lang w:val="es-CO"/>
        </w:rPr>
        <w:t>Las necesidades actuales del sector se traducen en una búsqueda de una regulación adaptativa, que posibilite el crecimiento natural del mercado y permita la adopción de nuevas dinámicas y tecnologías para el reporte de información, sin socavar la eficiencia, ni el bienestar de los usuarios.</w:t>
      </w:r>
      <w:r>
        <w:rPr>
          <w:rFonts w:ascii="Helvetica" w:hAnsi="Helvetica" w:cs="Helvetica"/>
          <w:szCs w:val="24"/>
          <w:lang w:val="es-CO"/>
        </w:rPr>
        <w:t xml:space="preserve"> Esta alternativa requiere de una curva de aprendizaje de los agentes, sin que ello sea negativo.</w:t>
      </w:r>
    </w:p>
    <w:p w14:paraId="519D9E66" w14:textId="77777777" w:rsidR="001212B1" w:rsidRDefault="001212B1" w:rsidP="001212B1">
      <w:pPr>
        <w:spacing w:line="360" w:lineRule="auto"/>
        <w:jc w:val="left"/>
        <w:rPr>
          <w:rFonts w:ascii="Helvetica" w:hAnsi="Helvetica" w:cs="Helvetica"/>
          <w:szCs w:val="24"/>
          <w:lang w:val="es-CO"/>
        </w:rPr>
      </w:pPr>
    </w:p>
    <w:p w14:paraId="26D29A94" w14:textId="77777777" w:rsidR="001212B1" w:rsidRDefault="001212B1" w:rsidP="001212B1">
      <w:pPr>
        <w:spacing w:line="360" w:lineRule="auto"/>
        <w:ind w:left="567"/>
        <w:jc w:val="left"/>
        <w:rPr>
          <w:rFonts w:ascii="Helvetica" w:hAnsi="Helvetica" w:cs="Helvetica"/>
          <w:szCs w:val="24"/>
          <w:lang w:val="es-CO"/>
        </w:rPr>
      </w:pPr>
      <w:r>
        <w:rPr>
          <w:rFonts w:ascii="Helvetica" w:hAnsi="Helvetica" w:cs="Helvetica"/>
          <w:szCs w:val="24"/>
          <w:lang w:val="es-CO"/>
        </w:rPr>
        <w:t>La alternativa 3 facilita la planeación de los agentes pues provee más información a los agentes de la cadena de distribución del producto, para ello la Comisión determinará el mecanismo mediante el cual el refinador deberá poner en conocimiento de los agentes interesados información sobre la oferta nacional e importada de Jet para un número de meses y la discriminación de los costos del producto importado.</w:t>
      </w:r>
    </w:p>
    <w:p w14:paraId="7880EC57" w14:textId="77777777" w:rsidR="001212B1" w:rsidRDefault="001212B1" w:rsidP="001212B1">
      <w:pPr>
        <w:spacing w:line="360" w:lineRule="auto"/>
        <w:ind w:left="567"/>
        <w:jc w:val="left"/>
        <w:rPr>
          <w:rFonts w:ascii="Helvetica" w:hAnsi="Helvetica" w:cs="Helvetica"/>
          <w:szCs w:val="24"/>
          <w:lang w:val="es-CO"/>
        </w:rPr>
      </w:pPr>
    </w:p>
    <w:p w14:paraId="04F7B7E0" w14:textId="77777777" w:rsidR="001212B1" w:rsidRPr="00955C59" w:rsidRDefault="001212B1" w:rsidP="001212B1">
      <w:pPr>
        <w:spacing w:line="360" w:lineRule="auto"/>
        <w:ind w:left="567"/>
        <w:jc w:val="left"/>
        <w:rPr>
          <w:rFonts w:ascii="Helvetica" w:hAnsi="Helvetica" w:cs="Helvetica"/>
          <w:szCs w:val="24"/>
          <w:lang w:val="es-CO"/>
        </w:rPr>
      </w:pPr>
      <w:r>
        <w:rPr>
          <w:rFonts w:ascii="Helvetica" w:hAnsi="Helvetica" w:cs="Helvetica"/>
          <w:szCs w:val="24"/>
          <w:lang w:val="es-CO"/>
        </w:rPr>
        <w:t>Por último, se plantea</w:t>
      </w:r>
      <w:r w:rsidRPr="000A1B72">
        <w:rPr>
          <w:rFonts w:ascii="Helvetica" w:hAnsi="Helvetica" w:cs="Helvetica"/>
          <w:szCs w:val="24"/>
          <w:lang w:val="es-CO"/>
        </w:rPr>
        <w:t xml:space="preserve"> la definición de un mecanismo de comercialización de combustible de aviación para motores tipo turbina (Jet)</w:t>
      </w:r>
      <w:r>
        <w:rPr>
          <w:rFonts w:ascii="Helvetica" w:hAnsi="Helvetica" w:cs="Helvetica"/>
          <w:szCs w:val="24"/>
          <w:lang w:val="es-CO"/>
        </w:rPr>
        <w:t xml:space="preserve"> mediante el cual el regulador deberá definir las reglas para identificación de necesidades de importación, asignación, etc.; buscando abastecer la demanda nacional a un mínimo costo. Esta alternativa brinda reglas definidas desde la regulación y no desde el agente con posición dominante, pero conlleva a </w:t>
      </w:r>
      <w:r w:rsidRPr="00955C59">
        <w:rPr>
          <w:rFonts w:ascii="Helvetica" w:hAnsi="Helvetica" w:cs="Helvetica"/>
          <w:szCs w:val="24"/>
          <w:lang w:val="es-ES"/>
        </w:rPr>
        <w:t>posibles cambios estructurales en el esquema actual de comercialización</w:t>
      </w:r>
      <w:r>
        <w:rPr>
          <w:rFonts w:ascii="Helvetica" w:hAnsi="Helvetica" w:cs="Helvetica"/>
          <w:szCs w:val="24"/>
          <w:lang w:val="es-ES"/>
        </w:rPr>
        <w:t xml:space="preserve"> lo que podría traducirse en costos de implementación de la alternativa.</w:t>
      </w:r>
    </w:p>
    <w:p w14:paraId="2E55C001" w14:textId="77777777" w:rsidR="001212B1" w:rsidRDefault="001212B1" w:rsidP="001212B1">
      <w:pPr>
        <w:spacing w:line="360" w:lineRule="auto"/>
        <w:jc w:val="left"/>
        <w:rPr>
          <w:rFonts w:ascii="Helvetica" w:hAnsi="Helvetica" w:cs="Helvetica"/>
          <w:szCs w:val="24"/>
          <w:lang w:val="es-CO"/>
        </w:rPr>
      </w:pPr>
    </w:p>
    <w:p w14:paraId="2AB39F9C" w14:textId="610DD341" w:rsidR="001212B1" w:rsidRPr="00F77DFC" w:rsidRDefault="001212B1" w:rsidP="001212B1">
      <w:pPr>
        <w:pStyle w:val="Descripcin"/>
        <w:rPr>
          <w:rFonts w:ascii="Helvetica" w:hAnsi="Helvetica" w:cs="Helvetica"/>
          <w:sz w:val="24"/>
          <w:szCs w:val="24"/>
        </w:rPr>
      </w:pPr>
      <w:bookmarkStart w:id="78" w:name="_Toc167459914"/>
      <w:bookmarkStart w:id="79" w:name="_Toc167896866"/>
      <w:r w:rsidRPr="00CA7BCB">
        <w:rPr>
          <w:rFonts w:ascii="Helvetica" w:hAnsi="Helvetica" w:cs="Helvetica"/>
          <w:noProof/>
          <w:sz w:val="24"/>
          <w:szCs w:val="24"/>
        </w:rPr>
        <w:lastRenderedPageBreak/>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26</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F77DFC">
        <w:rPr>
          <w:rFonts w:ascii="Helvetica" w:hAnsi="Helvetica" w:cs="Helvetica"/>
          <w:sz w:val="24"/>
          <w:szCs w:val="24"/>
        </w:rPr>
        <w:t>Posibles impactos identificados en las alternativas del problema 4.</w:t>
      </w:r>
      <w:bookmarkEnd w:id="78"/>
      <w:bookmarkEnd w:id="79"/>
    </w:p>
    <w:p w14:paraId="47FEF4D2" w14:textId="77777777" w:rsidR="001212B1" w:rsidRPr="00A21D94" w:rsidRDefault="001212B1" w:rsidP="001212B1">
      <w:pPr>
        <w:pStyle w:val="Descripcin"/>
        <w:spacing w:line="360" w:lineRule="auto"/>
        <w:rPr>
          <w:rFonts w:ascii="Helvetica" w:hAnsi="Helvetica" w:cs="Helvetica"/>
          <w:szCs w:val="24"/>
        </w:rPr>
      </w:pPr>
    </w:p>
    <w:p w14:paraId="1B02EB44" w14:textId="77777777" w:rsidR="001212B1" w:rsidRPr="00F77DFC" w:rsidRDefault="001212B1" w:rsidP="001212B1">
      <w:pPr>
        <w:ind w:left="567" w:hanging="567"/>
        <w:jc w:val="center"/>
        <w:rPr>
          <w:rFonts w:ascii="Helvetica" w:hAnsi="Helvetica" w:cs="Helvetica"/>
          <w:szCs w:val="24"/>
          <w:lang w:val="es-CO"/>
        </w:rPr>
      </w:pPr>
      <w:r w:rsidRPr="00F77DFC">
        <w:rPr>
          <w:rFonts w:ascii="Helvetica" w:hAnsi="Helvetica" w:cs="Helvetica"/>
          <w:noProof/>
          <w:szCs w:val="24"/>
          <w:lang w:val="es-CO"/>
        </w:rPr>
        <w:drawing>
          <wp:inline distT="0" distB="0" distL="0" distR="0" wp14:anchorId="5E995F75" wp14:editId="3CEFF527">
            <wp:extent cx="5918400" cy="2880000"/>
            <wp:effectExtent l="0" t="0" r="6350" b="0"/>
            <wp:docPr id="6" name="Picture 6" descr="Diagrama,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a, Texto&#10;&#10;Descripción generada automáticamente"/>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18400" cy="2880000"/>
                    </a:xfrm>
                    <a:prstGeom prst="rect">
                      <a:avLst/>
                    </a:prstGeom>
                    <a:noFill/>
                  </pic:spPr>
                </pic:pic>
              </a:graphicData>
            </a:graphic>
          </wp:inline>
        </w:drawing>
      </w:r>
    </w:p>
    <w:p w14:paraId="5A085469"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0C9B2FA4" w14:textId="77777777" w:rsidR="001212B1" w:rsidRPr="00F77DFC" w:rsidRDefault="001212B1" w:rsidP="001212B1">
      <w:pPr>
        <w:keepNext/>
        <w:spacing w:line="360" w:lineRule="auto"/>
        <w:jc w:val="left"/>
        <w:rPr>
          <w:rFonts w:ascii="Helvetica" w:hAnsi="Helvetica" w:cs="Helvetica"/>
          <w:szCs w:val="24"/>
        </w:rPr>
      </w:pPr>
      <w:r w:rsidRPr="00F77DFC">
        <w:rPr>
          <w:rFonts w:ascii="Helvetica" w:hAnsi="Helvetica" w:cs="Helvetica"/>
          <w:szCs w:val="24"/>
        </w:rPr>
        <w:t>*Impactos positivos en verde, impactos negativos en rojo.</w:t>
      </w:r>
    </w:p>
    <w:p w14:paraId="387F64D8" w14:textId="77777777" w:rsidR="001212B1" w:rsidRPr="00F77DFC" w:rsidRDefault="001212B1" w:rsidP="001212B1">
      <w:pPr>
        <w:jc w:val="left"/>
        <w:rPr>
          <w:rFonts w:ascii="Helvetica" w:hAnsi="Helvetica" w:cs="Helvetica"/>
          <w:szCs w:val="24"/>
          <w:lang w:val="es-CO"/>
        </w:rPr>
      </w:pPr>
    </w:p>
    <w:p w14:paraId="0A4C8A23" w14:textId="77777777" w:rsidR="001212B1" w:rsidRPr="00F77DFC" w:rsidRDefault="001212B1" w:rsidP="001212B1">
      <w:pPr>
        <w:jc w:val="left"/>
        <w:rPr>
          <w:rFonts w:ascii="Helvetica" w:hAnsi="Helvetica" w:cs="Helvetica"/>
          <w:szCs w:val="24"/>
          <w:highlight w:val="magenta"/>
          <w:lang w:val="es-CO"/>
        </w:rPr>
      </w:pPr>
    </w:p>
    <w:p w14:paraId="355C281F" w14:textId="77777777" w:rsidR="001212B1" w:rsidRPr="001473DB" w:rsidRDefault="001212B1" w:rsidP="001212B1">
      <w:pPr>
        <w:pStyle w:val="Ttulo2"/>
        <w:numPr>
          <w:ilvl w:val="1"/>
          <w:numId w:val="1"/>
        </w:numPr>
        <w:ind w:left="578" w:hanging="578"/>
        <w:rPr>
          <w:rFonts w:ascii="Helvetica" w:hAnsi="Helvetica" w:cs="Helvetica"/>
          <w:lang w:val="es-CO"/>
        </w:rPr>
      </w:pPr>
      <w:r w:rsidRPr="006A0E67">
        <w:rPr>
          <w:rFonts w:ascii="Helvetica" w:hAnsi="Helvetica" w:cs="Helvetica"/>
          <w:lang w:val="es-CO"/>
        </w:rPr>
        <w:t>P</w:t>
      </w:r>
      <w:r>
        <w:rPr>
          <w:rFonts w:ascii="Helvetica" w:hAnsi="Helvetica" w:cs="Helvetica"/>
          <w:lang w:val="es-CO"/>
        </w:rPr>
        <w:t xml:space="preserve">roblema </w:t>
      </w:r>
      <w:r w:rsidRPr="006A0E67">
        <w:rPr>
          <w:rFonts w:ascii="Helvetica" w:hAnsi="Helvetica" w:cs="Helvetica"/>
          <w:lang w:val="es-CO"/>
        </w:rPr>
        <w:t xml:space="preserve">5. </w:t>
      </w:r>
      <w:r w:rsidRPr="001473DB">
        <w:rPr>
          <w:rFonts w:ascii="Helvetica" w:hAnsi="Helvetica" w:cs="Helvetica"/>
        </w:rPr>
        <w:t xml:space="preserve">Ante el desconocimiento de la dinámica de mercado en la distribución mayorista y minorista, </w:t>
      </w:r>
      <w:r w:rsidRPr="001473DB">
        <w:rPr>
          <w:rFonts w:ascii="Helvetica" w:hAnsi="Helvetica" w:cs="Helvetica"/>
          <w:lang w:val="es-CO"/>
        </w:rPr>
        <w:t>posiblemente el régimen de precios no es el adecuado.</w:t>
      </w:r>
    </w:p>
    <w:p w14:paraId="2B7C0B13" w14:textId="77777777" w:rsidR="001212B1" w:rsidRPr="006A0E67" w:rsidRDefault="001212B1" w:rsidP="001212B1">
      <w:pPr>
        <w:spacing w:line="360" w:lineRule="auto"/>
        <w:ind w:left="576"/>
        <w:jc w:val="left"/>
        <w:rPr>
          <w:rFonts w:ascii="Helvetica" w:hAnsi="Helvetica" w:cs="Helvetica"/>
          <w:szCs w:val="24"/>
          <w:lang w:val="es-CO"/>
        </w:rPr>
      </w:pPr>
      <w:r w:rsidRPr="006A0E67">
        <w:rPr>
          <w:rFonts w:ascii="Helvetica" w:hAnsi="Helvetica" w:cs="Helvetica"/>
          <w:szCs w:val="24"/>
          <w:lang w:val="es-CO"/>
        </w:rPr>
        <w:t>Actualmente para el eslabón mayorista aplica la libertad vigilada, sin obligación de reporte, y sin un análisis de competencia previo para la asignación de dicho régimen. Por lo tanto, actualmente en mercados con una hipotética baja dinámica de competencia, el potencial impacto es que se pueda presentar una extracción de rentas por la falta de competencia y el posible abuso de posición dominante. Por el contrario, si se asigna una libertad regulada o control directo en un mercado con alta dinámica de competencia, se puede presentar, por ejemplo, un posible margen máximo, una distorsión del precio competitivo.</w:t>
      </w:r>
    </w:p>
    <w:p w14:paraId="50C19B43" w14:textId="77777777" w:rsidR="001212B1" w:rsidRPr="006A0E67" w:rsidRDefault="001212B1" w:rsidP="001212B1">
      <w:pPr>
        <w:spacing w:line="360" w:lineRule="auto"/>
        <w:ind w:left="576"/>
        <w:jc w:val="left"/>
        <w:rPr>
          <w:rFonts w:ascii="Helvetica" w:hAnsi="Helvetica" w:cs="Helvetica"/>
          <w:szCs w:val="24"/>
          <w:lang w:val="es-CO"/>
        </w:rPr>
      </w:pPr>
    </w:p>
    <w:p w14:paraId="2E6E3E7F" w14:textId="77777777" w:rsidR="001212B1" w:rsidRPr="006A0E67" w:rsidRDefault="001212B1" w:rsidP="001212B1">
      <w:pPr>
        <w:spacing w:line="360" w:lineRule="auto"/>
        <w:ind w:left="576"/>
        <w:jc w:val="left"/>
        <w:rPr>
          <w:rFonts w:ascii="Helvetica" w:hAnsi="Helvetica" w:cs="Helvetica"/>
          <w:szCs w:val="24"/>
          <w:lang w:val="es-CO"/>
        </w:rPr>
      </w:pPr>
      <w:r w:rsidRPr="006A0E67">
        <w:rPr>
          <w:rFonts w:ascii="Helvetica" w:hAnsi="Helvetica" w:cs="Helvetica"/>
          <w:szCs w:val="24"/>
          <w:lang w:val="es-CO"/>
        </w:rPr>
        <w:t xml:space="preserve">De igual forma, el impacto ideal es que cuando haya una alta dinámica de competencia, se asigne una libertad vigilada para permitir que, por la competencia, se llegue a precios eficientes. </w:t>
      </w:r>
    </w:p>
    <w:p w14:paraId="566049DB" w14:textId="77777777" w:rsidR="001212B1" w:rsidRPr="006A0E67" w:rsidRDefault="001212B1" w:rsidP="001212B1">
      <w:pPr>
        <w:spacing w:line="360" w:lineRule="auto"/>
        <w:ind w:left="576"/>
        <w:jc w:val="left"/>
        <w:rPr>
          <w:rFonts w:ascii="Helvetica" w:hAnsi="Helvetica" w:cs="Helvetica"/>
          <w:szCs w:val="24"/>
          <w:lang w:val="es-CO"/>
        </w:rPr>
      </w:pPr>
      <w:r w:rsidRPr="006A0E67">
        <w:rPr>
          <w:rFonts w:ascii="Helvetica" w:hAnsi="Helvetica" w:cs="Helvetica"/>
          <w:szCs w:val="24"/>
          <w:lang w:val="es-CO"/>
        </w:rPr>
        <w:lastRenderedPageBreak/>
        <w:t xml:space="preserve">Por otro lado, en la baja dinámica de competencia se busca un precio regulado máximo que no permita el abuso de posición dominante, pero que además remunere la actividad eficiente de los agentes. </w:t>
      </w:r>
    </w:p>
    <w:p w14:paraId="46FE277B" w14:textId="77777777" w:rsidR="001212B1" w:rsidRPr="006A0E67" w:rsidRDefault="001212B1" w:rsidP="001212B1">
      <w:pPr>
        <w:spacing w:line="360" w:lineRule="auto"/>
        <w:ind w:left="576"/>
        <w:jc w:val="left"/>
        <w:rPr>
          <w:rFonts w:ascii="Helvetica" w:hAnsi="Helvetica" w:cs="Helvetica"/>
          <w:szCs w:val="24"/>
          <w:lang w:val="es-CO"/>
        </w:rPr>
      </w:pPr>
    </w:p>
    <w:p w14:paraId="1F3D7A1E" w14:textId="69E3B40F" w:rsidR="001212B1" w:rsidRPr="006A0E67" w:rsidRDefault="001212B1" w:rsidP="001212B1">
      <w:pPr>
        <w:pStyle w:val="Descripcin"/>
        <w:spacing w:line="360" w:lineRule="auto"/>
        <w:rPr>
          <w:rFonts w:ascii="Helvetica" w:hAnsi="Helvetica" w:cs="Helvetica"/>
          <w:sz w:val="24"/>
          <w:szCs w:val="24"/>
        </w:rPr>
      </w:pPr>
      <w:bookmarkStart w:id="80" w:name="_Toc167459915"/>
      <w:bookmarkStart w:id="81" w:name="_Toc167896867"/>
      <w:r w:rsidRPr="00CA7BCB">
        <w:rPr>
          <w:rFonts w:ascii="Helvetica" w:hAnsi="Helvetica" w:cs="Helvetica"/>
          <w:noProof/>
          <w:sz w:val="24"/>
          <w:szCs w:val="24"/>
        </w:rPr>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27</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6A0E67">
        <w:rPr>
          <w:rFonts w:ascii="Helvetica" w:hAnsi="Helvetica" w:cs="Helvetica"/>
          <w:sz w:val="24"/>
          <w:szCs w:val="24"/>
        </w:rPr>
        <w:t xml:space="preserve">Posibles </w:t>
      </w:r>
      <w:r>
        <w:rPr>
          <w:rFonts w:ascii="Helvetica" w:hAnsi="Helvetica" w:cs="Helvetica"/>
          <w:sz w:val="24"/>
          <w:szCs w:val="24"/>
        </w:rPr>
        <w:t>impactos del régimen frente a la dinámica de mercado</w:t>
      </w:r>
      <w:r w:rsidRPr="006A0E67">
        <w:rPr>
          <w:rFonts w:ascii="Helvetica" w:hAnsi="Helvetica" w:cs="Helvetica"/>
          <w:sz w:val="24"/>
          <w:szCs w:val="24"/>
        </w:rPr>
        <w:t>.</w:t>
      </w:r>
      <w:bookmarkEnd w:id="80"/>
      <w:bookmarkEnd w:id="81"/>
    </w:p>
    <w:p w14:paraId="1482A1F9" w14:textId="77777777" w:rsidR="001212B1" w:rsidRPr="006A0E67" w:rsidRDefault="001212B1" w:rsidP="001212B1">
      <w:pPr>
        <w:spacing w:line="360" w:lineRule="auto"/>
        <w:ind w:left="576"/>
        <w:jc w:val="left"/>
        <w:rPr>
          <w:rFonts w:ascii="Helvetica" w:hAnsi="Helvetica" w:cs="Helvetica"/>
          <w:szCs w:val="24"/>
          <w:lang w:val="es-CO"/>
        </w:rPr>
      </w:pPr>
      <w:r w:rsidRPr="006A0E67">
        <w:rPr>
          <w:rFonts w:ascii="Helvetica" w:hAnsi="Helvetica" w:cs="Helvetica"/>
          <w:noProof/>
          <w:szCs w:val="24"/>
          <w:lang w:val="es-CO"/>
        </w:rPr>
        <w:drawing>
          <wp:inline distT="0" distB="0" distL="0" distR="0" wp14:anchorId="5C9CB75A" wp14:editId="0332DDE7">
            <wp:extent cx="5606799" cy="1158640"/>
            <wp:effectExtent l="0" t="0" r="0" b="3810"/>
            <wp:docPr id="865829031" name="Picture 86582903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29031" name="Picture 865829031" descr="Interfaz de usuario gráfica, Texto, Aplicación, Chat o mensaje de texto&#10;&#10;Descripción generada automá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4181" cy="1168431"/>
                    </a:xfrm>
                    <a:prstGeom prst="rect">
                      <a:avLst/>
                    </a:prstGeom>
                    <a:noFill/>
                  </pic:spPr>
                </pic:pic>
              </a:graphicData>
            </a:graphic>
          </wp:inline>
        </w:drawing>
      </w:r>
    </w:p>
    <w:p w14:paraId="728C9576"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164EBF10" w14:textId="77777777" w:rsidR="001212B1" w:rsidRPr="00F77DFC" w:rsidRDefault="001212B1" w:rsidP="001212B1">
      <w:pPr>
        <w:keepNext/>
        <w:spacing w:line="360" w:lineRule="auto"/>
        <w:jc w:val="left"/>
        <w:rPr>
          <w:rFonts w:ascii="Helvetica" w:hAnsi="Helvetica" w:cs="Helvetica"/>
          <w:szCs w:val="24"/>
        </w:rPr>
      </w:pPr>
      <w:r w:rsidRPr="00F77DFC">
        <w:rPr>
          <w:rFonts w:ascii="Helvetica" w:hAnsi="Helvetica" w:cs="Helvetica"/>
          <w:szCs w:val="24"/>
        </w:rPr>
        <w:t>*Impactos positivos en verde, impactos negativos en rojo.</w:t>
      </w:r>
    </w:p>
    <w:p w14:paraId="66049191" w14:textId="77777777" w:rsidR="001212B1" w:rsidRPr="006A0E67" w:rsidRDefault="001212B1" w:rsidP="001212B1">
      <w:pPr>
        <w:spacing w:line="360" w:lineRule="auto"/>
        <w:jc w:val="left"/>
        <w:rPr>
          <w:rFonts w:ascii="Helvetica" w:hAnsi="Helvetica" w:cs="Helvetica"/>
          <w:szCs w:val="24"/>
          <w:lang w:val="es-CO"/>
        </w:rPr>
      </w:pPr>
    </w:p>
    <w:p w14:paraId="58514FD3" w14:textId="77777777" w:rsidR="001212B1" w:rsidRDefault="001212B1" w:rsidP="001212B1">
      <w:pPr>
        <w:spacing w:line="360" w:lineRule="auto"/>
        <w:ind w:left="284"/>
        <w:jc w:val="left"/>
        <w:rPr>
          <w:rFonts w:ascii="Helvetica" w:hAnsi="Helvetica" w:cs="Helvetica"/>
        </w:rPr>
      </w:pPr>
      <w:r w:rsidRPr="006A0E67">
        <w:rPr>
          <w:rFonts w:ascii="Helvetica" w:hAnsi="Helvetica" w:cs="Helvetica"/>
          <w:szCs w:val="24"/>
          <w:lang w:val="es-CO"/>
        </w:rPr>
        <w:t>Por lo tanto, para reducir el riesgo de los posibles impactos no deseados, se recomienda la alternativa 2 que consiste en realizar en análisis de competencia. A continuación, se plantean los posibles impactos de las alternativas planteadas.</w:t>
      </w:r>
    </w:p>
    <w:p w14:paraId="42703DED" w14:textId="14F09D95" w:rsidR="001212B1" w:rsidRDefault="001212B1" w:rsidP="001212B1">
      <w:pPr>
        <w:pStyle w:val="Descripcin"/>
        <w:spacing w:line="360" w:lineRule="auto"/>
        <w:rPr>
          <w:rFonts w:ascii="Helvetica" w:hAnsi="Helvetica" w:cs="Helvetica"/>
          <w:sz w:val="24"/>
          <w:szCs w:val="24"/>
        </w:rPr>
      </w:pPr>
      <w:bookmarkStart w:id="82" w:name="_Toc167459916"/>
      <w:bookmarkStart w:id="83" w:name="_Toc167896868"/>
      <w:r w:rsidRPr="00CA7BCB">
        <w:rPr>
          <w:rFonts w:ascii="Helvetica" w:hAnsi="Helvetica" w:cs="Helvetica"/>
          <w:noProof/>
          <w:sz w:val="24"/>
          <w:szCs w:val="24"/>
        </w:rPr>
        <w:lastRenderedPageBreak/>
        <w:t xml:space="preserve">Figura </w:t>
      </w:r>
      <w:r w:rsidRPr="00CA7BCB">
        <w:rPr>
          <w:rFonts w:ascii="Helvetica" w:hAnsi="Helvetica" w:cs="Helvetica"/>
          <w:noProof/>
          <w:sz w:val="24"/>
          <w:szCs w:val="24"/>
        </w:rPr>
        <w:fldChar w:fldCharType="begin"/>
      </w:r>
      <w:r w:rsidRPr="00D421E8">
        <w:rPr>
          <w:rFonts w:ascii="Helvetica" w:hAnsi="Helvetica" w:cs="Helvetica"/>
          <w:noProof/>
          <w:sz w:val="24"/>
          <w:szCs w:val="24"/>
        </w:rPr>
        <w:instrText xml:space="preserve"> SEQ Figura \* ARABIC </w:instrText>
      </w:r>
      <w:r w:rsidRPr="00CA7BCB">
        <w:rPr>
          <w:rFonts w:ascii="Helvetica" w:hAnsi="Helvetica" w:cs="Helvetica"/>
          <w:noProof/>
          <w:sz w:val="24"/>
          <w:szCs w:val="24"/>
        </w:rPr>
        <w:fldChar w:fldCharType="separate"/>
      </w:r>
      <w:r w:rsidR="00874DC3">
        <w:rPr>
          <w:rFonts w:ascii="Helvetica" w:hAnsi="Helvetica" w:cs="Helvetica"/>
          <w:noProof/>
          <w:sz w:val="24"/>
          <w:szCs w:val="24"/>
        </w:rPr>
        <w:t>28</w:t>
      </w:r>
      <w:r w:rsidRPr="00CA7BCB">
        <w:rPr>
          <w:rFonts w:ascii="Helvetica" w:hAnsi="Helvetica" w:cs="Helvetica"/>
          <w:noProof/>
          <w:sz w:val="24"/>
          <w:szCs w:val="24"/>
        </w:rPr>
        <w:fldChar w:fldCharType="end"/>
      </w:r>
      <w:r w:rsidRPr="00CA7BCB">
        <w:rPr>
          <w:rFonts w:ascii="Helvetica" w:hAnsi="Helvetica" w:cs="Helvetica"/>
          <w:noProof/>
          <w:sz w:val="24"/>
          <w:szCs w:val="24"/>
        </w:rPr>
        <w:t xml:space="preserve">. </w:t>
      </w:r>
      <w:r w:rsidRPr="006A0E67">
        <w:rPr>
          <w:rFonts w:ascii="Helvetica" w:hAnsi="Helvetica" w:cs="Helvetica"/>
          <w:sz w:val="24"/>
          <w:szCs w:val="24"/>
        </w:rPr>
        <w:t xml:space="preserve">Posibles impactos identificados en las alternativas del problema </w:t>
      </w:r>
      <w:r>
        <w:rPr>
          <w:rFonts w:ascii="Helvetica" w:hAnsi="Helvetica" w:cs="Helvetica"/>
          <w:sz w:val="24"/>
          <w:szCs w:val="24"/>
        </w:rPr>
        <w:t>5</w:t>
      </w:r>
      <w:r w:rsidRPr="006A0E67">
        <w:rPr>
          <w:rFonts w:ascii="Helvetica" w:hAnsi="Helvetica" w:cs="Helvetica"/>
          <w:sz w:val="24"/>
          <w:szCs w:val="24"/>
        </w:rPr>
        <w:t>.</w:t>
      </w:r>
      <w:bookmarkEnd w:id="82"/>
      <w:bookmarkEnd w:id="83"/>
    </w:p>
    <w:p w14:paraId="670472A1" w14:textId="77777777" w:rsidR="001212B1" w:rsidRPr="001F5252" w:rsidRDefault="001212B1" w:rsidP="001212B1">
      <w:r>
        <w:rPr>
          <w:noProof/>
        </w:rPr>
        <w:drawing>
          <wp:inline distT="0" distB="0" distL="0" distR="0" wp14:anchorId="5177911A" wp14:editId="73067666">
            <wp:extent cx="5626100" cy="4298273"/>
            <wp:effectExtent l="0" t="0" r="0" b="7620"/>
            <wp:docPr id="7442934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7161" cy="4322003"/>
                    </a:xfrm>
                    <a:prstGeom prst="rect">
                      <a:avLst/>
                    </a:prstGeom>
                    <a:noFill/>
                  </pic:spPr>
                </pic:pic>
              </a:graphicData>
            </a:graphic>
          </wp:inline>
        </w:drawing>
      </w:r>
    </w:p>
    <w:p w14:paraId="30AE79E8" w14:textId="77777777" w:rsidR="001212B1" w:rsidRPr="006A0E67" w:rsidRDefault="001212B1" w:rsidP="001212B1">
      <w:pPr>
        <w:spacing w:line="360" w:lineRule="auto"/>
        <w:ind w:left="284"/>
        <w:jc w:val="left"/>
        <w:rPr>
          <w:rFonts w:ascii="Helvetica" w:hAnsi="Helvetica" w:cs="Helvetica"/>
          <w:szCs w:val="24"/>
          <w:lang w:val="es-CO"/>
        </w:rPr>
      </w:pPr>
    </w:p>
    <w:p w14:paraId="308796F1" w14:textId="77777777" w:rsidR="001212B1" w:rsidRPr="00F77DFC" w:rsidRDefault="001212B1" w:rsidP="001212B1">
      <w:pPr>
        <w:spacing w:line="360" w:lineRule="auto"/>
        <w:jc w:val="left"/>
        <w:rPr>
          <w:rFonts w:ascii="Helvetica" w:hAnsi="Helvetica" w:cs="Helvetica"/>
          <w:szCs w:val="24"/>
          <w:lang w:val="es-CO"/>
        </w:rPr>
      </w:pPr>
      <w:r w:rsidRPr="00F77DFC">
        <w:rPr>
          <w:rFonts w:ascii="Helvetica" w:hAnsi="Helvetica" w:cs="Helvetica"/>
          <w:szCs w:val="24"/>
        </w:rPr>
        <w:t>Fuente: CREG.</w:t>
      </w:r>
    </w:p>
    <w:p w14:paraId="5CB67756" w14:textId="77777777" w:rsidR="001212B1" w:rsidRPr="00F77DFC" w:rsidRDefault="001212B1" w:rsidP="001212B1">
      <w:pPr>
        <w:keepNext/>
        <w:spacing w:line="360" w:lineRule="auto"/>
        <w:jc w:val="left"/>
        <w:rPr>
          <w:rFonts w:ascii="Helvetica" w:hAnsi="Helvetica" w:cs="Helvetica"/>
          <w:szCs w:val="24"/>
        </w:rPr>
      </w:pPr>
      <w:r w:rsidRPr="00F77DFC">
        <w:rPr>
          <w:rFonts w:ascii="Helvetica" w:hAnsi="Helvetica" w:cs="Helvetica"/>
          <w:szCs w:val="24"/>
        </w:rPr>
        <w:t>*Impactos positivos en verde, impactos negativos en rojo.</w:t>
      </w:r>
    </w:p>
    <w:p w14:paraId="5F0D0BA3" w14:textId="77777777" w:rsidR="001212B1" w:rsidRPr="00505F2B" w:rsidRDefault="001212B1" w:rsidP="001212B1">
      <w:pPr>
        <w:spacing w:line="360" w:lineRule="auto"/>
        <w:rPr>
          <w:rFonts w:ascii="Helvetica" w:hAnsi="Helvetica" w:cs="Helvetica"/>
          <w:szCs w:val="24"/>
        </w:rPr>
      </w:pPr>
    </w:p>
    <w:p w14:paraId="0E5D121A" w14:textId="77777777" w:rsidR="00E7209B" w:rsidRDefault="00E7209B" w:rsidP="001212B1"/>
    <w:sectPr w:rsidR="00E7209B" w:rsidSect="00DD7346">
      <w:headerReference w:type="default" r:id="rId62"/>
      <w:footerReference w:type="default" r:id="rId63"/>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EA4BE" w14:textId="77777777" w:rsidR="00490029" w:rsidRDefault="00490029">
      <w:r>
        <w:separator/>
      </w:r>
    </w:p>
  </w:endnote>
  <w:endnote w:type="continuationSeparator" w:id="0">
    <w:p w14:paraId="6F9A61DA" w14:textId="77777777" w:rsidR="00490029" w:rsidRDefault="00490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egrita">
    <w:panose1 w:val="020B0704020202020204"/>
    <w:charset w:val="00"/>
    <w:family w:val="swiss"/>
    <w:notTrueTyp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AFF" w:usb1="5000785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01602" w14:textId="77777777" w:rsidR="001212B1" w:rsidRDefault="001212B1" w:rsidP="00897339">
    <w:pPr>
      <w:pBdr>
        <w:bottom w:val="single" w:sz="12" w:space="1" w:color="auto"/>
      </w:pBdr>
      <w:spacing w:line="276" w:lineRule="auto"/>
      <w:rPr>
        <w:rFonts w:ascii="Helvetica" w:hAnsi="Helvetica"/>
        <w:b/>
        <w:bCs/>
        <w:sz w:val="20"/>
      </w:rPr>
    </w:pPr>
  </w:p>
  <w:p w14:paraId="06C904CD" w14:textId="77777777" w:rsidR="001212B1" w:rsidRDefault="001212B1" w:rsidP="00897339">
    <w:pPr>
      <w:spacing w:line="276" w:lineRule="auto"/>
      <w:rPr>
        <w:rFonts w:ascii="Helvetica" w:hAnsi="Helvetica"/>
        <w:b/>
        <w:bCs/>
        <w:sz w:val="20"/>
      </w:rPr>
    </w:pPr>
  </w:p>
  <w:p w14:paraId="68C9D72E" w14:textId="77777777" w:rsidR="001212B1" w:rsidRPr="000774A9" w:rsidRDefault="001212B1" w:rsidP="00897339">
    <w:pPr>
      <w:spacing w:line="276" w:lineRule="auto"/>
      <w:rPr>
        <w:rFonts w:ascii="Helvetica" w:hAnsi="Helvetica"/>
        <w:b/>
        <w:bCs/>
        <w:sz w:val="20"/>
      </w:rPr>
    </w:pPr>
    <w:r w:rsidRPr="000774A9">
      <w:rPr>
        <w:rFonts w:ascii="Helvetica" w:hAnsi="Helvetica"/>
        <w:b/>
        <w:bCs/>
        <w:sz w:val="20"/>
      </w:rPr>
      <w:t>Comisión de Regulación de Energía y Gas</w:t>
    </w:r>
  </w:p>
  <w:p w14:paraId="2250EE15" w14:textId="77777777" w:rsidR="001212B1" w:rsidRPr="000774A9" w:rsidRDefault="001212B1" w:rsidP="00897339">
    <w:pPr>
      <w:spacing w:line="276" w:lineRule="auto"/>
      <w:rPr>
        <w:rFonts w:ascii="Helvetica" w:hAnsi="Helvetica"/>
        <w:b/>
        <w:bCs/>
        <w:sz w:val="20"/>
      </w:rPr>
    </w:pPr>
    <w:r w:rsidRPr="000774A9">
      <w:rPr>
        <w:rFonts w:ascii="Helvetica" w:hAnsi="Helvetica"/>
        <w:b/>
        <w:bCs/>
        <w:sz w:val="20"/>
      </w:rPr>
      <w:t>Dirección: Calle 116 No.7 - 15, Bogotá D.C., Colombia</w:t>
    </w:r>
  </w:p>
  <w:p w14:paraId="15CA6476" w14:textId="77777777" w:rsidR="001212B1" w:rsidRPr="000774A9" w:rsidRDefault="001212B1" w:rsidP="00897339">
    <w:pPr>
      <w:spacing w:line="276" w:lineRule="auto"/>
      <w:rPr>
        <w:rFonts w:ascii="Helvetica" w:hAnsi="Helvetica"/>
        <w:b/>
        <w:bCs/>
        <w:sz w:val="20"/>
      </w:rPr>
    </w:pPr>
    <w:r w:rsidRPr="000774A9">
      <w:rPr>
        <w:rFonts w:ascii="Helvetica" w:hAnsi="Helvetica"/>
        <w:b/>
        <w:bCs/>
        <w:sz w:val="20"/>
      </w:rPr>
      <w:t>Conmutador: (+57) 601 603 2020</w:t>
    </w:r>
  </w:p>
  <w:p w14:paraId="107CCBA0" w14:textId="77777777" w:rsidR="001212B1" w:rsidRPr="00256928" w:rsidRDefault="001212B1" w:rsidP="00897339">
    <w:pPr>
      <w:spacing w:line="276" w:lineRule="auto"/>
      <w:rPr>
        <w:rFonts w:ascii="Helvetica" w:hAnsi="Helvetica"/>
        <w:sz w:val="20"/>
      </w:rPr>
    </w:pPr>
    <w:r w:rsidRPr="000774A9">
      <w:rPr>
        <w:rFonts w:ascii="Helvetica" w:hAnsi="Helvetica"/>
        <w:b/>
        <w:bCs/>
        <w:sz w:val="20"/>
      </w:rPr>
      <w:t>Línea Gratuita: (+57) 01 8000 512734</w:t>
    </w:r>
  </w:p>
  <w:p w14:paraId="1E9C7AEA" w14:textId="77777777" w:rsidR="001212B1" w:rsidRDefault="001212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5"/>
      <w:gridCol w:w="3135"/>
      <w:gridCol w:w="3135"/>
    </w:tblGrid>
    <w:tr w:rsidR="001212B1" w14:paraId="5E43ED74" w14:textId="77777777" w:rsidTr="0EEE2C46">
      <w:tc>
        <w:tcPr>
          <w:tcW w:w="3135" w:type="dxa"/>
        </w:tcPr>
        <w:p w14:paraId="3EE68BAA" w14:textId="77777777" w:rsidR="001212B1" w:rsidRDefault="001212B1" w:rsidP="0EEE2C46">
          <w:pPr>
            <w:pStyle w:val="Encabezado"/>
            <w:ind w:left="-115"/>
            <w:jc w:val="left"/>
            <w:rPr>
              <w:szCs w:val="24"/>
            </w:rPr>
          </w:pPr>
        </w:p>
      </w:tc>
      <w:tc>
        <w:tcPr>
          <w:tcW w:w="3135" w:type="dxa"/>
        </w:tcPr>
        <w:p w14:paraId="2D88D2F9" w14:textId="77777777" w:rsidR="001212B1" w:rsidRDefault="001212B1" w:rsidP="0EEE2C46">
          <w:pPr>
            <w:pStyle w:val="Encabezado"/>
            <w:jc w:val="center"/>
            <w:rPr>
              <w:szCs w:val="24"/>
            </w:rPr>
          </w:pPr>
        </w:p>
      </w:tc>
      <w:tc>
        <w:tcPr>
          <w:tcW w:w="3135" w:type="dxa"/>
        </w:tcPr>
        <w:p w14:paraId="7512689B" w14:textId="77777777" w:rsidR="001212B1" w:rsidRDefault="001212B1" w:rsidP="0EEE2C46">
          <w:pPr>
            <w:pStyle w:val="Encabezado"/>
            <w:ind w:right="-115"/>
            <w:jc w:val="right"/>
            <w:rPr>
              <w:szCs w:val="24"/>
            </w:rPr>
          </w:pPr>
        </w:p>
      </w:tc>
    </w:tr>
  </w:tbl>
  <w:p w14:paraId="6EF971C0" w14:textId="77777777" w:rsidR="001212B1" w:rsidRDefault="001212B1" w:rsidP="0EEE2C46">
    <w:pPr>
      <w:pStyle w:val="Piedepgina"/>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FC4E1" w14:textId="62D2D263" w:rsidR="001700C2" w:rsidRDefault="00DB64FB" w:rsidP="0077100C">
    <w:pPr>
      <w:pStyle w:val="Piedepgina"/>
      <w:rPr>
        <w:b/>
        <w:sz w:val="16"/>
        <w:lang w:val="es-CO"/>
      </w:rPr>
    </w:pPr>
    <w:r w:rsidRPr="00DB64FB">
      <w:rPr>
        <w:sz w:val="16"/>
        <w:lang w:val="es-CO"/>
      </w:rPr>
      <w:t>D- 904 004 DE 2024 - REVISIÓN DE LOS COMPONENTES DE LA ESTRUCTURA DE PRECIOS DEL COMBUSTIBLE DE AVIACIÓN JET-A1, SEGÚN LO ESTABLECIDO EN EL ARTÍCULO 116 DE LA LEY 1450 DE 2011</w:t>
    </w: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r w:rsidRPr="00456730">
            <w:rPr>
              <w:rFonts w:cs="Arial"/>
              <w:b/>
              <w:iCs/>
              <w:sz w:val="14"/>
            </w:rPr>
            <w:t>DOCUMENTO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40BF4" w14:textId="77777777" w:rsidR="00490029" w:rsidRDefault="00490029">
      <w:r>
        <w:separator/>
      </w:r>
    </w:p>
  </w:footnote>
  <w:footnote w:type="continuationSeparator" w:id="0">
    <w:p w14:paraId="20AF7B0B" w14:textId="77777777" w:rsidR="00490029" w:rsidRDefault="00490029">
      <w:r>
        <w:continuationSeparator/>
      </w:r>
    </w:p>
  </w:footnote>
  <w:footnote w:id="1">
    <w:p w14:paraId="59F923BC" w14:textId="77777777" w:rsidR="001212B1" w:rsidRPr="00E97053" w:rsidRDefault="001212B1" w:rsidP="001212B1">
      <w:pPr>
        <w:pStyle w:val="Textonotapie"/>
      </w:pPr>
      <w:r>
        <w:rPr>
          <w:rStyle w:val="Refdenotaalpie"/>
        </w:rPr>
        <w:footnoteRef/>
      </w:r>
      <w:r>
        <w:t xml:space="preserve"> Artículo 210 Ley 1753 de 2015. “…</w:t>
      </w:r>
      <w:r w:rsidRPr="00D1377F">
        <w:t>El Sicom será la única fuente de información oficial a la cual deben dirigirse todas las autoridades administrativas de cualquier orden que requieran de información de los agentes de la cadena de distribución de combustibles en el país.</w:t>
      </w:r>
      <w:r>
        <w:t>”</w:t>
      </w:r>
    </w:p>
  </w:footnote>
  <w:footnote w:id="2">
    <w:p w14:paraId="45DCC6BA" w14:textId="77777777" w:rsidR="001212B1" w:rsidRPr="00F77023" w:rsidRDefault="001212B1" w:rsidP="001212B1">
      <w:pPr>
        <w:pStyle w:val="Textonotapie"/>
        <w:rPr>
          <w:lang w:val="es-ES"/>
        </w:rPr>
      </w:pPr>
      <w:r>
        <w:rPr>
          <w:rStyle w:val="Refdenotaalpie"/>
        </w:rPr>
        <w:footnoteRef/>
      </w:r>
      <w:r>
        <w:t xml:space="preserve"> Compilado en el artículo </w:t>
      </w:r>
      <w:r w:rsidRPr="00F77023">
        <w:t>2.2.1.1.2.2.3.104</w:t>
      </w:r>
      <w:r>
        <w:t xml:space="preserve"> del Decreto 1073 de 2015</w:t>
      </w:r>
    </w:p>
  </w:footnote>
  <w:footnote w:id="3">
    <w:p w14:paraId="41C0A8D5" w14:textId="77777777" w:rsidR="001212B1" w:rsidRPr="00F77023" w:rsidRDefault="001212B1" w:rsidP="001212B1">
      <w:pPr>
        <w:pStyle w:val="Textonotapie"/>
        <w:rPr>
          <w:lang w:val="es-ES"/>
        </w:rPr>
      </w:pPr>
      <w:r>
        <w:rPr>
          <w:rStyle w:val="Refdenotaalpie"/>
        </w:rPr>
        <w:footnoteRef/>
      </w:r>
      <w:r>
        <w:t xml:space="preserve"> Compilado en el artículo </w:t>
      </w:r>
      <w:r w:rsidRPr="00F77023">
        <w:t>2.2.1.1.2.2.3.104</w:t>
      </w:r>
      <w:r>
        <w:t xml:space="preserve"> del Decreto 1073 de 2015</w:t>
      </w:r>
    </w:p>
  </w:footnote>
  <w:footnote w:id="4">
    <w:p w14:paraId="1719D65D" w14:textId="77777777" w:rsidR="001212B1" w:rsidRPr="0035792D" w:rsidRDefault="001212B1" w:rsidP="001212B1">
      <w:pPr>
        <w:pStyle w:val="Textonotapie"/>
        <w:rPr>
          <w:lang w:val="es-ES"/>
        </w:rPr>
      </w:pPr>
      <w:r>
        <w:rPr>
          <w:rStyle w:val="Refdenotaalpie"/>
        </w:rPr>
        <w:footnoteRef/>
      </w:r>
      <w:r>
        <w:t xml:space="preserve"> </w:t>
      </w:r>
      <w:r w:rsidRPr="0035792D">
        <w:rPr>
          <w:rFonts w:cs="Arial"/>
          <w:color w:val="000000"/>
        </w:rPr>
        <w:t>Por la cual se expide el Plan Nacional de Desarrollo, 2010-2014</w:t>
      </w:r>
    </w:p>
  </w:footnote>
  <w:footnote w:id="5">
    <w:p w14:paraId="55415F3D" w14:textId="77777777" w:rsidR="001212B1" w:rsidRPr="00EA5C03" w:rsidRDefault="001212B1" w:rsidP="001212B1">
      <w:pPr>
        <w:pStyle w:val="Textonotapie"/>
        <w:rPr>
          <w:lang w:val="es-ES"/>
        </w:rPr>
      </w:pPr>
      <w:r>
        <w:rPr>
          <w:rStyle w:val="Refdenotaalpie"/>
        </w:rPr>
        <w:footnoteRef/>
      </w:r>
      <w:r>
        <w:t xml:space="preserve"> P</w:t>
      </w:r>
      <w:r w:rsidRPr="00EA5C03">
        <w:t>or el cual se expide el Plan Nacional de Desarrollo 2022-2026 “Colombia Potencia Mundial de la Vida”.</w:t>
      </w:r>
    </w:p>
  </w:footnote>
  <w:footnote w:id="6">
    <w:p w14:paraId="47EF7C81" w14:textId="77777777" w:rsidR="001212B1" w:rsidRPr="00641232" w:rsidRDefault="001212B1" w:rsidP="001212B1">
      <w:pPr>
        <w:pStyle w:val="Textonotapie"/>
      </w:pPr>
      <w:r>
        <w:rPr>
          <w:rStyle w:val="Refdenotaalpie"/>
        </w:rPr>
        <w:footnoteRef/>
      </w:r>
      <w:r w:rsidRPr="00B47448">
        <w:t>https://www.minenergia.gov.co/documents/11177/RESOLUCI%C3%93N-definitivo_calidad_combustibles_de_aviaci%C3%B3n-Publicar_a_comentarios.pdf</w:t>
      </w:r>
    </w:p>
  </w:footnote>
  <w:footnote w:id="7">
    <w:p w14:paraId="4988366E" w14:textId="77777777" w:rsidR="001212B1" w:rsidRPr="0076197F" w:rsidRDefault="001212B1" w:rsidP="001212B1">
      <w:pPr>
        <w:pStyle w:val="Textonotapie"/>
        <w:rPr>
          <w:lang w:val="es-ES"/>
        </w:rPr>
      </w:pPr>
      <w:r>
        <w:rPr>
          <w:rStyle w:val="Refdenotaalpie"/>
        </w:rPr>
        <w:footnoteRef/>
      </w:r>
      <w:r>
        <w:t xml:space="preserve"> P</w:t>
      </w:r>
      <w:r w:rsidRPr="0076197F">
        <w:t xml:space="preserve">or el cual se expide el </w:t>
      </w:r>
      <w:r>
        <w:t>P</w:t>
      </w:r>
      <w:r w:rsidRPr="0076197F">
        <w:t xml:space="preserve">lan </w:t>
      </w:r>
      <w:r>
        <w:t>N</w:t>
      </w:r>
      <w:r w:rsidRPr="0076197F">
        <w:t xml:space="preserve">acional de </w:t>
      </w:r>
      <w:r>
        <w:t>D</w:t>
      </w:r>
      <w:r w:rsidRPr="0076197F">
        <w:t xml:space="preserve">esarrollo 2018-2022 </w:t>
      </w:r>
      <w:r>
        <w:t>“P</w:t>
      </w:r>
      <w:r w:rsidRPr="0076197F">
        <w:t xml:space="preserve">acto por </w:t>
      </w:r>
      <w:r>
        <w:t>C</w:t>
      </w:r>
      <w:r w:rsidRPr="0076197F">
        <w:t xml:space="preserve">olombia, </w:t>
      </w:r>
      <w:r>
        <w:t>P</w:t>
      </w:r>
      <w:r w:rsidRPr="0076197F">
        <w:t xml:space="preserve">acto por la </w:t>
      </w:r>
      <w:r>
        <w:t>E</w:t>
      </w:r>
      <w:r w:rsidRPr="0076197F">
        <w:t>quidad</w:t>
      </w:r>
      <w:r>
        <w:t>”</w:t>
      </w:r>
    </w:p>
  </w:footnote>
  <w:footnote w:id="8">
    <w:p w14:paraId="04412749" w14:textId="3C6FCAD1" w:rsidR="00794C14" w:rsidRPr="00794C14" w:rsidRDefault="00794C14">
      <w:pPr>
        <w:pStyle w:val="Textonotapie"/>
        <w:rPr>
          <w:rFonts w:ascii="Helvetica" w:hAnsi="Helvetica" w:cs="Helvetica"/>
          <w:lang w:val="es-MX"/>
        </w:rPr>
      </w:pPr>
      <w:r>
        <w:rPr>
          <w:rStyle w:val="Refdenotaalpie"/>
        </w:rPr>
        <w:footnoteRef/>
      </w:r>
      <w:r>
        <w:t xml:space="preserve"> </w:t>
      </w:r>
      <w:r w:rsidRPr="00794C14">
        <w:rPr>
          <w:rFonts w:ascii="Helvetica" w:hAnsi="Helvetica" w:cs="Helvetica"/>
          <w:color w:val="221E1F"/>
        </w:rPr>
        <w:t>Modificado por la </w:t>
      </w:r>
      <w:hyperlink r:id="rId1" w:tooltip="Haga clic para abrir TODA la Ley 2294 de 2023" w:history="1">
        <w:r w:rsidRPr="00794C14">
          <w:rPr>
            <w:rStyle w:val="Hipervnculo"/>
            <w:rFonts w:ascii="Helvetica" w:hAnsi="Helvetica" w:cs="Helvetica"/>
          </w:rPr>
          <w:t>Ley 2294 de 2023</w:t>
        </w:r>
      </w:hyperlink>
      <w:r w:rsidRPr="00794C14">
        <w:rPr>
          <w:rFonts w:ascii="Helvetica" w:hAnsi="Helvetica" w:cs="Helvetica"/>
          <w:color w:val="221E1F"/>
        </w:rPr>
        <w:t>, artículo 244</w:t>
      </w:r>
    </w:p>
  </w:footnote>
  <w:footnote w:id="9">
    <w:p w14:paraId="099D0470" w14:textId="77777777" w:rsidR="001212B1" w:rsidRPr="0091589F" w:rsidRDefault="001212B1" w:rsidP="001212B1">
      <w:pPr>
        <w:pStyle w:val="Textonotapie"/>
        <w:rPr>
          <w:lang w:val="es-CO"/>
        </w:rPr>
      </w:pPr>
      <w:r>
        <w:rPr>
          <w:rStyle w:val="Refdenotaalpie"/>
        </w:rPr>
        <w:footnoteRef/>
      </w:r>
      <w:r>
        <w:t xml:space="preserve"> </w:t>
      </w:r>
      <w:r w:rsidRPr="0091589F">
        <w:rPr>
          <w:lang w:val="es-CO"/>
        </w:rPr>
        <w:t>Por la cual se reestructura el Ministerio de Desarrollo Económico, se determinan las funciones de sus dependencias, se deroga el </w:t>
      </w:r>
      <w:hyperlink r:id="rId2" w:tooltip="Haga clic para abrir TODO el Decreto legislativo número 0177 del 1º de febrero de 1956" w:history="1">
        <w:r w:rsidRPr="0091589F">
          <w:rPr>
            <w:lang w:val="es-CO"/>
          </w:rPr>
          <w:t>Decreto legislativo número 0177 del 1º de febrero de 1956</w:t>
        </w:r>
      </w:hyperlink>
      <w:r w:rsidRPr="0091589F">
        <w:rPr>
          <w:lang w:val="es-CO"/>
        </w:rPr>
        <w:t>, se dictan normas relativas a los contratos de fabricación y ensamble de vehículos automotores y a la política de precios y se dictan otras disposiciones.</w:t>
      </w:r>
    </w:p>
    <w:p w14:paraId="67BFF46F" w14:textId="77777777" w:rsidR="001212B1" w:rsidRPr="0091589F" w:rsidRDefault="001212B1" w:rsidP="001212B1">
      <w:pPr>
        <w:pStyle w:val="Textonotapie"/>
        <w:rPr>
          <w:lang w:val="es-CO"/>
        </w:rPr>
      </w:pPr>
      <w:r w:rsidRPr="0091589F">
        <w:rPr>
          <w:lang w:val="es-CO"/>
        </w:rPr>
        <w:t> </w:t>
      </w:r>
    </w:p>
    <w:p w14:paraId="4A11258F" w14:textId="77777777" w:rsidR="001212B1" w:rsidRPr="0091589F" w:rsidRDefault="001212B1" w:rsidP="001212B1">
      <w:pPr>
        <w:pStyle w:val="Textonotapie"/>
        <w:rPr>
          <w:lang w:val="es-CO"/>
        </w:rPr>
      </w:pPr>
    </w:p>
    <w:p w14:paraId="0EDAB39F" w14:textId="77777777" w:rsidR="001212B1" w:rsidRPr="0091589F" w:rsidRDefault="001212B1" w:rsidP="001212B1">
      <w:pPr>
        <w:pStyle w:val="Textonotapie"/>
        <w:rPr>
          <w:lang w:val="es-ES"/>
        </w:rPr>
      </w:pPr>
    </w:p>
  </w:footnote>
  <w:footnote w:id="10">
    <w:p w14:paraId="772997FA" w14:textId="77777777" w:rsidR="001212B1" w:rsidRPr="00814741" w:rsidRDefault="001212B1" w:rsidP="001212B1">
      <w:pPr>
        <w:pStyle w:val="Textonotapie"/>
        <w:rPr>
          <w:lang w:val="es-CO"/>
        </w:rPr>
      </w:pPr>
      <w:r>
        <w:rPr>
          <w:rStyle w:val="Refdenotaalpie"/>
        </w:rPr>
        <w:footnoteRef/>
      </w:r>
      <w:r>
        <w:t xml:space="preserve"> </w:t>
      </w:r>
      <w:r>
        <w:rPr>
          <w:lang w:val="es-CO"/>
        </w:rPr>
        <w:t>Gasolina motor corriente, gasolina motor extra, bencina industrial, ACPM, diésel marino para consumo nacional, electrocombustible, queroseno, cocinol, GLP y gas natural.</w:t>
      </w:r>
    </w:p>
  </w:footnote>
  <w:footnote w:id="11">
    <w:p w14:paraId="11B83B06" w14:textId="77777777" w:rsidR="001212B1" w:rsidRPr="00C75132" w:rsidRDefault="001212B1" w:rsidP="001212B1">
      <w:pPr>
        <w:pStyle w:val="Textonotapie"/>
        <w:rPr>
          <w:lang w:val="es-ES"/>
        </w:rPr>
      </w:pPr>
      <w:r>
        <w:rPr>
          <w:rStyle w:val="Refdenotaalpie"/>
        </w:rPr>
        <w:footnoteRef/>
      </w:r>
      <w:r>
        <w:t xml:space="preserve"> P</w:t>
      </w:r>
      <w:r w:rsidRPr="00C75132">
        <w:t>or medio de la cual se adopta una reforma tributaria estructural, se fortalecen los mecanismos para la lucha contra la evasión y la elusión fiscal, y se dictan otras disposiciones.</w:t>
      </w:r>
    </w:p>
  </w:footnote>
  <w:footnote w:id="12">
    <w:p w14:paraId="63BD098D" w14:textId="40ADA50A" w:rsidR="001212B1" w:rsidRPr="008832FC" w:rsidRDefault="001212B1" w:rsidP="001212B1">
      <w:pPr>
        <w:jc w:val="left"/>
        <w:rPr>
          <w:sz w:val="20"/>
          <w:lang w:val="en-US"/>
        </w:rPr>
      </w:pPr>
      <w:r>
        <w:rPr>
          <w:rStyle w:val="Refdenotaalpie"/>
        </w:rPr>
        <w:footnoteRef/>
      </w:r>
      <w:r w:rsidRPr="008832FC">
        <w:rPr>
          <w:sz w:val="20"/>
          <w:lang w:val="es-CO"/>
        </w:rPr>
        <w:t xml:space="preserve"> Plan Indicativo de Abastecimiento de Combustibles Líquidos. </w:t>
      </w:r>
      <w:r w:rsidRPr="008832FC">
        <w:rPr>
          <w:sz w:val="20"/>
          <w:lang w:val="en-US"/>
        </w:rPr>
        <w:t xml:space="preserve">2022. UPME. https://www1.upme.gov.co/Hidrocarburos/publicaciones/Plan_Indicativo_Abastecimiento_Combustibles_Liquidos.pdf </w:t>
      </w:r>
    </w:p>
    <w:p w14:paraId="66246526" w14:textId="77777777" w:rsidR="001212B1" w:rsidRPr="008832FC" w:rsidRDefault="001212B1" w:rsidP="001212B1">
      <w:pPr>
        <w:pStyle w:val="Textonotapie"/>
        <w:rPr>
          <w:lang w:val="en-US"/>
        </w:rPr>
      </w:pPr>
    </w:p>
  </w:footnote>
  <w:footnote w:id="13">
    <w:p w14:paraId="1D495778" w14:textId="77777777" w:rsidR="001212B1" w:rsidRPr="00210FA6" w:rsidRDefault="001212B1" w:rsidP="001212B1">
      <w:pPr>
        <w:pStyle w:val="Textonotapie"/>
        <w:rPr>
          <w:lang w:val="es-CO"/>
        </w:rPr>
      </w:pPr>
      <w:r>
        <w:rPr>
          <w:rStyle w:val="Refdenotaalpie"/>
        </w:rPr>
        <w:footnoteRef/>
      </w:r>
      <w:r>
        <w:t xml:space="preserve"> </w:t>
      </w:r>
      <w:r w:rsidRPr="002B59C4">
        <w:t>Mercados y estructuras de precios del jet a-1 en aeropuertos internacionales que puedan servir de referencia para Colombia</w:t>
      </w:r>
      <w:r>
        <w:t>.</w:t>
      </w:r>
      <w:r w:rsidRPr="002B59C4">
        <w:t xml:space="preserve"> </w:t>
      </w:r>
      <w:r w:rsidRPr="004060BE">
        <w:rPr>
          <w:lang w:val="es-CO"/>
        </w:rPr>
        <w:t>Roberto Albán. CREG. 2014</w:t>
      </w:r>
    </w:p>
  </w:footnote>
  <w:footnote w:id="14">
    <w:p w14:paraId="21AD6951" w14:textId="77777777" w:rsidR="001212B1" w:rsidRPr="00947230" w:rsidRDefault="001212B1" w:rsidP="001212B1">
      <w:pPr>
        <w:pStyle w:val="Textonotapie"/>
        <w:rPr>
          <w:lang w:val="fr-BE"/>
        </w:rPr>
      </w:pPr>
      <w:r>
        <w:rPr>
          <w:rStyle w:val="Refdenotaalpie"/>
        </w:rPr>
        <w:footnoteRef/>
      </w:r>
      <w:r w:rsidRPr="00947230">
        <w:rPr>
          <w:lang w:val="fr-BE"/>
        </w:rPr>
        <w:t xml:space="preserve"> NTC 1899 de 2022.</w:t>
      </w:r>
    </w:p>
  </w:footnote>
  <w:footnote w:id="15">
    <w:p w14:paraId="14AE1049" w14:textId="77777777" w:rsidR="001212B1" w:rsidRPr="007E6444" w:rsidRDefault="001212B1" w:rsidP="001212B1">
      <w:pPr>
        <w:pStyle w:val="Textonotapie"/>
        <w:rPr>
          <w:lang w:val="en-US"/>
        </w:rPr>
      </w:pPr>
      <w:r>
        <w:rPr>
          <w:rStyle w:val="Refdenotaalpie"/>
        </w:rPr>
        <w:footnoteRef/>
      </w:r>
      <w:r>
        <w:t xml:space="preserve"> </w:t>
      </w:r>
      <w:r w:rsidRPr="002B59C4">
        <w:t>Mercados y estructuras de precios del jet a-1 en aeropuertos internacionales que puedan servir de referencia para Colombia</w:t>
      </w:r>
      <w:r>
        <w:t>.</w:t>
      </w:r>
      <w:r w:rsidRPr="002B59C4">
        <w:t xml:space="preserve"> </w:t>
      </w:r>
      <w:r w:rsidRPr="007E6444">
        <w:rPr>
          <w:lang w:val="en-US"/>
        </w:rPr>
        <w:t>Roberto Albán. CREG. 2014</w:t>
      </w:r>
    </w:p>
  </w:footnote>
  <w:footnote w:id="16">
    <w:p w14:paraId="74B37B69" w14:textId="77777777" w:rsidR="001212B1" w:rsidRPr="00A75808" w:rsidRDefault="001212B1" w:rsidP="001212B1">
      <w:pPr>
        <w:pStyle w:val="Textonotapie"/>
        <w:rPr>
          <w:lang w:val="es-CO"/>
        </w:rPr>
      </w:pPr>
      <w:r>
        <w:rPr>
          <w:rStyle w:val="Refdenotaalpie"/>
        </w:rPr>
        <w:footnoteRef/>
      </w:r>
      <w:r w:rsidRPr="00812CE1">
        <w:rPr>
          <w:lang w:val="en-US"/>
        </w:rPr>
        <w:t xml:space="preserve"> Fuente: </w:t>
      </w:r>
      <w:r w:rsidRPr="00F9225F">
        <w:rPr>
          <w:lang w:val="en-US"/>
        </w:rPr>
        <w:t>Aviation Fuels Technical Review</w:t>
      </w:r>
      <w:r>
        <w:rPr>
          <w:lang w:val="en-US"/>
        </w:rPr>
        <w:t>.</w:t>
      </w:r>
      <w:r w:rsidRPr="00F9225F">
        <w:rPr>
          <w:lang w:val="en-US"/>
        </w:rPr>
        <w:t xml:space="preserve"> </w:t>
      </w:r>
      <w:r w:rsidRPr="00BE2A3A">
        <w:rPr>
          <w:lang w:val="en-US"/>
        </w:rPr>
        <w:t xml:space="preserve">Chevron Corporation Global Aviation. </w:t>
      </w:r>
      <w:r w:rsidRPr="004A0910">
        <w:rPr>
          <w:lang w:val="es-CO"/>
        </w:rPr>
        <w:t xml:space="preserve">2007. </w:t>
      </w:r>
      <w:r w:rsidRPr="00A75808">
        <w:rPr>
          <w:lang w:val="es-CO"/>
        </w:rPr>
        <w:t xml:space="preserve">En línea: </w:t>
      </w:r>
      <w:hyperlink r:id="rId3" w:history="1">
        <w:r w:rsidRPr="00835CD9">
          <w:rPr>
            <w:rStyle w:val="Hipervnculo"/>
            <w:lang w:val="es-CO"/>
          </w:rPr>
          <w:t>https://www.chevron.com/-/media/chevron/operations/documents/aviation-tech-review.pdf</w:t>
        </w:r>
      </w:hyperlink>
    </w:p>
  </w:footnote>
  <w:footnote w:id="17">
    <w:p w14:paraId="24926282" w14:textId="77777777" w:rsidR="001212B1" w:rsidRPr="00E832B0" w:rsidRDefault="001212B1" w:rsidP="001212B1">
      <w:pPr>
        <w:pStyle w:val="Textonotapie"/>
        <w:rPr>
          <w:lang w:val="fr-BE"/>
        </w:rPr>
      </w:pPr>
      <w:r>
        <w:rPr>
          <w:rStyle w:val="Refdenotaalpie"/>
        </w:rPr>
        <w:footnoteRef/>
      </w:r>
      <w:r w:rsidRPr="00E832B0">
        <w:rPr>
          <w:lang w:val="fr-BE"/>
        </w:rPr>
        <w:t xml:space="preserve"> https://www.minenergia.gov.co/es/servicio-al-ciudadano/foros/reglamento-t%C3%A9cnico-que-adopta-los-requisitos-y-par%C3%A1metros-de-calidad-de-los-combustibles-de-aviaci%C3%B3n-para-motores-tipo-turbina/</w:t>
      </w:r>
    </w:p>
  </w:footnote>
  <w:footnote w:id="18">
    <w:p w14:paraId="1ED9D657" w14:textId="77777777" w:rsidR="001212B1" w:rsidRPr="009F59A0" w:rsidRDefault="001212B1" w:rsidP="001212B1">
      <w:pPr>
        <w:pStyle w:val="Textonotapie"/>
        <w:rPr>
          <w:lang w:val="fr-BE"/>
        </w:rPr>
      </w:pPr>
      <w:r>
        <w:rPr>
          <w:rStyle w:val="Refdenotaalpie"/>
        </w:rPr>
        <w:footnoteRef/>
      </w:r>
      <w:r w:rsidRPr="00700DBF">
        <w:rPr>
          <w:lang w:val="fr-BE"/>
        </w:rPr>
        <w:t xml:space="preserve"> </w:t>
      </w:r>
      <w:r w:rsidRPr="00ED0E85">
        <w:rPr>
          <w:lang w:val="fr-BE"/>
        </w:rPr>
        <w:t>https://www.minenergia.gov.co/es/servicio-al-ciudadano/foros/ain-completo-requisitos-de-calidad-de-los-combustibles-de-aviaci%C3%B3n-para-motores-tipo-turbina/</w:t>
      </w:r>
    </w:p>
  </w:footnote>
  <w:footnote w:id="19">
    <w:p w14:paraId="26009B87" w14:textId="77777777" w:rsidR="001212B1" w:rsidRPr="00947230" w:rsidRDefault="001212B1" w:rsidP="001212B1">
      <w:pPr>
        <w:pStyle w:val="Textonotapie"/>
        <w:rPr>
          <w:lang w:val="fr-BE"/>
        </w:rPr>
      </w:pPr>
      <w:r>
        <w:rPr>
          <w:rStyle w:val="Refdenotaalpie"/>
        </w:rPr>
        <w:footnoteRef/>
      </w:r>
      <w:r w:rsidRPr="00947230">
        <w:rPr>
          <w:lang w:val="fr-BE"/>
        </w:rPr>
        <w:t xml:space="preserve"> https://www.energy.gov/eere/bioenergy/sustainable-aviation-fuels</w:t>
      </w:r>
    </w:p>
  </w:footnote>
  <w:footnote w:id="20">
    <w:p w14:paraId="005B4E4F" w14:textId="77777777" w:rsidR="001212B1" w:rsidRPr="00947230" w:rsidRDefault="001212B1" w:rsidP="001212B1">
      <w:pPr>
        <w:pStyle w:val="Textonotapie"/>
        <w:rPr>
          <w:lang w:val="fr-BE"/>
        </w:rPr>
      </w:pPr>
      <w:r>
        <w:rPr>
          <w:rStyle w:val="Refdenotaalpie"/>
        </w:rPr>
        <w:footnoteRef/>
      </w:r>
      <w:r w:rsidRPr="00947230">
        <w:rPr>
          <w:lang w:val="fr-BE"/>
        </w:rPr>
        <w:t>https://passel2.unl.edu/view/lesson/b983ed434704/4#:~:text=Second%20generation%20biofuels%20are%20derived,oil%2C%20starch%2C%20or%20sucrose.</w:t>
      </w:r>
    </w:p>
  </w:footnote>
  <w:footnote w:id="21">
    <w:p w14:paraId="49D7CC05" w14:textId="77777777" w:rsidR="001212B1" w:rsidRPr="0033440C" w:rsidRDefault="001212B1" w:rsidP="001212B1">
      <w:pPr>
        <w:pStyle w:val="Textonotapie"/>
        <w:rPr>
          <w:lang w:val="fr-BE"/>
        </w:rPr>
      </w:pPr>
      <w:r>
        <w:rPr>
          <w:rStyle w:val="Refdenotaalpie"/>
        </w:rPr>
        <w:footnoteRef/>
      </w:r>
      <w:r w:rsidRPr="0033440C">
        <w:rPr>
          <w:lang w:val="fr-BE"/>
        </w:rPr>
        <w:t xml:space="preserve"> </w:t>
      </w:r>
      <w:hyperlink r:id="rId4" w:history="1">
        <w:r w:rsidRPr="0033440C">
          <w:rPr>
            <w:rStyle w:val="cf01"/>
            <w:color w:val="0000FF"/>
            <w:u w:val="single"/>
            <w:lang w:val="fr-BE"/>
          </w:rPr>
          <w:t>https://biologicaldiversity.org/w/news/press-releases/bidens-sustainable-aviation-fuel-goals-mired-in-myth-report-2022-08-24/</w:t>
        </w:r>
      </w:hyperlink>
    </w:p>
  </w:footnote>
  <w:footnote w:id="22">
    <w:p w14:paraId="76BAB2CE" w14:textId="77777777" w:rsidR="001212B1" w:rsidRPr="00947230" w:rsidRDefault="001212B1" w:rsidP="001212B1">
      <w:pPr>
        <w:pStyle w:val="Textonotapie"/>
        <w:rPr>
          <w:lang w:val="fr-BE"/>
        </w:rPr>
      </w:pPr>
      <w:r>
        <w:rPr>
          <w:rStyle w:val="Refdenotaalpie"/>
        </w:rPr>
        <w:footnoteRef/>
      </w:r>
      <w:r w:rsidRPr="00947230">
        <w:rPr>
          <w:lang w:val="fr-BE"/>
        </w:rPr>
        <w:t xml:space="preserve"> https://www.energy.gov/eere/bioenergy/sustainable-aviation-fuel-grand-challenge</w:t>
      </w:r>
    </w:p>
  </w:footnote>
  <w:footnote w:id="23">
    <w:p w14:paraId="736A9300" w14:textId="77777777" w:rsidR="001212B1" w:rsidRPr="00C87A92" w:rsidRDefault="001212B1" w:rsidP="001212B1">
      <w:pPr>
        <w:pStyle w:val="Textonotapie"/>
      </w:pPr>
      <w:r>
        <w:rPr>
          <w:rStyle w:val="Refdenotaalpie"/>
        </w:rPr>
        <w:footnoteRef/>
      </w:r>
      <w:r>
        <w:t xml:space="preserve"> Escenarios nacionales Transición Energética Justa. Ministerio de Minas y Energía, 2023. En línea: </w:t>
      </w:r>
      <w:hyperlink r:id="rId5" w:history="1">
        <w:r w:rsidRPr="00C5595E">
          <w:rPr>
            <w:rStyle w:val="Hipervnculo"/>
            <w:lang w:val="es-CO"/>
          </w:rPr>
          <w:t>https://www.minenergia.gov.co/documents/10442/3._Escenarios_nacionales_TEJ._Rutas_que_nos_preparan_para_el_futuro.pdf</w:t>
        </w:r>
      </w:hyperlink>
    </w:p>
  </w:footnote>
  <w:footnote w:id="24">
    <w:p w14:paraId="5A96651A" w14:textId="77777777" w:rsidR="001212B1" w:rsidRPr="00C5595E" w:rsidRDefault="001212B1" w:rsidP="001212B1">
      <w:pPr>
        <w:pStyle w:val="Textonotapie"/>
        <w:rPr>
          <w:lang w:val="es-CO"/>
        </w:rPr>
      </w:pPr>
      <w:r w:rsidRPr="003D09C7">
        <w:rPr>
          <w:rStyle w:val="Refdenotaalpie"/>
        </w:rPr>
        <w:footnoteRef/>
      </w:r>
      <w:hyperlink r:id="rId6" w:history="1">
        <w:r w:rsidRPr="00C5595E">
          <w:rPr>
            <w:rStyle w:val="Hipervnculo"/>
            <w:rFonts w:ascii="Helvetica" w:hAnsi="Helvetica" w:cs="Helvetica"/>
            <w:szCs w:val="24"/>
            <w:lang w:val="es-CO"/>
          </w:rPr>
          <w:t>https://www.ecopetrol.com.co/wps/wcm/connect/2b7d821a-5cb8-4666-b3db-383883c29836/Proceso+de+Comercializaci%C3%B3n+de+Jet+A1+Noviembre+2019.pdf?MOD=AJPERES&amp;attachment=true&amp;id=1583869663051</w:t>
        </w:r>
      </w:hyperlink>
    </w:p>
  </w:footnote>
  <w:footnote w:id="25">
    <w:p w14:paraId="56B18B42" w14:textId="77777777" w:rsidR="001212B1" w:rsidRPr="00180186" w:rsidRDefault="001212B1" w:rsidP="001212B1">
      <w:pPr>
        <w:pStyle w:val="Textonotapie"/>
        <w:jc w:val="left"/>
        <w:rPr>
          <w:lang w:val="es-ES"/>
        </w:rPr>
      </w:pPr>
      <w:r>
        <w:rPr>
          <w:rStyle w:val="Refdenotaalpie"/>
        </w:rPr>
        <w:footnoteRef/>
      </w:r>
      <w:r>
        <w:t xml:space="preserve"> </w:t>
      </w:r>
      <w:r w:rsidRPr="00180186">
        <w:rPr>
          <w:rFonts w:cs="Arial"/>
          <w:color w:val="000000"/>
        </w:rPr>
        <w:t>Por la cual se modifica el régimen de concesiones de combustibles en las zonas de frontera y se establecen otras disposiciones en materia tributaria para combustibles.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843A2" w14:textId="77777777" w:rsidR="001212B1" w:rsidRDefault="001212B1" w:rsidP="008A25BE">
    <w:pPr>
      <w:pStyle w:val="Encabezado"/>
    </w:pPr>
    <w:r>
      <w:rPr>
        <w:noProof/>
      </w:rPr>
      <w:drawing>
        <wp:anchor distT="0" distB="0" distL="114300" distR="114300" simplePos="0" relativeHeight="251660288" behindDoc="0" locked="0" layoutInCell="1" allowOverlap="1" wp14:anchorId="43396B1D" wp14:editId="0CCF0A2F">
          <wp:simplePos x="0" y="0"/>
          <wp:positionH relativeFrom="margin">
            <wp:align>left</wp:align>
          </wp:positionH>
          <wp:positionV relativeFrom="margin">
            <wp:posOffset>-581025</wp:posOffset>
          </wp:positionV>
          <wp:extent cx="1033145" cy="359410"/>
          <wp:effectExtent l="0" t="0" r="0" b="2540"/>
          <wp:wrapSquare wrapText="bothSides"/>
          <wp:docPr id="2041505639" name="Picture 2041505639"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5639" name="Imagen 1" descr="Un dibujo de una cara feliz&#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33145" cy="359410"/>
                  </a:xfrm>
                  <a:prstGeom prst="rect">
                    <a:avLst/>
                  </a:prstGeom>
                </pic:spPr>
              </pic:pic>
            </a:graphicData>
          </a:graphic>
        </wp:anchor>
      </w:drawing>
    </w:r>
    <w:r>
      <w:rPr>
        <w:noProof/>
      </w:rPr>
      <w:drawing>
        <wp:anchor distT="0" distB="0" distL="114300" distR="114300" simplePos="0" relativeHeight="251659264" behindDoc="0" locked="0" layoutInCell="1" allowOverlap="1" wp14:anchorId="7DC66DF5" wp14:editId="40755BBF">
          <wp:simplePos x="0" y="0"/>
          <wp:positionH relativeFrom="margin">
            <wp:align>right</wp:align>
          </wp:positionH>
          <wp:positionV relativeFrom="margin">
            <wp:posOffset>-523875</wp:posOffset>
          </wp:positionV>
          <wp:extent cx="644400" cy="360000"/>
          <wp:effectExtent l="0" t="0" r="3810" b="2540"/>
          <wp:wrapSquare wrapText="bothSides"/>
          <wp:docPr id="331772907" name="Picture 33177290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2907" name="Imagen 2"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44400" cy="360000"/>
                  </a:xfrm>
                  <a:prstGeom prst="rect">
                    <a:avLst/>
                  </a:prstGeom>
                </pic:spPr>
              </pic:pic>
            </a:graphicData>
          </a:graphic>
        </wp:anchor>
      </w:drawing>
    </w:r>
  </w:p>
  <w:p w14:paraId="2D8783D5" w14:textId="77777777" w:rsidR="001212B1" w:rsidRDefault="001212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5"/>
      <w:gridCol w:w="3135"/>
      <w:gridCol w:w="3135"/>
    </w:tblGrid>
    <w:tr w:rsidR="001212B1" w14:paraId="02E582B6" w14:textId="77777777" w:rsidTr="0EEE2C46">
      <w:tc>
        <w:tcPr>
          <w:tcW w:w="3135" w:type="dxa"/>
        </w:tcPr>
        <w:p w14:paraId="2A4284E8" w14:textId="77777777" w:rsidR="001212B1" w:rsidRDefault="001212B1" w:rsidP="0EEE2C46">
          <w:pPr>
            <w:pStyle w:val="Encabezado"/>
            <w:ind w:left="-115"/>
            <w:jc w:val="left"/>
            <w:rPr>
              <w:szCs w:val="24"/>
            </w:rPr>
          </w:pPr>
        </w:p>
      </w:tc>
      <w:tc>
        <w:tcPr>
          <w:tcW w:w="3135" w:type="dxa"/>
        </w:tcPr>
        <w:p w14:paraId="54F18156" w14:textId="77777777" w:rsidR="001212B1" w:rsidRDefault="001212B1" w:rsidP="0EEE2C46">
          <w:pPr>
            <w:pStyle w:val="Encabezado"/>
            <w:jc w:val="center"/>
            <w:rPr>
              <w:szCs w:val="24"/>
            </w:rPr>
          </w:pPr>
        </w:p>
      </w:tc>
      <w:tc>
        <w:tcPr>
          <w:tcW w:w="3135" w:type="dxa"/>
        </w:tcPr>
        <w:p w14:paraId="4FFB9DE7" w14:textId="77777777" w:rsidR="001212B1" w:rsidRDefault="001212B1" w:rsidP="0EEE2C46">
          <w:pPr>
            <w:pStyle w:val="Encabezado"/>
            <w:ind w:right="-115"/>
            <w:jc w:val="right"/>
            <w:rPr>
              <w:szCs w:val="24"/>
            </w:rPr>
          </w:pPr>
        </w:p>
      </w:tc>
    </w:tr>
  </w:tbl>
  <w:p w14:paraId="39D420C9" w14:textId="77777777" w:rsidR="001212B1" w:rsidRDefault="001212B1" w:rsidP="0EEE2C46">
    <w:pPr>
      <w:pStyle w:val="Encabezado"/>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59B3" w14:textId="59E1DEC2" w:rsidR="00020441" w:rsidRDefault="00020441">
    <w:pPr>
      <w:pStyle w:val="Encabezado"/>
    </w:pPr>
    <w:r>
      <w:rPr>
        <w:rFonts w:cs="Arial"/>
        <w:b/>
        <w:i/>
        <w:color w:val="808080"/>
        <w:sz w:val="16"/>
      </w:rPr>
      <w:t>Sesión No.</w:t>
    </w:r>
    <w:r w:rsidR="001212B1">
      <w:rPr>
        <w:rFonts w:cs="Arial"/>
        <w:b/>
        <w:i/>
        <w:color w:val="808080"/>
        <w:sz w:val="16"/>
      </w:rPr>
      <w:t xml:space="preserve"> 1321 de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A0837"/>
    <w:multiLevelType w:val="hybridMultilevel"/>
    <w:tmpl w:val="EBB8A794"/>
    <w:lvl w:ilvl="0" w:tplc="E830F99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FE54AD"/>
    <w:multiLevelType w:val="hybridMultilevel"/>
    <w:tmpl w:val="67FED4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4C0C00"/>
    <w:multiLevelType w:val="hybridMultilevel"/>
    <w:tmpl w:val="375A011A"/>
    <w:lvl w:ilvl="0" w:tplc="8BB8A940">
      <w:start w:val="1"/>
      <w:numFmt w:val="lowerRoman"/>
      <w:pStyle w:val="Vieta"/>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407CCA"/>
    <w:multiLevelType w:val="hybridMultilevel"/>
    <w:tmpl w:val="611E1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191CEB"/>
    <w:multiLevelType w:val="hybridMultilevel"/>
    <w:tmpl w:val="E5546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AB5878"/>
    <w:multiLevelType w:val="hybridMultilevel"/>
    <w:tmpl w:val="8C449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44159"/>
    <w:multiLevelType w:val="multilevel"/>
    <w:tmpl w:val="FAF072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7" w15:restartNumberingAfterBreak="0">
    <w:nsid w:val="1E5E3B36"/>
    <w:multiLevelType w:val="multilevel"/>
    <w:tmpl w:val="4664DA72"/>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436"/>
        </w:tabs>
        <w:ind w:left="1436" w:hanging="720"/>
      </w:pPr>
    </w:lvl>
    <w:lvl w:ilvl="3">
      <w:start w:val="1"/>
      <w:numFmt w:val="lowerLetter"/>
      <w:lvlText w:val="%4."/>
      <w:lvlJc w:val="left"/>
      <w:pPr>
        <w:ind w:left="792" w:hanging="360"/>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8" w15:restartNumberingAfterBreak="0">
    <w:nsid w:val="31793020"/>
    <w:multiLevelType w:val="hybridMultilevel"/>
    <w:tmpl w:val="E626C5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46AC6D22"/>
    <w:multiLevelType w:val="hybridMultilevel"/>
    <w:tmpl w:val="0E7888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5" w15:restartNumberingAfterBreak="0">
    <w:nsid w:val="69484CB3"/>
    <w:multiLevelType w:val="multilevel"/>
    <w:tmpl w:val="6A8A87FA"/>
    <w:lvl w:ilvl="0">
      <w:start w:val="1"/>
      <w:numFmt w:val="bullet"/>
      <w:lvlText w:val=""/>
      <w:lvlJc w:val="left"/>
      <w:pPr>
        <w:ind w:left="1338" w:hanging="630"/>
      </w:pPr>
      <w:rPr>
        <w:rFonts w:ascii="Symbol" w:hAnsi="Symbol" w:hint="default"/>
      </w:rPr>
    </w:lvl>
    <w:lvl w:ilvl="1">
      <w:start w:val="2"/>
      <w:numFmt w:val="decimal"/>
      <w:lvlText w:val="%1.%2."/>
      <w:lvlJc w:val="left"/>
      <w:pPr>
        <w:ind w:left="142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16" w15:restartNumberingAfterBreak="0">
    <w:nsid w:val="6A396DEB"/>
    <w:multiLevelType w:val="hybridMultilevel"/>
    <w:tmpl w:val="5EEC02B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6E7B3205"/>
    <w:multiLevelType w:val="hybridMultilevel"/>
    <w:tmpl w:val="32402E20"/>
    <w:lvl w:ilvl="0" w:tplc="E7345C80">
      <w:start w:val="1"/>
      <w:numFmt w:val="bullet"/>
      <w:lvlText w:val="•"/>
      <w:lvlJc w:val="left"/>
      <w:pPr>
        <w:tabs>
          <w:tab w:val="num" w:pos="720"/>
        </w:tabs>
        <w:ind w:left="720" w:hanging="360"/>
      </w:pPr>
      <w:rPr>
        <w:rFonts w:ascii="Times New Roman" w:hAnsi="Times New Roman" w:hint="default"/>
      </w:rPr>
    </w:lvl>
    <w:lvl w:ilvl="1" w:tplc="2D4C46B0" w:tentative="1">
      <w:start w:val="1"/>
      <w:numFmt w:val="bullet"/>
      <w:lvlText w:val="•"/>
      <w:lvlJc w:val="left"/>
      <w:pPr>
        <w:tabs>
          <w:tab w:val="num" w:pos="1440"/>
        </w:tabs>
        <w:ind w:left="1440" w:hanging="360"/>
      </w:pPr>
      <w:rPr>
        <w:rFonts w:ascii="Times New Roman" w:hAnsi="Times New Roman" w:hint="default"/>
      </w:rPr>
    </w:lvl>
    <w:lvl w:ilvl="2" w:tplc="1A3CCD64" w:tentative="1">
      <w:start w:val="1"/>
      <w:numFmt w:val="bullet"/>
      <w:lvlText w:val="•"/>
      <w:lvlJc w:val="left"/>
      <w:pPr>
        <w:tabs>
          <w:tab w:val="num" w:pos="2160"/>
        </w:tabs>
        <w:ind w:left="2160" w:hanging="360"/>
      </w:pPr>
      <w:rPr>
        <w:rFonts w:ascii="Times New Roman" w:hAnsi="Times New Roman" w:hint="default"/>
      </w:rPr>
    </w:lvl>
    <w:lvl w:ilvl="3" w:tplc="1880266A" w:tentative="1">
      <w:start w:val="1"/>
      <w:numFmt w:val="bullet"/>
      <w:lvlText w:val="•"/>
      <w:lvlJc w:val="left"/>
      <w:pPr>
        <w:tabs>
          <w:tab w:val="num" w:pos="2880"/>
        </w:tabs>
        <w:ind w:left="2880" w:hanging="360"/>
      </w:pPr>
      <w:rPr>
        <w:rFonts w:ascii="Times New Roman" w:hAnsi="Times New Roman" w:hint="default"/>
      </w:rPr>
    </w:lvl>
    <w:lvl w:ilvl="4" w:tplc="21CAC986" w:tentative="1">
      <w:start w:val="1"/>
      <w:numFmt w:val="bullet"/>
      <w:lvlText w:val="•"/>
      <w:lvlJc w:val="left"/>
      <w:pPr>
        <w:tabs>
          <w:tab w:val="num" w:pos="3600"/>
        </w:tabs>
        <w:ind w:left="3600" w:hanging="360"/>
      </w:pPr>
      <w:rPr>
        <w:rFonts w:ascii="Times New Roman" w:hAnsi="Times New Roman" w:hint="default"/>
      </w:rPr>
    </w:lvl>
    <w:lvl w:ilvl="5" w:tplc="A61ACD02" w:tentative="1">
      <w:start w:val="1"/>
      <w:numFmt w:val="bullet"/>
      <w:lvlText w:val="•"/>
      <w:lvlJc w:val="left"/>
      <w:pPr>
        <w:tabs>
          <w:tab w:val="num" w:pos="4320"/>
        </w:tabs>
        <w:ind w:left="4320" w:hanging="360"/>
      </w:pPr>
      <w:rPr>
        <w:rFonts w:ascii="Times New Roman" w:hAnsi="Times New Roman" w:hint="default"/>
      </w:rPr>
    </w:lvl>
    <w:lvl w:ilvl="6" w:tplc="63A2ADF8" w:tentative="1">
      <w:start w:val="1"/>
      <w:numFmt w:val="bullet"/>
      <w:lvlText w:val="•"/>
      <w:lvlJc w:val="left"/>
      <w:pPr>
        <w:tabs>
          <w:tab w:val="num" w:pos="5040"/>
        </w:tabs>
        <w:ind w:left="5040" w:hanging="360"/>
      </w:pPr>
      <w:rPr>
        <w:rFonts w:ascii="Times New Roman" w:hAnsi="Times New Roman" w:hint="default"/>
      </w:rPr>
    </w:lvl>
    <w:lvl w:ilvl="7" w:tplc="99B2CA4A" w:tentative="1">
      <w:start w:val="1"/>
      <w:numFmt w:val="bullet"/>
      <w:lvlText w:val="•"/>
      <w:lvlJc w:val="left"/>
      <w:pPr>
        <w:tabs>
          <w:tab w:val="num" w:pos="5760"/>
        </w:tabs>
        <w:ind w:left="5760" w:hanging="360"/>
      </w:pPr>
      <w:rPr>
        <w:rFonts w:ascii="Times New Roman" w:hAnsi="Times New Roman" w:hint="default"/>
      </w:rPr>
    </w:lvl>
    <w:lvl w:ilvl="8" w:tplc="0FD23DD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2243014"/>
    <w:multiLevelType w:val="hybridMultilevel"/>
    <w:tmpl w:val="5468B21A"/>
    <w:lvl w:ilvl="0" w:tplc="1A36C8EE">
      <w:start w:val="1"/>
      <w:numFmt w:val="bullet"/>
      <w:lvlText w:val="•"/>
      <w:lvlJc w:val="left"/>
      <w:pPr>
        <w:tabs>
          <w:tab w:val="num" w:pos="720"/>
        </w:tabs>
        <w:ind w:left="720" w:hanging="360"/>
      </w:pPr>
      <w:rPr>
        <w:rFonts w:ascii="Times New Roman" w:hAnsi="Times New Roman" w:hint="default"/>
      </w:rPr>
    </w:lvl>
    <w:lvl w:ilvl="1" w:tplc="FF087570" w:tentative="1">
      <w:start w:val="1"/>
      <w:numFmt w:val="bullet"/>
      <w:lvlText w:val="•"/>
      <w:lvlJc w:val="left"/>
      <w:pPr>
        <w:tabs>
          <w:tab w:val="num" w:pos="1440"/>
        </w:tabs>
        <w:ind w:left="1440" w:hanging="360"/>
      </w:pPr>
      <w:rPr>
        <w:rFonts w:ascii="Times New Roman" w:hAnsi="Times New Roman" w:hint="default"/>
      </w:rPr>
    </w:lvl>
    <w:lvl w:ilvl="2" w:tplc="B92EA74E" w:tentative="1">
      <w:start w:val="1"/>
      <w:numFmt w:val="bullet"/>
      <w:lvlText w:val="•"/>
      <w:lvlJc w:val="left"/>
      <w:pPr>
        <w:tabs>
          <w:tab w:val="num" w:pos="2160"/>
        </w:tabs>
        <w:ind w:left="2160" w:hanging="360"/>
      </w:pPr>
      <w:rPr>
        <w:rFonts w:ascii="Times New Roman" w:hAnsi="Times New Roman" w:hint="default"/>
      </w:rPr>
    </w:lvl>
    <w:lvl w:ilvl="3" w:tplc="0336786C" w:tentative="1">
      <w:start w:val="1"/>
      <w:numFmt w:val="bullet"/>
      <w:lvlText w:val="•"/>
      <w:lvlJc w:val="left"/>
      <w:pPr>
        <w:tabs>
          <w:tab w:val="num" w:pos="2880"/>
        </w:tabs>
        <w:ind w:left="2880" w:hanging="360"/>
      </w:pPr>
      <w:rPr>
        <w:rFonts w:ascii="Times New Roman" w:hAnsi="Times New Roman" w:hint="default"/>
      </w:rPr>
    </w:lvl>
    <w:lvl w:ilvl="4" w:tplc="5D365986" w:tentative="1">
      <w:start w:val="1"/>
      <w:numFmt w:val="bullet"/>
      <w:lvlText w:val="•"/>
      <w:lvlJc w:val="left"/>
      <w:pPr>
        <w:tabs>
          <w:tab w:val="num" w:pos="3600"/>
        </w:tabs>
        <w:ind w:left="3600" w:hanging="360"/>
      </w:pPr>
      <w:rPr>
        <w:rFonts w:ascii="Times New Roman" w:hAnsi="Times New Roman" w:hint="default"/>
      </w:rPr>
    </w:lvl>
    <w:lvl w:ilvl="5" w:tplc="FEEC4BE2" w:tentative="1">
      <w:start w:val="1"/>
      <w:numFmt w:val="bullet"/>
      <w:lvlText w:val="•"/>
      <w:lvlJc w:val="left"/>
      <w:pPr>
        <w:tabs>
          <w:tab w:val="num" w:pos="4320"/>
        </w:tabs>
        <w:ind w:left="4320" w:hanging="360"/>
      </w:pPr>
      <w:rPr>
        <w:rFonts w:ascii="Times New Roman" w:hAnsi="Times New Roman" w:hint="default"/>
      </w:rPr>
    </w:lvl>
    <w:lvl w:ilvl="6" w:tplc="79A8C4F2" w:tentative="1">
      <w:start w:val="1"/>
      <w:numFmt w:val="bullet"/>
      <w:lvlText w:val="•"/>
      <w:lvlJc w:val="left"/>
      <w:pPr>
        <w:tabs>
          <w:tab w:val="num" w:pos="5040"/>
        </w:tabs>
        <w:ind w:left="5040" w:hanging="360"/>
      </w:pPr>
      <w:rPr>
        <w:rFonts w:ascii="Times New Roman" w:hAnsi="Times New Roman" w:hint="default"/>
      </w:rPr>
    </w:lvl>
    <w:lvl w:ilvl="7" w:tplc="FFCAB6CC" w:tentative="1">
      <w:start w:val="1"/>
      <w:numFmt w:val="bullet"/>
      <w:lvlText w:val="•"/>
      <w:lvlJc w:val="left"/>
      <w:pPr>
        <w:tabs>
          <w:tab w:val="num" w:pos="5760"/>
        </w:tabs>
        <w:ind w:left="5760" w:hanging="360"/>
      </w:pPr>
      <w:rPr>
        <w:rFonts w:ascii="Times New Roman" w:hAnsi="Times New Roman" w:hint="default"/>
      </w:rPr>
    </w:lvl>
    <w:lvl w:ilvl="8" w:tplc="41C48C6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7BE0C82"/>
    <w:multiLevelType w:val="multilevel"/>
    <w:tmpl w:val="2B4442B8"/>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01872976">
    <w:abstractNumId w:val="6"/>
  </w:num>
  <w:num w:numId="2" w16cid:durableId="801968684">
    <w:abstractNumId w:val="6"/>
  </w:num>
  <w:num w:numId="3" w16cid:durableId="2073001526">
    <w:abstractNumId w:val="6"/>
  </w:num>
  <w:num w:numId="4" w16cid:durableId="780993275">
    <w:abstractNumId w:val="6"/>
  </w:num>
  <w:num w:numId="5" w16cid:durableId="493184022">
    <w:abstractNumId w:val="6"/>
  </w:num>
  <w:num w:numId="6" w16cid:durableId="449592109">
    <w:abstractNumId w:val="6"/>
  </w:num>
  <w:num w:numId="7" w16cid:durableId="1909227231">
    <w:abstractNumId w:val="14"/>
  </w:num>
  <w:num w:numId="8" w16cid:durableId="467629627">
    <w:abstractNumId w:val="12"/>
  </w:num>
  <w:num w:numId="9" w16cid:durableId="959071692">
    <w:abstractNumId w:val="18"/>
  </w:num>
  <w:num w:numId="10" w16cid:durableId="2118718905">
    <w:abstractNumId w:val="21"/>
  </w:num>
  <w:num w:numId="11" w16cid:durableId="811794889">
    <w:abstractNumId w:val="13"/>
  </w:num>
  <w:num w:numId="12" w16cid:durableId="196089711">
    <w:abstractNumId w:val="11"/>
  </w:num>
  <w:num w:numId="13" w16cid:durableId="983437049">
    <w:abstractNumId w:val="4"/>
  </w:num>
  <w:num w:numId="14" w16cid:durableId="18672812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495956">
    <w:abstractNumId w:val="9"/>
  </w:num>
  <w:num w:numId="16" w16cid:durableId="1194805315">
    <w:abstractNumId w:val="2"/>
    <w:lvlOverride w:ilvl="0">
      <w:startOverride w:val="1"/>
    </w:lvlOverride>
  </w:num>
  <w:num w:numId="17" w16cid:durableId="324627832">
    <w:abstractNumId w:val="20"/>
  </w:num>
  <w:num w:numId="18" w16cid:durableId="1893691846">
    <w:abstractNumId w:val="6"/>
    <w:lvlOverride w:ilvl="0">
      <w:startOverride w:val="1"/>
    </w:lvlOverride>
    <w:lvlOverride w:ilvl="1">
      <w:startOverride w:val="5"/>
    </w:lvlOverride>
  </w:num>
  <w:num w:numId="19" w16cid:durableId="252473579">
    <w:abstractNumId w:val="7"/>
  </w:num>
  <w:num w:numId="20" w16cid:durableId="1252860181">
    <w:abstractNumId w:val="1"/>
  </w:num>
  <w:num w:numId="21" w16cid:durableId="96482202">
    <w:abstractNumId w:val="16"/>
  </w:num>
  <w:num w:numId="22" w16cid:durableId="1697386510">
    <w:abstractNumId w:val="5"/>
  </w:num>
  <w:num w:numId="23" w16cid:durableId="822312870">
    <w:abstractNumId w:val="10"/>
  </w:num>
  <w:num w:numId="24" w16cid:durableId="1784611550">
    <w:abstractNumId w:val="8"/>
  </w:num>
  <w:num w:numId="25" w16cid:durableId="684399561">
    <w:abstractNumId w:val="15"/>
  </w:num>
  <w:num w:numId="26" w16cid:durableId="557866903">
    <w:abstractNumId w:val="0"/>
  </w:num>
  <w:num w:numId="27" w16cid:durableId="719405280">
    <w:abstractNumId w:val="3"/>
  </w:num>
  <w:num w:numId="28" w16cid:durableId="1719671544">
    <w:abstractNumId w:val="19"/>
  </w:num>
  <w:num w:numId="29" w16cid:durableId="9328242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12759"/>
    <w:rsid w:val="00020441"/>
    <w:rsid w:val="00041B12"/>
    <w:rsid w:val="00052C88"/>
    <w:rsid w:val="00056DFC"/>
    <w:rsid w:val="00066421"/>
    <w:rsid w:val="000B5AD2"/>
    <w:rsid w:val="000E2E73"/>
    <w:rsid w:val="000E6A9D"/>
    <w:rsid w:val="0010544E"/>
    <w:rsid w:val="001212B1"/>
    <w:rsid w:val="00130134"/>
    <w:rsid w:val="00143996"/>
    <w:rsid w:val="00143D30"/>
    <w:rsid w:val="0015231C"/>
    <w:rsid w:val="001700C2"/>
    <w:rsid w:val="00172DD4"/>
    <w:rsid w:val="00186477"/>
    <w:rsid w:val="00194F02"/>
    <w:rsid w:val="00220D0D"/>
    <w:rsid w:val="00242826"/>
    <w:rsid w:val="00255BEB"/>
    <w:rsid w:val="00277DD8"/>
    <w:rsid w:val="0028466C"/>
    <w:rsid w:val="00291D0D"/>
    <w:rsid w:val="002E19C4"/>
    <w:rsid w:val="002E361C"/>
    <w:rsid w:val="003320D3"/>
    <w:rsid w:val="00342D19"/>
    <w:rsid w:val="00346BC3"/>
    <w:rsid w:val="003642B0"/>
    <w:rsid w:val="0038050C"/>
    <w:rsid w:val="003C55ED"/>
    <w:rsid w:val="0040539F"/>
    <w:rsid w:val="00420F87"/>
    <w:rsid w:val="004268B8"/>
    <w:rsid w:val="00446983"/>
    <w:rsid w:val="00456730"/>
    <w:rsid w:val="00456CEB"/>
    <w:rsid w:val="00490029"/>
    <w:rsid w:val="004914CA"/>
    <w:rsid w:val="004A733B"/>
    <w:rsid w:val="004B0F92"/>
    <w:rsid w:val="004E3965"/>
    <w:rsid w:val="004E4022"/>
    <w:rsid w:val="004F0E6A"/>
    <w:rsid w:val="005042D3"/>
    <w:rsid w:val="005074C3"/>
    <w:rsid w:val="00517002"/>
    <w:rsid w:val="0054039F"/>
    <w:rsid w:val="00587047"/>
    <w:rsid w:val="00587E7A"/>
    <w:rsid w:val="005A4F42"/>
    <w:rsid w:val="005B283C"/>
    <w:rsid w:val="005D26BC"/>
    <w:rsid w:val="005E21FD"/>
    <w:rsid w:val="005E4795"/>
    <w:rsid w:val="0060207B"/>
    <w:rsid w:val="00640798"/>
    <w:rsid w:val="00650478"/>
    <w:rsid w:val="00652E4D"/>
    <w:rsid w:val="0066453F"/>
    <w:rsid w:val="006864FD"/>
    <w:rsid w:val="006E1029"/>
    <w:rsid w:val="006E1AB3"/>
    <w:rsid w:val="006F6017"/>
    <w:rsid w:val="00717554"/>
    <w:rsid w:val="00730F72"/>
    <w:rsid w:val="007319DB"/>
    <w:rsid w:val="0074297C"/>
    <w:rsid w:val="00765B90"/>
    <w:rsid w:val="0077100C"/>
    <w:rsid w:val="0077484E"/>
    <w:rsid w:val="007864F4"/>
    <w:rsid w:val="00794C14"/>
    <w:rsid w:val="007E0711"/>
    <w:rsid w:val="00836DB7"/>
    <w:rsid w:val="00841F2F"/>
    <w:rsid w:val="00842447"/>
    <w:rsid w:val="00844067"/>
    <w:rsid w:val="00874DC3"/>
    <w:rsid w:val="00883A18"/>
    <w:rsid w:val="008A3820"/>
    <w:rsid w:val="008B4AD8"/>
    <w:rsid w:val="008B734F"/>
    <w:rsid w:val="008E4B18"/>
    <w:rsid w:val="008F559D"/>
    <w:rsid w:val="008F5A0E"/>
    <w:rsid w:val="008F7D49"/>
    <w:rsid w:val="00933069"/>
    <w:rsid w:val="00935705"/>
    <w:rsid w:val="00954B4E"/>
    <w:rsid w:val="00956F71"/>
    <w:rsid w:val="009640AD"/>
    <w:rsid w:val="0098175C"/>
    <w:rsid w:val="00987B12"/>
    <w:rsid w:val="00987B62"/>
    <w:rsid w:val="009C08C1"/>
    <w:rsid w:val="009F44D1"/>
    <w:rsid w:val="00A15852"/>
    <w:rsid w:val="00A2276C"/>
    <w:rsid w:val="00A234D0"/>
    <w:rsid w:val="00A30D43"/>
    <w:rsid w:val="00A75117"/>
    <w:rsid w:val="00AC6BAE"/>
    <w:rsid w:val="00AD41A0"/>
    <w:rsid w:val="00AE1755"/>
    <w:rsid w:val="00AE4628"/>
    <w:rsid w:val="00B352C6"/>
    <w:rsid w:val="00B40A78"/>
    <w:rsid w:val="00B425AB"/>
    <w:rsid w:val="00B465B5"/>
    <w:rsid w:val="00B60742"/>
    <w:rsid w:val="00B60C56"/>
    <w:rsid w:val="00B81BF9"/>
    <w:rsid w:val="00B94CF0"/>
    <w:rsid w:val="00BB5E45"/>
    <w:rsid w:val="00BE2C84"/>
    <w:rsid w:val="00C40736"/>
    <w:rsid w:val="00CA5CE2"/>
    <w:rsid w:val="00CA7763"/>
    <w:rsid w:val="00CB67B8"/>
    <w:rsid w:val="00CB7AD8"/>
    <w:rsid w:val="00CD3AA7"/>
    <w:rsid w:val="00CD5DD9"/>
    <w:rsid w:val="00CE1F58"/>
    <w:rsid w:val="00D15CD1"/>
    <w:rsid w:val="00D16CD3"/>
    <w:rsid w:val="00D3123C"/>
    <w:rsid w:val="00D45984"/>
    <w:rsid w:val="00D70E20"/>
    <w:rsid w:val="00DB5FB9"/>
    <w:rsid w:val="00DB6372"/>
    <w:rsid w:val="00DB64FB"/>
    <w:rsid w:val="00DB792E"/>
    <w:rsid w:val="00DC4CA3"/>
    <w:rsid w:val="00DD12AF"/>
    <w:rsid w:val="00DD7346"/>
    <w:rsid w:val="00DF0C40"/>
    <w:rsid w:val="00DF25B4"/>
    <w:rsid w:val="00E166D7"/>
    <w:rsid w:val="00E42DC1"/>
    <w:rsid w:val="00E47A91"/>
    <w:rsid w:val="00E528E4"/>
    <w:rsid w:val="00E5451A"/>
    <w:rsid w:val="00E7209B"/>
    <w:rsid w:val="00EA424C"/>
    <w:rsid w:val="00EA6A61"/>
    <w:rsid w:val="00EA6C1E"/>
    <w:rsid w:val="00EB5413"/>
    <w:rsid w:val="00EF7184"/>
    <w:rsid w:val="00F03A5A"/>
    <w:rsid w:val="00F12D6B"/>
    <w:rsid w:val="00F24455"/>
    <w:rsid w:val="00F40D91"/>
    <w:rsid w:val="00F46B7D"/>
    <w:rsid w:val="00F57719"/>
    <w:rsid w:val="00F83DE5"/>
    <w:rsid w:val="00FA61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68DF0"/>
  <w15:chartTrackingRefBased/>
  <w15:docId w15:val="{9AD85BFA-729B-4F74-8277-11534F5F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ind w:left="578" w:hanging="578"/>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ind w:left="862" w:hanging="862"/>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3C55ED"/>
    <w:pPr>
      <w:tabs>
        <w:tab w:val="left" w:pos="480"/>
        <w:tab w:val="right" w:leader="dot" w:pos="8828"/>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pPr>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link w:val="EncabezadoCar"/>
    <w:uiPriority w:val="99"/>
    <w:pPr>
      <w:tabs>
        <w:tab w:val="center" w:pos="4252"/>
        <w:tab w:val="right" w:pos="8504"/>
      </w:tabs>
    </w:pPr>
  </w:style>
  <w:style w:type="character" w:styleId="Refdenotaalpie">
    <w:name w:val="footnote reference"/>
    <w:aliases w:val="Nota de pie,Ref,de nota al pie"/>
    <w:uiPriority w:val="99"/>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Bolita,Párrafo de lista3,BOLA,Párrafo de lista21"/>
    <w:basedOn w:val="Normal"/>
    <w:link w:val="PrrafodelistaCar"/>
    <w:uiPriority w:val="34"/>
    <w:qFormat/>
    <w:rsid w:val="003C55ED"/>
    <w:pPr>
      <w:ind w:left="708"/>
    </w:pPr>
  </w:style>
  <w:style w:type="paragraph" w:styleId="NormalWeb">
    <w:name w:val="Normal (Web)"/>
    <w:basedOn w:val="Normal"/>
    <w:uiPriority w:val="99"/>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styleId="Textodelmarcadordeposicin">
    <w:name w:val="Placeholder Text"/>
    <w:basedOn w:val="Fuentedeprrafopredeter"/>
    <w:uiPriority w:val="99"/>
    <w:semiHidden/>
    <w:rsid w:val="001212B1"/>
    <w:rPr>
      <w:color w:val="808080"/>
    </w:rPr>
  </w:style>
  <w:style w:type="paragraph" w:styleId="Asuntodelcomentario">
    <w:name w:val="annotation subject"/>
    <w:basedOn w:val="Textocomentario"/>
    <w:next w:val="Textocomentario"/>
    <w:link w:val="AsuntodelcomentarioCar"/>
    <w:uiPriority w:val="99"/>
    <w:semiHidden/>
    <w:unhideWhenUsed/>
    <w:rsid w:val="001212B1"/>
    <w:rPr>
      <w:b/>
      <w:bCs/>
    </w:rPr>
  </w:style>
  <w:style w:type="character" w:customStyle="1" w:styleId="AsuntodelcomentarioCar">
    <w:name w:val="Asunto del comentario Car"/>
    <w:basedOn w:val="TextocomentarioCar"/>
    <w:link w:val="Asuntodelcomentario"/>
    <w:uiPriority w:val="99"/>
    <w:semiHidden/>
    <w:rsid w:val="001212B1"/>
    <w:rPr>
      <w:rFonts w:ascii="Arial" w:hAnsi="Arial"/>
      <w:b/>
      <w:bCs/>
      <w:lang w:val="es-ES_tradnl" w:eastAsia="es-ES"/>
    </w:rPr>
  </w:style>
  <w:style w:type="paragraph" w:styleId="Sinespaciado">
    <w:name w:val="No Spacing"/>
    <w:link w:val="SinespaciadoCar"/>
    <w:uiPriority w:val="1"/>
    <w:qFormat/>
    <w:rsid w:val="001212B1"/>
    <w:pPr>
      <w:jc w:val="center"/>
    </w:pPr>
    <w:rPr>
      <w:rFonts w:ascii="Arial" w:hAnsi="Arial"/>
      <w:b/>
      <w:bCs/>
      <w:sz w:val="18"/>
      <w:szCs w:val="14"/>
      <w:lang w:eastAsia="es-ES"/>
    </w:rPr>
  </w:style>
  <w:style w:type="paragraph" w:styleId="TtuloTDC">
    <w:name w:val="TOC Heading"/>
    <w:basedOn w:val="Ttulo1"/>
    <w:next w:val="Normal"/>
    <w:uiPriority w:val="39"/>
    <w:unhideWhenUsed/>
    <w:qFormat/>
    <w:rsid w:val="001212B1"/>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customStyle="1" w:styleId="PrrafodelistaCar">
    <w:name w:val="Párrafo de lista Car"/>
    <w:aliases w:val="Párrafo de lista1 Car,Bolita Car,Párrafo de lista3 Car,BOLA Car,Párrafo de lista21 Car"/>
    <w:link w:val="Prrafodelista"/>
    <w:uiPriority w:val="34"/>
    <w:rsid w:val="001212B1"/>
    <w:rPr>
      <w:rFonts w:ascii="Arial" w:hAnsi="Arial"/>
      <w:sz w:val="24"/>
      <w:lang w:val="es-ES_tradnl" w:eastAsia="es-ES"/>
    </w:rPr>
  </w:style>
  <w:style w:type="paragraph" w:customStyle="1" w:styleId="Default">
    <w:name w:val="Default"/>
    <w:rsid w:val="001212B1"/>
    <w:pPr>
      <w:autoSpaceDE w:val="0"/>
      <w:autoSpaceDN w:val="0"/>
      <w:adjustRightInd w:val="0"/>
    </w:pPr>
    <w:rPr>
      <w:rFonts w:ascii="Arial" w:hAnsi="Arial" w:cs="Arial"/>
      <w:color w:val="000000"/>
      <w:sz w:val="24"/>
      <w:szCs w:val="24"/>
    </w:rPr>
  </w:style>
  <w:style w:type="paragraph" w:styleId="Descripcin">
    <w:name w:val="caption"/>
    <w:basedOn w:val="Normal"/>
    <w:next w:val="Normal"/>
    <w:uiPriority w:val="35"/>
    <w:qFormat/>
    <w:rsid w:val="001212B1"/>
    <w:pPr>
      <w:keepNext/>
      <w:jc w:val="left"/>
    </w:pPr>
    <w:rPr>
      <w:b/>
      <w:iCs/>
      <w:sz w:val="18"/>
      <w:szCs w:val="18"/>
    </w:rPr>
  </w:style>
  <w:style w:type="paragraph" w:styleId="Revisin">
    <w:name w:val="Revision"/>
    <w:hidden/>
    <w:uiPriority w:val="99"/>
    <w:semiHidden/>
    <w:rsid w:val="001212B1"/>
    <w:rPr>
      <w:rFonts w:ascii="Arial" w:hAnsi="Arial"/>
      <w:sz w:val="24"/>
      <w:lang w:val="es-ES_tradnl" w:eastAsia="es-ES"/>
    </w:rPr>
  </w:style>
  <w:style w:type="paragraph" w:customStyle="1" w:styleId="paragraph">
    <w:name w:val="paragraph"/>
    <w:basedOn w:val="Normal"/>
    <w:rsid w:val="001212B1"/>
    <w:pPr>
      <w:spacing w:before="100" w:beforeAutospacing="1" w:after="100" w:afterAutospacing="1"/>
      <w:jc w:val="left"/>
    </w:pPr>
    <w:rPr>
      <w:rFonts w:ascii="Times New Roman" w:hAnsi="Times New Roman"/>
      <w:szCs w:val="24"/>
      <w:lang w:val="es-CO" w:eastAsia="es-CO"/>
    </w:rPr>
  </w:style>
  <w:style w:type="character" w:customStyle="1" w:styleId="normaltextrun">
    <w:name w:val="normaltextrun"/>
    <w:basedOn w:val="Fuentedeprrafopredeter"/>
    <w:rsid w:val="001212B1"/>
  </w:style>
  <w:style w:type="character" w:customStyle="1" w:styleId="eop">
    <w:name w:val="eop"/>
    <w:basedOn w:val="Fuentedeprrafopredeter"/>
    <w:rsid w:val="001212B1"/>
  </w:style>
  <w:style w:type="table" w:styleId="Tablanormal5">
    <w:name w:val="Plain Table 5"/>
    <w:basedOn w:val="Tablanormal"/>
    <w:uiPriority w:val="45"/>
    <w:rsid w:val="00121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1212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12B1"/>
    <w:rPr>
      <w:rFonts w:ascii="Segoe UI" w:hAnsi="Segoe UI" w:cs="Segoe UI"/>
      <w:sz w:val="18"/>
      <w:szCs w:val="18"/>
      <w:lang w:val="es-ES_tradnl" w:eastAsia="es-ES"/>
    </w:rPr>
  </w:style>
  <w:style w:type="table" w:styleId="Tablanormal3">
    <w:name w:val="Plain Table 3"/>
    <w:basedOn w:val="Tablanormal"/>
    <w:uiPriority w:val="43"/>
    <w:rsid w:val="001212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59"/>
    <w:rsid w:val="001212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cinsinresolver">
    <w:name w:val="Unresolved Mention"/>
    <w:basedOn w:val="Fuentedeprrafopredeter"/>
    <w:uiPriority w:val="99"/>
    <w:semiHidden/>
    <w:unhideWhenUsed/>
    <w:rsid w:val="001212B1"/>
    <w:rPr>
      <w:color w:val="605E5C"/>
      <w:shd w:val="clear" w:color="auto" w:fill="E1DFDD"/>
    </w:rPr>
  </w:style>
  <w:style w:type="paragraph" w:customStyle="1" w:styleId="Vieta">
    <w:name w:val="Viñeta"/>
    <w:basedOn w:val="Sinespaciado"/>
    <w:link w:val="VietaCar"/>
    <w:qFormat/>
    <w:rsid w:val="001212B1"/>
    <w:pPr>
      <w:numPr>
        <w:numId w:val="16"/>
      </w:numPr>
      <w:jc w:val="both"/>
    </w:pPr>
    <w:rPr>
      <w:b w:val="0"/>
      <w:bCs w:val="0"/>
      <w:sz w:val="24"/>
      <w:szCs w:val="24"/>
    </w:rPr>
  </w:style>
  <w:style w:type="character" w:customStyle="1" w:styleId="SinespaciadoCar">
    <w:name w:val="Sin espaciado Car"/>
    <w:basedOn w:val="Fuentedeprrafopredeter"/>
    <w:link w:val="Sinespaciado"/>
    <w:uiPriority w:val="1"/>
    <w:rsid w:val="001212B1"/>
    <w:rPr>
      <w:rFonts w:ascii="Arial" w:hAnsi="Arial"/>
      <w:b/>
      <w:bCs/>
      <w:sz w:val="18"/>
      <w:szCs w:val="14"/>
      <w:lang w:eastAsia="es-ES"/>
    </w:rPr>
  </w:style>
  <w:style w:type="character" w:customStyle="1" w:styleId="VietaCar">
    <w:name w:val="Viñeta Car"/>
    <w:basedOn w:val="SinespaciadoCar"/>
    <w:link w:val="Vieta"/>
    <w:rsid w:val="001212B1"/>
    <w:rPr>
      <w:rFonts w:ascii="Arial" w:hAnsi="Arial"/>
      <w:b w:val="0"/>
      <w:bCs w:val="0"/>
      <w:sz w:val="24"/>
      <w:szCs w:val="24"/>
      <w:lang w:eastAsia="es-ES"/>
    </w:rPr>
  </w:style>
  <w:style w:type="paragraph" w:customStyle="1" w:styleId="Titulo1">
    <w:name w:val="Titulo 1"/>
    <w:basedOn w:val="Ttulo1"/>
    <w:next w:val="Normal"/>
    <w:autoRedefine/>
    <w:qFormat/>
    <w:rsid w:val="001212B1"/>
    <w:pPr>
      <w:keepLines/>
      <w:numPr>
        <w:numId w:val="0"/>
      </w:numPr>
      <w:suppressAutoHyphens w:val="0"/>
      <w:spacing w:before="240" w:after="360"/>
      <w:ind w:left="284"/>
    </w:pPr>
    <w:rPr>
      <w:rFonts w:ascii="Arial Negrita" w:hAnsi="Arial Negrita"/>
      <w:b w:val="0"/>
      <w:bCs/>
      <w:caps/>
      <w:sz w:val="28"/>
      <w:szCs w:val="28"/>
      <w:lang w:val="es-CO" w:eastAsia="en-US"/>
    </w:rPr>
  </w:style>
  <w:style w:type="character" w:styleId="Hipervnculovisitado">
    <w:name w:val="FollowedHyperlink"/>
    <w:basedOn w:val="Fuentedeprrafopredeter"/>
    <w:uiPriority w:val="99"/>
    <w:semiHidden/>
    <w:unhideWhenUsed/>
    <w:rsid w:val="001212B1"/>
    <w:rPr>
      <w:color w:val="954F72" w:themeColor="followedHyperlink"/>
      <w:u w:val="single"/>
    </w:rPr>
  </w:style>
  <w:style w:type="character" w:styleId="nfasis">
    <w:name w:val="Emphasis"/>
    <w:basedOn w:val="Fuentedeprrafopredeter"/>
    <w:uiPriority w:val="20"/>
    <w:qFormat/>
    <w:rsid w:val="001212B1"/>
    <w:rPr>
      <w:i/>
      <w:iCs/>
    </w:rPr>
  </w:style>
  <w:style w:type="character" w:styleId="Textoennegrita">
    <w:name w:val="Strong"/>
    <w:basedOn w:val="Fuentedeprrafopredeter"/>
    <w:uiPriority w:val="22"/>
    <w:qFormat/>
    <w:rsid w:val="001212B1"/>
    <w:rPr>
      <w:sz w:val="20"/>
      <w:szCs w:val="20"/>
    </w:rPr>
  </w:style>
  <w:style w:type="paragraph" w:customStyle="1" w:styleId="pa29">
    <w:name w:val="pa29"/>
    <w:basedOn w:val="Normal"/>
    <w:rsid w:val="001212B1"/>
    <w:pPr>
      <w:spacing w:before="100" w:beforeAutospacing="1" w:after="100" w:afterAutospacing="1"/>
      <w:jc w:val="left"/>
    </w:pPr>
    <w:rPr>
      <w:rFonts w:ascii="Times New Roman" w:hAnsi="Times New Roman"/>
      <w:szCs w:val="24"/>
      <w:lang w:val="es-CO" w:eastAsia="es-CO"/>
    </w:rPr>
  </w:style>
  <w:style w:type="character" w:customStyle="1" w:styleId="a5">
    <w:name w:val="a5"/>
    <w:basedOn w:val="Fuentedeprrafopredeter"/>
    <w:rsid w:val="001212B1"/>
  </w:style>
  <w:style w:type="paragraph" w:customStyle="1" w:styleId="pa28">
    <w:name w:val="pa28"/>
    <w:basedOn w:val="Normal"/>
    <w:rsid w:val="001212B1"/>
    <w:pPr>
      <w:spacing w:before="100" w:beforeAutospacing="1" w:after="100" w:afterAutospacing="1"/>
      <w:jc w:val="left"/>
    </w:pPr>
    <w:rPr>
      <w:rFonts w:ascii="Times New Roman" w:hAnsi="Times New Roman"/>
      <w:szCs w:val="24"/>
      <w:lang w:val="es-CO" w:eastAsia="es-CO"/>
    </w:rPr>
  </w:style>
  <w:style w:type="paragraph" w:customStyle="1" w:styleId="default0">
    <w:name w:val="default"/>
    <w:basedOn w:val="Normal"/>
    <w:rsid w:val="001212B1"/>
    <w:pPr>
      <w:spacing w:before="100" w:beforeAutospacing="1" w:after="100" w:afterAutospacing="1"/>
      <w:jc w:val="left"/>
    </w:pPr>
    <w:rPr>
      <w:rFonts w:ascii="Times New Roman" w:hAnsi="Times New Roman"/>
      <w:szCs w:val="24"/>
      <w:lang w:val="es-CO" w:eastAsia="es-CO"/>
    </w:rPr>
  </w:style>
  <w:style w:type="paragraph" w:customStyle="1" w:styleId="pa11">
    <w:name w:val="pa11"/>
    <w:basedOn w:val="Normal"/>
    <w:rsid w:val="001212B1"/>
    <w:pPr>
      <w:spacing w:before="100" w:beforeAutospacing="1" w:after="100" w:afterAutospacing="1"/>
      <w:jc w:val="left"/>
    </w:pPr>
    <w:rPr>
      <w:rFonts w:ascii="Times New Roman" w:hAnsi="Times New Roman"/>
      <w:szCs w:val="24"/>
      <w:lang w:val="es-CO" w:eastAsia="es-CO"/>
    </w:rPr>
  </w:style>
  <w:style w:type="paragraph" w:customStyle="1" w:styleId="pa8">
    <w:name w:val="pa8"/>
    <w:basedOn w:val="Normal"/>
    <w:rsid w:val="001212B1"/>
    <w:pPr>
      <w:spacing w:before="100" w:beforeAutospacing="1" w:after="100" w:afterAutospacing="1"/>
      <w:jc w:val="left"/>
    </w:pPr>
    <w:rPr>
      <w:rFonts w:ascii="Times New Roman" w:hAnsi="Times New Roman"/>
      <w:szCs w:val="24"/>
      <w:lang w:val="es-CO" w:eastAsia="es-CO"/>
    </w:rPr>
  </w:style>
  <w:style w:type="character" w:customStyle="1" w:styleId="spelle">
    <w:name w:val="spelle"/>
    <w:basedOn w:val="Fuentedeprrafopredeter"/>
    <w:rsid w:val="001212B1"/>
  </w:style>
  <w:style w:type="paragraph" w:customStyle="1" w:styleId="cuerpotexto">
    <w:name w:val="cuerpotexto"/>
    <w:basedOn w:val="Normal"/>
    <w:rsid w:val="001212B1"/>
    <w:pPr>
      <w:spacing w:before="100" w:beforeAutospacing="1" w:after="100" w:afterAutospacing="1"/>
      <w:jc w:val="left"/>
    </w:pPr>
    <w:rPr>
      <w:rFonts w:ascii="Times New Roman" w:hAnsi="Times New Roman"/>
      <w:szCs w:val="24"/>
      <w:lang w:val="es-CO" w:eastAsia="es-CO"/>
    </w:rPr>
  </w:style>
  <w:style w:type="paragraph" w:customStyle="1" w:styleId="cuerpotexto0">
    <w:name w:val="cuerpotexto0"/>
    <w:basedOn w:val="Normal"/>
    <w:rsid w:val="001212B1"/>
    <w:pPr>
      <w:spacing w:before="100" w:beforeAutospacing="1" w:after="100" w:afterAutospacing="1"/>
      <w:jc w:val="left"/>
    </w:pPr>
    <w:rPr>
      <w:rFonts w:ascii="Times New Roman" w:hAnsi="Times New Roman"/>
      <w:szCs w:val="24"/>
      <w:lang w:val="es-CO" w:eastAsia="es-CO"/>
    </w:rPr>
  </w:style>
  <w:style w:type="character" w:styleId="Mencionar">
    <w:name w:val="Mention"/>
    <w:basedOn w:val="Fuentedeprrafopredeter"/>
    <w:uiPriority w:val="99"/>
    <w:unhideWhenUsed/>
    <w:rsid w:val="001212B1"/>
    <w:rPr>
      <w:color w:val="2B579A"/>
      <w:shd w:val="clear" w:color="auto" w:fill="E1DFDD"/>
    </w:rPr>
  </w:style>
  <w:style w:type="paragraph" w:styleId="HTMLconformatoprevio">
    <w:name w:val="HTML Preformatted"/>
    <w:basedOn w:val="Normal"/>
    <w:link w:val="HTMLconformatoprevioCar"/>
    <w:uiPriority w:val="99"/>
    <w:semiHidden/>
    <w:unhideWhenUsed/>
    <w:rsid w:val="00121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s-CO" w:eastAsia="es-CO"/>
    </w:rPr>
  </w:style>
  <w:style w:type="character" w:customStyle="1" w:styleId="HTMLconformatoprevioCar">
    <w:name w:val="HTML con formato previo Car"/>
    <w:basedOn w:val="Fuentedeprrafopredeter"/>
    <w:link w:val="HTMLconformatoprevio"/>
    <w:uiPriority w:val="99"/>
    <w:semiHidden/>
    <w:rsid w:val="001212B1"/>
    <w:rPr>
      <w:rFonts w:ascii="Courier New" w:hAnsi="Courier New" w:cs="Courier New"/>
    </w:rPr>
  </w:style>
  <w:style w:type="character" w:customStyle="1" w:styleId="y2iqfc">
    <w:name w:val="y2iqfc"/>
    <w:basedOn w:val="Fuentedeprrafopredeter"/>
    <w:rsid w:val="001212B1"/>
  </w:style>
  <w:style w:type="character" w:customStyle="1" w:styleId="whyltd">
    <w:name w:val="whyltd"/>
    <w:basedOn w:val="Fuentedeprrafopredeter"/>
    <w:rsid w:val="001212B1"/>
  </w:style>
  <w:style w:type="character" w:customStyle="1" w:styleId="EncabezadoCar">
    <w:name w:val="Encabezado Car"/>
    <w:basedOn w:val="Fuentedeprrafopredeter"/>
    <w:link w:val="Encabezado"/>
    <w:uiPriority w:val="99"/>
    <w:rsid w:val="001212B1"/>
    <w:rPr>
      <w:rFonts w:ascii="Arial" w:hAnsi="Arial"/>
      <w:sz w:val="24"/>
      <w:lang w:val="es-ES_tradnl" w:eastAsia="es-ES"/>
    </w:rPr>
  </w:style>
  <w:style w:type="character" w:customStyle="1" w:styleId="cf01">
    <w:name w:val="cf01"/>
    <w:basedOn w:val="Fuentedeprrafopredeter"/>
    <w:rsid w:val="001212B1"/>
    <w:rPr>
      <w:rFonts w:ascii="Segoe UI" w:hAnsi="Segoe UI" w:cs="Segoe UI" w:hint="default"/>
      <w:sz w:val="18"/>
      <w:szCs w:val="18"/>
    </w:rPr>
  </w:style>
  <w:style w:type="character" w:customStyle="1" w:styleId="A50">
    <w:name w:val="A5"/>
    <w:uiPriority w:val="99"/>
    <w:rsid w:val="001212B1"/>
    <w:rPr>
      <w:rFonts w:cs="Source Sans Pro"/>
      <w:color w:val="000000"/>
      <w:sz w:val="25"/>
      <w:szCs w:val="25"/>
    </w:rPr>
  </w:style>
  <w:style w:type="character" w:customStyle="1" w:styleId="ui-provider">
    <w:name w:val="ui-provider"/>
    <w:basedOn w:val="Fuentedeprrafopredeter"/>
    <w:rsid w:val="00121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hart" Target="charts/chart7.xm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header" Target="header1.xml"/><Relationship Id="rId55" Type="http://schemas.openxmlformats.org/officeDocument/2006/relationships/image" Target="media/image13.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diagramDrawing" Target="diagrams/drawing1.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footer" Target="footer2.xml"/><Relationship Id="rId58"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image" Target="media/image1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image" Target="media/image17.png"/><Relationship Id="rId20" Type="http://schemas.openxmlformats.org/officeDocument/2006/relationships/image" Target="media/image7.png"/><Relationship Id="rId41" Type="http://schemas.openxmlformats.org/officeDocument/2006/relationships/diagramLayout" Target="diagrams/layout4.xml"/><Relationship Id="rId54" Type="http://schemas.openxmlformats.org/officeDocument/2006/relationships/image" Target="media/image1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8.xm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image" Target="media/image15.png"/><Relationship Id="rId10" Type="http://schemas.openxmlformats.org/officeDocument/2006/relationships/chart" Target="charts/chart2.xm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header" Target="header2.xml"/><Relationship Id="rId60" Type="http://schemas.openxmlformats.org/officeDocument/2006/relationships/image" Target="media/image1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png"/><Relationship Id="rId39" Type="http://schemas.microsoft.com/office/2007/relationships/diagramDrawing" Target="diagrams/drawing3.xml"/></Relationships>
</file>

<file path=word/_rels/footnotes.xml.rels><?xml version="1.0" encoding="UTF-8" standalone="yes"?>
<Relationships xmlns="http://schemas.openxmlformats.org/package/2006/relationships"><Relationship Id="rId3" Type="http://schemas.openxmlformats.org/officeDocument/2006/relationships/hyperlink" Target="https://www.chevron.com/-/media/chevron/operations/documents/aviation-tech-review.pdf" TargetMode="External"/><Relationship Id="rId2" Type="http://schemas.openxmlformats.org/officeDocument/2006/relationships/hyperlink" Target="http://www.lexbase.biz/lexbase/normas/decretos/1956/D0177de1956.htm" TargetMode="External"/><Relationship Id="rId1" Type="http://schemas.openxmlformats.org/officeDocument/2006/relationships/hyperlink" Target="http://www.lexbase.biz/lexbase/normas/leyes/2023/L2294de2023.htm" TargetMode="External"/><Relationship Id="rId6" Type="http://schemas.openxmlformats.org/officeDocument/2006/relationships/hyperlink" Target="https://www.ecopetrol.com.co/wps/wcm/connect/2b7d821a-5cb8-4666-b3db-383883c29836/Proceso+de+Comercializaci%C3%B3n+de+Jet+A1+Noviembre+2019.pdf?MOD=AJPERES&amp;attachment=true&amp;id=1583869663051" TargetMode="External"/><Relationship Id="rId5" Type="http://schemas.openxmlformats.org/officeDocument/2006/relationships/hyperlink" Target="https://www.minenergia.gov.co/documents/10442/3._Escenarios_nacionales_TEJ._Rutas_que_nos_preparan_para_el_futuro.pdf" TargetMode="External"/><Relationship Id="rId4" Type="http://schemas.openxmlformats.org/officeDocument/2006/relationships/hyperlink" Target="https://biologicaldiversity.org/w/news/press-releases/bidens-sustainable-aviation-fuel-goals-mired-in-myth-report-2022-08-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Hoja1!$A$2</c:f>
              <c:strCache>
                <c:ptCount val="1"/>
                <c:pt idx="0">
                  <c:v>Refinería de Barrancabermeja</c:v>
                </c:pt>
              </c:strCache>
            </c:strRef>
          </c:tx>
          <c:spPr>
            <a:solidFill>
              <a:schemeClr val="accent1"/>
            </a:solidFill>
            <a:ln>
              <a:noFill/>
            </a:ln>
            <a:effectLst/>
          </c:spPr>
          <c:invertIfNegative val="0"/>
          <c:dLbls>
            <c:dLbl>
              <c:idx val="14"/>
              <c:layout>
                <c:manualLayout>
                  <c:x val="-1.885396225483871E-16"/>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BD-4597-9D3E-989948EDA00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Hoja1!$B$1:$P$1</c:f>
              <c:strCach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strCache>
            </c:strRef>
          </c:cat>
          <c:val>
            <c:numRef>
              <c:f>Hoja1!$B$2:$P$2</c:f>
              <c:numCache>
                <c:formatCode>#,##0</c:formatCode>
                <c:ptCount val="15"/>
                <c:pt idx="0">
                  <c:v>15468</c:v>
                </c:pt>
                <c:pt idx="1">
                  <c:v>18444</c:v>
                </c:pt>
                <c:pt idx="2">
                  <c:v>18645</c:v>
                </c:pt>
                <c:pt idx="3">
                  <c:v>19073</c:v>
                </c:pt>
                <c:pt idx="4">
                  <c:v>19552</c:v>
                </c:pt>
                <c:pt idx="5">
                  <c:v>23441</c:v>
                </c:pt>
                <c:pt idx="6">
                  <c:v>19400</c:v>
                </c:pt>
                <c:pt idx="7">
                  <c:v>17784</c:v>
                </c:pt>
                <c:pt idx="8">
                  <c:v>17865</c:v>
                </c:pt>
                <c:pt idx="9">
                  <c:v>21316</c:v>
                </c:pt>
                <c:pt idx="10">
                  <c:v>21679</c:v>
                </c:pt>
                <c:pt idx="11">
                  <c:v>11347</c:v>
                </c:pt>
                <c:pt idx="12">
                  <c:v>19939</c:v>
                </c:pt>
                <c:pt idx="13">
                  <c:v>26809</c:v>
                </c:pt>
                <c:pt idx="14">
                  <c:v>28597.817673842146</c:v>
                </c:pt>
              </c:numCache>
            </c:numRef>
          </c:val>
          <c:extLst>
            <c:ext xmlns:c16="http://schemas.microsoft.com/office/drawing/2014/chart" uri="{C3380CC4-5D6E-409C-BE32-E72D297353CC}">
              <c16:uniqueId val="{00000001-33BD-4597-9D3E-989948EDA00B}"/>
            </c:ext>
          </c:extLst>
        </c:ser>
        <c:ser>
          <c:idx val="1"/>
          <c:order val="1"/>
          <c:tx>
            <c:strRef>
              <c:f>Hoja1!$A$3</c:f>
              <c:strCache>
                <c:ptCount val="1"/>
                <c:pt idx="0">
                  <c:v>Refinería de Cartagena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Hoja1!$B$1:$P$1</c:f>
              <c:strCach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strCache>
            </c:strRef>
          </c:cat>
          <c:val>
            <c:numRef>
              <c:f>Hoja1!$B$3:$P$3</c:f>
              <c:numCache>
                <c:formatCode>#,##0</c:formatCode>
                <c:ptCount val="15"/>
                <c:pt idx="0">
                  <c:v>7793</c:v>
                </c:pt>
                <c:pt idx="1">
                  <c:v>5946</c:v>
                </c:pt>
                <c:pt idx="2">
                  <c:v>6644</c:v>
                </c:pt>
                <c:pt idx="3">
                  <c:v>6784</c:v>
                </c:pt>
                <c:pt idx="4">
                  <c:v>6099</c:v>
                </c:pt>
                <c:pt idx="5" formatCode="General">
                  <c:v>797</c:v>
                </c:pt>
                <c:pt idx="6">
                  <c:v>2516</c:v>
                </c:pt>
                <c:pt idx="7">
                  <c:v>7402</c:v>
                </c:pt>
                <c:pt idx="8">
                  <c:v>8242</c:v>
                </c:pt>
                <c:pt idx="9">
                  <c:v>7770</c:v>
                </c:pt>
                <c:pt idx="10">
                  <c:v>8700</c:v>
                </c:pt>
                <c:pt idx="11">
                  <c:v>7545</c:v>
                </c:pt>
                <c:pt idx="12">
                  <c:v>6225</c:v>
                </c:pt>
                <c:pt idx="13">
                  <c:v>8486</c:v>
                </c:pt>
                <c:pt idx="14">
                  <c:v>12311.98392041748</c:v>
                </c:pt>
              </c:numCache>
            </c:numRef>
          </c:val>
          <c:extLst>
            <c:ext xmlns:c16="http://schemas.microsoft.com/office/drawing/2014/chart" uri="{C3380CC4-5D6E-409C-BE32-E72D297353CC}">
              <c16:uniqueId val="{00000002-33BD-4597-9D3E-989948EDA00B}"/>
            </c:ext>
          </c:extLst>
        </c:ser>
        <c:dLbls>
          <c:showLegendKey val="0"/>
          <c:showVal val="0"/>
          <c:showCatName val="0"/>
          <c:showSerName val="0"/>
          <c:showPercent val="0"/>
          <c:showBubbleSize val="0"/>
        </c:dLbls>
        <c:gapWidth val="50"/>
        <c:overlap val="100"/>
        <c:axId val="1636883471"/>
        <c:axId val="1636886831"/>
      </c:barChart>
      <c:catAx>
        <c:axId val="163688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636886831"/>
        <c:crosses val="autoZero"/>
        <c:auto val="1"/>
        <c:lblAlgn val="ctr"/>
        <c:lblOffset val="100"/>
        <c:noMultiLvlLbl val="0"/>
      </c:catAx>
      <c:valAx>
        <c:axId val="1636886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O"/>
                  <a:t>BPD</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63688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Hoja1!$A$2</c:f>
              <c:strCache>
                <c:ptCount val="1"/>
                <c:pt idx="0">
                  <c:v>Ecopetrol S.A</c:v>
                </c:pt>
              </c:strCache>
            </c:strRef>
          </c:tx>
          <c:spPr>
            <a:solidFill>
              <a:schemeClr val="accent1"/>
            </a:solidFill>
            <a:ln>
              <a:noFill/>
            </a:ln>
            <a:effectLst/>
          </c:spPr>
          <c:invertIfNegative val="0"/>
          <c:cat>
            <c:strRef>
              <c:f>Hoja1!$B$1:$P$1</c:f>
              <c:strCach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strCache>
            </c:strRef>
          </c:cat>
          <c:val>
            <c:numRef>
              <c:f>Hoja1!$B$2:$P$2</c:f>
              <c:numCache>
                <c:formatCode>#,##0</c:formatCode>
                <c:ptCount val="15"/>
                <c:pt idx="0">
                  <c:v>58.480190476190472</c:v>
                </c:pt>
                <c:pt idx="1">
                  <c:v>49.354246575342465</c:v>
                </c:pt>
                <c:pt idx="2">
                  <c:v>25.529934768427921</c:v>
                </c:pt>
                <c:pt idx="3">
                  <c:v>0</c:v>
                </c:pt>
                <c:pt idx="4">
                  <c:v>0</c:v>
                </c:pt>
                <c:pt idx="5">
                  <c:v>375.24276712328771</c:v>
                </c:pt>
                <c:pt idx="6">
                  <c:v>2849.4292393998694</c:v>
                </c:pt>
                <c:pt idx="7">
                  <c:v>1011.1768800416341</c:v>
                </c:pt>
                <c:pt idx="8">
                  <c:v>2453.7491506849315</c:v>
                </c:pt>
                <c:pt idx="9">
                  <c:v>561.1523561643836</c:v>
                </c:pt>
                <c:pt idx="10">
                  <c:v>1715.2095616438355</c:v>
                </c:pt>
                <c:pt idx="11">
                  <c:v>960.97663934426214</c:v>
                </c:pt>
                <c:pt idx="12">
                  <c:v>0</c:v>
                </c:pt>
                <c:pt idx="13">
                  <c:v>1716.8251506849313</c:v>
                </c:pt>
                <c:pt idx="14">
                  <c:v>0</c:v>
                </c:pt>
              </c:numCache>
            </c:numRef>
          </c:val>
          <c:extLst>
            <c:ext xmlns:c16="http://schemas.microsoft.com/office/drawing/2014/chart" uri="{C3380CC4-5D6E-409C-BE32-E72D297353CC}">
              <c16:uniqueId val="{00000000-684F-4022-883D-C37171011AF0}"/>
            </c:ext>
          </c:extLst>
        </c:ser>
        <c:ser>
          <c:idx val="1"/>
          <c:order val="1"/>
          <c:tx>
            <c:strRef>
              <c:f>Hoja1!$A$3</c:f>
              <c:strCache>
                <c:ptCount val="1"/>
                <c:pt idx="0">
                  <c:v>Refinería de Cartagena S.A</c:v>
                </c:pt>
              </c:strCache>
            </c:strRef>
          </c:tx>
          <c:spPr>
            <a:solidFill>
              <a:schemeClr val="accent2"/>
            </a:solidFill>
            <a:ln>
              <a:noFill/>
            </a:ln>
            <a:effectLst/>
          </c:spPr>
          <c:invertIfNegative val="0"/>
          <c:cat>
            <c:strRef>
              <c:f>Hoja1!$B$1:$P$1</c:f>
              <c:strCach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strCache>
            </c:strRef>
          </c:cat>
          <c:val>
            <c:numRef>
              <c:f>Hoja1!$B$3:$P$3</c:f>
              <c:numCache>
                <c:formatCode>#,##0</c:formatCode>
                <c:ptCount val="15"/>
                <c:pt idx="0">
                  <c:v>0</c:v>
                </c:pt>
                <c:pt idx="1">
                  <c:v>192.42775342465754</c:v>
                </c:pt>
                <c:pt idx="2">
                  <c:v>531.59895890410962</c:v>
                </c:pt>
                <c:pt idx="3">
                  <c:v>670.56767759562842</c:v>
                </c:pt>
                <c:pt idx="4">
                  <c:v>2604.9516921069794</c:v>
                </c:pt>
                <c:pt idx="5" formatCode="General">
                  <c:v>4130.6402400521847</c:v>
                </c:pt>
                <c:pt idx="6">
                  <c:v>4262.5998838878022</c:v>
                </c:pt>
                <c:pt idx="7">
                  <c:v>1625.5009315638822</c:v>
                </c:pt>
                <c:pt idx="8">
                  <c:v>847.20709589041087</c:v>
                </c:pt>
                <c:pt idx="9">
                  <c:v>1499.338219178082</c:v>
                </c:pt>
                <c:pt idx="10">
                  <c:v>0</c:v>
                </c:pt>
                <c:pt idx="11">
                  <c:v>0</c:v>
                </c:pt>
                <c:pt idx="12">
                  <c:v>0</c:v>
                </c:pt>
                <c:pt idx="13">
                  <c:v>0</c:v>
                </c:pt>
                <c:pt idx="14">
                  <c:v>0</c:v>
                </c:pt>
              </c:numCache>
            </c:numRef>
          </c:val>
          <c:extLst>
            <c:ext xmlns:c16="http://schemas.microsoft.com/office/drawing/2014/chart" uri="{C3380CC4-5D6E-409C-BE32-E72D297353CC}">
              <c16:uniqueId val="{00000001-684F-4022-883D-C37171011AF0}"/>
            </c:ext>
          </c:extLst>
        </c:ser>
        <c:ser>
          <c:idx val="2"/>
          <c:order val="2"/>
          <c:tx>
            <c:strRef>
              <c:f>Hoja1!$A$4</c:f>
              <c:strCache>
                <c:ptCount val="1"/>
                <c:pt idx="0">
                  <c:v>Biomax Biocombustibles S.A</c:v>
                </c:pt>
              </c:strCache>
            </c:strRef>
          </c:tx>
          <c:spPr>
            <a:solidFill>
              <a:schemeClr val="accent3"/>
            </a:solidFill>
            <a:ln>
              <a:noFill/>
            </a:ln>
            <a:effectLst/>
          </c:spPr>
          <c:invertIfNegative val="0"/>
          <c:cat>
            <c:strRef>
              <c:f>Hoja1!$B$1:$P$1</c:f>
              <c:strCach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strCache>
            </c:strRef>
          </c:cat>
          <c:val>
            <c:numRef>
              <c:f>Hoja1!$B$4:$P$4</c:f>
              <c:numCache>
                <c:formatCode>General</c:formatCode>
                <c:ptCount val="15"/>
                <c:pt idx="3">
                  <c:v>247</c:v>
                </c:pt>
              </c:numCache>
            </c:numRef>
          </c:val>
          <c:extLst>
            <c:ext xmlns:c16="http://schemas.microsoft.com/office/drawing/2014/chart" uri="{C3380CC4-5D6E-409C-BE32-E72D297353CC}">
              <c16:uniqueId val="{00000002-684F-4022-883D-C37171011AF0}"/>
            </c:ext>
          </c:extLst>
        </c:ser>
        <c:dLbls>
          <c:showLegendKey val="0"/>
          <c:showVal val="0"/>
          <c:showCatName val="0"/>
          <c:showSerName val="0"/>
          <c:showPercent val="0"/>
          <c:showBubbleSize val="0"/>
        </c:dLbls>
        <c:gapWidth val="50"/>
        <c:overlap val="100"/>
        <c:axId val="1636883471"/>
        <c:axId val="1636886831"/>
      </c:barChart>
      <c:catAx>
        <c:axId val="163688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636886831"/>
        <c:crosses val="autoZero"/>
        <c:auto val="1"/>
        <c:lblAlgn val="ctr"/>
        <c:lblOffset val="100"/>
        <c:noMultiLvlLbl val="0"/>
      </c:catAx>
      <c:valAx>
        <c:axId val="1636886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O"/>
                  <a:t>BPD</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63688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dLbls>
          <c:showLegendKey val="0"/>
          <c:showVal val="0"/>
          <c:showCatName val="0"/>
          <c:showSerName val="0"/>
          <c:showPercent val="0"/>
          <c:showBubbleSize val="0"/>
        </c:dLbls>
        <c:axId val="600320784"/>
        <c:axId val="600318384"/>
        <c:extLst>
          <c:ext xmlns:c15="http://schemas.microsoft.com/office/drawing/2012/chart" uri="{02D57815-91ED-43cb-92C2-25804820EDAC}">
            <c15:filteredAreaSeries>
              <c15:ser>
                <c:idx val="0"/>
                <c:order val="0"/>
                <c:tx>
                  <c:strRef>
                    <c:extLst>
                      <c:ext uri="{02D57815-91ED-43cb-92C2-25804820EDAC}">
                        <c15:formulaRef>
                          <c15:sqref>Hoja1!$B$1</c15:sqref>
                        </c15:formulaRef>
                      </c:ext>
                    </c:extLst>
                    <c:strCache>
                      <c:ptCount val="1"/>
                      <c:pt idx="0">
                        <c:v>Producción</c:v>
                      </c:pt>
                    </c:strCache>
                  </c:strRef>
                </c:tx>
                <c:spPr>
                  <a:solidFill>
                    <a:schemeClr val="accent1"/>
                  </a:solidFill>
                  <a:ln>
                    <a:noFill/>
                  </a:ln>
                  <a:effectLst/>
                </c:spPr>
                <c:cat>
                  <c:numRef>
                    <c:extLst>
                      <c:ext uri="{02D57815-91ED-43cb-92C2-25804820EDAC}">
                        <c15:formulaRef>
                          <c15:sqref>Hoja1!$A$2:$A$16</c15:sqref>
                        </c15:formulaRef>
                      </c:ext>
                    </c:extLst>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extLst>
                      <c:ext uri="{02D57815-91ED-43cb-92C2-25804820EDAC}">
                        <c15:formulaRef>
                          <c15:sqref>Hoja1!$B$2:$B$16</c15:sqref>
                        </c15:formulaRef>
                      </c:ext>
                    </c:extLst>
                    <c:numCache>
                      <c:formatCode>#,##0</c:formatCode>
                      <c:ptCount val="15"/>
                      <c:pt idx="0">
                        <c:v>23260.881300000001</c:v>
                      </c:pt>
                      <c:pt idx="1">
                        <c:v>24390.316999999999</c:v>
                      </c:pt>
                      <c:pt idx="2">
                        <c:v>25289.591199999999</c:v>
                      </c:pt>
                      <c:pt idx="3">
                        <c:v>25857.241000000002</c:v>
                      </c:pt>
                      <c:pt idx="4">
                        <c:v>25651.395799999998</c:v>
                      </c:pt>
                      <c:pt idx="5">
                        <c:v>24238.425599999999</c:v>
                      </c:pt>
                      <c:pt idx="6">
                        <c:v>21916.524000000001</c:v>
                      </c:pt>
                      <c:pt idx="7">
                        <c:v>25185.469499999999</c:v>
                      </c:pt>
                      <c:pt idx="8">
                        <c:v>26107.636399999999</c:v>
                      </c:pt>
                      <c:pt idx="9">
                        <c:v>29086.612000000001</c:v>
                      </c:pt>
                      <c:pt idx="10">
                        <c:v>30379.999199999998</c:v>
                      </c:pt>
                      <c:pt idx="11">
                        <c:v>18981.219400000002</c:v>
                      </c:pt>
                      <c:pt idx="12">
                        <c:v>26164.072400000001</c:v>
                      </c:pt>
                      <c:pt idx="13">
                        <c:v>35349.104500000001</c:v>
                      </c:pt>
                      <c:pt idx="14">
                        <c:v>40909.801594259625</c:v>
                      </c:pt>
                    </c:numCache>
                  </c:numRef>
                </c:val>
                <c:extLst>
                  <c:ext xmlns:c16="http://schemas.microsoft.com/office/drawing/2014/chart" uri="{C3380CC4-5D6E-409C-BE32-E72D297353CC}">
                    <c16:uniqueId val="{00000001-38D8-47DE-ADD6-E1BE9BAF3842}"/>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Importaciones</c:v>
                      </c:pt>
                    </c:strCache>
                  </c:strRef>
                </c:tx>
                <c:spPr>
                  <a:solidFill>
                    <a:schemeClr val="accent3"/>
                  </a:solidFill>
                  <a:ln>
                    <a:noFill/>
                  </a:ln>
                  <a:effectLst/>
                </c:spPr>
                <c:cat>
                  <c:numRef>
                    <c:extLst xmlns:c15="http://schemas.microsoft.com/office/drawing/2012/chart">
                      <c:ext xmlns:c15="http://schemas.microsoft.com/office/drawing/2012/chart" uri="{02D57815-91ED-43cb-92C2-25804820EDAC}">
                        <c15:formulaRef>
                          <c15:sqref>Hoja1!$A$2:$A$16</c15:sqref>
                        </c15:formulaRef>
                      </c:ext>
                    </c:extLst>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extLst xmlns:c15="http://schemas.microsoft.com/office/drawing/2012/chart">
                      <c:ext xmlns:c15="http://schemas.microsoft.com/office/drawing/2012/chart" uri="{02D57815-91ED-43cb-92C2-25804820EDAC}">
                        <c15:formulaRef>
                          <c15:sqref>Hoja1!$C$2:$C$16</c15:sqref>
                        </c15:formulaRef>
                      </c:ext>
                    </c:extLst>
                    <c:numCache>
                      <c:formatCode>#,##0</c:formatCode>
                      <c:ptCount val="15"/>
                      <c:pt idx="0">
                        <c:v>58.480190499999999</c:v>
                      </c:pt>
                      <c:pt idx="1">
                        <c:v>241.78200000000001</c:v>
                      </c:pt>
                      <c:pt idx="2">
                        <c:v>557.12889399999995</c:v>
                      </c:pt>
                      <c:pt idx="3">
                        <c:v>916.71147499999995</c:v>
                      </c:pt>
                      <c:pt idx="4">
                        <c:v>2604.9516899999999</c:v>
                      </c:pt>
                      <c:pt idx="5">
                        <c:v>4505.8830099999996</c:v>
                      </c:pt>
                      <c:pt idx="6">
                        <c:v>7112.0291200000001</c:v>
                      </c:pt>
                      <c:pt idx="7">
                        <c:v>2636.6778100000001</c:v>
                      </c:pt>
                      <c:pt idx="8">
                        <c:v>3300.9562500000002</c:v>
                      </c:pt>
                      <c:pt idx="9">
                        <c:v>2060.4905800000001</c:v>
                      </c:pt>
                      <c:pt idx="10">
                        <c:v>1715.20956</c:v>
                      </c:pt>
                      <c:pt idx="11">
                        <c:v>960.97663899999998</c:v>
                      </c:pt>
                      <c:pt idx="12">
                        <c:v>0</c:v>
                      </c:pt>
                      <c:pt idx="13">
                        <c:v>1716.8251499999999</c:v>
                      </c:pt>
                      <c:pt idx="14">
                        <c:v>0</c:v>
                      </c:pt>
                    </c:numCache>
                  </c:numRef>
                </c:val>
                <c:extLst xmlns:c15="http://schemas.microsoft.com/office/drawing/2012/chart">
                  <c:ext xmlns:c16="http://schemas.microsoft.com/office/drawing/2014/chart" uri="{C3380CC4-5D6E-409C-BE32-E72D297353CC}">
                    <c16:uniqueId val="{00000002-38D8-47DE-ADD6-E1BE9BAF3842}"/>
                  </c:ext>
                </c:extLst>
              </c15:ser>
            </c15:filteredAreaSeries>
          </c:ext>
        </c:extLst>
      </c:areaChart>
      <c:lineChart>
        <c:grouping val="standard"/>
        <c:varyColors val="0"/>
        <c:ser>
          <c:idx val="2"/>
          <c:order val="2"/>
          <c:tx>
            <c:strRef>
              <c:f>Hoja1!$D$1</c:f>
              <c:strCache>
                <c:ptCount val="1"/>
                <c:pt idx="0">
                  <c:v>Consumo</c:v>
                </c:pt>
              </c:strCache>
            </c:strRef>
          </c:tx>
          <c:spPr>
            <a:ln w="28575" cap="rnd">
              <a:solidFill>
                <a:schemeClr val="accent5"/>
              </a:solidFill>
              <a:round/>
            </a:ln>
            <a:effectLst/>
          </c:spPr>
          <c:marker>
            <c:symbol val="none"/>
          </c:marker>
          <c:dLbls>
            <c:spPr>
              <a:noFill/>
              <a:ln>
                <a:noFill/>
              </a:ln>
              <a:effectLst/>
            </c:spPr>
            <c:txPr>
              <a:bodyPr rot="-5400000" spcFirstLastPara="1" vertOverflow="ellipsis" wrap="square" anchor="ctr" anchorCtr="1"/>
              <a:lstStyle/>
              <a:p>
                <a:pPr>
                  <a:defRPr sz="900" b="1"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Hoja1!$D$2:$D$16</c:f>
              <c:numCache>
                <c:formatCode>#,##0</c:formatCode>
                <c:ptCount val="15"/>
                <c:pt idx="0">
                  <c:v>16348.535779517289</c:v>
                </c:pt>
                <c:pt idx="1">
                  <c:v>18474.677737116763</c:v>
                </c:pt>
                <c:pt idx="2">
                  <c:v>19477.819162426615</c:v>
                </c:pt>
                <c:pt idx="3">
                  <c:v>21204.323932474636</c:v>
                </c:pt>
                <c:pt idx="4">
                  <c:v>21593.812332028698</c:v>
                </c:pt>
                <c:pt idx="5">
                  <c:v>22547.364383561639</c:v>
                </c:pt>
                <c:pt idx="6">
                  <c:v>24570.040956294844</c:v>
                </c:pt>
                <c:pt idx="7">
                  <c:v>25469.118013921423</c:v>
                </c:pt>
                <c:pt idx="8">
                  <c:v>25281.186223091972</c:v>
                </c:pt>
                <c:pt idx="9">
                  <c:v>28209.182998043048</c:v>
                </c:pt>
                <c:pt idx="10">
                  <c:v>30275.38293607306</c:v>
                </c:pt>
                <c:pt idx="11">
                  <c:v>13442.569701405153</c:v>
                </c:pt>
                <c:pt idx="12">
                  <c:v>23038.127913242006</c:v>
                </c:pt>
                <c:pt idx="13">
                  <c:v>32933.888077625568</c:v>
                </c:pt>
                <c:pt idx="14">
                  <c:v>31211.253256360073</c:v>
                </c:pt>
              </c:numCache>
            </c:numRef>
          </c:val>
          <c:smooth val="0"/>
          <c:extLst>
            <c:ext xmlns:c16="http://schemas.microsoft.com/office/drawing/2014/chart" uri="{C3380CC4-5D6E-409C-BE32-E72D297353CC}">
              <c16:uniqueId val="{00000000-38D8-47DE-ADD6-E1BE9BAF3842}"/>
            </c:ext>
          </c:extLst>
        </c:ser>
        <c:dLbls>
          <c:showLegendKey val="0"/>
          <c:showVal val="0"/>
          <c:showCatName val="0"/>
          <c:showSerName val="0"/>
          <c:showPercent val="0"/>
          <c:showBubbleSize val="0"/>
        </c:dLbls>
        <c:marker val="1"/>
        <c:smooth val="0"/>
        <c:axId val="600320784"/>
        <c:axId val="600318384"/>
        <c:extLst>
          <c:ext xmlns:c15="http://schemas.microsoft.com/office/drawing/2012/chart" uri="{02D57815-91ED-43cb-92C2-25804820EDAC}">
            <c15:filteredLineSeries>
              <c15:ser>
                <c:idx val="3"/>
                <c:order val="3"/>
                <c:tx>
                  <c:strRef>
                    <c:extLst>
                      <c:ext uri="{02D57815-91ED-43cb-92C2-25804820EDAC}">
                        <c15:formulaRef>
                          <c15:sqref>Hoja1!$E$1</c15:sqref>
                        </c15:formulaRef>
                      </c:ext>
                    </c:extLst>
                    <c:strCache>
                      <c:ptCount val="1"/>
                      <c:pt idx="0">
                        <c:v>Demanda+Inventario en poliducto</c:v>
                      </c:pt>
                    </c:strCache>
                  </c:strRef>
                </c:tx>
                <c:spPr>
                  <a:ln w="28575" cap="rnd">
                    <a:solidFill>
                      <a:schemeClr val="accent1">
                        <a:lumMod val="60000"/>
                      </a:schemeClr>
                    </a:solidFill>
                    <a:round/>
                  </a:ln>
                  <a:effectLst/>
                </c:spPr>
                <c:marker>
                  <c:symbol val="none"/>
                </c:marker>
                <c:cat>
                  <c:numRef>
                    <c:extLst>
                      <c:ext uri="{02D57815-91ED-43cb-92C2-25804820EDAC}">
                        <c15:formulaRef>
                          <c15:sqref>Hoja1!$A$2:$A$16</c15:sqref>
                        </c15:formulaRef>
                      </c:ext>
                    </c:extLst>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extLst>
                      <c:ext uri="{02D57815-91ED-43cb-92C2-25804820EDAC}">
                        <c15:formulaRef>
                          <c15:sqref>Hoja1!$E$2:$E$16</c15:sqref>
                        </c15:formulaRef>
                      </c:ext>
                    </c:extLst>
                    <c:numCache>
                      <c:formatCode>#,##0</c:formatCode>
                      <c:ptCount val="15"/>
                      <c:pt idx="0">
                        <c:v>20961.373888454014</c:v>
                      </c:pt>
                      <c:pt idx="1">
                        <c:v>24364.605328114805</c:v>
                      </c:pt>
                      <c:pt idx="2">
                        <c:v>26718.805960208741</c:v>
                      </c:pt>
                      <c:pt idx="3">
                        <c:v>25757.821950299251</c:v>
                      </c:pt>
                      <c:pt idx="4">
                        <c:v>26751.566333333329</c:v>
                      </c:pt>
                      <c:pt idx="5">
                        <c:v>29463.09314090019</c:v>
                      </c:pt>
                      <c:pt idx="6">
                        <c:v>30085.549229615131</c:v>
                      </c:pt>
                      <c:pt idx="7">
                        <c:v>26404.35231850118</c:v>
                      </c:pt>
                      <c:pt idx="8">
                        <c:v>25511.097538812781</c:v>
                      </c:pt>
                      <c:pt idx="9">
                        <c:v>28768.000938682319</c:v>
                      </c:pt>
                      <c:pt idx="10">
                        <c:v>30985.439326810178</c:v>
                      </c:pt>
                      <c:pt idx="11">
                        <c:v>13557.928097189697</c:v>
                      </c:pt>
                      <c:pt idx="12">
                        <c:v>23149.456654272664</c:v>
                      </c:pt>
                      <c:pt idx="13">
                        <c:v>35405.144735159818</c:v>
                      </c:pt>
                      <c:pt idx="14">
                        <c:v>31576.39823222439</c:v>
                      </c:pt>
                    </c:numCache>
                  </c:numRef>
                </c:val>
                <c:smooth val="0"/>
                <c:extLst>
                  <c:ext xmlns:c16="http://schemas.microsoft.com/office/drawing/2014/chart" uri="{C3380CC4-5D6E-409C-BE32-E72D297353CC}">
                    <c16:uniqueId val="{00000003-38D8-47DE-ADD6-E1BE9BAF3842}"/>
                  </c:ext>
                </c:extLst>
              </c15:ser>
            </c15:filteredLineSeries>
          </c:ext>
        </c:extLst>
      </c:lineChart>
      <c:catAx>
        <c:axId val="60032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crossAx val="600318384"/>
        <c:crosses val="autoZero"/>
        <c:auto val="1"/>
        <c:lblAlgn val="ctr"/>
        <c:lblOffset val="100"/>
        <c:noMultiLvlLbl val="0"/>
      </c:catAx>
      <c:valAx>
        <c:axId val="60031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s-CO" b="1"/>
                  <a:t>BPD</a:t>
                </a:r>
              </a:p>
            </c:rich>
          </c:tx>
          <c:layout>
            <c:manualLayout>
              <c:xMode val="edge"/>
              <c:yMode val="edge"/>
              <c:x val="9.3316225358684238E-3"/>
              <c:y val="0.3849656334764174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crossAx val="60032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Hoja1!$B$1</c:f>
              <c:strCache>
                <c:ptCount val="1"/>
                <c:pt idx="0">
                  <c:v>Producción</c:v>
                </c:pt>
              </c:strCache>
            </c:strRef>
          </c:tx>
          <c:spPr>
            <a:solidFill>
              <a:schemeClr val="accent6">
                <a:lumMod val="40000"/>
                <a:lumOff val="60000"/>
              </a:schemeClr>
            </a:solidFill>
            <a:ln>
              <a:noFill/>
            </a:ln>
            <a:effectLst/>
          </c:spPr>
          <c:cat>
            <c:numRef>
              <c:f>Hoja1!$A$2:$A$16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Hoja1!$B$2:$B$16</c:f>
              <c:numCache>
                <c:formatCode>#,##0</c:formatCode>
                <c:ptCount val="15"/>
                <c:pt idx="0">
                  <c:v>23260.881300000001</c:v>
                </c:pt>
                <c:pt idx="1">
                  <c:v>24390.316999999999</c:v>
                </c:pt>
                <c:pt idx="2">
                  <c:v>25289.591199999999</c:v>
                </c:pt>
                <c:pt idx="3">
                  <c:v>25857.241000000002</c:v>
                </c:pt>
                <c:pt idx="4">
                  <c:v>25651.395799999998</c:v>
                </c:pt>
                <c:pt idx="5">
                  <c:v>24238.425599999999</c:v>
                </c:pt>
                <c:pt idx="6">
                  <c:v>21916.524000000001</c:v>
                </c:pt>
                <c:pt idx="7">
                  <c:v>25185.469499999999</c:v>
                </c:pt>
                <c:pt idx="8">
                  <c:v>26107.636399999999</c:v>
                </c:pt>
                <c:pt idx="9">
                  <c:v>29086.612000000001</c:v>
                </c:pt>
                <c:pt idx="10">
                  <c:v>30379.999199999998</c:v>
                </c:pt>
                <c:pt idx="11">
                  <c:v>18981.219400000002</c:v>
                </c:pt>
                <c:pt idx="12">
                  <c:v>26164.072400000001</c:v>
                </c:pt>
                <c:pt idx="13">
                  <c:v>35349.104500000001</c:v>
                </c:pt>
                <c:pt idx="14">
                  <c:v>40909.801594259625</c:v>
                </c:pt>
              </c:numCache>
            </c:numRef>
          </c:val>
          <c:extLst>
            <c:ext xmlns:c16="http://schemas.microsoft.com/office/drawing/2014/chart" uri="{C3380CC4-5D6E-409C-BE32-E72D297353CC}">
              <c16:uniqueId val="{00000000-44B3-49F1-B41C-757A6EFA6541}"/>
            </c:ext>
          </c:extLst>
        </c:ser>
        <c:ser>
          <c:idx val="2"/>
          <c:order val="1"/>
          <c:tx>
            <c:strRef>
              <c:f>Hoja1!$C$1</c:f>
              <c:strCache>
                <c:ptCount val="1"/>
                <c:pt idx="0">
                  <c:v>Importaciones</c:v>
                </c:pt>
              </c:strCache>
            </c:strRef>
          </c:tx>
          <c:spPr>
            <a:solidFill>
              <a:schemeClr val="accent4">
                <a:lumMod val="40000"/>
                <a:lumOff val="60000"/>
              </a:schemeClr>
            </a:solidFill>
            <a:ln w="19050">
              <a:noFill/>
            </a:ln>
            <a:effectLst/>
          </c:spPr>
          <c:cat>
            <c:numRef>
              <c:f>Hoja1!$A$2:$A$16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Hoja1!$C$2:$C$16</c:f>
              <c:numCache>
                <c:formatCode>#,##0</c:formatCode>
                <c:ptCount val="15"/>
                <c:pt idx="0">
                  <c:v>58.480190499999999</c:v>
                </c:pt>
                <c:pt idx="1">
                  <c:v>241.78200000000001</c:v>
                </c:pt>
                <c:pt idx="2">
                  <c:v>557.12889399999995</c:v>
                </c:pt>
                <c:pt idx="3">
                  <c:v>916.71147499999995</c:v>
                </c:pt>
                <c:pt idx="4">
                  <c:v>2604.9516899999999</c:v>
                </c:pt>
                <c:pt idx="5">
                  <c:v>4505.8830099999996</c:v>
                </c:pt>
                <c:pt idx="6">
                  <c:v>7112.0291200000001</c:v>
                </c:pt>
                <c:pt idx="7">
                  <c:v>2636.6778100000001</c:v>
                </c:pt>
                <c:pt idx="8">
                  <c:v>3300.9562500000002</c:v>
                </c:pt>
                <c:pt idx="9">
                  <c:v>2060.4905800000001</c:v>
                </c:pt>
                <c:pt idx="10">
                  <c:v>1715.20956</c:v>
                </c:pt>
                <c:pt idx="11">
                  <c:v>960.97663899999998</c:v>
                </c:pt>
                <c:pt idx="12">
                  <c:v>0</c:v>
                </c:pt>
                <c:pt idx="13">
                  <c:v>1716.8251499999999</c:v>
                </c:pt>
                <c:pt idx="14">
                  <c:v>0</c:v>
                </c:pt>
              </c:numCache>
            </c:numRef>
          </c:val>
          <c:extLst xmlns:c15="http://schemas.microsoft.com/office/drawing/2012/chart">
            <c:ext xmlns:c16="http://schemas.microsoft.com/office/drawing/2014/chart" uri="{C3380CC4-5D6E-409C-BE32-E72D297353CC}">
              <c16:uniqueId val="{00000001-44B3-49F1-B41C-757A6EFA6541}"/>
            </c:ext>
          </c:extLst>
        </c:ser>
        <c:dLbls>
          <c:showLegendKey val="0"/>
          <c:showVal val="0"/>
          <c:showCatName val="0"/>
          <c:showSerName val="0"/>
          <c:showPercent val="0"/>
          <c:showBubbleSize val="0"/>
        </c:dLbls>
        <c:axId val="600320784"/>
        <c:axId val="600318384"/>
      </c:areaChart>
      <c:lineChart>
        <c:grouping val="standard"/>
        <c:varyColors val="0"/>
        <c:ser>
          <c:idx val="4"/>
          <c:order val="3"/>
          <c:tx>
            <c:strRef>
              <c:f>Hoja1!$E$1</c:f>
              <c:strCache>
                <c:ptCount val="1"/>
                <c:pt idx="0">
                  <c:v>Consumo</c:v>
                </c:pt>
              </c:strCache>
            </c:strRef>
          </c:tx>
          <c:spPr>
            <a:ln w="12700" cap="rnd">
              <a:solidFill>
                <a:schemeClr val="tx1"/>
              </a:solidFill>
              <a:round/>
            </a:ln>
            <a:effectLst/>
          </c:spPr>
          <c:marker>
            <c:symbol val="none"/>
          </c:marker>
          <c:cat>
            <c:numRef>
              <c:f>Hoja1!$A$2:$A$16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Hoja1!$E$2:$E$16</c:f>
              <c:numCache>
                <c:formatCode>#,##0</c:formatCode>
                <c:ptCount val="15"/>
                <c:pt idx="0">
                  <c:v>20961.373888454014</c:v>
                </c:pt>
                <c:pt idx="1">
                  <c:v>24364.605328114805</c:v>
                </c:pt>
                <c:pt idx="2">
                  <c:v>26718.805960208741</c:v>
                </c:pt>
                <c:pt idx="3">
                  <c:v>25757.821950299251</c:v>
                </c:pt>
                <c:pt idx="4">
                  <c:v>26751.566333333329</c:v>
                </c:pt>
                <c:pt idx="5">
                  <c:v>29463.09314090019</c:v>
                </c:pt>
                <c:pt idx="6">
                  <c:v>30085.549229615131</c:v>
                </c:pt>
                <c:pt idx="7">
                  <c:v>26404.35231850118</c:v>
                </c:pt>
                <c:pt idx="8">
                  <c:v>25511.097538812781</c:v>
                </c:pt>
                <c:pt idx="9">
                  <c:v>28768.000938682319</c:v>
                </c:pt>
                <c:pt idx="10">
                  <c:v>30985.439326810178</c:v>
                </c:pt>
                <c:pt idx="11">
                  <c:v>13557.928097189697</c:v>
                </c:pt>
                <c:pt idx="12">
                  <c:v>23149.456654272664</c:v>
                </c:pt>
                <c:pt idx="13">
                  <c:v>35405.144735159818</c:v>
                </c:pt>
                <c:pt idx="14">
                  <c:v>31576.39823222439</c:v>
                </c:pt>
              </c:numCache>
            </c:numRef>
          </c:val>
          <c:smooth val="0"/>
          <c:extLst>
            <c:ext xmlns:c16="http://schemas.microsoft.com/office/drawing/2014/chart" uri="{C3380CC4-5D6E-409C-BE32-E72D297353CC}">
              <c16:uniqueId val="{00000002-44B3-49F1-B41C-757A6EFA6541}"/>
            </c:ext>
          </c:extLst>
        </c:ser>
        <c:dLbls>
          <c:showLegendKey val="0"/>
          <c:showVal val="0"/>
          <c:showCatName val="0"/>
          <c:showSerName val="0"/>
          <c:showPercent val="0"/>
          <c:showBubbleSize val="0"/>
        </c:dLbls>
        <c:marker val="1"/>
        <c:smooth val="0"/>
        <c:axId val="600320784"/>
        <c:axId val="600318384"/>
        <c:extLst>
          <c:ext xmlns:c15="http://schemas.microsoft.com/office/drawing/2012/chart" uri="{02D57815-91ED-43cb-92C2-25804820EDAC}">
            <c15:filteredLineSeries>
              <c15:ser>
                <c:idx val="3"/>
                <c:order val="2"/>
                <c:tx>
                  <c:strRef>
                    <c:extLst>
                      <c:ext uri="{02D57815-91ED-43cb-92C2-25804820EDAC}">
                        <c15:formulaRef>
                          <c15:sqref>Hoja1!$D$1</c15:sqref>
                        </c15:formulaRef>
                      </c:ext>
                    </c:extLst>
                    <c:strCache>
                      <c:ptCount val="1"/>
                      <c:pt idx="0">
                        <c:v>Demanda</c:v>
                      </c:pt>
                    </c:strCache>
                  </c:strRef>
                </c:tx>
                <c:spPr>
                  <a:ln w="19050" cap="rnd">
                    <a:solidFill>
                      <a:srgbClr val="FF0000"/>
                    </a:solidFill>
                    <a:round/>
                  </a:ln>
                  <a:effectLst/>
                </c:spPr>
                <c:marker>
                  <c:symbol val="none"/>
                </c:marker>
                <c:cat>
                  <c:numRef>
                    <c:extLst>
                      <c:ext uri="{02D57815-91ED-43cb-92C2-25804820EDAC}">
                        <c15:formulaRef>
                          <c15:sqref>Hoja1!$A$2:$A$16</c15:sqref>
                        </c15:formulaRef>
                      </c:ext>
                    </c:extLst>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extLst>
                      <c:ext uri="{02D57815-91ED-43cb-92C2-25804820EDAC}">
                        <c15:formulaRef>
                          <c15:sqref>Hoja1!$D$2:$D$16</c15:sqref>
                        </c15:formulaRef>
                      </c:ext>
                    </c:extLst>
                    <c:numCache>
                      <c:formatCode>#,##0</c:formatCode>
                      <c:ptCount val="15"/>
                      <c:pt idx="0">
                        <c:v>16348.535779517289</c:v>
                      </c:pt>
                      <c:pt idx="1">
                        <c:v>18474.677737116763</c:v>
                      </c:pt>
                      <c:pt idx="2">
                        <c:v>19477.819162426615</c:v>
                      </c:pt>
                      <c:pt idx="3">
                        <c:v>21204.323932474636</c:v>
                      </c:pt>
                      <c:pt idx="4">
                        <c:v>21593.812332028698</c:v>
                      </c:pt>
                      <c:pt idx="5">
                        <c:v>22547.364383561639</c:v>
                      </c:pt>
                      <c:pt idx="6">
                        <c:v>24570.040956294844</c:v>
                      </c:pt>
                      <c:pt idx="7">
                        <c:v>25469.118013921423</c:v>
                      </c:pt>
                      <c:pt idx="8">
                        <c:v>25281.186223091972</c:v>
                      </c:pt>
                      <c:pt idx="9">
                        <c:v>28209.182998043048</c:v>
                      </c:pt>
                      <c:pt idx="10">
                        <c:v>30275.38293607306</c:v>
                      </c:pt>
                      <c:pt idx="11">
                        <c:v>13442.569701405153</c:v>
                      </c:pt>
                      <c:pt idx="12">
                        <c:v>23038.127913242006</c:v>
                      </c:pt>
                      <c:pt idx="13">
                        <c:v>32933.888077625568</c:v>
                      </c:pt>
                      <c:pt idx="14">
                        <c:v>42829.789675085507</c:v>
                      </c:pt>
                    </c:numCache>
                  </c:numRef>
                </c:val>
                <c:smooth val="0"/>
                <c:extLst>
                  <c:ext xmlns:c16="http://schemas.microsoft.com/office/drawing/2014/chart" uri="{C3380CC4-5D6E-409C-BE32-E72D297353CC}">
                    <c16:uniqueId val="{00000003-44B3-49F1-B41C-757A6EFA6541}"/>
                  </c:ext>
                </c:extLst>
              </c15:ser>
            </c15:filteredLineSeries>
          </c:ext>
        </c:extLst>
      </c:lineChart>
      <c:catAx>
        <c:axId val="600320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600318384"/>
        <c:crosses val="autoZero"/>
        <c:auto val="1"/>
        <c:lblAlgn val="ctr"/>
        <c:lblOffset val="100"/>
        <c:noMultiLvlLbl val="0"/>
      </c:catAx>
      <c:valAx>
        <c:axId val="600318384"/>
        <c:scaling>
          <c:orientation val="minMax"/>
        </c:scaling>
        <c:delete val="0"/>
        <c:axPos val="l"/>
        <c:majorGridlines>
          <c:spPr>
            <a:ln w="317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O"/>
                  <a:t>BPD</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60032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17993584135322E-2"/>
          <c:y val="4.3650793650793648E-2"/>
          <c:w val="0.88181904345290174"/>
          <c:h val="0.67331896012998371"/>
        </c:manualLayout>
      </c:layout>
      <c:areaChart>
        <c:grouping val="stacked"/>
        <c:varyColors val="0"/>
        <c:ser>
          <c:idx val="4"/>
          <c:order val="3"/>
          <c:tx>
            <c:strRef>
              <c:f>Hoja1!$F$1</c:f>
              <c:strCache>
                <c:ptCount val="1"/>
                <c:pt idx="0">
                  <c:v>Producción nacional (UPME)</c:v>
                </c:pt>
              </c:strCache>
            </c:strRef>
          </c:tx>
          <c:spPr>
            <a:solidFill>
              <a:schemeClr val="accent6">
                <a:lumMod val="60000"/>
                <a:lumOff val="40000"/>
              </a:schemeClr>
            </a:solidFill>
            <a:ln>
              <a:noFill/>
            </a:ln>
            <a:effectLst/>
          </c:spPr>
          <c:cat>
            <c:numRef>
              <c:f>Hoja1!$A$2:$A$15</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Hoja1!$F$2:$F$15</c:f>
              <c:numCache>
                <c:formatCode>General</c:formatCode>
                <c:ptCount val="14"/>
                <c:pt idx="0">
                  <c:v>35295</c:v>
                </c:pt>
                <c:pt idx="1">
                  <c:v>30000</c:v>
                </c:pt>
                <c:pt idx="2">
                  <c:v>30000</c:v>
                </c:pt>
                <c:pt idx="3">
                  <c:v>30000</c:v>
                </c:pt>
                <c:pt idx="4">
                  <c:v>30000</c:v>
                </c:pt>
                <c:pt idx="5">
                  <c:v>30000</c:v>
                </c:pt>
                <c:pt idx="6">
                  <c:v>30000</c:v>
                </c:pt>
                <c:pt idx="7">
                  <c:v>30000</c:v>
                </c:pt>
                <c:pt idx="8">
                  <c:v>30000</c:v>
                </c:pt>
                <c:pt idx="9">
                  <c:v>30000</c:v>
                </c:pt>
                <c:pt idx="10">
                  <c:v>30000</c:v>
                </c:pt>
                <c:pt idx="11">
                  <c:v>30000</c:v>
                </c:pt>
                <c:pt idx="12">
                  <c:v>30000</c:v>
                </c:pt>
                <c:pt idx="13">
                  <c:v>30000</c:v>
                </c:pt>
              </c:numCache>
            </c:numRef>
          </c:val>
          <c:extLst>
            <c:ext xmlns:c16="http://schemas.microsoft.com/office/drawing/2014/chart" uri="{C3380CC4-5D6E-409C-BE32-E72D297353CC}">
              <c16:uniqueId val="{00000000-05C9-4393-BD41-8CF2D354F52E}"/>
            </c:ext>
          </c:extLst>
        </c:ser>
        <c:ser>
          <c:idx val="3"/>
          <c:order val="4"/>
          <c:tx>
            <c:strRef>
              <c:f>Hoja1!$E$1</c:f>
              <c:strCache>
                <c:ptCount val="1"/>
                <c:pt idx="0">
                  <c:v>Producción nacional (ECP)</c:v>
                </c:pt>
              </c:strCache>
            </c:strRef>
          </c:tx>
          <c:spPr>
            <a:solidFill>
              <a:schemeClr val="accent6">
                <a:lumMod val="75000"/>
              </a:schemeClr>
            </a:solidFill>
            <a:ln>
              <a:noFill/>
            </a:ln>
            <a:effectLst/>
          </c:spPr>
          <c:cat>
            <c:numRef>
              <c:f>Hoja1!$A$2:$A$15</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Hoja1!$E$2:$E$15</c:f>
              <c:numCache>
                <c:formatCode>General</c:formatCode>
                <c:ptCount val="14"/>
                <c:pt idx="1">
                  <c:v>12000</c:v>
                </c:pt>
                <c:pt idx="2">
                  <c:v>12000</c:v>
                </c:pt>
                <c:pt idx="3">
                  <c:v>12000</c:v>
                </c:pt>
                <c:pt idx="4">
                  <c:v>12000</c:v>
                </c:pt>
                <c:pt idx="5">
                  <c:v>12000</c:v>
                </c:pt>
                <c:pt idx="6">
                  <c:v>12000</c:v>
                </c:pt>
                <c:pt idx="7">
                  <c:v>12000</c:v>
                </c:pt>
                <c:pt idx="8">
                  <c:v>12000</c:v>
                </c:pt>
                <c:pt idx="9">
                  <c:v>12000</c:v>
                </c:pt>
                <c:pt idx="10">
                  <c:v>12000</c:v>
                </c:pt>
                <c:pt idx="11">
                  <c:v>12000</c:v>
                </c:pt>
                <c:pt idx="12">
                  <c:v>12000</c:v>
                </c:pt>
                <c:pt idx="13">
                  <c:v>12000</c:v>
                </c:pt>
              </c:numCache>
            </c:numRef>
          </c:val>
          <c:extLst>
            <c:ext xmlns:c16="http://schemas.microsoft.com/office/drawing/2014/chart" uri="{C3380CC4-5D6E-409C-BE32-E72D297353CC}">
              <c16:uniqueId val="{00000001-05C9-4393-BD41-8CF2D354F52E}"/>
            </c:ext>
          </c:extLst>
        </c:ser>
        <c:dLbls>
          <c:showLegendKey val="0"/>
          <c:showVal val="0"/>
          <c:showCatName val="0"/>
          <c:showSerName val="0"/>
          <c:showPercent val="0"/>
          <c:showBubbleSize val="0"/>
        </c:dLbls>
        <c:axId val="628613728"/>
        <c:axId val="628619008"/>
      </c:areaChart>
      <c:lineChart>
        <c:grouping val="standard"/>
        <c:varyColors val="0"/>
        <c:ser>
          <c:idx val="0"/>
          <c:order val="0"/>
          <c:tx>
            <c:strRef>
              <c:f>Hoja1!$B$1</c:f>
              <c:strCache>
                <c:ptCount val="1"/>
                <c:pt idx="0">
                  <c:v>Esc. Medio</c:v>
                </c:pt>
              </c:strCache>
            </c:strRef>
          </c:tx>
          <c:spPr>
            <a:ln w="19050" cap="rnd">
              <a:solidFill>
                <a:schemeClr val="accent5">
                  <a:lumMod val="50000"/>
                </a:schemeClr>
              </a:solidFill>
              <a:round/>
            </a:ln>
            <a:effectLst/>
          </c:spPr>
          <c:marker>
            <c:symbol val="none"/>
          </c:marker>
          <c:cat>
            <c:numRef>
              <c:f>Hoja1!$A$2:$A$15</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Hoja1!$B$2:$B$15</c:f>
              <c:numCache>
                <c:formatCode>#,##0</c:formatCode>
                <c:ptCount val="14"/>
                <c:pt idx="0">
                  <c:v>35295.071903457276</c:v>
                </c:pt>
                <c:pt idx="1">
                  <c:v>40909.801594259625</c:v>
                </c:pt>
                <c:pt idx="2">
                  <c:v>41744</c:v>
                </c:pt>
                <c:pt idx="3">
                  <c:v>44930</c:v>
                </c:pt>
                <c:pt idx="4">
                  <c:v>46751</c:v>
                </c:pt>
                <c:pt idx="5">
                  <c:v>48139</c:v>
                </c:pt>
                <c:pt idx="6">
                  <c:v>50536</c:v>
                </c:pt>
                <c:pt idx="7">
                  <c:v>53355</c:v>
                </c:pt>
                <c:pt idx="8">
                  <c:v>55527</c:v>
                </c:pt>
                <c:pt idx="9">
                  <c:v>56951</c:v>
                </c:pt>
                <c:pt idx="10">
                  <c:v>58484</c:v>
                </c:pt>
                <c:pt idx="11">
                  <c:v>60781</c:v>
                </c:pt>
                <c:pt idx="12">
                  <c:v>62565</c:v>
                </c:pt>
                <c:pt idx="13">
                  <c:v>64961</c:v>
                </c:pt>
              </c:numCache>
            </c:numRef>
          </c:val>
          <c:smooth val="0"/>
          <c:extLst>
            <c:ext xmlns:c16="http://schemas.microsoft.com/office/drawing/2014/chart" uri="{C3380CC4-5D6E-409C-BE32-E72D297353CC}">
              <c16:uniqueId val="{00000002-05C9-4393-BD41-8CF2D354F52E}"/>
            </c:ext>
          </c:extLst>
        </c:ser>
        <c:ser>
          <c:idx val="1"/>
          <c:order val="1"/>
          <c:tx>
            <c:strRef>
              <c:f>Hoja1!$C$1</c:f>
              <c:strCache>
                <c:ptCount val="1"/>
                <c:pt idx="0">
                  <c:v>IC Superior 95%</c:v>
                </c:pt>
              </c:strCache>
            </c:strRef>
          </c:tx>
          <c:spPr>
            <a:ln w="19050" cap="rnd">
              <a:solidFill>
                <a:srgbClr val="DE22DA"/>
              </a:solidFill>
              <a:prstDash val="sysDash"/>
              <a:round/>
            </a:ln>
            <a:effectLst/>
          </c:spPr>
          <c:marker>
            <c:symbol val="none"/>
          </c:marker>
          <c:cat>
            <c:numRef>
              <c:f>Hoja1!$A$2:$A$15</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Hoja1!$C$2:$C$15</c:f>
              <c:numCache>
                <c:formatCode>#,##0</c:formatCode>
                <c:ptCount val="14"/>
                <c:pt idx="0">
                  <c:v>35295.071903457276</c:v>
                </c:pt>
                <c:pt idx="1">
                  <c:v>40909.801594259625</c:v>
                </c:pt>
                <c:pt idx="2">
                  <c:v>50471</c:v>
                </c:pt>
                <c:pt idx="3">
                  <c:v>54686</c:v>
                </c:pt>
                <c:pt idx="4">
                  <c:v>57295</c:v>
                </c:pt>
                <c:pt idx="5">
                  <c:v>59514</c:v>
                </c:pt>
                <c:pt idx="6">
                  <c:v>62837</c:v>
                </c:pt>
                <c:pt idx="7">
                  <c:v>66818</c:v>
                </c:pt>
                <c:pt idx="8">
                  <c:v>70059</c:v>
                </c:pt>
                <c:pt idx="9">
                  <c:v>72405</c:v>
                </c:pt>
                <c:pt idx="10">
                  <c:v>74991</c:v>
                </c:pt>
                <c:pt idx="11">
                  <c:v>78527</c:v>
                </c:pt>
                <c:pt idx="12">
                  <c:v>81578</c:v>
                </c:pt>
                <c:pt idx="13">
                  <c:v>85402</c:v>
                </c:pt>
              </c:numCache>
            </c:numRef>
          </c:val>
          <c:smooth val="0"/>
          <c:extLst>
            <c:ext xmlns:c16="http://schemas.microsoft.com/office/drawing/2014/chart" uri="{C3380CC4-5D6E-409C-BE32-E72D297353CC}">
              <c16:uniqueId val="{00000003-05C9-4393-BD41-8CF2D354F52E}"/>
            </c:ext>
          </c:extLst>
        </c:ser>
        <c:ser>
          <c:idx val="2"/>
          <c:order val="2"/>
          <c:tx>
            <c:strRef>
              <c:f>Hoja1!$D$1</c:f>
              <c:strCache>
                <c:ptCount val="1"/>
                <c:pt idx="0">
                  <c:v>IC Inferior 95%</c:v>
                </c:pt>
              </c:strCache>
            </c:strRef>
          </c:tx>
          <c:spPr>
            <a:ln w="19050" cap="rnd">
              <a:solidFill>
                <a:srgbClr val="FF0000"/>
              </a:solidFill>
              <a:prstDash val="sysDash"/>
              <a:round/>
            </a:ln>
            <a:effectLst/>
          </c:spPr>
          <c:marker>
            <c:symbol val="none"/>
          </c:marker>
          <c:cat>
            <c:numRef>
              <c:f>Hoja1!$A$2:$A$15</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Hoja1!$D$2:$D$15</c:f>
              <c:numCache>
                <c:formatCode>#,##0</c:formatCode>
                <c:ptCount val="14"/>
                <c:pt idx="0">
                  <c:v>35295.071903457276</c:v>
                </c:pt>
                <c:pt idx="1">
                  <c:v>40909.801594259625</c:v>
                </c:pt>
                <c:pt idx="2">
                  <c:v>33017</c:v>
                </c:pt>
                <c:pt idx="3">
                  <c:v>35173</c:v>
                </c:pt>
                <c:pt idx="4">
                  <c:v>36206</c:v>
                </c:pt>
                <c:pt idx="5">
                  <c:v>36764</c:v>
                </c:pt>
                <c:pt idx="6">
                  <c:v>38236</c:v>
                </c:pt>
                <c:pt idx="7">
                  <c:v>39892</c:v>
                </c:pt>
                <c:pt idx="8">
                  <c:v>40995</c:v>
                </c:pt>
                <c:pt idx="9">
                  <c:v>41497</c:v>
                </c:pt>
                <c:pt idx="10">
                  <c:v>41977</c:v>
                </c:pt>
                <c:pt idx="11">
                  <c:v>43035</c:v>
                </c:pt>
                <c:pt idx="12">
                  <c:v>43552</c:v>
                </c:pt>
                <c:pt idx="13">
                  <c:v>44520</c:v>
                </c:pt>
              </c:numCache>
            </c:numRef>
          </c:val>
          <c:smooth val="0"/>
          <c:extLst>
            <c:ext xmlns:c16="http://schemas.microsoft.com/office/drawing/2014/chart" uri="{C3380CC4-5D6E-409C-BE32-E72D297353CC}">
              <c16:uniqueId val="{00000004-05C9-4393-BD41-8CF2D354F52E}"/>
            </c:ext>
          </c:extLst>
        </c:ser>
        <c:dLbls>
          <c:showLegendKey val="0"/>
          <c:showVal val="0"/>
          <c:showCatName val="0"/>
          <c:showSerName val="0"/>
          <c:showPercent val="0"/>
          <c:showBubbleSize val="0"/>
        </c:dLbls>
        <c:marker val="1"/>
        <c:smooth val="0"/>
        <c:axId val="628613728"/>
        <c:axId val="628619008"/>
      </c:lineChart>
      <c:catAx>
        <c:axId val="6286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628619008"/>
        <c:crosses val="autoZero"/>
        <c:auto val="1"/>
        <c:lblAlgn val="ctr"/>
        <c:lblOffset val="100"/>
        <c:noMultiLvlLbl val="0"/>
      </c:catAx>
      <c:valAx>
        <c:axId val="62861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628613728"/>
        <c:crosses val="autoZero"/>
        <c:crossBetween val="between"/>
      </c:valAx>
      <c:spPr>
        <a:noFill/>
        <a:ln>
          <a:noFill/>
        </a:ln>
        <a:effectLst/>
      </c:spPr>
    </c:plotArea>
    <c:legend>
      <c:legendPos val="b"/>
      <c:layout>
        <c:manualLayout>
          <c:xMode val="edge"/>
          <c:yMode val="edge"/>
          <c:x val="7.9686497521143207E-2"/>
          <c:y val="0.81696287964004499"/>
          <c:w val="0.86146033829104696"/>
          <c:h val="0.159227596550431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6181542743398E-2"/>
          <c:y val="4.1770865424358004E-2"/>
          <c:w val="0.88759992249290987"/>
          <c:h val="0.75607963777255116"/>
        </c:manualLayout>
      </c:layout>
      <c:barChart>
        <c:barDir val="col"/>
        <c:grouping val="clustered"/>
        <c:varyColors val="0"/>
        <c:ser>
          <c:idx val="2"/>
          <c:order val="2"/>
          <c:tx>
            <c:strRef>
              <c:f>Nacional!$J$1</c:f>
              <c:strCache>
                <c:ptCount val="1"/>
                <c:pt idx="0">
                  <c:v>Diferencia</c:v>
                </c:pt>
              </c:strCache>
            </c:strRef>
          </c:tx>
          <c:spPr>
            <a:solidFill>
              <a:schemeClr val="accent3"/>
            </a:solidFill>
            <a:ln>
              <a:noFill/>
            </a:ln>
            <a:effectLst/>
          </c:spPr>
          <c:invertIfNegative val="0"/>
          <c:dLbls>
            <c:dLbl>
              <c:idx val="44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C1-4825-B31F-EB9A5A42A49D}"/>
                </c:ext>
              </c:extLst>
            </c:dLbl>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Nacional!$B$83:$B$585</c:f>
              <c:numCache>
                <c:formatCode>yyyy\-mm\-dd;@</c:formatCode>
                <c:ptCount val="503"/>
                <c:pt idx="0">
                  <c:v>41828</c:v>
                </c:pt>
                <c:pt idx="1">
                  <c:v>41835</c:v>
                </c:pt>
                <c:pt idx="2">
                  <c:v>41842</c:v>
                </c:pt>
                <c:pt idx="3">
                  <c:v>41849</c:v>
                </c:pt>
                <c:pt idx="4">
                  <c:v>41856</c:v>
                </c:pt>
                <c:pt idx="5">
                  <c:v>41863</c:v>
                </c:pt>
                <c:pt idx="6">
                  <c:v>41870</c:v>
                </c:pt>
                <c:pt idx="7">
                  <c:v>41877</c:v>
                </c:pt>
                <c:pt idx="8">
                  <c:v>41884</c:v>
                </c:pt>
                <c:pt idx="9">
                  <c:v>41891</c:v>
                </c:pt>
                <c:pt idx="10">
                  <c:v>41898</c:v>
                </c:pt>
                <c:pt idx="11">
                  <c:v>41905</c:v>
                </c:pt>
                <c:pt idx="12">
                  <c:v>41912</c:v>
                </c:pt>
                <c:pt idx="13">
                  <c:v>41919</c:v>
                </c:pt>
                <c:pt idx="14">
                  <c:v>41926</c:v>
                </c:pt>
                <c:pt idx="15">
                  <c:v>41933</c:v>
                </c:pt>
                <c:pt idx="16">
                  <c:v>41940</c:v>
                </c:pt>
                <c:pt idx="17">
                  <c:v>41947</c:v>
                </c:pt>
                <c:pt idx="18">
                  <c:v>41954</c:v>
                </c:pt>
                <c:pt idx="19">
                  <c:v>41961</c:v>
                </c:pt>
                <c:pt idx="20">
                  <c:v>41968</c:v>
                </c:pt>
                <c:pt idx="21">
                  <c:v>41975</c:v>
                </c:pt>
                <c:pt idx="22">
                  <c:v>41982</c:v>
                </c:pt>
                <c:pt idx="23">
                  <c:v>41989</c:v>
                </c:pt>
                <c:pt idx="24">
                  <c:v>41996</c:v>
                </c:pt>
                <c:pt idx="25">
                  <c:v>42003</c:v>
                </c:pt>
                <c:pt idx="26">
                  <c:v>42010</c:v>
                </c:pt>
                <c:pt idx="27">
                  <c:v>42017</c:v>
                </c:pt>
                <c:pt idx="28">
                  <c:v>42024</c:v>
                </c:pt>
                <c:pt idx="29">
                  <c:v>42031</c:v>
                </c:pt>
                <c:pt idx="30">
                  <c:v>42038</c:v>
                </c:pt>
                <c:pt idx="31">
                  <c:v>42045</c:v>
                </c:pt>
                <c:pt idx="32">
                  <c:v>42052</c:v>
                </c:pt>
                <c:pt idx="33">
                  <c:v>42059</c:v>
                </c:pt>
                <c:pt idx="34">
                  <c:v>42066</c:v>
                </c:pt>
                <c:pt idx="35">
                  <c:v>42073</c:v>
                </c:pt>
                <c:pt idx="36">
                  <c:v>42080</c:v>
                </c:pt>
                <c:pt idx="37">
                  <c:v>42087</c:v>
                </c:pt>
                <c:pt idx="38">
                  <c:v>42094</c:v>
                </c:pt>
                <c:pt idx="39">
                  <c:v>42101</c:v>
                </c:pt>
                <c:pt idx="40">
                  <c:v>42108</c:v>
                </c:pt>
                <c:pt idx="41">
                  <c:v>42115</c:v>
                </c:pt>
                <c:pt idx="42">
                  <c:v>42122</c:v>
                </c:pt>
                <c:pt idx="43">
                  <c:v>42129</c:v>
                </c:pt>
                <c:pt idx="44">
                  <c:v>42136</c:v>
                </c:pt>
                <c:pt idx="45">
                  <c:v>42143</c:v>
                </c:pt>
                <c:pt idx="46">
                  <c:v>42150</c:v>
                </c:pt>
                <c:pt idx="47">
                  <c:v>42157</c:v>
                </c:pt>
                <c:pt idx="48">
                  <c:v>42164</c:v>
                </c:pt>
                <c:pt idx="49">
                  <c:v>42171</c:v>
                </c:pt>
                <c:pt idx="50">
                  <c:v>42178</c:v>
                </c:pt>
                <c:pt idx="51">
                  <c:v>42185</c:v>
                </c:pt>
                <c:pt idx="52">
                  <c:v>42192</c:v>
                </c:pt>
                <c:pt idx="53">
                  <c:v>42199</c:v>
                </c:pt>
                <c:pt idx="54">
                  <c:v>42206</c:v>
                </c:pt>
                <c:pt idx="55">
                  <c:v>42213</c:v>
                </c:pt>
                <c:pt idx="56">
                  <c:v>42220</c:v>
                </c:pt>
                <c:pt idx="57">
                  <c:v>42227</c:v>
                </c:pt>
                <c:pt idx="58">
                  <c:v>42234</c:v>
                </c:pt>
                <c:pt idx="59">
                  <c:v>42241</c:v>
                </c:pt>
                <c:pt idx="60">
                  <c:v>42248</c:v>
                </c:pt>
                <c:pt idx="61">
                  <c:v>42255</c:v>
                </c:pt>
                <c:pt idx="62">
                  <c:v>42262</c:v>
                </c:pt>
                <c:pt idx="63">
                  <c:v>42269</c:v>
                </c:pt>
                <c:pt idx="64">
                  <c:v>42276</c:v>
                </c:pt>
                <c:pt idx="65">
                  <c:v>42283</c:v>
                </c:pt>
                <c:pt idx="66">
                  <c:v>42290</c:v>
                </c:pt>
                <c:pt idx="67">
                  <c:v>42297</c:v>
                </c:pt>
                <c:pt idx="68">
                  <c:v>42304</c:v>
                </c:pt>
                <c:pt idx="69">
                  <c:v>42311</c:v>
                </c:pt>
                <c:pt idx="70">
                  <c:v>42318</c:v>
                </c:pt>
                <c:pt idx="71">
                  <c:v>42325</c:v>
                </c:pt>
                <c:pt idx="72">
                  <c:v>42332</c:v>
                </c:pt>
                <c:pt idx="73">
                  <c:v>42339</c:v>
                </c:pt>
                <c:pt idx="74">
                  <c:v>42346</c:v>
                </c:pt>
                <c:pt idx="75">
                  <c:v>42353</c:v>
                </c:pt>
                <c:pt idx="76">
                  <c:v>42360</c:v>
                </c:pt>
                <c:pt idx="77">
                  <c:v>42367</c:v>
                </c:pt>
                <c:pt idx="78">
                  <c:v>42374</c:v>
                </c:pt>
                <c:pt idx="79">
                  <c:v>42381</c:v>
                </c:pt>
                <c:pt idx="80">
                  <c:v>42388</c:v>
                </c:pt>
                <c:pt idx="81">
                  <c:v>42395</c:v>
                </c:pt>
                <c:pt idx="82">
                  <c:v>42402</c:v>
                </c:pt>
                <c:pt idx="83">
                  <c:v>42409</c:v>
                </c:pt>
                <c:pt idx="84">
                  <c:v>42416</c:v>
                </c:pt>
                <c:pt idx="85">
                  <c:v>42423</c:v>
                </c:pt>
                <c:pt idx="86">
                  <c:v>42430</c:v>
                </c:pt>
                <c:pt idx="87">
                  <c:v>42437</c:v>
                </c:pt>
                <c:pt idx="88">
                  <c:v>42444</c:v>
                </c:pt>
                <c:pt idx="89">
                  <c:v>42451</c:v>
                </c:pt>
                <c:pt idx="90">
                  <c:v>42458</c:v>
                </c:pt>
                <c:pt idx="91">
                  <c:v>42465</c:v>
                </c:pt>
                <c:pt idx="92">
                  <c:v>42472</c:v>
                </c:pt>
                <c:pt idx="93">
                  <c:v>42479</c:v>
                </c:pt>
                <c:pt idx="94">
                  <c:v>42486</c:v>
                </c:pt>
                <c:pt idx="95">
                  <c:v>42493</c:v>
                </c:pt>
                <c:pt idx="96">
                  <c:v>42500</c:v>
                </c:pt>
                <c:pt idx="97">
                  <c:v>42507</c:v>
                </c:pt>
                <c:pt idx="98">
                  <c:v>42514</c:v>
                </c:pt>
                <c:pt idx="99">
                  <c:v>42521</c:v>
                </c:pt>
                <c:pt idx="100">
                  <c:v>42528</c:v>
                </c:pt>
                <c:pt idx="101">
                  <c:v>42535</c:v>
                </c:pt>
                <c:pt idx="102">
                  <c:v>42542</c:v>
                </c:pt>
                <c:pt idx="103">
                  <c:v>42549</c:v>
                </c:pt>
                <c:pt idx="104">
                  <c:v>42556</c:v>
                </c:pt>
                <c:pt idx="105">
                  <c:v>42563</c:v>
                </c:pt>
                <c:pt idx="106">
                  <c:v>42570</c:v>
                </c:pt>
                <c:pt idx="107">
                  <c:v>42577</c:v>
                </c:pt>
                <c:pt idx="108">
                  <c:v>42584</c:v>
                </c:pt>
                <c:pt idx="109">
                  <c:v>42591</c:v>
                </c:pt>
                <c:pt idx="110">
                  <c:v>42598</c:v>
                </c:pt>
                <c:pt idx="111">
                  <c:v>42605</c:v>
                </c:pt>
                <c:pt idx="112">
                  <c:v>42612</c:v>
                </c:pt>
                <c:pt idx="113">
                  <c:v>42619</c:v>
                </c:pt>
                <c:pt idx="114">
                  <c:v>42626</c:v>
                </c:pt>
                <c:pt idx="115">
                  <c:v>42633</c:v>
                </c:pt>
                <c:pt idx="116">
                  <c:v>42640</c:v>
                </c:pt>
                <c:pt idx="117">
                  <c:v>42647</c:v>
                </c:pt>
                <c:pt idx="118">
                  <c:v>42654</c:v>
                </c:pt>
                <c:pt idx="119">
                  <c:v>42661</c:v>
                </c:pt>
                <c:pt idx="120">
                  <c:v>42668</c:v>
                </c:pt>
                <c:pt idx="121">
                  <c:v>42675</c:v>
                </c:pt>
                <c:pt idx="122">
                  <c:v>42682</c:v>
                </c:pt>
                <c:pt idx="123">
                  <c:v>42689</c:v>
                </c:pt>
                <c:pt idx="124">
                  <c:v>42696</c:v>
                </c:pt>
                <c:pt idx="125">
                  <c:v>42703</c:v>
                </c:pt>
                <c:pt idx="126">
                  <c:v>42710</c:v>
                </c:pt>
                <c:pt idx="127">
                  <c:v>42717</c:v>
                </c:pt>
                <c:pt idx="128">
                  <c:v>42724</c:v>
                </c:pt>
                <c:pt idx="129">
                  <c:v>42731</c:v>
                </c:pt>
                <c:pt idx="130">
                  <c:v>42735</c:v>
                </c:pt>
                <c:pt idx="131">
                  <c:v>42738</c:v>
                </c:pt>
                <c:pt idx="132">
                  <c:v>42745</c:v>
                </c:pt>
                <c:pt idx="133">
                  <c:v>42752</c:v>
                </c:pt>
                <c:pt idx="134">
                  <c:v>42759</c:v>
                </c:pt>
                <c:pt idx="135">
                  <c:v>42766</c:v>
                </c:pt>
                <c:pt idx="136">
                  <c:v>42773</c:v>
                </c:pt>
                <c:pt idx="137">
                  <c:v>42780</c:v>
                </c:pt>
                <c:pt idx="138">
                  <c:v>42787</c:v>
                </c:pt>
                <c:pt idx="139">
                  <c:v>42794</c:v>
                </c:pt>
                <c:pt idx="140">
                  <c:v>42801</c:v>
                </c:pt>
                <c:pt idx="141">
                  <c:v>42808</c:v>
                </c:pt>
                <c:pt idx="142">
                  <c:v>42815</c:v>
                </c:pt>
                <c:pt idx="143">
                  <c:v>42822</c:v>
                </c:pt>
                <c:pt idx="144">
                  <c:v>42829</c:v>
                </c:pt>
                <c:pt idx="145">
                  <c:v>42836</c:v>
                </c:pt>
                <c:pt idx="146">
                  <c:v>42843</c:v>
                </c:pt>
                <c:pt idx="147">
                  <c:v>42850</c:v>
                </c:pt>
                <c:pt idx="148">
                  <c:v>42857</c:v>
                </c:pt>
                <c:pt idx="149">
                  <c:v>42864</c:v>
                </c:pt>
                <c:pt idx="150">
                  <c:v>42871</c:v>
                </c:pt>
                <c:pt idx="151">
                  <c:v>42878</c:v>
                </c:pt>
                <c:pt idx="152">
                  <c:v>42885</c:v>
                </c:pt>
                <c:pt idx="153">
                  <c:v>42892</c:v>
                </c:pt>
                <c:pt idx="154">
                  <c:v>42899</c:v>
                </c:pt>
                <c:pt idx="155">
                  <c:v>42906</c:v>
                </c:pt>
                <c:pt idx="156">
                  <c:v>42913</c:v>
                </c:pt>
                <c:pt idx="157">
                  <c:v>42920</c:v>
                </c:pt>
                <c:pt idx="158">
                  <c:v>42927</c:v>
                </c:pt>
                <c:pt idx="159">
                  <c:v>42934</c:v>
                </c:pt>
                <c:pt idx="160">
                  <c:v>42941</c:v>
                </c:pt>
                <c:pt idx="161">
                  <c:v>42948</c:v>
                </c:pt>
                <c:pt idx="162">
                  <c:v>42955</c:v>
                </c:pt>
                <c:pt idx="163">
                  <c:v>42962</c:v>
                </c:pt>
                <c:pt idx="164">
                  <c:v>42969</c:v>
                </c:pt>
                <c:pt idx="165">
                  <c:v>42976</c:v>
                </c:pt>
                <c:pt idx="166">
                  <c:v>42983</c:v>
                </c:pt>
                <c:pt idx="167">
                  <c:v>42990</c:v>
                </c:pt>
                <c:pt idx="168">
                  <c:v>42997</c:v>
                </c:pt>
                <c:pt idx="169">
                  <c:v>43004</c:v>
                </c:pt>
                <c:pt idx="170">
                  <c:v>43011</c:v>
                </c:pt>
                <c:pt idx="171">
                  <c:v>43018</c:v>
                </c:pt>
                <c:pt idx="172">
                  <c:v>43025</c:v>
                </c:pt>
                <c:pt idx="173">
                  <c:v>43032</c:v>
                </c:pt>
                <c:pt idx="174">
                  <c:v>43039</c:v>
                </c:pt>
                <c:pt idx="175">
                  <c:v>43046</c:v>
                </c:pt>
                <c:pt idx="176">
                  <c:v>43053</c:v>
                </c:pt>
                <c:pt idx="177">
                  <c:v>43060</c:v>
                </c:pt>
                <c:pt idx="178">
                  <c:v>43067</c:v>
                </c:pt>
                <c:pt idx="179">
                  <c:v>43074</c:v>
                </c:pt>
                <c:pt idx="180">
                  <c:v>43081</c:v>
                </c:pt>
                <c:pt idx="181">
                  <c:v>43088</c:v>
                </c:pt>
                <c:pt idx="182">
                  <c:v>43095</c:v>
                </c:pt>
                <c:pt idx="183">
                  <c:v>43102</c:v>
                </c:pt>
                <c:pt idx="184">
                  <c:v>43109</c:v>
                </c:pt>
                <c:pt idx="185">
                  <c:v>43116</c:v>
                </c:pt>
                <c:pt idx="186">
                  <c:v>43123</c:v>
                </c:pt>
                <c:pt idx="187">
                  <c:v>43130</c:v>
                </c:pt>
                <c:pt idx="188">
                  <c:v>43137</c:v>
                </c:pt>
                <c:pt idx="189">
                  <c:v>43144</c:v>
                </c:pt>
                <c:pt idx="190">
                  <c:v>43151</c:v>
                </c:pt>
                <c:pt idx="191">
                  <c:v>43158</c:v>
                </c:pt>
                <c:pt idx="192">
                  <c:v>43165</c:v>
                </c:pt>
                <c:pt idx="193">
                  <c:v>43172</c:v>
                </c:pt>
                <c:pt idx="194">
                  <c:v>43179</c:v>
                </c:pt>
                <c:pt idx="195">
                  <c:v>43186</c:v>
                </c:pt>
                <c:pt idx="196">
                  <c:v>43193</c:v>
                </c:pt>
                <c:pt idx="197">
                  <c:v>43200</c:v>
                </c:pt>
                <c:pt idx="198">
                  <c:v>43207</c:v>
                </c:pt>
                <c:pt idx="199">
                  <c:v>43214</c:v>
                </c:pt>
                <c:pt idx="200">
                  <c:v>43221</c:v>
                </c:pt>
                <c:pt idx="201">
                  <c:v>43228</c:v>
                </c:pt>
                <c:pt idx="202">
                  <c:v>43235</c:v>
                </c:pt>
                <c:pt idx="203">
                  <c:v>43242</c:v>
                </c:pt>
                <c:pt idx="204">
                  <c:v>43249</c:v>
                </c:pt>
                <c:pt idx="205">
                  <c:v>43256</c:v>
                </c:pt>
                <c:pt idx="206">
                  <c:v>43263</c:v>
                </c:pt>
                <c:pt idx="207">
                  <c:v>43270</c:v>
                </c:pt>
                <c:pt idx="208">
                  <c:v>43277</c:v>
                </c:pt>
                <c:pt idx="209">
                  <c:v>43284</c:v>
                </c:pt>
                <c:pt idx="210">
                  <c:v>43291</c:v>
                </c:pt>
                <c:pt idx="211">
                  <c:v>43298</c:v>
                </c:pt>
                <c:pt idx="212">
                  <c:v>43305</c:v>
                </c:pt>
                <c:pt idx="213">
                  <c:v>43312</c:v>
                </c:pt>
                <c:pt idx="214">
                  <c:v>43319</c:v>
                </c:pt>
                <c:pt idx="215">
                  <c:v>43326</c:v>
                </c:pt>
                <c:pt idx="216">
                  <c:v>43333</c:v>
                </c:pt>
                <c:pt idx="217">
                  <c:v>43340</c:v>
                </c:pt>
                <c:pt idx="218">
                  <c:v>43347</c:v>
                </c:pt>
                <c:pt idx="219">
                  <c:v>43354</c:v>
                </c:pt>
                <c:pt idx="220">
                  <c:v>43361</c:v>
                </c:pt>
                <c:pt idx="221">
                  <c:v>43368</c:v>
                </c:pt>
                <c:pt idx="222">
                  <c:v>43375</c:v>
                </c:pt>
                <c:pt idx="223">
                  <c:v>43382</c:v>
                </c:pt>
                <c:pt idx="224">
                  <c:v>43389</c:v>
                </c:pt>
                <c:pt idx="225">
                  <c:v>43396</c:v>
                </c:pt>
                <c:pt idx="226">
                  <c:v>43403</c:v>
                </c:pt>
                <c:pt idx="227">
                  <c:v>43410</c:v>
                </c:pt>
                <c:pt idx="228">
                  <c:v>43417</c:v>
                </c:pt>
                <c:pt idx="229">
                  <c:v>43424</c:v>
                </c:pt>
                <c:pt idx="230">
                  <c:v>43431</c:v>
                </c:pt>
                <c:pt idx="231">
                  <c:v>43438</c:v>
                </c:pt>
                <c:pt idx="232">
                  <c:v>43445</c:v>
                </c:pt>
                <c:pt idx="233">
                  <c:v>43452</c:v>
                </c:pt>
                <c:pt idx="234">
                  <c:v>43459</c:v>
                </c:pt>
                <c:pt idx="235">
                  <c:v>43466</c:v>
                </c:pt>
                <c:pt idx="236">
                  <c:v>43473</c:v>
                </c:pt>
                <c:pt idx="237">
                  <c:v>43480</c:v>
                </c:pt>
                <c:pt idx="238">
                  <c:v>43487</c:v>
                </c:pt>
                <c:pt idx="239">
                  <c:v>43494</c:v>
                </c:pt>
                <c:pt idx="240">
                  <c:v>43496</c:v>
                </c:pt>
                <c:pt idx="241">
                  <c:v>43501</c:v>
                </c:pt>
                <c:pt idx="242">
                  <c:v>43508</c:v>
                </c:pt>
                <c:pt idx="243">
                  <c:v>43515</c:v>
                </c:pt>
                <c:pt idx="244">
                  <c:v>43522</c:v>
                </c:pt>
                <c:pt idx="245">
                  <c:v>43529</c:v>
                </c:pt>
                <c:pt idx="246">
                  <c:v>43536</c:v>
                </c:pt>
                <c:pt idx="247">
                  <c:v>43543</c:v>
                </c:pt>
                <c:pt idx="248">
                  <c:v>43550</c:v>
                </c:pt>
                <c:pt idx="249">
                  <c:v>43557</c:v>
                </c:pt>
                <c:pt idx="250">
                  <c:v>43564</c:v>
                </c:pt>
                <c:pt idx="251">
                  <c:v>43571</c:v>
                </c:pt>
                <c:pt idx="252">
                  <c:v>43578</c:v>
                </c:pt>
                <c:pt idx="253">
                  <c:v>43585</c:v>
                </c:pt>
                <c:pt idx="254">
                  <c:v>43592</c:v>
                </c:pt>
                <c:pt idx="255">
                  <c:v>43599</c:v>
                </c:pt>
                <c:pt idx="256">
                  <c:v>43606</c:v>
                </c:pt>
                <c:pt idx="257">
                  <c:v>43613</c:v>
                </c:pt>
                <c:pt idx="258">
                  <c:v>43620</c:v>
                </c:pt>
                <c:pt idx="259">
                  <c:v>43627</c:v>
                </c:pt>
                <c:pt idx="260">
                  <c:v>43634</c:v>
                </c:pt>
                <c:pt idx="261">
                  <c:v>43641</c:v>
                </c:pt>
                <c:pt idx="262">
                  <c:v>43648</c:v>
                </c:pt>
                <c:pt idx="263">
                  <c:v>43655</c:v>
                </c:pt>
                <c:pt idx="264">
                  <c:v>43662</c:v>
                </c:pt>
                <c:pt idx="265">
                  <c:v>43669</c:v>
                </c:pt>
                <c:pt idx="266">
                  <c:v>43676</c:v>
                </c:pt>
                <c:pt idx="267">
                  <c:v>43683</c:v>
                </c:pt>
                <c:pt idx="268">
                  <c:v>43690</c:v>
                </c:pt>
                <c:pt idx="269">
                  <c:v>43697</c:v>
                </c:pt>
                <c:pt idx="270">
                  <c:v>43704</c:v>
                </c:pt>
                <c:pt idx="271">
                  <c:v>43711</c:v>
                </c:pt>
                <c:pt idx="272">
                  <c:v>43718</c:v>
                </c:pt>
                <c:pt idx="273">
                  <c:v>43725</c:v>
                </c:pt>
                <c:pt idx="274">
                  <c:v>43732</c:v>
                </c:pt>
                <c:pt idx="275">
                  <c:v>43739</c:v>
                </c:pt>
                <c:pt idx="276">
                  <c:v>43746</c:v>
                </c:pt>
                <c:pt idx="277">
                  <c:v>43753</c:v>
                </c:pt>
                <c:pt idx="278">
                  <c:v>43760</c:v>
                </c:pt>
                <c:pt idx="279">
                  <c:v>43767</c:v>
                </c:pt>
                <c:pt idx="280">
                  <c:v>43774</c:v>
                </c:pt>
                <c:pt idx="281">
                  <c:v>43781</c:v>
                </c:pt>
                <c:pt idx="282">
                  <c:v>43788</c:v>
                </c:pt>
                <c:pt idx="283">
                  <c:v>43795</c:v>
                </c:pt>
                <c:pt idx="284">
                  <c:v>43802</c:v>
                </c:pt>
                <c:pt idx="285">
                  <c:v>43809</c:v>
                </c:pt>
                <c:pt idx="286">
                  <c:v>43816</c:v>
                </c:pt>
                <c:pt idx="287">
                  <c:v>43823</c:v>
                </c:pt>
                <c:pt idx="288">
                  <c:v>43830</c:v>
                </c:pt>
                <c:pt idx="289">
                  <c:v>43837</c:v>
                </c:pt>
                <c:pt idx="290">
                  <c:v>43844</c:v>
                </c:pt>
                <c:pt idx="291">
                  <c:v>43851</c:v>
                </c:pt>
                <c:pt idx="292">
                  <c:v>43858</c:v>
                </c:pt>
                <c:pt idx="293">
                  <c:v>43861</c:v>
                </c:pt>
                <c:pt idx="294">
                  <c:v>43865</c:v>
                </c:pt>
                <c:pt idx="295">
                  <c:v>43872</c:v>
                </c:pt>
                <c:pt idx="296">
                  <c:v>43879</c:v>
                </c:pt>
                <c:pt idx="297">
                  <c:v>43886</c:v>
                </c:pt>
                <c:pt idx="298">
                  <c:v>43893</c:v>
                </c:pt>
                <c:pt idx="299">
                  <c:v>43900</c:v>
                </c:pt>
                <c:pt idx="300">
                  <c:v>43907</c:v>
                </c:pt>
                <c:pt idx="301">
                  <c:v>43914</c:v>
                </c:pt>
                <c:pt idx="302">
                  <c:v>43921</c:v>
                </c:pt>
                <c:pt idx="303">
                  <c:v>43928</c:v>
                </c:pt>
                <c:pt idx="304">
                  <c:v>43935</c:v>
                </c:pt>
                <c:pt idx="305">
                  <c:v>43942</c:v>
                </c:pt>
                <c:pt idx="306">
                  <c:v>43949</c:v>
                </c:pt>
                <c:pt idx="307">
                  <c:v>43956</c:v>
                </c:pt>
                <c:pt idx="308">
                  <c:v>43963</c:v>
                </c:pt>
                <c:pt idx="309">
                  <c:v>43970</c:v>
                </c:pt>
                <c:pt idx="310">
                  <c:v>43977</c:v>
                </c:pt>
                <c:pt idx="311">
                  <c:v>43984</c:v>
                </c:pt>
                <c:pt idx="312">
                  <c:v>43991</c:v>
                </c:pt>
                <c:pt idx="313">
                  <c:v>43998</c:v>
                </c:pt>
                <c:pt idx="314">
                  <c:v>44005</c:v>
                </c:pt>
                <c:pt idx="315">
                  <c:v>44012</c:v>
                </c:pt>
                <c:pt idx="316">
                  <c:v>44019</c:v>
                </c:pt>
                <c:pt idx="317">
                  <c:v>44026</c:v>
                </c:pt>
                <c:pt idx="318">
                  <c:v>44033</c:v>
                </c:pt>
                <c:pt idx="319">
                  <c:v>44040</c:v>
                </c:pt>
                <c:pt idx="320">
                  <c:v>44047</c:v>
                </c:pt>
                <c:pt idx="321">
                  <c:v>44054</c:v>
                </c:pt>
                <c:pt idx="322">
                  <c:v>44061</c:v>
                </c:pt>
                <c:pt idx="323">
                  <c:v>44068</c:v>
                </c:pt>
                <c:pt idx="324">
                  <c:v>44075</c:v>
                </c:pt>
                <c:pt idx="325">
                  <c:v>44082</c:v>
                </c:pt>
                <c:pt idx="326">
                  <c:v>44089</c:v>
                </c:pt>
                <c:pt idx="327">
                  <c:v>44096</c:v>
                </c:pt>
                <c:pt idx="328">
                  <c:v>44103</c:v>
                </c:pt>
                <c:pt idx="329">
                  <c:v>44110</c:v>
                </c:pt>
                <c:pt idx="330">
                  <c:v>44117</c:v>
                </c:pt>
                <c:pt idx="331">
                  <c:v>44124</c:v>
                </c:pt>
                <c:pt idx="332">
                  <c:v>44131</c:v>
                </c:pt>
                <c:pt idx="333">
                  <c:v>44138</c:v>
                </c:pt>
                <c:pt idx="334">
                  <c:v>44145</c:v>
                </c:pt>
                <c:pt idx="335">
                  <c:v>44152</c:v>
                </c:pt>
                <c:pt idx="336">
                  <c:v>44159</c:v>
                </c:pt>
                <c:pt idx="337">
                  <c:v>44166</c:v>
                </c:pt>
                <c:pt idx="338">
                  <c:v>44173</c:v>
                </c:pt>
                <c:pt idx="339">
                  <c:v>44180</c:v>
                </c:pt>
                <c:pt idx="340">
                  <c:v>44187</c:v>
                </c:pt>
                <c:pt idx="341">
                  <c:v>44194</c:v>
                </c:pt>
                <c:pt idx="342">
                  <c:v>44201</c:v>
                </c:pt>
                <c:pt idx="343">
                  <c:v>44208</c:v>
                </c:pt>
                <c:pt idx="344">
                  <c:v>44215</c:v>
                </c:pt>
                <c:pt idx="345">
                  <c:v>44222</c:v>
                </c:pt>
                <c:pt idx="346">
                  <c:v>44227</c:v>
                </c:pt>
                <c:pt idx="347">
                  <c:v>44229</c:v>
                </c:pt>
                <c:pt idx="348">
                  <c:v>44236</c:v>
                </c:pt>
                <c:pt idx="349">
                  <c:v>44243</c:v>
                </c:pt>
                <c:pt idx="350">
                  <c:v>44250</c:v>
                </c:pt>
                <c:pt idx="351">
                  <c:v>44257</c:v>
                </c:pt>
                <c:pt idx="352">
                  <c:v>44264</c:v>
                </c:pt>
                <c:pt idx="353">
                  <c:v>44271</c:v>
                </c:pt>
                <c:pt idx="354">
                  <c:v>44278</c:v>
                </c:pt>
                <c:pt idx="355">
                  <c:v>44285</c:v>
                </c:pt>
                <c:pt idx="356">
                  <c:v>44292</c:v>
                </c:pt>
                <c:pt idx="357">
                  <c:v>44299</c:v>
                </c:pt>
                <c:pt idx="358">
                  <c:v>44306</c:v>
                </c:pt>
                <c:pt idx="359">
                  <c:v>44313</c:v>
                </c:pt>
                <c:pt idx="360">
                  <c:v>44320</c:v>
                </c:pt>
                <c:pt idx="361">
                  <c:v>44327</c:v>
                </c:pt>
                <c:pt idx="362">
                  <c:v>44334</c:v>
                </c:pt>
                <c:pt idx="363">
                  <c:v>44341</c:v>
                </c:pt>
                <c:pt idx="364">
                  <c:v>44348</c:v>
                </c:pt>
                <c:pt idx="365">
                  <c:v>44355</c:v>
                </c:pt>
                <c:pt idx="366">
                  <c:v>44362</c:v>
                </c:pt>
                <c:pt idx="367">
                  <c:v>44369</c:v>
                </c:pt>
                <c:pt idx="368">
                  <c:v>44376</c:v>
                </c:pt>
                <c:pt idx="369">
                  <c:v>44383</c:v>
                </c:pt>
                <c:pt idx="370">
                  <c:v>44390</c:v>
                </c:pt>
                <c:pt idx="371">
                  <c:v>44397</c:v>
                </c:pt>
                <c:pt idx="372">
                  <c:v>44404</c:v>
                </c:pt>
                <c:pt idx="373">
                  <c:v>44411</c:v>
                </c:pt>
                <c:pt idx="374">
                  <c:v>44418</c:v>
                </c:pt>
                <c:pt idx="375">
                  <c:v>44425</c:v>
                </c:pt>
                <c:pt idx="376">
                  <c:v>44432</c:v>
                </c:pt>
                <c:pt idx="377">
                  <c:v>44439</c:v>
                </c:pt>
                <c:pt idx="378">
                  <c:v>44446</c:v>
                </c:pt>
                <c:pt idx="379">
                  <c:v>44453</c:v>
                </c:pt>
                <c:pt idx="380">
                  <c:v>44460</c:v>
                </c:pt>
                <c:pt idx="381">
                  <c:v>44467</c:v>
                </c:pt>
                <c:pt idx="382">
                  <c:v>44474</c:v>
                </c:pt>
                <c:pt idx="383">
                  <c:v>44481</c:v>
                </c:pt>
                <c:pt idx="384">
                  <c:v>44488</c:v>
                </c:pt>
                <c:pt idx="385">
                  <c:v>44495</c:v>
                </c:pt>
                <c:pt idx="386">
                  <c:v>44502</c:v>
                </c:pt>
                <c:pt idx="387">
                  <c:v>44509</c:v>
                </c:pt>
                <c:pt idx="388">
                  <c:v>44516</c:v>
                </c:pt>
                <c:pt idx="389">
                  <c:v>44523</c:v>
                </c:pt>
                <c:pt idx="390">
                  <c:v>44530</c:v>
                </c:pt>
                <c:pt idx="391">
                  <c:v>44537</c:v>
                </c:pt>
                <c:pt idx="392">
                  <c:v>44544</c:v>
                </c:pt>
                <c:pt idx="393">
                  <c:v>44551</c:v>
                </c:pt>
                <c:pt idx="394">
                  <c:v>44558</c:v>
                </c:pt>
                <c:pt idx="395">
                  <c:v>44561</c:v>
                </c:pt>
                <c:pt idx="396">
                  <c:v>44565</c:v>
                </c:pt>
                <c:pt idx="397">
                  <c:v>44572</c:v>
                </c:pt>
                <c:pt idx="398">
                  <c:v>44579</c:v>
                </c:pt>
                <c:pt idx="399">
                  <c:v>44586</c:v>
                </c:pt>
                <c:pt idx="400">
                  <c:v>44592</c:v>
                </c:pt>
                <c:pt idx="401">
                  <c:v>44593</c:v>
                </c:pt>
                <c:pt idx="402">
                  <c:v>44600</c:v>
                </c:pt>
                <c:pt idx="403">
                  <c:v>44607</c:v>
                </c:pt>
                <c:pt idx="404">
                  <c:v>44614</c:v>
                </c:pt>
                <c:pt idx="405">
                  <c:v>44621</c:v>
                </c:pt>
                <c:pt idx="406">
                  <c:v>44628</c:v>
                </c:pt>
                <c:pt idx="407">
                  <c:v>44635</c:v>
                </c:pt>
                <c:pt idx="408">
                  <c:v>44642</c:v>
                </c:pt>
                <c:pt idx="409">
                  <c:v>44649</c:v>
                </c:pt>
                <c:pt idx="410">
                  <c:v>44656</c:v>
                </c:pt>
                <c:pt idx="411">
                  <c:v>44663</c:v>
                </c:pt>
                <c:pt idx="412">
                  <c:v>44670</c:v>
                </c:pt>
                <c:pt idx="413">
                  <c:v>44677</c:v>
                </c:pt>
                <c:pt idx="414">
                  <c:v>44684</c:v>
                </c:pt>
                <c:pt idx="415">
                  <c:v>44691</c:v>
                </c:pt>
                <c:pt idx="416">
                  <c:v>44698</c:v>
                </c:pt>
                <c:pt idx="417">
                  <c:v>44705</c:v>
                </c:pt>
                <c:pt idx="418">
                  <c:v>44712</c:v>
                </c:pt>
                <c:pt idx="419">
                  <c:v>44719</c:v>
                </c:pt>
                <c:pt idx="420">
                  <c:v>44726</c:v>
                </c:pt>
                <c:pt idx="421">
                  <c:v>44733</c:v>
                </c:pt>
                <c:pt idx="422">
                  <c:v>44740</c:v>
                </c:pt>
                <c:pt idx="423">
                  <c:v>44747</c:v>
                </c:pt>
                <c:pt idx="424">
                  <c:v>44754</c:v>
                </c:pt>
                <c:pt idx="425">
                  <c:v>44761</c:v>
                </c:pt>
                <c:pt idx="426">
                  <c:v>44768</c:v>
                </c:pt>
                <c:pt idx="427">
                  <c:v>44775</c:v>
                </c:pt>
                <c:pt idx="428">
                  <c:v>44782</c:v>
                </c:pt>
                <c:pt idx="429">
                  <c:v>44789</c:v>
                </c:pt>
                <c:pt idx="430">
                  <c:v>44796</c:v>
                </c:pt>
                <c:pt idx="431">
                  <c:v>44803</c:v>
                </c:pt>
                <c:pt idx="432">
                  <c:v>44810</c:v>
                </c:pt>
                <c:pt idx="433">
                  <c:v>44817</c:v>
                </c:pt>
                <c:pt idx="434">
                  <c:v>44824</c:v>
                </c:pt>
                <c:pt idx="435">
                  <c:v>44831</c:v>
                </c:pt>
                <c:pt idx="436">
                  <c:v>44838</c:v>
                </c:pt>
                <c:pt idx="437">
                  <c:v>44845</c:v>
                </c:pt>
                <c:pt idx="438">
                  <c:v>44852</c:v>
                </c:pt>
                <c:pt idx="439">
                  <c:v>44859</c:v>
                </c:pt>
                <c:pt idx="440">
                  <c:v>44866</c:v>
                </c:pt>
                <c:pt idx="441">
                  <c:v>44873</c:v>
                </c:pt>
                <c:pt idx="442">
                  <c:v>44880</c:v>
                </c:pt>
                <c:pt idx="443">
                  <c:v>44887</c:v>
                </c:pt>
                <c:pt idx="444">
                  <c:v>44894</c:v>
                </c:pt>
                <c:pt idx="445">
                  <c:v>44901</c:v>
                </c:pt>
                <c:pt idx="446">
                  <c:v>44908</c:v>
                </c:pt>
                <c:pt idx="447">
                  <c:v>44915</c:v>
                </c:pt>
                <c:pt idx="448">
                  <c:v>44922</c:v>
                </c:pt>
                <c:pt idx="449">
                  <c:v>44926</c:v>
                </c:pt>
                <c:pt idx="450">
                  <c:v>44929</c:v>
                </c:pt>
                <c:pt idx="451">
                  <c:v>44936</c:v>
                </c:pt>
                <c:pt idx="452">
                  <c:v>44943</c:v>
                </c:pt>
                <c:pt idx="453">
                  <c:v>44950</c:v>
                </c:pt>
                <c:pt idx="454">
                  <c:v>44957</c:v>
                </c:pt>
                <c:pt idx="455">
                  <c:v>44964</c:v>
                </c:pt>
                <c:pt idx="456">
                  <c:v>44971</c:v>
                </c:pt>
                <c:pt idx="457">
                  <c:v>44978</c:v>
                </c:pt>
                <c:pt idx="458">
                  <c:v>44985</c:v>
                </c:pt>
                <c:pt idx="459">
                  <c:v>44992</c:v>
                </c:pt>
                <c:pt idx="460">
                  <c:v>44999</c:v>
                </c:pt>
                <c:pt idx="461">
                  <c:v>45006</c:v>
                </c:pt>
                <c:pt idx="462">
                  <c:v>45013</c:v>
                </c:pt>
                <c:pt idx="463">
                  <c:v>45020</c:v>
                </c:pt>
                <c:pt idx="464">
                  <c:v>45027</c:v>
                </c:pt>
                <c:pt idx="465">
                  <c:v>45034</c:v>
                </c:pt>
                <c:pt idx="466">
                  <c:v>45041</c:v>
                </c:pt>
                <c:pt idx="467">
                  <c:v>45048</c:v>
                </c:pt>
                <c:pt idx="468">
                  <c:v>45055</c:v>
                </c:pt>
                <c:pt idx="469">
                  <c:v>45062</c:v>
                </c:pt>
                <c:pt idx="470">
                  <c:v>45069</c:v>
                </c:pt>
                <c:pt idx="471">
                  <c:v>45076</c:v>
                </c:pt>
                <c:pt idx="472">
                  <c:v>45083</c:v>
                </c:pt>
                <c:pt idx="473">
                  <c:v>45090</c:v>
                </c:pt>
                <c:pt idx="474">
                  <c:v>45097</c:v>
                </c:pt>
                <c:pt idx="475">
                  <c:v>45104</c:v>
                </c:pt>
                <c:pt idx="476">
                  <c:v>45111</c:v>
                </c:pt>
                <c:pt idx="477">
                  <c:v>45118</c:v>
                </c:pt>
                <c:pt idx="478">
                  <c:v>45125</c:v>
                </c:pt>
                <c:pt idx="479">
                  <c:v>45132</c:v>
                </c:pt>
                <c:pt idx="480">
                  <c:v>45139</c:v>
                </c:pt>
                <c:pt idx="481">
                  <c:v>45146</c:v>
                </c:pt>
                <c:pt idx="482">
                  <c:v>45153</c:v>
                </c:pt>
                <c:pt idx="483">
                  <c:v>45160</c:v>
                </c:pt>
                <c:pt idx="484">
                  <c:v>45167</c:v>
                </c:pt>
                <c:pt idx="485">
                  <c:v>45174</c:v>
                </c:pt>
                <c:pt idx="486">
                  <c:v>45181</c:v>
                </c:pt>
                <c:pt idx="487">
                  <c:v>45188</c:v>
                </c:pt>
                <c:pt idx="488">
                  <c:v>45195</c:v>
                </c:pt>
                <c:pt idx="489">
                  <c:v>45202</c:v>
                </c:pt>
                <c:pt idx="490">
                  <c:v>45209</c:v>
                </c:pt>
                <c:pt idx="491">
                  <c:v>45216</c:v>
                </c:pt>
                <c:pt idx="492">
                  <c:v>45223</c:v>
                </c:pt>
                <c:pt idx="493">
                  <c:v>45230</c:v>
                </c:pt>
                <c:pt idx="494">
                  <c:v>45237</c:v>
                </c:pt>
                <c:pt idx="495">
                  <c:v>45244</c:v>
                </c:pt>
                <c:pt idx="496">
                  <c:v>45251</c:v>
                </c:pt>
                <c:pt idx="497">
                  <c:v>45258</c:v>
                </c:pt>
                <c:pt idx="498">
                  <c:v>45265</c:v>
                </c:pt>
                <c:pt idx="499">
                  <c:v>45272</c:v>
                </c:pt>
                <c:pt idx="500">
                  <c:v>45279</c:v>
                </c:pt>
                <c:pt idx="501">
                  <c:v>45286</c:v>
                </c:pt>
                <c:pt idx="502">
                  <c:v>45293</c:v>
                </c:pt>
              </c:numCache>
            </c:numRef>
          </c:cat>
          <c:val>
            <c:numRef>
              <c:f>Nacional!$J$83:$J$585</c:f>
              <c:numCache>
                <c:formatCode>0.00000</c:formatCode>
                <c:ptCount val="503"/>
                <c:pt idx="0">
                  <c:v>0.18985743521650145</c:v>
                </c:pt>
                <c:pt idx="1">
                  <c:v>0.47471421017828108</c:v>
                </c:pt>
                <c:pt idx="2">
                  <c:v>0.5240768193703067</c:v>
                </c:pt>
                <c:pt idx="3">
                  <c:v>0.54140651993693822</c:v>
                </c:pt>
                <c:pt idx="4">
                  <c:v>0.28319479229638223</c:v>
                </c:pt>
                <c:pt idx="5">
                  <c:v>0.26743526065485712</c:v>
                </c:pt>
                <c:pt idx="6">
                  <c:v>0.26973083891360528</c:v>
                </c:pt>
                <c:pt idx="7">
                  <c:v>0.26124493726047726</c:v>
                </c:pt>
                <c:pt idx="8">
                  <c:v>0.43770558256073633</c:v>
                </c:pt>
                <c:pt idx="9">
                  <c:v>0.37329731187330406</c:v>
                </c:pt>
                <c:pt idx="10">
                  <c:v>0.34711817186681992</c:v>
                </c:pt>
                <c:pt idx="11">
                  <c:v>0.43869183563330338</c:v>
                </c:pt>
                <c:pt idx="12">
                  <c:v>0.29730135318172612</c:v>
                </c:pt>
                <c:pt idx="13">
                  <c:v>0.35476571411387425</c:v>
                </c:pt>
                <c:pt idx="14">
                  <c:v>0.26075813792024416</c:v>
                </c:pt>
                <c:pt idx="15">
                  <c:v>0.25451109352248436</c:v>
                </c:pt>
                <c:pt idx="16">
                  <c:v>0.37623641443406752</c:v>
                </c:pt>
                <c:pt idx="17">
                  <c:v>0.41584424757178207</c:v>
                </c:pt>
                <c:pt idx="18">
                  <c:v>0.38144831412242208</c:v>
                </c:pt>
                <c:pt idx="19">
                  <c:v>0.20896404954436809</c:v>
                </c:pt>
                <c:pt idx="20">
                  <c:v>0.31352872638249352</c:v>
                </c:pt>
                <c:pt idx="21">
                  <c:v>0.31564421806299459</c:v>
                </c:pt>
                <c:pt idx="22">
                  <c:v>0.3602254936934286</c:v>
                </c:pt>
                <c:pt idx="23">
                  <c:v>0.62723415350070644</c:v>
                </c:pt>
                <c:pt idx="24">
                  <c:v>0.40152428882923763</c:v>
                </c:pt>
                <c:pt idx="25">
                  <c:v>0.51823334816181044</c:v>
                </c:pt>
                <c:pt idx="26">
                  <c:v>0.67028509213917831</c:v>
                </c:pt>
                <c:pt idx="27">
                  <c:v>0.16259375544956267</c:v>
                </c:pt>
                <c:pt idx="28">
                  <c:v>0.26296901314402676</c:v>
                </c:pt>
                <c:pt idx="29">
                  <c:v>0.11774162488698003</c:v>
                </c:pt>
                <c:pt idx="30">
                  <c:v>9.2389296561300238E-2</c:v>
                </c:pt>
                <c:pt idx="31">
                  <c:v>7.6903146562578462E-2</c:v>
                </c:pt>
                <c:pt idx="32">
                  <c:v>0.1878278619009115</c:v>
                </c:pt>
                <c:pt idx="33">
                  <c:v>0.10727374494553477</c:v>
                </c:pt>
                <c:pt idx="34">
                  <c:v>9.7402343314624495E-2</c:v>
                </c:pt>
                <c:pt idx="35">
                  <c:v>0.11366513315572835</c:v>
                </c:pt>
                <c:pt idx="36">
                  <c:v>0.11847186281323197</c:v>
                </c:pt>
                <c:pt idx="37">
                  <c:v>-3.9189136986011341E-2</c:v>
                </c:pt>
                <c:pt idx="38">
                  <c:v>5.5412968970347087E-2</c:v>
                </c:pt>
                <c:pt idx="39">
                  <c:v>0.11481631689060334</c:v>
                </c:pt>
                <c:pt idx="40">
                  <c:v>0.11629430470965652</c:v>
                </c:pt>
                <c:pt idx="41">
                  <c:v>5.6552481286903156E-2</c:v>
                </c:pt>
                <c:pt idx="42">
                  <c:v>1.6595290335034818E-2</c:v>
                </c:pt>
                <c:pt idx="43">
                  <c:v>-1.312807755389267E-2</c:v>
                </c:pt>
                <c:pt idx="44">
                  <c:v>-0.10631085773092863</c:v>
                </c:pt>
                <c:pt idx="45">
                  <c:v>0.1527630302725731</c:v>
                </c:pt>
                <c:pt idx="46">
                  <c:v>0.1686030709781936</c:v>
                </c:pt>
                <c:pt idx="47">
                  <c:v>0.21464895856472666</c:v>
                </c:pt>
                <c:pt idx="48">
                  <c:v>0.10774890608369159</c:v>
                </c:pt>
                <c:pt idx="49">
                  <c:v>0.13590565869643578</c:v>
                </c:pt>
                <c:pt idx="50">
                  <c:v>0.145289100562358</c:v>
                </c:pt>
                <c:pt idx="51">
                  <c:v>0.16367495450141689</c:v>
                </c:pt>
                <c:pt idx="52">
                  <c:v>0.19697939323166214</c:v>
                </c:pt>
                <c:pt idx="53">
                  <c:v>0.16432449931107751</c:v>
                </c:pt>
                <c:pt idx="54">
                  <c:v>0.3408242048261747</c:v>
                </c:pt>
                <c:pt idx="55">
                  <c:v>0.20353646897259337</c:v>
                </c:pt>
                <c:pt idx="56">
                  <c:v>0.20462316834029348</c:v>
                </c:pt>
                <c:pt idx="57">
                  <c:v>0.22648738352284048</c:v>
                </c:pt>
                <c:pt idx="58">
                  <c:v>0.30268605755228029</c:v>
                </c:pt>
                <c:pt idx="59">
                  <c:v>9.5726132153347354E-2</c:v>
                </c:pt>
                <c:pt idx="60">
                  <c:v>0.1841819324224383</c:v>
                </c:pt>
                <c:pt idx="61">
                  <c:v>0.2687345922190405</c:v>
                </c:pt>
                <c:pt idx="62">
                  <c:v>7.3686703841474133E-2</c:v>
                </c:pt>
                <c:pt idx="63">
                  <c:v>-6.5704297466098183E-3</c:v>
                </c:pt>
                <c:pt idx="64">
                  <c:v>7.0275602151517846E-2</c:v>
                </c:pt>
                <c:pt idx="65">
                  <c:v>0.16572529325651697</c:v>
                </c:pt>
                <c:pt idx="66">
                  <c:v>0.14617303768759982</c:v>
                </c:pt>
                <c:pt idx="67">
                  <c:v>0.1705018592487324</c:v>
                </c:pt>
                <c:pt idx="68">
                  <c:v>0.28604720501516634</c:v>
                </c:pt>
                <c:pt idx="69">
                  <c:v>0.37319900633137992</c:v>
                </c:pt>
                <c:pt idx="70">
                  <c:v>0.15484677415160908</c:v>
                </c:pt>
                <c:pt idx="71">
                  <c:v>0.10617293470036704</c:v>
                </c:pt>
                <c:pt idx="72">
                  <c:v>0.21652704535510026</c:v>
                </c:pt>
                <c:pt idx="73">
                  <c:v>0.31183841520514988</c:v>
                </c:pt>
                <c:pt idx="74">
                  <c:v>0.37068822167388382</c:v>
                </c:pt>
                <c:pt idx="75">
                  <c:v>0.46276713933586433</c:v>
                </c:pt>
                <c:pt idx="76">
                  <c:v>0.60448761966877962</c:v>
                </c:pt>
                <c:pt idx="77">
                  <c:v>0.76001020848602896</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0.1205677466207602</c:v>
                </c:pt>
                <c:pt idx="109">
                  <c:v>0.18695328311929571</c:v>
                </c:pt>
                <c:pt idx="110">
                  <c:v>0.20272048779940643</c:v>
                </c:pt>
                <c:pt idx="111">
                  <c:v>9.4362347719937789E-2</c:v>
                </c:pt>
                <c:pt idx="112">
                  <c:v>0.30711221238402442</c:v>
                </c:pt>
                <c:pt idx="113">
                  <c:v>0.29616143790974481</c:v>
                </c:pt>
                <c:pt idx="114">
                  <c:v>0.23741328187964572</c:v>
                </c:pt>
                <c:pt idx="115">
                  <c:v>0.22534307047086144</c:v>
                </c:pt>
                <c:pt idx="116">
                  <c:v>0.17398892108620356</c:v>
                </c:pt>
                <c:pt idx="117">
                  <c:v>0.15270742707742957</c:v>
                </c:pt>
                <c:pt idx="118">
                  <c:v>-6.7001430527571237E-3</c:v>
                </c:pt>
                <c:pt idx="119">
                  <c:v>-0.11369939725891398</c:v>
                </c:pt>
                <c:pt idx="120">
                  <c:v>6.630349895957921E-2</c:v>
                </c:pt>
                <c:pt idx="121">
                  <c:v>7.6320150567840583E-2</c:v>
                </c:pt>
                <c:pt idx="122">
                  <c:v>8.9868407104945813E-2</c:v>
                </c:pt>
                <c:pt idx="123">
                  <c:v>0.21673397629198732</c:v>
                </c:pt>
                <c:pt idx="124">
                  <c:v>0.23902632335210239</c:v>
                </c:pt>
                <c:pt idx="125">
                  <c:v>0.2454827157731625</c:v>
                </c:pt>
                <c:pt idx="126">
                  <c:v>0</c:v>
                </c:pt>
                <c:pt idx="127">
                  <c:v>0</c:v>
                </c:pt>
                <c:pt idx="128">
                  <c:v>0</c:v>
                </c:pt>
                <c:pt idx="129">
                  <c:v>0</c:v>
                </c:pt>
                <c:pt idx="130">
                  <c:v>0</c:v>
                </c:pt>
                <c:pt idx="131">
                  <c:v>0</c:v>
                </c:pt>
                <c:pt idx="132">
                  <c:v>0</c:v>
                </c:pt>
                <c:pt idx="133">
                  <c:v>-4.4848713468594648E-2</c:v>
                </c:pt>
                <c:pt idx="134">
                  <c:v>0.14016091385650542</c:v>
                </c:pt>
                <c:pt idx="135">
                  <c:v>0.15194625385543548</c:v>
                </c:pt>
                <c:pt idx="136">
                  <c:v>0.14677287948013751</c:v>
                </c:pt>
                <c:pt idx="137">
                  <c:v>9.4314418952147427E-2</c:v>
                </c:pt>
                <c:pt idx="138">
                  <c:v>0.18773480269126375</c:v>
                </c:pt>
                <c:pt idx="139">
                  <c:v>0.20955681711637397</c:v>
                </c:pt>
                <c:pt idx="140">
                  <c:v>0.19759117300585349</c:v>
                </c:pt>
                <c:pt idx="141">
                  <c:v>0.24197353874676497</c:v>
                </c:pt>
                <c:pt idx="142">
                  <c:v>0.32798285191611232</c:v>
                </c:pt>
                <c:pt idx="143">
                  <c:v>0.18374488144019119</c:v>
                </c:pt>
                <c:pt idx="144">
                  <c:v>0.19398996188513129</c:v>
                </c:pt>
                <c:pt idx="145">
                  <c:v>0.14845300109600679</c:v>
                </c:pt>
                <c:pt idx="146">
                  <c:v>0.2029091847834974</c:v>
                </c:pt>
                <c:pt idx="147">
                  <c:v>0.13918252891331706</c:v>
                </c:pt>
                <c:pt idx="148">
                  <c:v>0.28069678670224274</c:v>
                </c:pt>
                <c:pt idx="149">
                  <c:v>0.3722694914866409</c:v>
                </c:pt>
                <c:pt idx="150">
                  <c:v>0.47848179648841827</c:v>
                </c:pt>
                <c:pt idx="151">
                  <c:v>0.47158814912578184</c:v>
                </c:pt>
                <c:pt idx="152">
                  <c:v>0.40247620083928193</c:v>
                </c:pt>
                <c:pt idx="153">
                  <c:v>0.32627490886081145</c:v>
                </c:pt>
                <c:pt idx="154">
                  <c:v>0.44609688028413386</c:v>
                </c:pt>
                <c:pt idx="155">
                  <c:v>0.55621387936559818</c:v>
                </c:pt>
                <c:pt idx="156">
                  <c:v>0.55603856373619642</c:v>
                </c:pt>
                <c:pt idx="157">
                  <c:v>0.60226154706560053</c:v>
                </c:pt>
                <c:pt idx="158">
                  <c:v>0.53577105022346072</c:v>
                </c:pt>
                <c:pt idx="159">
                  <c:v>0.48100139357098315</c:v>
                </c:pt>
                <c:pt idx="160">
                  <c:v>0.43790245234613145</c:v>
                </c:pt>
                <c:pt idx="161">
                  <c:v>0.38342156794382465</c:v>
                </c:pt>
                <c:pt idx="162">
                  <c:v>0.25134983557280677</c:v>
                </c:pt>
                <c:pt idx="163">
                  <c:v>0.1165419657134481</c:v>
                </c:pt>
                <c:pt idx="164">
                  <c:v>0.14272892541921434</c:v>
                </c:pt>
                <c:pt idx="165">
                  <c:v>0.28740688028217742</c:v>
                </c:pt>
                <c:pt idx="166">
                  <c:v>0.27266973936366345</c:v>
                </c:pt>
                <c:pt idx="167">
                  <c:v>0.17222685725166986</c:v>
                </c:pt>
                <c:pt idx="168">
                  <c:v>0.22000620150798733</c:v>
                </c:pt>
                <c:pt idx="169">
                  <c:v>0.43427067924268359</c:v>
                </c:pt>
                <c:pt idx="170">
                  <c:v>0.29546296826033869</c:v>
                </c:pt>
                <c:pt idx="171">
                  <c:v>0.29165760320761525</c:v>
                </c:pt>
                <c:pt idx="172">
                  <c:v>0.37077437597045337</c:v>
                </c:pt>
                <c:pt idx="173">
                  <c:v>0.38641865452053992</c:v>
                </c:pt>
                <c:pt idx="174">
                  <c:v>0.34998166234903438</c:v>
                </c:pt>
                <c:pt idx="175">
                  <c:v>0.14665221726280953</c:v>
                </c:pt>
                <c:pt idx="176">
                  <c:v>9.872568073004695E-2</c:v>
                </c:pt>
                <c:pt idx="177">
                  <c:v>7.2499145818891719E-3</c:v>
                </c:pt>
                <c:pt idx="178">
                  <c:v>4.7914101001746978E-2</c:v>
                </c:pt>
                <c:pt idx="179">
                  <c:v>4.8070859091478013E-3</c:v>
                </c:pt>
                <c:pt idx="180">
                  <c:v>-1.1074132336004183E-3</c:v>
                </c:pt>
                <c:pt idx="181">
                  <c:v>6.1343227434238479E-3</c:v>
                </c:pt>
                <c:pt idx="182">
                  <c:v>-1.8129225633204626E-2</c:v>
                </c:pt>
                <c:pt idx="183">
                  <c:v>-4.1173046109405753E-2</c:v>
                </c:pt>
                <c:pt idx="184">
                  <c:v>0</c:v>
                </c:pt>
                <c:pt idx="185">
                  <c:v>0</c:v>
                </c:pt>
                <c:pt idx="186">
                  <c:v>0</c:v>
                </c:pt>
                <c:pt idx="187">
                  <c:v>0</c:v>
                </c:pt>
                <c:pt idx="188">
                  <c:v>0</c:v>
                </c:pt>
                <c:pt idx="189">
                  <c:v>0</c:v>
                </c:pt>
                <c:pt idx="190">
                  <c:v>7.9953955765469154E-2</c:v>
                </c:pt>
                <c:pt idx="191">
                  <c:v>0.16276604985722365</c:v>
                </c:pt>
                <c:pt idx="192">
                  <c:v>5.2221578536108204E-2</c:v>
                </c:pt>
                <c:pt idx="193">
                  <c:v>6.6744303036617492E-2</c:v>
                </c:pt>
                <c:pt idx="194">
                  <c:v>0.1370532189425937</c:v>
                </c:pt>
                <c:pt idx="195">
                  <c:v>0.15005791003149627</c:v>
                </c:pt>
                <c:pt idx="196">
                  <c:v>2.8061187646180485E-2</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9.5551577381188579E-2</c:v>
                </c:pt>
                <c:pt idx="230">
                  <c:v>0.23843471563811791</c:v>
                </c:pt>
                <c:pt idx="231">
                  <c:v>0.27487115344454471</c:v>
                </c:pt>
                <c:pt idx="232">
                  <c:v>0.45241533890850372</c:v>
                </c:pt>
                <c:pt idx="233">
                  <c:v>0.41307593636186368</c:v>
                </c:pt>
                <c:pt idx="234">
                  <c:v>0.4593015657974866</c:v>
                </c:pt>
                <c:pt idx="235">
                  <c:v>0.45486910421433979</c:v>
                </c:pt>
                <c:pt idx="236">
                  <c:v>0.54902925920628842</c:v>
                </c:pt>
                <c:pt idx="237">
                  <c:v>0.45746886690609356</c:v>
                </c:pt>
                <c:pt idx="238">
                  <c:v>0.18723165935672537</c:v>
                </c:pt>
                <c:pt idx="239">
                  <c:v>0.16607609045258043</c:v>
                </c:pt>
                <c:pt idx="240">
                  <c:v>0.31011309889874195</c:v>
                </c:pt>
                <c:pt idx="241">
                  <c:v>0.54183792262714814</c:v>
                </c:pt>
                <c:pt idx="242">
                  <c:v>0.53541239144539032</c:v>
                </c:pt>
                <c:pt idx="243">
                  <c:v>0.4463408166123366</c:v>
                </c:pt>
                <c:pt idx="244">
                  <c:v>0.41429203880115217</c:v>
                </c:pt>
                <c:pt idx="245">
                  <c:v>0.33225929524551301</c:v>
                </c:pt>
                <c:pt idx="246">
                  <c:v>0.36727174672111174</c:v>
                </c:pt>
                <c:pt idx="247">
                  <c:v>0.37967664078174046</c:v>
                </c:pt>
                <c:pt idx="248">
                  <c:v>0.39471214467234761</c:v>
                </c:pt>
                <c:pt idx="249">
                  <c:v>0.37695663374395361</c:v>
                </c:pt>
                <c:pt idx="250">
                  <c:v>0.38485490991907545</c:v>
                </c:pt>
                <c:pt idx="251">
                  <c:v>0.35062104418739315</c:v>
                </c:pt>
                <c:pt idx="252">
                  <c:v>0.30047059151314048</c:v>
                </c:pt>
                <c:pt idx="253">
                  <c:v>0.29416877541596875</c:v>
                </c:pt>
                <c:pt idx="254">
                  <c:v>0.25443584852318679</c:v>
                </c:pt>
                <c:pt idx="255">
                  <c:v>0.28677634334536029</c:v>
                </c:pt>
                <c:pt idx="256">
                  <c:v>0.28967500991831008</c:v>
                </c:pt>
                <c:pt idx="257">
                  <c:v>0.24034976633397376</c:v>
                </c:pt>
                <c:pt idx="258">
                  <c:v>0.29850321094076326</c:v>
                </c:pt>
                <c:pt idx="259">
                  <c:v>0.40231349273647909</c:v>
                </c:pt>
                <c:pt idx="260">
                  <c:v>0.53878117067419362</c:v>
                </c:pt>
                <c:pt idx="261">
                  <c:v>0.5414397485779423</c:v>
                </c:pt>
                <c:pt idx="262">
                  <c:v>0.4950574448398295</c:v>
                </c:pt>
                <c:pt idx="263">
                  <c:v>0</c:v>
                </c:pt>
                <c:pt idx="264">
                  <c:v>3.1275847075468377E-2</c:v>
                </c:pt>
                <c:pt idx="265">
                  <c:v>-5.6298915855649945E-2</c:v>
                </c:pt>
                <c:pt idx="266">
                  <c:v>2.1842879436881013E-2</c:v>
                </c:pt>
                <c:pt idx="267">
                  <c:v>9.9116938080276995E-3</c:v>
                </c:pt>
                <c:pt idx="268">
                  <c:v>1.3139869113417024E-2</c:v>
                </c:pt>
                <c:pt idx="269">
                  <c:v>0.17557686799865957</c:v>
                </c:pt>
                <c:pt idx="270">
                  <c:v>0.14597330482775828</c:v>
                </c:pt>
                <c:pt idx="271">
                  <c:v>0.11998216529897654</c:v>
                </c:pt>
                <c:pt idx="272">
                  <c:v>0.12571665094505002</c:v>
                </c:pt>
                <c:pt idx="273">
                  <c:v>0.13213808018414142</c:v>
                </c:pt>
                <c:pt idx="274">
                  <c:v>0.10269508044508635</c:v>
                </c:pt>
                <c:pt idx="275">
                  <c:v>-4.4090580541372493E-2</c:v>
                </c:pt>
                <c:pt idx="276">
                  <c:v>1.0119735842018418E-2</c:v>
                </c:pt>
                <c:pt idx="277">
                  <c:v>8.3472921203360251E-2</c:v>
                </c:pt>
                <c:pt idx="278">
                  <c:v>6.7762895479237528E-2</c:v>
                </c:pt>
                <c:pt idx="279">
                  <c:v>7.0599759001500395E-2</c:v>
                </c:pt>
                <c:pt idx="280">
                  <c:v>0.32990865750676512</c:v>
                </c:pt>
                <c:pt idx="281">
                  <c:v>0.28529352943920872</c:v>
                </c:pt>
                <c:pt idx="282">
                  <c:v>0.26189473733320856</c:v>
                </c:pt>
                <c:pt idx="283">
                  <c:v>0.3014174677303969</c:v>
                </c:pt>
                <c:pt idx="284">
                  <c:v>0</c:v>
                </c:pt>
                <c:pt idx="285">
                  <c:v>0</c:v>
                </c:pt>
                <c:pt idx="286">
                  <c:v>0</c:v>
                </c:pt>
                <c:pt idx="287">
                  <c:v>0</c:v>
                </c:pt>
                <c:pt idx="288">
                  <c:v>0</c:v>
                </c:pt>
                <c:pt idx="289">
                  <c:v>0</c:v>
                </c:pt>
                <c:pt idx="290">
                  <c:v>0</c:v>
                </c:pt>
                <c:pt idx="291">
                  <c:v>0</c:v>
                </c:pt>
                <c:pt idx="292">
                  <c:v>0</c:v>
                </c:pt>
                <c:pt idx="293">
                  <c:v>0</c:v>
                </c:pt>
                <c:pt idx="294">
                  <c:v>0</c:v>
                </c:pt>
                <c:pt idx="295">
                  <c:v>0.58816759059525725</c:v>
                </c:pt>
                <c:pt idx="296">
                  <c:v>0.66403646649502446</c:v>
                </c:pt>
                <c:pt idx="297">
                  <c:v>0.60529085674081262</c:v>
                </c:pt>
                <c:pt idx="298">
                  <c:v>0.55862319028340046</c:v>
                </c:pt>
                <c:pt idx="299">
                  <c:v>0.27287042233113135</c:v>
                </c:pt>
                <c:pt idx="300">
                  <c:v>0.33112619561048362</c:v>
                </c:pt>
                <c:pt idx="301">
                  <c:v>0.79169381973151465</c:v>
                </c:pt>
                <c:pt idx="302">
                  <c:v>1.1284055341998718</c:v>
                </c:pt>
                <c:pt idx="303">
                  <c:v>1.1555033728436088</c:v>
                </c:pt>
                <c:pt idx="304">
                  <c:v>1.1690706461665674</c:v>
                </c:pt>
                <c:pt idx="305">
                  <c:v>1.1610188164078801</c:v>
                </c:pt>
                <c:pt idx="306">
                  <c:v>1.2117106480387223</c:v>
                </c:pt>
                <c:pt idx="307">
                  <c:v>1.4113038972830876</c:v>
                </c:pt>
                <c:pt idx="308">
                  <c:v>1.4716495693346956</c:v>
                </c:pt>
                <c:pt idx="309">
                  <c:v>1.2441449500378323</c:v>
                </c:pt>
                <c:pt idx="310">
                  <c:v>1.275538099019478</c:v>
                </c:pt>
                <c:pt idx="311">
                  <c:v>1.0905316061086825</c:v>
                </c:pt>
                <c:pt idx="312">
                  <c:v>1.1045959191922328</c:v>
                </c:pt>
                <c:pt idx="313">
                  <c:v>1.0254335884436203</c:v>
                </c:pt>
                <c:pt idx="314">
                  <c:v>0.95344619914118489</c:v>
                </c:pt>
                <c:pt idx="315">
                  <c:v>0.87505728662474702</c:v>
                </c:pt>
                <c:pt idx="316">
                  <c:v>0.89795371719908434</c:v>
                </c:pt>
                <c:pt idx="317">
                  <c:v>0.90344694740660958</c:v>
                </c:pt>
                <c:pt idx="318">
                  <c:v>0.84624158455582932</c:v>
                </c:pt>
                <c:pt idx="319">
                  <c:v>0.85660058548596862</c:v>
                </c:pt>
                <c:pt idx="320">
                  <c:v>0.8040578846405404</c:v>
                </c:pt>
                <c:pt idx="321">
                  <c:v>0.8329483119291472</c:v>
                </c:pt>
                <c:pt idx="322">
                  <c:v>0.82041496479658926</c:v>
                </c:pt>
                <c:pt idx="323">
                  <c:v>0.83123707338468278</c:v>
                </c:pt>
                <c:pt idx="324">
                  <c:v>0.83341620109113279</c:v>
                </c:pt>
                <c:pt idx="325">
                  <c:v>0.81459518672199183</c:v>
                </c:pt>
                <c:pt idx="326">
                  <c:v>0.87870684493622253</c:v>
                </c:pt>
                <c:pt idx="327">
                  <c:v>0.98365432956815702</c:v>
                </c:pt>
                <c:pt idx="328">
                  <c:v>0.95125672875364953</c:v>
                </c:pt>
                <c:pt idx="329">
                  <c:v>0.98626211138762154</c:v>
                </c:pt>
                <c:pt idx="330">
                  <c:v>0.98347017005391946</c:v>
                </c:pt>
                <c:pt idx="331">
                  <c:v>0.90315082459714469</c:v>
                </c:pt>
                <c:pt idx="332">
                  <c:v>0.88584646611979045</c:v>
                </c:pt>
                <c:pt idx="333">
                  <c:v>0.91244484170993045</c:v>
                </c:pt>
                <c:pt idx="334">
                  <c:v>0.97829517555691314</c:v>
                </c:pt>
                <c:pt idx="335">
                  <c:v>0.92462650150444436</c:v>
                </c:pt>
                <c:pt idx="336">
                  <c:v>0.85505643467868686</c:v>
                </c:pt>
                <c:pt idx="337">
                  <c:v>0.83631663567189052</c:v>
                </c:pt>
                <c:pt idx="338">
                  <c:v>0.72935110675153769</c:v>
                </c:pt>
                <c:pt idx="339">
                  <c:v>0.69106585578599034</c:v>
                </c:pt>
                <c:pt idx="340">
                  <c:v>0.65309856907023356</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8.2836271634481928E-2</c:v>
                </c:pt>
                <c:pt idx="408">
                  <c:v>-0.20472209944905062</c:v>
                </c:pt>
                <c:pt idx="409">
                  <c:v>0.36960511617229663</c:v>
                </c:pt>
                <c:pt idx="410">
                  <c:v>-0.40825337806847939</c:v>
                </c:pt>
                <c:pt idx="411">
                  <c:v>-0.22580301450317997</c:v>
                </c:pt>
                <c:pt idx="412">
                  <c:v>-0.20417973926788813</c:v>
                </c:pt>
                <c:pt idx="413">
                  <c:v>-0.27656147805844844</c:v>
                </c:pt>
                <c:pt idx="414">
                  <c:v>-0.38344299436187956</c:v>
                </c:pt>
                <c:pt idx="415">
                  <c:v>-0.54225417268796061</c:v>
                </c:pt>
                <c:pt idx="416">
                  <c:v>-0.7133227656895742</c:v>
                </c:pt>
                <c:pt idx="417">
                  <c:v>-0.45669364028245285</c:v>
                </c:pt>
                <c:pt idx="418">
                  <c:v>5.6354723294194109E-3</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0.50975426841872062</c:v>
                </c:pt>
                <c:pt idx="439">
                  <c:v>0.43247385796545057</c:v>
                </c:pt>
                <c:pt idx="440">
                  <c:v>0.3339873766840995</c:v>
                </c:pt>
                <c:pt idx="441">
                  <c:v>0.32465242177816744</c:v>
                </c:pt>
                <c:pt idx="442">
                  <c:v>0.36122978371642311</c:v>
                </c:pt>
                <c:pt idx="443">
                  <c:v>0.41137683175965956</c:v>
                </c:pt>
                <c:pt idx="444">
                  <c:v>0.56595997574829227</c:v>
                </c:pt>
                <c:pt idx="445">
                  <c:v>0.97813482568893839</c:v>
                </c:pt>
                <c:pt idx="446">
                  <c:v>1.0972274768275958</c:v>
                </c:pt>
                <c:pt idx="447">
                  <c:v>0</c:v>
                </c:pt>
                <c:pt idx="448">
                  <c:v>0.99364797932593651</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numCache>
            </c:numRef>
          </c:val>
          <c:extLst>
            <c:ext xmlns:c16="http://schemas.microsoft.com/office/drawing/2014/chart" uri="{C3380CC4-5D6E-409C-BE32-E72D297353CC}">
              <c16:uniqueId val="{00000001-B1C1-4825-B31F-EB9A5A42A49D}"/>
            </c:ext>
          </c:extLst>
        </c:ser>
        <c:dLbls>
          <c:showLegendKey val="0"/>
          <c:showVal val="0"/>
          <c:showCatName val="0"/>
          <c:showSerName val="0"/>
          <c:showPercent val="0"/>
          <c:showBubbleSize val="0"/>
        </c:dLbls>
        <c:gapWidth val="75"/>
        <c:axId val="1935869376"/>
        <c:axId val="1399266864"/>
      </c:barChart>
      <c:lineChart>
        <c:grouping val="standard"/>
        <c:varyColors val="0"/>
        <c:ser>
          <c:idx val="0"/>
          <c:order val="0"/>
          <c:tx>
            <c:strRef>
              <c:f>Nacional!$H$1</c:f>
              <c:strCache>
                <c:ptCount val="1"/>
                <c:pt idx="0">
                  <c:v>Nacional</c:v>
                </c:pt>
              </c:strCache>
            </c:strRef>
          </c:tx>
          <c:spPr>
            <a:ln w="19050" cap="rnd">
              <a:solidFill>
                <a:srgbClr val="002060"/>
              </a:solidFill>
              <a:round/>
            </a:ln>
            <a:effectLst/>
          </c:spPr>
          <c:marker>
            <c:symbol val="none"/>
          </c:marker>
          <c:cat>
            <c:numRef>
              <c:f>Nacional!$B$83:$B$585</c:f>
              <c:numCache>
                <c:formatCode>yyyy\-mm\-dd;@</c:formatCode>
                <c:ptCount val="503"/>
                <c:pt idx="0">
                  <c:v>41828</c:v>
                </c:pt>
                <c:pt idx="1">
                  <c:v>41835</c:v>
                </c:pt>
                <c:pt idx="2">
                  <c:v>41842</c:v>
                </c:pt>
                <c:pt idx="3">
                  <c:v>41849</c:v>
                </c:pt>
                <c:pt idx="4">
                  <c:v>41856</c:v>
                </c:pt>
                <c:pt idx="5">
                  <c:v>41863</c:v>
                </c:pt>
                <c:pt idx="6">
                  <c:v>41870</c:v>
                </c:pt>
                <c:pt idx="7">
                  <c:v>41877</c:v>
                </c:pt>
                <c:pt idx="8">
                  <c:v>41884</c:v>
                </c:pt>
                <c:pt idx="9">
                  <c:v>41891</c:v>
                </c:pt>
                <c:pt idx="10">
                  <c:v>41898</c:v>
                </c:pt>
                <c:pt idx="11">
                  <c:v>41905</c:v>
                </c:pt>
                <c:pt idx="12">
                  <c:v>41912</c:v>
                </c:pt>
                <c:pt idx="13">
                  <c:v>41919</c:v>
                </c:pt>
                <c:pt idx="14">
                  <c:v>41926</c:v>
                </c:pt>
                <c:pt idx="15">
                  <c:v>41933</c:v>
                </c:pt>
                <c:pt idx="16">
                  <c:v>41940</c:v>
                </c:pt>
                <c:pt idx="17">
                  <c:v>41947</c:v>
                </c:pt>
                <c:pt idx="18">
                  <c:v>41954</c:v>
                </c:pt>
                <c:pt idx="19">
                  <c:v>41961</c:v>
                </c:pt>
                <c:pt idx="20">
                  <c:v>41968</c:v>
                </c:pt>
                <c:pt idx="21">
                  <c:v>41975</c:v>
                </c:pt>
                <c:pt idx="22">
                  <c:v>41982</c:v>
                </c:pt>
                <c:pt idx="23">
                  <c:v>41989</c:v>
                </c:pt>
                <c:pt idx="24">
                  <c:v>41996</c:v>
                </c:pt>
                <c:pt idx="25">
                  <c:v>42003</c:v>
                </c:pt>
                <c:pt idx="26">
                  <c:v>42010</c:v>
                </c:pt>
                <c:pt idx="27">
                  <c:v>42017</c:v>
                </c:pt>
                <c:pt idx="28">
                  <c:v>42024</c:v>
                </c:pt>
                <c:pt idx="29">
                  <c:v>42031</c:v>
                </c:pt>
                <c:pt idx="30">
                  <c:v>42038</c:v>
                </c:pt>
                <c:pt idx="31">
                  <c:v>42045</c:v>
                </c:pt>
                <c:pt idx="32">
                  <c:v>42052</c:v>
                </c:pt>
                <c:pt idx="33">
                  <c:v>42059</c:v>
                </c:pt>
                <c:pt idx="34">
                  <c:v>42066</c:v>
                </c:pt>
                <c:pt idx="35">
                  <c:v>42073</c:v>
                </c:pt>
                <c:pt idx="36">
                  <c:v>42080</c:v>
                </c:pt>
                <c:pt idx="37">
                  <c:v>42087</c:v>
                </c:pt>
                <c:pt idx="38">
                  <c:v>42094</c:v>
                </c:pt>
                <c:pt idx="39">
                  <c:v>42101</c:v>
                </c:pt>
                <c:pt idx="40">
                  <c:v>42108</c:v>
                </c:pt>
                <c:pt idx="41">
                  <c:v>42115</c:v>
                </c:pt>
                <c:pt idx="42">
                  <c:v>42122</c:v>
                </c:pt>
                <c:pt idx="43">
                  <c:v>42129</c:v>
                </c:pt>
                <c:pt idx="44">
                  <c:v>42136</c:v>
                </c:pt>
                <c:pt idx="45">
                  <c:v>42143</c:v>
                </c:pt>
                <c:pt idx="46">
                  <c:v>42150</c:v>
                </c:pt>
                <c:pt idx="47">
                  <c:v>42157</c:v>
                </c:pt>
                <c:pt idx="48">
                  <c:v>42164</c:v>
                </c:pt>
                <c:pt idx="49">
                  <c:v>42171</c:v>
                </c:pt>
                <c:pt idx="50">
                  <c:v>42178</c:v>
                </c:pt>
                <c:pt idx="51">
                  <c:v>42185</c:v>
                </c:pt>
                <c:pt idx="52">
                  <c:v>42192</c:v>
                </c:pt>
                <c:pt idx="53">
                  <c:v>42199</c:v>
                </c:pt>
                <c:pt idx="54">
                  <c:v>42206</c:v>
                </c:pt>
                <c:pt idx="55">
                  <c:v>42213</c:v>
                </c:pt>
                <c:pt idx="56">
                  <c:v>42220</c:v>
                </c:pt>
                <c:pt idx="57">
                  <c:v>42227</c:v>
                </c:pt>
                <c:pt idx="58">
                  <c:v>42234</c:v>
                </c:pt>
                <c:pt idx="59">
                  <c:v>42241</c:v>
                </c:pt>
                <c:pt idx="60">
                  <c:v>42248</c:v>
                </c:pt>
                <c:pt idx="61">
                  <c:v>42255</c:v>
                </c:pt>
                <c:pt idx="62">
                  <c:v>42262</c:v>
                </c:pt>
                <c:pt idx="63">
                  <c:v>42269</c:v>
                </c:pt>
                <c:pt idx="64">
                  <c:v>42276</c:v>
                </c:pt>
                <c:pt idx="65">
                  <c:v>42283</c:v>
                </c:pt>
                <c:pt idx="66">
                  <c:v>42290</c:v>
                </c:pt>
                <c:pt idx="67">
                  <c:v>42297</c:v>
                </c:pt>
                <c:pt idx="68">
                  <c:v>42304</c:v>
                </c:pt>
                <c:pt idx="69">
                  <c:v>42311</c:v>
                </c:pt>
                <c:pt idx="70">
                  <c:v>42318</c:v>
                </c:pt>
                <c:pt idx="71">
                  <c:v>42325</c:v>
                </c:pt>
                <c:pt idx="72">
                  <c:v>42332</c:v>
                </c:pt>
                <c:pt idx="73">
                  <c:v>42339</c:v>
                </c:pt>
                <c:pt idx="74">
                  <c:v>42346</c:v>
                </c:pt>
                <c:pt idx="75">
                  <c:v>42353</c:v>
                </c:pt>
                <c:pt idx="76">
                  <c:v>42360</c:v>
                </c:pt>
                <c:pt idx="77">
                  <c:v>42367</c:v>
                </c:pt>
                <c:pt idx="78">
                  <c:v>42374</c:v>
                </c:pt>
                <c:pt idx="79">
                  <c:v>42381</c:v>
                </c:pt>
                <c:pt idx="80">
                  <c:v>42388</c:v>
                </c:pt>
                <c:pt idx="81">
                  <c:v>42395</c:v>
                </c:pt>
                <c:pt idx="82">
                  <c:v>42402</c:v>
                </c:pt>
                <c:pt idx="83">
                  <c:v>42409</c:v>
                </c:pt>
                <c:pt idx="84">
                  <c:v>42416</c:v>
                </c:pt>
                <c:pt idx="85">
                  <c:v>42423</c:v>
                </c:pt>
                <c:pt idx="86">
                  <c:v>42430</c:v>
                </c:pt>
                <c:pt idx="87">
                  <c:v>42437</c:v>
                </c:pt>
                <c:pt idx="88">
                  <c:v>42444</c:v>
                </c:pt>
                <c:pt idx="89">
                  <c:v>42451</c:v>
                </c:pt>
                <c:pt idx="90">
                  <c:v>42458</c:v>
                </c:pt>
                <c:pt idx="91">
                  <c:v>42465</c:v>
                </c:pt>
                <c:pt idx="92">
                  <c:v>42472</c:v>
                </c:pt>
                <c:pt idx="93">
                  <c:v>42479</c:v>
                </c:pt>
                <c:pt idx="94">
                  <c:v>42486</c:v>
                </c:pt>
                <c:pt idx="95">
                  <c:v>42493</c:v>
                </c:pt>
                <c:pt idx="96">
                  <c:v>42500</c:v>
                </c:pt>
                <c:pt idx="97">
                  <c:v>42507</c:v>
                </c:pt>
                <c:pt idx="98">
                  <c:v>42514</c:v>
                </c:pt>
                <c:pt idx="99">
                  <c:v>42521</c:v>
                </c:pt>
                <c:pt idx="100">
                  <c:v>42528</c:v>
                </c:pt>
                <c:pt idx="101">
                  <c:v>42535</c:v>
                </c:pt>
                <c:pt idx="102">
                  <c:v>42542</c:v>
                </c:pt>
                <c:pt idx="103">
                  <c:v>42549</c:v>
                </c:pt>
                <c:pt idx="104">
                  <c:v>42556</c:v>
                </c:pt>
                <c:pt idx="105">
                  <c:v>42563</c:v>
                </c:pt>
                <c:pt idx="106">
                  <c:v>42570</c:v>
                </c:pt>
                <c:pt idx="107">
                  <c:v>42577</c:v>
                </c:pt>
                <c:pt idx="108">
                  <c:v>42584</c:v>
                </c:pt>
                <c:pt idx="109">
                  <c:v>42591</c:v>
                </c:pt>
                <c:pt idx="110">
                  <c:v>42598</c:v>
                </c:pt>
                <c:pt idx="111">
                  <c:v>42605</c:v>
                </c:pt>
                <c:pt idx="112">
                  <c:v>42612</c:v>
                </c:pt>
                <c:pt idx="113">
                  <c:v>42619</c:v>
                </c:pt>
                <c:pt idx="114">
                  <c:v>42626</c:v>
                </c:pt>
                <c:pt idx="115">
                  <c:v>42633</c:v>
                </c:pt>
                <c:pt idx="116">
                  <c:v>42640</c:v>
                </c:pt>
                <c:pt idx="117">
                  <c:v>42647</c:v>
                </c:pt>
                <c:pt idx="118">
                  <c:v>42654</c:v>
                </c:pt>
                <c:pt idx="119">
                  <c:v>42661</c:v>
                </c:pt>
                <c:pt idx="120">
                  <c:v>42668</c:v>
                </c:pt>
                <c:pt idx="121">
                  <c:v>42675</c:v>
                </c:pt>
                <c:pt idx="122">
                  <c:v>42682</c:v>
                </c:pt>
                <c:pt idx="123">
                  <c:v>42689</c:v>
                </c:pt>
                <c:pt idx="124">
                  <c:v>42696</c:v>
                </c:pt>
                <c:pt idx="125">
                  <c:v>42703</c:v>
                </c:pt>
                <c:pt idx="126">
                  <c:v>42710</c:v>
                </c:pt>
                <c:pt idx="127">
                  <c:v>42717</c:v>
                </c:pt>
                <c:pt idx="128">
                  <c:v>42724</c:v>
                </c:pt>
                <c:pt idx="129">
                  <c:v>42731</c:v>
                </c:pt>
                <c:pt idx="130">
                  <c:v>42735</c:v>
                </c:pt>
                <c:pt idx="131">
                  <c:v>42738</c:v>
                </c:pt>
                <c:pt idx="132">
                  <c:v>42745</c:v>
                </c:pt>
                <c:pt idx="133">
                  <c:v>42752</c:v>
                </c:pt>
                <c:pt idx="134">
                  <c:v>42759</c:v>
                </c:pt>
                <c:pt idx="135">
                  <c:v>42766</c:v>
                </c:pt>
                <c:pt idx="136">
                  <c:v>42773</c:v>
                </c:pt>
                <c:pt idx="137">
                  <c:v>42780</c:v>
                </c:pt>
                <c:pt idx="138">
                  <c:v>42787</c:v>
                </c:pt>
                <c:pt idx="139">
                  <c:v>42794</c:v>
                </c:pt>
                <c:pt idx="140">
                  <c:v>42801</c:v>
                </c:pt>
                <c:pt idx="141">
                  <c:v>42808</c:v>
                </c:pt>
                <c:pt idx="142">
                  <c:v>42815</c:v>
                </c:pt>
                <c:pt idx="143">
                  <c:v>42822</c:v>
                </c:pt>
                <c:pt idx="144">
                  <c:v>42829</c:v>
                </c:pt>
                <c:pt idx="145">
                  <c:v>42836</c:v>
                </c:pt>
                <c:pt idx="146">
                  <c:v>42843</c:v>
                </c:pt>
                <c:pt idx="147">
                  <c:v>42850</c:v>
                </c:pt>
                <c:pt idx="148">
                  <c:v>42857</c:v>
                </c:pt>
                <c:pt idx="149">
                  <c:v>42864</c:v>
                </c:pt>
                <c:pt idx="150">
                  <c:v>42871</c:v>
                </c:pt>
                <c:pt idx="151">
                  <c:v>42878</c:v>
                </c:pt>
                <c:pt idx="152">
                  <c:v>42885</c:v>
                </c:pt>
                <c:pt idx="153">
                  <c:v>42892</c:v>
                </c:pt>
                <c:pt idx="154">
                  <c:v>42899</c:v>
                </c:pt>
                <c:pt idx="155">
                  <c:v>42906</c:v>
                </c:pt>
                <c:pt idx="156">
                  <c:v>42913</c:v>
                </c:pt>
                <c:pt idx="157">
                  <c:v>42920</c:v>
                </c:pt>
                <c:pt idx="158">
                  <c:v>42927</c:v>
                </c:pt>
                <c:pt idx="159">
                  <c:v>42934</c:v>
                </c:pt>
                <c:pt idx="160">
                  <c:v>42941</c:v>
                </c:pt>
                <c:pt idx="161">
                  <c:v>42948</c:v>
                </c:pt>
                <c:pt idx="162">
                  <c:v>42955</c:v>
                </c:pt>
                <c:pt idx="163">
                  <c:v>42962</c:v>
                </c:pt>
                <c:pt idx="164">
                  <c:v>42969</c:v>
                </c:pt>
                <c:pt idx="165">
                  <c:v>42976</c:v>
                </c:pt>
                <c:pt idx="166">
                  <c:v>42983</c:v>
                </c:pt>
                <c:pt idx="167">
                  <c:v>42990</c:v>
                </c:pt>
                <c:pt idx="168">
                  <c:v>42997</c:v>
                </c:pt>
                <c:pt idx="169">
                  <c:v>43004</c:v>
                </c:pt>
                <c:pt idx="170">
                  <c:v>43011</c:v>
                </c:pt>
                <c:pt idx="171">
                  <c:v>43018</c:v>
                </c:pt>
                <c:pt idx="172">
                  <c:v>43025</c:v>
                </c:pt>
                <c:pt idx="173">
                  <c:v>43032</c:v>
                </c:pt>
                <c:pt idx="174">
                  <c:v>43039</c:v>
                </c:pt>
                <c:pt idx="175">
                  <c:v>43046</c:v>
                </c:pt>
                <c:pt idx="176">
                  <c:v>43053</c:v>
                </c:pt>
                <c:pt idx="177">
                  <c:v>43060</c:v>
                </c:pt>
                <c:pt idx="178">
                  <c:v>43067</c:v>
                </c:pt>
                <c:pt idx="179">
                  <c:v>43074</c:v>
                </c:pt>
                <c:pt idx="180">
                  <c:v>43081</c:v>
                </c:pt>
                <c:pt idx="181">
                  <c:v>43088</c:v>
                </c:pt>
                <c:pt idx="182">
                  <c:v>43095</c:v>
                </c:pt>
                <c:pt idx="183">
                  <c:v>43102</c:v>
                </c:pt>
                <c:pt idx="184">
                  <c:v>43109</c:v>
                </c:pt>
                <c:pt idx="185">
                  <c:v>43116</c:v>
                </c:pt>
                <c:pt idx="186">
                  <c:v>43123</c:v>
                </c:pt>
                <c:pt idx="187">
                  <c:v>43130</c:v>
                </c:pt>
                <c:pt idx="188">
                  <c:v>43137</c:v>
                </c:pt>
                <c:pt idx="189">
                  <c:v>43144</c:v>
                </c:pt>
                <c:pt idx="190">
                  <c:v>43151</c:v>
                </c:pt>
                <c:pt idx="191">
                  <c:v>43158</c:v>
                </c:pt>
                <c:pt idx="192">
                  <c:v>43165</c:v>
                </c:pt>
                <c:pt idx="193">
                  <c:v>43172</c:v>
                </c:pt>
                <c:pt idx="194">
                  <c:v>43179</c:v>
                </c:pt>
                <c:pt idx="195">
                  <c:v>43186</c:v>
                </c:pt>
                <c:pt idx="196">
                  <c:v>43193</c:v>
                </c:pt>
                <c:pt idx="197">
                  <c:v>43200</c:v>
                </c:pt>
                <c:pt idx="198">
                  <c:v>43207</c:v>
                </c:pt>
                <c:pt idx="199">
                  <c:v>43214</c:v>
                </c:pt>
                <c:pt idx="200">
                  <c:v>43221</c:v>
                </c:pt>
                <c:pt idx="201">
                  <c:v>43228</c:v>
                </c:pt>
                <c:pt idx="202">
                  <c:v>43235</c:v>
                </c:pt>
                <c:pt idx="203">
                  <c:v>43242</c:v>
                </c:pt>
                <c:pt idx="204">
                  <c:v>43249</c:v>
                </c:pt>
                <c:pt idx="205">
                  <c:v>43256</c:v>
                </c:pt>
                <c:pt idx="206">
                  <c:v>43263</c:v>
                </c:pt>
                <c:pt idx="207">
                  <c:v>43270</c:v>
                </c:pt>
                <c:pt idx="208">
                  <c:v>43277</c:v>
                </c:pt>
                <c:pt idx="209">
                  <c:v>43284</c:v>
                </c:pt>
                <c:pt idx="210">
                  <c:v>43291</c:v>
                </c:pt>
                <c:pt idx="211">
                  <c:v>43298</c:v>
                </c:pt>
                <c:pt idx="212">
                  <c:v>43305</c:v>
                </c:pt>
                <c:pt idx="213">
                  <c:v>43312</c:v>
                </c:pt>
                <c:pt idx="214">
                  <c:v>43319</c:v>
                </c:pt>
                <c:pt idx="215">
                  <c:v>43326</c:v>
                </c:pt>
                <c:pt idx="216">
                  <c:v>43333</c:v>
                </c:pt>
                <c:pt idx="217">
                  <c:v>43340</c:v>
                </c:pt>
                <c:pt idx="218">
                  <c:v>43347</c:v>
                </c:pt>
                <c:pt idx="219">
                  <c:v>43354</c:v>
                </c:pt>
                <c:pt idx="220">
                  <c:v>43361</c:v>
                </c:pt>
                <c:pt idx="221">
                  <c:v>43368</c:v>
                </c:pt>
                <c:pt idx="222">
                  <c:v>43375</c:v>
                </c:pt>
                <c:pt idx="223">
                  <c:v>43382</c:v>
                </c:pt>
                <c:pt idx="224">
                  <c:v>43389</c:v>
                </c:pt>
                <c:pt idx="225">
                  <c:v>43396</c:v>
                </c:pt>
                <c:pt idx="226">
                  <c:v>43403</c:v>
                </c:pt>
                <c:pt idx="227">
                  <c:v>43410</c:v>
                </c:pt>
                <c:pt idx="228">
                  <c:v>43417</c:v>
                </c:pt>
                <c:pt idx="229">
                  <c:v>43424</c:v>
                </c:pt>
                <c:pt idx="230">
                  <c:v>43431</c:v>
                </c:pt>
                <c:pt idx="231">
                  <c:v>43438</c:v>
                </c:pt>
                <c:pt idx="232">
                  <c:v>43445</c:v>
                </c:pt>
                <c:pt idx="233">
                  <c:v>43452</c:v>
                </c:pt>
                <c:pt idx="234">
                  <c:v>43459</c:v>
                </c:pt>
                <c:pt idx="235">
                  <c:v>43466</c:v>
                </c:pt>
                <c:pt idx="236">
                  <c:v>43473</c:v>
                </c:pt>
                <c:pt idx="237">
                  <c:v>43480</c:v>
                </c:pt>
                <c:pt idx="238">
                  <c:v>43487</c:v>
                </c:pt>
                <c:pt idx="239">
                  <c:v>43494</c:v>
                </c:pt>
                <c:pt idx="240">
                  <c:v>43496</c:v>
                </c:pt>
                <c:pt idx="241">
                  <c:v>43501</c:v>
                </c:pt>
                <c:pt idx="242">
                  <c:v>43508</c:v>
                </c:pt>
                <c:pt idx="243">
                  <c:v>43515</c:v>
                </c:pt>
                <c:pt idx="244">
                  <c:v>43522</c:v>
                </c:pt>
                <c:pt idx="245">
                  <c:v>43529</c:v>
                </c:pt>
                <c:pt idx="246">
                  <c:v>43536</c:v>
                </c:pt>
                <c:pt idx="247">
                  <c:v>43543</c:v>
                </c:pt>
                <c:pt idx="248">
                  <c:v>43550</c:v>
                </c:pt>
                <c:pt idx="249">
                  <c:v>43557</c:v>
                </c:pt>
                <c:pt idx="250">
                  <c:v>43564</c:v>
                </c:pt>
                <c:pt idx="251">
                  <c:v>43571</c:v>
                </c:pt>
                <c:pt idx="252">
                  <c:v>43578</c:v>
                </c:pt>
                <c:pt idx="253">
                  <c:v>43585</c:v>
                </c:pt>
                <c:pt idx="254">
                  <c:v>43592</c:v>
                </c:pt>
                <c:pt idx="255">
                  <c:v>43599</c:v>
                </c:pt>
                <c:pt idx="256">
                  <c:v>43606</c:v>
                </c:pt>
                <c:pt idx="257">
                  <c:v>43613</c:v>
                </c:pt>
                <c:pt idx="258">
                  <c:v>43620</c:v>
                </c:pt>
                <c:pt idx="259">
                  <c:v>43627</c:v>
                </c:pt>
                <c:pt idx="260">
                  <c:v>43634</c:v>
                </c:pt>
                <c:pt idx="261">
                  <c:v>43641</c:v>
                </c:pt>
                <c:pt idx="262">
                  <c:v>43648</c:v>
                </c:pt>
                <c:pt idx="263">
                  <c:v>43655</c:v>
                </c:pt>
                <c:pt idx="264">
                  <c:v>43662</c:v>
                </c:pt>
                <c:pt idx="265">
                  <c:v>43669</c:v>
                </c:pt>
                <c:pt idx="266">
                  <c:v>43676</c:v>
                </c:pt>
                <c:pt idx="267">
                  <c:v>43683</c:v>
                </c:pt>
                <c:pt idx="268">
                  <c:v>43690</c:v>
                </c:pt>
                <c:pt idx="269">
                  <c:v>43697</c:v>
                </c:pt>
                <c:pt idx="270">
                  <c:v>43704</c:v>
                </c:pt>
                <c:pt idx="271">
                  <c:v>43711</c:v>
                </c:pt>
                <c:pt idx="272">
                  <c:v>43718</c:v>
                </c:pt>
                <c:pt idx="273">
                  <c:v>43725</c:v>
                </c:pt>
                <c:pt idx="274">
                  <c:v>43732</c:v>
                </c:pt>
                <c:pt idx="275">
                  <c:v>43739</c:v>
                </c:pt>
                <c:pt idx="276">
                  <c:v>43746</c:v>
                </c:pt>
                <c:pt idx="277">
                  <c:v>43753</c:v>
                </c:pt>
                <c:pt idx="278">
                  <c:v>43760</c:v>
                </c:pt>
                <c:pt idx="279">
                  <c:v>43767</c:v>
                </c:pt>
                <c:pt idx="280">
                  <c:v>43774</c:v>
                </c:pt>
                <c:pt idx="281">
                  <c:v>43781</c:v>
                </c:pt>
                <c:pt idx="282">
                  <c:v>43788</c:v>
                </c:pt>
                <c:pt idx="283">
                  <c:v>43795</c:v>
                </c:pt>
                <c:pt idx="284">
                  <c:v>43802</c:v>
                </c:pt>
                <c:pt idx="285">
                  <c:v>43809</c:v>
                </c:pt>
                <c:pt idx="286">
                  <c:v>43816</c:v>
                </c:pt>
                <c:pt idx="287">
                  <c:v>43823</c:v>
                </c:pt>
                <c:pt idx="288">
                  <c:v>43830</c:v>
                </c:pt>
                <c:pt idx="289">
                  <c:v>43837</c:v>
                </c:pt>
                <c:pt idx="290">
                  <c:v>43844</c:v>
                </c:pt>
                <c:pt idx="291">
                  <c:v>43851</c:v>
                </c:pt>
                <c:pt idx="292">
                  <c:v>43858</c:v>
                </c:pt>
                <c:pt idx="293">
                  <c:v>43861</c:v>
                </c:pt>
                <c:pt idx="294">
                  <c:v>43865</c:v>
                </c:pt>
                <c:pt idx="295">
                  <c:v>43872</c:v>
                </c:pt>
                <c:pt idx="296">
                  <c:v>43879</c:v>
                </c:pt>
                <c:pt idx="297">
                  <c:v>43886</c:v>
                </c:pt>
                <c:pt idx="298">
                  <c:v>43893</c:v>
                </c:pt>
                <c:pt idx="299">
                  <c:v>43900</c:v>
                </c:pt>
                <c:pt idx="300">
                  <c:v>43907</c:v>
                </c:pt>
                <c:pt idx="301">
                  <c:v>43914</c:v>
                </c:pt>
                <c:pt idx="302">
                  <c:v>43921</c:v>
                </c:pt>
                <c:pt idx="303">
                  <c:v>43928</c:v>
                </c:pt>
                <c:pt idx="304">
                  <c:v>43935</c:v>
                </c:pt>
                <c:pt idx="305">
                  <c:v>43942</c:v>
                </c:pt>
                <c:pt idx="306">
                  <c:v>43949</c:v>
                </c:pt>
                <c:pt idx="307">
                  <c:v>43956</c:v>
                </c:pt>
                <c:pt idx="308">
                  <c:v>43963</c:v>
                </c:pt>
                <c:pt idx="309">
                  <c:v>43970</c:v>
                </c:pt>
                <c:pt idx="310">
                  <c:v>43977</c:v>
                </c:pt>
                <c:pt idx="311">
                  <c:v>43984</c:v>
                </c:pt>
                <c:pt idx="312">
                  <c:v>43991</c:v>
                </c:pt>
                <c:pt idx="313">
                  <c:v>43998</c:v>
                </c:pt>
                <c:pt idx="314">
                  <c:v>44005</c:v>
                </c:pt>
                <c:pt idx="315">
                  <c:v>44012</c:v>
                </c:pt>
                <c:pt idx="316">
                  <c:v>44019</c:v>
                </c:pt>
                <c:pt idx="317">
                  <c:v>44026</c:v>
                </c:pt>
                <c:pt idx="318">
                  <c:v>44033</c:v>
                </c:pt>
                <c:pt idx="319">
                  <c:v>44040</c:v>
                </c:pt>
                <c:pt idx="320">
                  <c:v>44047</c:v>
                </c:pt>
                <c:pt idx="321">
                  <c:v>44054</c:v>
                </c:pt>
                <c:pt idx="322">
                  <c:v>44061</c:v>
                </c:pt>
                <c:pt idx="323">
                  <c:v>44068</c:v>
                </c:pt>
                <c:pt idx="324">
                  <c:v>44075</c:v>
                </c:pt>
                <c:pt idx="325">
                  <c:v>44082</c:v>
                </c:pt>
                <c:pt idx="326">
                  <c:v>44089</c:v>
                </c:pt>
                <c:pt idx="327">
                  <c:v>44096</c:v>
                </c:pt>
                <c:pt idx="328">
                  <c:v>44103</c:v>
                </c:pt>
                <c:pt idx="329">
                  <c:v>44110</c:v>
                </c:pt>
                <c:pt idx="330">
                  <c:v>44117</c:v>
                </c:pt>
                <c:pt idx="331">
                  <c:v>44124</c:v>
                </c:pt>
                <c:pt idx="332">
                  <c:v>44131</c:v>
                </c:pt>
                <c:pt idx="333">
                  <c:v>44138</c:v>
                </c:pt>
                <c:pt idx="334">
                  <c:v>44145</c:v>
                </c:pt>
                <c:pt idx="335">
                  <c:v>44152</c:v>
                </c:pt>
                <c:pt idx="336">
                  <c:v>44159</c:v>
                </c:pt>
                <c:pt idx="337">
                  <c:v>44166</c:v>
                </c:pt>
                <c:pt idx="338">
                  <c:v>44173</c:v>
                </c:pt>
                <c:pt idx="339">
                  <c:v>44180</c:v>
                </c:pt>
                <c:pt idx="340">
                  <c:v>44187</c:v>
                </c:pt>
                <c:pt idx="341">
                  <c:v>44194</c:v>
                </c:pt>
                <c:pt idx="342">
                  <c:v>44201</c:v>
                </c:pt>
                <c:pt idx="343">
                  <c:v>44208</c:v>
                </c:pt>
                <c:pt idx="344">
                  <c:v>44215</c:v>
                </c:pt>
                <c:pt idx="345">
                  <c:v>44222</c:v>
                </c:pt>
                <c:pt idx="346">
                  <c:v>44227</c:v>
                </c:pt>
                <c:pt idx="347">
                  <c:v>44229</c:v>
                </c:pt>
                <c:pt idx="348">
                  <c:v>44236</c:v>
                </c:pt>
                <c:pt idx="349">
                  <c:v>44243</c:v>
                </c:pt>
                <c:pt idx="350">
                  <c:v>44250</c:v>
                </c:pt>
                <c:pt idx="351">
                  <c:v>44257</c:v>
                </c:pt>
                <c:pt idx="352">
                  <c:v>44264</c:v>
                </c:pt>
                <c:pt idx="353">
                  <c:v>44271</c:v>
                </c:pt>
                <c:pt idx="354">
                  <c:v>44278</c:v>
                </c:pt>
                <c:pt idx="355">
                  <c:v>44285</c:v>
                </c:pt>
                <c:pt idx="356">
                  <c:v>44292</c:v>
                </c:pt>
                <c:pt idx="357">
                  <c:v>44299</c:v>
                </c:pt>
                <c:pt idx="358">
                  <c:v>44306</c:v>
                </c:pt>
                <c:pt idx="359">
                  <c:v>44313</c:v>
                </c:pt>
                <c:pt idx="360">
                  <c:v>44320</c:v>
                </c:pt>
                <c:pt idx="361">
                  <c:v>44327</c:v>
                </c:pt>
                <c:pt idx="362">
                  <c:v>44334</c:v>
                </c:pt>
                <c:pt idx="363">
                  <c:v>44341</c:v>
                </c:pt>
                <c:pt idx="364">
                  <c:v>44348</c:v>
                </c:pt>
                <c:pt idx="365">
                  <c:v>44355</c:v>
                </c:pt>
                <c:pt idx="366">
                  <c:v>44362</c:v>
                </c:pt>
                <c:pt idx="367">
                  <c:v>44369</c:v>
                </c:pt>
                <c:pt idx="368">
                  <c:v>44376</c:v>
                </c:pt>
                <c:pt idx="369">
                  <c:v>44383</c:v>
                </c:pt>
                <c:pt idx="370">
                  <c:v>44390</c:v>
                </c:pt>
                <c:pt idx="371">
                  <c:v>44397</c:v>
                </c:pt>
                <c:pt idx="372">
                  <c:v>44404</c:v>
                </c:pt>
                <c:pt idx="373">
                  <c:v>44411</c:v>
                </c:pt>
                <c:pt idx="374">
                  <c:v>44418</c:v>
                </c:pt>
                <c:pt idx="375">
                  <c:v>44425</c:v>
                </c:pt>
                <c:pt idx="376">
                  <c:v>44432</c:v>
                </c:pt>
                <c:pt idx="377">
                  <c:v>44439</c:v>
                </c:pt>
                <c:pt idx="378">
                  <c:v>44446</c:v>
                </c:pt>
                <c:pt idx="379">
                  <c:v>44453</c:v>
                </c:pt>
                <c:pt idx="380">
                  <c:v>44460</c:v>
                </c:pt>
                <c:pt idx="381">
                  <c:v>44467</c:v>
                </c:pt>
                <c:pt idx="382">
                  <c:v>44474</c:v>
                </c:pt>
                <c:pt idx="383">
                  <c:v>44481</c:v>
                </c:pt>
                <c:pt idx="384">
                  <c:v>44488</c:v>
                </c:pt>
                <c:pt idx="385">
                  <c:v>44495</c:v>
                </c:pt>
                <c:pt idx="386">
                  <c:v>44502</c:v>
                </c:pt>
                <c:pt idx="387">
                  <c:v>44509</c:v>
                </c:pt>
                <c:pt idx="388">
                  <c:v>44516</c:v>
                </c:pt>
                <c:pt idx="389">
                  <c:v>44523</c:v>
                </c:pt>
                <c:pt idx="390">
                  <c:v>44530</c:v>
                </c:pt>
                <c:pt idx="391">
                  <c:v>44537</c:v>
                </c:pt>
                <c:pt idx="392">
                  <c:v>44544</c:v>
                </c:pt>
                <c:pt idx="393">
                  <c:v>44551</c:v>
                </c:pt>
                <c:pt idx="394">
                  <c:v>44558</c:v>
                </c:pt>
                <c:pt idx="395">
                  <c:v>44561</c:v>
                </c:pt>
                <c:pt idx="396">
                  <c:v>44565</c:v>
                </c:pt>
                <c:pt idx="397">
                  <c:v>44572</c:v>
                </c:pt>
                <c:pt idx="398">
                  <c:v>44579</c:v>
                </c:pt>
                <c:pt idx="399">
                  <c:v>44586</c:v>
                </c:pt>
                <c:pt idx="400">
                  <c:v>44592</c:v>
                </c:pt>
                <c:pt idx="401">
                  <c:v>44593</c:v>
                </c:pt>
                <c:pt idx="402">
                  <c:v>44600</c:v>
                </c:pt>
                <c:pt idx="403">
                  <c:v>44607</c:v>
                </c:pt>
                <c:pt idx="404">
                  <c:v>44614</c:v>
                </c:pt>
                <c:pt idx="405">
                  <c:v>44621</c:v>
                </c:pt>
                <c:pt idx="406">
                  <c:v>44628</c:v>
                </c:pt>
                <c:pt idx="407">
                  <c:v>44635</c:v>
                </c:pt>
                <c:pt idx="408">
                  <c:v>44642</c:v>
                </c:pt>
                <c:pt idx="409">
                  <c:v>44649</c:v>
                </c:pt>
                <c:pt idx="410">
                  <c:v>44656</c:v>
                </c:pt>
                <c:pt idx="411">
                  <c:v>44663</c:v>
                </c:pt>
                <c:pt idx="412">
                  <c:v>44670</c:v>
                </c:pt>
                <c:pt idx="413">
                  <c:v>44677</c:v>
                </c:pt>
                <c:pt idx="414">
                  <c:v>44684</c:v>
                </c:pt>
                <c:pt idx="415">
                  <c:v>44691</c:v>
                </c:pt>
                <c:pt idx="416">
                  <c:v>44698</c:v>
                </c:pt>
                <c:pt idx="417">
                  <c:v>44705</c:v>
                </c:pt>
                <c:pt idx="418">
                  <c:v>44712</c:v>
                </c:pt>
                <c:pt idx="419">
                  <c:v>44719</c:v>
                </c:pt>
                <c:pt idx="420">
                  <c:v>44726</c:v>
                </c:pt>
                <c:pt idx="421">
                  <c:v>44733</c:v>
                </c:pt>
                <c:pt idx="422">
                  <c:v>44740</c:v>
                </c:pt>
                <c:pt idx="423">
                  <c:v>44747</c:v>
                </c:pt>
                <c:pt idx="424">
                  <c:v>44754</c:v>
                </c:pt>
                <c:pt idx="425">
                  <c:v>44761</c:v>
                </c:pt>
                <c:pt idx="426">
                  <c:v>44768</c:v>
                </c:pt>
                <c:pt idx="427">
                  <c:v>44775</c:v>
                </c:pt>
                <c:pt idx="428">
                  <c:v>44782</c:v>
                </c:pt>
                <c:pt idx="429">
                  <c:v>44789</c:v>
                </c:pt>
                <c:pt idx="430">
                  <c:v>44796</c:v>
                </c:pt>
                <c:pt idx="431">
                  <c:v>44803</c:v>
                </c:pt>
                <c:pt idx="432">
                  <c:v>44810</c:v>
                </c:pt>
                <c:pt idx="433">
                  <c:v>44817</c:v>
                </c:pt>
                <c:pt idx="434">
                  <c:v>44824</c:v>
                </c:pt>
                <c:pt idx="435">
                  <c:v>44831</c:v>
                </c:pt>
                <c:pt idx="436">
                  <c:v>44838</c:v>
                </c:pt>
                <c:pt idx="437">
                  <c:v>44845</c:v>
                </c:pt>
                <c:pt idx="438">
                  <c:v>44852</c:v>
                </c:pt>
                <c:pt idx="439">
                  <c:v>44859</c:v>
                </c:pt>
                <c:pt idx="440">
                  <c:v>44866</c:v>
                </c:pt>
                <c:pt idx="441">
                  <c:v>44873</c:v>
                </c:pt>
                <c:pt idx="442">
                  <c:v>44880</c:v>
                </c:pt>
                <c:pt idx="443">
                  <c:v>44887</c:v>
                </c:pt>
                <c:pt idx="444">
                  <c:v>44894</c:v>
                </c:pt>
                <c:pt idx="445">
                  <c:v>44901</c:v>
                </c:pt>
                <c:pt idx="446">
                  <c:v>44908</c:v>
                </c:pt>
                <c:pt idx="447">
                  <c:v>44915</c:v>
                </c:pt>
                <c:pt idx="448">
                  <c:v>44922</c:v>
                </c:pt>
                <c:pt idx="449">
                  <c:v>44926</c:v>
                </c:pt>
                <c:pt idx="450">
                  <c:v>44929</c:v>
                </c:pt>
                <c:pt idx="451">
                  <c:v>44936</c:v>
                </c:pt>
                <c:pt idx="452">
                  <c:v>44943</c:v>
                </c:pt>
                <c:pt idx="453">
                  <c:v>44950</c:v>
                </c:pt>
                <c:pt idx="454">
                  <c:v>44957</c:v>
                </c:pt>
                <c:pt idx="455">
                  <c:v>44964</c:v>
                </c:pt>
                <c:pt idx="456">
                  <c:v>44971</c:v>
                </c:pt>
                <c:pt idx="457">
                  <c:v>44978</c:v>
                </c:pt>
                <c:pt idx="458">
                  <c:v>44985</c:v>
                </c:pt>
                <c:pt idx="459">
                  <c:v>44992</c:v>
                </c:pt>
                <c:pt idx="460">
                  <c:v>44999</c:v>
                </c:pt>
                <c:pt idx="461">
                  <c:v>45006</c:v>
                </c:pt>
                <c:pt idx="462">
                  <c:v>45013</c:v>
                </c:pt>
                <c:pt idx="463">
                  <c:v>45020</c:v>
                </c:pt>
                <c:pt idx="464">
                  <c:v>45027</c:v>
                </c:pt>
                <c:pt idx="465">
                  <c:v>45034</c:v>
                </c:pt>
                <c:pt idx="466">
                  <c:v>45041</c:v>
                </c:pt>
                <c:pt idx="467">
                  <c:v>45048</c:v>
                </c:pt>
                <c:pt idx="468">
                  <c:v>45055</c:v>
                </c:pt>
                <c:pt idx="469">
                  <c:v>45062</c:v>
                </c:pt>
                <c:pt idx="470">
                  <c:v>45069</c:v>
                </c:pt>
                <c:pt idx="471">
                  <c:v>45076</c:v>
                </c:pt>
                <c:pt idx="472">
                  <c:v>45083</c:v>
                </c:pt>
                <c:pt idx="473">
                  <c:v>45090</c:v>
                </c:pt>
                <c:pt idx="474">
                  <c:v>45097</c:v>
                </c:pt>
                <c:pt idx="475">
                  <c:v>45104</c:v>
                </c:pt>
                <c:pt idx="476">
                  <c:v>45111</c:v>
                </c:pt>
                <c:pt idx="477">
                  <c:v>45118</c:v>
                </c:pt>
                <c:pt idx="478">
                  <c:v>45125</c:v>
                </c:pt>
                <c:pt idx="479">
                  <c:v>45132</c:v>
                </c:pt>
                <c:pt idx="480">
                  <c:v>45139</c:v>
                </c:pt>
                <c:pt idx="481">
                  <c:v>45146</c:v>
                </c:pt>
                <c:pt idx="482">
                  <c:v>45153</c:v>
                </c:pt>
                <c:pt idx="483">
                  <c:v>45160</c:v>
                </c:pt>
                <c:pt idx="484">
                  <c:v>45167</c:v>
                </c:pt>
                <c:pt idx="485">
                  <c:v>45174</c:v>
                </c:pt>
                <c:pt idx="486">
                  <c:v>45181</c:v>
                </c:pt>
                <c:pt idx="487">
                  <c:v>45188</c:v>
                </c:pt>
                <c:pt idx="488">
                  <c:v>45195</c:v>
                </c:pt>
                <c:pt idx="489">
                  <c:v>45202</c:v>
                </c:pt>
                <c:pt idx="490">
                  <c:v>45209</c:v>
                </c:pt>
                <c:pt idx="491">
                  <c:v>45216</c:v>
                </c:pt>
                <c:pt idx="492">
                  <c:v>45223</c:v>
                </c:pt>
                <c:pt idx="493">
                  <c:v>45230</c:v>
                </c:pt>
                <c:pt idx="494">
                  <c:v>45237</c:v>
                </c:pt>
                <c:pt idx="495">
                  <c:v>45244</c:v>
                </c:pt>
                <c:pt idx="496">
                  <c:v>45251</c:v>
                </c:pt>
                <c:pt idx="497">
                  <c:v>45258</c:v>
                </c:pt>
                <c:pt idx="498">
                  <c:v>45265</c:v>
                </c:pt>
                <c:pt idx="499">
                  <c:v>45272</c:v>
                </c:pt>
                <c:pt idx="500">
                  <c:v>45279</c:v>
                </c:pt>
                <c:pt idx="501">
                  <c:v>45286</c:v>
                </c:pt>
                <c:pt idx="502">
                  <c:v>45293</c:v>
                </c:pt>
              </c:numCache>
            </c:numRef>
          </c:cat>
          <c:val>
            <c:numRef>
              <c:f>Nacional!$H$83:$H$585</c:f>
              <c:numCache>
                <c:formatCode>0.00000</c:formatCode>
                <c:ptCount val="503"/>
                <c:pt idx="0">
                  <c:v>3.8010754073452255</c:v>
                </c:pt>
                <c:pt idx="1">
                  <c:v>3.683140743756558</c:v>
                </c:pt>
                <c:pt idx="2">
                  <c:v>3.6337781345645324</c:v>
                </c:pt>
                <c:pt idx="3">
                  <c:v>3.6164484339979008</c:v>
                </c:pt>
                <c:pt idx="4">
                  <c:v>3.6707586008105872</c:v>
                </c:pt>
                <c:pt idx="5">
                  <c:v>3.6865181324521124</c:v>
                </c:pt>
                <c:pt idx="6">
                  <c:v>3.6842225541933642</c:v>
                </c:pt>
                <c:pt idx="7">
                  <c:v>3.6927084558464922</c:v>
                </c:pt>
                <c:pt idx="8">
                  <c:v>3.6611166238011008</c:v>
                </c:pt>
                <c:pt idx="9">
                  <c:v>3.7255248944885331</c:v>
                </c:pt>
                <c:pt idx="10">
                  <c:v>3.6720961849506986</c:v>
                </c:pt>
                <c:pt idx="11">
                  <c:v>3.5805225211842151</c:v>
                </c:pt>
                <c:pt idx="12">
                  <c:v>3.5071192579117847</c:v>
                </c:pt>
                <c:pt idx="13">
                  <c:v>3.4592367306987661</c:v>
                </c:pt>
                <c:pt idx="14">
                  <c:v>3.4016684829825672</c:v>
                </c:pt>
                <c:pt idx="15">
                  <c:v>3.2756281273453984</c:v>
                </c:pt>
                <c:pt idx="16">
                  <c:v>3.1539028064338153</c:v>
                </c:pt>
                <c:pt idx="17">
                  <c:v>3.1334591457160883</c:v>
                </c:pt>
                <c:pt idx="18">
                  <c:v>3.1678550791654483</c:v>
                </c:pt>
                <c:pt idx="19">
                  <c:v>3.1295623254612512</c:v>
                </c:pt>
                <c:pt idx="20">
                  <c:v>3.0249976486231258</c:v>
                </c:pt>
                <c:pt idx="21">
                  <c:v>2.9900458646065786</c:v>
                </c:pt>
                <c:pt idx="22">
                  <c:v>2.9454645889761446</c:v>
                </c:pt>
                <c:pt idx="23">
                  <c:v>2.6784559291688668</c:v>
                </c:pt>
                <c:pt idx="24">
                  <c:v>2.4112817987155681</c:v>
                </c:pt>
                <c:pt idx="25">
                  <c:v>2.2945727393829953</c:v>
                </c:pt>
                <c:pt idx="26">
                  <c:v>2.155820343421464</c:v>
                </c:pt>
                <c:pt idx="27">
                  <c:v>2.1292745495428038</c:v>
                </c:pt>
                <c:pt idx="28">
                  <c:v>2.0288992918483397</c:v>
                </c:pt>
                <c:pt idx="29">
                  <c:v>1.9507253742506645</c:v>
                </c:pt>
                <c:pt idx="30">
                  <c:v>1.9671331042680276</c:v>
                </c:pt>
                <c:pt idx="31">
                  <c:v>1.9826192542667493</c:v>
                </c:pt>
                <c:pt idx="32">
                  <c:v>2.2256930010821314</c:v>
                </c:pt>
                <c:pt idx="33">
                  <c:v>2.3062471180375081</c:v>
                </c:pt>
                <c:pt idx="34">
                  <c:v>2.3018389036883944</c:v>
                </c:pt>
                <c:pt idx="35">
                  <c:v>2.3094387330117443</c:v>
                </c:pt>
                <c:pt idx="36">
                  <c:v>2.3046320033542407</c:v>
                </c:pt>
                <c:pt idx="37">
                  <c:v>2.1506867427017733</c:v>
                </c:pt>
                <c:pt idx="38">
                  <c:v>2.0560851065776156</c:v>
                </c:pt>
                <c:pt idx="39">
                  <c:v>2.0631413473429729</c:v>
                </c:pt>
                <c:pt idx="40">
                  <c:v>2.0616633595239198</c:v>
                </c:pt>
                <c:pt idx="41">
                  <c:v>2.1214051829466731</c:v>
                </c:pt>
                <c:pt idx="42">
                  <c:v>2.2553575526523777</c:v>
                </c:pt>
                <c:pt idx="43">
                  <c:v>2.274748516641786</c:v>
                </c:pt>
                <c:pt idx="44">
                  <c:v>2.367931296818822</c:v>
                </c:pt>
                <c:pt idx="45">
                  <c:v>2.456857388532621</c:v>
                </c:pt>
                <c:pt idx="46">
                  <c:v>2.4410173478270005</c:v>
                </c:pt>
                <c:pt idx="47">
                  <c:v>2.3858622076953373</c:v>
                </c:pt>
                <c:pt idx="48">
                  <c:v>2.3091300758890032</c:v>
                </c:pt>
                <c:pt idx="49">
                  <c:v>2.280973323276259</c:v>
                </c:pt>
                <c:pt idx="50">
                  <c:v>2.2715898814103368</c:v>
                </c:pt>
                <c:pt idx="51">
                  <c:v>2.248452627494363</c:v>
                </c:pt>
                <c:pt idx="52">
                  <c:v>2.2149864733044486</c:v>
                </c:pt>
                <c:pt idx="53">
                  <c:v>2.2130584980767134</c:v>
                </c:pt>
                <c:pt idx="54">
                  <c:v>2.0365587925616162</c:v>
                </c:pt>
                <c:pt idx="55">
                  <c:v>1.9953001226880756</c:v>
                </c:pt>
                <c:pt idx="56">
                  <c:v>1.9973320002014128</c:v>
                </c:pt>
                <c:pt idx="57">
                  <c:v>1.9221115523926213</c:v>
                </c:pt>
                <c:pt idx="58">
                  <c:v>1.8459128783631815</c:v>
                </c:pt>
                <c:pt idx="59">
                  <c:v>1.8731487557696502</c:v>
                </c:pt>
                <c:pt idx="60">
                  <c:v>1.7877627934186475</c:v>
                </c:pt>
                <c:pt idx="61">
                  <c:v>1.7030916413456891</c:v>
                </c:pt>
                <c:pt idx="62">
                  <c:v>1.8981395297232555</c:v>
                </c:pt>
                <c:pt idx="63">
                  <c:v>1.8398056437412009</c:v>
                </c:pt>
                <c:pt idx="64">
                  <c:v>1.7629596118430733</c:v>
                </c:pt>
                <c:pt idx="65">
                  <c:v>1.8007678968037064</c:v>
                </c:pt>
                <c:pt idx="66">
                  <c:v>1.8203201523726236</c:v>
                </c:pt>
                <c:pt idx="67">
                  <c:v>1.8934218572305515</c:v>
                </c:pt>
                <c:pt idx="68">
                  <c:v>1.7779913246831878</c:v>
                </c:pt>
                <c:pt idx="69">
                  <c:v>1.7910835558027434</c:v>
                </c:pt>
                <c:pt idx="70">
                  <c:v>1.8146837764182422</c:v>
                </c:pt>
                <c:pt idx="71">
                  <c:v>1.8633576158694842</c:v>
                </c:pt>
                <c:pt idx="72">
                  <c:v>1.7531370893585463</c:v>
                </c:pt>
                <c:pt idx="73">
                  <c:v>1.6645793295423315</c:v>
                </c:pt>
                <c:pt idx="74">
                  <c:v>1.7139647546770951</c:v>
                </c:pt>
                <c:pt idx="75">
                  <c:v>1.6218858370151146</c:v>
                </c:pt>
                <c:pt idx="76">
                  <c:v>1.4921712828665044</c:v>
                </c:pt>
                <c:pt idx="77">
                  <c:v>1.336648694049255</c:v>
                </c:pt>
                <c:pt idx="78">
                  <c:v>1.3536243831146904</c:v>
                </c:pt>
                <c:pt idx="79">
                  <c:v>1.3709092397727463</c:v>
                </c:pt>
                <c:pt idx="80">
                  <c:v>1.3171708146347227</c:v>
                </c:pt>
                <c:pt idx="81">
                  <c:v>1.1901044601462123</c:v>
                </c:pt>
                <c:pt idx="82">
                  <c:v>1.1157351944869702</c:v>
                </c:pt>
                <c:pt idx="83">
                  <c:v>1.2520244897959183</c:v>
                </c:pt>
                <c:pt idx="84">
                  <c:v>1.3300334552171764</c:v>
                </c:pt>
                <c:pt idx="85">
                  <c:v>1.2589586200555858</c:v>
                </c:pt>
                <c:pt idx="86">
                  <c:v>1.2680716201518485</c:v>
                </c:pt>
                <c:pt idx="87">
                  <c:v>1.2360163977961802</c:v>
                </c:pt>
                <c:pt idx="88">
                  <c:v>1.3081261565854232</c:v>
                </c:pt>
                <c:pt idx="89">
                  <c:v>1.4248568879445012</c:v>
                </c:pt>
                <c:pt idx="90">
                  <c:v>1.434337556481279</c:v>
                </c:pt>
                <c:pt idx="91">
                  <c:v>1.4345245069192221</c:v>
                </c:pt>
                <c:pt idx="92">
                  <c:v>1.354184467840559</c:v>
                </c:pt>
                <c:pt idx="93">
                  <c:v>1.3270561629350375</c:v>
                </c:pt>
                <c:pt idx="94">
                  <c:v>1.4836208413406282</c:v>
                </c:pt>
                <c:pt idx="95">
                  <c:v>1.5136509052612295</c:v>
                </c:pt>
                <c:pt idx="96">
                  <c:v>1.5979767187142266</c:v>
                </c:pt>
                <c:pt idx="97">
                  <c:v>1.563270849397866</c:v>
                </c:pt>
                <c:pt idx="98">
                  <c:v>1.6077576958651951</c:v>
                </c:pt>
                <c:pt idx="99">
                  <c:v>1.7454830477585968</c:v>
                </c:pt>
                <c:pt idx="100">
                  <c:v>1.7653250245209899</c:v>
                </c:pt>
                <c:pt idx="101">
                  <c:v>1.7671577268087864</c:v>
                </c:pt>
                <c:pt idx="102">
                  <c:v>1.8186770244546049</c:v>
                </c:pt>
                <c:pt idx="103">
                  <c:v>1.7555506123194122</c:v>
                </c:pt>
                <c:pt idx="104">
                  <c:v>1.7930442581910668</c:v>
                </c:pt>
                <c:pt idx="105">
                  <c:v>1.785727063018435</c:v>
                </c:pt>
                <c:pt idx="106">
                  <c:v>1.7125296158385557</c:v>
                </c:pt>
                <c:pt idx="107">
                  <c:v>1.6550883589607195</c:v>
                </c:pt>
                <c:pt idx="108">
                  <c:v>1.6002821228238437</c:v>
                </c:pt>
                <c:pt idx="109">
                  <c:v>1.5090157345058521</c:v>
                </c:pt>
                <c:pt idx="110">
                  <c:v>1.4932485298257414</c:v>
                </c:pt>
                <c:pt idx="111">
                  <c:v>1.6016066699052101</c:v>
                </c:pt>
                <c:pt idx="112">
                  <c:v>1.8029123542136356</c:v>
                </c:pt>
                <c:pt idx="113">
                  <c:v>1.8085242445780934</c:v>
                </c:pt>
                <c:pt idx="114">
                  <c:v>1.6985963823583012</c:v>
                </c:pt>
                <c:pt idx="115">
                  <c:v>1.7106665937670855</c:v>
                </c:pt>
                <c:pt idx="116">
                  <c:v>1.6617250628758884</c:v>
                </c:pt>
                <c:pt idx="117">
                  <c:v>1.6807207330523022</c:v>
                </c:pt>
                <c:pt idx="118">
                  <c:v>1.7613001049936081</c:v>
                </c:pt>
                <c:pt idx="119">
                  <c:v>1.868299359199765</c:v>
                </c:pt>
                <c:pt idx="120">
                  <c:v>1.8684770145079814</c:v>
                </c:pt>
                <c:pt idx="121">
                  <c:v>1.8614745266891233</c:v>
                </c:pt>
                <c:pt idx="122">
                  <c:v>1.847926270152018</c:v>
                </c:pt>
                <c:pt idx="123">
                  <c:v>1.7210607009649765</c:v>
                </c:pt>
                <c:pt idx="124">
                  <c:v>1.6916510709210162</c:v>
                </c:pt>
                <c:pt idx="125">
                  <c:v>1.684787976615165</c:v>
                </c:pt>
                <c:pt idx="126">
                  <c:v>1.7866581483260988</c:v>
                </c:pt>
                <c:pt idx="127">
                  <c:v>1.8024465702972265</c:v>
                </c:pt>
                <c:pt idx="128">
                  <c:v>1.8744600700818446</c:v>
                </c:pt>
                <c:pt idx="129">
                  <c:v>1.9233753795685744</c:v>
                </c:pt>
                <c:pt idx="130">
                  <c:v>1.9310239552337718</c:v>
                </c:pt>
                <c:pt idx="131">
                  <c:v>1.9198356753239798</c:v>
                </c:pt>
                <c:pt idx="132">
                  <c:v>1.9998761971923782</c:v>
                </c:pt>
                <c:pt idx="133">
                  <c:v>1.9633075377101701</c:v>
                </c:pt>
                <c:pt idx="134">
                  <c:v>1.9346399823751539</c:v>
                </c:pt>
                <c:pt idx="135">
                  <c:v>1.9178019778536393</c:v>
                </c:pt>
                <c:pt idx="136">
                  <c:v>1.9327782101205653</c:v>
                </c:pt>
                <c:pt idx="137">
                  <c:v>1.9846070683858574</c:v>
                </c:pt>
                <c:pt idx="138">
                  <c:v>1.9926156091673748</c:v>
                </c:pt>
                <c:pt idx="139">
                  <c:v>1.9838767297611277</c:v>
                </c:pt>
                <c:pt idx="140">
                  <c:v>1.9940610036464166</c:v>
                </c:pt>
                <c:pt idx="141">
                  <c:v>1.9496786379055051</c:v>
                </c:pt>
                <c:pt idx="142">
                  <c:v>1.8636693247361578</c:v>
                </c:pt>
                <c:pt idx="143">
                  <c:v>1.8138453223735751</c:v>
                </c:pt>
                <c:pt idx="144">
                  <c:v>1.797693837169358</c:v>
                </c:pt>
                <c:pt idx="145">
                  <c:v>1.8432307979584825</c:v>
                </c:pt>
                <c:pt idx="146">
                  <c:v>1.9234661701918832</c:v>
                </c:pt>
                <c:pt idx="147">
                  <c:v>1.9871928260620635</c:v>
                </c:pt>
                <c:pt idx="148">
                  <c:v>1.9211467148279961</c:v>
                </c:pt>
                <c:pt idx="149">
                  <c:v>1.829574010043598</c:v>
                </c:pt>
                <c:pt idx="150">
                  <c:v>1.7233617050418206</c:v>
                </c:pt>
                <c:pt idx="151">
                  <c:v>1.730255352404457</c:v>
                </c:pt>
                <c:pt idx="152">
                  <c:v>1.799367300690957</c:v>
                </c:pt>
                <c:pt idx="153">
                  <c:v>1.8735730863219773</c:v>
                </c:pt>
                <c:pt idx="154">
                  <c:v>1.7537511148986549</c:v>
                </c:pt>
                <c:pt idx="155">
                  <c:v>1.6436341158171905</c:v>
                </c:pt>
                <c:pt idx="156">
                  <c:v>1.6438094314465923</c:v>
                </c:pt>
                <c:pt idx="157">
                  <c:v>1.5991052208868151</c:v>
                </c:pt>
                <c:pt idx="158">
                  <c:v>1.6655957177289549</c:v>
                </c:pt>
                <c:pt idx="159">
                  <c:v>1.7203653743814324</c:v>
                </c:pt>
                <c:pt idx="160">
                  <c:v>1.7634643156062841</c:v>
                </c:pt>
                <c:pt idx="161">
                  <c:v>1.8113729923957007</c:v>
                </c:pt>
                <c:pt idx="162">
                  <c:v>1.8902087346396814</c:v>
                </c:pt>
                <c:pt idx="163">
                  <c:v>1.9673952981235665</c:v>
                </c:pt>
                <c:pt idx="164">
                  <c:v>1.9412083384178003</c:v>
                </c:pt>
                <c:pt idx="165">
                  <c:v>1.9120728469894386</c:v>
                </c:pt>
                <c:pt idx="166">
                  <c:v>1.9541497027376333</c:v>
                </c:pt>
                <c:pt idx="167">
                  <c:v>2.2871199696943916</c:v>
                </c:pt>
                <c:pt idx="168">
                  <c:v>2.3492909073045429</c:v>
                </c:pt>
                <c:pt idx="169">
                  <c:v>2.1350264295698467</c:v>
                </c:pt>
                <c:pt idx="170">
                  <c:v>2.1371974746111091</c:v>
                </c:pt>
                <c:pt idx="171">
                  <c:v>2.1410028396638325</c:v>
                </c:pt>
                <c:pt idx="172">
                  <c:v>2.0618860669009944</c:v>
                </c:pt>
                <c:pt idx="173">
                  <c:v>2.0462417883509079</c:v>
                </c:pt>
                <c:pt idx="174">
                  <c:v>2.0826787805224134</c:v>
                </c:pt>
                <c:pt idx="175">
                  <c:v>2.0952626207589926</c:v>
                </c:pt>
                <c:pt idx="176">
                  <c:v>2.1431891572917552</c:v>
                </c:pt>
                <c:pt idx="177">
                  <c:v>2.234664923439913</c:v>
                </c:pt>
                <c:pt idx="178">
                  <c:v>2.1940007370200552</c:v>
                </c:pt>
                <c:pt idx="179">
                  <c:v>2.2384263971594374</c:v>
                </c:pt>
                <c:pt idx="180">
                  <c:v>2.2443408963021856</c:v>
                </c:pt>
                <c:pt idx="181">
                  <c:v>2.2370991603251613</c:v>
                </c:pt>
                <c:pt idx="182">
                  <c:v>2.2613627087017898</c:v>
                </c:pt>
                <c:pt idx="183">
                  <c:v>2.2722521779825473</c:v>
                </c:pt>
                <c:pt idx="184">
                  <c:v>2.3751847932560608</c:v>
                </c:pt>
                <c:pt idx="185">
                  <c:v>2.4209738736903259</c:v>
                </c:pt>
                <c:pt idx="186">
                  <c:v>2.4189009896436398</c:v>
                </c:pt>
                <c:pt idx="187">
                  <c:v>2.420509795172411</c:v>
                </c:pt>
                <c:pt idx="188">
                  <c:v>2.4818003539083739</c:v>
                </c:pt>
                <c:pt idx="189">
                  <c:v>2.4520116535939049</c:v>
                </c:pt>
                <c:pt idx="190">
                  <c:v>2.2988795010261414</c:v>
                </c:pt>
                <c:pt idx="191">
                  <c:v>2.2159688504403769</c:v>
                </c:pt>
                <c:pt idx="192">
                  <c:v>2.3211468369571318</c:v>
                </c:pt>
                <c:pt idx="193">
                  <c:v>2.3066241124566225</c:v>
                </c:pt>
                <c:pt idx="194">
                  <c:v>2.2363151965506463</c:v>
                </c:pt>
                <c:pt idx="195">
                  <c:v>2.2233105054617437</c:v>
                </c:pt>
                <c:pt idx="196">
                  <c:v>2.3359102250285377</c:v>
                </c:pt>
                <c:pt idx="197">
                  <c:v>2.4126867118213822</c:v>
                </c:pt>
                <c:pt idx="198">
                  <c:v>2.3796425820408231</c:v>
                </c:pt>
                <c:pt idx="199">
                  <c:v>2.4928422945087934</c:v>
                </c:pt>
                <c:pt idx="200">
                  <c:v>2.4977582019810165</c:v>
                </c:pt>
                <c:pt idx="201">
                  <c:v>2.5544528336804615</c:v>
                </c:pt>
                <c:pt idx="202">
                  <c:v>2.5491125651461912</c:v>
                </c:pt>
                <c:pt idx="203">
                  <c:v>2.6392875105330935</c:v>
                </c:pt>
                <c:pt idx="204">
                  <c:v>2.6996642451945241</c:v>
                </c:pt>
                <c:pt idx="205">
                  <c:v>2.6892329755663931</c:v>
                </c:pt>
                <c:pt idx="206">
                  <c:v>2.6259273323438719</c:v>
                </c:pt>
                <c:pt idx="207">
                  <c:v>2.5816237291310329</c:v>
                </c:pt>
                <c:pt idx="208">
                  <c:v>2.5644354648814032</c:v>
                </c:pt>
                <c:pt idx="209">
                  <c:v>2.5140400958707336</c:v>
                </c:pt>
                <c:pt idx="210">
                  <c:v>2.5799402269787231</c:v>
                </c:pt>
                <c:pt idx="211">
                  <c:v>2.593007052014634</c:v>
                </c:pt>
                <c:pt idx="212">
                  <c:v>2.5981497940525227</c:v>
                </c:pt>
                <c:pt idx="213">
                  <c:v>2.5047892462877872</c:v>
                </c:pt>
                <c:pt idx="214">
                  <c:v>2.5915004169013192</c:v>
                </c:pt>
                <c:pt idx="215">
                  <c:v>2.5811598166141843</c:v>
                </c:pt>
                <c:pt idx="216">
                  <c:v>2.5619627963164198</c:v>
                </c:pt>
                <c:pt idx="217">
                  <c:v>2.5487024971246819</c:v>
                </c:pt>
                <c:pt idx="218">
                  <c:v>2.603341402239749</c:v>
                </c:pt>
                <c:pt idx="219">
                  <c:v>2.6824463131291121</c:v>
                </c:pt>
                <c:pt idx="220">
                  <c:v>2.667816157566778</c:v>
                </c:pt>
                <c:pt idx="221">
                  <c:v>2.6668926593751365</c:v>
                </c:pt>
                <c:pt idx="222">
                  <c:v>2.6353579473673809</c:v>
                </c:pt>
                <c:pt idx="223">
                  <c:v>2.7270596995472252</c:v>
                </c:pt>
                <c:pt idx="224">
                  <c:v>2.8372231007770328</c:v>
                </c:pt>
                <c:pt idx="225">
                  <c:v>2.7990625568143619</c:v>
                </c:pt>
                <c:pt idx="226">
                  <c:v>2.7278602703995891</c:v>
                </c:pt>
                <c:pt idx="227">
                  <c:v>2.6931645967671543</c:v>
                </c:pt>
                <c:pt idx="228">
                  <c:v>2.6389566327299847</c:v>
                </c:pt>
                <c:pt idx="229">
                  <c:v>2.5716043936231832</c:v>
                </c:pt>
                <c:pt idx="230">
                  <c:v>2.4287212553662538</c:v>
                </c:pt>
                <c:pt idx="231">
                  <c:v>2.3411136485520081</c:v>
                </c:pt>
                <c:pt idx="232">
                  <c:v>2.1635694630880491</c:v>
                </c:pt>
                <c:pt idx="233">
                  <c:v>2.2029088656346891</c:v>
                </c:pt>
                <c:pt idx="234">
                  <c:v>2.1566832361990662</c:v>
                </c:pt>
                <c:pt idx="235">
                  <c:v>2.0532844496885332</c:v>
                </c:pt>
                <c:pt idx="236">
                  <c:v>1.9591242946965846</c:v>
                </c:pt>
                <c:pt idx="237">
                  <c:v>2.0506846869967794</c:v>
                </c:pt>
                <c:pt idx="238">
                  <c:v>2.2064185964912277</c:v>
                </c:pt>
                <c:pt idx="239">
                  <c:v>2.2275741653953727</c:v>
                </c:pt>
                <c:pt idx="240">
                  <c:v>2.2562182694905286</c:v>
                </c:pt>
                <c:pt idx="241">
                  <c:v>2.2467212593363293</c:v>
                </c:pt>
                <c:pt idx="242">
                  <c:v>2.2531467905180871</c:v>
                </c:pt>
                <c:pt idx="243">
                  <c:v>2.2749899560084814</c:v>
                </c:pt>
                <c:pt idx="244">
                  <c:v>2.307026598727727</c:v>
                </c:pt>
                <c:pt idx="245">
                  <c:v>2.373793528571766</c:v>
                </c:pt>
                <c:pt idx="246">
                  <c:v>2.3387810770961672</c:v>
                </c:pt>
                <c:pt idx="247">
                  <c:v>2.3263761830355385</c:v>
                </c:pt>
                <c:pt idx="248">
                  <c:v>2.3113406791449314</c:v>
                </c:pt>
                <c:pt idx="249">
                  <c:v>2.3148431061092243</c:v>
                </c:pt>
                <c:pt idx="250">
                  <c:v>2.3069448299341024</c:v>
                </c:pt>
                <c:pt idx="251">
                  <c:v>2.3411786956657847</c:v>
                </c:pt>
                <c:pt idx="252">
                  <c:v>2.3913291483400374</c:v>
                </c:pt>
                <c:pt idx="253">
                  <c:v>2.3976309644372091</c:v>
                </c:pt>
                <c:pt idx="254">
                  <c:v>2.4316458717960732</c:v>
                </c:pt>
                <c:pt idx="255">
                  <c:v>2.3993053769738997</c:v>
                </c:pt>
                <c:pt idx="256">
                  <c:v>2.3964067104009499</c:v>
                </c:pt>
                <c:pt idx="257">
                  <c:v>2.4457319539852862</c:v>
                </c:pt>
                <c:pt idx="258">
                  <c:v>2.3870436902823817</c:v>
                </c:pt>
                <c:pt idx="259">
                  <c:v>2.2832334084866659</c:v>
                </c:pt>
                <c:pt idx="260">
                  <c:v>2.1467657305489514</c:v>
                </c:pt>
                <c:pt idx="261">
                  <c:v>2.1441071526452027</c:v>
                </c:pt>
                <c:pt idx="262">
                  <c:v>2.1860095499491368</c:v>
                </c:pt>
                <c:pt idx="263">
                  <c:v>2.2984400032739472</c:v>
                </c:pt>
                <c:pt idx="264">
                  <c:v>2.2806500719099194</c:v>
                </c:pt>
                <c:pt idx="265">
                  <c:v>2.367830300072884</c:v>
                </c:pt>
                <c:pt idx="266">
                  <c:v>2.289688504780353</c:v>
                </c:pt>
                <c:pt idx="267">
                  <c:v>2.301736817561721</c:v>
                </c:pt>
                <c:pt idx="268">
                  <c:v>2.2985086422563317</c:v>
                </c:pt>
                <c:pt idx="269">
                  <c:v>2.1360716433710891</c:v>
                </c:pt>
                <c:pt idx="270">
                  <c:v>2.1656752065419904</c:v>
                </c:pt>
                <c:pt idx="271">
                  <c:v>2.1898567060940417</c:v>
                </c:pt>
                <c:pt idx="272">
                  <c:v>2.1841222204479682</c:v>
                </c:pt>
                <c:pt idx="273">
                  <c:v>2.1777007912088768</c:v>
                </c:pt>
                <c:pt idx="274">
                  <c:v>2.2075380368360995</c:v>
                </c:pt>
                <c:pt idx="275">
                  <c:v>2.3486607653509282</c:v>
                </c:pt>
                <c:pt idx="276">
                  <c:v>2.2944504489675372</c:v>
                </c:pt>
                <c:pt idx="277">
                  <c:v>2.2219793136089154</c:v>
                </c:pt>
                <c:pt idx="278">
                  <c:v>2.2376893393330382</c:v>
                </c:pt>
                <c:pt idx="279">
                  <c:v>2.2348524758107753</c:v>
                </c:pt>
                <c:pt idx="280">
                  <c:v>2.268394827377064</c:v>
                </c:pt>
                <c:pt idx="281">
                  <c:v>2.191329080899505</c:v>
                </c:pt>
                <c:pt idx="282">
                  <c:v>2.2147278730055051</c:v>
                </c:pt>
                <c:pt idx="283">
                  <c:v>2.1752051426083168</c:v>
                </c:pt>
                <c:pt idx="284">
                  <c:v>2.1612143751507933</c:v>
                </c:pt>
                <c:pt idx="285">
                  <c:v>2.2391978138644375</c:v>
                </c:pt>
                <c:pt idx="286">
                  <c:v>2.1895524562017941</c:v>
                </c:pt>
                <c:pt idx="287">
                  <c:v>2.2210179918590982</c:v>
                </c:pt>
                <c:pt idx="288">
                  <c:v>2.3225050875185813</c:v>
                </c:pt>
                <c:pt idx="289">
                  <c:v>2.3604023308046251</c:v>
                </c:pt>
                <c:pt idx="290">
                  <c:v>2.3442904100848541</c:v>
                </c:pt>
                <c:pt idx="291">
                  <c:v>2.2790936120726748</c:v>
                </c:pt>
                <c:pt idx="292">
                  <c:v>2.1529093296533328</c:v>
                </c:pt>
                <c:pt idx="293">
                  <c:v>2.0561188981707241</c:v>
                </c:pt>
                <c:pt idx="294">
                  <c:v>2.0504992627127159</c:v>
                </c:pt>
                <c:pt idx="295">
                  <c:v>1.8743810156256038</c:v>
                </c:pt>
                <c:pt idx="296">
                  <c:v>1.7985121397258366</c:v>
                </c:pt>
                <c:pt idx="297">
                  <c:v>1.8572577494800484</c:v>
                </c:pt>
                <c:pt idx="298">
                  <c:v>1.9092967227786062</c:v>
                </c:pt>
                <c:pt idx="299">
                  <c:v>1.7308453373108883</c:v>
                </c:pt>
                <c:pt idx="300">
                  <c:v>1.672589564031536</c:v>
                </c:pt>
                <c:pt idx="301">
                  <c:v>1.2166923844023012</c:v>
                </c:pt>
                <c:pt idx="302">
                  <c:v>0.88013516300873629</c:v>
                </c:pt>
                <c:pt idx="303">
                  <c:v>0.86655873613922596</c:v>
                </c:pt>
                <c:pt idx="304">
                  <c:v>0.85299146281626748</c:v>
                </c:pt>
                <c:pt idx="305">
                  <c:v>0.86127061020558604</c:v>
                </c:pt>
                <c:pt idx="306">
                  <c:v>0.81240928370561916</c:v>
                </c:pt>
                <c:pt idx="307">
                  <c:v>0.61293209170261387</c:v>
                </c:pt>
                <c:pt idx="308">
                  <c:v>0.55287355211120381</c:v>
                </c:pt>
                <c:pt idx="309">
                  <c:v>0.78052173763816624</c:v>
                </c:pt>
                <c:pt idx="310">
                  <c:v>0.84613150479340382</c:v>
                </c:pt>
                <c:pt idx="311">
                  <c:v>1.0258381456727579</c:v>
                </c:pt>
                <c:pt idx="312">
                  <c:v>1.0128804155983193</c:v>
                </c:pt>
                <c:pt idx="313">
                  <c:v>1.0971592054213197</c:v>
                </c:pt>
                <c:pt idx="314">
                  <c:v>1.1745010286388124</c:v>
                </c:pt>
                <c:pt idx="315">
                  <c:v>1.2579826027455709</c:v>
                </c:pt>
                <c:pt idx="316">
                  <c:v>1.2305545996348912</c:v>
                </c:pt>
                <c:pt idx="317">
                  <c:v>1.2301165618812739</c:v>
                </c:pt>
                <c:pt idx="318">
                  <c:v>1.2926849274993149</c:v>
                </c:pt>
                <c:pt idx="319">
                  <c:v>1.2873811190230835</c:v>
                </c:pt>
                <c:pt idx="320">
                  <c:v>1.3382357483514029</c:v>
                </c:pt>
                <c:pt idx="321">
                  <c:v>1.3143964251802489</c:v>
                </c:pt>
                <c:pt idx="322">
                  <c:v>1.3322169093329435</c:v>
                </c:pt>
                <c:pt idx="323">
                  <c:v>1.3264577065074368</c:v>
                </c:pt>
                <c:pt idx="324">
                  <c:v>1.3263334997694791</c:v>
                </c:pt>
                <c:pt idx="325">
                  <c:v>1.3502103783617643</c:v>
                </c:pt>
                <c:pt idx="326">
                  <c:v>1.2869001158752114</c:v>
                </c:pt>
                <c:pt idx="327">
                  <c:v>1.1756946734286153</c:v>
                </c:pt>
                <c:pt idx="328">
                  <c:v>1.209612569079453</c:v>
                </c:pt>
                <c:pt idx="329">
                  <c:v>1.1740996833955484</c:v>
                </c:pt>
                <c:pt idx="330">
                  <c:v>1.2001578025101005</c:v>
                </c:pt>
                <c:pt idx="331">
                  <c:v>1.2785913274037208</c:v>
                </c:pt>
                <c:pt idx="332">
                  <c:v>1.297345633746563</c:v>
                </c:pt>
                <c:pt idx="333">
                  <c:v>1.2717342205518984</c:v>
                </c:pt>
                <c:pt idx="334">
                  <c:v>1.2141167202732976</c:v>
                </c:pt>
                <c:pt idx="335">
                  <c:v>1.2565754428599425</c:v>
                </c:pt>
                <c:pt idx="336">
                  <c:v>1.3355283923006274</c:v>
                </c:pt>
                <c:pt idx="337">
                  <c:v>1.3582961692913689</c:v>
                </c:pt>
                <c:pt idx="338">
                  <c:v>1.4652616982117217</c:v>
                </c:pt>
                <c:pt idx="339">
                  <c:v>1.5035469491772691</c:v>
                </c:pt>
                <c:pt idx="340">
                  <c:v>1.5415142358930258</c:v>
                </c:pt>
                <c:pt idx="341">
                  <c:v>1.6143633784561993</c:v>
                </c:pt>
                <c:pt idx="342">
                  <c:v>1.5931719904274757</c:v>
                </c:pt>
                <c:pt idx="343">
                  <c:v>1.5950482418515035</c:v>
                </c:pt>
                <c:pt idx="344">
                  <c:v>1.6275777509155827</c:v>
                </c:pt>
                <c:pt idx="345">
                  <c:v>1.7197486021209409</c:v>
                </c:pt>
                <c:pt idx="346">
                  <c:v>1.6882744844828772</c:v>
                </c:pt>
                <c:pt idx="347">
                  <c:v>1.6790825438950017</c:v>
                </c:pt>
                <c:pt idx="348">
                  <c:v>1.6640143029648611</c:v>
                </c:pt>
                <c:pt idx="349">
                  <c:v>1.763217443330013</c:v>
                </c:pt>
                <c:pt idx="350">
                  <c:v>1.8464193247507736</c:v>
                </c:pt>
                <c:pt idx="351">
                  <c:v>1.9418510961691651</c:v>
                </c:pt>
                <c:pt idx="352">
                  <c:v>1.9963266898975749</c:v>
                </c:pt>
                <c:pt idx="353">
                  <c:v>1.9560953521823334</c:v>
                </c:pt>
                <c:pt idx="354">
                  <c:v>2.0207156355591458</c:v>
                </c:pt>
                <c:pt idx="355">
                  <c:v>1.9552615420742454</c:v>
                </c:pt>
                <c:pt idx="356">
                  <c:v>1.8425159653103871</c:v>
                </c:pt>
                <c:pt idx="357">
                  <c:v>1.8539792838901497</c:v>
                </c:pt>
                <c:pt idx="358">
                  <c:v>1.8570576099215892</c:v>
                </c:pt>
                <c:pt idx="359">
                  <c:v>1.9341535962015175</c:v>
                </c:pt>
                <c:pt idx="360">
                  <c:v>1.9177222762681325</c:v>
                </c:pt>
                <c:pt idx="361">
                  <c:v>1.9529782105908353</c:v>
                </c:pt>
                <c:pt idx="362">
                  <c:v>1.9999937196456099</c:v>
                </c:pt>
                <c:pt idx="363">
                  <c:v>2.0254272184847411</c:v>
                </c:pt>
                <c:pt idx="364">
                  <c:v>1.9682386624757076</c:v>
                </c:pt>
                <c:pt idx="365">
                  <c:v>2.0022894374595133</c:v>
                </c:pt>
                <c:pt idx="366">
                  <c:v>2.0644411338407624</c:v>
                </c:pt>
                <c:pt idx="367">
                  <c:v>2.0882518382309634</c:v>
                </c:pt>
                <c:pt idx="368">
                  <c:v>2.1162737293151164</c:v>
                </c:pt>
                <c:pt idx="369">
                  <c:v>2.1436478303901421</c:v>
                </c:pt>
                <c:pt idx="370">
                  <c:v>2.1425691749907507</c:v>
                </c:pt>
                <c:pt idx="371">
                  <c:v>2.1362770184943023</c:v>
                </c:pt>
                <c:pt idx="372">
                  <c:v>2.1548613521463134</c:v>
                </c:pt>
                <c:pt idx="373">
                  <c:v>2.0650442973019403</c:v>
                </c:pt>
                <c:pt idx="374">
                  <c:v>2.1644123881900956</c:v>
                </c:pt>
                <c:pt idx="375">
                  <c:v>2.068609976934352</c:v>
                </c:pt>
                <c:pt idx="376">
                  <c:v>2.0551770077531279</c:v>
                </c:pt>
                <c:pt idx="377">
                  <c:v>1.9713947492204831</c:v>
                </c:pt>
                <c:pt idx="378">
                  <c:v>2.082889320258102</c:v>
                </c:pt>
                <c:pt idx="379">
                  <c:v>2.1742052706791584</c:v>
                </c:pt>
                <c:pt idx="380">
                  <c:v>2.156458710145456</c:v>
                </c:pt>
                <c:pt idx="381">
                  <c:v>2.2493513871167656</c:v>
                </c:pt>
                <c:pt idx="382">
                  <c:v>2.261204962597934</c:v>
                </c:pt>
                <c:pt idx="383">
                  <c:v>2.3711100152211402</c:v>
                </c:pt>
                <c:pt idx="384">
                  <c:v>2.5065227995328807</c:v>
                </c:pt>
                <c:pt idx="385">
                  <c:v>2.5829794526897309</c:v>
                </c:pt>
                <c:pt idx="386">
                  <c:v>2.5769718790565141</c:v>
                </c:pt>
                <c:pt idx="387">
                  <c:v>2.5637727117302518</c:v>
                </c:pt>
                <c:pt idx="388">
                  <c:v>2.5225197957891403</c:v>
                </c:pt>
                <c:pt idx="389">
                  <c:v>2.518458513534906</c:v>
                </c:pt>
                <c:pt idx="390">
                  <c:v>2.4281170555643499</c:v>
                </c:pt>
                <c:pt idx="391">
                  <c:v>2.4207234854843223</c:v>
                </c:pt>
                <c:pt idx="392">
                  <c:v>2.1349720521373587</c:v>
                </c:pt>
                <c:pt idx="393">
                  <c:v>2.3119108535806774</c:v>
                </c:pt>
                <c:pt idx="394">
                  <c:v>2.3022948535519832</c:v>
                </c:pt>
                <c:pt idx="395">
                  <c:v>2.326686926851314</c:v>
                </c:pt>
                <c:pt idx="396">
                  <c:v>2.3072722145631479</c:v>
                </c:pt>
                <c:pt idx="397">
                  <c:v>2.4155587415880597</c:v>
                </c:pt>
                <c:pt idx="398">
                  <c:v>2.5036281467412178</c:v>
                </c:pt>
                <c:pt idx="399">
                  <c:v>2.6665652746596096</c:v>
                </c:pt>
                <c:pt idx="400">
                  <c:v>2.7632976019747604</c:v>
                </c:pt>
                <c:pt idx="401">
                  <c:v>2.7382861530544624</c:v>
                </c:pt>
                <c:pt idx="402">
                  <c:v>2.7083160452001294</c:v>
                </c:pt>
                <c:pt idx="403">
                  <c:v>2.8661672626147272</c:v>
                </c:pt>
                <c:pt idx="404">
                  <c:v>2.9432765011490361</c:v>
                </c:pt>
                <c:pt idx="405">
                  <c:v>2.8520046072402465</c:v>
                </c:pt>
                <c:pt idx="406">
                  <c:v>2.8510977186404358</c:v>
                </c:pt>
                <c:pt idx="407">
                  <c:v>3.4129525486949741</c:v>
                </c:pt>
                <c:pt idx="408">
                  <c:v>3.7005109197785067</c:v>
                </c:pt>
                <c:pt idx="409">
                  <c:v>3.3211540838388331</c:v>
                </c:pt>
                <c:pt idx="410">
                  <c:v>4.0814939961052756</c:v>
                </c:pt>
                <c:pt idx="411">
                  <c:v>3.8990436325399762</c:v>
                </c:pt>
                <c:pt idx="412">
                  <c:v>3.8774203573046844</c:v>
                </c:pt>
                <c:pt idx="413">
                  <c:v>3.9498020960952447</c:v>
                </c:pt>
                <c:pt idx="414">
                  <c:v>4.2292068488107946</c:v>
                </c:pt>
                <c:pt idx="415">
                  <c:v>4.3921213226318532</c:v>
                </c:pt>
                <c:pt idx="416">
                  <c:v>4.5855534007991894</c:v>
                </c:pt>
                <c:pt idx="417">
                  <c:v>4.3191855075676706</c:v>
                </c:pt>
                <c:pt idx="418">
                  <c:v>3.8568878780414373</c:v>
                </c:pt>
                <c:pt idx="419">
                  <c:v>3.7619970197528949</c:v>
                </c:pt>
                <c:pt idx="420">
                  <c:v>4.0729346108649365</c:v>
                </c:pt>
                <c:pt idx="421">
                  <c:v>4.3635198479975434</c:v>
                </c:pt>
                <c:pt idx="422">
                  <c:v>4.5034189892376597</c:v>
                </c:pt>
                <c:pt idx="423">
                  <c:v>4.3720281386274955</c:v>
                </c:pt>
                <c:pt idx="424">
                  <c:v>4.0579270927108499</c:v>
                </c:pt>
                <c:pt idx="425">
                  <c:v>3.6394742621744585</c:v>
                </c:pt>
                <c:pt idx="426">
                  <c:v>3.7660444146674044</c:v>
                </c:pt>
                <c:pt idx="427">
                  <c:v>3.6099523012043715</c:v>
                </c:pt>
                <c:pt idx="428">
                  <c:v>3.5986009664686951</c:v>
                </c:pt>
                <c:pt idx="429">
                  <c:v>3.3356559972448347</c:v>
                </c:pt>
                <c:pt idx="430">
                  <c:v>3.3318653142947823</c:v>
                </c:pt>
                <c:pt idx="431">
                  <c:v>3.474088424322435</c:v>
                </c:pt>
                <c:pt idx="432">
                  <c:v>3.7593974879383301</c:v>
                </c:pt>
                <c:pt idx="433">
                  <c:v>3.5424694219832347</c:v>
                </c:pt>
                <c:pt idx="434">
                  <c:v>3.4624571739306216</c:v>
                </c:pt>
                <c:pt idx="435">
                  <c:v>3.268079705398776</c:v>
                </c:pt>
                <c:pt idx="436">
                  <c:v>3.3009892957330575</c:v>
                </c:pt>
                <c:pt idx="437">
                  <c:v>3.4231269289827253</c:v>
                </c:pt>
                <c:pt idx="438">
                  <c:v>3.7344101166395984</c:v>
                </c:pt>
                <c:pt idx="439">
                  <c:v>3.8116905270928685</c:v>
                </c:pt>
                <c:pt idx="440">
                  <c:v>3.5810782859887609</c:v>
                </c:pt>
                <c:pt idx="441">
                  <c:v>3.5904132408946929</c:v>
                </c:pt>
                <c:pt idx="442">
                  <c:v>3.5959565143377299</c:v>
                </c:pt>
                <c:pt idx="443">
                  <c:v>3.3667246415483469</c:v>
                </c:pt>
                <c:pt idx="444">
                  <c:v>3.3175770312820152</c:v>
                </c:pt>
                <c:pt idx="445">
                  <c:v>3.051130364592634</c:v>
                </c:pt>
                <c:pt idx="446">
                  <c:v>2.9320377134539766</c:v>
                </c:pt>
                <c:pt idx="447">
                  <c:v>2.6932116280151077</c:v>
                </c:pt>
                <c:pt idx="448">
                  <c:v>3.0356172109556359</c:v>
                </c:pt>
                <c:pt idx="449">
                  <c:v>3.0815675647664897</c:v>
                </c:pt>
                <c:pt idx="450">
                  <c:v>3.0571247401811674</c:v>
                </c:pt>
                <c:pt idx="451">
                  <c:v>3.454519581508841</c:v>
                </c:pt>
                <c:pt idx="452">
                  <c:v>3.3619636386669778</c:v>
                </c:pt>
                <c:pt idx="453">
                  <c:v>3.6715805441722096</c:v>
                </c:pt>
                <c:pt idx="454">
                  <c:v>3.8888465715145228</c:v>
                </c:pt>
                <c:pt idx="455">
                  <c:v>3.872948648716926</c:v>
                </c:pt>
                <c:pt idx="456">
                  <c:v>3.041092324291983</c:v>
                </c:pt>
                <c:pt idx="457">
                  <c:v>2.9368247868634492</c:v>
                </c:pt>
                <c:pt idx="458">
                  <c:v>2.8030898933652444</c:v>
                </c:pt>
                <c:pt idx="459">
                  <c:v>2.9718495901085356</c:v>
                </c:pt>
                <c:pt idx="460">
                  <c:v>3.032236181900104</c:v>
                </c:pt>
                <c:pt idx="461">
                  <c:v>2.9167475872990627</c:v>
                </c:pt>
                <c:pt idx="462">
                  <c:v>2.6256277104122767</c:v>
                </c:pt>
                <c:pt idx="463">
                  <c:v>2.5956263024825041</c:v>
                </c:pt>
                <c:pt idx="464">
                  <c:v>2.6289943071501796</c:v>
                </c:pt>
                <c:pt idx="465">
                  <c:v>2.6350106595069271</c:v>
                </c:pt>
                <c:pt idx="466">
                  <c:v>2.557141870432452</c:v>
                </c:pt>
                <c:pt idx="467">
                  <c:v>2.3695109045892009</c:v>
                </c:pt>
                <c:pt idx="468">
                  <c:v>2.2646556495148409</c:v>
                </c:pt>
                <c:pt idx="469">
                  <c:v>2.1840877601791355</c:v>
                </c:pt>
                <c:pt idx="470">
                  <c:v>2.2756898596967714</c:v>
                </c:pt>
                <c:pt idx="471">
                  <c:v>2.279320861219162</c:v>
                </c:pt>
                <c:pt idx="472">
                  <c:v>2.23890829887024</c:v>
                </c:pt>
                <c:pt idx="473">
                  <c:v>2.2028860603259819</c:v>
                </c:pt>
                <c:pt idx="474">
                  <c:v>2.3234796275429437</c:v>
                </c:pt>
                <c:pt idx="475">
                  <c:v>2.3002355819067941</c:v>
                </c:pt>
                <c:pt idx="476">
                  <c:v>2.3111337417119784</c:v>
                </c:pt>
                <c:pt idx="477">
                  <c:v>2.2900009631967593</c:v>
                </c:pt>
                <c:pt idx="478">
                  <c:v>2.3916936628549141</c:v>
                </c:pt>
                <c:pt idx="479">
                  <c:v>2.4590832986244258</c:v>
                </c:pt>
                <c:pt idx="480">
                  <c:v>2.5145794629460294</c:v>
                </c:pt>
                <c:pt idx="481">
                  <c:v>2.7530320037756999</c:v>
                </c:pt>
                <c:pt idx="482">
                  <c:v>2.9467860035593838</c:v>
                </c:pt>
                <c:pt idx="483">
                  <c:v>3.035780939533085</c:v>
                </c:pt>
                <c:pt idx="484">
                  <c:v>3.0450906221710934</c:v>
                </c:pt>
                <c:pt idx="485">
                  <c:v>3.1195881905810707</c:v>
                </c:pt>
                <c:pt idx="486">
                  <c:v>3.0680732728303655</c:v>
                </c:pt>
                <c:pt idx="487">
                  <c:v>3.0837569714429924</c:v>
                </c:pt>
                <c:pt idx="488">
                  <c:v>3.2371355009521188</c:v>
                </c:pt>
                <c:pt idx="489">
                  <c:v>3.153469001045528</c:v>
                </c:pt>
                <c:pt idx="490">
                  <c:v>3.1150238321386783</c:v>
                </c:pt>
                <c:pt idx="491">
                  <c:v>2.8954922661737283</c:v>
                </c:pt>
                <c:pt idx="492">
                  <c:v>2.9164239716298113</c:v>
                </c:pt>
                <c:pt idx="493">
                  <c:v>2.9331130355381192</c:v>
                </c:pt>
                <c:pt idx="494">
                  <c:v>2.8761490378848213</c:v>
                </c:pt>
                <c:pt idx="495">
                  <c:v>2.9612833711231068</c:v>
                </c:pt>
                <c:pt idx="496">
                  <c:v>2.8184812845245473</c:v>
                </c:pt>
                <c:pt idx="497">
                  <c:v>2.7745669284091914</c:v>
                </c:pt>
                <c:pt idx="498">
                  <c:v>2.6574519251152866</c:v>
                </c:pt>
                <c:pt idx="499">
                  <c:v>2.5589763944033113</c:v>
                </c:pt>
                <c:pt idx="500">
                  <c:v>2.3600347096939127</c:v>
                </c:pt>
                <c:pt idx="501">
                  <c:v>2.3347196115486595</c:v>
                </c:pt>
                <c:pt idx="502">
                  <c:v>2.5420460428240399</c:v>
                </c:pt>
              </c:numCache>
            </c:numRef>
          </c:val>
          <c:smooth val="0"/>
          <c:extLst>
            <c:ext xmlns:c16="http://schemas.microsoft.com/office/drawing/2014/chart" uri="{C3380CC4-5D6E-409C-BE32-E72D297353CC}">
              <c16:uniqueId val="{00000002-B1C1-4825-B31F-EB9A5A42A49D}"/>
            </c:ext>
          </c:extLst>
        </c:ser>
        <c:ser>
          <c:idx val="1"/>
          <c:order val="1"/>
          <c:tx>
            <c:strRef>
              <c:f>Nacional!$I$1</c:f>
              <c:strCache>
                <c:ptCount val="1"/>
                <c:pt idx="0">
                  <c:v>Importado</c:v>
                </c:pt>
              </c:strCache>
            </c:strRef>
          </c:tx>
          <c:spPr>
            <a:ln w="19050" cap="rnd">
              <a:solidFill>
                <a:srgbClr val="C00000"/>
              </a:solidFill>
              <a:round/>
            </a:ln>
            <a:effectLst/>
          </c:spPr>
          <c:marker>
            <c:symbol val="none"/>
          </c:marker>
          <c:cat>
            <c:numRef>
              <c:f>Nacional!$B$83:$B$585</c:f>
              <c:numCache>
                <c:formatCode>yyyy\-mm\-dd;@</c:formatCode>
                <c:ptCount val="503"/>
                <c:pt idx="0">
                  <c:v>41828</c:v>
                </c:pt>
                <c:pt idx="1">
                  <c:v>41835</c:v>
                </c:pt>
                <c:pt idx="2">
                  <c:v>41842</c:v>
                </c:pt>
                <c:pt idx="3">
                  <c:v>41849</c:v>
                </c:pt>
                <c:pt idx="4">
                  <c:v>41856</c:v>
                </c:pt>
                <c:pt idx="5">
                  <c:v>41863</c:v>
                </c:pt>
                <c:pt idx="6">
                  <c:v>41870</c:v>
                </c:pt>
                <c:pt idx="7">
                  <c:v>41877</c:v>
                </c:pt>
                <c:pt idx="8">
                  <c:v>41884</c:v>
                </c:pt>
                <c:pt idx="9">
                  <c:v>41891</c:v>
                </c:pt>
                <c:pt idx="10">
                  <c:v>41898</c:v>
                </c:pt>
                <c:pt idx="11">
                  <c:v>41905</c:v>
                </c:pt>
                <c:pt idx="12">
                  <c:v>41912</c:v>
                </c:pt>
                <c:pt idx="13">
                  <c:v>41919</c:v>
                </c:pt>
                <c:pt idx="14">
                  <c:v>41926</c:v>
                </c:pt>
                <c:pt idx="15">
                  <c:v>41933</c:v>
                </c:pt>
                <c:pt idx="16">
                  <c:v>41940</c:v>
                </c:pt>
                <c:pt idx="17">
                  <c:v>41947</c:v>
                </c:pt>
                <c:pt idx="18">
                  <c:v>41954</c:v>
                </c:pt>
                <c:pt idx="19">
                  <c:v>41961</c:v>
                </c:pt>
                <c:pt idx="20">
                  <c:v>41968</c:v>
                </c:pt>
                <c:pt idx="21">
                  <c:v>41975</c:v>
                </c:pt>
                <c:pt idx="22">
                  <c:v>41982</c:v>
                </c:pt>
                <c:pt idx="23">
                  <c:v>41989</c:v>
                </c:pt>
                <c:pt idx="24">
                  <c:v>41996</c:v>
                </c:pt>
                <c:pt idx="25">
                  <c:v>42003</c:v>
                </c:pt>
                <c:pt idx="26">
                  <c:v>42010</c:v>
                </c:pt>
                <c:pt idx="27">
                  <c:v>42017</c:v>
                </c:pt>
                <c:pt idx="28">
                  <c:v>42024</c:v>
                </c:pt>
                <c:pt idx="29">
                  <c:v>42031</c:v>
                </c:pt>
                <c:pt idx="30">
                  <c:v>42038</c:v>
                </c:pt>
                <c:pt idx="31">
                  <c:v>42045</c:v>
                </c:pt>
                <c:pt idx="32">
                  <c:v>42052</c:v>
                </c:pt>
                <c:pt idx="33">
                  <c:v>42059</c:v>
                </c:pt>
                <c:pt idx="34">
                  <c:v>42066</c:v>
                </c:pt>
                <c:pt idx="35">
                  <c:v>42073</c:v>
                </c:pt>
                <c:pt idx="36">
                  <c:v>42080</c:v>
                </c:pt>
                <c:pt idx="37">
                  <c:v>42087</c:v>
                </c:pt>
                <c:pt idx="38">
                  <c:v>42094</c:v>
                </c:pt>
                <c:pt idx="39">
                  <c:v>42101</c:v>
                </c:pt>
                <c:pt idx="40">
                  <c:v>42108</c:v>
                </c:pt>
                <c:pt idx="41">
                  <c:v>42115</c:v>
                </c:pt>
                <c:pt idx="42">
                  <c:v>42122</c:v>
                </c:pt>
                <c:pt idx="43">
                  <c:v>42129</c:v>
                </c:pt>
                <c:pt idx="44">
                  <c:v>42136</c:v>
                </c:pt>
                <c:pt idx="45">
                  <c:v>42143</c:v>
                </c:pt>
                <c:pt idx="46">
                  <c:v>42150</c:v>
                </c:pt>
                <c:pt idx="47">
                  <c:v>42157</c:v>
                </c:pt>
                <c:pt idx="48">
                  <c:v>42164</c:v>
                </c:pt>
                <c:pt idx="49">
                  <c:v>42171</c:v>
                </c:pt>
                <c:pt idx="50">
                  <c:v>42178</c:v>
                </c:pt>
                <c:pt idx="51">
                  <c:v>42185</c:v>
                </c:pt>
                <c:pt idx="52">
                  <c:v>42192</c:v>
                </c:pt>
                <c:pt idx="53">
                  <c:v>42199</c:v>
                </c:pt>
                <c:pt idx="54">
                  <c:v>42206</c:v>
                </c:pt>
                <c:pt idx="55">
                  <c:v>42213</c:v>
                </c:pt>
                <c:pt idx="56">
                  <c:v>42220</c:v>
                </c:pt>
                <c:pt idx="57">
                  <c:v>42227</c:v>
                </c:pt>
                <c:pt idx="58">
                  <c:v>42234</c:v>
                </c:pt>
                <c:pt idx="59">
                  <c:v>42241</c:v>
                </c:pt>
                <c:pt idx="60">
                  <c:v>42248</c:v>
                </c:pt>
                <c:pt idx="61">
                  <c:v>42255</c:v>
                </c:pt>
                <c:pt idx="62">
                  <c:v>42262</c:v>
                </c:pt>
                <c:pt idx="63">
                  <c:v>42269</c:v>
                </c:pt>
                <c:pt idx="64">
                  <c:v>42276</c:v>
                </c:pt>
                <c:pt idx="65">
                  <c:v>42283</c:v>
                </c:pt>
                <c:pt idx="66">
                  <c:v>42290</c:v>
                </c:pt>
                <c:pt idx="67">
                  <c:v>42297</c:v>
                </c:pt>
                <c:pt idx="68">
                  <c:v>42304</c:v>
                </c:pt>
                <c:pt idx="69">
                  <c:v>42311</c:v>
                </c:pt>
                <c:pt idx="70">
                  <c:v>42318</c:v>
                </c:pt>
                <c:pt idx="71">
                  <c:v>42325</c:v>
                </c:pt>
                <c:pt idx="72">
                  <c:v>42332</c:v>
                </c:pt>
                <c:pt idx="73">
                  <c:v>42339</c:v>
                </c:pt>
                <c:pt idx="74">
                  <c:v>42346</c:v>
                </c:pt>
                <c:pt idx="75">
                  <c:v>42353</c:v>
                </c:pt>
                <c:pt idx="76">
                  <c:v>42360</c:v>
                </c:pt>
                <c:pt idx="77">
                  <c:v>42367</c:v>
                </c:pt>
                <c:pt idx="78">
                  <c:v>42374</c:v>
                </c:pt>
                <c:pt idx="79">
                  <c:v>42381</c:v>
                </c:pt>
                <c:pt idx="80">
                  <c:v>42388</c:v>
                </c:pt>
                <c:pt idx="81">
                  <c:v>42395</c:v>
                </c:pt>
                <c:pt idx="82">
                  <c:v>42402</c:v>
                </c:pt>
                <c:pt idx="83">
                  <c:v>42409</c:v>
                </c:pt>
                <c:pt idx="84">
                  <c:v>42416</c:v>
                </c:pt>
                <c:pt idx="85">
                  <c:v>42423</c:v>
                </c:pt>
                <c:pt idx="86">
                  <c:v>42430</c:v>
                </c:pt>
                <c:pt idx="87">
                  <c:v>42437</c:v>
                </c:pt>
                <c:pt idx="88">
                  <c:v>42444</c:v>
                </c:pt>
                <c:pt idx="89">
                  <c:v>42451</c:v>
                </c:pt>
                <c:pt idx="90">
                  <c:v>42458</c:v>
                </c:pt>
                <c:pt idx="91">
                  <c:v>42465</c:v>
                </c:pt>
                <c:pt idx="92">
                  <c:v>42472</c:v>
                </c:pt>
                <c:pt idx="93">
                  <c:v>42479</c:v>
                </c:pt>
                <c:pt idx="94">
                  <c:v>42486</c:v>
                </c:pt>
                <c:pt idx="95">
                  <c:v>42493</c:v>
                </c:pt>
                <c:pt idx="96">
                  <c:v>42500</c:v>
                </c:pt>
                <c:pt idx="97">
                  <c:v>42507</c:v>
                </c:pt>
                <c:pt idx="98">
                  <c:v>42514</c:v>
                </c:pt>
                <c:pt idx="99">
                  <c:v>42521</c:v>
                </c:pt>
                <c:pt idx="100">
                  <c:v>42528</c:v>
                </c:pt>
                <c:pt idx="101">
                  <c:v>42535</c:v>
                </c:pt>
                <c:pt idx="102">
                  <c:v>42542</c:v>
                </c:pt>
                <c:pt idx="103">
                  <c:v>42549</c:v>
                </c:pt>
                <c:pt idx="104">
                  <c:v>42556</c:v>
                </c:pt>
                <c:pt idx="105">
                  <c:v>42563</c:v>
                </c:pt>
                <c:pt idx="106">
                  <c:v>42570</c:v>
                </c:pt>
                <c:pt idx="107">
                  <c:v>42577</c:v>
                </c:pt>
                <c:pt idx="108">
                  <c:v>42584</c:v>
                </c:pt>
                <c:pt idx="109">
                  <c:v>42591</c:v>
                </c:pt>
                <c:pt idx="110">
                  <c:v>42598</c:v>
                </c:pt>
                <c:pt idx="111">
                  <c:v>42605</c:v>
                </c:pt>
                <c:pt idx="112">
                  <c:v>42612</c:v>
                </c:pt>
                <c:pt idx="113">
                  <c:v>42619</c:v>
                </c:pt>
                <c:pt idx="114">
                  <c:v>42626</c:v>
                </c:pt>
                <c:pt idx="115">
                  <c:v>42633</c:v>
                </c:pt>
                <c:pt idx="116">
                  <c:v>42640</c:v>
                </c:pt>
                <c:pt idx="117">
                  <c:v>42647</c:v>
                </c:pt>
                <c:pt idx="118">
                  <c:v>42654</c:v>
                </c:pt>
                <c:pt idx="119">
                  <c:v>42661</c:v>
                </c:pt>
                <c:pt idx="120">
                  <c:v>42668</c:v>
                </c:pt>
                <c:pt idx="121">
                  <c:v>42675</c:v>
                </c:pt>
                <c:pt idx="122">
                  <c:v>42682</c:v>
                </c:pt>
                <c:pt idx="123">
                  <c:v>42689</c:v>
                </c:pt>
                <c:pt idx="124">
                  <c:v>42696</c:v>
                </c:pt>
                <c:pt idx="125">
                  <c:v>42703</c:v>
                </c:pt>
                <c:pt idx="126">
                  <c:v>42710</c:v>
                </c:pt>
                <c:pt idx="127">
                  <c:v>42717</c:v>
                </c:pt>
                <c:pt idx="128">
                  <c:v>42724</c:v>
                </c:pt>
                <c:pt idx="129">
                  <c:v>42731</c:v>
                </c:pt>
                <c:pt idx="130">
                  <c:v>42735</c:v>
                </c:pt>
                <c:pt idx="131">
                  <c:v>42738</c:v>
                </c:pt>
                <c:pt idx="132">
                  <c:v>42745</c:v>
                </c:pt>
                <c:pt idx="133">
                  <c:v>42752</c:v>
                </c:pt>
                <c:pt idx="134">
                  <c:v>42759</c:v>
                </c:pt>
                <c:pt idx="135">
                  <c:v>42766</c:v>
                </c:pt>
                <c:pt idx="136">
                  <c:v>42773</c:v>
                </c:pt>
                <c:pt idx="137">
                  <c:v>42780</c:v>
                </c:pt>
                <c:pt idx="138">
                  <c:v>42787</c:v>
                </c:pt>
                <c:pt idx="139">
                  <c:v>42794</c:v>
                </c:pt>
                <c:pt idx="140">
                  <c:v>42801</c:v>
                </c:pt>
                <c:pt idx="141">
                  <c:v>42808</c:v>
                </c:pt>
                <c:pt idx="142">
                  <c:v>42815</c:v>
                </c:pt>
                <c:pt idx="143">
                  <c:v>42822</c:v>
                </c:pt>
                <c:pt idx="144">
                  <c:v>42829</c:v>
                </c:pt>
                <c:pt idx="145">
                  <c:v>42836</c:v>
                </c:pt>
                <c:pt idx="146">
                  <c:v>42843</c:v>
                </c:pt>
                <c:pt idx="147">
                  <c:v>42850</c:v>
                </c:pt>
                <c:pt idx="148">
                  <c:v>42857</c:v>
                </c:pt>
                <c:pt idx="149">
                  <c:v>42864</c:v>
                </c:pt>
                <c:pt idx="150">
                  <c:v>42871</c:v>
                </c:pt>
                <c:pt idx="151">
                  <c:v>42878</c:v>
                </c:pt>
                <c:pt idx="152">
                  <c:v>42885</c:v>
                </c:pt>
                <c:pt idx="153">
                  <c:v>42892</c:v>
                </c:pt>
                <c:pt idx="154">
                  <c:v>42899</c:v>
                </c:pt>
                <c:pt idx="155">
                  <c:v>42906</c:v>
                </c:pt>
                <c:pt idx="156">
                  <c:v>42913</c:v>
                </c:pt>
                <c:pt idx="157">
                  <c:v>42920</c:v>
                </c:pt>
                <c:pt idx="158">
                  <c:v>42927</c:v>
                </c:pt>
                <c:pt idx="159">
                  <c:v>42934</c:v>
                </c:pt>
                <c:pt idx="160">
                  <c:v>42941</c:v>
                </c:pt>
                <c:pt idx="161">
                  <c:v>42948</c:v>
                </c:pt>
                <c:pt idx="162">
                  <c:v>42955</c:v>
                </c:pt>
                <c:pt idx="163">
                  <c:v>42962</c:v>
                </c:pt>
                <c:pt idx="164">
                  <c:v>42969</c:v>
                </c:pt>
                <c:pt idx="165">
                  <c:v>42976</c:v>
                </c:pt>
                <c:pt idx="166">
                  <c:v>42983</c:v>
                </c:pt>
                <c:pt idx="167">
                  <c:v>42990</c:v>
                </c:pt>
                <c:pt idx="168">
                  <c:v>42997</c:v>
                </c:pt>
                <c:pt idx="169">
                  <c:v>43004</c:v>
                </c:pt>
                <c:pt idx="170">
                  <c:v>43011</c:v>
                </c:pt>
                <c:pt idx="171">
                  <c:v>43018</c:v>
                </c:pt>
                <c:pt idx="172">
                  <c:v>43025</c:v>
                </c:pt>
                <c:pt idx="173">
                  <c:v>43032</c:v>
                </c:pt>
                <c:pt idx="174">
                  <c:v>43039</c:v>
                </c:pt>
                <c:pt idx="175">
                  <c:v>43046</c:v>
                </c:pt>
                <c:pt idx="176">
                  <c:v>43053</c:v>
                </c:pt>
                <c:pt idx="177">
                  <c:v>43060</c:v>
                </c:pt>
                <c:pt idx="178">
                  <c:v>43067</c:v>
                </c:pt>
                <c:pt idx="179">
                  <c:v>43074</c:v>
                </c:pt>
                <c:pt idx="180">
                  <c:v>43081</c:v>
                </c:pt>
                <c:pt idx="181">
                  <c:v>43088</c:v>
                </c:pt>
                <c:pt idx="182">
                  <c:v>43095</c:v>
                </c:pt>
                <c:pt idx="183">
                  <c:v>43102</c:v>
                </c:pt>
                <c:pt idx="184">
                  <c:v>43109</c:v>
                </c:pt>
                <c:pt idx="185">
                  <c:v>43116</c:v>
                </c:pt>
                <c:pt idx="186">
                  <c:v>43123</c:v>
                </c:pt>
                <c:pt idx="187">
                  <c:v>43130</c:v>
                </c:pt>
                <c:pt idx="188">
                  <c:v>43137</c:v>
                </c:pt>
                <c:pt idx="189">
                  <c:v>43144</c:v>
                </c:pt>
                <c:pt idx="190">
                  <c:v>43151</c:v>
                </c:pt>
                <c:pt idx="191">
                  <c:v>43158</c:v>
                </c:pt>
                <c:pt idx="192">
                  <c:v>43165</c:v>
                </c:pt>
                <c:pt idx="193">
                  <c:v>43172</c:v>
                </c:pt>
                <c:pt idx="194">
                  <c:v>43179</c:v>
                </c:pt>
                <c:pt idx="195">
                  <c:v>43186</c:v>
                </c:pt>
                <c:pt idx="196">
                  <c:v>43193</c:v>
                </c:pt>
                <c:pt idx="197">
                  <c:v>43200</c:v>
                </c:pt>
                <c:pt idx="198">
                  <c:v>43207</c:v>
                </c:pt>
                <c:pt idx="199">
                  <c:v>43214</c:v>
                </c:pt>
                <c:pt idx="200">
                  <c:v>43221</c:v>
                </c:pt>
                <c:pt idx="201">
                  <c:v>43228</c:v>
                </c:pt>
                <c:pt idx="202">
                  <c:v>43235</c:v>
                </c:pt>
                <c:pt idx="203">
                  <c:v>43242</c:v>
                </c:pt>
                <c:pt idx="204">
                  <c:v>43249</c:v>
                </c:pt>
                <c:pt idx="205">
                  <c:v>43256</c:v>
                </c:pt>
                <c:pt idx="206">
                  <c:v>43263</c:v>
                </c:pt>
                <c:pt idx="207">
                  <c:v>43270</c:v>
                </c:pt>
                <c:pt idx="208">
                  <c:v>43277</c:v>
                </c:pt>
                <c:pt idx="209">
                  <c:v>43284</c:v>
                </c:pt>
                <c:pt idx="210">
                  <c:v>43291</c:v>
                </c:pt>
                <c:pt idx="211">
                  <c:v>43298</c:v>
                </c:pt>
                <c:pt idx="212">
                  <c:v>43305</c:v>
                </c:pt>
                <c:pt idx="213">
                  <c:v>43312</c:v>
                </c:pt>
                <c:pt idx="214">
                  <c:v>43319</c:v>
                </c:pt>
                <c:pt idx="215">
                  <c:v>43326</c:v>
                </c:pt>
                <c:pt idx="216">
                  <c:v>43333</c:v>
                </c:pt>
                <c:pt idx="217">
                  <c:v>43340</c:v>
                </c:pt>
                <c:pt idx="218">
                  <c:v>43347</c:v>
                </c:pt>
                <c:pt idx="219">
                  <c:v>43354</c:v>
                </c:pt>
                <c:pt idx="220">
                  <c:v>43361</c:v>
                </c:pt>
                <c:pt idx="221">
                  <c:v>43368</c:v>
                </c:pt>
                <c:pt idx="222">
                  <c:v>43375</c:v>
                </c:pt>
                <c:pt idx="223">
                  <c:v>43382</c:v>
                </c:pt>
                <c:pt idx="224">
                  <c:v>43389</c:v>
                </c:pt>
                <c:pt idx="225">
                  <c:v>43396</c:v>
                </c:pt>
                <c:pt idx="226">
                  <c:v>43403</c:v>
                </c:pt>
                <c:pt idx="227">
                  <c:v>43410</c:v>
                </c:pt>
                <c:pt idx="228">
                  <c:v>43417</c:v>
                </c:pt>
                <c:pt idx="229">
                  <c:v>43424</c:v>
                </c:pt>
                <c:pt idx="230">
                  <c:v>43431</c:v>
                </c:pt>
                <c:pt idx="231">
                  <c:v>43438</c:v>
                </c:pt>
                <c:pt idx="232">
                  <c:v>43445</c:v>
                </c:pt>
                <c:pt idx="233">
                  <c:v>43452</c:v>
                </c:pt>
                <c:pt idx="234">
                  <c:v>43459</c:v>
                </c:pt>
                <c:pt idx="235">
                  <c:v>43466</c:v>
                </c:pt>
                <c:pt idx="236">
                  <c:v>43473</c:v>
                </c:pt>
                <c:pt idx="237">
                  <c:v>43480</c:v>
                </c:pt>
                <c:pt idx="238">
                  <c:v>43487</c:v>
                </c:pt>
                <c:pt idx="239">
                  <c:v>43494</c:v>
                </c:pt>
                <c:pt idx="240">
                  <c:v>43496</c:v>
                </c:pt>
                <c:pt idx="241">
                  <c:v>43501</c:v>
                </c:pt>
                <c:pt idx="242">
                  <c:v>43508</c:v>
                </c:pt>
                <c:pt idx="243">
                  <c:v>43515</c:v>
                </c:pt>
                <c:pt idx="244">
                  <c:v>43522</c:v>
                </c:pt>
                <c:pt idx="245">
                  <c:v>43529</c:v>
                </c:pt>
                <c:pt idx="246">
                  <c:v>43536</c:v>
                </c:pt>
                <c:pt idx="247">
                  <c:v>43543</c:v>
                </c:pt>
                <c:pt idx="248">
                  <c:v>43550</c:v>
                </c:pt>
                <c:pt idx="249">
                  <c:v>43557</c:v>
                </c:pt>
                <c:pt idx="250">
                  <c:v>43564</c:v>
                </c:pt>
                <c:pt idx="251">
                  <c:v>43571</c:v>
                </c:pt>
                <c:pt idx="252">
                  <c:v>43578</c:v>
                </c:pt>
                <c:pt idx="253">
                  <c:v>43585</c:v>
                </c:pt>
                <c:pt idx="254">
                  <c:v>43592</c:v>
                </c:pt>
                <c:pt idx="255">
                  <c:v>43599</c:v>
                </c:pt>
                <c:pt idx="256">
                  <c:v>43606</c:v>
                </c:pt>
                <c:pt idx="257">
                  <c:v>43613</c:v>
                </c:pt>
                <c:pt idx="258">
                  <c:v>43620</c:v>
                </c:pt>
                <c:pt idx="259">
                  <c:v>43627</c:v>
                </c:pt>
                <c:pt idx="260">
                  <c:v>43634</c:v>
                </c:pt>
                <c:pt idx="261">
                  <c:v>43641</c:v>
                </c:pt>
                <c:pt idx="262">
                  <c:v>43648</c:v>
                </c:pt>
                <c:pt idx="263">
                  <c:v>43655</c:v>
                </c:pt>
                <c:pt idx="264">
                  <c:v>43662</c:v>
                </c:pt>
                <c:pt idx="265">
                  <c:v>43669</c:v>
                </c:pt>
                <c:pt idx="266">
                  <c:v>43676</c:v>
                </c:pt>
                <c:pt idx="267">
                  <c:v>43683</c:v>
                </c:pt>
                <c:pt idx="268">
                  <c:v>43690</c:v>
                </c:pt>
                <c:pt idx="269">
                  <c:v>43697</c:v>
                </c:pt>
                <c:pt idx="270">
                  <c:v>43704</c:v>
                </c:pt>
                <c:pt idx="271">
                  <c:v>43711</c:v>
                </c:pt>
                <c:pt idx="272">
                  <c:v>43718</c:v>
                </c:pt>
                <c:pt idx="273">
                  <c:v>43725</c:v>
                </c:pt>
                <c:pt idx="274">
                  <c:v>43732</c:v>
                </c:pt>
                <c:pt idx="275">
                  <c:v>43739</c:v>
                </c:pt>
                <c:pt idx="276">
                  <c:v>43746</c:v>
                </c:pt>
                <c:pt idx="277">
                  <c:v>43753</c:v>
                </c:pt>
                <c:pt idx="278">
                  <c:v>43760</c:v>
                </c:pt>
                <c:pt idx="279">
                  <c:v>43767</c:v>
                </c:pt>
                <c:pt idx="280">
                  <c:v>43774</c:v>
                </c:pt>
                <c:pt idx="281">
                  <c:v>43781</c:v>
                </c:pt>
                <c:pt idx="282">
                  <c:v>43788</c:v>
                </c:pt>
                <c:pt idx="283">
                  <c:v>43795</c:v>
                </c:pt>
                <c:pt idx="284">
                  <c:v>43802</c:v>
                </c:pt>
                <c:pt idx="285">
                  <c:v>43809</c:v>
                </c:pt>
                <c:pt idx="286">
                  <c:v>43816</c:v>
                </c:pt>
                <c:pt idx="287">
                  <c:v>43823</c:v>
                </c:pt>
                <c:pt idx="288">
                  <c:v>43830</c:v>
                </c:pt>
                <c:pt idx="289">
                  <c:v>43837</c:v>
                </c:pt>
                <c:pt idx="290">
                  <c:v>43844</c:v>
                </c:pt>
                <c:pt idx="291">
                  <c:v>43851</c:v>
                </c:pt>
                <c:pt idx="292">
                  <c:v>43858</c:v>
                </c:pt>
                <c:pt idx="293">
                  <c:v>43861</c:v>
                </c:pt>
                <c:pt idx="294">
                  <c:v>43865</c:v>
                </c:pt>
                <c:pt idx="295">
                  <c:v>43872</c:v>
                </c:pt>
                <c:pt idx="296">
                  <c:v>43879</c:v>
                </c:pt>
                <c:pt idx="297">
                  <c:v>43886</c:v>
                </c:pt>
                <c:pt idx="298">
                  <c:v>43893</c:v>
                </c:pt>
                <c:pt idx="299">
                  <c:v>43900</c:v>
                </c:pt>
                <c:pt idx="300">
                  <c:v>43907</c:v>
                </c:pt>
                <c:pt idx="301">
                  <c:v>43914</c:v>
                </c:pt>
                <c:pt idx="302">
                  <c:v>43921</c:v>
                </c:pt>
                <c:pt idx="303">
                  <c:v>43928</c:v>
                </c:pt>
                <c:pt idx="304">
                  <c:v>43935</c:v>
                </c:pt>
                <c:pt idx="305">
                  <c:v>43942</c:v>
                </c:pt>
                <c:pt idx="306">
                  <c:v>43949</c:v>
                </c:pt>
                <c:pt idx="307">
                  <c:v>43956</c:v>
                </c:pt>
                <c:pt idx="308">
                  <c:v>43963</c:v>
                </c:pt>
                <c:pt idx="309">
                  <c:v>43970</c:v>
                </c:pt>
                <c:pt idx="310">
                  <c:v>43977</c:v>
                </c:pt>
                <c:pt idx="311">
                  <c:v>43984</c:v>
                </c:pt>
                <c:pt idx="312">
                  <c:v>43991</c:v>
                </c:pt>
                <c:pt idx="313">
                  <c:v>43998</c:v>
                </c:pt>
                <c:pt idx="314">
                  <c:v>44005</c:v>
                </c:pt>
                <c:pt idx="315">
                  <c:v>44012</c:v>
                </c:pt>
                <c:pt idx="316">
                  <c:v>44019</c:v>
                </c:pt>
                <c:pt idx="317">
                  <c:v>44026</c:v>
                </c:pt>
                <c:pt idx="318">
                  <c:v>44033</c:v>
                </c:pt>
                <c:pt idx="319">
                  <c:v>44040</c:v>
                </c:pt>
                <c:pt idx="320">
                  <c:v>44047</c:v>
                </c:pt>
                <c:pt idx="321">
                  <c:v>44054</c:v>
                </c:pt>
                <c:pt idx="322">
                  <c:v>44061</c:v>
                </c:pt>
                <c:pt idx="323">
                  <c:v>44068</c:v>
                </c:pt>
                <c:pt idx="324">
                  <c:v>44075</c:v>
                </c:pt>
                <c:pt idx="325">
                  <c:v>44082</c:v>
                </c:pt>
                <c:pt idx="326">
                  <c:v>44089</c:v>
                </c:pt>
                <c:pt idx="327">
                  <c:v>44096</c:v>
                </c:pt>
                <c:pt idx="328">
                  <c:v>44103</c:v>
                </c:pt>
                <c:pt idx="329">
                  <c:v>44110</c:v>
                </c:pt>
                <c:pt idx="330">
                  <c:v>44117</c:v>
                </c:pt>
                <c:pt idx="331">
                  <c:v>44124</c:v>
                </c:pt>
                <c:pt idx="332">
                  <c:v>44131</c:v>
                </c:pt>
                <c:pt idx="333">
                  <c:v>44138</c:v>
                </c:pt>
                <c:pt idx="334">
                  <c:v>44145</c:v>
                </c:pt>
                <c:pt idx="335">
                  <c:v>44152</c:v>
                </c:pt>
                <c:pt idx="336">
                  <c:v>44159</c:v>
                </c:pt>
                <c:pt idx="337">
                  <c:v>44166</c:v>
                </c:pt>
                <c:pt idx="338">
                  <c:v>44173</c:v>
                </c:pt>
                <c:pt idx="339">
                  <c:v>44180</c:v>
                </c:pt>
                <c:pt idx="340">
                  <c:v>44187</c:v>
                </c:pt>
                <c:pt idx="341">
                  <c:v>44194</c:v>
                </c:pt>
                <c:pt idx="342">
                  <c:v>44201</c:v>
                </c:pt>
                <c:pt idx="343">
                  <c:v>44208</c:v>
                </c:pt>
                <c:pt idx="344">
                  <c:v>44215</c:v>
                </c:pt>
                <c:pt idx="345">
                  <c:v>44222</c:v>
                </c:pt>
                <c:pt idx="346">
                  <c:v>44227</c:v>
                </c:pt>
                <c:pt idx="347">
                  <c:v>44229</c:v>
                </c:pt>
                <c:pt idx="348">
                  <c:v>44236</c:v>
                </c:pt>
                <c:pt idx="349">
                  <c:v>44243</c:v>
                </c:pt>
                <c:pt idx="350">
                  <c:v>44250</c:v>
                </c:pt>
                <c:pt idx="351">
                  <c:v>44257</c:v>
                </c:pt>
                <c:pt idx="352">
                  <c:v>44264</c:v>
                </c:pt>
                <c:pt idx="353">
                  <c:v>44271</c:v>
                </c:pt>
                <c:pt idx="354">
                  <c:v>44278</c:v>
                </c:pt>
                <c:pt idx="355">
                  <c:v>44285</c:v>
                </c:pt>
                <c:pt idx="356">
                  <c:v>44292</c:v>
                </c:pt>
                <c:pt idx="357">
                  <c:v>44299</c:v>
                </c:pt>
                <c:pt idx="358">
                  <c:v>44306</c:v>
                </c:pt>
                <c:pt idx="359">
                  <c:v>44313</c:v>
                </c:pt>
                <c:pt idx="360">
                  <c:v>44320</c:v>
                </c:pt>
                <c:pt idx="361">
                  <c:v>44327</c:v>
                </c:pt>
                <c:pt idx="362">
                  <c:v>44334</c:v>
                </c:pt>
                <c:pt idx="363">
                  <c:v>44341</c:v>
                </c:pt>
                <c:pt idx="364">
                  <c:v>44348</c:v>
                </c:pt>
                <c:pt idx="365">
                  <c:v>44355</c:v>
                </c:pt>
                <c:pt idx="366">
                  <c:v>44362</c:v>
                </c:pt>
                <c:pt idx="367">
                  <c:v>44369</c:v>
                </c:pt>
                <c:pt idx="368">
                  <c:v>44376</c:v>
                </c:pt>
                <c:pt idx="369">
                  <c:v>44383</c:v>
                </c:pt>
                <c:pt idx="370">
                  <c:v>44390</c:v>
                </c:pt>
                <c:pt idx="371">
                  <c:v>44397</c:v>
                </c:pt>
                <c:pt idx="372">
                  <c:v>44404</c:v>
                </c:pt>
                <c:pt idx="373">
                  <c:v>44411</c:v>
                </c:pt>
                <c:pt idx="374">
                  <c:v>44418</c:v>
                </c:pt>
                <c:pt idx="375">
                  <c:v>44425</c:v>
                </c:pt>
                <c:pt idx="376">
                  <c:v>44432</c:v>
                </c:pt>
                <c:pt idx="377">
                  <c:v>44439</c:v>
                </c:pt>
                <c:pt idx="378">
                  <c:v>44446</c:v>
                </c:pt>
                <c:pt idx="379">
                  <c:v>44453</c:v>
                </c:pt>
                <c:pt idx="380">
                  <c:v>44460</c:v>
                </c:pt>
                <c:pt idx="381">
                  <c:v>44467</c:v>
                </c:pt>
                <c:pt idx="382">
                  <c:v>44474</c:v>
                </c:pt>
                <c:pt idx="383">
                  <c:v>44481</c:v>
                </c:pt>
                <c:pt idx="384">
                  <c:v>44488</c:v>
                </c:pt>
                <c:pt idx="385">
                  <c:v>44495</c:v>
                </c:pt>
                <c:pt idx="386">
                  <c:v>44502</c:v>
                </c:pt>
                <c:pt idx="387">
                  <c:v>44509</c:v>
                </c:pt>
                <c:pt idx="388">
                  <c:v>44516</c:v>
                </c:pt>
                <c:pt idx="389">
                  <c:v>44523</c:v>
                </c:pt>
                <c:pt idx="390">
                  <c:v>44530</c:v>
                </c:pt>
                <c:pt idx="391">
                  <c:v>44537</c:v>
                </c:pt>
                <c:pt idx="392">
                  <c:v>44544</c:v>
                </c:pt>
                <c:pt idx="393">
                  <c:v>44551</c:v>
                </c:pt>
                <c:pt idx="394">
                  <c:v>44558</c:v>
                </c:pt>
                <c:pt idx="395">
                  <c:v>44561</c:v>
                </c:pt>
                <c:pt idx="396">
                  <c:v>44565</c:v>
                </c:pt>
                <c:pt idx="397">
                  <c:v>44572</c:v>
                </c:pt>
                <c:pt idx="398">
                  <c:v>44579</c:v>
                </c:pt>
                <c:pt idx="399">
                  <c:v>44586</c:v>
                </c:pt>
                <c:pt idx="400">
                  <c:v>44592</c:v>
                </c:pt>
                <c:pt idx="401">
                  <c:v>44593</c:v>
                </c:pt>
                <c:pt idx="402">
                  <c:v>44600</c:v>
                </c:pt>
                <c:pt idx="403">
                  <c:v>44607</c:v>
                </c:pt>
                <c:pt idx="404">
                  <c:v>44614</c:v>
                </c:pt>
                <c:pt idx="405">
                  <c:v>44621</c:v>
                </c:pt>
                <c:pt idx="406">
                  <c:v>44628</c:v>
                </c:pt>
                <c:pt idx="407">
                  <c:v>44635</c:v>
                </c:pt>
                <c:pt idx="408">
                  <c:v>44642</c:v>
                </c:pt>
                <c:pt idx="409">
                  <c:v>44649</c:v>
                </c:pt>
                <c:pt idx="410">
                  <c:v>44656</c:v>
                </c:pt>
                <c:pt idx="411">
                  <c:v>44663</c:v>
                </c:pt>
                <c:pt idx="412">
                  <c:v>44670</c:v>
                </c:pt>
                <c:pt idx="413">
                  <c:v>44677</c:v>
                </c:pt>
                <c:pt idx="414">
                  <c:v>44684</c:v>
                </c:pt>
                <c:pt idx="415">
                  <c:v>44691</c:v>
                </c:pt>
                <c:pt idx="416">
                  <c:v>44698</c:v>
                </c:pt>
                <c:pt idx="417">
                  <c:v>44705</c:v>
                </c:pt>
                <c:pt idx="418">
                  <c:v>44712</c:v>
                </c:pt>
                <c:pt idx="419">
                  <c:v>44719</c:v>
                </c:pt>
                <c:pt idx="420">
                  <c:v>44726</c:v>
                </c:pt>
                <c:pt idx="421">
                  <c:v>44733</c:v>
                </c:pt>
                <c:pt idx="422">
                  <c:v>44740</c:v>
                </c:pt>
                <c:pt idx="423">
                  <c:v>44747</c:v>
                </c:pt>
                <c:pt idx="424">
                  <c:v>44754</c:v>
                </c:pt>
                <c:pt idx="425">
                  <c:v>44761</c:v>
                </c:pt>
                <c:pt idx="426">
                  <c:v>44768</c:v>
                </c:pt>
                <c:pt idx="427">
                  <c:v>44775</c:v>
                </c:pt>
                <c:pt idx="428">
                  <c:v>44782</c:v>
                </c:pt>
                <c:pt idx="429">
                  <c:v>44789</c:v>
                </c:pt>
                <c:pt idx="430">
                  <c:v>44796</c:v>
                </c:pt>
                <c:pt idx="431">
                  <c:v>44803</c:v>
                </c:pt>
                <c:pt idx="432">
                  <c:v>44810</c:v>
                </c:pt>
                <c:pt idx="433">
                  <c:v>44817</c:v>
                </c:pt>
                <c:pt idx="434">
                  <c:v>44824</c:v>
                </c:pt>
                <c:pt idx="435">
                  <c:v>44831</c:v>
                </c:pt>
                <c:pt idx="436">
                  <c:v>44838</c:v>
                </c:pt>
                <c:pt idx="437">
                  <c:v>44845</c:v>
                </c:pt>
                <c:pt idx="438">
                  <c:v>44852</c:v>
                </c:pt>
                <c:pt idx="439">
                  <c:v>44859</c:v>
                </c:pt>
                <c:pt idx="440">
                  <c:v>44866</c:v>
                </c:pt>
                <c:pt idx="441">
                  <c:v>44873</c:v>
                </c:pt>
                <c:pt idx="442">
                  <c:v>44880</c:v>
                </c:pt>
                <c:pt idx="443">
                  <c:v>44887</c:v>
                </c:pt>
                <c:pt idx="444">
                  <c:v>44894</c:v>
                </c:pt>
                <c:pt idx="445">
                  <c:v>44901</c:v>
                </c:pt>
                <c:pt idx="446">
                  <c:v>44908</c:v>
                </c:pt>
                <c:pt idx="447">
                  <c:v>44915</c:v>
                </c:pt>
                <c:pt idx="448">
                  <c:v>44922</c:v>
                </c:pt>
                <c:pt idx="449">
                  <c:v>44926</c:v>
                </c:pt>
                <c:pt idx="450">
                  <c:v>44929</c:v>
                </c:pt>
                <c:pt idx="451">
                  <c:v>44936</c:v>
                </c:pt>
                <c:pt idx="452">
                  <c:v>44943</c:v>
                </c:pt>
                <c:pt idx="453">
                  <c:v>44950</c:v>
                </c:pt>
                <c:pt idx="454">
                  <c:v>44957</c:v>
                </c:pt>
                <c:pt idx="455">
                  <c:v>44964</c:v>
                </c:pt>
                <c:pt idx="456">
                  <c:v>44971</c:v>
                </c:pt>
                <c:pt idx="457">
                  <c:v>44978</c:v>
                </c:pt>
                <c:pt idx="458">
                  <c:v>44985</c:v>
                </c:pt>
                <c:pt idx="459">
                  <c:v>44992</c:v>
                </c:pt>
                <c:pt idx="460">
                  <c:v>44999</c:v>
                </c:pt>
                <c:pt idx="461">
                  <c:v>45006</c:v>
                </c:pt>
                <c:pt idx="462">
                  <c:v>45013</c:v>
                </c:pt>
                <c:pt idx="463">
                  <c:v>45020</c:v>
                </c:pt>
                <c:pt idx="464">
                  <c:v>45027</c:v>
                </c:pt>
                <c:pt idx="465">
                  <c:v>45034</c:v>
                </c:pt>
                <c:pt idx="466">
                  <c:v>45041</c:v>
                </c:pt>
                <c:pt idx="467">
                  <c:v>45048</c:v>
                </c:pt>
                <c:pt idx="468">
                  <c:v>45055</c:v>
                </c:pt>
                <c:pt idx="469">
                  <c:v>45062</c:v>
                </c:pt>
                <c:pt idx="470">
                  <c:v>45069</c:v>
                </c:pt>
                <c:pt idx="471">
                  <c:v>45076</c:v>
                </c:pt>
                <c:pt idx="472">
                  <c:v>45083</c:v>
                </c:pt>
                <c:pt idx="473">
                  <c:v>45090</c:v>
                </c:pt>
                <c:pt idx="474">
                  <c:v>45097</c:v>
                </c:pt>
                <c:pt idx="475">
                  <c:v>45104</c:v>
                </c:pt>
                <c:pt idx="476">
                  <c:v>45111</c:v>
                </c:pt>
                <c:pt idx="477">
                  <c:v>45118</c:v>
                </c:pt>
                <c:pt idx="478">
                  <c:v>45125</c:v>
                </c:pt>
                <c:pt idx="479">
                  <c:v>45132</c:v>
                </c:pt>
                <c:pt idx="480">
                  <c:v>45139</c:v>
                </c:pt>
                <c:pt idx="481">
                  <c:v>45146</c:v>
                </c:pt>
                <c:pt idx="482">
                  <c:v>45153</c:v>
                </c:pt>
                <c:pt idx="483">
                  <c:v>45160</c:v>
                </c:pt>
                <c:pt idx="484">
                  <c:v>45167</c:v>
                </c:pt>
                <c:pt idx="485">
                  <c:v>45174</c:v>
                </c:pt>
                <c:pt idx="486">
                  <c:v>45181</c:v>
                </c:pt>
                <c:pt idx="487">
                  <c:v>45188</c:v>
                </c:pt>
                <c:pt idx="488">
                  <c:v>45195</c:v>
                </c:pt>
                <c:pt idx="489">
                  <c:v>45202</c:v>
                </c:pt>
                <c:pt idx="490">
                  <c:v>45209</c:v>
                </c:pt>
                <c:pt idx="491">
                  <c:v>45216</c:v>
                </c:pt>
                <c:pt idx="492">
                  <c:v>45223</c:v>
                </c:pt>
                <c:pt idx="493">
                  <c:v>45230</c:v>
                </c:pt>
                <c:pt idx="494">
                  <c:v>45237</c:v>
                </c:pt>
                <c:pt idx="495">
                  <c:v>45244</c:v>
                </c:pt>
                <c:pt idx="496">
                  <c:v>45251</c:v>
                </c:pt>
                <c:pt idx="497">
                  <c:v>45258</c:v>
                </c:pt>
                <c:pt idx="498">
                  <c:v>45265</c:v>
                </c:pt>
                <c:pt idx="499">
                  <c:v>45272</c:v>
                </c:pt>
                <c:pt idx="500">
                  <c:v>45279</c:v>
                </c:pt>
                <c:pt idx="501">
                  <c:v>45286</c:v>
                </c:pt>
                <c:pt idx="502">
                  <c:v>45293</c:v>
                </c:pt>
              </c:numCache>
            </c:numRef>
          </c:cat>
          <c:val>
            <c:numRef>
              <c:f>Nacional!$I$83:$I$585</c:f>
              <c:numCache>
                <c:formatCode>0.00000</c:formatCode>
                <c:ptCount val="503"/>
                <c:pt idx="0">
                  <c:v>3.990932842561727</c:v>
                </c:pt>
                <c:pt idx="1">
                  <c:v>4.1578549539348391</c:v>
                </c:pt>
                <c:pt idx="2">
                  <c:v>4.1578549539348391</c:v>
                </c:pt>
                <c:pt idx="3">
                  <c:v>4.1578549539348391</c:v>
                </c:pt>
                <c:pt idx="4">
                  <c:v>3.9539533931069695</c:v>
                </c:pt>
                <c:pt idx="5">
                  <c:v>3.9539533931069695</c:v>
                </c:pt>
                <c:pt idx="6">
                  <c:v>3.9539533931069695</c:v>
                </c:pt>
                <c:pt idx="7">
                  <c:v>3.9539533931069695</c:v>
                </c:pt>
                <c:pt idx="8">
                  <c:v>4.0988222063618371</c:v>
                </c:pt>
                <c:pt idx="9">
                  <c:v>4.0988222063618371</c:v>
                </c:pt>
                <c:pt idx="10">
                  <c:v>4.0192143568175185</c:v>
                </c:pt>
                <c:pt idx="11">
                  <c:v>4.0192143568175185</c:v>
                </c:pt>
                <c:pt idx="12">
                  <c:v>3.8044206110935108</c:v>
                </c:pt>
                <c:pt idx="13">
                  <c:v>3.8140024448126404</c:v>
                </c:pt>
                <c:pt idx="14">
                  <c:v>3.6624266209028113</c:v>
                </c:pt>
                <c:pt idx="15">
                  <c:v>3.5301392208678828</c:v>
                </c:pt>
                <c:pt idx="16">
                  <c:v>3.5301392208678828</c:v>
                </c:pt>
                <c:pt idx="17">
                  <c:v>3.5493033932878704</c:v>
                </c:pt>
                <c:pt idx="18">
                  <c:v>3.5493033932878704</c:v>
                </c:pt>
                <c:pt idx="19">
                  <c:v>3.3385263750056193</c:v>
                </c:pt>
                <c:pt idx="20">
                  <c:v>3.3385263750056193</c:v>
                </c:pt>
                <c:pt idx="21">
                  <c:v>3.3056900826695732</c:v>
                </c:pt>
                <c:pt idx="22">
                  <c:v>3.3056900826695732</c:v>
                </c:pt>
                <c:pt idx="23">
                  <c:v>3.3056900826695732</c:v>
                </c:pt>
                <c:pt idx="24">
                  <c:v>2.8128060875448058</c:v>
                </c:pt>
                <c:pt idx="25">
                  <c:v>2.8128060875448058</c:v>
                </c:pt>
                <c:pt idx="26">
                  <c:v>2.8261054355606423</c:v>
                </c:pt>
                <c:pt idx="27">
                  <c:v>2.2918683049923665</c:v>
                </c:pt>
                <c:pt idx="28">
                  <c:v>2.2918683049923665</c:v>
                </c:pt>
                <c:pt idx="29">
                  <c:v>2.0684669991376445</c:v>
                </c:pt>
                <c:pt idx="30">
                  <c:v>2.0595224008293278</c:v>
                </c:pt>
                <c:pt idx="31">
                  <c:v>2.0595224008293278</c:v>
                </c:pt>
                <c:pt idx="32">
                  <c:v>2.4135208629830429</c:v>
                </c:pt>
                <c:pt idx="33">
                  <c:v>2.4135208629830429</c:v>
                </c:pt>
                <c:pt idx="34">
                  <c:v>2.3992412470030189</c:v>
                </c:pt>
                <c:pt idx="35">
                  <c:v>2.4231038661674726</c:v>
                </c:pt>
                <c:pt idx="36">
                  <c:v>2.4231038661674726</c:v>
                </c:pt>
                <c:pt idx="37">
                  <c:v>2.1114976057157619</c:v>
                </c:pt>
                <c:pt idx="38">
                  <c:v>2.1114980755479626</c:v>
                </c:pt>
                <c:pt idx="39">
                  <c:v>2.1779576642335763</c:v>
                </c:pt>
                <c:pt idx="40">
                  <c:v>2.1779576642335763</c:v>
                </c:pt>
                <c:pt idx="41">
                  <c:v>2.1779576642335763</c:v>
                </c:pt>
                <c:pt idx="42">
                  <c:v>2.2719528429874125</c:v>
                </c:pt>
                <c:pt idx="43">
                  <c:v>2.2616204390878933</c:v>
                </c:pt>
                <c:pt idx="44">
                  <c:v>2.2616204390878933</c:v>
                </c:pt>
                <c:pt idx="45">
                  <c:v>2.6096204188051941</c:v>
                </c:pt>
                <c:pt idx="46">
                  <c:v>2.6096204188051941</c:v>
                </c:pt>
                <c:pt idx="47">
                  <c:v>2.600511166260064</c:v>
                </c:pt>
                <c:pt idx="48">
                  <c:v>2.4168789819726948</c:v>
                </c:pt>
                <c:pt idx="49">
                  <c:v>2.4168789819726948</c:v>
                </c:pt>
                <c:pt idx="50">
                  <c:v>2.4168789819726948</c:v>
                </c:pt>
                <c:pt idx="51">
                  <c:v>2.4121275819957799</c:v>
                </c:pt>
                <c:pt idx="52">
                  <c:v>2.4119658665361108</c:v>
                </c:pt>
                <c:pt idx="53">
                  <c:v>2.3773829973877909</c:v>
                </c:pt>
                <c:pt idx="54">
                  <c:v>2.3773829973877909</c:v>
                </c:pt>
                <c:pt idx="55">
                  <c:v>2.1988365916606689</c:v>
                </c:pt>
                <c:pt idx="56">
                  <c:v>2.2019551685417063</c:v>
                </c:pt>
                <c:pt idx="57">
                  <c:v>2.1485989359154618</c:v>
                </c:pt>
                <c:pt idx="58">
                  <c:v>2.1485989359154618</c:v>
                </c:pt>
                <c:pt idx="59">
                  <c:v>1.9688748879229976</c:v>
                </c:pt>
                <c:pt idx="60">
                  <c:v>1.9719447258410858</c:v>
                </c:pt>
                <c:pt idx="61">
                  <c:v>1.9718262335647296</c:v>
                </c:pt>
                <c:pt idx="62">
                  <c:v>1.9718262335647296</c:v>
                </c:pt>
                <c:pt idx="63">
                  <c:v>1.8332352139945911</c:v>
                </c:pt>
                <c:pt idx="64">
                  <c:v>1.8332352139945911</c:v>
                </c:pt>
                <c:pt idx="65">
                  <c:v>1.9664931900602234</c:v>
                </c:pt>
                <c:pt idx="66">
                  <c:v>1.9664931900602234</c:v>
                </c:pt>
                <c:pt idx="67">
                  <c:v>2.0639237164792839</c:v>
                </c:pt>
                <c:pt idx="68">
                  <c:v>2.0640385296983541</c:v>
                </c:pt>
                <c:pt idx="69">
                  <c:v>2.1642825621341233</c:v>
                </c:pt>
                <c:pt idx="70">
                  <c:v>1.9695305505698513</c:v>
                </c:pt>
                <c:pt idx="71">
                  <c:v>1.9695305505698513</c:v>
                </c:pt>
                <c:pt idx="72">
                  <c:v>1.9696641347136465</c:v>
                </c:pt>
                <c:pt idx="73">
                  <c:v>1.9764177447474813</c:v>
                </c:pt>
                <c:pt idx="74">
                  <c:v>2.0846529763509789</c:v>
                </c:pt>
                <c:pt idx="75">
                  <c:v>2.0846529763509789</c:v>
                </c:pt>
                <c:pt idx="76">
                  <c:v>2.096658902535284</c:v>
                </c:pt>
                <c:pt idx="77">
                  <c:v>2.096658902535284</c:v>
                </c:pt>
                <c:pt idx="108">
                  <c:v>1.7208498694446039</c:v>
                </c:pt>
                <c:pt idx="109">
                  <c:v>1.6959690176251478</c:v>
                </c:pt>
                <c:pt idx="110">
                  <c:v>1.6959690176251478</c:v>
                </c:pt>
                <c:pt idx="111">
                  <c:v>1.6959690176251478</c:v>
                </c:pt>
                <c:pt idx="112">
                  <c:v>2.11002456659766</c:v>
                </c:pt>
                <c:pt idx="113">
                  <c:v>2.1046856824878382</c:v>
                </c:pt>
                <c:pt idx="114">
                  <c:v>1.936009664237947</c:v>
                </c:pt>
                <c:pt idx="115">
                  <c:v>1.936009664237947</c:v>
                </c:pt>
                <c:pt idx="116">
                  <c:v>1.835713983962092</c:v>
                </c:pt>
                <c:pt idx="117">
                  <c:v>1.8334281601297318</c:v>
                </c:pt>
                <c:pt idx="118">
                  <c:v>1.754599961940851</c:v>
                </c:pt>
                <c:pt idx="119">
                  <c:v>1.754599961940851</c:v>
                </c:pt>
                <c:pt idx="120">
                  <c:v>1.9347805134675606</c:v>
                </c:pt>
                <c:pt idx="121">
                  <c:v>1.9377946772569639</c:v>
                </c:pt>
                <c:pt idx="122">
                  <c:v>1.9377946772569639</c:v>
                </c:pt>
                <c:pt idx="123">
                  <c:v>1.9377946772569639</c:v>
                </c:pt>
                <c:pt idx="124">
                  <c:v>1.9306773942731186</c:v>
                </c:pt>
                <c:pt idx="125">
                  <c:v>1.9302706923883275</c:v>
                </c:pt>
                <c:pt idx="133">
                  <c:v>1.9184588242415754</c:v>
                </c:pt>
                <c:pt idx="134">
                  <c:v>2.0748008962316593</c:v>
                </c:pt>
                <c:pt idx="135">
                  <c:v>2.0697482317090747</c:v>
                </c:pt>
                <c:pt idx="136">
                  <c:v>2.0795510896007028</c:v>
                </c:pt>
                <c:pt idx="137">
                  <c:v>2.0789214873380049</c:v>
                </c:pt>
                <c:pt idx="138">
                  <c:v>2.1803504118586385</c:v>
                </c:pt>
                <c:pt idx="139">
                  <c:v>2.1934335468775017</c:v>
                </c:pt>
                <c:pt idx="140">
                  <c:v>2.1916521766522701</c:v>
                </c:pt>
                <c:pt idx="141">
                  <c:v>2.1916521766522701</c:v>
                </c:pt>
                <c:pt idx="142">
                  <c:v>2.1916521766522701</c:v>
                </c:pt>
                <c:pt idx="143">
                  <c:v>1.9975902038137663</c:v>
                </c:pt>
                <c:pt idx="144">
                  <c:v>1.9916837990544893</c:v>
                </c:pt>
                <c:pt idx="145">
                  <c:v>1.9916837990544893</c:v>
                </c:pt>
                <c:pt idx="146">
                  <c:v>2.1263753549753805</c:v>
                </c:pt>
                <c:pt idx="147">
                  <c:v>2.1263753549753805</c:v>
                </c:pt>
                <c:pt idx="148">
                  <c:v>2.2018435015302389</c:v>
                </c:pt>
                <c:pt idx="149">
                  <c:v>2.2018435015302389</c:v>
                </c:pt>
                <c:pt idx="150">
                  <c:v>2.2018435015302389</c:v>
                </c:pt>
                <c:pt idx="151">
                  <c:v>2.2018435015302389</c:v>
                </c:pt>
                <c:pt idx="152">
                  <c:v>2.2018435015302389</c:v>
                </c:pt>
                <c:pt idx="153">
                  <c:v>2.1998479951827887</c:v>
                </c:pt>
                <c:pt idx="154">
                  <c:v>2.1998479951827887</c:v>
                </c:pt>
                <c:pt idx="155">
                  <c:v>2.1998479951827887</c:v>
                </c:pt>
                <c:pt idx="156">
                  <c:v>2.1998479951827887</c:v>
                </c:pt>
                <c:pt idx="157">
                  <c:v>2.2013667679524156</c:v>
                </c:pt>
                <c:pt idx="158">
                  <c:v>2.2013667679524156</c:v>
                </c:pt>
                <c:pt idx="159">
                  <c:v>2.2013667679524156</c:v>
                </c:pt>
                <c:pt idx="160">
                  <c:v>2.2013667679524156</c:v>
                </c:pt>
                <c:pt idx="161">
                  <c:v>2.1947945603395254</c:v>
                </c:pt>
                <c:pt idx="162">
                  <c:v>2.1415585702124882</c:v>
                </c:pt>
                <c:pt idx="163">
                  <c:v>2.0839372638370146</c:v>
                </c:pt>
                <c:pt idx="164">
                  <c:v>2.0839372638370146</c:v>
                </c:pt>
                <c:pt idx="165">
                  <c:v>2.199479727271616</c:v>
                </c:pt>
                <c:pt idx="166">
                  <c:v>2.2268194421012968</c:v>
                </c:pt>
                <c:pt idx="167">
                  <c:v>2.4593468269460614</c:v>
                </c:pt>
                <c:pt idx="168">
                  <c:v>2.5692971088125303</c:v>
                </c:pt>
                <c:pt idx="169">
                  <c:v>2.5692971088125303</c:v>
                </c:pt>
                <c:pt idx="170">
                  <c:v>2.4326604428714478</c:v>
                </c:pt>
                <c:pt idx="171">
                  <c:v>2.4326604428714478</c:v>
                </c:pt>
                <c:pt idx="172">
                  <c:v>2.4326604428714478</c:v>
                </c:pt>
                <c:pt idx="173">
                  <c:v>2.4326604428714478</c:v>
                </c:pt>
                <c:pt idx="174">
                  <c:v>2.4326604428714478</c:v>
                </c:pt>
                <c:pt idx="175">
                  <c:v>2.2419148380218021</c:v>
                </c:pt>
                <c:pt idx="176">
                  <c:v>2.2419148380218021</c:v>
                </c:pt>
                <c:pt idx="177">
                  <c:v>2.2419148380218021</c:v>
                </c:pt>
                <c:pt idx="178">
                  <c:v>2.2419148380218021</c:v>
                </c:pt>
                <c:pt idx="179">
                  <c:v>2.2432334830685852</c:v>
                </c:pt>
                <c:pt idx="180">
                  <c:v>2.2432334830685852</c:v>
                </c:pt>
                <c:pt idx="181">
                  <c:v>2.2432334830685852</c:v>
                </c:pt>
                <c:pt idx="182">
                  <c:v>2.2432334830685852</c:v>
                </c:pt>
                <c:pt idx="183">
                  <c:v>2.2310791318731416</c:v>
                </c:pt>
                <c:pt idx="190">
                  <c:v>2.3788334567916105</c:v>
                </c:pt>
                <c:pt idx="191">
                  <c:v>2.3787349002976006</c:v>
                </c:pt>
                <c:pt idx="192">
                  <c:v>2.37336841549324</c:v>
                </c:pt>
                <c:pt idx="193">
                  <c:v>2.37336841549324</c:v>
                </c:pt>
                <c:pt idx="194">
                  <c:v>2.37336841549324</c:v>
                </c:pt>
                <c:pt idx="195">
                  <c:v>2.37336841549324</c:v>
                </c:pt>
                <c:pt idx="196">
                  <c:v>2.3639714126747182</c:v>
                </c:pt>
                <c:pt idx="229">
                  <c:v>2.6671559710043717</c:v>
                </c:pt>
                <c:pt idx="230">
                  <c:v>2.6671559710043717</c:v>
                </c:pt>
                <c:pt idx="231">
                  <c:v>2.6159848019965528</c:v>
                </c:pt>
                <c:pt idx="232">
                  <c:v>2.6159848019965528</c:v>
                </c:pt>
                <c:pt idx="233">
                  <c:v>2.6159848019965528</c:v>
                </c:pt>
                <c:pt idx="234">
                  <c:v>2.6159848019965528</c:v>
                </c:pt>
                <c:pt idx="235">
                  <c:v>2.508153553902873</c:v>
                </c:pt>
                <c:pt idx="236">
                  <c:v>2.508153553902873</c:v>
                </c:pt>
                <c:pt idx="237">
                  <c:v>2.508153553902873</c:v>
                </c:pt>
                <c:pt idx="238">
                  <c:v>2.3936502558479531</c:v>
                </c:pt>
                <c:pt idx="239">
                  <c:v>2.3936502558479531</c:v>
                </c:pt>
                <c:pt idx="240">
                  <c:v>2.5663313683892706</c:v>
                </c:pt>
                <c:pt idx="241">
                  <c:v>2.7885591819634774</c:v>
                </c:pt>
                <c:pt idx="242">
                  <c:v>2.7885591819634774</c:v>
                </c:pt>
                <c:pt idx="243">
                  <c:v>2.721330772620818</c:v>
                </c:pt>
                <c:pt idx="244">
                  <c:v>2.7213186375288791</c:v>
                </c:pt>
                <c:pt idx="245">
                  <c:v>2.706052823817279</c:v>
                </c:pt>
                <c:pt idx="246">
                  <c:v>2.706052823817279</c:v>
                </c:pt>
                <c:pt idx="247">
                  <c:v>2.706052823817279</c:v>
                </c:pt>
                <c:pt idx="248">
                  <c:v>2.706052823817279</c:v>
                </c:pt>
                <c:pt idx="249">
                  <c:v>2.6917997398531779</c:v>
                </c:pt>
                <c:pt idx="250">
                  <c:v>2.6917997398531779</c:v>
                </c:pt>
                <c:pt idx="251">
                  <c:v>2.6917997398531779</c:v>
                </c:pt>
                <c:pt idx="252">
                  <c:v>2.6917997398531779</c:v>
                </c:pt>
                <c:pt idx="253">
                  <c:v>2.6917997398531779</c:v>
                </c:pt>
                <c:pt idx="254">
                  <c:v>2.68608172031926</c:v>
                </c:pt>
                <c:pt idx="255">
                  <c:v>2.68608172031926</c:v>
                </c:pt>
                <c:pt idx="256">
                  <c:v>2.68608172031926</c:v>
                </c:pt>
                <c:pt idx="257">
                  <c:v>2.68608172031926</c:v>
                </c:pt>
                <c:pt idx="258">
                  <c:v>2.685546901223145</c:v>
                </c:pt>
                <c:pt idx="259">
                  <c:v>2.685546901223145</c:v>
                </c:pt>
                <c:pt idx="260">
                  <c:v>2.685546901223145</c:v>
                </c:pt>
                <c:pt idx="261">
                  <c:v>2.685546901223145</c:v>
                </c:pt>
                <c:pt idx="262">
                  <c:v>2.6810669947889663</c:v>
                </c:pt>
                <c:pt idx="264">
                  <c:v>2.3119259189853878</c:v>
                </c:pt>
                <c:pt idx="265">
                  <c:v>2.311531384217234</c:v>
                </c:pt>
                <c:pt idx="266">
                  <c:v>2.311531384217234</c:v>
                </c:pt>
                <c:pt idx="267">
                  <c:v>2.3116485113697487</c:v>
                </c:pt>
                <c:pt idx="268">
                  <c:v>2.3116485113697487</c:v>
                </c:pt>
                <c:pt idx="269">
                  <c:v>2.3116485113697487</c:v>
                </c:pt>
                <c:pt idx="270">
                  <c:v>2.3116485113697487</c:v>
                </c:pt>
                <c:pt idx="271">
                  <c:v>2.3098388713930182</c:v>
                </c:pt>
                <c:pt idx="272">
                  <c:v>2.3098388713930182</c:v>
                </c:pt>
                <c:pt idx="273">
                  <c:v>2.3098388713930182</c:v>
                </c:pt>
                <c:pt idx="274">
                  <c:v>2.3102331172811859</c:v>
                </c:pt>
                <c:pt idx="275">
                  <c:v>2.3045701848095557</c:v>
                </c:pt>
                <c:pt idx="276">
                  <c:v>2.3045701848095557</c:v>
                </c:pt>
                <c:pt idx="277">
                  <c:v>2.3054522348122757</c:v>
                </c:pt>
                <c:pt idx="278">
                  <c:v>2.3054522348122757</c:v>
                </c:pt>
                <c:pt idx="279">
                  <c:v>2.3054522348122757</c:v>
                </c:pt>
                <c:pt idx="280">
                  <c:v>2.5983034848838291</c:v>
                </c:pt>
                <c:pt idx="281">
                  <c:v>2.4766226103387137</c:v>
                </c:pt>
                <c:pt idx="282">
                  <c:v>2.4766226103387137</c:v>
                </c:pt>
                <c:pt idx="283">
                  <c:v>2.4766226103387137</c:v>
                </c:pt>
                <c:pt idx="295">
                  <c:v>2.462548606220861</c:v>
                </c:pt>
                <c:pt idx="296">
                  <c:v>2.462548606220861</c:v>
                </c:pt>
                <c:pt idx="297">
                  <c:v>2.462548606220861</c:v>
                </c:pt>
                <c:pt idx="298">
                  <c:v>2.4679199130620066</c:v>
                </c:pt>
                <c:pt idx="299">
                  <c:v>2.0037157596420196</c:v>
                </c:pt>
                <c:pt idx="300">
                  <c:v>2.0037157596420196</c:v>
                </c:pt>
                <c:pt idx="301">
                  <c:v>2.0083862041338159</c:v>
                </c:pt>
                <c:pt idx="302">
                  <c:v>2.0085406972086082</c:v>
                </c:pt>
                <c:pt idx="303">
                  <c:v>2.0220621089828348</c:v>
                </c:pt>
                <c:pt idx="304">
                  <c:v>2.0220621089828348</c:v>
                </c:pt>
                <c:pt idx="305">
                  <c:v>2.0222894266134661</c:v>
                </c:pt>
                <c:pt idx="306">
                  <c:v>2.0241199317443415</c:v>
                </c:pt>
                <c:pt idx="307">
                  <c:v>2.0242359889857013</c:v>
                </c:pt>
                <c:pt idx="308">
                  <c:v>2.0245231214458994</c:v>
                </c:pt>
                <c:pt idx="309">
                  <c:v>2.0246666876759987</c:v>
                </c:pt>
                <c:pt idx="310">
                  <c:v>2.1216696038128817</c:v>
                </c:pt>
                <c:pt idx="311">
                  <c:v>2.1163697517814404</c:v>
                </c:pt>
                <c:pt idx="312">
                  <c:v>2.1174763347905521</c:v>
                </c:pt>
                <c:pt idx="313">
                  <c:v>2.12259279386494</c:v>
                </c:pt>
                <c:pt idx="314">
                  <c:v>2.1279472277799973</c:v>
                </c:pt>
                <c:pt idx="315">
                  <c:v>2.133039889370318</c:v>
                </c:pt>
                <c:pt idx="316">
                  <c:v>2.1285083168339756</c:v>
                </c:pt>
                <c:pt idx="317">
                  <c:v>2.1335635092878835</c:v>
                </c:pt>
                <c:pt idx="318">
                  <c:v>2.1389265120551442</c:v>
                </c:pt>
                <c:pt idx="319">
                  <c:v>2.1439817045090521</c:v>
                </c:pt>
                <c:pt idx="320">
                  <c:v>2.1422936329919433</c:v>
                </c:pt>
                <c:pt idx="321">
                  <c:v>2.1473447371093961</c:v>
                </c:pt>
                <c:pt idx="322">
                  <c:v>2.1526318741295327</c:v>
                </c:pt>
                <c:pt idx="323">
                  <c:v>2.1576947798921196</c:v>
                </c:pt>
                <c:pt idx="324">
                  <c:v>2.1597497008606119</c:v>
                </c:pt>
                <c:pt idx="325">
                  <c:v>2.1648055650837561</c:v>
                </c:pt>
                <c:pt idx="326">
                  <c:v>2.1656069608114339</c:v>
                </c:pt>
                <c:pt idx="327">
                  <c:v>2.1593490029967723</c:v>
                </c:pt>
                <c:pt idx="328">
                  <c:v>2.1608692978331026</c:v>
                </c:pt>
                <c:pt idx="329">
                  <c:v>2.1603617947831699</c:v>
                </c:pt>
                <c:pt idx="330">
                  <c:v>2.18362797256402</c:v>
                </c:pt>
                <c:pt idx="331">
                  <c:v>2.1817421520008655</c:v>
                </c:pt>
                <c:pt idx="332">
                  <c:v>2.1831920998663534</c:v>
                </c:pt>
                <c:pt idx="333">
                  <c:v>2.1841790622618289</c:v>
                </c:pt>
                <c:pt idx="334">
                  <c:v>2.1924118958302108</c:v>
                </c:pt>
                <c:pt idx="335">
                  <c:v>2.1812019443643869</c:v>
                </c:pt>
                <c:pt idx="336">
                  <c:v>2.1905848269793142</c:v>
                </c:pt>
                <c:pt idx="337">
                  <c:v>2.1946128049632594</c:v>
                </c:pt>
                <c:pt idx="338">
                  <c:v>2.1946128049632594</c:v>
                </c:pt>
                <c:pt idx="339">
                  <c:v>2.1946128049632594</c:v>
                </c:pt>
                <c:pt idx="340">
                  <c:v>2.1946128049632594</c:v>
                </c:pt>
                <c:pt idx="407">
                  <c:v>3.495788820329456</c:v>
                </c:pt>
                <c:pt idx="408">
                  <c:v>3.495788820329456</c:v>
                </c:pt>
                <c:pt idx="409">
                  <c:v>3.6907592000111298</c:v>
                </c:pt>
                <c:pt idx="410">
                  <c:v>3.6732406180367962</c:v>
                </c:pt>
                <c:pt idx="411">
                  <c:v>3.6732406180367962</c:v>
                </c:pt>
                <c:pt idx="412">
                  <c:v>3.6732406180367962</c:v>
                </c:pt>
                <c:pt idx="413">
                  <c:v>3.6732406180367962</c:v>
                </c:pt>
                <c:pt idx="414">
                  <c:v>3.845763854448915</c:v>
                </c:pt>
                <c:pt idx="415">
                  <c:v>3.8498671499438926</c:v>
                </c:pt>
                <c:pt idx="416">
                  <c:v>3.8722306351096152</c:v>
                </c:pt>
                <c:pt idx="417">
                  <c:v>3.8624918672852178</c:v>
                </c:pt>
                <c:pt idx="418">
                  <c:v>3.8625233503708567</c:v>
                </c:pt>
                <c:pt idx="438">
                  <c:v>4.2441643850583191</c:v>
                </c:pt>
                <c:pt idx="439">
                  <c:v>4.2441643850583191</c:v>
                </c:pt>
                <c:pt idx="440">
                  <c:v>3.9150656626728604</c:v>
                </c:pt>
                <c:pt idx="441">
                  <c:v>3.9150656626728604</c:v>
                </c:pt>
                <c:pt idx="442">
                  <c:v>3.957186298054153</c:v>
                </c:pt>
                <c:pt idx="443">
                  <c:v>3.7781014733080065</c:v>
                </c:pt>
                <c:pt idx="444">
                  <c:v>3.8835370070303075</c:v>
                </c:pt>
                <c:pt idx="445">
                  <c:v>4.0292651902815724</c:v>
                </c:pt>
                <c:pt idx="446">
                  <c:v>4.0292651902815724</c:v>
                </c:pt>
                <c:pt idx="448">
                  <c:v>4.0292651902815724</c:v>
                </c:pt>
              </c:numCache>
            </c:numRef>
          </c:val>
          <c:smooth val="0"/>
          <c:extLst>
            <c:ext xmlns:c16="http://schemas.microsoft.com/office/drawing/2014/chart" uri="{C3380CC4-5D6E-409C-BE32-E72D297353CC}">
              <c16:uniqueId val="{00000003-B1C1-4825-B31F-EB9A5A42A49D}"/>
            </c:ext>
          </c:extLst>
        </c:ser>
        <c:dLbls>
          <c:showLegendKey val="0"/>
          <c:showVal val="0"/>
          <c:showCatName val="0"/>
          <c:showSerName val="0"/>
          <c:showPercent val="0"/>
          <c:showBubbleSize val="0"/>
        </c:dLbls>
        <c:marker val="1"/>
        <c:smooth val="0"/>
        <c:axId val="1935869376"/>
        <c:axId val="1399266864"/>
      </c:lineChart>
      <c:dateAx>
        <c:axId val="1935869376"/>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solidFill>
                <a:latin typeface="+mn-lt"/>
                <a:ea typeface="+mn-ea"/>
                <a:cs typeface="+mn-cs"/>
              </a:defRPr>
            </a:pPr>
            <a:endParaRPr lang="es-CO"/>
          </a:p>
        </c:txPr>
        <c:crossAx val="1399266864"/>
        <c:crosses val="autoZero"/>
        <c:auto val="1"/>
        <c:lblOffset val="100"/>
        <c:baseTimeUnit val="days"/>
      </c:dateAx>
      <c:valAx>
        <c:axId val="139926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s-ES_tradnl" sz="900" b="1" i="0" u="none" strike="noStrike" baseline="0">
                    <a:effectLst/>
                  </a:rPr>
                  <a:t>USD$/Galón</a:t>
                </a:r>
                <a:endParaRPr lang="es-CO"/>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crossAx val="193586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chemeClr val="tx1"/>
          </a:solidFill>
          <a:latin typeface="+mn-lt"/>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Hoja1!$B$2:$B$12</c:f>
              <c:numCache>
                <c:formatCode>0.00</c:formatCode>
                <c:ptCount val="11"/>
                <c:pt idx="0">
                  <c:v>329.81718699999999</c:v>
                </c:pt>
                <c:pt idx="1">
                  <c:v>345.335757</c:v>
                </c:pt>
                <c:pt idx="2">
                  <c:v>373.420275</c:v>
                </c:pt>
                <c:pt idx="3">
                  <c:v>391.13801899999999</c:v>
                </c:pt>
                <c:pt idx="4">
                  <c:v>387.55058500000001</c:v>
                </c:pt>
                <c:pt idx="5">
                  <c:v>427.139545</c:v>
                </c:pt>
                <c:pt idx="6">
                  <c:v>464.04904699999997</c:v>
                </c:pt>
                <c:pt idx="7">
                  <c:v>204.16627</c:v>
                </c:pt>
                <c:pt idx="8">
                  <c:v>350.58394199999998</c:v>
                </c:pt>
                <c:pt idx="9">
                  <c:v>510.95404600000001</c:v>
                </c:pt>
                <c:pt idx="10">
                  <c:v>478.46851199999998</c:v>
                </c:pt>
              </c:numCache>
            </c:numRef>
          </c:val>
          <c:extLst>
            <c:ext xmlns:c16="http://schemas.microsoft.com/office/drawing/2014/chart" uri="{C3380CC4-5D6E-409C-BE32-E72D297353CC}">
              <c16:uniqueId val="{00000000-E5AC-4C97-91E7-D14FD3F9A307}"/>
            </c:ext>
          </c:extLst>
        </c:ser>
        <c:dLbls>
          <c:showLegendKey val="0"/>
          <c:showVal val="0"/>
          <c:showCatName val="0"/>
          <c:showSerName val="0"/>
          <c:showPercent val="0"/>
          <c:showBubbleSize val="0"/>
        </c:dLbls>
        <c:gapWidth val="219"/>
        <c:overlap val="-27"/>
        <c:axId val="2094810144"/>
        <c:axId val="1434514464"/>
      </c:barChart>
      <c:catAx>
        <c:axId val="2094810144"/>
        <c:scaling>
          <c:orientation val="minMax"/>
        </c:scaling>
        <c:delete val="0"/>
        <c:axPos val="b"/>
        <c:majorGridlines>
          <c:spPr>
            <a:ln w="3175" cap="flat" cmpd="sng" algn="ctr">
              <a:solidFill>
                <a:schemeClr val="bg1">
                  <a:lumMod val="95000"/>
                </a:schemeClr>
              </a:solidFill>
              <a:round/>
            </a:ln>
            <a:effectLst/>
          </c:spPr>
        </c:majorGridlines>
        <c:numFmt formatCode="General" sourceLinked="1"/>
        <c:majorTickMark val="none"/>
        <c:minorTickMark val="none"/>
        <c:tickLblPos val="nextTo"/>
        <c:spPr>
          <a:noFill/>
          <a:ln w="3175" cap="flat" cmpd="sng" algn="ctr">
            <a:solidFill>
              <a:schemeClr val="bg1">
                <a:lumMod val="9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434514464"/>
        <c:crosses val="autoZero"/>
        <c:auto val="1"/>
        <c:lblAlgn val="ctr"/>
        <c:lblOffset val="100"/>
        <c:noMultiLvlLbl val="0"/>
      </c:catAx>
      <c:valAx>
        <c:axId val="1434514464"/>
        <c:scaling>
          <c:orientation val="minMax"/>
        </c:scaling>
        <c:delete val="0"/>
        <c:axPos val="l"/>
        <c:majorGridlines>
          <c:spPr>
            <a:ln w="3175" cap="flat" cmpd="sng" algn="ctr">
              <a:solidFill>
                <a:schemeClr val="bg1">
                  <a:lumMod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209481014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volumen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REFINADOR</c:v>
                </c:pt>
                <c:pt idx="1">
                  <c:v>ORGANIZACION TERPEL S.A.</c:v>
                </c:pt>
                <c:pt idx="2">
                  <c:v>CHEVRON PETROLEUM</c:v>
                </c:pt>
                <c:pt idx="3">
                  <c:v>PRIMAX COLOMBIA S.A.</c:v>
                </c:pt>
              </c:strCache>
            </c:strRef>
          </c:cat>
          <c:val>
            <c:numRef>
              <c:f>Hoja1!$B$2:$B$5</c:f>
              <c:numCache>
                <c:formatCode>General</c:formatCode>
                <c:ptCount val="4"/>
                <c:pt idx="0">
                  <c:v>249</c:v>
                </c:pt>
                <c:pt idx="1">
                  <c:v>153</c:v>
                </c:pt>
                <c:pt idx="2">
                  <c:v>51</c:v>
                </c:pt>
                <c:pt idx="3">
                  <c:v>26</c:v>
                </c:pt>
              </c:numCache>
            </c:numRef>
          </c:val>
          <c:extLst>
            <c:ext xmlns:c16="http://schemas.microsoft.com/office/drawing/2014/chart" uri="{C3380CC4-5D6E-409C-BE32-E72D297353CC}">
              <c16:uniqueId val="{00000000-A5DC-4660-BB0D-E37B3199C287}"/>
            </c:ext>
          </c:extLst>
        </c:ser>
        <c:dLbls>
          <c:showLegendKey val="0"/>
          <c:showVal val="0"/>
          <c:showCatName val="0"/>
          <c:showSerName val="0"/>
          <c:showPercent val="0"/>
          <c:showBubbleSize val="0"/>
        </c:dLbls>
        <c:gapWidth val="219"/>
        <c:overlap val="-27"/>
        <c:axId val="248716704"/>
        <c:axId val="1459795424"/>
      </c:barChart>
      <c:lineChart>
        <c:grouping val="standard"/>
        <c:varyColors val="0"/>
        <c:ser>
          <c:idx val="1"/>
          <c:order val="1"/>
          <c:tx>
            <c:strRef>
              <c:f>Hoja1!$C$1</c:f>
              <c:strCache>
                <c:ptCount val="1"/>
                <c:pt idx="0">
                  <c:v>porcentaje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REFINADOR</c:v>
                </c:pt>
                <c:pt idx="1">
                  <c:v>ORGANIZACION TERPEL S.A.</c:v>
                </c:pt>
                <c:pt idx="2">
                  <c:v>CHEVRON PETROLEUM</c:v>
                </c:pt>
                <c:pt idx="3">
                  <c:v>PRIMAX COLOMBIA S.A.</c:v>
                </c:pt>
              </c:strCache>
            </c:strRef>
          </c:cat>
          <c:val>
            <c:numRef>
              <c:f>Hoja1!$C$2:$C$5</c:f>
              <c:numCache>
                <c:formatCode>0%</c:formatCode>
                <c:ptCount val="4"/>
                <c:pt idx="0">
                  <c:v>0.52</c:v>
                </c:pt>
                <c:pt idx="1">
                  <c:v>0.84</c:v>
                </c:pt>
                <c:pt idx="2">
                  <c:v>0.95</c:v>
                </c:pt>
                <c:pt idx="3">
                  <c:v>1</c:v>
                </c:pt>
              </c:numCache>
            </c:numRef>
          </c:val>
          <c:smooth val="0"/>
          <c:extLst>
            <c:ext xmlns:c16="http://schemas.microsoft.com/office/drawing/2014/chart" uri="{C3380CC4-5D6E-409C-BE32-E72D297353CC}">
              <c16:uniqueId val="{00000001-A5DC-4660-BB0D-E37B3199C287}"/>
            </c:ext>
          </c:extLst>
        </c:ser>
        <c:dLbls>
          <c:showLegendKey val="0"/>
          <c:showVal val="0"/>
          <c:showCatName val="0"/>
          <c:showSerName val="0"/>
          <c:showPercent val="0"/>
          <c:showBubbleSize val="0"/>
        </c:dLbls>
        <c:marker val="1"/>
        <c:smooth val="0"/>
        <c:axId val="1170642624"/>
        <c:axId val="1347515344"/>
      </c:lineChart>
      <c:catAx>
        <c:axId val="24871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459795424"/>
        <c:crosses val="autoZero"/>
        <c:auto val="1"/>
        <c:lblAlgn val="ctr"/>
        <c:lblOffset val="100"/>
        <c:noMultiLvlLbl val="0"/>
      </c:catAx>
      <c:valAx>
        <c:axId val="1459795424"/>
        <c:scaling>
          <c:orientation val="minMax"/>
        </c:scaling>
        <c:delete val="0"/>
        <c:axPos val="l"/>
        <c:majorGridlines>
          <c:spPr>
            <a:ln w="317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O"/>
                  <a:t>Vol. Compras (millones galones)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248716704"/>
        <c:crosses val="autoZero"/>
        <c:crossBetween val="between"/>
      </c:valAx>
      <c:valAx>
        <c:axId val="1347515344"/>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CO"/>
                  <a:t>% participación</a:t>
                </a:r>
                <a:r>
                  <a:rPr lang="es-CO" baseline="0"/>
                  <a:t> acumulada</a:t>
                </a:r>
                <a:endParaRPr lang="es-CO"/>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170642624"/>
        <c:crosses val="max"/>
        <c:crossBetween val="between"/>
      </c:valAx>
      <c:catAx>
        <c:axId val="1170642624"/>
        <c:scaling>
          <c:orientation val="minMax"/>
        </c:scaling>
        <c:delete val="1"/>
        <c:axPos val="b"/>
        <c:numFmt formatCode="General" sourceLinked="1"/>
        <c:majorTickMark val="out"/>
        <c:minorTickMark val="none"/>
        <c:tickLblPos val="nextTo"/>
        <c:crossAx val="1347515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FE50A-D0A3-435C-8B34-A1259ABE734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s-CO"/>
        </a:p>
      </dgm:t>
    </dgm:pt>
    <dgm:pt modelId="{642A8D27-FD56-4F56-B428-F63C0B348A61}">
      <dgm:prSet phldrT="[Texto]" custT="1"/>
      <dgm:spPr/>
      <dgm:t>
        <a:bodyPr/>
        <a:lstStyle/>
        <a:p>
          <a:r>
            <a:rPr lang="es-CO" sz="900" b="1">
              <a:latin typeface="+mn-lt"/>
              <a:cs typeface="Arial" panose="020B0604020202020204" pitchFamily="34" charset="0"/>
            </a:rPr>
            <a:t>Efectos directos</a:t>
          </a:r>
        </a:p>
      </dgm:t>
    </dgm:pt>
    <dgm:pt modelId="{48117CFB-0775-4064-9E68-B18C46AC7FFC}" type="parTrans" cxnId="{A0B6848C-72A7-4D33-B151-4079BECE6795}">
      <dgm:prSet/>
      <dgm:spPr/>
      <dgm:t>
        <a:bodyPr/>
        <a:lstStyle/>
        <a:p>
          <a:endParaRPr lang="es-CO" sz="900">
            <a:latin typeface="+mn-lt"/>
          </a:endParaRPr>
        </a:p>
      </dgm:t>
    </dgm:pt>
    <dgm:pt modelId="{E6696268-8393-43D5-AE03-C25C5DBBBC6B}" type="sibTrans" cxnId="{A0B6848C-72A7-4D33-B151-4079BECE6795}">
      <dgm:prSet/>
      <dgm:spPr/>
      <dgm:t>
        <a:bodyPr/>
        <a:lstStyle/>
        <a:p>
          <a:endParaRPr lang="es-CO" sz="900">
            <a:latin typeface="+mn-lt"/>
          </a:endParaRPr>
        </a:p>
      </dgm:t>
    </dgm:pt>
    <dgm:pt modelId="{E08700AD-2877-487A-AFDD-21B15D015AD5}">
      <dgm:prSet phldrT="[Texto]" custT="1"/>
      <dgm:spPr/>
      <dgm:t>
        <a:bodyPr/>
        <a:lstStyle/>
        <a:p>
          <a:r>
            <a:rPr lang="es-ES_tradnl" sz="900" b="1">
              <a:latin typeface="+mn-lt"/>
            </a:rPr>
            <a:t>Posible falta de incentivos a la producción nacional</a:t>
          </a:r>
          <a:endParaRPr lang="es-CO" sz="900">
            <a:latin typeface="+mn-lt"/>
          </a:endParaRPr>
        </a:p>
      </dgm:t>
    </dgm:pt>
    <dgm:pt modelId="{E0ADAA37-E8B0-42C1-AC1E-0BABF194336E}" type="parTrans" cxnId="{3796BE66-5A12-44BA-8634-9F713ACC86DB}">
      <dgm:prSet/>
      <dgm:spPr/>
      <dgm:t>
        <a:bodyPr/>
        <a:lstStyle/>
        <a:p>
          <a:endParaRPr lang="es-CO" sz="900">
            <a:latin typeface="+mn-lt"/>
          </a:endParaRPr>
        </a:p>
      </dgm:t>
    </dgm:pt>
    <dgm:pt modelId="{BA0FC800-8D60-4337-B1A9-6EC052655B46}" type="sibTrans" cxnId="{3796BE66-5A12-44BA-8634-9F713ACC86DB}">
      <dgm:prSet/>
      <dgm:spPr/>
      <dgm:t>
        <a:bodyPr/>
        <a:lstStyle/>
        <a:p>
          <a:endParaRPr lang="es-CO" sz="900">
            <a:latin typeface="+mn-lt"/>
          </a:endParaRPr>
        </a:p>
      </dgm:t>
    </dgm:pt>
    <dgm:pt modelId="{51819672-E1A0-427F-B547-9961EDC661CC}">
      <dgm:prSet phldrT="[Texto]" custT="1"/>
      <dgm:spPr/>
      <dgm:t>
        <a:bodyPr/>
        <a:lstStyle/>
        <a:p>
          <a:r>
            <a:rPr lang="es-CO" sz="900" b="1">
              <a:latin typeface="+mn-lt"/>
              <a:cs typeface="Arial" panose="020B0604020202020204" pitchFamily="34" charset="0"/>
            </a:rPr>
            <a:t>Causas</a:t>
          </a:r>
        </a:p>
      </dgm:t>
    </dgm:pt>
    <dgm:pt modelId="{12B45F86-5872-466C-950A-3863814BCE11}" type="parTrans" cxnId="{281BD855-8337-4CF5-83F1-8070BAA7DBBF}">
      <dgm:prSet/>
      <dgm:spPr/>
      <dgm:t>
        <a:bodyPr/>
        <a:lstStyle/>
        <a:p>
          <a:endParaRPr lang="es-CO" sz="900">
            <a:latin typeface="+mn-lt"/>
          </a:endParaRPr>
        </a:p>
      </dgm:t>
    </dgm:pt>
    <dgm:pt modelId="{61030E9A-8071-4E25-A8BC-CA434C2C7D2A}" type="sibTrans" cxnId="{281BD855-8337-4CF5-83F1-8070BAA7DBBF}">
      <dgm:prSet/>
      <dgm:spPr/>
      <dgm:t>
        <a:bodyPr/>
        <a:lstStyle/>
        <a:p>
          <a:endParaRPr lang="es-CO" sz="900">
            <a:latin typeface="+mn-lt"/>
          </a:endParaRPr>
        </a:p>
      </dgm:t>
    </dgm:pt>
    <dgm:pt modelId="{C8C1DF4E-3BDA-46DF-B892-A387E5C7AFE3}">
      <dgm:prSet phldrT="[Texto]" custT="1"/>
      <dgm:spPr>
        <a:ln>
          <a:solidFill>
            <a:schemeClr val="tx1">
              <a:alpha val="90000"/>
            </a:schemeClr>
          </a:solidFill>
        </a:ln>
      </dgm:spPr>
      <dgm:t>
        <a:bodyPr/>
        <a:lstStyle/>
        <a:p>
          <a:r>
            <a:rPr lang="es-ES_tradnl" sz="900" dirty="0">
              <a:latin typeface="+mn-lt"/>
            </a:rPr>
            <a:t>El costo de oportunidad de producción nacional de Jet puede no estar siendo remunerado por el IP actual.</a:t>
          </a:r>
          <a:endParaRPr lang="es-CO" sz="900">
            <a:solidFill>
              <a:schemeClr val="tx1"/>
            </a:solidFill>
            <a:latin typeface="+mn-lt"/>
          </a:endParaRPr>
        </a:p>
      </dgm:t>
    </dgm:pt>
    <dgm:pt modelId="{A0A8AB71-E3AF-47FE-A700-4BE666ED7F42}" type="parTrans" cxnId="{ECA2ED34-A0EB-4250-AD46-34A32AC45F3E}">
      <dgm:prSet/>
      <dgm:spPr/>
      <dgm:t>
        <a:bodyPr/>
        <a:lstStyle/>
        <a:p>
          <a:endParaRPr lang="es-CO" sz="900">
            <a:latin typeface="+mn-lt"/>
          </a:endParaRPr>
        </a:p>
      </dgm:t>
    </dgm:pt>
    <dgm:pt modelId="{2C42FC06-9E6A-43C7-BE2A-ACA8FB317960}" type="sibTrans" cxnId="{ECA2ED34-A0EB-4250-AD46-34A32AC45F3E}">
      <dgm:prSet/>
      <dgm:spPr/>
      <dgm:t>
        <a:bodyPr/>
        <a:lstStyle/>
        <a:p>
          <a:endParaRPr lang="es-CO" sz="900">
            <a:latin typeface="+mn-lt"/>
          </a:endParaRPr>
        </a:p>
      </dgm:t>
    </dgm:pt>
    <dgm:pt modelId="{A261A9CA-4A67-46B4-AA4A-6239BBC71112}">
      <dgm:prSet phldrT="[Texto]" custT="1"/>
      <dgm:spPr>
        <a:ln>
          <a:solidFill>
            <a:schemeClr val="tx1">
              <a:alpha val="90000"/>
            </a:schemeClr>
          </a:solidFill>
        </a:ln>
      </dgm:spPr>
      <dgm:t>
        <a:bodyPr/>
        <a:lstStyle/>
        <a:p>
          <a:pPr>
            <a:buFont typeface="Symbol" panose="05050102010706020507" pitchFamily="18" charset="2"/>
            <a:buChar char=""/>
          </a:pPr>
          <a:r>
            <a:rPr lang="es-ES_tradnl" sz="900">
              <a:latin typeface="+mn-lt"/>
            </a:rPr>
            <a:t>El refinador traslada directamente los costos de importación, el diferencial entre el IP importado y el IP nacional ha alcanzado 1 US/galón. El histórico siempre ha estado en 0,5 US/galón.</a:t>
          </a:r>
          <a:endParaRPr lang="es-CO" sz="900">
            <a:solidFill>
              <a:schemeClr val="tx1"/>
            </a:solidFill>
            <a:latin typeface="+mn-lt"/>
          </a:endParaRPr>
        </a:p>
      </dgm:t>
    </dgm:pt>
    <dgm:pt modelId="{5277A361-07BA-439E-8677-E1CA83870750}" type="parTrans" cxnId="{3770CAFA-0355-48AE-A5FA-685632838830}">
      <dgm:prSet/>
      <dgm:spPr/>
      <dgm:t>
        <a:bodyPr/>
        <a:lstStyle/>
        <a:p>
          <a:endParaRPr lang="es-CO" sz="900">
            <a:latin typeface="+mn-lt"/>
          </a:endParaRPr>
        </a:p>
      </dgm:t>
    </dgm:pt>
    <dgm:pt modelId="{40E06C77-8E51-43A4-B67F-31783391236C}" type="sibTrans" cxnId="{3770CAFA-0355-48AE-A5FA-685632838830}">
      <dgm:prSet/>
      <dgm:spPr/>
      <dgm:t>
        <a:bodyPr/>
        <a:lstStyle/>
        <a:p>
          <a:endParaRPr lang="es-CO" sz="900">
            <a:latin typeface="+mn-lt"/>
          </a:endParaRPr>
        </a:p>
      </dgm:t>
    </dgm:pt>
    <dgm:pt modelId="{37DB3A98-E14E-442F-9C71-D3333E75D790}">
      <dgm:prSet phldrT="[Texto]" custT="1"/>
      <dgm:spPr>
        <a:ln>
          <a:solidFill>
            <a:schemeClr val="tx1">
              <a:alpha val="90000"/>
            </a:schemeClr>
          </a:solidFill>
        </a:ln>
      </dgm:spPr>
      <dgm:t>
        <a:bodyPr/>
        <a:lstStyle/>
        <a:p>
          <a:pPr>
            <a:buFont typeface="Symbol" panose="05050102010706020507" pitchFamily="18" charset="2"/>
            <a:buChar char=""/>
          </a:pPr>
          <a:r>
            <a:rPr lang="es-ES_tradnl" sz="900">
              <a:latin typeface="+mn-lt"/>
            </a:rPr>
            <a:t>Al productor puede no interesarle producir más Jet porque disminuye la producción de otros combustibles y por ende sus ingresos.</a:t>
          </a:r>
          <a:endParaRPr lang="es-CO" sz="900">
            <a:solidFill>
              <a:schemeClr val="tx1"/>
            </a:solidFill>
            <a:latin typeface="+mn-lt"/>
          </a:endParaRPr>
        </a:p>
      </dgm:t>
    </dgm:pt>
    <dgm:pt modelId="{E3C6B634-F535-4811-81E4-CF25E35ED1E2}" type="parTrans" cxnId="{DF6DF3B4-F80B-4A0F-9381-A611118C8CDC}">
      <dgm:prSet/>
      <dgm:spPr/>
      <dgm:t>
        <a:bodyPr/>
        <a:lstStyle/>
        <a:p>
          <a:endParaRPr lang="es-CO" sz="900">
            <a:latin typeface="+mn-lt"/>
          </a:endParaRPr>
        </a:p>
      </dgm:t>
    </dgm:pt>
    <dgm:pt modelId="{831A428F-A8A3-4AF0-A5C4-579C363077D5}" type="sibTrans" cxnId="{DF6DF3B4-F80B-4A0F-9381-A611118C8CDC}">
      <dgm:prSet/>
      <dgm:spPr/>
      <dgm:t>
        <a:bodyPr/>
        <a:lstStyle/>
        <a:p>
          <a:endParaRPr lang="es-CO" sz="900">
            <a:latin typeface="+mn-lt"/>
          </a:endParaRPr>
        </a:p>
      </dgm:t>
    </dgm:pt>
    <dgm:pt modelId="{43DE9965-2078-4B9D-AA41-87C2CA03182C}">
      <dgm:prSet phldrT="[Texto]" custT="1"/>
      <dgm:spPr/>
      <dgm:t>
        <a:bodyPr/>
        <a:lstStyle/>
        <a:p>
          <a:r>
            <a:rPr lang="es-MX" sz="900">
              <a:solidFill>
                <a:schemeClr val="tx1"/>
              </a:solidFill>
              <a:latin typeface="+mn-lt"/>
            </a:rPr>
            <a:t>Traslado de costos que posiblemente generan ineficiencias en el precio al usuario final.</a:t>
          </a:r>
          <a:endParaRPr lang="es-CO" sz="900">
            <a:solidFill>
              <a:schemeClr val="tx1"/>
            </a:solidFill>
            <a:latin typeface="+mn-lt"/>
          </a:endParaRPr>
        </a:p>
      </dgm:t>
    </dgm:pt>
    <dgm:pt modelId="{00E90409-4543-40B7-9FA1-CB2348211EC2}" type="parTrans" cxnId="{4112DE89-8373-49C3-BC20-9450F79FE4DB}">
      <dgm:prSet/>
      <dgm:spPr/>
      <dgm:t>
        <a:bodyPr/>
        <a:lstStyle/>
        <a:p>
          <a:endParaRPr lang="es-CO" sz="900">
            <a:latin typeface="+mn-lt"/>
          </a:endParaRPr>
        </a:p>
      </dgm:t>
    </dgm:pt>
    <dgm:pt modelId="{8F3D0299-8C82-4BCC-952D-D2E5622F7109}" type="sibTrans" cxnId="{4112DE89-8373-49C3-BC20-9450F79FE4DB}">
      <dgm:prSet/>
      <dgm:spPr/>
      <dgm:t>
        <a:bodyPr/>
        <a:lstStyle/>
        <a:p>
          <a:endParaRPr lang="es-CO" sz="900">
            <a:latin typeface="+mn-lt"/>
          </a:endParaRPr>
        </a:p>
      </dgm:t>
    </dgm:pt>
    <dgm:pt modelId="{A00FCD26-F8F3-41E7-9C78-8871B7194C33}">
      <dgm:prSet phldrT="[Texto]" custT="1"/>
      <dgm:spPr/>
      <dgm:t>
        <a:bodyPr/>
        <a:lstStyle/>
        <a:p>
          <a:r>
            <a:rPr lang="es-CO" sz="900" b="1">
              <a:latin typeface="+mn-lt"/>
              <a:cs typeface="Arial" panose="020B0604020202020204" pitchFamily="34" charset="0"/>
            </a:rPr>
            <a:t>Problema</a:t>
          </a:r>
          <a:endParaRPr lang="es-CO" sz="900">
            <a:latin typeface="+mn-lt"/>
            <a:cs typeface="Arial" panose="020B0604020202020204" pitchFamily="34" charset="0"/>
          </a:endParaRPr>
        </a:p>
      </dgm:t>
    </dgm:pt>
    <dgm:pt modelId="{4DB975F0-3563-44B0-8A59-A25EC8E06ABA}" type="sibTrans" cxnId="{FAA7330A-8564-4D1C-BF2F-B52048E52E15}">
      <dgm:prSet/>
      <dgm:spPr/>
      <dgm:t>
        <a:bodyPr/>
        <a:lstStyle/>
        <a:p>
          <a:endParaRPr lang="es-CO" sz="900">
            <a:latin typeface="+mn-lt"/>
          </a:endParaRPr>
        </a:p>
      </dgm:t>
    </dgm:pt>
    <dgm:pt modelId="{CB3BE6A6-274F-4C6B-9B83-6E268D87132F}" type="parTrans" cxnId="{FAA7330A-8564-4D1C-BF2F-B52048E52E15}">
      <dgm:prSet/>
      <dgm:spPr/>
      <dgm:t>
        <a:bodyPr/>
        <a:lstStyle/>
        <a:p>
          <a:endParaRPr lang="es-CO" sz="900">
            <a:latin typeface="+mn-lt"/>
          </a:endParaRPr>
        </a:p>
      </dgm:t>
    </dgm:pt>
    <dgm:pt modelId="{0260AEE2-5F2C-4AF6-81EC-26F87193DB5D}">
      <dgm:prSet phldrT="[Texto]" custT="1"/>
      <dgm:spPr>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spcFirstLastPara="0" vert="horz" wrap="square" lIns="113792" tIns="20320" rIns="113792" bIns="20320" numCol="1" spcCol="1270" anchor="ctr" anchorCtr="0"/>
        <a:lstStyle/>
        <a:p>
          <a:pPr marL="0" lvl="0" indent="0" algn="ctr" defTabSz="711200">
            <a:lnSpc>
              <a:spcPct val="90000"/>
            </a:lnSpc>
            <a:spcBef>
              <a:spcPct val="0"/>
            </a:spcBef>
            <a:spcAft>
              <a:spcPct val="35000"/>
            </a:spcAft>
            <a:buNone/>
          </a:pPr>
          <a:r>
            <a:rPr lang="es-CO" sz="900" kern="1200">
              <a:solidFill>
                <a:prstClr val="black"/>
              </a:solidFill>
              <a:latin typeface="+mn-lt"/>
              <a:ea typeface="+mn-ea"/>
              <a:cs typeface="+mn-cs"/>
            </a:rPr>
            <a:t>Posible desabastecimiento de producto nacional a mediano/largo plazo (2028-2030).</a:t>
          </a:r>
        </a:p>
      </dgm:t>
    </dgm:pt>
    <dgm:pt modelId="{F5EAE237-AB92-4E58-8915-04641DF237BD}" type="parTrans" cxnId="{C065FF58-82D9-4DA4-AA93-FCB617C7197B}">
      <dgm:prSet/>
      <dgm:spPr/>
      <dgm:t>
        <a:bodyPr/>
        <a:lstStyle/>
        <a:p>
          <a:endParaRPr lang="es-CO" sz="900">
            <a:latin typeface="+mn-lt"/>
          </a:endParaRPr>
        </a:p>
      </dgm:t>
    </dgm:pt>
    <dgm:pt modelId="{20F94266-51D4-41C8-AF94-1D183A29F2B8}" type="sibTrans" cxnId="{C065FF58-82D9-4DA4-AA93-FCB617C7197B}">
      <dgm:prSet/>
      <dgm:spPr/>
      <dgm:t>
        <a:bodyPr/>
        <a:lstStyle/>
        <a:p>
          <a:endParaRPr lang="es-CO" sz="900">
            <a:latin typeface="+mn-lt"/>
          </a:endParaRPr>
        </a:p>
      </dgm:t>
    </dgm:pt>
    <dgm:pt modelId="{9B1E680F-0B69-447D-AC09-12EEC774903D}" type="pres">
      <dgm:prSet presAssocID="{D2BFE50A-D0A3-435C-8B34-A1259ABE7348}" presName="Name0" presStyleCnt="0">
        <dgm:presLayoutVars>
          <dgm:dir/>
          <dgm:animLvl val="lvl"/>
          <dgm:resizeHandles val="exact"/>
        </dgm:presLayoutVars>
      </dgm:prSet>
      <dgm:spPr/>
    </dgm:pt>
    <dgm:pt modelId="{E89F56B9-28C8-4396-AFDF-050AE82CA229}" type="pres">
      <dgm:prSet presAssocID="{642A8D27-FD56-4F56-B428-F63C0B348A61}" presName="boxAndChildren" presStyleCnt="0"/>
      <dgm:spPr/>
    </dgm:pt>
    <dgm:pt modelId="{C9EC5DB8-FDEA-4819-A9FF-9B16F8064DD9}" type="pres">
      <dgm:prSet presAssocID="{642A8D27-FD56-4F56-B428-F63C0B348A61}" presName="parentTextBox" presStyleLbl="node1" presStyleIdx="0" presStyleCnt="3"/>
      <dgm:spPr/>
    </dgm:pt>
    <dgm:pt modelId="{F9EBC674-7B96-4846-8428-89B6BB0940C5}" type="pres">
      <dgm:prSet presAssocID="{642A8D27-FD56-4F56-B428-F63C0B348A61}" presName="entireBox" presStyleLbl="node1" presStyleIdx="0" presStyleCnt="3" custLinFactNeighborY="12220"/>
      <dgm:spPr/>
    </dgm:pt>
    <dgm:pt modelId="{56898672-7A39-4F08-8666-15A9FC834EDD}" type="pres">
      <dgm:prSet presAssocID="{642A8D27-FD56-4F56-B428-F63C0B348A61}" presName="descendantBox" presStyleCnt="0"/>
      <dgm:spPr/>
    </dgm:pt>
    <dgm:pt modelId="{F8F11068-6026-4F8F-994F-B91C938291F7}" type="pres">
      <dgm:prSet presAssocID="{43DE9965-2078-4B9D-AA41-87C2CA03182C}" presName="childTextBox" presStyleLbl="fgAccFollowNode1" presStyleIdx="0" presStyleCnt="6" custLinFactNeighborY="30913">
        <dgm:presLayoutVars>
          <dgm:bulletEnabled val="1"/>
        </dgm:presLayoutVars>
      </dgm:prSet>
      <dgm:spPr/>
    </dgm:pt>
    <dgm:pt modelId="{A49F7A84-471C-4FDA-A48A-700358EE9AC8}" type="pres">
      <dgm:prSet presAssocID="{0260AEE2-5F2C-4AF6-81EC-26F87193DB5D}" presName="childTextBox" presStyleLbl="fgAccFollowNode1" presStyleIdx="1" presStyleCnt="6" custLinFactNeighborY="3744">
        <dgm:presLayoutVars>
          <dgm:bulletEnabled val="1"/>
        </dgm:presLayoutVars>
      </dgm:prSet>
      <dgm:spPr>
        <a:xfrm>
          <a:off x="6096000" y="4713777"/>
          <a:ext cx="6095999" cy="508941"/>
        </a:xfrm>
        <a:prstGeom prst="rect">
          <a:avLst/>
        </a:prstGeom>
      </dgm:spPr>
    </dgm:pt>
    <dgm:pt modelId="{155CC145-D919-4D9E-AD3A-D4CFFEBBA345}" type="pres">
      <dgm:prSet presAssocID="{4DB975F0-3563-44B0-8A59-A25EC8E06ABA}" presName="sp" presStyleCnt="0"/>
      <dgm:spPr/>
    </dgm:pt>
    <dgm:pt modelId="{41BAAB0C-7635-47A1-A95B-BCBE046A254C}" type="pres">
      <dgm:prSet presAssocID="{A00FCD26-F8F3-41E7-9C78-8871B7194C33}" presName="arrowAndChildren" presStyleCnt="0"/>
      <dgm:spPr/>
    </dgm:pt>
    <dgm:pt modelId="{0757F875-4F2D-4672-9CED-1583DD481E74}" type="pres">
      <dgm:prSet presAssocID="{A00FCD26-F8F3-41E7-9C78-8871B7194C33}" presName="parentTextArrow" presStyleLbl="node1" presStyleIdx="0" presStyleCnt="3"/>
      <dgm:spPr/>
    </dgm:pt>
    <dgm:pt modelId="{2E1E46E0-65A4-4C50-8C79-B79B025977A2}" type="pres">
      <dgm:prSet presAssocID="{A00FCD26-F8F3-41E7-9C78-8871B7194C33}" presName="arrow" presStyleLbl="node1" presStyleIdx="1" presStyleCnt="3" custScaleY="128835" custLinFactNeighborY="-854"/>
      <dgm:spPr/>
    </dgm:pt>
    <dgm:pt modelId="{3D563A51-5A2D-4EBF-B3C1-7B1553C8A37F}" type="pres">
      <dgm:prSet presAssocID="{A00FCD26-F8F3-41E7-9C78-8871B7194C33}" presName="descendantArrow" presStyleCnt="0"/>
      <dgm:spPr/>
    </dgm:pt>
    <dgm:pt modelId="{AE3BEABF-D412-4153-9C42-4B5194C36220}" type="pres">
      <dgm:prSet presAssocID="{E08700AD-2877-487A-AFDD-21B15D015AD5}" presName="childTextArrow" presStyleLbl="fgAccFollowNode1" presStyleIdx="2" presStyleCnt="6" custLinFactNeighborY="27799">
        <dgm:presLayoutVars>
          <dgm:bulletEnabled val="1"/>
        </dgm:presLayoutVars>
      </dgm:prSet>
      <dgm:spPr/>
    </dgm:pt>
    <dgm:pt modelId="{60F252A6-F19C-4BFE-8D21-A65B1536EBB4}" type="pres">
      <dgm:prSet presAssocID="{61030E9A-8071-4E25-A8BC-CA434C2C7D2A}" presName="sp" presStyleCnt="0"/>
      <dgm:spPr/>
    </dgm:pt>
    <dgm:pt modelId="{61B22D91-8EBF-49D1-97E1-69274938686C}" type="pres">
      <dgm:prSet presAssocID="{51819672-E1A0-427F-B547-9961EDC661CC}" presName="arrowAndChildren" presStyleCnt="0"/>
      <dgm:spPr/>
    </dgm:pt>
    <dgm:pt modelId="{62AEB5D0-672F-4349-997C-80B474467A30}" type="pres">
      <dgm:prSet presAssocID="{51819672-E1A0-427F-B547-9961EDC661CC}" presName="parentTextArrow" presStyleLbl="node1" presStyleIdx="1" presStyleCnt="3"/>
      <dgm:spPr/>
    </dgm:pt>
    <dgm:pt modelId="{BF870464-B5C4-443C-9EBE-6A1A89471124}" type="pres">
      <dgm:prSet presAssocID="{51819672-E1A0-427F-B547-9961EDC661CC}" presName="arrow" presStyleLbl="node1" presStyleIdx="2" presStyleCnt="3" custScaleY="145461" custLinFactNeighborY="9227"/>
      <dgm:spPr/>
    </dgm:pt>
    <dgm:pt modelId="{0819E2BE-40C7-49F3-90F9-E8B35FB485C3}" type="pres">
      <dgm:prSet presAssocID="{51819672-E1A0-427F-B547-9961EDC661CC}" presName="descendantArrow" presStyleCnt="0"/>
      <dgm:spPr/>
    </dgm:pt>
    <dgm:pt modelId="{81630C3C-6122-4461-8CA6-59E0E88792D4}" type="pres">
      <dgm:prSet presAssocID="{C8C1DF4E-3BDA-46DF-B892-A387E5C7AFE3}" presName="childTextArrow" presStyleLbl="fgAccFollowNode1" presStyleIdx="3" presStyleCnt="6" custScaleY="212269" custLinFactNeighborY="31176">
        <dgm:presLayoutVars>
          <dgm:bulletEnabled val="1"/>
        </dgm:presLayoutVars>
      </dgm:prSet>
      <dgm:spPr/>
    </dgm:pt>
    <dgm:pt modelId="{BCD9483D-E2DF-413F-B67A-64047356B64D}" type="pres">
      <dgm:prSet presAssocID="{37DB3A98-E14E-442F-9C71-D3333E75D790}" presName="childTextArrow" presStyleLbl="fgAccFollowNode1" presStyleIdx="4" presStyleCnt="6" custScaleX="97091" custScaleY="212269" custLinFactNeighborY="31176">
        <dgm:presLayoutVars>
          <dgm:bulletEnabled val="1"/>
        </dgm:presLayoutVars>
      </dgm:prSet>
      <dgm:spPr/>
    </dgm:pt>
    <dgm:pt modelId="{09406AE4-EEB8-49C8-A6F8-DD5DC674AC38}" type="pres">
      <dgm:prSet presAssocID="{A261A9CA-4A67-46B4-AA4A-6239BBC71112}" presName="childTextArrow" presStyleLbl="fgAccFollowNode1" presStyleIdx="5" presStyleCnt="6" custScaleX="95973" custScaleY="212269" custLinFactNeighborY="31176">
        <dgm:presLayoutVars>
          <dgm:bulletEnabled val="1"/>
        </dgm:presLayoutVars>
      </dgm:prSet>
      <dgm:spPr/>
    </dgm:pt>
  </dgm:ptLst>
  <dgm:cxnLst>
    <dgm:cxn modelId="{25727E00-2E1C-4C3C-A315-09356803139C}" type="presOf" srcId="{43DE9965-2078-4B9D-AA41-87C2CA03182C}" destId="{F8F11068-6026-4F8F-994F-B91C938291F7}" srcOrd="0" destOrd="0" presId="urn:microsoft.com/office/officeart/2005/8/layout/process4"/>
    <dgm:cxn modelId="{FAA7330A-8564-4D1C-BF2F-B52048E52E15}" srcId="{D2BFE50A-D0A3-435C-8B34-A1259ABE7348}" destId="{A00FCD26-F8F3-41E7-9C78-8871B7194C33}" srcOrd="1" destOrd="0" parTransId="{CB3BE6A6-274F-4C6B-9B83-6E268D87132F}" sibTransId="{4DB975F0-3563-44B0-8A59-A25EC8E06ABA}"/>
    <dgm:cxn modelId="{912EC81F-9328-4382-B7B5-4FFA348F5FF3}" type="presOf" srcId="{A00FCD26-F8F3-41E7-9C78-8871B7194C33}" destId="{2E1E46E0-65A4-4C50-8C79-B79B025977A2}" srcOrd="1" destOrd="0" presId="urn:microsoft.com/office/officeart/2005/8/layout/process4"/>
    <dgm:cxn modelId="{EA1C912F-C574-4F4D-9892-34326878F74F}" type="presOf" srcId="{642A8D27-FD56-4F56-B428-F63C0B348A61}" destId="{C9EC5DB8-FDEA-4819-A9FF-9B16F8064DD9}" srcOrd="0" destOrd="0" presId="urn:microsoft.com/office/officeart/2005/8/layout/process4"/>
    <dgm:cxn modelId="{ECA2ED34-A0EB-4250-AD46-34A32AC45F3E}" srcId="{51819672-E1A0-427F-B547-9961EDC661CC}" destId="{C8C1DF4E-3BDA-46DF-B892-A387E5C7AFE3}" srcOrd="0" destOrd="0" parTransId="{A0A8AB71-E3AF-47FE-A700-4BE666ED7F42}" sibTransId="{2C42FC06-9E6A-43C7-BE2A-ACA8FB317960}"/>
    <dgm:cxn modelId="{E4E9B13F-4685-49A6-AE3F-E9F0472F006B}" type="presOf" srcId="{A261A9CA-4A67-46B4-AA4A-6239BBC71112}" destId="{09406AE4-EEB8-49C8-A6F8-DD5DC674AC38}" srcOrd="0" destOrd="0" presId="urn:microsoft.com/office/officeart/2005/8/layout/process4"/>
    <dgm:cxn modelId="{3B1D2041-A769-4490-A509-300974E907F5}" type="presOf" srcId="{D2BFE50A-D0A3-435C-8B34-A1259ABE7348}" destId="{9B1E680F-0B69-447D-AC09-12EEC774903D}" srcOrd="0" destOrd="0" presId="urn:microsoft.com/office/officeart/2005/8/layout/process4"/>
    <dgm:cxn modelId="{E4B85344-F8B0-4962-B645-632EB15B5C71}" type="presOf" srcId="{37DB3A98-E14E-442F-9C71-D3333E75D790}" destId="{BCD9483D-E2DF-413F-B67A-64047356B64D}" srcOrd="0" destOrd="0" presId="urn:microsoft.com/office/officeart/2005/8/layout/process4"/>
    <dgm:cxn modelId="{3796BE66-5A12-44BA-8634-9F713ACC86DB}" srcId="{A00FCD26-F8F3-41E7-9C78-8871B7194C33}" destId="{E08700AD-2877-487A-AFDD-21B15D015AD5}" srcOrd="0" destOrd="0" parTransId="{E0ADAA37-E8B0-42C1-AC1E-0BABF194336E}" sibTransId="{BA0FC800-8D60-4337-B1A9-6EC052655B46}"/>
    <dgm:cxn modelId="{281BD855-8337-4CF5-83F1-8070BAA7DBBF}" srcId="{D2BFE50A-D0A3-435C-8B34-A1259ABE7348}" destId="{51819672-E1A0-427F-B547-9961EDC661CC}" srcOrd="0" destOrd="0" parTransId="{12B45F86-5872-466C-950A-3863814BCE11}" sibTransId="{61030E9A-8071-4E25-A8BC-CA434C2C7D2A}"/>
    <dgm:cxn modelId="{C065FF58-82D9-4DA4-AA93-FCB617C7197B}" srcId="{642A8D27-FD56-4F56-B428-F63C0B348A61}" destId="{0260AEE2-5F2C-4AF6-81EC-26F87193DB5D}" srcOrd="1" destOrd="0" parTransId="{F5EAE237-AB92-4E58-8915-04641DF237BD}" sibTransId="{20F94266-51D4-41C8-AF94-1D183A29F2B8}"/>
    <dgm:cxn modelId="{4112DE89-8373-49C3-BC20-9450F79FE4DB}" srcId="{642A8D27-FD56-4F56-B428-F63C0B348A61}" destId="{43DE9965-2078-4B9D-AA41-87C2CA03182C}" srcOrd="0" destOrd="0" parTransId="{00E90409-4543-40B7-9FA1-CB2348211EC2}" sibTransId="{8F3D0299-8C82-4BCC-952D-D2E5622F7109}"/>
    <dgm:cxn modelId="{A0B6848C-72A7-4D33-B151-4079BECE6795}" srcId="{D2BFE50A-D0A3-435C-8B34-A1259ABE7348}" destId="{642A8D27-FD56-4F56-B428-F63C0B348A61}" srcOrd="2" destOrd="0" parTransId="{48117CFB-0775-4064-9E68-B18C46AC7FFC}" sibTransId="{E6696268-8393-43D5-AE03-C25C5DBBBC6B}"/>
    <dgm:cxn modelId="{033B0292-25AA-4DFA-948E-5A210F3B26B0}" type="presOf" srcId="{642A8D27-FD56-4F56-B428-F63C0B348A61}" destId="{F9EBC674-7B96-4846-8428-89B6BB0940C5}" srcOrd="1" destOrd="0" presId="urn:microsoft.com/office/officeart/2005/8/layout/process4"/>
    <dgm:cxn modelId="{CBF87C9F-E249-419D-9917-042DF8C1167E}" type="presOf" srcId="{51819672-E1A0-427F-B547-9961EDC661CC}" destId="{BF870464-B5C4-443C-9EBE-6A1A89471124}" srcOrd="1" destOrd="0" presId="urn:microsoft.com/office/officeart/2005/8/layout/process4"/>
    <dgm:cxn modelId="{AFAF0CA0-D87E-4606-A462-2B1D40E15871}" type="presOf" srcId="{51819672-E1A0-427F-B547-9961EDC661CC}" destId="{62AEB5D0-672F-4349-997C-80B474467A30}" srcOrd="0" destOrd="0" presId="urn:microsoft.com/office/officeart/2005/8/layout/process4"/>
    <dgm:cxn modelId="{91F3FAA1-EB20-4639-840F-6D4A00FC33F2}" type="presOf" srcId="{A00FCD26-F8F3-41E7-9C78-8871B7194C33}" destId="{0757F875-4F2D-4672-9CED-1583DD481E74}" srcOrd="0" destOrd="0" presId="urn:microsoft.com/office/officeart/2005/8/layout/process4"/>
    <dgm:cxn modelId="{DF6DF3B4-F80B-4A0F-9381-A611118C8CDC}" srcId="{51819672-E1A0-427F-B547-9961EDC661CC}" destId="{37DB3A98-E14E-442F-9C71-D3333E75D790}" srcOrd="1" destOrd="0" parTransId="{E3C6B634-F535-4811-81E4-CF25E35ED1E2}" sibTransId="{831A428F-A8A3-4AF0-A5C4-579C363077D5}"/>
    <dgm:cxn modelId="{E41A16DE-FDAF-4245-9DD6-42DE08BD673F}" type="presOf" srcId="{0260AEE2-5F2C-4AF6-81EC-26F87193DB5D}" destId="{A49F7A84-471C-4FDA-A48A-700358EE9AC8}" srcOrd="0" destOrd="0" presId="urn:microsoft.com/office/officeart/2005/8/layout/process4"/>
    <dgm:cxn modelId="{883D2CE2-C370-4B1A-8D32-DB9D46C45E4A}" type="presOf" srcId="{C8C1DF4E-3BDA-46DF-B892-A387E5C7AFE3}" destId="{81630C3C-6122-4461-8CA6-59E0E88792D4}" srcOrd="0" destOrd="0" presId="urn:microsoft.com/office/officeart/2005/8/layout/process4"/>
    <dgm:cxn modelId="{764AB9E2-491F-4A30-88CA-30B96ADD2110}" type="presOf" srcId="{E08700AD-2877-487A-AFDD-21B15D015AD5}" destId="{AE3BEABF-D412-4153-9C42-4B5194C36220}" srcOrd="0" destOrd="0" presId="urn:microsoft.com/office/officeart/2005/8/layout/process4"/>
    <dgm:cxn modelId="{3770CAFA-0355-48AE-A5FA-685632838830}" srcId="{51819672-E1A0-427F-B547-9961EDC661CC}" destId="{A261A9CA-4A67-46B4-AA4A-6239BBC71112}" srcOrd="2" destOrd="0" parTransId="{5277A361-07BA-439E-8677-E1CA83870750}" sibTransId="{40E06C77-8E51-43A4-B67F-31783391236C}"/>
    <dgm:cxn modelId="{76BBC870-9B55-451F-9528-8E280F5213C1}" type="presParOf" srcId="{9B1E680F-0B69-447D-AC09-12EEC774903D}" destId="{E89F56B9-28C8-4396-AFDF-050AE82CA229}" srcOrd="0" destOrd="0" presId="urn:microsoft.com/office/officeart/2005/8/layout/process4"/>
    <dgm:cxn modelId="{181205B9-82CD-4F8C-9919-814012B2DB50}" type="presParOf" srcId="{E89F56B9-28C8-4396-AFDF-050AE82CA229}" destId="{C9EC5DB8-FDEA-4819-A9FF-9B16F8064DD9}" srcOrd="0" destOrd="0" presId="urn:microsoft.com/office/officeart/2005/8/layout/process4"/>
    <dgm:cxn modelId="{5BBAAD2B-5C48-46D2-B7F3-D0CE9C62DB6B}" type="presParOf" srcId="{E89F56B9-28C8-4396-AFDF-050AE82CA229}" destId="{F9EBC674-7B96-4846-8428-89B6BB0940C5}" srcOrd="1" destOrd="0" presId="urn:microsoft.com/office/officeart/2005/8/layout/process4"/>
    <dgm:cxn modelId="{ABF38E35-2046-45E6-9B45-02FE4085F7BD}" type="presParOf" srcId="{E89F56B9-28C8-4396-AFDF-050AE82CA229}" destId="{56898672-7A39-4F08-8666-15A9FC834EDD}" srcOrd="2" destOrd="0" presId="urn:microsoft.com/office/officeart/2005/8/layout/process4"/>
    <dgm:cxn modelId="{8EDC6571-9909-4184-A695-33AC25B451A9}" type="presParOf" srcId="{56898672-7A39-4F08-8666-15A9FC834EDD}" destId="{F8F11068-6026-4F8F-994F-B91C938291F7}" srcOrd="0" destOrd="0" presId="urn:microsoft.com/office/officeart/2005/8/layout/process4"/>
    <dgm:cxn modelId="{9C3FB38C-0C52-456A-8E5B-FAEC607AF991}" type="presParOf" srcId="{56898672-7A39-4F08-8666-15A9FC834EDD}" destId="{A49F7A84-471C-4FDA-A48A-700358EE9AC8}" srcOrd="1" destOrd="0" presId="urn:microsoft.com/office/officeart/2005/8/layout/process4"/>
    <dgm:cxn modelId="{AC7A3510-3D0F-4DE2-8E76-6CD9762D1217}" type="presParOf" srcId="{9B1E680F-0B69-447D-AC09-12EEC774903D}" destId="{155CC145-D919-4D9E-AD3A-D4CFFEBBA345}" srcOrd="1" destOrd="0" presId="urn:microsoft.com/office/officeart/2005/8/layout/process4"/>
    <dgm:cxn modelId="{C92F1B36-FBDA-4D65-AEAA-A2EF43A8C9B3}" type="presParOf" srcId="{9B1E680F-0B69-447D-AC09-12EEC774903D}" destId="{41BAAB0C-7635-47A1-A95B-BCBE046A254C}" srcOrd="2" destOrd="0" presId="urn:microsoft.com/office/officeart/2005/8/layout/process4"/>
    <dgm:cxn modelId="{1B5C0751-05CB-4C16-88C1-FE244F8820F4}" type="presParOf" srcId="{41BAAB0C-7635-47A1-A95B-BCBE046A254C}" destId="{0757F875-4F2D-4672-9CED-1583DD481E74}" srcOrd="0" destOrd="0" presId="urn:microsoft.com/office/officeart/2005/8/layout/process4"/>
    <dgm:cxn modelId="{7C47FED6-000E-4FE3-9C39-009717BAF544}" type="presParOf" srcId="{41BAAB0C-7635-47A1-A95B-BCBE046A254C}" destId="{2E1E46E0-65A4-4C50-8C79-B79B025977A2}" srcOrd="1" destOrd="0" presId="urn:microsoft.com/office/officeart/2005/8/layout/process4"/>
    <dgm:cxn modelId="{3C9B0F52-2C59-4FBC-A7B7-649C47C89246}" type="presParOf" srcId="{41BAAB0C-7635-47A1-A95B-BCBE046A254C}" destId="{3D563A51-5A2D-4EBF-B3C1-7B1553C8A37F}" srcOrd="2" destOrd="0" presId="urn:microsoft.com/office/officeart/2005/8/layout/process4"/>
    <dgm:cxn modelId="{93E8A38F-63EB-48FF-B09A-82F660D57C0B}" type="presParOf" srcId="{3D563A51-5A2D-4EBF-B3C1-7B1553C8A37F}" destId="{AE3BEABF-D412-4153-9C42-4B5194C36220}" srcOrd="0" destOrd="0" presId="urn:microsoft.com/office/officeart/2005/8/layout/process4"/>
    <dgm:cxn modelId="{2B65022D-A7B3-4282-AFD0-3DAA48CB4CDF}" type="presParOf" srcId="{9B1E680F-0B69-447D-AC09-12EEC774903D}" destId="{60F252A6-F19C-4BFE-8D21-A65B1536EBB4}" srcOrd="3" destOrd="0" presId="urn:microsoft.com/office/officeart/2005/8/layout/process4"/>
    <dgm:cxn modelId="{9B08E146-1B8E-4761-83AF-58700C1028AF}" type="presParOf" srcId="{9B1E680F-0B69-447D-AC09-12EEC774903D}" destId="{61B22D91-8EBF-49D1-97E1-69274938686C}" srcOrd="4" destOrd="0" presId="urn:microsoft.com/office/officeart/2005/8/layout/process4"/>
    <dgm:cxn modelId="{73AF5F83-590F-4711-B7B6-306597D0A15E}" type="presParOf" srcId="{61B22D91-8EBF-49D1-97E1-69274938686C}" destId="{62AEB5D0-672F-4349-997C-80B474467A30}" srcOrd="0" destOrd="0" presId="urn:microsoft.com/office/officeart/2005/8/layout/process4"/>
    <dgm:cxn modelId="{5D1DCB46-320F-409A-ADE9-689ECD7ECEFE}" type="presParOf" srcId="{61B22D91-8EBF-49D1-97E1-69274938686C}" destId="{BF870464-B5C4-443C-9EBE-6A1A89471124}" srcOrd="1" destOrd="0" presId="urn:microsoft.com/office/officeart/2005/8/layout/process4"/>
    <dgm:cxn modelId="{429ECEA2-2BFA-49BF-87D7-0D9D4E9DA236}" type="presParOf" srcId="{61B22D91-8EBF-49D1-97E1-69274938686C}" destId="{0819E2BE-40C7-49F3-90F9-E8B35FB485C3}" srcOrd="2" destOrd="0" presId="urn:microsoft.com/office/officeart/2005/8/layout/process4"/>
    <dgm:cxn modelId="{7E585AD7-A265-463E-A2BB-BE6FA329AC42}" type="presParOf" srcId="{0819E2BE-40C7-49F3-90F9-E8B35FB485C3}" destId="{81630C3C-6122-4461-8CA6-59E0E88792D4}" srcOrd="0" destOrd="0" presId="urn:microsoft.com/office/officeart/2005/8/layout/process4"/>
    <dgm:cxn modelId="{846C2B4B-1EC5-4FF4-A63D-A1B78AD33B9A}" type="presParOf" srcId="{0819E2BE-40C7-49F3-90F9-E8B35FB485C3}" destId="{BCD9483D-E2DF-413F-B67A-64047356B64D}" srcOrd="1" destOrd="0" presId="urn:microsoft.com/office/officeart/2005/8/layout/process4"/>
    <dgm:cxn modelId="{95B3D113-E1B7-43CB-8EED-76F5FCEA1A25}" type="presParOf" srcId="{0819E2BE-40C7-49F3-90F9-E8B35FB485C3}" destId="{09406AE4-EEB8-49C8-A6F8-DD5DC674AC38}" srcOrd="2"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FE50A-D0A3-435C-8B34-A1259ABE734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s-CO"/>
        </a:p>
      </dgm:t>
    </dgm:pt>
    <dgm:pt modelId="{642A8D27-FD56-4F56-B428-F63C0B348A61}">
      <dgm:prSet phldrT="[Texto]" custT="1"/>
      <dgm:spPr/>
      <dgm:t>
        <a:bodyPr/>
        <a:lstStyle/>
        <a:p>
          <a:r>
            <a:rPr lang="es-CO" sz="900" b="0">
              <a:latin typeface="Helvetica" panose="020B0604020202020204" pitchFamily="34" charset="0"/>
              <a:cs typeface="Helvetica" panose="020B0604020202020204" pitchFamily="34" charset="0"/>
            </a:rPr>
            <a:t>Efectos directos</a:t>
          </a:r>
        </a:p>
      </dgm:t>
    </dgm:pt>
    <dgm:pt modelId="{48117CFB-0775-4064-9E68-B18C46AC7FFC}" type="parTrans" cxnId="{A0B6848C-72A7-4D33-B151-4079BECE6795}">
      <dgm:prSet/>
      <dgm:spPr/>
      <dgm:t>
        <a:bodyPr/>
        <a:lstStyle/>
        <a:p>
          <a:endParaRPr lang="es-CO" sz="900">
            <a:latin typeface="Helvetica" panose="020B0604020202020204" pitchFamily="34" charset="0"/>
            <a:cs typeface="Helvetica" panose="020B0604020202020204" pitchFamily="34" charset="0"/>
          </a:endParaRPr>
        </a:p>
      </dgm:t>
    </dgm:pt>
    <dgm:pt modelId="{E6696268-8393-43D5-AE03-C25C5DBBBC6B}" type="sibTrans" cxnId="{A0B6848C-72A7-4D33-B151-4079BECE6795}">
      <dgm:prSet/>
      <dgm:spPr/>
      <dgm:t>
        <a:bodyPr/>
        <a:lstStyle/>
        <a:p>
          <a:endParaRPr lang="es-CO" sz="900">
            <a:latin typeface="Helvetica" panose="020B0604020202020204" pitchFamily="34" charset="0"/>
            <a:cs typeface="Helvetica" panose="020B0604020202020204" pitchFamily="34" charset="0"/>
          </a:endParaRPr>
        </a:p>
      </dgm:t>
    </dgm:pt>
    <dgm:pt modelId="{A00FCD26-F8F3-41E7-9C78-8871B7194C33}">
      <dgm:prSet phldrT="[Texto]" custT="1"/>
      <dgm:spPr/>
      <dgm:t>
        <a:bodyPr/>
        <a:lstStyle/>
        <a:p>
          <a:r>
            <a:rPr lang="es-ES_tradnl" sz="900">
              <a:latin typeface="Helvetica" panose="020B0604020202020204" pitchFamily="34" charset="0"/>
              <a:cs typeface="Helvetica" panose="020B0604020202020204" pitchFamily="34" charset="0"/>
            </a:rPr>
            <a:t>La normatividad aplicable a la refinación, importación y distribución no se ajusta al contexto actual del mercado.</a:t>
          </a:r>
          <a:endParaRPr lang="es-CO" sz="900">
            <a:latin typeface="Helvetica" panose="020B0604020202020204" pitchFamily="34" charset="0"/>
            <a:cs typeface="Helvetica" panose="020B0604020202020204" pitchFamily="34" charset="0"/>
          </a:endParaRPr>
        </a:p>
      </dgm:t>
    </dgm:pt>
    <dgm:pt modelId="{CB3BE6A6-274F-4C6B-9B83-6E268D87132F}" type="parTrans" cxnId="{FAA7330A-8564-4D1C-BF2F-B52048E52E15}">
      <dgm:prSet/>
      <dgm:spPr/>
      <dgm:t>
        <a:bodyPr/>
        <a:lstStyle/>
        <a:p>
          <a:endParaRPr lang="es-CO" sz="900">
            <a:latin typeface="Helvetica" panose="020B0604020202020204" pitchFamily="34" charset="0"/>
            <a:cs typeface="Helvetica" panose="020B0604020202020204" pitchFamily="34" charset="0"/>
          </a:endParaRPr>
        </a:p>
      </dgm:t>
    </dgm:pt>
    <dgm:pt modelId="{4DB975F0-3563-44B0-8A59-A25EC8E06ABA}" type="sibTrans" cxnId="{FAA7330A-8564-4D1C-BF2F-B52048E52E15}">
      <dgm:prSet/>
      <dgm:spPr/>
      <dgm:t>
        <a:bodyPr/>
        <a:lstStyle/>
        <a:p>
          <a:endParaRPr lang="es-CO" sz="900">
            <a:latin typeface="Helvetica" panose="020B0604020202020204" pitchFamily="34" charset="0"/>
            <a:cs typeface="Helvetica" panose="020B0604020202020204" pitchFamily="34" charset="0"/>
          </a:endParaRPr>
        </a:p>
      </dgm:t>
    </dgm:pt>
    <dgm:pt modelId="{E08700AD-2877-487A-AFDD-21B15D015AD5}">
      <dgm:prSet phldrT="[Texto]" custT="1"/>
      <dgm:spPr/>
      <dgm:t>
        <a:bodyPr/>
        <a:lstStyle/>
        <a:p>
          <a:pPr>
            <a:buFont typeface="+mj-lt"/>
            <a:buAutoNum type="arabicPeriod"/>
          </a:pPr>
          <a:r>
            <a:rPr lang="es-CO" sz="900" b="0" kern="1200" dirty="0">
              <a:latin typeface="Helvetica" panose="020B0604020202020204" pitchFamily="34" charset="0"/>
              <a:cs typeface="Helvetica" panose="020B0604020202020204" pitchFamily="34" charset="0"/>
            </a:rPr>
            <a:t>Ausencia de claridad en la norma para desarrollar la actividad de importación de Jet.</a:t>
          </a:r>
          <a:endParaRPr lang="es-CO" sz="900" b="1" kern="1200" dirty="0">
            <a:solidFill>
              <a:prstClr val="black">
                <a:hueOff val="0"/>
                <a:satOff val="0"/>
                <a:lumOff val="0"/>
                <a:alphaOff val="0"/>
              </a:prstClr>
            </a:solidFill>
            <a:latin typeface="Helvetica" panose="020B0604020202020204" pitchFamily="34" charset="0"/>
            <a:ea typeface="+mn-ea"/>
            <a:cs typeface="Helvetica" panose="020B0604020202020204" pitchFamily="34" charset="0"/>
          </a:endParaRPr>
        </a:p>
      </dgm:t>
    </dgm:pt>
    <dgm:pt modelId="{E0ADAA37-E8B0-42C1-AC1E-0BABF194336E}" type="parTrans" cxnId="{3796BE66-5A12-44BA-8634-9F713ACC86DB}">
      <dgm:prSet/>
      <dgm:spPr/>
      <dgm:t>
        <a:bodyPr/>
        <a:lstStyle/>
        <a:p>
          <a:endParaRPr lang="es-CO" sz="900">
            <a:latin typeface="Helvetica" panose="020B0604020202020204" pitchFamily="34" charset="0"/>
            <a:cs typeface="Helvetica" panose="020B0604020202020204" pitchFamily="34" charset="0"/>
          </a:endParaRPr>
        </a:p>
      </dgm:t>
    </dgm:pt>
    <dgm:pt modelId="{BA0FC800-8D60-4337-B1A9-6EC052655B46}" type="sibTrans" cxnId="{3796BE66-5A12-44BA-8634-9F713ACC86DB}">
      <dgm:prSet/>
      <dgm:spPr/>
      <dgm:t>
        <a:bodyPr/>
        <a:lstStyle/>
        <a:p>
          <a:endParaRPr lang="es-CO" sz="900">
            <a:latin typeface="Helvetica" panose="020B0604020202020204" pitchFamily="34" charset="0"/>
            <a:cs typeface="Helvetica" panose="020B0604020202020204" pitchFamily="34" charset="0"/>
          </a:endParaRPr>
        </a:p>
      </dgm:t>
    </dgm:pt>
    <dgm:pt modelId="{51819672-E1A0-427F-B547-9961EDC661CC}">
      <dgm:prSet phldrT="[Texto]" custT="1"/>
      <dgm:spPr/>
      <dgm:t>
        <a:bodyPr/>
        <a:lstStyle/>
        <a:p>
          <a:r>
            <a:rPr lang="es-CO" sz="900" b="1">
              <a:latin typeface="Helvetica" panose="020B0604020202020204" pitchFamily="34" charset="0"/>
              <a:cs typeface="Helvetica" panose="020B0604020202020204" pitchFamily="34" charset="0"/>
            </a:rPr>
            <a:t>Causas</a:t>
          </a:r>
        </a:p>
      </dgm:t>
    </dgm:pt>
    <dgm:pt modelId="{12B45F86-5872-466C-950A-3863814BCE11}" type="parTrans" cxnId="{281BD855-8337-4CF5-83F1-8070BAA7DBBF}">
      <dgm:prSet/>
      <dgm:spPr/>
      <dgm:t>
        <a:bodyPr/>
        <a:lstStyle/>
        <a:p>
          <a:endParaRPr lang="es-CO" sz="900">
            <a:latin typeface="Helvetica" panose="020B0604020202020204" pitchFamily="34" charset="0"/>
            <a:cs typeface="Helvetica" panose="020B0604020202020204" pitchFamily="34" charset="0"/>
          </a:endParaRPr>
        </a:p>
      </dgm:t>
    </dgm:pt>
    <dgm:pt modelId="{61030E9A-8071-4E25-A8BC-CA434C2C7D2A}" type="sibTrans" cxnId="{281BD855-8337-4CF5-83F1-8070BAA7DBBF}">
      <dgm:prSet/>
      <dgm:spPr/>
      <dgm:t>
        <a:bodyPr/>
        <a:lstStyle/>
        <a:p>
          <a:endParaRPr lang="es-CO" sz="900">
            <a:latin typeface="Helvetica" panose="020B0604020202020204" pitchFamily="34" charset="0"/>
            <a:cs typeface="Helvetica" panose="020B0604020202020204" pitchFamily="34" charset="0"/>
          </a:endParaRPr>
        </a:p>
      </dgm:t>
    </dgm:pt>
    <dgm:pt modelId="{AD457AEC-D67F-4BD1-ABED-E55E55336EF2}">
      <dgm:prSet phldrT="[Texto]" custT="1"/>
      <dgm:spPr>
        <a:solidFill>
          <a:schemeClr val="tx2">
            <a:lumMod val="20000"/>
            <a:lumOff val="80000"/>
          </a:schemeClr>
        </a:solidFill>
      </dgm:spPr>
      <dgm:t>
        <a:bodyPr/>
        <a:lstStyle/>
        <a:p>
          <a:r>
            <a:rPr lang="es-MX" sz="900">
              <a:solidFill>
                <a:schemeClr val="tx1"/>
              </a:solidFill>
              <a:latin typeface="Helvetica" panose="020B0604020202020204" pitchFamily="34" charset="0"/>
              <a:cs typeface="Helvetica" panose="020B0604020202020204" pitchFamily="34" charset="0"/>
            </a:rPr>
            <a:t>Posible traslado de costos ineficientes a los usuarios finales.</a:t>
          </a:r>
          <a:endParaRPr lang="es-CO" sz="900" b="0">
            <a:latin typeface="Helvetica" panose="020B0604020202020204" pitchFamily="34" charset="0"/>
            <a:cs typeface="Helvetica" panose="020B0604020202020204" pitchFamily="34" charset="0"/>
          </a:endParaRPr>
        </a:p>
      </dgm:t>
    </dgm:pt>
    <dgm:pt modelId="{0E59ABC2-EFD5-485F-AAA1-F87F7B54D840}" type="parTrans" cxnId="{1D5FF9FA-443E-4BDC-9D07-3144421956E1}">
      <dgm:prSet/>
      <dgm:spPr/>
      <dgm:t>
        <a:bodyPr/>
        <a:lstStyle/>
        <a:p>
          <a:endParaRPr lang="es-CO" sz="900">
            <a:latin typeface="Helvetica" panose="020B0604020202020204" pitchFamily="34" charset="0"/>
            <a:cs typeface="Helvetica" panose="020B0604020202020204" pitchFamily="34" charset="0"/>
          </a:endParaRPr>
        </a:p>
      </dgm:t>
    </dgm:pt>
    <dgm:pt modelId="{84A114B8-FBEC-4701-B092-7FF570301BD4}" type="sibTrans" cxnId="{1D5FF9FA-443E-4BDC-9D07-3144421956E1}">
      <dgm:prSet/>
      <dgm:spPr/>
      <dgm:t>
        <a:bodyPr/>
        <a:lstStyle/>
        <a:p>
          <a:endParaRPr lang="es-CO" sz="900">
            <a:latin typeface="Helvetica" panose="020B0604020202020204" pitchFamily="34" charset="0"/>
            <a:cs typeface="Helvetica" panose="020B0604020202020204" pitchFamily="34" charset="0"/>
          </a:endParaRPr>
        </a:p>
      </dgm:t>
    </dgm:pt>
    <dgm:pt modelId="{B1CF1EE3-CAE7-4E40-A9D0-030A422955B8}">
      <dgm:prSet phldrT="[Texto]" custT="1"/>
      <dgm:spPr/>
      <dgm:t>
        <a:bodyPr/>
        <a:lstStyle/>
        <a:p>
          <a:r>
            <a:rPr lang="es-CO" sz="900" b="1">
              <a:latin typeface="Helvetica" panose="020B0604020202020204" pitchFamily="34" charset="0"/>
              <a:cs typeface="Helvetica" panose="020B0604020202020204" pitchFamily="34" charset="0"/>
            </a:rPr>
            <a:t>Problema</a:t>
          </a:r>
        </a:p>
      </dgm:t>
    </dgm:pt>
    <dgm:pt modelId="{959ED615-D38F-4FD5-93F1-C9B672700A18}" type="parTrans" cxnId="{B55F8898-FF4A-4304-B959-3697AA084227}">
      <dgm:prSet/>
      <dgm:spPr/>
      <dgm:t>
        <a:bodyPr/>
        <a:lstStyle/>
        <a:p>
          <a:endParaRPr lang="es-CO" sz="900">
            <a:latin typeface="Helvetica" panose="020B0604020202020204" pitchFamily="34" charset="0"/>
            <a:cs typeface="Helvetica" panose="020B0604020202020204" pitchFamily="34" charset="0"/>
          </a:endParaRPr>
        </a:p>
      </dgm:t>
    </dgm:pt>
    <dgm:pt modelId="{46DA5490-4FF7-4758-9683-445100C1A8DE}" type="sibTrans" cxnId="{B55F8898-FF4A-4304-B959-3697AA084227}">
      <dgm:prSet/>
      <dgm:spPr/>
      <dgm:t>
        <a:bodyPr/>
        <a:lstStyle/>
        <a:p>
          <a:endParaRPr lang="es-CO" sz="900">
            <a:latin typeface="Helvetica" panose="020B0604020202020204" pitchFamily="34" charset="0"/>
            <a:cs typeface="Helvetica" panose="020B0604020202020204" pitchFamily="34" charset="0"/>
          </a:endParaRPr>
        </a:p>
      </dgm:t>
    </dgm:pt>
    <dgm:pt modelId="{AE51032E-02A0-4105-9608-C644D6F9E6E3}">
      <dgm:prSet phldrT="[Texto]" custT="1"/>
      <dgm:spPr/>
      <dgm:t>
        <a:bodyPr/>
        <a:lstStyle/>
        <a:p>
          <a:r>
            <a:rPr lang="es-CO" sz="900">
              <a:latin typeface="Helvetica" panose="020B0604020202020204" pitchFamily="34" charset="0"/>
              <a:cs typeface="Helvetica" panose="020B0604020202020204" pitchFamily="34" charset="0"/>
            </a:rPr>
            <a:t>Refinador puede importar por condiciones de abastecimiento y trasladar costos al precio de venta al DM </a:t>
          </a:r>
        </a:p>
      </dgm:t>
    </dgm:pt>
    <dgm:pt modelId="{E2DD037C-4F23-46FE-88A4-38AAF739EEE9}" type="sibTrans" cxnId="{BE79DE42-07BE-461F-B71D-4D41A4E2B0CE}">
      <dgm:prSet/>
      <dgm:spPr/>
      <dgm:t>
        <a:bodyPr/>
        <a:lstStyle/>
        <a:p>
          <a:endParaRPr lang="es-CO" sz="900">
            <a:latin typeface="Helvetica" panose="020B0604020202020204" pitchFamily="34" charset="0"/>
            <a:cs typeface="Helvetica" panose="020B0604020202020204" pitchFamily="34" charset="0"/>
          </a:endParaRPr>
        </a:p>
      </dgm:t>
    </dgm:pt>
    <dgm:pt modelId="{2CD0E476-ED2B-42D1-9FF1-A072340FA895}" type="parTrans" cxnId="{BE79DE42-07BE-461F-B71D-4D41A4E2B0CE}">
      <dgm:prSet/>
      <dgm:spPr/>
      <dgm:t>
        <a:bodyPr/>
        <a:lstStyle/>
        <a:p>
          <a:endParaRPr lang="es-CO" sz="900">
            <a:latin typeface="Helvetica" panose="020B0604020202020204" pitchFamily="34" charset="0"/>
            <a:cs typeface="Helvetica" panose="020B0604020202020204" pitchFamily="34" charset="0"/>
          </a:endParaRPr>
        </a:p>
      </dgm:t>
    </dgm:pt>
    <dgm:pt modelId="{34B2FCED-922F-47B0-B7EF-D3D91120B58B}">
      <dgm:prSet phldrT="[Texto]" custT="1"/>
      <dgm:spPr/>
      <dgm:t>
        <a:bodyPr/>
        <a:lstStyle/>
        <a:p>
          <a:r>
            <a:rPr lang="es-CO" sz="900">
              <a:latin typeface="Helvetica" panose="020B0604020202020204" pitchFamily="34" charset="0"/>
              <a:cs typeface="Helvetica" panose="020B0604020202020204" pitchFamily="34" charset="0"/>
            </a:rPr>
            <a:t>Poder de mercado en el suministro de Jet (producción-importación).</a:t>
          </a:r>
          <a:endParaRPr lang="es-CO" sz="900" b="0">
            <a:latin typeface="Helvetica" panose="020B0604020202020204" pitchFamily="34" charset="0"/>
            <a:cs typeface="Helvetica" panose="020B0604020202020204" pitchFamily="34" charset="0"/>
          </a:endParaRPr>
        </a:p>
      </dgm:t>
    </dgm:pt>
    <dgm:pt modelId="{5853182B-4D51-46BE-AB4F-3EA781AF8046}" type="parTrans" cxnId="{7EB7EBED-95FA-4D6C-951F-C0816F6F8074}">
      <dgm:prSet/>
      <dgm:spPr/>
      <dgm:t>
        <a:bodyPr/>
        <a:lstStyle/>
        <a:p>
          <a:endParaRPr lang="es-CO" sz="900">
            <a:latin typeface="Helvetica" panose="020B0604020202020204" pitchFamily="34" charset="0"/>
            <a:cs typeface="Helvetica" panose="020B0604020202020204" pitchFamily="34" charset="0"/>
          </a:endParaRPr>
        </a:p>
      </dgm:t>
    </dgm:pt>
    <dgm:pt modelId="{A508C396-DA4D-4DA3-B2F2-DEADEF045BC3}" type="sibTrans" cxnId="{7EB7EBED-95FA-4D6C-951F-C0816F6F8074}">
      <dgm:prSet/>
      <dgm:spPr/>
      <dgm:t>
        <a:bodyPr/>
        <a:lstStyle/>
        <a:p>
          <a:endParaRPr lang="es-CO" sz="900">
            <a:latin typeface="Helvetica" panose="020B0604020202020204" pitchFamily="34" charset="0"/>
            <a:cs typeface="Helvetica" panose="020B0604020202020204" pitchFamily="34" charset="0"/>
          </a:endParaRPr>
        </a:p>
      </dgm:t>
    </dgm:pt>
    <dgm:pt modelId="{23ADFE82-796F-4E74-9F0E-8FBBD3C3B59C}" type="pres">
      <dgm:prSet presAssocID="{D2BFE50A-D0A3-435C-8B34-A1259ABE7348}" presName="Name0" presStyleCnt="0">
        <dgm:presLayoutVars>
          <dgm:dir/>
          <dgm:animLvl val="lvl"/>
          <dgm:resizeHandles val="exact"/>
        </dgm:presLayoutVars>
      </dgm:prSet>
      <dgm:spPr/>
    </dgm:pt>
    <dgm:pt modelId="{2AEFA1F4-7818-4922-A89D-0347BD19CDE9}" type="pres">
      <dgm:prSet presAssocID="{642A8D27-FD56-4F56-B428-F63C0B348A61}" presName="boxAndChildren" presStyleCnt="0"/>
      <dgm:spPr/>
    </dgm:pt>
    <dgm:pt modelId="{07413511-0BAF-4D2C-9E66-9621AACD8ABB}" type="pres">
      <dgm:prSet presAssocID="{642A8D27-FD56-4F56-B428-F63C0B348A61}" presName="parentTextBox" presStyleLbl="node1" presStyleIdx="0" presStyleCnt="3"/>
      <dgm:spPr/>
    </dgm:pt>
    <dgm:pt modelId="{8777C843-8087-4BCC-9CA7-DD340B383D23}" type="pres">
      <dgm:prSet presAssocID="{642A8D27-FD56-4F56-B428-F63C0B348A61}" presName="entireBox" presStyleLbl="node1" presStyleIdx="0" presStyleCnt="3"/>
      <dgm:spPr/>
    </dgm:pt>
    <dgm:pt modelId="{8C95A4A8-BA94-4F1B-B2C8-CEFE11705297}" type="pres">
      <dgm:prSet presAssocID="{642A8D27-FD56-4F56-B428-F63C0B348A61}" presName="descendantBox" presStyleCnt="0"/>
      <dgm:spPr/>
    </dgm:pt>
    <dgm:pt modelId="{0A2399F9-9019-4A67-B128-820F22BA7DC6}" type="pres">
      <dgm:prSet presAssocID="{34B2FCED-922F-47B0-B7EF-D3D91120B58B}" presName="childTextBox" presStyleLbl="fgAccFollowNode1" presStyleIdx="0" presStyleCnt="5" custLinFactNeighborY="4700">
        <dgm:presLayoutVars>
          <dgm:bulletEnabled val="1"/>
        </dgm:presLayoutVars>
      </dgm:prSet>
      <dgm:spPr/>
    </dgm:pt>
    <dgm:pt modelId="{EB3E3943-43BF-4C77-ADA5-D76598273484}" type="pres">
      <dgm:prSet presAssocID="{AD457AEC-D67F-4BD1-ABED-E55E55336EF2}" presName="childTextBox" presStyleLbl="fgAccFollowNode1" presStyleIdx="1" presStyleCnt="5" custLinFactNeighborX="486" custLinFactNeighborY="4503">
        <dgm:presLayoutVars>
          <dgm:bulletEnabled val="1"/>
        </dgm:presLayoutVars>
      </dgm:prSet>
      <dgm:spPr/>
    </dgm:pt>
    <dgm:pt modelId="{5FCB5B61-8224-402D-996B-CB952C807208}" type="pres">
      <dgm:prSet presAssocID="{46DA5490-4FF7-4758-9683-445100C1A8DE}" presName="sp" presStyleCnt="0"/>
      <dgm:spPr/>
    </dgm:pt>
    <dgm:pt modelId="{4DB75F9E-A52F-4B94-937B-68B7205BBE73}" type="pres">
      <dgm:prSet presAssocID="{B1CF1EE3-CAE7-4E40-A9D0-030A422955B8}" presName="arrowAndChildren" presStyleCnt="0"/>
      <dgm:spPr/>
    </dgm:pt>
    <dgm:pt modelId="{4FC46BA8-F99F-418C-A61B-7A49C668CB35}" type="pres">
      <dgm:prSet presAssocID="{B1CF1EE3-CAE7-4E40-A9D0-030A422955B8}" presName="parentTextArrow" presStyleLbl="node1" presStyleIdx="0" presStyleCnt="3"/>
      <dgm:spPr/>
    </dgm:pt>
    <dgm:pt modelId="{5CCBEDE5-465E-40CE-945F-00947F54A886}" type="pres">
      <dgm:prSet presAssocID="{B1CF1EE3-CAE7-4E40-A9D0-030A422955B8}" presName="arrow" presStyleLbl="node1" presStyleIdx="1" presStyleCnt="3"/>
      <dgm:spPr/>
    </dgm:pt>
    <dgm:pt modelId="{9A0C2E18-B70D-4C15-B1E5-49CFC4E0418D}" type="pres">
      <dgm:prSet presAssocID="{B1CF1EE3-CAE7-4E40-A9D0-030A422955B8}" presName="descendantArrow" presStyleCnt="0"/>
      <dgm:spPr/>
    </dgm:pt>
    <dgm:pt modelId="{5D1EEA37-D6A7-4C91-A4A8-9C9ACCC71EF5}" type="pres">
      <dgm:prSet presAssocID="{E08700AD-2877-487A-AFDD-21B15D015AD5}" presName="childTextArrow" presStyleLbl="fgAccFollowNode1" presStyleIdx="2" presStyleCnt="5" custLinFactNeighborY="5175">
        <dgm:presLayoutVars>
          <dgm:bulletEnabled val="1"/>
        </dgm:presLayoutVars>
      </dgm:prSet>
      <dgm:spPr/>
    </dgm:pt>
    <dgm:pt modelId="{3E3CFC09-1F43-4B17-98CC-CBBA7EAB7848}" type="pres">
      <dgm:prSet presAssocID="{61030E9A-8071-4E25-A8BC-CA434C2C7D2A}" presName="sp" presStyleCnt="0"/>
      <dgm:spPr/>
    </dgm:pt>
    <dgm:pt modelId="{207E6300-9157-4CEA-BBE1-57904AEBFDF1}" type="pres">
      <dgm:prSet presAssocID="{51819672-E1A0-427F-B547-9961EDC661CC}" presName="arrowAndChildren" presStyleCnt="0"/>
      <dgm:spPr/>
    </dgm:pt>
    <dgm:pt modelId="{A4E43572-6133-41BE-913B-925CCC04A82F}" type="pres">
      <dgm:prSet presAssocID="{51819672-E1A0-427F-B547-9961EDC661CC}" presName="parentTextArrow" presStyleLbl="node1" presStyleIdx="1" presStyleCnt="3"/>
      <dgm:spPr/>
    </dgm:pt>
    <dgm:pt modelId="{6CF99891-C513-4F3E-958E-F0D6389AE4D8}" type="pres">
      <dgm:prSet presAssocID="{51819672-E1A0-427F-B547-9961EDC661CC}" presName="arrow" presStyleLbl="node1" presStyleIdx="2" presStyleCnt="3"/>
      <dgm:spPr/>
    </dgm:pt>
    <dgm:pt modelId="{E0023EBB-015D-4ED7-A16D-A96DDA3CE9A8}" type="pres">
      <dgm:prSet presAssocID="{51819672-E1A0-427F-B547-9961EDC661CC}" presName="descendantArrow" presStyleCnt="0"/>
      <dgm:spPr/>
    </dgm:pt>
    <dgm:pt modelId="{6D6ADA0A-E45D-4CD3-8A73-5DA1A88F81BF}" type="pres">
      <dgm:prSet presAssocID="{A00FCD26-F8F3-41E7-9C78-8871B7194C33}" presName="childTextArrow" presStyleLbl="fgAccFollowNode1" presStyleIdx="3" presStyleCnt="5">
        <dgm:presLayoutVars>
          <dgm:bulletEnabled val="1"/>
        </dgm:presLayoutVars>
      </dgm:prSet>
      <dgm:spPr/>
    </dgm:pt>
    <dgm:pt modelId="{B0952019-EDCC-4555-98CA-93820EE93ED7}" type="pres">
      <dgm:prSet presAssocID="{AE51032E-02A0-4105-9608-C644D6F9E6E3}" presName="childTextArrow" presStyleLbl="fgAccFollowNode1" presStyleIdx="4" presStyleCnt="5">
        <dgm:presLayoutVars>
          <dgm:bulletEnabled val="1"/>
        </dgm:presLayoutVars>
      </dgm:prSet>
      <dgm:spPr/>
    </dgm:pt>
  </dgm:ptLst>
  <dgm:cxnLst>
    <dgm:cxn modelId="{FAA7330A-8564-4D1C-BF2F-B52048E52E15}" srcId="{51819672-E1A0-427F-B547-9961EDC661CC}" destId="{A00FCD26-F8F3-41E7-9C78-8871B7194C33}" srcOrd="0" destOrd="0" parTransId="{CB3BE6A6-274F-4C6B-9B83-6E268D87132F}" sibTransId="{4DB975F0-3563-44B0-8A59-A25EC8E06ABA}"/>
    <dgm:cxn modelId="{9B3E2E23-1D22-41B2-87AC-134B7E07AB01}" type="presOf" srcId="{642A8D27-FD56-4F56-B428-F63C0B348A61}" destId="{07413511-0BAF-4D2C-9E66-9621AACD8ABB}" srcOrd="0" destOrd="0" presId="urn:microsoft.com/office/officeart/2005/8/layout/process4"/>
    <dgm:cxn modelId="{ADA4152E-A1D3-402B-8E28-43FD5D096FFB}" type="presOf" srcId="{AD457AEC-D67F-4BD1-ABED-E55E55336EF2}" destId="{EB3E3943-43BF-4C77-ADA5-D76598273484}" srcOrd="0" destOrd="0" presId="urn:microsoft.com/office/officeart/2005/8/layout/process4"/>
    <dgm:cxn modelId="{5585B642-A560-4ED9-9802-57E941E96785}" type="presOf" srcId="{D2BFE50A-D0A3-435C-8B34-A1259ABE7348}" destId="{23ADFE82-796F-4E74-9F0E-8FBBD3C3B59C}" srcOrd="0" destOrd="0" presId="urn:microsoft.com/office/officeart/2005/8/layout/process4"/>
    <dgm:cxn modelId="{BE79DE42-07BE-461F-B71D-4D41A4E2B0CE}" srcId="{51819672-E1A0-427F-B547-9961EDC661CC}" destId="{AE51032E-02A0-4105-9608-C644D6F9E6E3}" srcOrd="1" destOrd="0" parTransId="{2CD0E476-ED2B-42D1-9FF1-A072340FA895}" sibTransId="{E2DD037C-4F23-46FE-88A4-38AAF739EEE9}"/>
    <dgm:cxn modelId="{3796BE66-5A12-44BA-8634-9F713ACC86DB}" srcId="{B1CF1EE3-CAE7-4E40-A9D0-030A422955B8}" destId="{E08700AD-2877-487A-AFDD-21B15D015AD5}" srcOrd="0" destOrd="0" parTransId="{E0ADAA37-E8B0-42C1-AC1E-0BABF194336E}" sibTransId="{BA0FC800-8D60-4337-B1A9-6EC052655B46}"/>
    <dgm:cxn modelId="{1F71E166-1F24-4D6C-988F-799613E40FE7}" type="presOf" srcId="{B1CF1EE3-CAE7-4E40-A9D0-030A422955B8}" destId="{5CCBEDE5-465E-40CE-945F-00947F54A886}" srcOrd="1" destOrd="0" presId="urn:microsoft.com/office/officeart/2005/8/layout/process4"/>
    <dgm:cxn modelId="{281BD855-8337-4CF5-83F1-8070BAA7DBBF}" srcId="{D2BFE50A-D0A3-435C-8B34-A1259ABE7348}" destId="{51819672-E1A0-427F-B547-9961EDC661CC}" srcOrd="0" destOrd="0" parTransId="{12B45F86-5872-466C-950A-3863814BCE11}" sibTransId="{61030E9A-8071-4E25-A8BC-CA434C2C7D2A}"/>
    <dgm:cxn modelId="{F79BAE5A-A3CA-435D-9DC9-EF90E119AABE}" type="presOf" srcId="{AE51032E-02A0-4105-9608-C644D6F9E6E3}" destId="{B0952019-EDCC-4555-98CA-93820EE93ED7}" srcOrd="0" destOrd="0" presId="urn:microsoft.com/office/officeart/2005/8/layout/process4"/>
    <dgm:cxn modelId="{7C691085-6720-450D-B9E8-5BDBE779C851}" type="presOf" srcId="{B1CF1EE3-CAE7-4E40-A9D0-030A422955B8}" destId="{4FC46BA8-F99F-418C-A61B-7A49C668CB35}" srcOrd="0" destOrd="0" presId="urn:microsoft.com/office/officeart/2005/8/layout/process4"/>
    <dgm:cxn modelId="{ACD01387-CE18-4BBC-A8E4-EBF61B262C89}" type="presOf" srcId="{34B2FCED-922F-47B0-B7EF-D3D91120B58B}" destId="{0A2399F9-9019-4A67-B128-820F22BA7DC6}" srcOrd="0" destOrd="0" presId="urn:microsoft.com/office/officeart/2005/8/layout/process4"/>
    <dgm:cxn modelId="{11C9CE88-1FEA-4622-BD6F-4DF5DD4901ED}" type="presOf" srcId="{642A8D27-FD56-4F56-B428-F63C0B348A61}" destId="{8777C843-8087-4BCC-9CA7-DD340B383D23}" srcOrd="1" destOrd="0" presId="urn:microsoft.com/office/officeart/2005/8/layout/process4"/>
    <dgm:cxn modelId="{281EA489-3347-4D85-8533-D7498C25228B}" type="presOf" srcId="{51819672-E1A0-427F-B547-9961EDC661CC}" destId="{A4E43572-6133-41BE-913B-925CCC04A82F}" srcOrd="0" destOrd="0" presId="urn:microsoft.com/office/officeart/2005/8/layout/process4"/>
    <dgm:cxn modelId="{A0B6848C-72A7-4D33-B151-4079BECE6795}" srcId="{D2BFE50A-D0A3-435C-8B34-A1259ABE7348}" destId="{642A8D27-FD56-4F56-B428-F63C0B348A61}" srcOrd="2" destOrd="0" parTransId="{48117CFB-0775-4064-9E68-B18C46AC7FFC}" sibTransId="{E6696268-8393-43D5-AE03-C25C5DBBBC6B}"/>
    <dgm:cxn modelId="{B55F8898-FF4A-4304-B959-3697AA084227}" srcId="{D2BFE50A-D0A3-435C-8B34-A1259ABE7348}" destId="{B1CF1EE3-CAE7-4E40-A9D0-030A422955B8}" srcOrd="1" destOrd="0" parTransId="{959ED615-D38F-4FD5-93F1-C9B672700A18}" sibTransId="{46DA5490-4FF7-4758-9683-445100C1A8DE}"/>
    <dgm:cxn modelId="{1C21DBB0-399B-4FC0-AF85-F59A351A262F}" type="presOf" srcId="{A00FCD26-F8F3-41E7-9C78-8871B7194C33}" destId="{6D6ADA0A-E45D-4CD3-8A73-5DA1A88F81BF}" srcOrd="0" destOrd="0" presId="urn:microsoft.com/office/officeart/2005/8/layout/process4"/>
    <dgm:cxn modelId="{DD9FADCE-4311-48A0-B02C-F9C2F632CE59}" type="presOf" srcId="{E08700AD-2877-487A-AFDD-21B15D015AD5}" destId="{5D1EEA37-D6A7-4C91-A4A8-9C9ACCC71EF5}" srcOrd="0" destOrd="0" presId="urn:microsoft.com/office/officeart/2005/8/layout/process4"/>
    <dgm:cxn modelId="{7EB7EBED-95FA-4D6C-951F-C0816F6F8074}" srcId="{642A8D27-FD56-4F56-B428-F63C0B348A61}" destId="{34B2FCED-922F-47B0-B7EF-D3D91120B58B}" srcOrd="0" destOrd="0" parTransId="{5853182B-4D51-46BE-AB4F-3EA781AF8046}" sibTransId="{A508C396-DA4D-4DA3-B2F2-DEADEF045BC3}"/>
    <dgm:cxn modelId="{1D5FF9FA-443E-4BDC-9D07-3144421956E1}" srcId="{642A8D27-FD56-4F56-B428-F63C0B348A61}" destId="{AD457AEC-D67F-4BD1-ABED-E55E55336EF2}" srcOrd="1" destOrd="0" parTransId="{0E59ABC2-EFD5-485F-AAA1-F87F7B54D840}" sibTransId="{84A114B8-FBEC-4701-B092-7FF570301BD4}"/>
    <dgm:cxn modelId="{D8734FFE-0DCC-4950-9489-BF16E8F6F796}" type="presOf" srcId="{51819672-E1A0-427F-B547-9961EDC661CC}" destId="{6CF99891-C513-4F3E-958E-F0D6389AE4D8}" srcOrd="1" destOrd="0" presId="urn:microsoft.com/office/officeart/2005/8/layout/process4"/>
    <dgm:cxn modelId="{96564657-C79F-4083-8FD1-193B3453EA6E}" type="presParOf" srcId="{23ADFE82-796F-4E74-9F0E-8FBBD3C3B59C}" destId="{2AEFA1F4-7818-4922-A89D-0347BD19CDE9}" srcOrd="0" destOrd="0" presId="urn:microsoft.com/office/officeart/2005/8/layout/process4"/>
    <dgm:cxn modelId="{0CF4AC25-5EBB-49EA-BEE0-2A441794064C}" type="presParOf" srcId="{2AEFA1F4-7818-4922-A89D-0347BD19CDE9}" destId="{07413511-0BAF-4D2C-9E66-9621AACD8ABB}" srcOrd="0" destOrd="0" presId="urn:microsoft.com/office/officeart/2005/8/layout/process4"/>
    <dgm:cxn modelId="{BBC3639C-AA8A-4FDE-B048-F4F52E3E4AB9}" type="presParOf" srcId="{2AEFA1F4-7818-4922-A89D-0347BD19CDE9}" destId="{8777C843-8087-4BCC-9CA7-DD340B383D23}" srcOrd="1" destOrd="0" presId="urn:microsoft.com/office/officeart/2005/8/layout/process4"/>
    <dgm:cxn modelId="{6D58A435-57B4-4791-ACFC-A5F762430A4D}" type="presParOf" srcId="{2AEFA1F4-7818-4922-A89D-0347BD19CDE9}" destId="{8C95A4A8-BA94-4F1B-B2C8-CEFE11705297}" srcOrd="2" destOrd="0" presId="urn:microsoft.com/office/officeart/2005/8/layout/process4"/>
    <dgm:cxn modelId="{1CF38AED-6341-45D2-BACD-CFF44D421EA7}" type="presParOf" srcId="{8C95A4A8-BA94-4F1B-B2C8-CEFE11705297}" destId="{0A2399F9-9019-4A67-B128-820F22BA7DC6}" srcOrd="0" destOrd="0" presId="urn:microsoft.com/office/officeart/2005/8/layout/process4"/>
    <dgm:cxn modelId="{8CA157B8-F0DC-4436-9762-096BE9984AC8}" type="presParOf" srcId="{8C95A4A8-BA94-4F1B-B2C8-CEFE11705297}" destId="{EB3E3943-43BF-4C77-ADA5-D76598273484}" srcOrd="1" destOrd="0" presId="urn:microsoft.com/office/officeart/2005/8/layout/process4"/>
    <dgm:cxn modelId="{4DB43E59-6608-48D6-9107-F05969B36739}" type="presParOf" srcId="{23ADFE82-796F-4E74-9F0E-8FBBD3C3B59C}" destId="{5FCB5B61-8224-402D-996B-CB952C807208}" srcOrd="1" destOrd="0" presId="urn:microsoft.com/office/officeart/2005/8/layout/process4"/>
    <dgm:cxn modelId="{8411C45C-615B-4082-8C8D-76864B57E3AB}" type="presParOf" srcId="{23ADFE82-796F-4E74-9F0E-8FBBD3C3B59C}" destId="{4DB75F9E-A52F-4B94-937B-68B7205BBE73}" srcOrd="2" destOrd="0" presId="urn:microsoft.com/office/officeart/2005/8/layout/process4"/>
    <dgm:cxn modelId="{0273F16C-1648-4BA3-9551-125511BC55B4}" type="presParOf" srcId="{4DB75F9E-A52F-4B94-937B-68B7205BBE73}" destId="{4FC46BA8-F99F-418C-A61B-7A49C668CB35}" srcOrd="0" destOrd="0" presId="urn:microsoft.com/office/officeart/2005/8/layout/process4"/>
    <dgm:cxn modelId="{1AA73034-2351-43D0-9EE0-68382877E198}" type="presParOf" srcId="{4DB75F9E-A52F-4B94-937B-68B7205BBE73}" destId="{5CCBEDE5-465E-40CE-945F-00947F54A886}" srcOrd="1" destOrd="0" presId="urn:microsoft.com/office/officeart/2005/8/layout/process4"/>
    <dgm:cxn modelId="{634F3896-C942-4D29-B734-3EED26E6C37D}" type="presParOf" srcId="{4DB75F9E-A52F-4B94-937B-68B7205BBE73}" destId="{9A0C2E18-B70D-4C15-B1E5-49CFC4E0418D}" srcOrd="2" destOrd="0" presId="urn:microsoft.com/office/officeart/2005/8/layout/process4"/>
    <dgm:cxn modelId="{17F6F9A1-2BF6-4B22-B041-E2E04219F1F5}" type="presParOf" srcId="{9A0C2E18-B70D-4C15-B1E5-49CFC4E0418D}" destId="{5D1EEA37-D6A7-4C91-A4A8-9C9ACCC71EF5}" srcOrd="0" destOrd="0" presId="urn:microsoft.com/office/officeart/2005/8/layout/process4"/>
    <dgm:cxn modelId="{D3581CF2-2F35-483A-9024-B6C393493730}" type="presParOf" srcId="{23ADFE82-796F-4E74-9F0E-8FBBD3C3B59C}" destId="{3E3CFC09-1F43-4B17-98CC-CBBA7EAB7848}" srcOrd="3" destOrd="0" presId="urn:microsoft.com/office/officeart/2005/8/layout/process4"/>
    <dgm:cxn modelId="{502FC9B1-891D-4F2E-9304-00819D66C0EA}" type="presParOf" srcId="{23ADFE82-796F-4E74-9F0E-8FBBD3C3B59C}" destId="{207E6300-9157-4CEA-BBE1-57904AEBFDF1}" srcOrd="4" destOrd="0" presId="urn:microsoft.com/office/officeart/2005/8/layout/process4"/>
    <dgm:cxn modelId="{CC23C266-DADA-489A-A76F-A90EE5064F5F}" type="presParOf" srcId="{207E6300-9157-4CEA-BBE1-57904AEBFDF1}" destId="{A4E43572-6133-41BE-913B-925CCC04A82F}" srcOrd="0" destOrd="0" presId="urn:microsoft.com/office/officeart/2005/8/layout/process4"/>
    <dgm:cxn modelId="{4D38A3EA-E744-4336-AFF5-7FA8558EFA89}" type="presParOf" srcId="{207E6300-9157-4CEA-BBE1-57904AEBFDF1}" destId="{6CF99891-C513-4F3E-958E-F0D6389AE4D8}" srcOrd="1" destOrd="0" presId="urn:microsoft.com/office/officeart/2005/8/layout/process4"/>
    <dgm:cxn modelId="{98DE91E3-E490-4339-98AB-1D0A766A9582}" type="presParOf" srcId="{207E6300-9157-4CEA-BBE1-57904AEBFDF1}" destId="{E0023EBB-015D-4ED7-A16D-A96DDA3CE9A8}" srcOrd="2" destOrd="0" presId="urn:microsoft.com/office/officeart/2005/8/layout/process4"/>
    <dgm:cxn modelId="{D12B0221-0591-4F3B-A086-BAB291585B75}" type="presParOf" srcId="{E0023EBB-015D-4ED7-A16D-A96DDA3CE9A8}" destId="{6D6ADA0A-E45D-4CD3-8A73-5DA1A88F81BF}" srcOrd="0" destOrd="0" presId="urn:microsoft.com/office/officeart/2005/8/layout/process4"/>
    <dgm:cxn modelId="{6A0DE1AD-E939-4AD7-896D-3559710692CA}" type="presParOf" srcId="{E0023EBB-015D-4ED7-A16D-A96DDA3CE9A8}" destId="{B0952019-EDCC-4555-98CA-93820EE93ED7}" srcOrd="1"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BFE50A-D0A3-435C-8B34-A1259ABE734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s-CO"/>
        </a:p>
      </dgm:t>
    </dgm:pt>
    <dgm:pt modelId="{642A8D27-FD56-4F56-B428-F63C0B348A61}">
      <dgm:prSet phldrT="[Texto]" custT="1"/>
      <dgm:spPr/>
      <dgm:t>
        <a:bodyPr/>
        <a:lstStyle/>
        <a:p>
          <a:r>
            <a:rPr lang="es-CO" sz="900" b="0">
              <a:latin typeface="+mn-lt"/>
            </a:rPr>
            <a:t>Efectos directos</a:t>
          </a:r>
        </a:p>
      </dgm:t>
    </dgm:pt>
    <dgm:pt modelId="{48117CFB-0775-4064-9E68-B18C46AC7FFC}" type="parTrans" cxnId="{A0B6848C-72A7-4D33-B151-4079BECE6795}">
      <dgm:prSet/>
      <dgm:spPr/>
      <dgm:t>
        <a:bodyPr/>
        <a:lstStyle/>
        <a:p>
          <a:endParaRPr lang="es-CO" sz="900">
            <a:latin typeface="+mn-lt"/>
          </a:endParaRPr>
        </a:p>
      </dgm:t>
    </dgm:pt>
    <dgm:pt modelId="{E6696268-8393-43D5-AE03-C25C5DBBBC6B}" type="sibTrans" cxnId="{A0B6848C-72A7-4D33-B151-4079BECE6795}">
      <dgm:prSet/>
      <dgm:spPr/>
      <dgm:t>
        <a:bodyPr/>
        <a:lstStyle/>
        <a:p>
          <a:endParaRPr lang="es-CO" sz="900">
            <a:latin typeface="+mn-lt"/>
          </a:endParaRPr>
        </a:p>
      </dgm:t>
    </dgm:pt>
    <dgm:pt modelId="{A00FCD26-F8F3-41E7-9C78-8871B7194C33}">
      <dgm:prSet phldrT="[Texto]" custT="1"/>
      <dgm:spPr/>
      <dgm:t>
        <a:bodyPr/>
        <a:lstStyle/>
        <a:p>
          <a:r>
            <a:rPr lang="es-CO" sz="900">
              <a:latin typeface="+mn-lt"/>
            </a:rPr>
            <a:t>El Refinador tiene poder de mercado en el suministro de Jet.</a:t>
          </a:r>
        </a:p>
      </dgm:t>
    </dgm:pt>
    <dgm:pt modelId="{CB3BE6A6-274F-4C6B-9B83-6E268D87132F}" type="parTrans" cxnId="{FAA7330A-8564-4D1C-BF2F-B52048E52E15}">
      <dgm:prSet/>
      <dgm:spPr/>
      <dgm:t>
        <a:bodyPr/>
        <a:lstStyle/>
        <a:p>
          <a:endParaRPr lang="es-CO" sz="900">
            <a:latin typeface="+mn-lt"/>
          </a:endParaRPr>
        </a:p>
      </dgm:t>
    </dgm:pt>
    <dgm:pt modelId="{4DB975F0-3563-44B0-8A59-A25EC8E06ABA}" type="sibTrans" cxnId="{FAA7330A-8564-4D1C-BF2F-B52048E52E15}">
      <dgm:prSet/>
      <dgm:spPr/>
      <dgm:t>
        <a:bodyPr/>
        <a:lstStyle/>
        <a:p>
          <a:endParaRPr lang="es-CO" sz="900">
            <a:latin typeface="+mn-lt"/>
          </a:endParaRPr>
        </a:p>
      </dgm:t>
    </dgm:pt>
    <dgm:pt modelId="{E08700AD-2877-487A-AFDD-21B15D015AD5}">
      <dgm:prSet phldrT="[Texto]" custT="1"/>
      <dgm:spPr/>
      <dgm:t>
        <a:bodyPr/>
        <a:lstStyle/>
        <a:p>
          <a:pPr>
            <a:buFont typeface="+mj-lt"/>
            <a:buAutoNum type="arabicPeriod"/>
          </a:pPr>
          <a:r>
            <a:rPr lang="es-CO" sz="900" b="0" kern="1200" dirty="0">
              <a:latin typeface="+mj-lt"/>
              <a:ea typeface="+mn-ea"/>
              <a:cs typeface="+mn-cs"/>
            </a:rPr>
            <a:t>Posible traslado de costos ineficientes del producto importado y de la cadena de valor de importación.</a:t>
          </a:r>
          <a:endParaRPr lang="es-CO" sz="900" b="1" kern="1200">
            <a:solidFill>
              <a:prstClr val="black">
                <a:hueOff val="0"/>
                <a:satOff val="0"/>
                <a:lumOff val="0"/>
                <a:alphaOff val="0"/>
              </a:prstClr>
            </a:solidFill>
            <a:latin typeface="Helvetica"/>
            <a:ea typeface="+mn-ea"/>
            <a:cs typeface="Calibri" panose="020F0502020204030204" pitchFamily="34" charset="0"/>
          </a:endParaRPr>
        </a:p>
      </dgm:t>
    </dgm:pt>
    <dgm:pt modelId="{E0ADAA37-E8B0-42C1-AC1E-0BABF194336E}" type="parTrans" cxnId="{3796BE66-5A12-44BA-8634-9F713ACC86DB}">
      <dgm:prSet/>
      <dgm:spPr/>
      <dgm:t>
        <a:bodyPr/>
        <a:lstStyle/>
        <a:p>
          <a:endParaRPr lang="es-CO" sz="900">
            <a:latin typeface="+mn-lt"/>
          </a:endParaRPr>
        </a:p>
      </dgm:t>
    </dgm:pt>
    <dgm:pt modelId="{BA0FC800-8D60-4337-B1A9-6EC052655B46}" type="sibTrans" cxnId="{3796BE66-5A12-44BA-8634-9F713ACC86DB}">
      <dgm:prSet/>
      <dgm:spPr/>
      <dgm:t>
        <a:bodyPr/>
        <a:lstStyle/>
        <a:p>
          <a:endParaRPr lang="es-CO" sz="900">
            <a:latin typeface="+mn-lt"/>
          </a:endParaRPr>
        </a:p>
      </dgm:t>
    </dgm:pt>
    <dgm:pt modelId="{51819672-E1A0-427F-B547-9961EDC661CC}">
      <dgm:prSet phldrT="[Texto]" custT="1"/>
      <dgm:spPr/>
      <dgm:t>
        <a:bodyPr/>
        <a:lstStyle/>
        <a:p>
          <a:r>
            <a:rPr lang="es-CO" sz="900" b="1">
              <a:latin typeface="+mn-lt"/>
            </a:rPr>
            <a:t>Causas</a:t>
          </a:r>
        </a:p>
      </dgm:t>
    </dgm:pt>
    <dgm:pt modelId="{12B45F86-5872-466C-950A-3863814BCE11}" type="parTrans" cxnId="{281BD855-8337-4CF5-83F1-8070BAA7DBBF}">
      <dgm:prSet/>
      <dgm:spPr/>
      <dgm:t>
        <a:bodyPr/>
        <a:lstStyle/>
        <a:p>
          <a:endParaRPr lang="es-CO" sz="900">
            <a:latin typeface="+mn-lt"/>
          </a:endParaRPr>
        </a:p>
      </dgm:t>
    </dgm:pt>
    <dgm:pt modelId="{61030E9A-8071-4E25-A8BC-CA434C2C7D2A}" type="sibTrans" cxnId="{281BD855-8337-4CF5-83F1-8070BAA7DBBF}">
      <dgm:prSet/>
      <dgm:spPr/>
      <dgm:t>
        <a:bodyPr/>
        <a:lstStyle/>
        <a:p>
          <a:endParaRPr lang="es-CO" sz="900">
            <a:latin typeface="+mn-lt"/>
          </a:endParaRPr>
        </a:p>
      </dgm:t>
    </dgm:pt>
    <dgm:pt modelId="{AD457AEC-D67F-4BD1-ABED-E55E55336EF2}">
      <dgm:prSet phldrT="[Texto]" custT="1"/>
      <dgm:spPr>
        <a:solidFill>
          <a:schemeClr val="tx2">
            <a:lumMod val="20000"/>
            <a:lumOff val="80000"/>
          </a:schemeClr>
        </a:solidFill>
      </dgm:spPr>
      <dgm:t>
        <a:bodyPr/>
        <a:lstStyle/>
        <a:p>
          <a:r>
            <a:rPr lang="es-MX" sz="900">
              <a:solidFill>
                <a:schemeClr val="tx1"/>
              </a:solidFill>
              <a:latin typeface="+mn-lt"/>
            </a:rPr>
            <a:t>Posible traslado de costos ineficientes a los usuarios finales.</a:t>
          </a:r>
          <a:endParaRPr lang="es-CO" sz="900" b="0">
            <a:latin typeface="+mn-lt"/>
          </a:endParaRPr>
        </a:p>
      </dgm:t>
    </dgm:pt>
    <dgm:pt modelId="{0E59ABC2-EFD5-485F-AAA1-F87F7B54D840}" type="parTrans" cxnId="{1D5FF9FA-443E-4BDC-9D07-3144421956E1}">
      <dgm:prSet/>
      <dgm:spPr/>
      <dgm:t>
        <a:bodyPr/>
        <a:lstStyle/>
        <a:p>
          <a:endParaRPr lang="es-CO" sz="900">
            <a:latin typeface="+mn-lt"/>
          </a:endParaRPr>
        </a:p>
      </dgm:t>
    </dgm:pt>
    <dgm:pt modelId="{84A114B8-FBEC-4701-B092-7FF570301BD4}" type="sibTrans" cxnId="{1D5FF9FA-443E-4BDC-9D07-3144421956E1}">
      <dgm:prSet/>
      <dgm:spPr/>
      <dgm:t>
        <a:bodyPr/>
        <a:lstStyle/>
        <a:p>
          <a:endParaRPr lang="es-CO" sz="900">
            <a:latin typeface="+mn-lt"/>
          </a:endParaRPr>
        </a:p>
      </dgm:t>
    </dgm:pt>
    <dgm:pt modelId="{B1CF1EE3-CAE7-4E40-A9D0-030A422955B8}">
      <dgm:prSet phldrT="[Texto]" custT="1"/>
      <dgm:spPr/>
      <dgm:t>
        <a:bodyPr/>
        <a:lstStyle/>
        <a:p>
          <a:r>
            <a:rPr lang="es-CO" sz="900" b="1">
              <a:latin typeface="+mn-lt"/>
            </a:rPr>
            <a:t>Problema</a:t>
          </a:r>
        </a:p>
      </dgm:t>
    </dgm:pt>
    <dgm:pt modelId="{959ED615-D38F-4FD5-93F1-C9B672700A18}" type="parTrans" cxnId="{B55F8898-FF4A-4304-B959-3697AA084227}">
      <dgm:prSet/>
      <dgm:spPr/>
      <dgm:t>
        <a:bodyPr/>
        <a:lstStyle/>
        <a:p>
          <a:endParaRPr lang="es-CO" sz="900">
            <a:latin typeface="+mn-lt"/>
          </a:endParaRPr>
        </a:p>
      </dgm:t>
    </dgm:pt>
    <dgm:pt modelId="{46DA5490-4FF7-4758-9683-445100C1A8DE}" type="sibTrans" cxnId="{B55F8898-FF4A-4304-B959-3697AA084227}">
      <dgm:prSet/>
      <dgm:spPr/>
      <dgm:t>
        <a:bodyPr/>
        <a:lstStyle/>
        <a:p>
          <a:endParaRPr lang="es-CO" sz="900">
            <a:latin typeface="+mn-lt"/>
          </a:endParaRPr>
        </a:p>
      </dgm:t>
    </dgm:pt>
    <dgm:pt modelId="{AE51032E-02A0-4105-9608-C644D6F9E6E3}">
      <dgm:prSet phldrT="[Texto]" custT="1"/>
      <dgm:spPr/>
      <dgm:t>
        <a:bodyPr/>
        <a:lstStyle/>
        <a:p>
          <a:r>
            <a:rPr lang="es-CO" sz="900">
              <a:latin typeface="+mn-lt"/>
            </a:rPr>
            <a:t>Ausencia de incentivos para optimizar costos.</a:t>
          </a:r>
          <a:r>
            <a:rPr lang="es-CO" sz="900">
              <a:latin typeface="+mn-lt"/>
              <a:cs typeface="Calibri" panose="020F0502020204030204" pitchFamily="34" charset="0"/>
            </a:rPr>
            <a:t> </a:t>
          </a:r>
          <a:r>
            <a:rPr lang="es-CO" sz="900" dirty="0">
              <a:latin typeface="+mn-lt"/>
            </a:rPr>
            <a:t>(Traslado directo de costos).</a:t>
          </a:r>
          <a:r>
            <a:rPr lang="es-CO" sz="900" dirty="0">
              <a:latin typeface="+mn-lt"/>
              <a:cs typeface="Calibri" panose="020F0502020204030204" pitchFamily="34" charset="0"/>
            </a:rPr>
            <a:t> </a:t>
          </a:r>
          <a:endParaRPr lang="es-CO" sz="900">
            <a:latin typeface="+mn-lt"/>
          </a:endParaRPr>
        </a:p>
      </dgm:t>
    </dgm:pt>
    <dgm:pt modelId="{E2DD037C-4F23-46FE-88A4-38AAF739EEE9}" type="sibTrans" cxnId="{BE79DE42-07BE-461F-B71D-4D41A4E2B0CE}">
      <dgm:prSet/>
      <dgm:spPr/>
      <dgm:t>
        <a:bodyPr/>
        <a:lstStyle/>
        <a:p>
          <a:endParaRPr lang="es-CO" sz="900">
            <a:latin typeface="+mn-lt"/>
          </a:endParaRPr>
        </a:p>
      </dgm:t>
    </dgm:pt>
    <dgm:pt modelId="{2CD0E476-ED2B-42D1-9FF1-A072340FA895}" type="parTrans" cxnId="{BE79DE42-07BE-461F-B71D-4D41A4E2B0CE}">
      <dgm:prSet/>
      <dgm:spPr/>
      <dgm:t>
        <a:bodyPr/>
        <a:lstStyle/>
        <a:p>
          <a:endParaRPr lang="es-CO" sz="900">
            <a:latin typeface="+mn-lt"/>
          </a:endParaRPr>
        </a:p>
      </dgm:t>
    </dgm:pt>
    <dgm:pt modelId="{C9987841-8BBC-48D3-ADA8-795D9B090EA4}">
      <dgm:prSet phldrT="[Texto]" custT="1"/>
      <dgm:spPr/>
      <dgm:t>
        <a:bodyPr/>
        <a:lstStyle/>
        <a:p>
          <a:r>
            <a:rPr lang="es-CO" sz="900" kern="1200">
              <a:solidFill>
                <a:prstClr val="black">
                  <a:hueOff val="0"/>
                  <a:satOff val="0"/>
                  <a:lumOff val="0"/>
                  <a:alphaOff val="0"/>
                </a:prstClr>
              </a:solidFill>
              <a:latin typeface="+mn-lt"/>
              <a:ea typeface="+mn-ea"/>
              <a:cs typeface="+mn-cs"/>
            </a:rPr>
            <a:t>Desconocimiento de la producción proyectada de Ecopetrol. </a:t>
          </a:r>
          <a:r>
            <a:rPr lang="es-CO" sz="900" kern="1200" dirty="0">
              <a:solidFill>
                <a:prstClr val="black">
                  <a:hueOff val="0"/>
                  <a:satOff val="0"/>
                  <a:lumOff val="0"/>
                  <a:alphaOff val="0"/>
                </a:prstClr>
              </a:solidFill>
              <a:latin typeface="+mn-lt"/>
              <a:ea typeface="+mn-ea"/>
              <a:cs typeface="+mn-cs"/>
            </a:rPr>
            <a:t>(Mantenimientos programados).</a:t>
          </a:r>
          <a:endParaRPr lang="es-CO" sz="900" kern="1200">
            <a:solidFill>
              <a:prstClr val="black">
                <a:hueOff val="0"/>
                <a:satOff val="0"/>
                <a:lumOff val="0"/>
                <a:alphaOff val="0"/>
              </a:prstClr>
            </a:solidFill>
            <a:latin typeface="+mn-lt"/>
            <a:ea typeface="+mn-ea"/>
            <a:cs typeface="+mn-cs"/>
          </a:endParaRPr>
        </a:p>
      </dgm:t>
    </dgm:pt>
    <dgm:pt modelId="{0C19E990-D590-4543-AD7A-3C575ECCB363}" type="parTrans" cxnId="{6E383CBA-F871-43AE-9FF6-425735FF03A6}">
      <dgm:prSet/>
      <dgm:spPr/>
      <dgm:t>
        <a:bodyPr/>
        <a:lstStyle/>
        <a:p>
          <a:endParaRPr lang="es-CO" sz="900">
            <a:latin typeface="+mn-lt"/>
          </a:endParaRPr>
        </a:p>
      </dgm:t>
    </dgm:pt>
    <dgm:pt modelId="{5BE88AA1-2854-45EE-8503-D40B925953BB}" type="sibTrans" cxnId="{6E383CBA-F871-43AE-9FF6-425735FF03A6}">
      <dgm:prSet/>
      <dgm:spPr/>
      <dgm:t>
        <a:bodyPr/>
        <a:lstStyle/>
        <a:p>
          <a:endParaRPr lang="es-CO" sz="900">
            <a:latin typeface="+mn-lt"/>
          </a:endParaRPr>
        </a:p>
      </dgm:t>
    </dgm:pt>
    <dgm:pt modelId="{E67C8E24-A7AF-4A99-AC65-FBAA0D9D9E81}">
      <dgm:prSet phldrT="[Texto]" custT="1"/>
      <dgm:spPr>
        <a:solidFill>
          <a:schemeClr val="tx2">
            <a:lumMod val="20000"/>
            <a:lumOff val="80000"/>
          </a:schemeClr>
        </a:solidFill>
      </dgm:spPr>
      <dgm:t>
        <a:bodyPr/>
        <a:lstStyle/>
        <a:p>
          <a:r>
            <a:rPr lang="es-CO" sz="900" b="0">
              <a:latin typeface="+mn-lt"/>
            </a:rPr>
            <a:t>Posible extracción de rentas del agente refinador.</a:t>
          </a:r>
        </a:p>
      </dgm:t>
    </dgm:pt>
    <dgm:pt modelId="{3A1EB188-554A-4BAD-AD9A-D1715A9288E4}" type="parTrans" cxnId="{CB3EE917-E64D-4EFF-8F25-3A750B9B3795}">
      <dgm:prSet/>
      <dgm:spPr/>
      <dgm:t>
        <a:bodyPr/>
        <a:lstStyle/>
        <a:p>
          <a:endParaRPr lang="es-CO" sz="900"/>
        </a:p>
      </dgm:t>
    </dgm:pt>
    <dgm:pt modelId="{E2A80859-F32B-480B-8997-0518B74CD801}" type="sibTrans" cxnId="{CB3EE917-E64D-4EFF-8F25-3A750B9B3795}">
      <dgm:prSet/>
      <dgm:spPr/>
      <dgm:t>
        <a:bodyPr/>
        <a:lstStyle/>
        <a:p>
          <a:endParaRPr lang="es-CO" sz="900"/>
        </a:p>
      </dgm:t>
    </dgm:pt>
    <dgm:pt modelId="{23ADFE82-796F-4E74-9F0E-8FBBD3C3B59C}" type="pres">
      <dgm:prSet presAssocID="{D2BFE50A-D0A3-435C-8B34-A1259ABE7348}" presName="Name0" presStyleCnt="0">
        <dgm:presLayoutVars>
          <dgm:dir/>
          <dgm:animLvl val="lvl"/>
          <dgm:resizeHandles val="exact"/>
        </dgm:presLayoutVars>
      </dgm:prSet>
      <dgm:spPr/>
    </dgm:pt>
    <dgm:pt modelId="{2AEFA1F4-7818-4922-A89D-0347BD19CDE9}" type="pres">
      <dgm:prSet presAssocID="{642A8D27-FD56-4F56-B428-F63C0B348A61}" presName="boxAndChildren" presStyleCnt="0"/>
      <dgm:spPr/>
    </dgm:pt>
    <dgm:pt modelId="{07413511-0BAF-4D2C-9E66-9621AACD8ABB}" type="pres">
      <dgm:prSet presAssocID="{642A8D27-FD56-4F56-B428-F63C0B348A61}" presName="parentTextBox" presStyleLbl="node1" presStyleIdx="0" presStyleCnt="3"/>
      <dgm:spPr/>
    </dgm:pt>
    <dgm:pt modelId="{8777C843-8087-4BCC-9CA7-DD340B383D23}" type="pres">
      <dgm:prSet presAssocID="{642A8D27-FD56-4F56-B428-F63C0B348A61}" presName="entireBox" presStyleLbl="node1" presStyleIdx="0" presStyleCnt="3"/>
      <dgm:spPr/>
    </dgm:pt>
    <dgm:pt modelId="{8C95A4A8-BA94-4F1B-B2C8-CEFE11705297}" type="pres">
      <dgm:prSet presAssocID="{642A8D27-FD56-4F56-B428-F63C0B348A61}" presName="descendantBox" presStyleCnt="0"/>
      <dgm:spPr/>
    </dgm:pt>
    <dgm:pt modelId="{EB3E3943-43BF-4C77-ADA5-D76598273484}" type="pres">
      <dgm:prSet presAssocID="{AD457AEC-D67F-4BD1-ABED-E55E55336EF2}" presName="childTextBox" presStyleLbl="fgAccFollowNode1" presStyleIdx="0" presStyleCnt="6" custLinFactNeighborX="486" custLinFactNeighborY="4503">
        <dgm:presLayoutVars>
          <dgm:bulletEnabled val="1"/>
        </dgm:presLayoutVars>
      </dgm:prSet>
      <dgm:spPr/>
    </dgm:pt>
    <dgm:pt modelId="{8FF06641-04D8-497B-9906-7EC40E6C9D81}" type="pres">
      <dgm:prSet presAssocID="{E67C8E24-A7AF-4A99-AC65-FBAA0D9D9E81}" presName="childTextBox" presStyleLbl="fgAccFollowNode1" presStyleIdx="1" presStyleCnt="6" custLinFactNeighborY="2773">
        <dgm:presLayoutVars>
          <dgm:bulletEnabled val="1"/>
        </dgm:presLayoutVars>
      </dgm:prSet>
      <dgm:spPr/>
    </dgm:pt>
    <dgm:pt modelId="{5FCB5B61-8224-402D-996B-CB952C807208}" type="pres">
      <dgm:prSet presAssocID="{46DA5490-4FF7-4758-9683-445100C1A8DE}" presName="sp" presStyleCnt="0"/>
      <dgm:spPr/>
    </dgm:pt>
    <dgm:pt modelId="{4DB75F9E-A52F-4B94-937B-68B7205BBE73}" type="pres">
      <dgm:prSet presAssocID="{B1CF1EE3-CAE7-4E40-A9D0-030A422955B8}" presName="arrowAndChildren" presStyleCnt="0"/>
      <dgm:spPr/>
    </dgm:pt>
    <dgm:pt modelId="{4FC46BA8-F99F-418C-A61B-7A49C668CB35}" type="pres">
      <dgm:prSet presAssocID="{B1CF1EE3-CAE7-4E40-A9D0-030A422955B8}" presName="parentTextArrow" presStyleLbl="node1" presStyleIdx="0" presStyleCnt="3"/>
      <dgm:spPr/>
    </dgm:pt>
    <dgm:pt modelId="{5CCBEDE5-465E-40CE-945F-00947F54A886}" type="pres">
      <dgm:prSet presAssocID="{B1CF1EE3-CAE7-4E40-A9D0-030A422955B8}" presName="arrow" presStyleLbl="node1" presStyleIdx="1" presStyleCnt="3"/>
      <dgm:spPr/>
    </dgm:pt>
    <dgm:pt modelId="{9A0C2E18-B70D-4C15-B1E5-49CFC4E0418D}" type="pres">
      <dgm:prSet presAssocID="{B1CF1EE3-CAE7-4E40-A9D0-030A422955B8}" presName="descendantArrow" presStyleCnt="0"/>
      <dgm:spPr/>
    </dgm:pt>
    <dgm:pt modelId="{5D1EEA37-D6A7-4C91-A4A8-9C9ACCC71EF5}" type="pres">
      <dgm:prSet presAssocID="{E08700AD-2877-487A-AFDD-21B15D015AD5}" presName="childTextArrow" presStyleLbl="fgAccFollowNode1" presStyleIdx="2" presStyleCnt="6" custLinFactNeighborY="5175">
        <dgm:presLayoutVars>
          <dgm:bulletEnabled val="1"/>
        </dgm:presLayoutVars>
      </dgm:prSet>
      <dgm:spPr/>
    </dgm:pt>
    <dgm:pt modelId="{3E3CFC09-1F43-4B17-98CC-CBBA7EAB7848}" type="pres">
      <dgm:prSet presAssocID="{61030E9A-8071-4E25-A8BC-CA434C2C7D2A}" presName="sp" presStyleCnt="0"/>
      <dgm:spPr/>
    </dgm:pt>
    <dgm:pt modelId="{207E6300-9157-4CEA-BBE1-57904AEBFDF1}" type="pres">
      <dgm:prSet presAssocID="{51819672-E1A0-427F-B547-9961EDC661CC}" presName="arrowAndChildren" presStyleCnt="0"/>
      <dgm:spPr/>
    </dgm:pt>
    <dgm:pt modelId="{A4E43572-6133-41BE-913B-925CCC04A82F}" type="pres">
      <dgm:prSet presAssocID="{51819672-E1A0-427F-B547-9961EDC661CC}" presName="parentTextArrow" presStyleLbl="node1" presStyleIdx="1" presStyleCnt="3"/>
      <dgm:spPr/>
    </dgm:pt>
    <dgm:pt modelId="{6CF99891-C513-4F3E-958E-F0D6389AE4D8}" type="pres">
      <dgm:prSet presAssocID="{51819672-E1A0-427F-B547-9961EDC661CC}" presName="arrow" presStyleLbl="node1" presStyleIdx="2" presStyleCnt="3" custLinFactNeighborX="-83"/>
      <dgm:spPr/>
    </dgm:pt>
    <dgm:pt modelId="{E0023EBB-015D-4ED7-A16D-A96DDA3CE9A8}" type="pres">
      <dgm:prSet presAssocID="{51819672-E1A0-427F-B547-9961EDC661CC}" presName="descendantArrow" presStyleCnt="0"/>
      <dgm:spPr/>
    </dgm:pt>
    <dgm:pt modelId="{6D6ADA0A-E45D-4CD3-8A73-5DA1A88F81BF}" type="pres">
      <dgm:prSet presAssocID="{A00FCD26-F8F3-41E7-9C78-8871B7194C33}" presName="childTextArrow" presStyleLbl="fgAccFollowNode1" presStyleIdx="3" presStyleCnt="6">
        <dgm:presLayoutVars>
          <dgm:bulletEnabled val="1"/>
        </dgm:presLayoutVars>
      </dgm:prSet>
      <dgm:spPr/>
    </dgm:pt>
    <dgm:pt modelId="{B0952019-EDCC-4555-98CA-93820EE93ED7}" type="pres">
      <dgm:prSet presAssocID="{AE51032E-02A0-4105-9608-C644D6F9E6E3}" presName="childTextArrow" presStyleLbl="fgAccFollowNode1" presStyleIdx="4" presStyleCnt="6">
        <dgm:presLayoutVars>
          <dgm:bulletEnabled val="1"/>
        </dgm:presLayoutVars>
      </dgm:prSet>
      <dgm:spPr/>
    </dgm:pt>
    <dgm:pt modelId="{C923FE36-83B6-49EB-8169-2A9748D21121}" type="pres">
      <dgm:prSet presAssocID="{C9987841-8BBC-48D3-ADA8-795D9B090EA4}" presName="childTextArrow" presStyleLbl="fgAccFollowNode1" presStyleIdx="5" presStyleCnt="6">
        <dgm:presLayoutVars>
          <dgm:bulletEnabled val="1"/>
        </dgm:presLayoutVars>
      </dgm:prSet>
      <dgm:spPr/>
    </dgm:pt>
  </dgm:ptLst>
  <dgm:cxnLst>
    <dgm:cxn modelId="{FAA7330A-8564-4D1C-BF2F-B52048E52E15}" srcId="{51819672-E1A0-427F-B547-9961EDC661CC}" destId="{A00FCD26-F8F3-41E7-9C78-8871B7194C33}" srcOrd="0" destOrd="0" parTransId="{CB3BE6A6-274F-4C6B-9B83-6E268D87132F}" sibTransId="{4DB975F0-3563-44B0-8A59-A25EC8E06ABA}"/>
    <dgm:cxn modelId="{CB3EE917-E64D-4EFF-8F25-3A750B9B3795}" srcId="{642A8D27-FD56-4F56-B428-F63C0B348A61}" destId="{E67C8E24-A7AF-4A99-AC65-FBAA0D9D9E81}" srcOrd="1" destOrd="0" parTransId="{3A1EB188-554A-4BAD-AD9A-D1715A9288E4}" sibTransId="{E2A80859-F32B-480B-8997-0518B74CD801}"/>
    <dgm:cxn modelId="{9B3E2E23-1D22-41B2-87AC-134B7E07AB01}" type="presOf" srcId="{642A8D27-FD56-4F56-B428-F63C0B348A61}" destId="{07413511-0BAF-4D2C-9E66-9621AACD8ABB}" srcOrd="0" destOrd="0" presId="urn:microsoft.com/office/officeart/2005/8/layout/process4"/>
    <dgm:cxn modelId="{ADA4152E-A1D3-402B-8E28-43FD5D096FFB}" type="presOf" srcId="{AD457AEC-D67F-4BD1-ABED-E55E55336EF2}" destId="{EB3E3943-43BF-4C77-ADA5-D76598273484}" srcOrd="0" destOrd="0" presId="urn:microsoft.com/office/officeart/2005/8/layout/process4"/>
    <dgm:cxn modelId="{5585B642-A560-4ED9-9802-57E941E96785}" type="presOf" srcId="{D2BFE50A-D0A3-435C-8B34-A1259ABE7348}" destId="{23ADFE82-796F-4E74-9F0E-8FBBD3C3B59C}" srcOrd="0" destOrd="0" presId="urn:microsoft.com/office/officeart/2005/8/layout/process4"/>
    <dgm:cxn modelId="{BE79DE42-07BE-461F-B71D-4D41A4E2B0CE}" srcId="{51819672-E1A0-427F-B547-9961EDC661CC}" destId="{AE51032E-02A0-4105-9608-C644D6F9E6E3}" srcOrd="1" destOrd="0" parTransId="{2CD0E476-ED2B-42D1-9FF1-A072340FA895}" sibTransId="{E2DD037C-4F23-46FE-88A4-38AAF739EEE9}"/>
    <dgm:cxn modelId="{3796BE66-5A12-44BA-8634-9F713ACC86DB}" srcId="{B1CF1EE3-CAE7-4E40-A9D0-030A422955B8}" destId="{E08700AD-2877-487A-AFDD-21B15D015AD5}" srcOrd="0" destOrd="0" parTransId="{E0ADAA37-E8B0-42C1-AC1E-0BABF194336E}" sibTransId="{BA0FC800-8D60-4337-B1A9-6EC052655B46}"/>
    <dgm:cxn modelId="{1F71E166-1F24-4D6C-988F-799613E40FE7}" type="presOf" srcId="{B1CF1EE3-CAE7-4E40-A9D0-030A422955B8}" destId="{5CCBEDE5-465E-40CE-945F-00947F54A886}" srcOrd="1" destOrd="0" presId="urn:microsoft.com/office/officeart/2005/8/layout/process4"/>
    <dgm:cxn modelId="{215F3C47-15CD-4349-AC55-BA5D44382822}" type="presOf" srcId="{C9987841-8BBC-48D3-ADA8-795D9B090EA4}" destId="{C923FE36-83B6-49EB-8169-2A9748D21121}" srcOrd="0" destOrd="0" presId="urn:microsoft.com/office/officeart/2005/8/layout/process4"/>
    <dgm:cxn modelId="{281BD855-8337-4CF5-83F1-8070BAA7DBBF}" srcId="{D2BFE50A-D0A3-435C-8B34-A1259ABE7348}" destId="{51819672-E1A0-427F-B547-9961EDC661CC}" srcOrd="0" destOrd="0" parTransId="{12B45F86-5872-466C-950A-3863814BCE11}" sibTransId="{61030E9A-8071-4E25-A8BC-CA434C2C7D2A}"/>
    <dgm:cxn modelId="{F79BAE5A-A3CA-435D-9DC9-EF90E119AABE}" type="presOf" srcId="{AE51032E-02A0-4105-9608-C644D6F9E6E3}" destId="{B0952019-EDCC-4555-98CA-93820EE93ED7}" srcOrd="0" destOrd="0" presId="urn:microsoft.com/office/officeart/2005/8/layout/process4"/>
    <dgm:cxn modelId="{7C691085-6720-450D-B9E8-5BDBE779C851}" type="presOf" srcId="{B1CF1EE3-CAE7-4E40-A9D0-030A422955B8}" destId="{4FC46BA8-F99F-418C-A61B-7A49C668CB35}" srcOrd="0" destOrd="0" presId="urn:microsoft.com/office/officeart/2005/8/layout/process4"/>
    <dgm:cxn modelId="{11C9CE88-1FEA-4622-BD6F-4DF5DD4901ED}" type="presOf" srcId="{642A8D27-FD56-4F56-B428-F63C0B348A61}" destId="{8777C843-8087-4BCC-9CA7-DD340B383D23}" srcOrd="1" destOrd="0" presId="urn:microsoft.com/office/officeart/2005/8/layout/process4"/>
    <dgm:cxn modelId="{281EA489-3347-4D85-8533-D7498C25228B}" type="presOf" srcId="{51819672-E1A0-427F-B547-9961EDC661CC}" destId="{A4E43572-6133-41BE-913B-925CCC04A82F}" srcOrd="0" destOrd="0" presId="urn:microsoft.com/office/officeart/2005/8/layout/process4"/>
    <dgm:cxn modelId="{A0B6848C-72A7-4D33-B151-4079BECE6795}" srcId="{D2BFE50A-D0A3-435C-8B34-A1259ABE7348}" destId="{642A8D27-FD56-4F56-B428-F63C0B348A61}" srcOrd="2" destOrd="0" parTransId="{48117CFB-0775-4064-9E68-B18C46AC7FFC}" sibTransId="{E6696268-8393-43D5-AE03-C25C5DBBBC6B}"/>
    <dgm:cxn modelId="{B55F8898-FF4A-4304-B959-3697AA084227}" srcId="{D2BFE50A-D0A3-435C-8B34-A1259ABE7348}" destId="{B1CF1EE3-CAE7-4E40-A9D0-030A422955B8}" srcOrd="1" destOrd="0" parTransId="{959ED615-D38F-4FD5-93F1-C9B672700A18}" sibTransId="{46DA5490-4FF7-4758-9683-445100C1A8DE}"/>
    <dgm:cxn modelId="{1C21DBB0-399B-4FC0-AF85-F59A351A262F}" type="presOf" srcId="{A00FCD26-F8F3-41E7-9C78-8871B7194C33}" destId="{6D6ADA0A-E45D-4CD3-8A73-5DA1A88F81BF}" srcOrd="0" destOrd="0" presId="urn:microsoft.com/office/officeart/2005/8/layout/process4"/>
    <dgm:cxn modelId="{6E383CBA-F871-43AE-9FF6-425735FF03A6}" srcId="{51819672-E1A0-427F-B547-9961EDC661CC}" destId="{C9987841-8BBC-48D3-ADA8-795D9B090EA4}" srcOrd="2" destOrd="0" parTransId="{0C19E990-D590-4543-AD7A-3C575ECCB363}" sibTransId="{5BE88AA1-2854-45EE-8503-D40B925953BB}"/>
    <dgm:cxn modelId="{DD9FADCE-4311-48A0-B02C-F9C2F632CE59}" type="presOf" srcId="{E08700AD-2877-487A-AFDD-21B15D015AD5}" destId="{5D1EEA37-D6A7-4C91-A4A8-9C9ACCC71EF5}" srcOrd="0" destOrd="0" presId="urn:microsoft.com/office/officeart/2005/8/layout/process4"/>
    <dgm:cxn modelId="{241E73ED-9A42-49F5-82D4-7CFF41FA8E17}" type="presOf" srcId="{E67C8E24-A7AF-4A99-AC65-FBAA0D9D9E81}" destId="{8FF06641-04D8-497B-9906-7EC40E6C9D81}" srcOrd="0" destOrd="0" presId="urn:microsoft.com/office/officeart/2005/8/layout/process4"/>
    <dgm:cxn modelId="{1D5FF9FA-443E-4BDC-9D07-3144421956E1}" srcId="{642A8D27-FD56-4F56-B428-F63C0B348A61}" destId="{AD457AEC-D67F-4BD1-ABED-E55E55336EF2}" srcOrd="0" destOrd="0" parTransId="{0E59ABC2-EFD5-485F-AAA1-F87F7B54D840}" sibTransId="{84A114B8-FBEC-4701-B092-7FF570301BD4}"/>
    <dgm:cxn modelId="{D8734FFE-0DCC-4950-9489-BF16E8F6F796}" type="presOf" srcId="{51819672-E1A0-427F-B547-9961EDC661CC}" destId="{6CF99891-C513-4F3E-958E-F0D6389AE4D8}" srcOrd="1" destOrd="0" presId="urn:microsoft.com/office/officeart/2005/8/layout/process4"/>
    <dgm:cxn modelId="{96564657-C79F-4083-8FD1-193B3453EA6E}" type="presParOf" srcId="{23ADFE82-796F-4E74-9F0E-8FBBD3C3B59C}" destId="{2AEFA1F4-7818-4922-A89D-0347BD19CDE9}" srcOrd="0" destOrd="0" presId="urn:microsoft.com/office/officeart/2005/8/layout/process4"/>
    <dgm:cxn modelId="{0CF4AC25-5EBB-49EA-BEE0-2A441794064C}" type="presParOf" srcId="{2AEFA1F4-7818-4922-A89D-0347BD19CDE9}" destId="{07413511-0BAF-4D2C-9E66-9621AACD8ABB}" srcOrd="0" destOrd="0" presId="urn:microsoft.com/office/officeart/2005/8/layout/process4"/>
    <dgm:cxn modelId="{BBC3639C-AA8A-4FDE-B048-F4F52E3E4AB9}" type="presParOf" srcId="{2AEFA1F4-7818-4922-A89D-0347BD19CDE9}" destId="{8777C843-8087-4BCC-9CA7-DD340B383D23}" srcOrd="1" destOrd="0" presId="urn:microsoft.com/office/officeart/2005/8/layout/process4"/>
    <dgm:cxn modelId="{6D58A435-57B4-4791-ACFC-A5F762430A4D}" type="presParOf" srcId="{2AEFA1F4-7818-4922-A89D-0347BD19CDE9}" destId="{8C95A4A8-BA94-4F1B-B2C8-CEFE11705297}" srcOrd="2" destOrd="0" presId="urn:microsoft.com/office/officeart/2005/8/layout/process4"/>
    <dgm:cxn modelId="{8CA157B8-F0DC-4436-9762-096BE9984AC8}" type="presParOf" srcId="{8C95A4A8-BA94-4F1B-B2C8-CEFE11705297}" destId="{EB3E3943-43BF-4C77-ADA5-D76598273484}" srcOrd="0" destOrd="0" presId="urn:microsoft.com/office/officeart/2005/8/layout/process4"/>
    <dgm:cxn modelId="{AB17F6E2-2663-4A87-B94D-EC08EE84995B}" type="presParOf" srcId="{8C95A4A8-BA94-4F1B-B2C8-CEFE11705297}" destId="{8FF06641-04D8-497B-9906-7EC40E6C9D81}" srcOrd="1" destOrd="0" presId="urn:microsoft.com/office/officeart/2005/8/layout/process4"/>
    <dgm:cxn modelId="{4DB43E59-6608-48D6-9107-F05969B36739}" type="presParOf" srcId="{23ADFE82-796F-4E74-9F0E-8FBBD3C3B59C}" destId="{5FCB5B61-8224-402D-996B-CB952C807208}" srcOrd="1" destOrd="0" presId="urn:microsoft.com/office/officeart/2005/8/layout/process4"/>
    <dgm:cxn modelId="{8411C45C-615B-4082-8C8D-76864B57E3AB}" type="presParOf" srcId="{23ADFE82-796F-4E74-9F0E-8FBBD3C3B59C}" destId="{4DB75F9E-A52F-4B94-937B-68B7205BBE73}" srcOrd="2" destOrd="0" presId="urn:microsoft.com/office/officeart/2005/8/layout/process4"/>
    <dgm:cxn modelId="{0273F16C-1648-4BA3-9551-125511BC55B4}" type="presParOf" srcId="{4DB75F9E-A52F-4B94-937B-68B7205BBE73}" destId="{4FC46BA8-F99F-418C-A61B-7A49C668CB35}" srcOrd="0" destOrd="0" presId="urn:microsoft.com/office/officeart/2005/8/layout/process4"/>
    <dgm:cxn modelId="{1AA73034-2351-43D0-9EE0-68382877E198}" type="presParOf" srcId="{4DB75F9E-A52F-4B94-937B-68B7205BBE73}" destId="{5CCBEDE5-465E-40CE-945F-00947F54A886}" srcOrd="1" destOrd="0" presId="urn:microsoft.com/office/officeart/2005/8/layout/process4"/>
    <dgm:cxn modelId="{634F3896-C942-4D29-B734-3EED26E6C37D}" type="presParOf" srcId="{4DB75F9E-A52F-4B94-937B-68B7205BBE73}" destId="{9A0C2E18-B70D-4C15-B1E5-49CFC4E0418D}" srcOrd="2" destOrd="0" presId="urn:microsoft.com/office/officeart/2005/8/layout/process4"/>
    <dgm:cxn modelId="{17F6F9A1-2BF6-4B22-B041-E2E04219F1F5}" type="presParOf" srcId="{9A0C2E18-B70D-4C15-B1E5-49CFC4E0418D}" destId="{5D1EEA37-D6A7-4C91-A4A8-9C9ACCC71EF5}" srcOrd="0" destOrd="0" presId="urn:microsoft.com/office/officeart/2005/8/layout/process4"/>
    <dgm:cxn modelId="{D3581CF2-2F35-483A-9024-B6C393493730}" type="presParOf" srcId="{23ADFE82-796F-4E74-9F0E-8FBBD3C3B59C}" destId="{3E3CFC09-1F43-4B17-98CC-CBBA7EAB7848}" srcOrd="3" destOrd="0" presId="urn:microsoft.com/office/officeart/2005/8/layout/process4"/>
    <dgm:cxn modelId="{502FC9B1-891D-4F2E-9304-00819D66C0EA}" type="presParOf" srcId="{23ADFE82-796F-4E74-9F0E-8FBBD3C3B59C}" destId="{207E6300-9157-4CEA-BBE1-57904AEBFDF1}" srcOrd="4" destOrd="0" presId="urn:microsoft.com/office/officeart/2005/8/layout/process4"/>
    <dgm:cxn modelId="{CC23C266-DADA-489A-A76F-A90EE5064F5F}" type="presParOf" srcId="{207E6300-9157-4CEA-BBE1-57904AEBFDF1}" destId="{A4E43572-6133-41BE-913B-925CCC04A82F}" srcOrd="0" destOrd="0" presId="urn:microsoft.com/office/officeart/2005/8/layout/process4"/>
    <dgm:cxn modelId="{4D38A3EA-E744-4336-AFF5-7FA8558EFA89}" type="presParOf" srcId="{207E6300-9157-4CEA-BBE1-57904AEBFDF1}" destId="{6CF99891-C513-4F3E-958E-F0D6389AE4D8}" srcOrd="1" destOrd="0" presId="urn:microsoft.com/office/officeart/2005/8/layout/process4"/>
    <dgm:cxn modelId="{98DE91E3-E490-4339-98AB-1D0A766A9582}" type="presParOf" srcId="{207E6300-9157-4CEA-BBE1-57904AEBFDF1}" destId="{E0023EBB-015D-4ED7-A16D-A96DDA3CE9A8}" srcOrd="2" destOrd="0" presId="urn:microsoft.com/office/officeart/2005/8/layout/process4"/>
    <dgm:cxn modelId="{D12B0221-0591-4F3B-A086-BAB291585B75}" type="presParOf" srcId="{E0023EBB-015D-4ED7-A16D-A96DDA3CE9A8}" destId="{6D6ADA0A-E45D-4CD3-8A73-5DA1A88F81BF}" srcOrd="0" destOrd="0" presId="urn:microsoft.com/office/officeart/2005/8/layout/process4"/>
    <dgm:cxn modelId="{6A0DE1AD-E939-4AD7-896D-3559710692CA}" type="presParOf" srcId="{E0023EBB-015D-4ED7-A16D-A96DDA3CE9A8}" destId="{B0952019-EDCC-4555-98CA-93820EE93ED7}" srcOrd="1" destOrd="0" presId="urn:microsoft.com/office/officeart/2005/8/layout/process4"/>
    <dgm:cxn modelId="{7DEFD12D-6258-430D-9B69-31F58401E0B9}" type="presParOf" srcId="{E0023EBB-015D-4ED7-A16D-A96DDA3CE9A8}" destId="{C923FE36-83B6-49EB-8169-2A9748D21121}" srcOrd="2"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BFE50A-D0A3-435C-8B34-A1259ABE734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s-CO"/>
        </a:p>
      </dgm:t>
    </dgm:pt>
    <dgm:pt modelId="{EB0D47CE-4652-4141-BB95-693284898303}">
      <dgm:prSet phldrT="[Texto]" custT="1"/>
      <dgm:spPr>
        <a:xfrm rot="10800000">
          <a:off x="0" y="1761855"/>
          <a:ext cx="5690801" cy="1778372"/>
        </a:xfrm>
        <a:prstGeom prst="upArrowCallou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900" b="1">
              <a:solidFill>
                <a:sysClr val="window" lastClr="FFFFFF"/>
              </a:solidFill>
              <a:latin typeface="Helvetica"/>
              <a:ea typeface="+mn-ea"/>
              <a:cs typeface="+mn-cs"/>
            </a:rPr>
            <a:t>Problema</a:t>
          </a:r>
        </a:p>
      </dgm:t>
    </dgm:pt>
    <dgm:pt modelId="{E8D736A5-437F-4449-A1AD-6B6832338459}" type="parTrans" cxnId="{29D8C5F5-2410-4766-9848-35C796D15EDA}">
      <dgm:prSet/>
      <dgm:spPr/>
      <dgm:t>
        <a:bodyPr/>
        <a:lstStyle/>
        <a:p>
          <a:endParaRPr lang="es-CO" sz="900">
            <a:latin typeface="+mn-lt"/>
          </a:endParaRPr>
        </a:p>
      </dgm:t>
    </dgm:pt>
    <dgm:pt modelId="{1B047F0C-478B-4890-80DD-49B1F2338CDE}" type="sibTrans" cxnId="{29D8C5F5-2410-4766-9848-35C796D15EDA}">
      <dgm:prSet/>
      <dgm:spPr/>
      <dgm:t>
        <a:bodyPr/>
        <a:lstStyle/>
        <a:p>
          <a:endParaRPr lang="es-CO" sz="900">
            <a:latin typeface="+mn-lt"/>
          </a:endParaRPr>
        </a:p>
      </dgm:t>
    </dgm:pt>
    <dgm:pt modelId="{642A8D27-FD56-4F56-B428-F63C0B348A61}">
      <dgm:prSet phldrT="[Texto]" custT="1"/>
      <dgm:spPr>
        <a:xfrm>
          <a:off x="0" y="3522883"/>
          <a:ext cx="5690801" cy="115628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900" b="0">
              <a:solidFill>
                <a:sysClr val="window" lastClr="FFFFFF"/>
              </a:solidFill>
              <a:latin typeface="Helvetica"/>
              <a:ea typeface="+mn-ea"/>
              <a:cs typeface="+mn-cs"/>
            </a:rPr>
            <a:t>Efectos directos</a:t>
          </a:r>
        </a:p>
      </dgm:t>
    </dgm:pt>
    <dgm:pt modelId="{48117CFB-0775-4064-9E68-B18C46AC7FFC}" type="parTrans" cxnId="{A0B6848C-72A7-4D33-B151-4079BECE6795}">
      <dgm:prSet/>
      <dgm:spPr/>
      <dgm:t>
        <a:bodyPr/>
        <a:lstStyle/>
        <a:p>
          <a:endParaRPr lang="es-CO" sz="900">
            <a:latin typeface="+mn-lt"/>
          </a:endParaRPr>
        </a:p>
      </dgm:t>
    </dgm:pt>
    <dgm:pt modelId="{E6696268-8393-43D5-AE03-C25C5DBBBC6B}" type="sibTrans" cxnId="{A0B6848C-72A7-4D33-B151-4079BECE6795}">
      <dgm:prSet/>
      <dgm:spPr/>
      <dgm:t>
        <a:bodyPr/>
        <a:lstStyle/>
        <a:p>
          <a:endParaRPr lang="es-CO" sz="900">
            <a:latin typeface="+mn-lt"/>
          </a:endParaRPr>
        </a:p>
      </dgm:t>
    </dgm:pt>
    <dgm:pt modelId="{A00FCD26-F8F3-41E7-9C78-8871B7194C33}">
      <dgm:prSet phldrT="[Texto]" custT="1"/>
      <dgm:spPr>
        <a:xfrm>
          <a:off x="1897859" y="625036"/>
          <a:ext cx="1895081" cy="531733"/>
        </a:xfrm>
        <a:prstGeom prst="rect">
          <a:avLst/>
        </a:prstGeom>
        <a:solidFill>
          <a:srgbClr val="5B9BD5">
            <a:tint val="40000"/>
            <a:alpha val="90000"/>
            <a:hueOff val="-5616468"/>
            <a:satOff val="-19027"/>
            <a:lumOff val="-244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CO" sz="900" dirty="0">
              <a:solidFill>
                <a:schemeClr val="tx1"/>
              </a:solidFill>
              <a:latin typeface="+mn-lt"/>
            </a:rPr>
            <a:t>No</a:t>
          </a:r>
          <a:r>
            <a:rPr lang="es-CO" sz="900" baseline="0" dirty="0">
              <a:solidFill>
                <a:schemeClr val="tx1"/>
              </a:solidFill>
              <a:latin typeface="+mn-lt"/>
            </a:rPr>
            <a:t> existe la obligación de reporte</a:t>
          </a:r>
          <a:endParaRPr lang="es-CO" sz="900" dirty="0">
            <a:solidFill>
              <a:sysClr val="windowText" lastClr="000000"/>
            </a:solidFill>
            <a:latin typeface="Helvetica"/>
            <a:ea typeface="+mn-ea"/>
            <a:cs typeface="+mn-cs"/>
          </a:endParaRPr>
        </a:p>
      </dgm:t>
    </dgm:pt>
    <dgm:pt modelId="{CB3BE6A6-274F-4C6B-9B83-6E268D87132F}" type="parTrans" cxnId="{FAA7330A-8564-4D1C-BF2F-B52048E52E15}">
      <dgm:prSet/>
      <dgm:spPr/>
      <dgm:t>
        <a:bodyPr/>
        <a:lstStyle/>
        <a:p>
          <a:endParaRPr lang="es-CO" sz="900">
            <a:latin typeface="+mn-lt"/>
          </a:endParaRPr>
        </a:p>
      </dgm:t>
    </dgm:pt>
    <dgm:pt modelId="{4DB975F0-3563-44B0-8A59-A25EC8E06ABA}" type="sibTrans" cxnId="{FAA7330A-8564-4D1C-BF2F-B52048E52E15}">
      <dgm:prSet/>
      <dgm:spPr/>
      <dgm:t>
        <a:bodyPr/>
        <a:lstStyle/>
        <a:p>
          <a:endParaRPr lang="es-CO" sz="900">
            <a:latin typeface="+mn-lt"/>
          </a:endParaRPr>
        </a:p>
      </dgm:t>
    </dgm:pt>
    <dgm:pt modelId="{E08700AD-2877-487A-AFDD-21B15D015AD5}">
      <dgm:prSet phldrT="[Texto]" custT="1"/>
      <dgm:spPr>
        <a:xfrm>
          <a:off x="0" y="2413772"/>
          <a:ext cx="5690801" cy="531733"/>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CO" sz="900" b="0" dirty="0">
              <a:latin typeface="Helvetica" panose="020B0604020202020204" pitchFamily="34" charset="0"/>
              <a:ea typeface="+mn-ea"/>
              <a:cs typeface="Helvetica" panose="020B0604020202020204" pitchFamily="34" charset="0"/>
            </a:rPr>
            <a:t>Posible asimetría de información entre agentes y frente al regulador (oferta – costos trasladados del producto importado) </a:t>
          </a:r>
          <a:r>
            <a:rPr lang="es-CO" sz="900" b="1" dirty="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 </a:t>
          </a:r>
        </a:p>
      </dgm:t>
    </dgm:pt>
    <dgm:pt modelId="{E0ADAA37-E8B0-42C1-AC1E-0BABF194336E}" type="parTrans" cxnId="{3796BE66-5A12-44BA-8634-9F713ACC86DB}">
      <dgm:prSet/>
      <dgm:spPr/>
      <dgm:t>
        <a:bodyPr/>
        <a:lstStyle/>
        <a:p>
          <a:endParaRPr lang="es-CO" sz="900">
            <a:latin typeface="+mn-lt"/>
          </a:endParaRPr>
        </a:p>
      </dgm:t>
    </dgm:pt>
    <dgm:pt modelId="{BA0FC800-8D60-4337-B1A9-6EC052655B46}" type="sibTrans" cxnId="{3796BE66-5A12-44BA-8634-9F713ACC86DB}">
      <dgm:prSet/>
      <dgm:spPr/>
      <dgm:t>
        <a:bodyPr/>
        <a:lstStyle/>
        <a:p>
          <a:endParaRPr lang="es-CO" sz="900">
            <a:latin typeface="+mn-lt"/>
          </a:endParaRPr>
        </a:p>
      </dgm:t>
    </dgm:pt>
    <dgm:pt modelId="{51819672-E1A0-427F-B547-9961EDC661CC}">
      <dgm:prSet phldrT="[Texto]" custT="1"/>
      <dgm:spPr>
        <a:xfrm rot="10800000">
          <a:off x="0" y="0"/>
          <a:ext cx="5690801" cy="1778372"/>
        </a:xfrm>
        <a:prstGeom prst="upArrowCallou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900" b="1">
              <a:solidFill>
                <a:sysClr val="window" lastClr="FFFFFF"/>
              </a:solidFill>
              <a:latin typeface="Helvetica"/>
              <a:ea typeface="+mn-ea"/>
              <a:cs typeface="+mn-cs"/>
            </a:rPr>
            <a:t>Causas</a:t>
          </a:r>
        </a:p>
      </dgm:t>
    </dgm:pt>
    <dgm:pt modelId="{12B45F86-5872-466C-950A-3863814BCE11}" type="parTrans" cxnId="{281BD855-8337-4CF5-83F1-8070BAA7DBBF}">
      <dgm:prSet/>
      <dgm:spPr/>
      <dgm:t>
        <a:bodyPr/>
        <a:lstStyle/>
        <a:p>
          <a:endParaRPr lang="es-CO" sz="900">
            <a:latin typeface="+mn-lt"/>
          </a:endParaRPr>
        </a:p>
      </dgm:t>
    </dgm:pt>
    <dgm:pt modelId="{61030E9A-8071-4E25-A8BC-CA434C2C7D2A}" type="sibTrans" cxnId="{281BD855-8337-4CF5-83F1-8070BAA7DBBF}">
      <dgm:prSet/>
      <dgm:spPr/>
      <dgm:t>
        <a:bodyPr/>
        <a:lstStyle/>
        <a:p>
          <a:endParaRPr lang="es-CO" sz="900">
            <a:latin typeface="+mn-lt"/>
          </a:endParaRPr>
        </a:p>
      </dgm:t>
    </dgm:pt>
    <dgm:pt modelId="{C8C1DF4E-3BDA-46DF-B892-A387E5C7AFE3}">
      <dgm:prSet phldrT="[Texto]" custT="1"/>
      <dgm:spPr>
        <a:xfrm>
          <a:off x="2778" y="625036"/>
          <a:ext cx="1895081" cy="531733"/>
        </a:xfrm>
        <a:prstGeom prst="rect">
          <a:avLst/>
        </a:prstGeom>
        <a:solidFill>
          <a:srgbClr val="5B9BD5">
            <a:tint val="40000"/>
            <a:alpha val="90000"/>
            <a:hueOff val="-4493175"/>
            <a:satOff val="-15221"/>
            <a:lumOff val="-1952"/>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CO" sz="900" b="0" dirty="0">
              <a:solidFill>
                <a:sysClr val="windowText" lastClr="000000">
                  <a:hueOff val="0"/>
                  <a:satOff val="0"/>
                  <a:lumOff val="0"/>
                  <a:alphaOff val="0"/>
                </a:sysClr>
              </a:solidFill>
              <a:latin typeface="Helvetica"/>
              <a:ea typeface="+mn-ea"/>
              <a:cs typeface="+mn-cs"/>
            </a:rPr>
            <a:t>Desconocimiento de la producción proyectada del Refinador. </a:t>
          </a:r>
          <a:r>
            <a:rPr lang="es-CO" sz="900" b="0" dirty="0">
              <a:latin typeface="+mn-lt"/>
              <a:cs typeface="Calibri" panose="020F0502020204030204" pitchFamily="34" charset="0"/>
            </a:rPr>
            <a:t>(Mantenimientos programados).</a:t>
          </a:r>
          <a:endParaRPr lang="es-CO" sz="900" dirty="0">
            <a:solidFill>
              <a:sysClr val="windowText" lastClr="000000">
                <a:hueOff val="0"/>
                <a:satOff val="0"/>
                <a:lumOff val="0"/>
                <a:alphaOff val="0"/>
              </a:sysClr>
            </a:solidFill>
            <a:latin typeface="Helvetica"/>
            <a:ea typeface="+mn-ea"/>
            <a:cs typeface="+mn-cs"/>
          </a:endParaRPr>
        </a:p>
      </dgm:t>
    </dgm:pt>
    <dgm:pt modelId="{A0A8AB71-E3AF-47FE-A700-4BE666ED7F42}" type="parTrans" cxnId="{ECA2ED34-A0EB-4250-AD46-34A32AC45F3E}">
      <dgm:prSet/>
      <dgm:spPr/>
      <dgm:t>
        <a:bodyPr/>
        <a:lstStyle/>
        <a:p>
          <a:endParaRPr lang="es-CO" sz="900">
            <a:latin typeface="+mn-lt"/>
          </a:endParaRPr>
        </a:p>
      </dgm:t>
    </dgm:pt>
    <dgm:pt modelId="{2C42FC06-9E6A-43C7-BE2A-ACA8FB317960}" type="sibTrans" cxnId="{ECA2ED34-A0EB-4250-AD46-34A32AC45F3E}">
      <dgm:prSet/>
      <dgm:spPr/>
      <dgm:t>
        <a:bodyPr/>
        <a:lstStyle/>
        <a:p>
          <a:endParaRPr lang="es-CO" sz="900">
            <a:latin typeface="+mn-lt"/>
          </a:endParaRPr>
        </a:p>
      </dgm:t>
    </dgm:pt>
    <dgm:pt modelId="{24E673B8-30CD-4832-A038-D35F8620A4C3}">
      <dgm:prSet phldrT="[Texto]" custT="1"/>
      <dgm:spPr>
        <a:xfrm>
          <a:off x="12007" y="4137908"/>
          <a:ext cx="1895081" cy="531892"/>
        </a:xfrm>
        <a:prstGeom prst="rect">
          <a:avLst/>
        </a:prstGeom>
        <a:solidFill>
          <a:srgbClr val="44546A">
            <a:lumMod val="20000"/>
            <a:lumOff val="8000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CO" sz="900" b="0" dirty="0">
              <a:solidFill>
                <a:sysClr val="windowText" lastClr="000000">
                  <a:hueOff val="0"/>
                  <a:satOff val="0"/>
                  <a:lumOff val="0"/>
                  <a:alphaOff val="0"/>
                </a:sysClr>
              </a:solidFill>
              <a:latin typeface="Helvetica"/>
              <a:ea typeface="+mn-ea"/>
              <a:cs typeface="+mn-cs"/>
            </a:rPr>
            <a:t>Dificulta planeación de cubrimiento de la demanda (DM)</a:t>
          </a:r>
          <a:endParaRPr lang="es-CO" sz="900" dirty="0">
            <a:solidFill>
              <a:sysClr val="windowText" lastClr="000000">
                <a:hueOff val="0"/>
                <a:satOff val="0"/>
                <a:lumOff val="0"/>
                <a:alphaOff val="0"/>
              </a:sysClr>
            </a:solidFill>
            <a:latin typeface="Helvetica"/>
            <a:ea typeface="+mn-ea"/>
            <a:cs typeface="+mn-cs"/>
          </a:endParaRPr>
        </a:p>
      </dgm:t>
    </dgm:pt>
    <dgm:pt modelId="{548FB2AF-2DB8-4D87-A96C-0BB13CDB17F7}" type="parTrans" cxnId="{1BD612E2-4304-4F2B-BBC6-ECD03E7F4E8D}">
      <dgm:prSet/>
      <dgm:spPr/>
      <dgm:t>
        <a:bodyPr/>
        <a:lstStyle/>
        <a:p>
          <a:endParaRPr lang="es-CO" sz="900">
            <a:latin typeface="+mn-lt"/>
          </a:endParaRPr>
        </a:p>
      </dgm:t>
    </dgm:pt>
    <dgm:pt modelId="{30EC6F40-0549-4AA4-9A39-B2285D1A23FD}" type="sibTrans" cxnId="{1BD612E2-4304-4F2B-BBC6-ECD03E7F4E8D}">
      <dgm:prSet/>
      <dgm:spPr/>
      <dgm:t>
        <a:bodyPr/>
        <a:lstStyle/>
        <a:p>
          <a:endParaRPr lang="es-CO" sz="900">
            <a:latin typeface="+mn-lt"/>
          </a:endParaRPr>
        </a:p>
      </dgm:t>
    </dgm:pt>
    <dgm:pt modelId="{627C3D46-F815-4DC5-BD35-5647A5B4D14C}">
      <dgm:prSet phldrT="[Texto]" custT="1"/>
      <dgm:spPr>
        <a:xfrm>
          <a:off x="1899584" y="4147142"/>
          <a:ext cx="1895081" cy="531892"/>
        </a:xfrm>
        <a:prstGeom prst="rect">
          <a:avLst/>
        </a:prstGeom>
        <a:solidFill>
          <a:srgbClr val="44546A">
            <a:lumMod val="20000"/>
            <a:lumOff val="8000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MX" sz="900" dirty="0">
              <a:solidFill>
                <a:sysClr val="windowText" lastClr="000000"/>
              </a:solidFill>
              <a:latin typeface="Helvetica"/>
              <a:ea typeface="+mn-ea"/>
              <a:cs typeface="+mn-cs"/>
            </a:rPr>
            <a:t>Sobrecosto al producto derivados de incertidumbre y de falta de planificación en la  importación</a:t>
          </a:r>
          <a:endParaRPr lang="es-CO" sz="900" dirty="0">
            <a:solidFill>
              <a:sysClr val="windowText" lastClr="000000"/>
            </a:solidFill>
            <a:latin typeface="Helvetica"/>
            <a:ea typeface="+mn-ea"/>
            <a:cs typeface="+mn-cs"/>
          </a:endParaRPr>
        </a:p>
      </dgm:t>
    </dgm:pt>
    <dgm:pt modelId="{CA7DED69-D3E4-40F1-9287-0709FC7861A3}" type="parTrans" cxnId="{FB9BE667-2A81-4496-9E53-2EE329803767}">
      <dgm:prSet/>
      <dgm:spPr/>
      <dgm:t>
        <a:bodyPr/>
        <a:lstStyle/>
        <a:p>
          <a:endParaRPr lang="es-CO" sz="900">
            <a:latin typeface="+mn-lt"/>
          </a:endParaRPr>
        </a:p>
      </dgm:t>
    </dgm:pt>
    <dgm:pt modelId="{C71B6683-5343-4DAC-805F-1CF2D4B3C3DF}" type="sibTrans" cxnId="{FB9BE667-2A81-4496-9E53-2EE329803767}">
      <dgm:prSet/>
      <dgm:spPr/>
      <dgm:t>
        <a:bodyPr/>
        <a:lstStyle/>
        <a:p>
          <a:endParaRPr lang="es-CO" sz="900">
            <a:latin typeface="+mn-lt"/>
          </a:endParaRPr>
        </a:p>
      </dgm:t>
    </dgm:pt>
    <dgm:pt modelId="{471A8982-E965-40FB-8C9B-68EBE5431862}">
      <dgm:prSet phldrT="[Texto]" custT="1"/>
      <dgm:spPr>
        <a:xfrm>
          <a:off x="3792941" y="625036"/>
          <a:ext cx="1895081" cy="531733"/>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CO" sz="900" baseline="0" dirty="0">
              <a:solidFill>
                <a:schemeClr val="tx1"/>
              </a:solidFill>
              <a:latin typeface="+mn-lt"/>
            </a:rPr>
            <a:t>No existen señales de transparencia de los costos de importación ni logísticos (internación).</a:t>
          </a:r>
          <a:endParaRPr lang="es-CO" sz="900" dirty="0">
            <a:solidFill>
              <a:sysClr val="windowText" lastClr="000000"/>
            </a:solidFill>
            <a:latin typeface="Helvetica"/>
            <a:ea typeface="+mn-ea"/>
            <a:cs typeface="+mn-cs"/>
          </a:endParaRPr>
        </a:p>
      </dgm:t>
    </dgm:pt>
    <dgm:pt modelId="{93F4F796-B660-4F89-A26D-D948FBF27AE5}" type="parTrans" cxnId="{96F2EEE5-DD47-4778-A5EF-D827A1788A38}">
      <dgm:prSet/>
      <dgm:spPr/>
      <dgm:t>
        <a:bodyPr/>
        <a:lstStyle/>
        <a:p>
          <a:endParaRPr lang="es-CO" sz="900"/>
        </a:p>
      </dgm:t>
    </dgm:pt>
    <dgm:pt modelId="{34CD8040-557C-4E65-A99F-53EA2F40E67A}" type="sibTrans" cxnId="{96F2EEE5-DD47-4778-A5EF-D827A1788A38}">
      <dgm:prSet/>
      <dgm:spPr/>
      <dgm:t>
        <a:bodyPr/>
        <a:lstStyle/>
        <a:p>
          <a:endParaRPr lang="es-CO" sz="900"/>
        </a:p>
      </dgm:t>
    </dgm:pt>
    <dgm:pt modelId="{5A94D5A6-F0E6-4430-85C7-4E453ABAFA86}">
      <dgm:prSet phldrT="[Texto]" custT="1"/>
      <dgm:spPr>
        <a:xfrm>
          <a:off x="3795719" y="4137908"/>
          <a:ext cx="1895081" cy="531892"/>
        </a:xfrm>
        <a:prstGeom prst="rect">
          <a:avLst/>
        </a:prstGeom>
        <a:solidFill>
          <a:srgbClr val="44546A">
            <a:lumMod val="20000"/>
            <a:lumOff val="8000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es-MX" sz="900">
              <a:solidFill>
                <a:sysClr val="windowText" lastClr="000000"/>
              </a:solidFill>
              <a:latin typeface="Helvetica"/>
              <a:ea typeface="+mn-ea"/>
              <a:cs typeface="+mn-cs"/>
            </a:rPr>
            <a:t>Posible traslado de costos ineficientes a los usuarios finales.</a:t>
          </a:r>
          <a:endParaRPr lang="es-CO" sz="900" dirty="0">
            <a:solidFill>
              <a:sysClr val="windowText" lastClr="000000"/>
            </a:solidFill>
            <a:latin typeface="Helvetica"/>
            <a:ea typeface="+mn-ea"/>
            <a:cs typeface="+mn-cs"/>
          </a:endParaRPr>
        </a:p>
      </dgm:t>
    </dgm:pt>
    <dgm:pt modelId="{08F0D5E4-266C-4992-890B-AB39E9E369B4}" type="parTrans" cxnId="{BD729474-FE7B-450B-BCD4-1859AD88AD90}">
      <dgm:prSet/>
      <dgm:spPr/>
      <dgm:t>
        <a:bodyPr/>
        <a:lstStyle/>
        <a:p>
          <a:endParaRPr lang="es-CO" sz="900"/>
        </a:p>
      </dgm:t>
    </dgm:pt>
    <dgm:pt modelId="{12C99D7F-0205-4CEF-A5EB-1AC3F6BCFFF1}" type="sibTrans" cxnId="{BD729474-FE7B-450B-BCD4-1859AD88AD90}">
      <dgm:prSet/>
      <dgm:spPr/>
      <dgm:t>
        <a:bodyPr/>
        <a:lstStyle/>
        <a:p>
          <a:endParaRPr lang="es-CO" sz="900"/>
        </a:p>
      </dgm:t>
    </dgm:pt>
    <dgm:pt modelId="{D1C0EED7-2959-4B48-9631-F92B45C57F72}" type="pres">
      <dgm:prSet presAssocID="{D2BFE50A-D0A3-435C-8B34-A1259ABE7348}" presName="Name0" presStyleCnt="0">
        <dgm:presLayoutVars>
          <dgm:dir/>
          <dgm:animLvl val="lvl"/>
          <dgm:resizeHandles val="exact"/>
        </dgm:presLayoutVars>
      </dgm:prSet>
      <dgm:spPr/>
    </dgm:pt>
    <dgm:pt modelId="{28C710F3-A797-422A-989B-5494AE55ACA3}" type="pres">
      <dgm:prSet presAssocID="{642A8D27-FD56-4F56-B428-F63C0B348A61}" presName="boxAndChildren" presStyleCnt="0"/>
      <dgm:spPr/>
    </dgm:pt>
    <dgm:pt modelId="{1F7C7A2A-ECFA-4E5C-B247-D99FDEDFC8C8}" type="pres">
      <dgm:prSet presAssocID="{642A8D27-FD56-4F56-B428-F63C0B348A61}" presName="parentTextBox" presStyleLbl="node1" presStyleIdx="0" presStyleCnt="3"/>
      <dgm:spPr/>
    </dgm:pt>
    <dgm:pt modelId="{CA972B21-825E-44BA-B824-1A5158F23AD4}" type="pres">
      <dgm:prSet presAssocID="{642A8D27-FD56-4F56-B428-F63C0B348A61}" presName="entireBox" presStyleLbl="node1" presStyleIdx="0" presStyleCnt="3"/>
      <dgm:spPr/>
    </dgm:pt>
    <dgm:pt modelId="{8EFCC584-3006-474C-9401-79BF0D3BE97F}" type="pres">
      <dgm:prSet presAssocID="{642A8D27-FD56-4F56-B428-F63C0B348A61}" presName="descendantBox" presStyleCnt="0"/>
      <dgm:spPr/>
    </dgm:pt>
    <dgm:pt modelId="{8C3E32F2-E0D4-439F-9785-84B3A46F5988}" type="pres">
      <dgm:prSet presAssocID="{24E673B8-30CD-4832-A038-D35F8620A4C3}" presName="childTextBox" presStyleLbl="fgAccFollowNode1" presStyleIdx="0" presStyleCnt="7" custLinFactNeighborX="487" custLinFactNeighborY="2586">
        <dgm:presLayoutVars>
          <dgm:bulletEnabled val="1"/>
        </dgm:presLayoutVars>
      </dgm:prSet>
      <dgm:spPr/>
    </dgm:pt>
    <dgm:pt modelId="{466818AE-6131-4593-8DEE-647CAE9D19DE}" type="pres">
      <dgm:prSet presAssocID="{627C3D46-F815-4DC5-BD35-5647A5B4D14C}" presName="childTextBox" presStyleLbl="fgAccFollowNode1" presStyleIdx="1" presStyleCnt="7" custLinFactNeighborX="91" custLinFactNeighborY="4322">
        <dgm:presLayoutVars>
          <dgm:bulletEnabled val="1"/>
        </dgm:presLayoutVars>
      </dgm:prSet>
      <dgm:spPr/>
    </dgm:pt>
    <dgm:pt modelId="{29FCDBA3-1ED9-4759-8908-EE72C6307D1D}" type="pres">
      <dgm:prSet presAssocID="{5A94D5A6-F0E6-4430-85C7-4E453ABAFA86}" presName="childTextBox" presStyleLbl="fgAccFollowNode1" presStyleIdx="2" presStyleCnt="7" custScaleY="95726" custLinFactNeighborX="147" custLinFactNeighborY="2586">
        <dgm:presLayoutVars>
          <dgm:bulletEnabled val="1"/>
        </dgm:presLayoutVars>
      </dgm:prSet>
      <dgm:spPr/>
    </dgm:pt>
    <dgm:pt modelId="{D1AEE34A-A3BC-46E3-8AA1-65813A871514}" type="pres">
      <dgm:prSet presAssocID="{1B047F0C-478B-4890-80DD-49B1F2338CDE}" presName="sp" presStyleCnt="0"/>
      <dgm:spPr/>
    </dgm:pt>
    <dgm:pt modelId="{C8616CDB-9312-477B-B4DC-972486232EB2}" type="pres">
      <dgm:prSet presAssocID="{EB0D47CE-4652-4141-BB95-693284898303}" presName="arrowAndChildren" presStyleCnt="0"/>
      <dgm:spPr/>
    </dgm:pt>
    <dgm:pt modelId="{7BBB6429-4C9C-4E09-8506-4E5F3133C834}" type="pres">
      <dgm:prSet presAssocID="{EB0D47CE-4652-4141-BB95-693284898303}" presName="parentTextArrow" presStyleLbl="node1" presStyleIdx="0" presStyleCnt="3"/>
      <dgm:spPr/>
    </dgm:pt>
    <dgm:pt modelId="{578FB790-C0F8-4DD4-9C20-5E7CD4D66C44}" type="pres">
      <dgm:prSet presAssocID="{EB0D47CE-4652-4141-BB95-693284898303}" presName="arrow" presStyleLbl="node1" presStyleIdx="1" presStyleCnt="3"/>
      <dgm:spPr/>
    </dgm:pt>
    <dgm:pt modelId="{FA455B4E-4D75-41D3-8DCE-D8DF0CEA6D27}" type="pres">
      <dgm:prSet presAssocID="{EB0D47CE-4652-4141-BB95-693284898303}" presName="descendantArrow" presStyleCnt="0"/>
      <dgm:spPr/>
    </dgm:pt>
    <dgm:pt modelId="{85E00362-292B-4DD3-913D-428D95E90588}" type="pres">
      <dgm:prSet presAssocID="{E08700AD-2877-487A-AFDD-21B15D015AD5}" presName="childTextArrow" presStyleLbl="fgAccFollowNode1" presStyleIdx="3" presStyleCnt="7" custLinFactNeighborY="5211">
        <dgm:presLayoutVars>
          <dgm:bulletEnabled val="1"/>
        </dgm:presLayoutVars>
      </dgm:prSet>
      <dgm:spPr/>
    </dgm:pt>
    <dgm:pt modelId="{DC1A768D-6B97-4E00-82D3-422E5D38C7B7}" type="pres">
      <dgm:prSet presAssocID="{61030E9A-8071-4E25-A8BC-CA434C2C7D2A}" presName="sp" presStyleCnt="0"/>
      <dgm:spPr/>
    </dgm:pt>
    <dgm:pt modelId="{801A25D1-BA22-4389-935A-6DA74AFBBE0D}" type="pres">
      <dgm:prSet presAssocID="{51819672-E1A0-427F-B547-9961EDC661CC}" presName="arrowAndChildren" presStyleCnt="0"/>
      <dgm:spPr/>
    </dgm:pt>
    <dgm:pt modelId="{C76E0C8B-0CAB-4B47-BF08-21944934FF7B}" type="pres">
      <dgm:prSet presAssocID="{51819672-E1A0-427F-B547-9961EDC661CC}" presName="parentTextArrow" presStyleLbl="node1" presStyleIdx="1" presStyleCnt="3"/>
      <dgm:spPr/>
    </dgm:pt>
    <dgm:pt modelId="{698A1DD3-0D71-4D7C-B132-A108A0C86C1C}" type="pres">
      <dgm:prSet presAssocID="{51819672-E1A0-427F-B547-9961EDC661CC}" presName="arrow" presStyleLbl="node1" presStyleIdx="2" presStyleCnt="3" custLinFactNeighborX="1038" custLinFactNeighborY="-47"/>
      <dgm:spPr/>
    </dgm:pt>
    <dgm:pt modelId="{6ADD2A9F-9A20-46EE-810B-3A69C5BD67AB}" type="pres">
      <dgm:prSet presAssocID="{51819672-E1A0-427F-B547-9961EDC661CC}" presName="descendantArrow" presStyleCnt="0"/>
      <dgm:spPr/>
    </dgm:pt>
    <dgm:pt modelId="{D20A7F59-3808-483B-9B99-EE182F47CFF1}" type="pres">
      <dgm:prSet presAssocID="{C8C1DF4E-3BDA-46DF-B892-A387E5C7AFE3}" presName="childTextArrow" presStyleLbl="fgAccFollowNode1" presStyleIdx="4" presStyleCnt="7">
        <dgm:presLayoutVars>
          <dgm:bulletEnabled val="1"/>
        </dgm:presLayoutVars>
      </dgm:prSet>
      <dgm:spPr/>
    </dgm:pt>
    <dgm:pt modelId="{225DF0A2-0432-4F1F-989C-8C03129AC655}" type="pres">
      <dgm:prSet presAssocID="{A00FCD26-F8F3-41E7-9C78-8871B7194C33}" presName="childTextArrow" presStyleLbl="fgAccFollowNode1" presStyleIdx="5" presStyleCnt="7">
        <dgm:presLayoutVars>
          <dgm:bulletEnabled val="1"/>
        </dgm:presLayoutVars>
      </dgm:prSet>
      <dgm:spPr/>
    </dgm:pt>
    <dgm:pt modelId="{4900B022-E93F-423C-9B33-DA1373FAA4B7}" type="pres">
      <dgm:prSet presAssocID="{471A8982-E965-40FB-8C9B-68EBE5431862}" presName="childTextArrow" presStyleLbl="fgAccFollowNode1" presStyleIdx="6" presStyleCnt="7">
        <dgm:presLayoutVars>
          <dgm:bulletEnabled val="1"/>
        </dgm:presLayoutVars>
      </dgm:prSet>
      <dgm:spPr/>
    </dgm:pt>
  </dgm:ptLst>
  <dgm:cxnLst>
    <dgm:cxn modelId="{FAA7330A-8564-4D1C-BF2F-B52048E52E15}" srcId="{51819672-E1A0-427F-B547-9961EDC661CC}" destId="{A00FCD26-F8F3-41E7-9C78-8871B7194C33}" srcOrd="1" destOrd="0" parTransId="{CB3BE6A6-274F-4C6B-9B83-6E268D87132F}" sibTransId="{4DB975F0-3563-44B0-8A59-A25EC8E06ABA}"/>
    <dgm:cxn modelId="{5DA5351E-C2E5-4B8A-A1B1-10C819FAF420}" type="presOf" srcId="{642A8D27-FD56-4F56-B428-F63C0B348A61}" destId="{1F7C7A2A-ECFA-4E5C-B247-D99FDEDFC8C8}" srcOrd="0" destOrd="0" presId="urn:microsoft.com/office/officeart/2005/8/layout/process4"/>
    <dgm:cxn modelId="{CB80F224-1460-4294-9ADD-9DF90EAC9CB4}" type="presOf" srcId="{EB0D47CE-4652-4141-BB95-693284898303}" destId="{7BBB6429-4C9C-4E09-8506-4E5F3133C834}" srcOrd="0" destOrd="0" presId="urn:microsoft.com/office/officeart/2005/8/layout/process4"/>
    <dgm:cxn modelId="{ECA2ED34-A0EB-4250-AD46-34A32AC45F3E}" srcId="{51819672-E1A0-427F-B547-9961EDC661CC}" destId="{C8C1DF4E-3BDA-46DF-B892-A387E5C7AFE3}" srcOrd="0" destOrd="0" parTransId="{A0A8AB71-E3AF-47FE-A700-4BE666ED7F42}" sibTransId="{2C42FC06-9E6A-43C7-BE2A-ACA8FB317960}"/>
    <dgm:cxn modelId="{9D7B1138-E438-4592-899D-22FE685D0399}" type="presOf" srcId="{642A8D27-FD56-4F56-B428-F63C0B348A61}" destId="{CA972B21-825E-44BA-B824-1A5158F23AD4}" srcOrd="1" destOrd="0" presId="urn:microsoft.com/office/officeart/2005/8/layout/process4"/>
    <dgm:cxn modelId="{A1607E65-C57D-434D-B194-A9441A212F81}" type="presOf" srcId="{EB0D47CE-4652-4141-BB95-693284898303}" destId="{578FB790-C0F8-4DD4-9C20-5E7CD4D66C44}" srcOrd="1" destOrd="0" presId="urn:microsoft.com/office/officeart/2005/8/layout/process4"/>
    <dgm:cxn modelId="{3796BE66-5A12-44BA-8634-9F713ACC86DB}" srcId="{EB0D47CE-4652-4141-BB95-693284898303}" destId="{E08700AD-2877-487A-AFDD-21B15D015AD5}" srcOrd="0" destOrd="0" parTransId="{E0ADAA37-E8B0-42C1-AC1E-0BABF194336E}" sibTransId="{BA0FC800-8D60-4337-B1A9-6EC052655B46}"/>
    <dgm:cxn modelId="{FB9BE667-2A81-4496-9E53-2EE329803767}" srcId="{642A8D27-FD56-4F56-B428-F63C0B348A61}" destId="{627C3D46-F815-4DC5-BD35-5647A5B4D14C}" srcOrd="1" destOrd="0" parTransId="{CA7DED69-D3E4-40F1-9287-0709FC7861A3}" sibTransId="{C71B6683-5343-4DAC-805F-1CF2D4B3C3DF}"/>
    <dgm:cxn modelId="{D966F250-E1F4-4E64-B74B-F441BDB0FACE}" type="presOf" srcId="{627C3D46-F815-4DC5-BD35-5647A5B4D14C}" destId="{466818AE-6131-4593-8DEE-647CAE9D19DE}" srcOrd="0" destOrd="0" presId="urn:microsoft.com/office/officeart/2005/8/layout/process4"/>
    <dgm:cxn modelId="{7D005D53-A198-4BAA-978C-42182D54A989}" type="presOf" srcId="{51819672-E1A0-427F-B547-9961EDC661CC}" destId="{C76E0C8B-0CAB-4B47-BF08-21944934FF7B}" srcOrd="0" destOrd="0" presId="urn:microsoft.com/office/officeart/2005/8/layout/process4"/>
    <dgm:cxn modelId="{BD729474-FE7B-450B-BCD4-1859AD88AD90}" srcId="{642A8D27-FD56-4F56-B428-F63C0B348A61}" destId="{5A94D5A6-F0E6-4430-85C7-4E453ABAFA86}" srcOrd="2" destOrd="0" parTransId="{08F0D5E4-266C-4992-890B-AB39E9E369B4}" sibTransId="{12C99D7F-0205-4CEF-A5EB-1AC3F6BCFFF1}"/>
    <dgm:cxn modelId="{281BD855-8337-4CF5-83F1-8070BAA7DBBF}" srcId="{D2BFE50A-D0A3-435C-8B34-A1259ABE7348}" destId="{51819672-E1A0-427F-B547-9961EDC661CC}" srcOrd="0" destOrd="0" parTransId="{12B45F86-5872-466C-950A-3863814BCE11}" sibTransId="{61030E9A-8071-4E25-A8BC-CA434C2C7D2A}"/>
    <dgm:cxn modelId="{5655137F-3078-4B53-A16E-D63D4C429E9C}" type="presOf" srcId="{51819672-E1A0-427F-B547-9961EDC661CC}" destId="{698A1DD3-0D71-4D7C-B132-A108A0C86C1C}" srcOrd="1" destOrd="0" presId="urn:microsoft.com/office/officeart/2005/8/layout/process4"/>
    <dgm:cxn modelId="{08B52384-0E81-4ECE-BDC0-BFBE422968A5}" type="presOf" srcId="{5A94D5A6-F0E6-4430-85C7-4E453ABAFA86}" destId="{29FCDBA3-1ED9-4759-8908-EE72C6307D1D}" srcOrd="0" destOrd="0" presId="urn:microsoft.com/office/officeart/2005/8/layout/process4"/>
    <dgm:cxn modelId="{A0B6848C-72A7-4D33-B151-4079BECE6795}" srcId="{D2BFE50A-D0A3-435C-8B34-A1259ABE7348}" destId="{642A8D27-FD56-4F56-B428-F63C0B348A61}" srcOrd="2" destOrd="0" parTransId="{48117CFB-0775-4064-9E68-B18C46AC7FFC}" sibTransId="{E6696268-8393-43D5-AE03-C25C5DBBBC6B}"/>
    <dgm:cxn modelId="{7035DFBD-D29D-40C0-BDF4-B44288DE1F76}" type="presOf" srcId="{C8C1DF4E-3BDA-46DF-B892-A387E5C7AFE3}" destId="{D20A7F59-3808-483B-9B99-EE182F47CFF1}" srcOrd="0" destOrd="0" presId="urn:microsoft.com/office/officeart/2005/8/layout/process4"/>
    <dgm:cxn modelId="{CB1392DA-CBD9-4421-8378-80F0105B607A}" type="presOf" srcId="{A00FCD26-F8F3-41E7-9C78-8871B7194C33}" destId="{225DF0A2-0432-4F1F-989C-8C03129AC655}" srcOrd="0" destOrd="0" presId="urn:microsoft.com/office/officeart/2005/8/layout/process4"/>
    <dgm:cxn modelId="{1BD612E2-4304-4F2B-BBC6-ECD03E7F4E8D}" srcId="{642A8D27-FD56-4F56-B428-F63C0B348A61}" destId="{24E673B8-30CD-4832-A038-D35F8620A4C3}" srcOrd="0" destOrd="0" parTransId="{548FB2AF-2DB8-4D87-A96C-0BB13CDB17F7}" sibTransId="{30EC6F40-0549-4AA4-9A39-B2285D1A23FD}"/>
    <dgm:cxn modelId="{96F2EEE5-DD47-4778-A5EF-D827A1788A38}" srcId="{51819672-E1A0-427F-B547-9961EDC661CC}" destId="{471A8982-E965-40FB-8C9B-68EBE5431862}" srcOrd="2" destOrd="0" parTransId="{93F4F796-B660-4F89-A26D-D948FBF27AE5}" sibTransId="{34CD8040-557C-4E65-A99F-53EA2F40E67A}"/>
    <dgm:cxn modelId="{F2F419F0-92A2-40BC-AB80-F6F1CBA00724}" type="presOf" srcId="{D2BFE50A-D0A3-435C-8B34-A1259ABE7348}" destId="{D1C0EED7-2959-4B48-9631-F92B45C57F72}" srcOrd="0" destOrd="0" presId="urn:microsoft.com/office/officeart/2005/8/layout/process4"/>
    <dgm:cxn modelId="{01FDD7F3-6BF1-465B-8DBA-9F5944F05371}" type="presOf" srcId="{E08700AD-2877-487A-AFDD-21B15D015AD5}" destId="{85E00362-292B-4DD3-913D-428D95E90588}" srcOrd="0" destOrd="0" presId="urn:microsoft.com/office/officeart/2005/8/layout/process4"/>
    <dgm:cxn modelId="{29D8C5F5-2410-4766-9848-35C796D15EDA}" srcId="{D2BFE50A-D0A3-435C-8B34-A1259ABE7348}" destId="{EB0D47CE-4652-4141-BB95-693284898303}" srcOrd="1" destOrd="0" parTransId="{E8D736A5-437F-4449-A1AD-6B6832338459}" sibTransId="{1B047F0C-478B-4890-80DD-49B1F2338CDE}"/>
    <dgm:cxn modelId="{1E59E6F7-0E65-41D0-B40D-8D91F3EBEACE}" type="presOf" srcId="{471A8982-E965-40FB-8C9B-68EBE5431862}" destId="{4900B022-E93F-423C-9B33-DA1373FAA4B7}" srcOrd="0" destOrd="0" presId="urn:microsoft.com/office/officeart/2005/8/layout/process4"/>
    <dgm:cxn modelId="{8062A3F8-E005-4B44-98B5-1DF1D5EE659A}" type="presOf" srcId="{24E673B8-30CD-4832-A038-D35F8620A4C3}" destId="{8C3E32F2-E0D4-439F-9785-84B3A46F5988}" srcOrd="0" destOrd="0" presId="urn:microsoft.com/office/officeart/2005/8/layout/process4"/>
    <dgm:cxn modelId="{FA0495AD-5290-41A2-9E25-66FC84740BA8}" type="presParOf" srcId="{D1C0EED7-2959-4B48-9631-F92B45C57F72}" destId="{28C710F3-A797-422A-989B-5494AE55ACA3}" srcOrd="0" destOrd="0" presId="urn:microsoft.com/office/officeart/2005/8/layout/process4"/>
    <dgm:cxn modelId="{2405405A-9668-4B9A-8724-0530E790FA07}" type="presParOf" srcId="{28C710F3-A797-422A-989B-5494AE55ACA3}" destId="{1F7C7A2A-ECFA-4E5C-B247-D99FDEDFC8C8}" srcOrd="0" destOrd="0" presId="urn:microsoft.com/office/officeart/2005/8/layout/process4"/>
    <dgm:cxn modelId="{A76899DD-86EB-46F0-93B8-EE11BC328914}" type="presParOf" srcId="{28C710F3-A797-422A-989B-5494AE55ACA3}" destId="{CA972B21-825E-44BA-B824-1A5158F23AD4}" srcOrd="1" destOrd="0" presId="urn:microsoft.com/office/officeart/2005/8/layout/process4"/>
    <dgm:cxn modelId="{3EF57058-02F3-4877-AB57-B68788109BA5}" type="presParOf" srcId="{28C710F3-A797-422A-989B-5494AE55ACA3}" destId="{8EFCC584-3006-474C-9401-79BF0D3BE97F}" srcOrd="2" destOrd="0" presId="urn:microsoft.com/office/officeart/2005/8/layout/process4"/>
    <dgm:cxn modelId="{94B4DD00-4A2A-4B6D-B36B-89E5187E7BE2}" type="presParOf" srcId="{8EFCC584-3006-474C-9401-79BF0D3BE97F}" destId="{8C3E32F2-E0D4-439F-9785-84B3A46F5988}" srcOrd="0" destOrd="0" presId="urn:microsoft.com/office/officeart/2005/8/layout/process4"/>
    <dgm:cxn modelId="{48D1C37E-1940-4EBF-9DDB-1A5B5C372272}" type="presParOf" srcId="{8EFCC584-3006-474C-9401-79BF0D3BE97F}" destId="{466818AE-6131-4593-8DEE-647CAE9D19DE}" srcOrd="1" destOrd="0" presId="urn:microsoft.com/office/officeart/2005/8/layout/process4"/>
    <dgm:cxn modelId="{4B59C053-8B82-4448-A386-A4169CF0032B}" type="presParOf" srcId="{8EFCC584-3006-474C-9401-79BF0D3BE97F}" destId="{29FCDBA3-1ED9-4759-8908-EE72C6307D1D}" srcOrd="2" destOrd="0" presId="urn:microsoft.com/office/officeart/2005/8/layout/process4"/>
    <dgm:cxn modelId="{8FEAEA84-E514-4817-9962-AC168B37AAC6}" type="presParOf" srcId="{D1C0EED7-2959-4B48-9631-F92B45C57F72}" destId="{D1AEE34A-A3BC-46E3-8AA1-65813A871514}" srcOrd="1" destOrd="0" presId="urn:microsoft.com/office/officeart/2005/8/layout/process4"/>
    <dgm:cxn modelId="{0ECE5187-F7E9-4068-A148-3E83891BF59A}" type="presParOf" srcId="{D1C0EED7-2959-4B48-9631-F92B45C57F72}" destId="{C8616CDB-9312-477B-B4DC-972486232EB2}" srcOrd="2" destOrd="0" presId="urn:microsoft.com/office/officeart/2005/8/layout/process4"/>
    <dgm:cxn modelId="{5B4F5C45-B21B-41CE-98F5-5E85BFAB757D}" type="presParOf" srcId="{C8616CDB-9312-477B-B4DC-972486232EB2}" destId="{7BBB6429-4C9C-4E09-8506-4E5F3133C834}" srcOrd="0" destOrd="0" presId="urn:microsoft.com/office/officeart/2005/8/layout/process4"/>
    <dgm:cxn modelId="{A1343FE9-FD11-4638-988C-8CF9AF562E5B}" type="presParOf" srcId="{C8616CDB-9312-477B-B4DC-972486232EB2}" destId="{578FB790-C0F8-4DD4-9C20-5E7CD4D66C44}" srcOrd="1" destOrd="0" presId="urn:microsoft.com/office/officeart/2005/8/layout/process4"/>
    <dgm:cxn modelId="{1C3F96A7-23EF-4666-8BFE-4C2BE9937737}" type="presParOf" srcId="{C8616CDB-9312-477B-B4DC-972486232EB2}" destId="{FA455B4E-4D75-41D3-8DCE-D8DF0CEA6D27}" srcOrd="2" destOrd="0" presId="urn:microsoft.com/office/officeart/2005/8/layout/process4"/>
    <dgm:cxn modelId="{5C771C63-F8DC-4ED4-A6E1-34472B35F819}" type="presParOf" srcId="{FA455B4E-4D75-41D3-8DCE-D8DF0CEA6D27}" destId="{85E00362-292B-4DD3-913D-428D95E90588}" srcOrd="0" destOrd="0" presId="urn:microsoft.com/office/officeart/2005/8/layout/process4"/>
    <dgm:cxn modelId="{0B06BC7E-C03C-475B-AFEF-8AABBDDBE117}" type="presParOf" srcId="{D1C0EED7-2959-4B48-9631-F92B45C57F72}" destId="{DC1A768D-6B97-4E00-82D3-422E5D38C7B7}" srcOrd="3" destOrd="0" presId="urn:microsoft.com/office/officeart/2005/8/layout/process4"/>
    <dgm:cxn modelId="{CFE4386B-94C7-4BF5-8327-DD5E72B4E006}" type="presParOf" srcId="{D1C0EED7-2959-4B48-9631-F92B45C57F72}" destId="{801A25D1-BA22-4389-935A-6DA74AFBBE0D}" srcOrd="4" destOrd="0" presId="urn:microsoft.com/office/officeart/2005/8/layout/process4"/>
    <dgm:cxn modelId="{3C16E3A6-F759-4EAF-81A1-1E0EE5D07C3D}" type="presParOf" srcId="{801A25D1-BA22-4389-935A-6DA74AFBBE0D}" destId="{C76E0C8B-0CAB-4B47-BF08-21944934FF7B}" srcOrd="0" destOrd="0" presId="urn:microsoft.com/office/officeart/2005/8/layout/process4"/>
    <dgm:cxn modelId="{1DCD4130-EE02-4CE3-90FF-F4C3214AC075}" type="presParOf" srcId="{801A25D1-BA22-4389-935A-6DA74AFBBE0D}" destId="{698A1DD3-0D71-4D7C-B132-A108A0C86C1C}" srcOrd="1" destOrd="0" presId="urn:microsoft.com/office/officeart/2005/8/layout/process4"/>
    <dgm:cxn modelId="{BA5CE33C-1286-4888-A11D-BC719C927EE8}" type="presParOf" srcId="{801A25D1-BA22-4389-935A-6DA74AFBBE0D}" destId="{6ADD2A9F-9A20-46EE-810B-3A69C5BD67AB}" srcOrd="2" destOrd="0" presId="urn:microsoft.com/office/officeart/2005/8/layout/process4"/>
    <dgm:cxn modelId="{E42F89EE-68ED-4462-A017-DA29C0EC3062}" type="presParOf" srcId="{6ADD2A9F-9A20-46EE-810B-3A69C5BD67AB}" destId="{D20A7F59-3808-483B-9B99-EE182F47CFF1}" srcOrd="0" destOrd="0" presId="urn:microsoft.com/office/officeart/2005/8/layout/process4"/>
    <dgm:cxn modelId="{280FB2EA-76DD-4D2E-B512-A7B487B9F128}" type="presParOf" srcId="{6ADD2A9F-9A20-46EE-810B-3A69C5BD67AB}" destId="{225DF0A2-0432-4F1F-989C-8C03129AC655}" srcOrd="1" destOrd="0" presId="urn:microsoft.com/office/officeart/2005/8/layout/process4"/>
    <dgm:cxn modelId="{DF24AD34-691D-4F23-8063-C8620BAD5E4D}" type="presParOf" srcId="{6ADD2A9F-9A20-46EE-810B-3A69C5BD67AB}" destId="{4900B022-E93F-423C-9B33-DA1373FAA4B7}" srcOrd="2" destOrd="0" presId="urn:microsoft.com/office/officeart/2005/8/layout/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FE50A-D0A3-435C-8B34-A1259ABE734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s-CO"/>
        </a:p>
      </dgm:t>
    </dgm:pt>
    <dgm:pt modelId="{EB0D47CE-4652-4141-BB95-693284898303}">
      <dgm:prSet phldrT="[Texto]" custT="1"/>
      <dgm:spPr/>
      <dgm:t>
        <a:bodyPr/>
        <a:lstStyle/>
        <a:p>
          <a:r>
            <a:rPr lang="es-CO" sz="900" b="0">
              <a:latin typeface="Helvetica" panose="020B0604020202020204" pitchFamily="34" charset="0"/>
              <a:cs typeface="Helvetica" panose="020B0604020202020204" pitchFamily="34" charset="0"/>
            </a:rPr>
            <a:t>Problema</a:t>
          </a:r>
        </a:p>
      </dgm:t>
    </dgm:pt>
    <dgm:pt modelId="{E8D736A5-437F-4449-A1AD-6B6832338459}" type="parTrans" cxnId="{29D8C5F5-2410-4766-9848-35C796D15EDA}">
      <dgm:prSet/>
      <dgm:spPr/>
      <dgm:t>
        <a:bodyPr/>
        <a:lstStyle/>
        <a:p>
          <a:endParaRPr lang="es-CO" sz="900">
            <a:latin typeface="Helvetica" panose="020B0604020202020204" pitchFamily="34" charset="0"/>
            <a:cs typeface="Helvetica" panose="020B0604020202020204" pitchFamily="34" charset="0"/>
          </a:endParaRPr>
        </a:p>
      </dgm:t>
    </dgm:pt>
    <dgm:pt modelId="{1B047F0C-478B-4890-80DD-49B1F2338CDE}" type="sibTrans" cxnId="{29D8C5F5-2410-4766-9848-35C796D15EDA}">
      <dgm:prSet/>
      <dgm:spPr/>
      <dgm:t>
        <a:bodyPr/>
        <a:lstStyle/>
        <a:p>
          <a:endParaRPr lang="es-CO" sz="900">
            <a:latin typeface="Helvetica" panose="020B0604020202020204" pitchFamily="34" charset="0"/>
            <a:cs typeface="Helvetica" panose="020B0604020202020204" pitchFamily="34" charset="0"/>
          </a:endParaRPr>
        </a:p>
      </dgm:t>
    </dgm:pt>
    <dgm:pt modelId="{642A8D27-FD56-4F56-B428-F63C0B348A61}">
      <dgm:prSet phldrT="[Texto]" custT="1"/>
      <dgm:spPr/>
      <dgm:t>
        <a:bodyPr/>
        <a:lstStyle/>
        <a:p>
          <a:r>
            <a:rPr lang="es-CO" sz="900" b="0">
              <a:latin typeface="Helvetica" panose="020B0604020202020204" pitchFamily="34" charset="0"/>
              <a:cs typeface="Helvetica" panose="020B0604020202020204" pitchFamily="34" charset="0"/>
            </a:rPr>
            <a:t>Efectos directos</a:t>
          </a:r>
        </a:p>
      </dgm:t>
    </dgm:pt>
    <dgm:pt modelId="{48117CFB-0775-4064-9E68-B18C46AC7FFC}" type="parTrans" cxnId="{A0B6848C-72A7-4D33-B151-4079BECE6795}">
      <dgm:prSet/>
      <dgm:spPr/>
      <dgm:t>
        <a:bodyPr/>
        <a:lstStyle/>
        <a:p>
          <a:endParaRPr lang="es-CO" sz="900">
            <a:latin typeface="Helvetica" panose="020B0604020202020204" pitchFamily="34" charset="0"/>
            <a:cs typeface="Helvetica" panose="020B0604020202020204" pitchFamily="34" charset="0"/>
          </a:endParaRPr>
        </a:p>
      </dgm:t>
    </dgm:pt>
    <dgm:pt modelId="{E6696268-8393-43D5-AE03-C25C5DBBBC6B}" type="sibTrans" cxnId="{A0B6848C-72A7-4D33-B151-4079BECE6795}">
      <dgm:prSet/>
      <dgm:spPr/>
      <dgm:t>
        <a:bodyPr/>
        <a:lstStyle/>
        <a:p>
          <a:endParaRPr lang="es-CO" sz="900">
            <a:latin typeface="Helvetica" panose="020B0604020202020204" pitchFamily="34" charset="0"/>
            <a:cs typeface="Helvetica" panose="020B0604020202020204" pitchFamily="34" charset="0"/>
          </a:endParaRPr>
        </a:p>
      </dgm:t>
    </dgm:pt>
    <dgm:pt modelId="{A00FCD26-F8F3-41E7-9C78-8871B7194C33}">
      <dgm:prSet phldrT="[Texto]" custT="1"/>
      <dgm:spPr/>
      <dgm:t>
        <a:bodyPr/>
        <a:lstStyle/>
        <a:p>
          <a:r>
            <a:rPr lang="es-CO" sz="900">
              <a:solidFill>
                <a:sysClr val="windowText" lastClr="000000"/>
              </a:solidFill>
              <a:latin typeface="Helvetica" panose="020B0604020202020204" pitchFamily="34" charset="0"/>
              <a:cs typeface="Helvetica" panose="020B0604020202020204" pitchFamily="34" charset="0"/>
            </a:rPr>
            <a:t>Asimetrías de información</a:t>
          </a:r>
          <a:endParaRPr lang="es-CO" sz="900">
            <a:latin typeface="Helvetica" panose="020B0604020202020204" pitchFamily="34" charset="0"/>
            <a:cs typeface="Helvetica" panose="020B0604020202020204" pitchFamily="34" charset="0"/>
          </a:endParaRPr>
        </a:p>
      </dgm:t>
    </dgm:pt>
    <dgm:pt modelId="{CB3BE6A6-274F-4C6B-9B83-6E268D87132F}" type="parTrans" cxnId="{FAA7330A-8564-4D1C-BF2F-B52048E52E15}">
      <dgm:prSet/>
      <dgm:spPr/>
      <dgm:t>
        <a:bodyPr/>
        <a:lstStyle/>
        <a:p>
          <a:endParaRPr lang="es-CO" sz="900">
            <a:latin typeface="Helvetica" panose="020B0604020202020204" pitchFamily="34" charset="0"/>
            <a:cs typeface="Helvetica" panose="020B0604020202020204" pitchFamily="34" charset="0"/>
          </a:endParaRPr>
        </a:p>
      </dgm:t>
    </dgm:pt>
    <dgm:pt modelId="{4DB975F0-3563-44B0-8A59-A25EC8E06ABA}" type="sibTrans" cxnId="{FAA7330A-8564-4D1C-BF2F-B52048E52E15}">
      <dgm:prSet/>
      <dgm:spPr/>
      <dgm:t>
        <a:bodyPr/>
        <a:lstStyle/>
        <a:p>
          <a:endParaRPr lang="es-CO" sz="900">
            <a:latin typeface="Helvetica" panose="020B0604020202020204" pitchFamily="34" charset="0"/>
            <a:cs typeface="Helvetica" panose="020B0604020202020204" pitchFamily="34" charset="0"/>
          </a:endParaRPr>
        </a:p>
      </dgm:t>
    </dgm:pt>
    <dgm:pt modelId="{FB3522EE-DA1E-42E0-AFA5-00A9A57CD4C6}">
      <dgm:prSet phldrT="[Texto]" custT="1"/>
      <dgm:spPr/>
      <dgm:t>
        <a:bodyPr/>
        <a:lstStyle/>
        <a:p>
          <a:r>
            <a:rPr lang="es-CO" sz="900">
              <a:latin typeface="Helvetica" panose="020B0604020202020204" pitchFamily="34" charset="0"/>
              <a:cs typeface="Helvetica" panose="020B0604020202020204" pitchFamily="34" charset="0"/>
            </a:rPr>
            <a:t>Posible extracción de rentas por parte de los agentes en zonas donde se presume baja dinámica de competencia.</a:t>
          </a:r>
        </a:p>
      </dgm:t>
    </dgm:pt>
    <dgm:pt modelId="{EEE04FEE-3019-4CA7-B4A7-7F3DEA832525}" type="parTrans" cxnId="{BBCF1411-036A-4225-9673-F860532144B4}">
      <dgm:prSet/>
      <dgm:spPr/>
      <dgm:t>
        <a:bodyPr/>
        <a:lstStyle/>
        <a:p>
          <a:endParaRPr lang="es-CO" sz="900">
            <a:latin typeface="Helvetica" panose="020B0604020202020204" pitchFamily="34" charset="0"/>
            <a:cs typeface="Helvetica" panose="020B0604020202020204" pitchFamily="34" charset="0"/>
          </a:endParaRPr>
        </a:p>
      </dgm:t>
    </dgm:pt>
    <dgm:pt modelId="{E27FBCC6-883C-451A-B912-79047E8318A8}" type="sibTrans" cxnId="{BBCF1411-036A-4225-9673-F860532144B4}">
      <dgm:prSet/>
      <dgm:spPr/>
      <dgm:t>
        <a:bodyPr/>
        <a:lstStyle/>
        <a:p>
          <a:endParaRPr lang="es-CO" sz="900">
            <a:latin typeface="Helvetica" panose="020B0604020202020204" pitchFamily="34" charset="0"/>
            <a:cs typeface="Helvetica" panose="020B0604020202020204" pitchFamily="34" charset="0"/>
          </a:endParaRPr>
        </a:p>
      </dgm:t>
    </dgm:pt>
    <dgm:pt modelId="{E08700AD-2877-487A-AFDD-21B15D015AD5}">
      <dgm:prSet phldrT="[Texto]" custT="1"/>
      <dgm:spPr/>
      <dgm:t>
        <a:bodyPr/>
        <a:lstStyle/>
        <a:p>
          <a:r>
            <a:rPr lang="es-ES_tradnl" sz="900" b="0" dirty="0">
              <a:latin typeface="Helvetica" panose="020B0604020202020204" pitchFamily="34" charset="0"/>
              <a:cs typeface="Helvetica" panose="020B0604020202020204" pitchFamily="34" charset="0"/>
            </a:rPr>
            <a:t>Ante el desconocimiento de la dinámica de mercado en la distribución mayorista y minorista, </a:t>
          </a:r>
          <a:r>
            <a:rPr lang="es-CO" sz="900" b="0" dirty="0">
              <a:latin typeface="Helvetica" panose="020B0604020202020204" pitchFamily="34" charset="0"/>
              <a:cs typeface="Helvetica" panose="020B0604020202020204" pitchFamily="34" charset="0"/>
            </a:rPr>
            <a:t>posiblemente el régimen de precios no es el adecuado.</a:t>
          </a:r>
          <a:endParaRPr lang="es-CO" sz="900" b="1" dirty="0">
            <a:latin typeface="Helvetica" panose="020B0604020202020204" pitchFamily="34" charset="0"/>
            <a:cs typeface="Helvetica" panose="020B0604020202020204" pitchFamily="34" charset="0"/>
          </a:endParaRPr>
        </a:p>
      </dgm:t>
    </dgm:pt>
    <dgm:pt modelId="{E0ADAA37-E8B0-42C1-AC1E-0BABF194336E}" type="parTrans" cxnId="{3796BE66-5A12-44BA-8634-9F713ACC86DB}">
      <dgm:prSet/>
      <dgm:spPr/>
      <dgm:t>
        <a:bodyPr/>
        <a:lstStyle/>
        <a:p>
          <a:endParaRPr lang="es-CO" sz="900">
            <a:latin typeface="Helvetica" panose="020B0604020202020204" pitchFamily="34" charset="0"/>
            <a:cs typeface="Helvetica" panose="020B0604020202020204" pitchFamily="34" charset="0"/>
          </a:endParaRPr>
        </a:p>
      </dgm:t>
    </dgm:pt>
    <dgm:pt modelId="{BA0FC800-8D60-4337-B1A9-6EC052655B46}" type="sibTrans" cxnId="{3796BE66-5A12-44BA-8634-9F713ACC86DB}">
      <dgm:prSet/>
      <dgm:spPr/>
      <dgm:t>
        <a:bodyPr/>
        <a:lstStyle/>
        <a:p>
          <a:endParaRPr lang="es-CO" sz="900">
            <a:latin typeface="Helvetica" panose="020B0604020202020204" pitchFamily="34" charset="0"/>
            <a:cs typeface="Helvetica" panose="020B0604020202020204" pitchFamily="34" charset="0"/>
          </a:endParaRPr>
        </a:p>
      </dgm:t>
    </dgm:pt>
    <dgm:pt modelId="{51819672-E1A0-427F-B547-9961EDC661CC}">
      <dgm:prSet phldrT="[Texto]" custT="1"/>
      <dgm:spPr/>
      <dgm:t>
        <a:bodyPr/>
        <a:lstStyle/>
        <a:p>
          <a:r>
            <a:rPr lang="es-CO" sz="900" b="0">
              <a:latin typeface="Helvetica" panose="020B0604020202020204" pitchFamily="34" charset="0"/>
              <a:cs typeface="Helvetica" panose="020B0604020202020204" pitchFamily="34" charset="0"/>
            </a:rPr>
            <a:t>Causas</a:t>
          </a:r>
        </a:p>
      </dgm:t>
    </dgm:pt>
    <dgm:pt modelId="{12B45F86-5872-466C-950A-3863814BCE11}" type="parTrans" cxnId="{281BD855-8337-4CF5-83F1-8070BAA7DBBF}">
      <dgm:prSet/>
      <dgm:spPr/>
      <dgm:t>
        <a:bodyPr/>
        <a:lstStyle/>
        <a:p>
          <a:endParaRPr lang="es-CO" sz="900">
            <a:latin typeface="Helvetica" panose="020B0604020202020204" pitchFamily="34" charset="0"/>
            <a:cs typeface="Helvetica" panose="020B0604020202020204" pitchFamily="34" charset="0"/>
          </a:endParaRPr>
        </a:p>
      </dgm:t>
    </dgm:pt>
    <dgm:pt modelId="{61030E9A-8071-4E25-A8BC-CA434C2C7D2A}" type="sibTrans" cxnId="{281BD855-8337-4CF5-83F1-8070BAA7DBBF}">
      <dgm:prSet/>
      <dgm:spPr/>
      <dgm:t>
        <a:bodyPr/>
        <a:lstStyle/>
        <a:p>
          <a:endParaRPr lang="es-CO" sz="900">
            <a:latin typeface="Helvetica" panose="020B0604020202020204" pitchFamily="34" charset="0"/>
            <a:cs typeface="Helvetica" panose="020B0604020202020204" pitchFamily="34" charset="0"/>
          </a:endParaRPr>
        </a:p>
      </dgm:t>
    </dgm:pt>
    <dgm:pt modelId="{C8C1DF4E-3BDA-46DF-B892-A387E5C7AFE3}">
      <dgm:prSet phldrT="[Texto]" custT="1"/>
      <dgm:spPr/>
      <dgm:t>
        <a:bodyPr/>
        <a:lstStyle/>
        <a:p>
          <a:r>
            <a:rPr lang="es-CO" sz="900">
              <a:solidFill>
                <a:sysClr val="windowText" lastClr="000000"/>
              </a:solidFill>
              <a:latin typeface="Helvetica" panose="020B0604020202020204" pitchFamily="34" charset="0"/>
              <a:cs typeface="Helvetica" panose="020B0604020202020204" pitchFamily="34" charset="0"/>
            </a:rPr>
            <a:t>Cambios en dinámica de competencia durante la última década</a:t>
          </a:r>
          <a:endParaRPr lang="es-CO" sz="900">
            <a:latin typeface="Helvetica" panose="020B0604020202020204" pitchFamily="34" charset="0"/>
            <a:cs typeface="Helvetica" panose="020B0604020202020204" pitchFamily="34" charset="0"/>
          </a:endParaRPr>
        </a:p>
      </dgm:t>
    </dgm:pt>
    <dgm:pt modelId="{A0A8AB71-E3AF-47FE-A700-4BE666ED7F42}" type="parTrans" cxnId="{ECA2ED34-A0EB-4250-AD46-34A32AC45F3E}">
      <dgm:prSet/>
      <dgm:spPr/>
      <dgm:t>
        <a:bodyPr/>
        <a:lstStyle/>
        <a:p>
          <a:endParaRPr lang="es-CO" sz="900">
            <a:latin typeface="Helvetica" panose="020B0604020202020204" pitchFamily="34" charset="0"/>
            <a:cs typeface="Helvetica" panose="020B0604020202020204" pitchFamily="34" charset="0"/>
          </a:endParaRPr>
        </a:p>
      </dgm:t>
    </dgm:pt>
    <dgm:pt modelId="{2C42FC06-9E6A-43C7-BE2A-ACA8FB317960}" type="sibTrans" cxnId="{ECA2ED34-A0EB-4250-AD46-34A32AC45F3E}">
      <dgm:prSet/>
      <dgm:spPr/>
      <dgm:t>
        <a:bodyPr/>
        <a:lstStyle/>
        <a:p>
          <a:endParaRPr lang="es-CO" sz="900">
            <a:latin typeface="Helvetica" panose="020B0604020202020204" pitchFamily="34" charset="0"/>
            <a:cs typeface="Helvetica" panose="020B0604020202020204" pitchFamily="34" charset="0"/>
          </a:endParaRPr>
        </a:p>
      </dgm:t>
    </dgm:pt>
    <dgm:pt modelId="{9B1E680F-0B69-447D-AC09-12EEC774903D}" type="pres">
      <dgm:prSet presAssocID="{D2BFE50A-D0A3-435C-8B34-A1259ABE7348}" presName="Name0" presStyleCnt="0">
        <dgm:presLayoutVars>
          <dgm:dir/>
          <dgm:animLvl val="lvl"/>
          <dgm:resizeHandles val="exact"/>
        </dgm:presLayoutVars>
      </dgm:prSet>
      <dgm:spPr/>
    </dgm:pt>
    <dgm:pt modelId="{E89F56B9-28C8-4396-AFDF-050AE82CA229}" type="pres">
      <dgm:prSet presAssocID="{642A8D27-FD56-4F56-B428-F63C0B348A61}" presName="boxAndChildren" presStyleCnt="0"/>
      <dgm:spPr/>
    </dgm:pt>
    <dgm:pt modelId="{C9EC5DB8-FDEA-4819-A9FF-9B16F8064DD9}" type="pres">
      <dgm:prSet presAssocID="{642A8D27-FD56-4F56-B428-F63C0B348A61}" presName="parentTextBox" presStyleLbl="node1" presStyleIdx="0" presStyleCnt="3"/>
      <dgm:spPr/>
    </dgm:pt>
    <dgm:pt modelId="{F9EBC674-7B96-4846-8428-89B6BB0940C5}" type="pres">
      <dgm:prSet presAssocID="{642A8D27-FD56-4F56-B428-F63C0B348A61}" presName="entireBox" presStyleLbl="node1" presStyleIdx="0" presStyleCnt="3"/>
      <dgm:spPr/>
    </dgm:pt>
    <dgm:pt modelId="{56898672-7A39-4F08-8666-15A9FC834EDD}" type="pres">
      <dgm:prSet presAssocID="{642A8D27-FD56-4F56-B428-F63C0B348A61}" presName="descendantBox" presStyleCnt="0"/>
      <dgm:spPr/>
    </dgm:pt>
    <dgm:pt modelId="{DCF345C6-622A-4A66-839A-34047D85382E}" type="pres">
      <dgm:prSet presAssocID="{FB3522EE-DA1E-42E0-AFA5-00A9A57CD4C6}" presName="childTextBox" presStyleLbl="fgAccFollowNode1" presStyleIdx="0" presStyleCnt="4">
        <dgm:presLayoutVars>
          <dgm:bulletEnabled val="1"/>
        </dgm:presLayoutVars>
      </dgm:prSet>
      <dgm:spPr/>
    </dgm:pt>
    <dgm:pt modelId="{AB8061D6-64FF-4990-947C-9BBBD5AFA0FE}" type="pres">
      <dgm:prSet presAssocID="{1B047F0C-478B-4890-80DD-49B1F2338CDE}" presName="sp" presStyleCnt="0"/>
      <dgm:spPr/>
    </dgm:pt>
    <dgm:pt modelId="{5A65F785-1AD6-43D8-8115-4A906DE79685}" type="pres">
      <dgm:prSet presAssocID="{EB0D47CE-4652-4141-BB95-693284898303}" presName="arrowAndChildren" presStyleCnt="0"/>
      <dgm:spPr/>
    </dgm:pt>
    <dgm:pt modelId="{6125AC57-9852-4B6E-B8EF-1795B94A8ECF}" type="pres">
      <dgm:prSet presAssocID="{EB0D47CE-4652-4141-BB95-693284898303}" presName="parentTextArrow" presStyleLbl="node1" presStyleIdx="0" presStyleCnt="3"/>
      <dgm:spPr/>
    </dgm:pt>
    <dgm:pt modelId="{9BE1C8D9-CB45-43B3-83DB-EFE55555E66E}" type="pres">
      <dgm:prSet presAssocID="{EB0D47CE-4652-4141-BB95-693284898303}" presName="arrow" presStyleLbl="node1" presStyleIdx="1" presStyleCnt="3"/>
      <dgm:spPr/>
    </dgm:pt>
    <dgm:pt modelId="{A820AEE8-3FD0-43FB-AC37-52C217DCA93A}" type="pres">
      <dgm:prSet presAssocID="{EB0D47CE-4652-4141-BB95-693284898303}" presName="descendantArrow" presStyleCnt="0"/>
      <dgm:spPr/>
    </dgm:pt>
    <dgm:pt modelId="{A1086C7B-BA2E-4BA4-8ADE-D7DD89AF343F}" type="pres">
      <dgm:prSet presAssocID="{E08700AD-2877-487A-AFDD-21B15D015AD5}" presName="childTextArrow" presStyleLbl="fgAccFollowNode1" presStyleIdx="1" presStyleCnt="4" custScaleY="110814">
        <dgm:presLayoutVars>
          <dgm:bulletEnabled val="1"/>
        </dgm:presLayoutVars>
      </dgm:prSet>
      <dgm:spPr/>
    </dgm:pt>
    <dgm:pt modelId="{60F252A6-F19C-4BFE-8D21-A65B1536EBB4}" type="pres">
      <dgm:prSet presAssocID="{61030E9A-8071-4E25-A8BC-CA434C2C7D2A}" presName="sp" presStyleCnt="0"/>
      <dgm:spPr/>
    </dgm:pt>
    <dgm:pt modelId="{61B22D91-8EBF-49D1-97E1-69274938686C}" type="pres">
      <dgm:prSet presAssocID="{51819672-E1A0-427F-B547-9961EDC661CC}" presName="arrowAndChildren" presStyleCnt="0"/>
      <dgm:spPr/>
    </dgm:pt>
    <dgm:pt modelId="{62AEB5D0-672F-4349-997C-80B474467A30}" type="pres">
      <dgm:prSet presAssocID="{51819672-E1A0-427F-B547-9961EDC661CC}" presName="parentTextArrow" presStyleLbl="node1" presStyleIdx="1" presStyleCnt="3"/>
      <dgm:spPr/>
    </dgm:pt>
    <dgm:pt modelId="{BF870464-B5C4-443C-9EBE-6A1A89471124}" type="pres">
      <dgm:prSet presAssocID="{51819672-E1A0-427F-B547-9961EDC661CC}" presName="arrow" presStyleLbl="node1" presStyleIdx="2" presStyleCnt="3"/>
      <dgm:spPr/>
    </dgm:pt>
    <dgm:pt modelId="{0819E2BE-40C7-49F3-90F9-E8B35FB485C3}" type="pres">
      <dgm:prSet presAssocID="{51819672-E1A0-427F-B547-9961EDC661CC}" presName="descendantArrow" presStyleCnt="0"/>
      <dgm:spPr/>
    </dgm:pt>
    <dgm:pt modelId="{81630C3C-6122-4461-8CA6-59E0E88792D4}" type="pres">
      <dgm:prSet presAssocID="{C8C1DF4E-3BDA-46DF-B892-A387E5C7AFE3}" presName="childTextArrow" presStyleLbl="fgAccFollowNode1" presStyleIdx="2" presStyleCnt="4">
        <dgm:presLayoutVars>
          <dgm:bulletEnabled val="1"/>
        </dgm:presLayoutVars>
      </dgm:prSet>
      <dgm:spPr/>
    </dgm:pt>
    <dgm:pt modelId="{19535DFB-DFF1-4B7F-A2C9-3ECA48B454F6}" type="pres">
      <dgm:prSet presAssocID="{A00FCD26-F8F3-41E7-9C78-8871B7194C33}" presName="childTextArrow" presStyleLbl="fgAccFollowNode1" presStyleIdx="3" presStyleCnt="4">
        <dgm:presLayoutVars>
          <dgm:bulletEnabled val="1"/>
        </dgm:presLayoutVars>
      </dgm:prSet>
      <dgm:spPr/>
    </dgm:pt>
  </dgm:ptLst>
  <dgm:cxnLst>
    <dgm:cxn modelId="{FAA7330A-8564-4D1C-BF2F-B52048E52E15}" srcId="{51819672-E1A0-427F-B547-9961EDC661CC}" destId="{A00FCD26-F8F3-41E7-9C78-8871B7194C33}" srcOrd="1" destOrd="0" parTransId="{CB3BE6A6-274F-4C6B-9B83-6E268D87132F}" sibTransId="{4DB975F0-3563-44B0-8A59-A25EC8E06ABA}"/>
    <dgm:cxn modelId="{8D87340D-ECEC-4D8C-BC45-C6997DF44E01}" type="presOf" srcId="{EB0D47CE-4652-4141-BB95-693284898303}" destId="{6125AC57-9852-4B6E-B8EF-1795B94A8ECF}" srcOrd="0" destOrd="0" presId="urn:microsoft.com/office/officeart/2005/8/layout/process4"/>
    <dgm:cxn modelId="{BBCF1411-036A-4225-9673-F860532144B4}" srcId="{642A8D27-FD56-4F56-B428-F63C0B348A61}" destId="{FB3522EE-DA1E-42E0-AFA5-00A9A57CD4C6}" srcOrd="0" destOrd="0" parTransId="{EEE04FEE-3019-4CA7-B4A7-7F3DEA832525}" sibTransId="{E27FBCC6-883C-451A-B912-79047E8318A8}"/>
    <dgm:cxn modelId="{EA1C912F-C574-4F4D-9892-34326878F74F}" type="presOf" srcId="{642A8D27-FD56-4F56-B428-F63C0B348A61}" destId="{C9EC5DB8-FDEA-4819-A9FF-9B16F8064DD9}" srcOrd="0" destOrd="0" presId="urn:microsoft.com/office/officeart/2005/8/layout/process4"/>
    <dgm:cxn modelId="{ECA2ED34-A0EB-4250-AD46-34A32AC45F3E}" srcId="{51819672-E1A0-427F-B547-9961EDC661CC}" destId="{C8C1DF4E-3BDA-46DF-B892-A387E5C7AFE3}" srcOrd="0" destOrd="0" parTransId="{A0A8AB71-E3AF-47FE-A700-4BE666ED7F42}" sibTransId="{2C42FC06-9E6A-43C7-BE2A-ACA8FB317960}"/>
    <dgm:cxn modelId="{3B1D2041-A769-4490-A509-300974E907F5}" type="presOf" srcId="{D2BFE50A-D0A3-435C-8B34-A1259ABE7348}" destId="{9B1E680F-0B69-447D-AC09-12EEC774903D}" srcOrd="0" destOrd="0" presId="urn:microsoft.com/office/officeart/2005/8/layout/process4"/>
    <dgm:cxn modelId="{3796BE66-5A12-44BA-8634-9F713ACC86DB}" srcId="{EB0D47CE-4652-4141-BB95-693284898303}" destId="{E08700AD-2877-487A-AFDD-21B15D015AD5}" srcOrd="0" destOrd="0" parTransId="{E0ADAA37-E8B0-42C1-AC1E-0BABF194336E}" sibTransId="{BA0FC800-8D60-4337-B1A9-6EC052655B46}"/>
    <dgm:cxn modelId="{EA090C68-A7DE-44DA-80A9-0118D66ADFE7}" type="presOf" srcId="{EB0D47CE-4652-4141-BB95-693284898303}" destId="{9BE1C8D9-CB45-43B3-83DB-EFE55555E66E}" srcOrd="1" destOrd="0" presId="urn:microsoft.com/office/officeart/2005/8/layout/process4"/>
    <dgm:cxn modelId="{281BD855-8337-4CF5-83F1-8070BAA7DBBF}" srcId="{D2BFE50A-D0A3-435C-8B34-A1259ABE7348}" destId="{51819672-E1A0-427F-B547-9961EDC661CC}" srcOrd="0" destOrd="0" parTransId="{12B45F86-5872-466C-950A-3863814BCE11}" sibTransId="{61030E9A-8071-4E25-A8BC-CA434C2C7D2A}"/>
    <dgm:cxn modelId="{A0B6848C-72A7-4D33-B151-4079BECE6795}" srcId="{D2BFE50A-D0A3-435C-8B34-A1259ABE7348}" destId="{642A8D27-FD56-4F56-B428-F63C0B348A61}" srcOrd="2" destOrd="0" parTransId="{48117CFB-0775-4064-9E68-B18C46AC7FFC}" sibTransId="{E6696268-8393-43D5-AE03-C25C5DBBBC6B}"/>
    <dgm:cxn modelId="{296DC08C-6806-4B4F-A03C-DE7843A8947E}" type="presOf" srcId="{FB3522EE-DA1E-42E0-AFA5-00A9A57CD4C6}" destId="{DCF345C6-622A-4A66-839A-34047D85382E}" srcOrd="0" destOrd="0" presId="urn:microsoft.com/office/officeart/2005/8/layout/process4"/>
    <dgm:cxn modelId="{033B0292-25AA-4DFA-948E-5A210F3B26B0}" type="presOf" srcId="{642A8D27-FD56-4F56-B428-F63C0B348A61}" destId="{F9EBC674-7B96-4846-8428-89B6BB0940C5}" srcOrd="1" destOrd="0" presId="urn:microsoft.com/office/officeart/2005/8/layout/process4"/>
    <dgm:cxn modelId="{CBF87C9F-E249-419D-9917-042DF8C1167E}" type="presOf" srcId="{51819672-E1A0-427F-B547-9961EDC661CC}" destId="{BF870464-B5C4-443C-9EBE-6A1A89471124}" srcOrd="1" destOrd="0" presId="urn:microsoft.com/office/officeart/2005/8/layout/process4"/>
    <dgm:cxn modelId="{AFAF0CA0-D87E-4606-A462-2B1D40E15871}" type="presOf" srcId="{51819672-E1A0-427F-B547-9961EDC661CC}" destId="{62AEB5D0-672F-4349-997C-80B474467A30}" srcOrd="0" destOrd="0" presId="urn:microsoft.com/office/officeart/2005/8/layout/process4"/>
    <dgm:cxn modelId="{55CDF6A2-9BD5-40A4-ADC3-02313C1947DA}" type="presOf" srcId="{E08700AD-2877-487A-AFDD-21B15D015AD5}" destId="{A1086C7B-BA2E-4BA4-8ADE-D7DD89AF343F}" srcOrd="0" destOrd="0" presId="urn:microsoft.com/office/officeart/2005/8/layout/process4"/>
    <dgm:cxn modelId="{092A65B0-CBC2-42C4-8A4D-B56921840473}" type="presOf" srcId="{A00FCD26-F8F3-41E7-9C78-8871B7194C33}" destId="{19535DFB-DFF1-4B7F-A2C9-3ECA48B454F6}" srcOrd="0" destOrd="0" presId="urn:microsoft.com/office/officeart/2005/8/layout/process4"/>
    <dgm:cxn modelId="{883D2CE2-C370-4B1A-8D32-DB9D46C45E4A}" type="presOf" srcId="{C8C1DF4E-3BDA-46DF-B892-A387E5C7AFE3}" destId="{81630C3C-6122-4461-8CA6-59E0E88792D4}" srcOrd="0" destOrd="0" presId="urn:microsoft.com/office/officeart/2005/8/layout/process4"/>
    <dgm:cxn modelId="{29D8C5F5-2410-4766-9848-35C796D15EDA}" srcId="{D2BFE50A-D0A3-435C-8B34-A1259ABE7348}" destId="{EB0D47CE-4652-4141-BB95-693284898303}" srcOrd="1" destOrd="0" parTransId="{E8D736A5-437F-4449-A1AD-6B6832338459}" sibTransId="{1B047F0C-478B-4890-80DD-49B1F2338CDE}"/>
    <dgm:cxn modelId="{76BBC870-9B55-451F-9528-8E280F5213C1}" type="presParOf" srcId="{9B1E680F-0B69-447D-AC09-12EEC774903D}" destId="{E89F56B9-28C8-4396-AFDF-050AE82CA229}" srcOrd="0" destOrd="0" presId="urn:microsoft.com/office/officeart/2005/8/layout/process4"/>
    <dgm:cxn modelId="{181205B9-82CD-4F8C-9919-814012B2DB50}" type="presParOf" srcId="{E89F56B9-28C8-4396-AFDF-050AE82CA229}" destId="{C9EC5DB8-FDEA-4819-A9FF-9B16F8064DD9}" srcOrd="0" destOrd="0" presId="urn:microsoft.com/office/officeart/2005/8/layout/process4"/>
    <dgm:cxn modelId="{5BBAAD2B-5C48-46D2-B7F3-D0CE9C62DB6B}" type="presParOf" srcId="{E89F56B9-28C8-4396-AFDF-050AE82CA229}" destId="{F9EBC674-7B96-4846-8428-89B6BB0940C5}" srcOrd="1" destOrd="0" presId="urn:microsoft.com/office/officeart/2005/8/layout/process4"/>
    <dgm:cxn modelId="{ABF38E35-2046-45E6-9B45-02FE4085F7BD}" type="presParOf" srcId="{E89F56B9-28C8-4396-AFDF-050AE82CA229}" destId="{56898672-7A39-4F08-8666-15A9FC834EDD}" srcOrd="2" destOrd="0" presId="urn:microsoft.com/office/officeart/2005/8/layout/process4"/>
    <dgm:cxn modelId="{5DF121AB-1DEB-4170-BE3D-D542E2C54921}" type="presParOf" srcId="{56898672-7A39-4F08-8666-15A9FC834EDD}" destId="{DCF345C6-622A-4A66-839A-34047D85382E}" srcOrd="0" destOrd="0" presId="urn:microsoft.com/office/officeart/2005/8/layout/process4"/>
    <dgm:cxn modelId="{A02F79C8-F7B3-41C8-839F-FA1A503AE8AE}" type="presParOf" srcId="{9B1E680F-0B69-447D-AC09-12EEC774903D}" destId="{AB8061D6-64FF-4990-947C-9BBBD5AFA0FE}" srcOrd="1" destOrd="0" presId="urn:microsoft.com/office/officeart/2005/8/layout/process4"/>
    <dgm:cxn modelId="{9274483E-58B8-420C-9916-BDDA58435431}" type="presParOf" srcId="{9B1E680F-0B69-447D-AC09-12EEC774903D}" destId="{5A65F785-1AD6-43D8-8115-4A906DE79685}" srcOrd="2" destOrd="0" presId="urn:microsoft.com/office/officeart/2005/8/layout/process4"/>
    <dgm:cxn modelId="{B74BAD0B-75D0-4153-9763-8F0EC100AD2F}" type="presParOf" srcId="{5A65F785-1AD6-43D8-8115-4A906DE79685}" destId="{6125AC57-9852-4B6E-B8EF-1795B94A8ECF}" srcOrd="0" destOrd="0" presId="urn:microsoft.com/office/officeart/2005/8/layout/process4"/>
    <dgm:cxn modelId="{7FE5313D-631A-4ADC-B755-1CDA5A45CEDA}" type="presParOf" srcId="{5A65F785-1AD6-43D8-8115-4A906DE79685}" destId="{9BE1C8D9-CB45-43B3-83DB-EFE55555E66E}" srcOrd="1" destOrd="0" presId="urn:microsoft.com/office/officeart/2005/8/layout/process4"/>
    <dgm:cxn modelId="{0989FAC4-B181-4760-922B-00FCB1C5711D}" type="presParOf" srcId="{5A65F785-1AD6-43D8-8115-4A906DE79685}" destId="{A820AEE8-3FD0-43FB-AC37-52C217DCA93A}" srcOrd="2" destOrd="0" presId="urn:microsoft.com/office/officeart/2005/8/layout/process4"/>
    <dgm:cxn modelId="{58AB213E-8956-413D-977B-B63EA319576D}" type="presParOf" srcId="{A820AEE8-3FD0-43FB-AC37-52C217DCA93A}" destId="{A1086C7B-BA2E-4BA4-8ADE-D7DD89AF343F}" srcOrd="0" destOrd="0" presId="urn:microsoft.com/office/officeart/2005/8/layout/process4"/>
    <dgm:cxn modelId="{2B65022D-A7B3-4282-AFD0-3DAA48CB4CDF}" type="presParOf" srcId="{9B1E680F-0B69-447D-AC09-12EEC774903D}" destId="{60F252A6-F19C-4BFE-8D21-A65B1536EBB4}" srcOrd="3" destOrd="0" presId="urn:microsoft.com/office/officeart/2005/8/layout/process4"/>
    <dgm:cxn modelId="{9B08E146-1B8E-4761-83AF-58700C1028AF}" type="presParOf" srcId="{9B1E680F-0B69-447D-AC09-12EEC774903D}" destId="{61B22D91-8EBF-49D1-97E1-69274938686C}" srcOrd="4" destOrd="0" presId="urn:microsoft.com/office/officeart/2005/8/layout/process4"/>
    <dgm:cxn modelId="{73AF5F83-590F-4711-B7B6-306597D0A15E}" type="presParOf" srcId="{61B22D91-8EBF-49D1-97E1-69274938686C}" destId="{62AEB5D0-672F-4349-997C-80B474467A30}" srcOrd="0" destOrd="0" presId="urn:microsoft.com/office/officeart/2005/8/layout/process4"/>
    <dgm:cxn modelId="{5D1DCB46-320F-409A-ADE9-689ECD7ECEFE}" type="presParOf" srcId="{61B22D91-8EBF-49D1-97E1-69274938686C}" destId="{BF870464-B5C4-443C-9EBE-6A1A89471124}" srcOrd="1" destOrd="0" presId="urn:microsoft.com/office/officeart/2005/8/layout/process4"/>
    <dgm:cxn modelId="{429ECEA2-2BFA-49BF-87D7-0D9D4E9DA236}" type="presParOf" srcId="{61B22D91-8EBF-49D1-97E1-69274938686C}" destId="{0819E2BE-40C7-49F3-90F9-E8B35FB485C3}" srcOrd="2" destOrd="0" presId="urn:microsoft.com/office/officeart/2005/8/layout/process4"/>
    <dgm:cxn modelId="{7E585AD7-A265-463E-A2BB-BE6FA329AC42}" type="presParOf" srcId="{0819E2BE-40C7-49F3-90F9-E8B35FB485C3}" destId="{81630C3C-6122-4461-8CA6-59E0E88792D4}" srcOrd="0" destOrd="0" presId="urn:microsoft.com/office/officeart/2005/8/layout/process4"/>
    <dgm:cxn modelId="{D3FDB971-F4AD-4BB8-A92C-40EE50EC3C26}" type="presParOf" srcId="{0819E2BE-40C7-49F3-90F9-E8B35FB485C3}" destId="{19535DFB-DFF1-4B7F-A2C9-3ECA48B454F6}" srcOrd="1" destOrd="0" presId="urn:microsoft.com/office/officeart/2005/8/layout/process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BC674-7B96-4846-8428-89B6BB0940C5}">
      <dsp:nvSpPr>
        <dsp:cNvPr id="0" name=""/>
        <dsp:cNvSpPr/>
      </dsp:nvSpPr>
      <dsp:spPr>
        <a:xfrm>
          <a:off x="0" y="3096865"/>
          <a:ext cx="5972810" cy="73886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mn-lt"/>
              <a:cs typeface="Arial" panose="020B0604020202020204" pitchFamily="34" charset="0"/>
            </a:rPr>
            <a:t>Efectos directos</a:t>
          </a:r>
        </a:p>
      </dsp:txBody>
      <dsp:txXfrm>
        <a:off x="0" y="3096865"/>
        <a:ext cx="5972810" cy="398987"/>
      </dsp:txXfrm>
    </dsp:sp>
    <dsp:sp modelId="{F8F11068-6026-4F8F-994F-B91C938291F7}">
      <dsp:nvSpPr>
        <dsp:cNvPr id="0" name=""/>
        <dsp:cNvSpPr/>
      </dsp:nvSpPr>
      <dsp:spPr>
        <a:xfrm>
          <a:off x="0" y="3495852"/>
          <a:ext cx="2986405" cy="33987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MX" sz="900" kern="1200">
              <a:solidFill>
                <a:schemeClr val="tx1"/>
              </a:solidFill>
              <a:latin typeface="+mn-lt"/>
            </a:rPr>
            <a:t>Traslado de costos que posiblemente generan ineficiencias en el precio al usuario final.</a:t>
          </a:r>
          <a:endParaRPr lang="es-CO" sz="900" kern="1200">
            <a:solidFill>
              <a:schemeClr val="tx1"/>
            </a:solidFill>
            <a:latin typeface="+mn-lt"/>
          </a:endParaRPr>
        </a:p>
      </dsp:txBody>
      <dsp:txXfrm>
        <a:off x="0" y="3495852"/>
        <a:ext cx="2986405" cy="339877"/>
      </dsp:txXfrm>
    </dsp:sp>
    <dsp:sp modelId="{A49F7A84-471C-4FDA-A48A-700358EE9AC8}">
      <dsp:nvSpPr>
        <dsp:cNvPr id="0" name=""/>
        <dsp:cNvSpPr/>
      </dsp:nvSpPr>
      <dsp:spPr>
        <a:xfrm>
          <a:off x="2986405" y="3492799"/>
          <a:ext cx="2986405" cy="339877"/>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s-CO" sz="900" kern="1200">
              <a:solidFill>
                <a:prstClr val="black"/>
              </a:solidFill>
              <a:latin typeface="+mn-lt"/>
              <a:ea typeface="+mn-ea"/>
              <a:cs typeface="+mn-cs"/>
            </a:rPr>
            <a:t>Posible desabastecimiento de producto nacional a mediano/largo plazo (2028-2030).</a:t>
          </a:r>
        </a:p>
      </dsp:txBody>
      <dsp:txXfrm>
        <a:off x="2986405" y="3492799"/>
        <a:ext cx="2986405" cy="339877"/>
      </dsp:txXfrm>
    </dsp:sp>
    <dsp:sp modelId="{2E1E46E0-65A4-4C50-8C79-B79B025977A2}">
      <dsp:nvSpPr>
        <dsp:cNvPr id="0" name=""/>
        <dsp:cNvSpPr/>
      </dsp:nvSpPr>
      <dsp:spPr>
        <a:xfrm rot="10800000">
          <a:off x="0" y="1633194"/>
          <a:ext cx="5972810" cy="1464047"/>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mn-lt"/>
              <a:cs typeface="Arial" panose="020B0604020202020204" pitchFamily="34" charset="0"/>
            </a:rPr>
            <a:t>Problema</a:t>
          </a:r>
          <a:endParaRPr lang="es-CO" sz="900" kern="1200">
            <a:latin typeface="+mn-lt"/>
            <a:cs typeface="Arial" panose="020B0604020202020204" pitchFamily="34" charset="0"/>
          </a:endParaRPr>
        </a:p>
      </dsp:txBody>
      <dsp:txXfrm rot="-10800000">
        <a:off x="0" y="1633194"/>
        <a:ext cx="5972810" cy="513880"/>
      </dsp:txXfrm>
    </dsp:sp>
    <dsp:sp modelId="{AE3BEABF-D412-4153-9C42-4B5194C36220}">
      <dsp:nvSpPr>
        <dsp:cNvPr id="0" name=""/>
        <dsp:cNvSpPr/>
      </dsp:nvSpPr>
      <dsp:spPr>
        <a:xfrm>
          <a:off x="0" y="2300057"/>
          <a:ext cx="5972810" cy="339775"/>
        </a:xfrm>
        <a:prstGeom prst="rect">
          <a:avLst/>
        </a:prstGeom>
        <a:solidFill>
          <a:schemeClr val="accent5">
            <a:tint val="40000"/>
            <a:alpha val="90000"/>
            <a:hueOff val="-2956702"/>
            <a:satOff val="-5126"/>
            <a:lumOff val="-51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ES_tradnl" sz="900" b="1" kern="1200">
              <a:latin typeface="+mn-lt"/>
            </a:rPr>
            <a:t>Posible falta de incentivos a la producción nacional</a:t>
          </a:r>
          <a:endParaRPr lang="es-CO" sz="900" kern="1200">
            <a:latin typeface="+mn-lt"/>
          </a:endParaRPr>
        </a:p>
      </dsp:txBody>
      <dsp:txXfrm>
        <a:off x="0" y="2300057"/>
        <a:ext cx="5972810" cy="339775"/>
      </dsp:txXfrm>
    </dsp:sp>
    <dsp:sp modelId="{BF870464-B5C4-443C-9EBE-6A1A89471124}">
      <dsp:nvSpPr>
        <dsp:cNvPr id="0" name=""/>
        <dsp:cNvSpPr/>
      </dsp:nvSpPr>
      <dsp:spPr>
        <a:xfrm rot="10800000">
          <a:off x="0" y="105854"/>
          <a:ext cx="5972810" cy="1652981"/>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mn-lt"/>
              <a:cs typeface="Arial" panose="020B0604020202020204" pitchFamily="34" charset="0"/>
            </a:rPr>
            <a:t>Causas</a:t>
          </a:r>
        </a:p>
      </dsp:txBody>
      <dsp:txXfrm rot="-10800000">
        <a:off x="0" y="105854"/>
        <a:ext cx="5972810" cy="580196"/>
      </dsp:txXfrm>
    </dsp:sp>
    <dsp:sp modelId="{81630C3C-6122-4461-8CA6-59E0E88792D4}">
      <dsp:nvSpPr>
        <dsp:cNvPr id="0" name=""/>
        <dsp:cNvSpPr/>
      </dsp:nvSpPr>
      <dsp:spPr>
        <a:xfrm>
          <a:off x="3519" y="573368"/>
          <a:ext cx="2035654" cy="721238"/>
        </a:xfrm>
        <a:prstGeom prst="rect">
          <a:avLst/>
        </a:prstGeom>
        <a:solidFill>
          <a:schemeClr val="accent5">
            <a:tint val="40000"/>
            <a:alpha val="90000"/>
            <a:hueOff val="-4435053"/>
            <a:satOff val="-7690"/>
            <a:lumOff val="-773"/>
            <a:alphaOff val="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ES_tradnl" sz="900" kern="1200" dirty="0">
              <a:latin typeface="+mn-lt"/>
            </a:rPr>
            <a:t>El costo de oportunidad de producción nacional de Jet puede no estar siendo remunerado por el IP actual.</a:t>
          </a:r>
          <a:endParaRPr lang="es-CO" sz="900" kern="1200">
            <a:solidFill>
              <a:schemeClr val="tx1"/>
            </a:solidFill>
            <a:latin typeface="+mn-lt"/>
          </a:endParaRPr>
        </a:p>
      </dsp:txBody>
      <dsp:txXfrm>
        <a:off x="3519" y="573368"/>
        <a:ext cx="2035654" cy="721238"/>
      </dsp:txXfrm>
    </dsp:sp>
    <dsp:sp modelId="{BCD9483D-E2DF-413F-B67A-64047356B64D}">
      <dsp:nvSpPr>
        <dsp:cNvPr id="0" name=""/>
        <dsp:cNvSpPr/>
      </dsp:nvSpPr>
      <dsp:spPr>
        <a:xfrm>
          <a:off x="2039174" y="573368"/>
          <a:ext cx="1976437" cy="721238"/>
        </a:xfrm>
        <a:prstGeom prst="rect">
          <a:avLst/>
        </a:prstGeom>
        <a:solidFill>
          <a:schemeClr val="accent5">
            <a:tint val="40000"/>
            <a:alpha val="90000"/>
            <a:hueOff val="-5913404"/>
            <a:satOff val="-10253"/>
            <a:lumOff val="-1031"/>
            <a:alphaOff val="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s-ES_tradnl" sz="900" kern="1200">
              <a:latin typeface="+mn-lt"/>
            </a:rPr>
            <a:t>Al productor puede no interesarle producir más Jet porque disminuye la producción de otros combustibles y por ende sus ingresos.</a:t>
          </a:r>
          <a:endParaRPr lang="es-CO" sz="900" kern="1200">
            <a:solidFill>
              <a:schemeClr val="tx1"/>
            </a:solidFill>
            <a:latin typeface="+mn-lt"/>
          </a:endParaRPr>
        </a:p>
      </dsp:txBody>
      <dsp:txXfrm>
        <a:off x="2039174" y="573368"/>
        <a:ext cx="1976437" cy="721238"/>
      </dsp:txXfrm>
    </dsp:sp>
    <dsp:sp modelId="{09406AE4-EEB8-49C8-A6F8-DD5DC674AC38}">
      <dsp:nvSpPr>
        <dsp:cNvPr id="0" name=""/>
        <dsp:cNvSpPr/>
      </dsp:nvSpPr>
      <dsp:spPr>
        <a:xfrm>
          <a:off x="4015611" y="573368"/>
          <a:ext cx="1953679" cy="721238"/>
        </a:xfrm>
        <a:prstGeom prst="rect">
          <a:avLst/>
        </a:prstGeom>
        <a:solidFill>
          <a:schemeClr val="accent5">
            <a:tint val="40000"/>
            <a:alpha val="90000"/>
            <a:hueOff val="-7391755"/>
            <a:satOff val="-12816"/>
            <a:lumOff val="-1289"/>
            <a:alphaOff val="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s-ES_tradnl" sz="900" kern="1200">
              <a:latin typeface="+mn-lt"/>
            </a:rPr>
            <a:t>El refinador traslada directamente los costos de importación, el diferencial entre el IP importado y el IP nacional ha alcanzado 1 US/galón. El histórico siempre ha estado en 0,5 US/galón.</a:t>
          </a:r>
          <a:endParaRPr lang="es-CO" sz="900" kern="1200">
            <a:solidFill>
              <a:schemeClr val="tx1"/>
            </a:solidFill>
            <a:latin typeface="+mn-lt"/>
          </a:endParaRPr>
        </a:p>
      </dsp:txBody>
      <dsp:txXfrm>
        <a:off x="4015611" y="573368"/>
        <a:ext cx="1953679" cy="721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7C843-8087-4BCC-9CA7-DD340B383D23}">
      <dsp:nvSpPr>
        <dsp:cNvPr id="0" name=""/>
        <dsp:cNvSpPr/>
      </dsp:nvSpPr>
      <dsp:spPr>
        <a:xfrm>
          <a:off x="0" y="2395701"/>
          <a:ext cx="5972810" cy="78632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0" kern="1200">
              <a:latin typeface="Helvetica" panose="020B0604020202020204" pitchFamily="34" charset="0"/>
              <a:cs typeface="Helvetica" panose="020B0604020202020204" pitchFamily="34" charset="0"/>
            </a:rPr>
            <a:t>Efectos directos</a:t>
          </a:r>
        </a:p>
      </dsp:txBody>
      <dsp:txXfrm>
        <a:off x="0" y="2395701"/>
        <a:ext cx="5972810" cy="424614"/>
      </dsp:txXfrm>
    </dsp:sp>
    <dsp:sp modelId="{0A2399F9-9019-4A67-B128-820F22BA7DC6}">
      <dsp:nvSpPr>
        <dsp:cNvPr id="0" name=""/>
        <dsp:cNvSpPr/>
      </dsp:nvSpPr>
      <dsp:spPr>
        <a:xfrm>
          <a:off x="0" y="2820878"/>
          <a:ext cx="2986405" cy="361708"/>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latin typeface="Helvetica" panose="020B0604020202020204" pitchFamily="34" charset="0"/>
              <a:cs typeface="Helvetica" panose="020B0604020202020204" pitchFamily="34" charset="0"/>
            </a:rPr>
            <a:t>Poder de mercado en el suministro de Jet (producción-importación).</a:t>
          </a:r>
          <a:endParaRPr lang="es-CO" sz="900" b="0" kern="1200">
            <a:latin typeface="Helvetica" panose="020B0604020202020204" pitchFamily="34" charset="0"/>
            <a:cs typeface="Helvetica" panose="020B0604020202020204" pitchFamily="34" charset="0"/>
          </a:endParaRPr>
        </a:p>
      </dsp:txBody>
      <dsp:txXfrm>
        <a:off x="0" y="2820878"/>
        <a:ext cx="2986405" cy="361708"/>
      </dsp:txXfrm>
    </dsp:sp>
    <dsp:sp modelId="{EB3E3943-43BF-4C77-ADA5-D76598273484}">
      <dsp:nvSpPr>
        <dsp:cNvPr id="0" name=""/>
        <dsp:cNvSpPr/>
      </dsp:nvSpPr>
      <dsp:spPr>
        <a:xfrm>
          <a:off x="2986404" y="2820877"/>
          <a:ext cx="2986405" cy="361708"/>
        </a:xfrm>
        <a:prstGeom prst="rect">
          <a:avLst/>
        </a:prstGeom>
        <a:solidFill>
          <a:schemeClr val="tx2">
            <a:lumMod val="20000"/>
            <a:lumOff val="8000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MX" sz="900" kern="1200">
              <a:solidFill>
                <a:schemeClr val="tx1"/>
              </a:solidFill>
              <a:latin typeface="Helvetica" panose="020B0604020202020204" pitchFamily="34" charset="0"/>
              <a:cs typeface="Helvetica" panose="020B0604020202020204" pitchFamily="34" charset="0"/>
            </a:rPr>
            <a:t>Posible traslado de costos ineficientes a los usuarios finales.</a:t>
          </a:r>
          <a:endParaRPr lang="es-CO" sz="900" b="0" kern="1200">
            <a:latin typeface="Helvetica" panose="020B0604020202020204" pitchFamily="34" charset="0"/>
            <a:cs typeface="Helvetica" panose="020B0604020202020204" pitchFamily="34" charset="0"/>
          </a:endParaRPr>
        </a:p>
      </dsp:txBody>
      <dsp:txXfrm>
        <a:off x="2986404" y="2820877"/>
        <a:ext cx="2986405" cy="361708"/>
      </dsp:txXfrm>
    </dsp:sp>
    <dsp:sp modelId="{5CCBEDE5-465E-40CE-945F-00947F54A886}">
      <dsp:nvSpPr>
        <dsp:cNvPr id="0" name=""/>
        <dsp:cNvSpPr/>
      </dsp:nvSpPr>
      <dsp:spPr>
        <a:xfrm rot="10800000">
          <a:off x="0" y="1198132"/>
          <a:ext cx="5972810" cy="1209364"/>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Helvetica" panose="020B0604020202020204" pitchFamily="34" charset="0"/>
              <a:cs typeface="Helvetica" panose="020B0604020202020204" pitchFamily="34" charset="0"/>
            </a:rPr>
            <a:t>Problema</a:t>
          </a:r>
        </a:p>
      </dsp:txBody>
      <dsp:txXfrm rot="-10800000">
        <a:off x="0" y="1198132"/>
        <a:ext cx="5972810" cy="424486"/>
      </dsp:txXfrm>
    </dsp:sp>
    <dsp:sp modelId="{5D1EEA37-D6A7-4C91-A4A8-9C9ACCC71EF5}">
      <dsp:nvSpPr>
        <dsp:cNvPr id="0" name=""/>
        <dsp:cNvSpPr/>
      </dsp:nvSpPr>
      <dsp:spPr>
        <a:xfrm>
          <a:off x="0" y="1641331"/>
          <a:ext cx="5972810" cy="361599"/>
        </a:xfrm>
        <a:prstGeom prst="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Font typeface="+mj-lt"/>
            <a:buNone/>
          </a:pPr>
          <a:r>
            <a:rPr lang="es-CO" sz="900" b="0" kern="1200" dirty="0">
              <a:latin typeface="Helvetica" panose="020B0604020202020204" pitchFamily="34" charset="0"/>
              <a:cs typeface="Helvetica" panose="020B0604020202020204" pitchFamily="34" charset="0"/>
            </a:rPr>
            <a:t>Ausencia de claridad en la norma para desarrollar la actividad de importación de Jet.</a:t>
          </a:r>
          <a:endParaRPr lang="es-CO" sz="900" b="1" kern="1200" dirty="0">
            <a:solidFill>
              <a:prstClr val="black">
                <a:hueOff val="0"/>
                <a:satOff val="0"/>
                <a:lumOff val="0"/>
                <a:alphaOff val="0"/>
              </a:prstClr>
            </a:solidFill>
            <a:latin typeface="Helvetica" panose="020B0604020202020204" pitchFamily="34" charset="0"/>
            <a:ea typeface="+mn-ea"/>
            <a:cs typeface="Helvetica" panose="020B0604020202020204" pitchFamily="34" charset="0"/>
          </a:endParaRPr>
        </a:p>
      </dsp:txBody>
      <dsp:txXfrm>
        <a:off x="0" y="1641331"/>
        <a:ext cx="5972810" cy="361599"/>
      </dsp:txXfrm>
    </dsp:sp>
    <dsp:sp modelId="{6CF99891-C513-4F3E-958E-F0D6389AE4D8}">
      <dsp:nvSpPr>
        <dsp:cNvPr id="0" name=""/>
        <dsp:cNvSpPr/>
      </dsp:nvSpPr>
      <dsp:spPr>
        <a:xfrm rot="10800000">
          <a:off x="0" y="562"/>
          <a:ext cx="5972810" cy="1209364"/>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Helvetica" panose="020B0604020202020204" pitchFamily="34" charset="0"/>
              <a:cs typeface="Helvetica" panose="020B0604020202020204" pitchFamily="34" charset="0"/>
            </a:rPr>
            <a:t>Causas</a:t>
          </a:r>
        </a:p>
      </dsp:txBody>
      <dsp:txXfrm rot="-10800000">
        <a:off x="0" y="562"/>
        <a:ext cx="5972810" cy="424486"/>
      </dsp:txXfrm>
    </dsp:sp>
    <dsp:sp modelId="{6D6ADA0A-E45D-4CD3-8A73-5DA1A88F81BF}">
      <dsp:nvSpPr>
        <dsp:cNvPr id="0" name=""/>
        <dsp:cNvSpPr/>
      </dsp:nvSpPr>
      <dsp:spPr>
        <a:xfrm>
          <a:off x="0" y="425049"/>
          <a:ext cx="2986405" cy="361599"/>
        </a:xfrm>
        <a:prstGeom prst="rect">
          <a:avLst/>
        </a:prstGeom>
        <a:solidFill>
          <a:schemeClr val="accent5">
            <a:tint val="40000"/>
            <a:alpha val="90000"/>
            <a:hueOff val="-5543816"/>
            <a:satOff val="-9612"/>
            <a:lumOff val="-96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ES_tradnl" sz="900" kern="1200">
              <a:latin typeface="Helvetica" panose="020B0604020202020204" pitchFamily="34" charset="0"/>
              <a:cs typeface="Helvetica" panose="020B0604020202020204" pitchFamily="34" charset="0"/>
            </a:rPr>
            <a:t>La normatividad aplicable a la refinación, importación y distribución no se ajusta al contexto actual del mercado.</a:t>
          </a:r>
          <a:endParaRPr lang="es-CO" sz="900" kern="1200">
            <a:latin typeface="Helvetica" panose="020B0604020202020204" pitchFamily="34" charset="0"/>
            <a:cs typeface="Helvetica" panose="020B0604020202020204" pitchFamily="34" charset="0"/>
          </a:endParaRPr>
        </a:p>
      </dsp:txBody>
      <dsp:txXfrm>
        <a:off x="0" y="425049"/>
        <a:ext cx="2986405" cy="361599"/>
      </dsp:txXfrm>
    </dsp:sp>
    <dsp:sp modelId="{B0952019-EDCC-4555-98CA-93820EE93ED7}">
      <dsp:nvSpPr>
        <dsp:cNvPr id="0" name=""/>
        <dsp:cNvSpPr/>
      </dsp:nvSpPr>
      <dsp:spPr>
        <a:xfrm>
          <a:off x="2986405" y="425049"/>
          <a:ext cx="2986405" cy="361599"/>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latin typeface="Helvetica" panose="020B0604020202020204" pitchFamily="34" charset="0"/>
              <a:cs typeface="Helvetica" panose="020B0604020202020204" pitchFamily="34" charset="0"/>
            </a:rPr>
            <a:t>Refinador puede importar por condiciones de abastecimiento y trasladar costos al precio de venta al DM </a:t>
          </a:r>
        </a:p>
      </dsp:txBody>
      <dsp:txXfrm>
        <a:off x="2986405" y="425049"/>
        <a:ext cx="2986405" cy="361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7C843-8087-4BCC-9CA7-DD340B383D23}">
      <dsp:nvSpPr>
        <dsp:cNvPr id="0" name=""/>
        <dsp:cNvSpPr/>
      </dsp:nvSpPr>
      <dsp:spPr>
        <a:xfrm>
          <a:off x="0" y="2575256"/>
          <a:ext cx="5972810" cy="84525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0" kern="1200">
              <a:latin typeface="+mn-lt"/>
            </a:rPr>
            <a:t>Efectos directos</a:t>
          </a:r>
        </a:p>
      </dsp:txBody>
      <dsp:txXfrm>
        <a:off x="0" y="2575256"/>
        <a:ext cx="5972810" cy="456438"/>
      </dsp:txXfrm>
    </dsp:sp>
    <dsp:sp modelId="{EB3E3943-43BF-4C77-ADA5-D76598273484}">
      <dsp:nvSpPr>
        <dsp:cNvPr id="0" name=""/>
        <dsp:cNvSpPr/>
      </dsp:nvSpPr>
      <dsp:spPr>
        <a:xfrm>
          <a:off x="14513" y="3032298"/>
          <a:ext cx="2986405" cy="388818"/>
        </a:xfrm>
        <a:prstGeom prst="rect">
          <a:avLst/>
        </a:prstGeom>
        <a:solidFill>
          <a:schemeClr val="tx2">
            <a:lumMod val="20000"/>
            <a:lumOff val="8000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MX" sz="900" kern="1200">
              <a:solidFill>
                <a:schemeClr val="tx1"/>
              </a:solidFill>
              <a:latin typeface="+mn-lt"/>
            </a:rPr>
            <a:t>Posible traslado de costos ineficientes a los usuarios finales.</a:t>
          </a:r>
          <a:endParaRPr lang="es-CO" sz="900" b="0" kern="1200">
            <a:latin typeface="+mn-lt"/>
          </a:endParaRPr>
        </a:p>
      </dsp:txBody>
      <dsp:txXfrm>
        <a:off x="14513" y="3032298"/>
        <a:ext cx="2986405" cy="388818"/>
      </dsp:txXfrm>
    </dsp:sp>
    <dsp:sp modelId="{8FF06641-04D8-497B-9906-7EC40E6C9D81}">
      <dsp:nvSpPr>
        <dsp:cNvPr id="0" name=""/>
        <dsp:cNvSpPr/>
      </dsp:nvSpPr>
      <dsp:spPr>
        <a:xfrm>
          <a:off x="2986405" y="3025572"/>
          <a:ext cx="2986405" cy="388818"/>
        </a:xfrm>
        <a:prstGeom prst="rect">
          <a:avLst/>
        </a:prstGeom>
        <a:solidFill>
          <a:schemeClr val="tx2">
            <a:lumMod val="20000"/>
            <a:lumOff val="8000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b="0" kern="1200">
              <a:latin typeface="+mn-lt"/>
            </a:rPr>
            <a:t>Posible extracción de rentas del agente refinador.</a:t>
          </a:r>
        </a:p>
      </dsp:txBody>
      <dsp:txXfrm>
        <a:off x="2986405" y="3025572"/>
        <a:ext cx="2986405" cy="388818"/>
      </dsp:txXfrm>
    </dsp:sp>
    <dsp:sp modelId="{5CCBEDE5-465E-40CE-945F-00947F54A886}">
      <dsp:nvSpPr>
        <dsp:cNvPr id="0" name=""/>
        <dsp:cNvSpPr/>
      </dsp:nvSpPr>
      <dsp:spPr>
        <a:xfrm rot="10800000">
          <a:off x="0" y="1287930"/>
          <a:ext cx="5972810" cy="1300004"/>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mn-lt"/>
            </a:rPr>
            <a:t>Problema</a:t>
          </a:r>
        </a:p>
      </dsp:txBody>
      <dsp:txXfrm rot="-10800000">
        <a:off x="0" y="1287930"/>
        <a:ext cx="5972810" cy="456301"/>
      </dsp:txXfrm>
    </dsp:sp>
    <dsp:sp modelId="{5D1EEA37-D6A7-4C91-A4A8-9C9ACCC71EF5}">
      <dsp:nvSpPr>
        <dsp:cNvPr id="0" name=""/>
        <dsp:cNvSpPr/>
      </dsp:nvSpPr>
      <dsp:spPr>
        <a:xfrm>
          <a:off x="0" y="1764347"/>
          <a:ext cx="5972810" cy="388701"/>
        </a:xfrm>
        <a:prstGeom prst="rect">
          <a:avLst/>
        </a:prstGeom>
        <a:solidFill>
          <a:schemeClr val="accent5">
            <a:tint val="40000"/>
            <a:alpha val="90000"/>
            <a:hueOff val="-2956702"/>
            <a:satOff val="-5126"/>
            <a:lumOff val="-51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Font typeface="+mj-lt"/>
            <a:buNone/>
          </a:pPr>
          <a:r>
            <a:rPr lang="es-CO" sz="900" b="0" kern="1200" dirty="0">
              <a:latin typeface="+mj-lt"/>
              <a:ea typeface="+mn-ea"/>
              <a:cs typeface="+mn-cs"/>
            </a:rPr>
            <a:t>Posible traslado de costos ineficientes del producto importado y de la cadena de valor de importación.</a:t>
          </a:r>
          <a:endParaRPr lang="es-CO" sz="900" b="1" kern="1200">
            <a:solidFill>
              <a:prstClr val="black">
                <a:hueOff val="0"/>
                <a:satOff val="0"/>
                <a:lumOff val="0"/>
                <a:alphaOff val="0"/>
              </a:prstClr>
            </a:solidFill>
            <a:latin typeface="Helvetica"/>
            <a:ea typeface="+mn-ea"/>
            <a:cs typeface="Calibri" panose="020F0502020204030204" pitchFamily="34" charset="0"/>
          </a:endParaRPr>
        </a:p>
      </dsp:txBody>
      <dsp:txXfrm>
        <a:off x="0" y="1764347"/>
        <a:ext cx="5972810" cy="388701"/>
      </dsp:txXfrm>
    </dsp:sp>
    <dsp:sp modelId="{6CF99891-C513-4F3E-958E-F0D6389AE4D8}">
      <dsp:nvSpPr>
        <dsp:cNvPr id="0" name=""/>
        <dsp:cNvSpPr/>
      </dsp:nvSpPr>
      <dsp:spPr>
        <a:xfrm rot="10800000">
          <a:off x="0" y="604"/>
          <a:ext cx="5972810" cy="1300004"/>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mn-lt"/>
            </a:rPr>
            <a:t>Causas</a:t>
          </a:r>
        </a:p>
      </dsp:txBody>
      <dsp:txXfrm rot="-10800000">
        <a:off x="0" y="604"/>
        <a:ext cx="5972810" cy="456301"/>
      </dsp:txXfrm>
    </dsp:sp>
    <dsp:sp modelId="{6D6ADA0A-E45D-4CD3-8A73-5DA1A88F81BF}">
      <dsp:nvSpPr>
        <dsp:cNvPr id="0" name=""/>
        <dsp:cNvSpPr/>
      </dsp:nvSpPr>
      <dsp:spPr>
        <a:xfrm>
          <a:off x="2916" y="456906"/>
          <a:ext cx="1988992" cy="388701"/>
        </a:xfrm>
        <a:prstGeom prst="rect">
          <a:avLst/>
        </a:prstGeom>
        <a:solidFill>
          <a:schemeClr val="accent5">
            <a:tint val="40000"/>
            <a:alpha val="90000"/>
            <a:hueOff val="-4435053"/>
            <a:satOff val="-7690"/>
            <a:lumOff val="-77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latin typeface="+mn-lt"/>
            </a:rPr>
            <a:t>El Refinador tiene poder de mercado en el suministro de Jet.</a:t>
          </a:r>
        </a:p>
      </dsp:txBody>
      <dsp:txXfrm>
        <a:off x="2916" y="456906"/>
        <a:ext cx="1988992" cy="388701"/>
      </dsp:txXfrm>
    </dsp:sp>
    <dsp:sp modelId="{B0952019-EDCC-4555-98CA-93820EE93ED7}">
      <dsp:nvSpPr>
        <dsp:cNvPr id="0" name=""/>
        <dsp:cNvSpPr/>
      </dsp:nvSpPr>
      <dsp:spPr>
        <a:xfrm>
          <a:off x="1991908" y="456906"/>
          <a:ext cx="1988992" cy="388701"/>
        </a:xfrm>
        <a:prstGeom prst="rect">
          <a:avLst/>
        </a:prstGeom>
        <a:solidFill>
          <a:schemeClr val="accent5">
            <a:tint val="40000"/>
            <a:alpha val="90000"/>
            <a:hueOff val="-5913404"/>
            <a:satOff val="-10253"/>
            <a:lumOff val="-103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latin typeface="+mn-lt"/>
            </a:rPr>
            <a:t>Ausencia de incentivos para optimizar costos.</a:t>
          </a:r>
          <a:r>
            <a:rPr lang="es-CO" sz="900" kern="1200">
              <a:latin typeface="+mn-lt"/>
              <a:cs typeface="Calibri" panose="020F0502020204030204" pitchFamily="34" charset="0"/>
            </a:rPr>
            <a:t> </a:t>
          </a:r>
          <a:r>
            <a:rPr lang="es-CO" sz="900" kern="1200" dirty="0">
              <a:latin typeface="+mn-lt"/>
            </a:rPr>
            <a:t>(Traslado directo de costos).</a:t>
          </a:r>
          <a:r>
            <a:rPr lang="es-CO" sz="900" kern="1200" dirty="0">
              <a:latin typeface="+mn-lt"/>
              <a:cs typeface="Calibri" panose="020F0502020204030204" pitchFamily="34" charset="0"/>
            </a:rPr>
            <a:t> </a:t>
          </a:r>
          <a:endParaRPr lang="es-CO" sz="900" kern="1200">
            <a:latin typeface="+mn-lt"/>
          </a:endParaRPr>
        </a:p>
      </dsp:txBody>
      <dsp:txXfrm>
        <a:off x="1991908" y="456906"/>
        <a:ext cx="1988992" cy="388701"/>
      </dsp:txXfrm>
    </dsp:sp>
    <dsp:sp modelId="{C923FE36-83B6-49EB-8169-2A9748D21121}">
      <dsp:nvSpPr>
        <dsp:cNvPr id="0" name=""/>
        <dsp:cNvSpPr/>
      </dsp:nvSpPr>
      <dsp:spPr>
        <a:xfrm>
          <a:off x="3980901" y="456906"/>
          <a:ext cx="1988992" cy="388701"/>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solidFill>
                <a:prstClr val="black">
                  <a:hueOff val="0"/>
                  <a:satOff val="0"/>
                  <a:lumOff val="0"/>
                  <a:alphaOff val="0"/>
                </a:prstClr>
              </a:solidFill>
              <a:latin typeface="+mn-lt"/>
              <a:ea typeface="+mn-ea"/>
              <a:cs typeface="+mn-cs"/>
            </a:rPr>
            <a:t>Desconocimiento de la producción proyectada de Ecopetrol. </a:t>
          </a:r>
          <a:r>
            <a:rPr lang="es-CO" sz="900" kern="1200" dirty="0">
              <a:solidFill>
                <a:prstClr val="black">
                  <a:hueOff val="0"/>
                  <a:satOff val="0"/>
                  <a:lumOff val="0"/>
                  <a:alphaOff val="0"/>
                </a:prstClr>
              </a:solidFill>
              <a:latin typeface="+mn-lt"/>
              <a:ea typeface="+mn-ea"/>
              <a:cs typeface="+mn-cs"/>
            </a:rPr>
            <a:t>(Mantenimientos programados).</a:t>
          </a:r>
          <a:endParaRPr lang="es-CO" sz="900" kern="1200">
            <a:solidFill>
              <a:prstClr val="black">
                <a:hueOff val="0"/>
                <a:satOff val="0"/>
                <a:lumOff val="0"/>
                <a:alphaOff val="0"/>
              </a:prstClr>
            </a:solidFill>
            <a:latin typeface="+mn-lt"/>
            <a:ea typeface="+mn-ea"/>
            <a:cs typeface="+mn-cs"/>
          </a:endParaRPr>
        </a:p>
      </dsp:txBody>
      <dsp:txXfrm>
        <a:off x="3980901" y="456906"/>
        <a:ext cx="1988992" cy="3887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72B21-825E-44BA-B824-1A5158F23AD4}">
      <dsp:nvSpPr>
        <dsp:cNvPr id="0" name=""/>
        <dsp:cNvSpPr/>
      </dsp:nvSpPr>
      <dsp:spPr>
        <a:xfrm>
          <a:off x="0" y="3111767"/>
          <a:ext cx="6086475" cy="10213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0" kern="1200">
              <a:solidFill>
                <a:sysClr val="window" lastClr="FFFFFF"/>
              </a:solidFill>
              <a:latin typeface="Helvetica"/>
              <a:ea typeface="+mn-ea"/>
              <a:cs typeface="+mn-cs"/>
            </a:rPr>
            <a:t>Efectos directos</a:t>
          </a:r>
        </a:p>
      </dsp:txBody>
      <dsp:txXfrm>
        <a:off x="0" y="3111767"/>
        <a:ext cx="6086475" cy="551529"/>
      </dsp:txXfrm>
    </dsp:sp>
    <dsp:sp modelId="{8C3E32F2-E0D4-439F-9785-84B3A46F5988}">
      <dsp:nvSpPr>
        <dsp:cNvPr id="0" name=""/>
        <dsp:cNvSpPr/>
      </dsp:nvSpPr>
      <dsp:spPr>
        <a:xfrm>
          <a:off x="12842" y="3655020"/>
          <a:ext cx="2026843" cy="469821"/>
        </a:xfrm>
        <a:prstGeom prst="rect">
          <a:avLst/>
        </a:prstGeom>
        <a:solidFill>
          <a:srgbClr val="44546A">
            <a:lumMod val="20000"/>
            <a:lumOff val="8000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b="0" kern="1200" dirty="0">
              <a:solidFill>
                <a:sysClr val="windowText" lastClr="000000">
                  <a:hueOff val="0"/>
                  <a:satOff val="0"/>
                  <a:lumOff val="0"/>
                  <a:alphaOff val="0"/>
                </a:sysClr>
              </a:solidFill>
              <a:latin typeface="Helvetica"/>
              <a:ea typeface="+mn-ea"/>
              <a:cs typeface="+mn-cs"/>
            </a:rPr>
            <a:t>Dificulta planeación de cubrimiento de la demanda (DM)</a:t>
          </a:r>
          <a:endParaRPr lang="es-CO" sz="900" kern="1200" dirty="0">
            <a:solidFill>
              <a:sysClr val="windowText" lastClr="000000">
                <a:hueOff val="0"/>
                <a:satOff val="0"/>
                <a:lumOff val="0"/>
                <a:alphaOff val="0"/>
              </a:sysClr>
            </a:solidFill>
            <a:latin typeface="Helvetica"/>
            <a:ea typeface="+mn-ea"/>
            <a:cs typeface="+mn-cs"/>
          </a:endParaRPr>
        </a:p>
      </dsp:txBody>
      <dsp:txXfrm>
        <a:off x="12842" y="3655020"/>
        <a:ext cx="2026843" cy="469821"/>
      </dsp:txXfrm>
    </dsp:sp>
    <dsp:sp modelId="{466818AE-6131-4593-8DEE-647CAE9D19DE}">
      <dsp:nvSpPr>
        <dsp:cNvPr id="0" name=""/>
        <dsp:cNvSpPr/>
      </dsp:nvSpPr>
      <dsp:spPr>
        <a:xfrm>
          <a:off x="2031660" y="3663176"/>
          <a:ext cx="2026843" cy="469821"/>
        </a:xfrm>
        <a:prstGeom prst="rect">
          <a:avLst/>
        </a:prstGeom>
        <a:solidFill>
          <a:srgbClr val="44546A">
            <a:lumMod val="20000"/>
            <a:lumOff val="8000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Text" lastClr="000000"/>
              </a:solidFill>
              <a:latin typeface="Helvetica"/>
              <a:ea typeface="+mn-ea"/>
              <a:cs typeface="+mn-cs"/>
            </a:rPr>
            <a:t>Sobrecosto al producto derivados de incertidumbre y de falta de planificación en la  importación</a:t>
          </a:r>
          <a:endParaRPr lang="es-CO" sz="900" kern="1200" dirty="0">
            <a:solidFill>
              <a:sysClr val="windowText" lastClr="000000"/>
            </a:solidFill>
            <a:latin typeface="Helvetica"/>
            <a:ea typeface="+mn-ea"/>
            <a:cs typeface="+mn-cs"/>
          </a:endParaRPr>
        </a:p>
      </dsp:txBody>
      <dsp:txXfrm>
        <a:off x="2031660" y="3663176"/>
        <a:ext cx="2026843" cy="469821"/>
      </dsp:txXfrm>
    </dsp:sp>
    <dsp:sp modelId="{29FCDBA3-1ED9-4759-8908-EE72C6307D1D}">
      <dsp:nvSpPr>
        <dsp:cNvPr id="0" name=""/>
        <dsp:cNvSpPr/>
      </dsp:nvSpPr>
      <dsp:spPr>
        <a:xfrm>
          <a:off x="4059631" y="3665060"/>
          <a:ext cx="2026843" cy="449741"/>
        </a:xfrm>
        <a:prstGeom prst="rect">
          <a:avLst/>
        </a:prstGeom>
        <a:solidFill>
          <a:srgbClr val="44546A">
            <a:lumMod val="20000"/>
            <a:lumOff val="8000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MX" sz="900" kern="1200">
              <a:solidFill>
                <a:sysClr val="windowText" lastClr="000000"/>
              </a:solidFill>
              <a:latin typeface="Helvetica"/>
              <a:ea typeface="+mn-ea"/>
              <a:cs typeface="+mn-cs"/>
            </a:rPr>
            <a:t>Posible traslado de costos ineficientes a los usuarios finales.</a:t>
          </a:r>
          <a:endParaRPr lang="es-CO" sz="900" kern="1200" dirty="0">
            <a:solidFill>
              <a:sysClr val="windowText" lastClr="000000"/>
            </a:solidFill>
            <a:latin typeface="Helvetica"/>
            <a:ea typeface="+mn-ea"/>
            <a:cs typeface="+mn-cs"/>
          </a:endParaRPr>
        </a:p>
      </dsp:txBody>
      <dsp:txXfrm>
        <a:off x="4059631" y="3665060"/>
        <a:ext cx="2026843" cy="449741"/>
      </dsp:txXfrm>
    </dsp:sp>
    <dsp:sp modelId="{578FB790-C0F8-4DD4-9C20-5E7CD4D66C44}">
      <dsp:nvSpPr>
        <dsp:cNvPr id="0" name=""/>
        <dsp:cNvSpPr/>
      </dsp:nvSpPr>
      <dsp:spPr>
        <a:xfrm rot="10800000">
          <a:off x="0" y="1556249"/>
          <a:ext cx="6086475" cy="1570838"/>
        </a:xfrm>
        <a:prstGeom prst="upArrowCallou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Helvetica"/>
              <a:ea typeface="+mn-ea"/>
              <a:cs typeface="+mn-cs"/>
            </a:rPr>
            <a:t>Problema</a:t>
          </a:r>
        </a:p>
      </dsp:txBody>
      <dsp:txXfrm rot="-10800000">
        <a:off x="0" y="1749353"/>
        <a:ext cx="6086475" cy="358260"/>
      </dsp:txXfrm>
    </dsp:sp>
    <dsp:sp modelId="{85E00362-292B-4DD3-913D-428D95E90588}">
      <dsp:nvSpPr>
        <dsp:cNvPr id="0" name=""/>
        <dsp:cNvSpPr/>
      </dsp:nvSpPr>
      <dsp:spPr>
        <a:xfrm>
          <a:off x="0" y="2132088"/>
          <a:ext cx="6086475" cy="469680"/>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b="0" kern="1200" dirty="0">
              <a:latin typeface="Helvetica" panose="020B0604020202020204" pitchFamily="34" charset="0"/>
              <a:ea typeface="+mn-ea"/>
              <a:cs typeface="Helvetica" panose="020B0604020202020204" pitchFamily="34" charset="0"/>
            </a:rPr>
            <a:t>Posible asimetría de información entre agentes y frente al regulador (oferta – costos trasladados del producto importado) </a:t>
          </a:r>
          <a:r>
            <a:rPr lang="es-CO" sz="900" b="1" kern="1200" dirty="0">
              <a:solidFill>
                <a:sysClr val="windowText" lastClr="000000">
                  <a:hueOff val="0"/>
                  <a:satOff val="0"/>
                  <a:lumOff val="0"/>
                  <a:alphaOff val="0"/>
                </a:sysClr>
              </a:solidFill>
              <a:latin typeface="Helvetica" panose="020B0604020202020204" pitchFamily="34" charset="0"/>
              <a:ea typeface="+mn-ea"/>
              <a:cs typeface="Helvetica" panose="020B0604020202020204" pitchFamily="34" charset="0"/>
            </a:rPr>
            <a:t> </a:t>
          </a:r>
        </a:p>
      </dsp:txBody>
      <dsp:txXfrm>
        <a:off x="0" y="2132088"/>
        <a:ext cx="6086475" cy="469680"/>
      </dsp:txXfrm>
    </dsp:sp>
    <dsp:sp modelId="{698A1DD3-0D71-4D7C-B132-A108A0C86C1C}">
      <dsp:nvSpPr>
        <dsp:cNvPr id="0" name=""/>
        <dsp:cNvSpPr/>
      </dsp:nvSpPr>
      <dsp:spPr>
        <a:xfrm rot="10800000">
          <a:off x="0" y="0"/>
          <a:ext cx="6086475" cy="1570838"/>
        </a:xfrm>
        <a:prstGeom prst="upArrowCallou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Helvetica"/>
              <a:ea typeface="+mn-ea"/>
              <a:cs typeface="+mn-cs"/>
            </a:rPr>
            <a:t>Causas</a:t>
          </a:r>
        </a:p>
      </dsp:txBody>
      <dsp:txXfrm rot="-10800000">
        <a:off x="0" y="193104"/>
        <a:ext cx="6086475" cy="358260"/>
      </dsp:txXfrm>
    </dsp:sp>
    <dsp:sp modelId="{D20A7F59-3808-483B-9B99-EE182F47CFF1}">
      <dsp:nvSpPr>
        <dsp:cNvPr id="0" name=""/>
        <dsp:cNvSpPr/>
      </dsp:nvSpPr>
      <dsp:spPr>
        <a:xfrm>
          <a:off x="2971" y="552095"/>
          <a:ext cx="2026843" cy="469680"/>
        </a:xfrm>
        <a:prstGeom prst="rect">
          <a:avLst/>
        </a:prstGeom>
        <a:solidFill>
          <a:srgbClr val="5B9BD5">
            <a:tint val="40000"/>
            <a:alpha val="90000"/>
            <a:hueOff val="-4493175"/>
            <a:satOff val="-15221"/>
            <a:lumOff val="-1952"/>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b="0" kern="1200" dirty="0">
              <a:solidFill>
                <a:sysClr val="windowText" lastClr="000000">
                  <a:hueOff val="0"/>
                  <a:satOff val="0"/>
                  <a:lumOff val="0"/>
                  <a:alphaOff val="0"/>
                </a:sysClr>
              </a:solidFill>
              <a:latin typeface="Helvetica"/>
              <a:ea typeface="+mn-ea"/>
              <a:cs typeface="+mn-cs"/>
            </a:rPr>
            <a:t>Desconocimiento de la producción proyectada del Refinador. </a:t>
          </a:r>
          <a:r>
            <a:rPr lang="es-CO" sz="900" b="0" kern="1200" dirty="0">
              <a:latin typeface="+mn-lt"/>
              <a:cs typeface="Calibri" panose="020F0502020204030204" pitchFamily="34" charset="0"/>
            </a:rPr>
            <a:t>(Mantenimientos programados).</a:t>
          </a:r>
          <a:endParaRPr lang="es-CO" sz="900" kern="1200" dirty="0">
            <a:solidFill>
              <a:sysClr val="windowText" lastClr="000000">
                <a:hueOff val="0"/>
                <a:satOff val="0"/>
                <a:lumOff val="0"/>
                <a:alphaOff val="0"/>
              </a:sysClr>
            </a:solidFill>
            <a:latin typeface="Helvetica"/>
            <a:ea typeface="+mn-ea"/>
            <a:cs typeface="+mn-cs"/>
          </a:endParaRPr>
        </a:p>
      </dsp:txBody>
      <dsp:txXfrm>
        <a:off x="2971" y="552095"/>
        <a:ext cx="2026843" cy="469680"/>
      </dsp:txXfrm>
    </dsp:sp>
    <dsp:sp modelId="{225DF0A2-0432-4F1F-989C-8C03129AC655}">
      <dsp:nvSpPr>
        <dsp:cNvPr id="0" name=""/>
        <dsp:cNvSpPr/>
      </dsp:nvSpPr>
      <dsp:spPr>
        <a:xfrm>
          <a:off x="2029815" y="552095"/>
          <a:ext cx="2026843" cy="469680"/>
        </a:xfrm>
        <a:prstGeom prst="rect">
          <a:avLst/>
        </a:prstGeom>
        <a:solidFill>
          <a:srgbClr val="5B9BD5">
            <a:tint val="40000"/>
            <a:alpha val="90000"/>
            <a:hueOff val="-5616468"/>
            <a:satOff val="-19027"/>
            <a:lumOff val="-244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dirty="0">
              <a:solidFill>
                <a:schemeClr val="tx1"/>
              </a:solidFill>
              <a:latin typeface="+mn-lt"/>
            </a:rPr>
            <a:t>No</a:t>
          </a:r>
          <a:r>
            <a:rPr lang="es-CO" sz="900" kern="1200" baseline="0" dirty="0">
              <a:solidFill>
                <a:schemeClr val="tx1"/>
              </a:solidFill>
              <a:latin typeface="+mn-lt"/>
            </a:rPr>
            <a:t> existe la obligación de reporte</a:t>
          </a:r>
          <a:endParaRPr lang="es-CO" sz="900" kern="1200" dirty="0">
            <a:solidFill>
              <a:sysClr val="windowText" lastClr="000000"/>
            </a:solidFill>
            <a:latin typeface="Helvetica"/>
            <a:ea typeface="+mn-ea"/>
            <a:cs typeface="+mn-cs"/>
          </a:endParaRPr>
        </a:p>
      </dsp:txBody>
      <dsp:txXfrm>
        <a:off x="2029815" y="552095"/>
        <a:ext cx="2026843" cy="469680"/>
      </dsp:txXfrm>
    </dsp:sp>
    <dsp:sp modelId="{4900B022-E93F-423C-9B33-DA1373FAA4B7}">
      <dsp:nvSpPr>
        <dsp:cNvPr id="0" name=""/>
        <dsp:cNvSpPr/>
      </dsp:nvSpPr>
      <dsp:spPr>
        <a:xfrm>
          <a:off x="4056659" y="552095"/>
          <a:ext cx="2026843" cy="469680"/>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baseline="0" dirty="0">
              <a:solidFill>
                <a:schemeClr val="tx1"/>
              </a:solidFill>
              <a:latin typeface="+mn-lt"/>
            </a:rPr>
            <a:t>No existen señales de transparencia de los costos de importación ni logísticos (internación).</a:t>
          </a:r>
          <a:endParaRPr lang="es-CO" sz="900" kern="1200" dirty="0">
            <a:solidFill>
              <a:sysClr val="windowText" lastClr="000000"/>
            </a:solidFill>
            <a:latin typeface="Helvetica"/>
            <a:ea typeface="+mn-ea"/>
            <a:cs typeface="+mn-cs"/>
          </a:endParaRPr>
        </a:p>
      </dsp:txBody>
      <dsp:txXfrm>
        <a:off x="4056659" y="552095"/>
        <a:ext cx="2026843" cy="4696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BC674-7B96-4846-8428-89B6BB0940C5}">
      <dsp:nvSpPr>
        <dsp:cNvPr id="0" name=""/>
        <dsp:cNvSpPr/>
      </dsp:nvSpPr>
      <dsp:spPr>
        <a:xfrm>
          <a:off x="0" y="2458275"/>
          <a:ext cx="5445760" cy="80686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0" kern="1200">
              <a:latin typeface="Helvetica" panose="020B0604020202020204" pitchFamily="34" charset="0"/>
              <a:cs typeface="Helvetica" panose="020B0604020202020204" pitchFamily="34" charset="0"/>
            </a:rPr>
            <a:t>Efectos directos</a:t>
          </a:r>
        </a:p>
      </dsp:txBody>
      <dsp:txXfrm>
        <a:off x="0" y="2458275"/>
        <a:ext cx="5445760" cy="435704"/>
      </dsp:txXfrm>
    </dsp:sp>
    <dsp:sp modelId="{DCF345C6-622A-4A66-839A-34047D85382E}">
      <dsp:nvSpPr>
        <dsp:cNvPr id="0" name=""/>
        <dsp:cNvSpPr/>
      </dsp:nvSpPr>
      <dsp:spPr>
        <a:xfrm>
          <a:off x="0" y="2877843"/>
          <a:ext cx="5445760" cy="371156"/>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latin typeface="Helvetica" panose="020B0604020202020204" pitchFamily="34" charset="0"/>
              <a:cs typeface="Helvetica" panose="020B0604020202020204" pitchFamily="34" charset="0"/>
            </a:rPr>
            <a:t>Posible extracción de rentas por parte de los agentes en zonas donde se presume baja dinámica de competencia.</a:t>
          </a:r>
        </a:p>
      </dsp:txBody>
      <dsp:txXfrm>
        <a:off x="0" y="2877843"/>
        <a:ext cx="5445760" cy="371156"/>
      </dsp:txXfrm>
    </dsp:sp>
    <dsp:sp modelId="{9BE1C8D9-CB45-43B3-83DB-EFE55555E66E}">
      <dsp:nvSpPr>
        <dsp:cNvPr id="0" name=""/>
        <dsp:cNvSpPr/>
      </dsp:nvSpPr>
      <dsp:spPr>
        <a:xfrm rot="10800000">
          <a:off x="0" y="1229426"/>
          <a:ext cx="5445760" cy="1240952"/>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0" kern="1200">
              <a:latin typeface="Helvetica" panose="020B0604020202020204" pitchFamily="34" charset="0"/>
              <a:cs typeface="Helvetica" panose="020B0604020202020204" pitchFamily="34" charset="0"/>
            </a:rPr>
            <a:t>Problema</a:t>
          </a:r>
        </a:p>
      </dsp:txBody>
      <dsp:txXfrm rot="-10800000">
        <a:off x="0" y="1229426"/>
        <a:ext cx="5445760" cy="435574"/>
      </dsp:txXfrm>
    </dsp:sp>
    <dsp:sp modelId="{A1086C7B-BA2E-4BA4-8ADE-D7DD89AF343F}">
      <dsp:nvSpPr>
        <dsp:cNvPr id="0" name=""/>
        <dsp:cNvSpPr/>
      </dsp:nvSpPr>
      <dsp:spPr>
        <a:xfrm>
          <a:off x="0" y="1644938"/>
          <a:ext cx="5445760" cy="411169"/>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ES_tradnl" sz="900" b="0" kern="1200" dirty="0">
              <a:latin typeface="Helvetica" panose="020B0604020202020204" pitchFamily="34" charset="0"/>
              <a:cs typeface="Helvetica" panose="020B0604020202020204" pitchFamily="34" charset="0"/>
            </a:rPr>
            <a:t>Ante el desconocimiento de la dinámica de mercado en la distribución mayorista y minorista, </a:t>
          </a:r>
          <a:r>
            <a:rPr lang="es-CO" sz="900" b="0" kern="1200" dirty="0">
              <a:latin typeface="Helvetica" panose="020B0604020202020204" pitchFamily="34" charset="0"/>
              <a:cs typeface="Helvetica" panose="020B0604020202020204" pitchFamily="34" charset="0"/>
            </a:rPr>
            <a:t>posiblemente el régimen de precios no es el adecuado.</a:t>
          </a:r>
          <a:endParaRPr lang="es-CO" sz="900" b="1" kern="1200" dirty="0">
            <a:latin typeface="Helvetica" panose="020B0604020202020204" pitchFamily="34" charset="0"/>
            <a:cs typeface="Helvetica" panose="020B0604020202020204" pitchFamily="34" charset="0"/>
          </a:endParaRPr>
        </a:p>
      </dsp:txBody>
      <dsp:txXfrm>
        <a:off x="0" y="1644938"/>
        <a:ext cx="5445760" cy="411169"/>
      </dsp:txXfrm>
    </dsp:sp>
    <dsp:sp modelId="{BF870464-B5C4-443C-9EBE-6A1A89471124}">
      <dsp:nvSpPr>
        <dsp:cNvPr id="0" name=""/>
        <dsp:cNvSpPr/>
      </dsp:nvSpPr>
      <dsp:spPr>
        <a:xfrm rot="10800000">
          <a:off x="0" y="577"/>
          <a:ext cx="5445760" cy="1240952"/>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0" kern="1200">
              <a:latin typeface="Helvetica" panose="020B0604020202020204" pitchFamily="34" charset="0"/>
              <a:cs typeface="Helvetica" panose="020B0604020202020204" pitchFamily="34" charset="0"/>
            </a:rPr>
            <a:t>Causas</a:t>
          </a:r>
        </a:p>
      </dsp:txBody>
      <dsp:txXfrm rot="-10800000">
        <a:off x="0" y="577"/>
        <a:ext cx="5445760" cy="435574"/>
      </dsp:txXfrm>
    </dsp:sp>
    <dsp:sp modelId="{81630C3C-6122-4461-8CA6-59E0E88792D4}">
      <dsp:nvSpPr>
        <dsp:cNvPr id="0" name=""/>
        <dsp:cNvSpPr/>
      </dsp:nvSpPr>
      <dsp:spPr>
        <a:xfrm>
          <a:off x="0" y="436151"/>
          <a:ext cx="2722880" cy="371044"/>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solidFill>
                <a:sysClr val="windowText" lastClr="000000"/>
              </a:solidFill>
              <a:latin typeface="Helvetica" panose="020B0604020202020204" pitchFamily="34" charset="0"/>
              <a:cs typeface="Helvetica" panose="020B0604020202020204" pitchFamily="34" charset="0"/>
            </a:rPr>
            <a:t>Cambios en dinámica de competencia durante la última década</a:t>
          </a:r>
          <a:endParaRPr lang="es-CO" sz="900" kern="1200">
            <a:latin typeface="Helvetica" panose="020B0604020202020204" pitchFamily="34" charset="0"/>
            <a:cs typeface="Helvetica" panose="020B0604020202020204" pitchFamily="34" charset="0"/>
          </a:endParaRPr>
        </a:p>
      </dsp:txBody>
      <dsp:txXfrm>
        <a:off x="0" y="436151"/>
        <a:ext cx="2722880" cy="371044"/>
      </dsp:txXfrm>
    </dsp:sp>
    <dsp:sp modelId="{19535DFB-DFF1-4B7F-A2C9-3ECA48B454F6}">
      <dsp:nvSpPr>
        <dsp:cNvPr id="0" name=""/>
        <dsp:cNvSpPr/>
      </dsp:nvSpPr>
      <dsp:spPr>
        <a:xfrm>
          <a:off x="2722880" y="436151"/>
          <a:ext cx="2722880" cy="371044"/>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s-CO" sz="900" kern="1200">
              <a:solidFill>
                <a:sysClr val="windowText" lastClr="000000"/>
              </a:solidFill>
              <a:latin typeface="Helvetica" panose="020B0604020202020204" pitchFamily="34" charset="0"/>
              <a:cs typeface="Helvetica" panose="020B0604020202020204" pitchFamily="34" charset="0"/>
            </a:rPr>
            <a:t>Asimetrías de información</a:t>
          </a:r>
          <a:endParaRPr lang="es-CO" sz="900" kern="1200">
            <a:latin typeface="Helvetica" panose="020B0604020202020204" pitchFamily="34" charset="0"/>
            <a:cs typeface="Helvetica" panose="020B0604020202020204" pitchFamily="34" charset="0"/>
          </a:endParaRPr>
        </a:p>
      </dsp:txBody>
      <dsp:txXfrm>
        <a:off x="2722880" y="436151"/>
        <a:ext cx="2722880" cy="3710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18441</Words>
  <Characters>101429</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DOCUMENTO CREG - REGULACIÓN CONSULTA Y DEFINITIVA CARACTER GENERAL</vt:lpstr>
    </vt:vector>
  </TitlesOfParts>
  <Company>CREG</Company>
  <LinksUpToDate>false</LinksUpToDate>
  <CharactersWithSpaces>119631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Wilson Sanchez Sanchez</cp:lastModifiedBy>
  <cp:revision>25</cp:revision>
  <cp:lastPrinted>2024-06-21T20:39:00Z</cp:lastPrinted>
  <dcterms:created xsi:type="dcterms:W3CDTF">2024-06-14T12:45:00Z</dcterms:created>
  <dcterms:modified xsi:type="dcterms:W3CDTF">2024-06-21T20:39:00Z</dcterms:modified>
</cp:coreProperties>
</file>