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97DA" w14:textId="77777777" w:rsidR="00A7624E" w:rsidRDefault="00000000" w:rsidP="00723A3D">
      <w:pPr>
        <w:pStyle w:val="Encabezado"/>
        <w:tabs>
          <w:tab w:val="clear" w:pos="8504"/>
          <w:tab w:val="left" w:pos="0"/>
          <w:tab w:val="right" w:pos="9356"/>
        </w:tabs>
        <w:ind w:left="0"/>
        <w:jc w:val="center"/>
        <w:rPr>
          <w:rFonts w:ascii="Bookman Old Style" w:hAnsi="Bookman Old Style"/>
          <w:szCs w:val="24"/>
        </w:rPr>
      </w:pPr>
      <w:r>
        <w:object w:dxaOrig="1440" w:dyaOrig="1440" w14:anchorId="4622C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5pt;margin-top:-44.35pt;width:38.35pt;height:39.05pt;z-index:251658240" fillcolor="#0c9">
            <v:imagedata r:id="rId10" o:title=""/>
          </v:shape>
          <o:OLEObject Type="Embed" ProgID="PBrush" ShapeID="_x0000_s2051" DrawAspect="Content" ObjectID="_1779174977" r:id="rId11"/>
        </w:object>
      </w:r>
    </w:p>
    <w:p w14:paraId="4A4EF843" w14:textId="77777777" w:rsidR="00A7624E" w:rsidRDefault="00A7624E" w:rsidP="00A7624E">
      <w:pPr>
        <w:pStyle w:val="Ttulo4"/>
        <w:tabs>
          <w:tab w:val="left" w:pos="0"/>
          <w:tab w:val="right" w:pos="9356"/>
        </w:tabs>
        <w:ind w:left="0"/>
        <w:rPr>
          <w:rFonts w:ascii="Bookman Old Style" w:hAnsi="Bookman Old Style"/>
          <w:b w:val="0"/>
          <w:bCs/>
          <w:noProof/>
          <w:sz w:val="24"/>
          <w:szCs w:val="24"/>
          <w:lang w:val="es-ES"/>
        </w:rPr>
      </w:pPr>
      <w:r>
        <w:rPr>
          <w:rFonts w:ascii="Bookman Old Style" w:hAnsi="Bookman Old Style"/>
          <w:b w:val="0"/>
          <w:bCs/>
          <w:sz w:val="24"/>
          <w:szCs w:val="24"/>
        </w:rPr>
        <w:t>Ministerio de Minas y Energía</w:t>
      </w:r>
    </w:p>
    <w:p w14:paraId="5296FE33" w14:textId="1A38624F" w:rsidR="00A7624E" w:rsidRDefault="00A7624E" w:rsidP="00A7624E">
      <w:pPr>
        <w:pStyle w:val="Ttulo4"/>
        <w:tabs>
          <w:tab w:val="left" w:pos="0"/>
          <w:tab w:val="right" w:pos="9356"/>
        </w:tabs>
        <w:ind w:left="0"/>
        <w:rPr>
          <w:rFonts w:ascii="Bookman Old Style" w:hAnsi="Bookman Old Style"/>
          <w:b w:val="0"/>
          <w:bCs/>
          <w:sz w:val="24"/>
          <w:szCs w:val="24"/>
        </w:rPr>
      </w:pPr>
    </w:p>
    <w:p w14:paraId="05A2DEE5" w14:textId="77777777" w:rsidR="00A7624E" w:rsidRDefault="00A7624E" w:rsidP="00A7624E">
      <w:pPr>
        <w:pStyle w:val="Ttulo3"/>
        <w:tabs>
          <w:tab w:val="left" w:pos="0"/>
          <w:tab w:val="right" w:pos="9356"/>
        </w:tabs>
        <w:ind w:left="0"/>
        <w:rPr>
          <w:rFonts w:ascii="Bookman Old Style" w:hAnsi="Bookman Old Style" w:cs="Arial"/>
          <w:spacing w:val="20"/>
          <w:szCs w:val="24"/>
        </w:rPr>
      </w:pPr>
      <w:r>
        <w:rPr>
          <w:rFonts w:ascii="Bookman Old Style" w:hAnsi="Bookman Old Style" w:cs="Arial"/>
          <w:spacing w:val="20"/>
          <w:szCs w:val="24"/>
        </w:rPr>
        <w:t>COMISIÓN DE REGULACIÓN DE ENERGÍA Y GAS</w:t>
      </w:r>
    </w:p>
    <w:p w14:paraId="544DAE0A" w14:textId="77777777" w:rsidR="00A7624E" w:rsidRDefault="00A7624E" w:rsidP="00A7624E">
      <w:pPr>
        <w:pStyle w:val="Ttulo5"/>
        <w:tabs>
          <w:tab w:val="left" w:pos="0"/>
          <w:tab w:val="right" w:pos="9356"/>
        </w:tabs>
        <w:ind w:left="0"/>
        <w:rPr>
          <w:rFonts w:ascii="Bookman Old Style" w:hAnsi="Bookman Old Style"/>
          <w:sz w:val="24"/>
          <w:szCs w:val="24"/>
        </w:rPr>
      </w:pPr>
    </w:p>
    <w:p w14:paraId="431A8DF9" w14:textId="675D46F3" w:rsidR="00A7624E" w:rsidRDefault="00A7624E" w:rsidP="00A7624E">
      <w:pPr>
        <w:pStyle w:val="Ttulo5"/>
        <w:tabs>
          <w:tab w:val="left" w:pos="0"/>
          <w:tab w:val="right" w:pos="9356"/>
        </w:tabs>
        <w:ind w:left="0"/>
        <w:rPr>
          <w:rFonts w:ascii="Bookman Old Style" w:hAnsi="Bookman Old Style"/>
          <w:sz w:val="24"/>
          <w:szCs w:val="24"/>
        </w:rPr>
      </w:pPr>
    </w:p>
    <w:p w14:paraId="6CC56937" w14:textId="2C6795AF" w:rsidR="00A7624E" w:rsidRPr="005B669A" w:rsidRDefault="000C67CF" w:rsidP="00A7624E">
      <w:pPr>
        <w:pStyle w:val="Ttulo5"/>
        <w:tabs>
          <w:tab w:val="left" w:pos="0"/>
          <w:tab w:val="right" w:pos="9356"/>
        </w:tabs>
        <w:ind w:left="0"/>
        <w:rPr>
          <w:rFonts w:ascii="Bookman Old Style" w:hAnsi="Bookman Old Style"/>
          <w:szCs w:val="28"/>
        </w:rPr>
      </w:pPr>
      <w:r>
        <w:rPr>
          <w:rFonts w:ascii="Bookman Old Style" w:hAnsi="Bookman Old Style"/>
          <w:sz w:val="24"/>
          <w:szCs w:val="24"/>
        </w:rPr>
        <w:t xml:space="preserve">PROYECTO DE </w:t>
      </w:r>
      <w:r w:rsidR="00A7624E">
        <w:rPr>
          <w:rFonts w:ascii="Bookman Old Style" w:hAnsi="Bookman Old Style"/>
          <w:sz w:val="24"/>
          <w:szCs w:val="24"/>
        </w:rPr>
        <w:t xml:space="preserve">RESOLUCIÓN No. </w:t>
      </w:r>
      <w:r w:rsidR="00A7624E" w:rsidRPr="0042544E">
        <w:rPr>
          <w:rFonts w:ascii="Bookman Old Style" w:hAnsi="Bookman Old Style"/>
          <w:szCs w:val="28"/>
        </w:rPr>
        <w:fldChar w:fldCharType="begin"/>
      </w:r>
      <w:r w:rsidR="00A7624E" w:rsidRPr="0042544E">
        <w:rPr>
          <w:rFonts w:ascii="Bookman Old Style" w:hAnsi="Bookman Old Style"/>
          <w:szCs w:val="28"/>
        </w:rPr>
        <w:instrText xml:space="preserve"> MERGEFIELD  NumeroResolucion  \* MERGEFORMAT </w:instrText>
      </w:r>
      <w:r w:rsidR="00A7624E" w:rsidRPr="0042544E">
        <w:rPr>
          <w:rFonts w:ascii="Bookman Old Style" w:hAnsi="Bookman Old Style"/>
          <w:szCs w:val="28"/>
        </w:rPr>
        <w:fldChar w:fldCharType="separate"/>
      </w:r>
      <w:r w:rsidR="00281314" w:rsidRPr="0042544E">
        <w:rPr>
          <w:rFonts w:ascii="Bookman Old Style" w:hAnsi="Bookman Old Style"/>
          <w:noProof/>
          <w:szCs w:val="28"/>
        </w:rPr>
        <w:t>701 048</w:t>
      </w:r>
      <w:r w:rsidR="00A7624E" w:rsidRPr="0042544E">
        <w:rPr>
          <w:rFonts w:ascii="Bookman Old Style" w:hAnsi="Bookman Old Style"/>
          <w:szCs w:val="28"/>
        </w:rPr>
        <w:fldChar w:fldCharType="end"/>
      </w:r>
      <w:r w:rsidR="00A7624E" w:rsidRPr="0042544E">
        <w:rPr>
          <w:rFonts w:ascii="Bookman Old Style" w:hAnsi="Bookman Old Style"/>
          <w:szCs w:val="28"/>
        </w:rPr>
        <w:t xml:space="preserve"> DE </w:t>
      </w:r>
      <w:r w:rsidR="00A7624E" w:rsidRPr="0042544E">
        <w:rPr>
          <w:rFonts w:ascii="Bookman Old Style" w:hAnsi="Bookman Old Style"/>
          <w:szCs w:val="28"/>
        </w:rPr>
        <w:fldChar w:fldCharType="begin"/>
      </w:r>
      <w:r w:rsidR="00A7624E" w:rsidRPr="0042544E">
        <w:rPr>
          <w:rFonts w:ascii="Bookman Old Style" w:hAnsi="Bookman Old Style"/>
          <w:szCs w:val="28"/>
        </w:rPr>
        <w:instrText xml:space="preserve"> MERGEFIELD  Anio  \* MERGEFORMAT </w:instrText>
      </w:r>
      <w:r w:rsidR="00A7624E" w:rsidRPr="0042544E">
        <w:rPr>
          <w:rFonts w:ascii="Bookman Old Style" w:hAnsi="Bookman Old Style"/>
          <w:szCs w:val="28"/>
        </w:rPr>
        <w:fldChar w:fldCharType="separate"/>
      </w:r>
      <w:r w:rsidR="00A7624E" w:rsidRPr="0042544E">
        <w:rPr>
          <w:rFonts w:ascii="Bookman Old Style" w:hAnsi="Bookman Old Style"/>
          <w:noProof/>
          <w:szCs w:val="28"/>
        </w:rPr>
        <w:t>202</w:t>
      </w:r>
      <w:r w:rsidR="00DA62A5">
        <w:rPr>
          <w:rFonts w:ascii="Bookman Old Style" w:hAnsi="Bookman Old Style"/>
          <w:noProof/>
          <w:szCs w:val="28"/>
        </w:rPr>
        <w:t>4</w:t>
      </w:r>
      <w:r w:rsidR="00A7624E" w:rsidRPr="0042544E">
        <w:rPr>
          <w:rFonts w:ascii="Bookman Old Style" w:hAnsi="Bookman Old Style"/>
          <w:szCs w:val="28"/>
        </w:rPr>
        <w:fldChar w:fldCharType="end"/>
      </w:r>
    </w:p>
    <w:p w14:paraId="6C624210" w14:textId="77777777" w:rsidR="00A7624E" w:rsidRDefault="00A7624E" w:rsidP="00A7624E">
      <w:pPr>
        <w:tabs>
          <w:tab w:val="left" w:pos="0"/>
          <w:tab w:val="right" w:pos="9356"/>
        </w:tabs>
        <w:ind w:left="0"/>
        <w:jc w:val="center"/>
        <w:rPr>
          <w:rFonts w:ascii="Bookman Old Style" w:hAnsi="Bookman Old Style" w:cs="Arial"/>
          <w:b/>
          <w:snapToGrid w:val="0"/>
          <w:color w:val="000000"/>
          <w:lang w:val="es-ES_tradnl"/>
        </w:rPr>
      </w:pPr>
    </w:p>
    <w:p w14:paraId="108D4CFC" w14:textId="55D301CF" w:rsidR="00A7624E" w:rsidRPr="00F048EC" w:rsidRDefault="005B669A" w:rsidP="00A7624E">
      <w:pPr>
        <w:pStyle w:val="Ttulo3"/>
        <w:tabs>
          <w:tab w:val="left" w:pos="0"/>
          <w:tab w:val="right" w:pos="9356"/>
        </w:tabs>
        <w:ind w:left="0"/>
        <w:rPr>
          <w:rFonts w:ascii="Bookman Old Style" w:hAnsi="Bookman Old Style"/>
          <w:bCs/>
          <w:szCs w:val="24"/>
        </w:rPr>
      </w:pPr>
      <w:r w:rsidRPr="00F048EC">
        <w:rPr>
          <w:rFonts w:ascii="Bookman Old Style" w:hAnsi="Bookman Old Style"/>
          <w:bCs/>
          <w:szCs w:val="24"/>
        </w:rPr>
        <w:t>(</w:t>
      </w:r>
      <w:r w:rsidR="001566F7">
        <w:rPr>
          <w:rFonts w:ascii="Bookman Old Style" w:hAnsi="Bookman Old Style"/>
          <w:bCs/>
          <w:szCs w:val="24"/>
        </w:rPr>
        <w:t>31</w:t>
      </w:r>
      <w:r w:rsidR="001566F7" w:rsidRPr="00F048EC">
        <w:rPr>
          <w:rFonts w:ascii="Bookman Old Style" w:hAnsi="Bookman Old Style"/>
          <w:bCs/>
          <w:szCs w:val="24"/>
        </w:rPr>
        <w:t xml:space="preserve"> </w:t>
      </w:r>
      <w:r w:rsidR="00DA62A5">
        <w:rPr>
          <w:rFonts w:ascii="Bookman Old Style" w:hAnsi="Bookman Old Style"/>
          <w:bCs/>
          <w:szCs w:val="24"/>
        </w:rPr>
        <w:t>MAY</w:t>
      </w:r>
      <w:r w:rsidRPr="00F048EC">
        <w:rPr>
          <w:rFonts w:ascii="Bookman Old Style" w:hAnsi="Bookman Old Style"/>
          <w:bCs/>
          <w:szCs w:val="24"/>
        </w:rPr>
        <w:t>. 202</w:t>
      </w:r>
      <w:r w:rsidR="00DA62A5">
        <w:rPr>
          <w:rFonts w:ascii="Bookman Old Style" w:hAnsi="Bookman Old Style"/>
          <w:bCs/>
          <w:szCs w:val="24"/>
        </w:rPr>
        <w:t>4</w:t>
      </w:r>
      <w:r w:rsidR="00A7624E" w:rsidRPr="00F048EC">
        <w:rPr>
          <w:rFonts w:ascii="Bookman Old Style" w:hAnsi="Bookman Old Style"/>
          <w:bCs/>
          <w:szCs w:val="24"/>
        </w:rPr>
        <w:t>)</w:t>
      </w:r>
    </w:p>
    <w:p w14:paraId="17CF2C0D" w14:textId="0B4744F3" w:rsidR="00A7624E" w:rsidRDefault="00A7624E" w:rsidP="00A7624E">
      <w:pPr>
        <w:tabs>
          <w:tab w:val="left" w:pos="0"/>
          <w:tab w:val="right" w:pos="9356"/>
        </w:tabs>
        <w:ind w:left="0"/>
        <w:jc w:val="center"/>
        <w:rPr>
          <w:rFonts w:ascii="Bookman Old Style" w:hAnsi="Bookman Old Style"/>
          <w:lang w:val="es-ES_tradnl"/>
        </w:rPr>
      </w:pPr>
    </w:p>
    <w:p w14:paraId="58255CB2" w14:textId="6AD6AB62" w:rsidR="004E3F1B" w:rsidRDefault="004E3F1B" w:rsidP="00BF3872">
      <w:pPr>
        <w:spacing w:line="259" w:lineRule="auto"/>
        <w:ind w:left="142" w:right="142"/>
        <w:jc w:val="both"/>
        <w:rPr>
          <w:rFonts w:ascii="Bookman Old Style" w:hAnsi="Bookman Old Style"/>
        </w:rPr>
      </w:pPr>
      <w:r w:rsidRPr="00BF3872">
        <w:rPr>
          <w:rFonts w:ascii="Bookman Old Style" w:hAnsi="Bookman Old Style"/>
        </w:rPr>
        <w:t>La Comisión de Regulación de Energía y Gas</w:t>
      </w:r>
      <w:r w:rsidRPr="001566F7">
        <w:rPr>
          <w:rFonts w:ascii="Bookman Old Style" w:hAnsi="Bookman Old Style"/>
        </w:rPr>
        <w:t xml:space="preserve">, en su </w:t>
      </w:r>
      <w:r w:rsidR="00D23F2F" w:rsidRPr="001566F7">
        <w:rPr>
          <w:rFonts w:ascii="Bookman Old Style" w:hAnsi="Bookman Old Style"/>
        </w:rPr>
        <w:t xml:space="preserve">Sesión </w:t>
      </w:r>
      <w:r w:rsidRPr="001566F7">
        <w:rPr>
          <w:rFonts w:ascii="Bookman Old Style" w:hAnsi="Bookman Old Style"/>
        </w:rPr>
        <w:t xml:space="preserve">No. </w:t>
      </w:r>
      <w:r w:rsidR="004C6B5E" w:rsidRPr="001566F7">
        <w:rPr>
          <w:rFonts w:ascii="Bookman Old Style" w:hAnsi="Bookman Old Style"/>
        </w:rPr>
        <w:t>1319</w:t>
      </w:r>
      <w:r w:rsidRPr="001566F7">
        <w:rPr>
          <w:rFonts w:ascii="Bookman Old Style" w:hAnsi="Bookman Old Style"/>
        </w:rPr>
        <w:t xml:space="preserve"> del </w:t>
      </w:r>
      <w:r w:rsidR="004C6B5E" w:rsidRPr="001566F7">
        <w:rPr>
          <w:rFonts w:ascii="Bookman Old Style" w:hAnsi="Bookman Old Style"/>
        </w:rPr>
        <w:t>31</w:t>
      </w:r>
      <w:r w:rsidRPr="001566F7">
        <w:rPr>
          <w:rFonts w:ascii="Bookman Old Style" w:hAnsi="Bookman Old Style"/>
        </w:rPr>
        <w:t xml:space="preserve"> de </w:t>
      </w:r>
      <w:r w:rsidR="000C5EA6" w:rsidRPr="001566F7">
        <w:rPr>
          <w:rFonts w:ascii="Bookman Old Style" w:hAnsi="Bookman Old Style"/>
        </w:rPr>
        <w:t xml:space="preserve">mayo </w:t>
      </w:r>
      <w:r w:rsidRPr="001566F7">
        <w:rPr>
          <w:rFonts w:ascii="Bookman Old Style" w:hAnsi="Bookman Old Style"/>
        </w:rPr>
        <w:t xml:space="preserve">de </w:t>
      </w:r>
      <w:r w:rsidR="000C5EA6" w:rsidRPr="001566F7">
        <w:rPr>
          <w:rFonts w:ascii="Bookman Old Style" w:hAnsi="Bookman Old Style"/>
        </w:rPr>
        <w:t>2024</w:t>
      </w:r>
      <w:r w:rsidRPr="001566F7">
        <w:rPr>
          <w:rFonts w:ascii="Bookman Old Style" w:hAnsi="Bookman Old Style"/>
        </w:rPr>
        <w:t xml:space="preserve">, aprobó someter a consulta pública el presente proyecto de resolución durante </w:t>
      </w:r>
      <w:r w:rsidR="000C5EA6" w:rsidRPr="001566F7">
        <w:rPr>
          <w:rFonts w:ascii="Bookman Old Style" w:hAnsi="Bookman Old Style"/>
        </w:rPr>
        <w:t xml:space="preserve">quince </w:t>
      </w:r>
      <w:r w:rsidRPr="001566F7">
        <w:rPr>
          <w:rFonts w:ascii="Bookman Old Style" w:hAnsi="Bookman Old Style"/>
        </w:rPr>
        <w:t>(</w:t>
      </w:r>
      <w:r w:rsidR="000C5EA6" w:rsidRPr="001566F7">
        <w:rPr>
          <w:rFonts w:ascii="Bookman Old Style" w:hAnsi="Bookman Old Style"/>
        </w:rPr>
        <w:t>15</w:t>
      </w:r>
      <w:r w:rsidRPr="001566F7">
        <w:rPr>
          <w:rFonts w:ascii="Bookman Old Style" w:hAnsi="Bookman Old Style"/>
        </w:rPr>
        <w:t xml:space="preserve">) días </w:t>
      </w:r>
      <w:r w:rsidR="000C5EA6" w:rsidRPr="001566F7">
        <w:rPr>
          <w:rFonts w:ascii="Bookman Old Style" w:hAnsi="Bookman Old Style"/>
        </w:rPr>
        <w:t xml:space="preserve">hábiles </w:t>
      </w:r>
      <w:r w:rsidRPr="001566F7">
        <w:rPr>
          <w:rFonts w:ascii="Bookman Old Style" w:hAnsi="Bookman Old Style"/>
        </w:rPr>
        <w:t>contados</w:t>
      </w:r>
      <w:r w:rsidRPr="00BF3872">
        <w:rPr>
          <w:rFonts w:ascii="Bookman Old Style" w:hAnsi="Bookman Old Style"/>
        </w:rPr>
        <w:t xml:space="preserve"> a partir del día siguiente a su publicación en el portal web de la CREG.</w:t>
      </w:r>
    </w:p>
    <w:p w14:paraId="7219022C" w14:textId="77777777" w:rsidR="00BF3872" w:rsidRPr="00BF3872" w:rsidRDefault="00BF3872" w:rsidP="00BF3872">
      <w:pPr>
        <w:spacing w:line="259" w:lineRule="auto"/>
        <w:ind w:left="142" w:right="142"/>
        <w:jc w:val="both"/>
        <w:rPr>
          <w:rFonts w:ascii="Bookman Old Style" w:hAnsi="Bookman Old Style"/>
        </w:rPr>
      </w:pPr>
    </w:p>
    <w:p w14:paraId="2C61FE45" w14:textId="77777777" w:rsidR="004E3F1B" w:rsidRDefault="004E3F1B" w:rsidP="00BF3872">
      <w:pPr>
        <w:spacing w:line="259" w:lineRule="auto"/>
        <w:ind w:left="142" w:right="142"/>
        <w:jc w:val="both"/>
        <w:rPr>
          <w:rFonts w:ascii="Bookman Old Style" w:hAnsi="Bookman Old Style"/>
        </w:rPr>
      </w:pPr>
      <w:r w:rsidRPr="00BF3872">
        <w:rPr>
          <w:rFonts w:ascii="Bookman Old Style" w:hAnsi="Bookman Old Style"/>
        </w:rPr>
        <w:t>Se invita a los agentes,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5FC87C42" w14:textId="77777777" w:rsidR="00BF3872" w:rsidRDefault="00BF3872" w:rsidP="00BF3872">
      <w:pPr>
        <w:spacing w:line="259" w:lineRule="auto"/>
        <w:ind w:left="142" w:right="142"/>
        <w:jc w:val="both"/>
        <w:rPr>
          <w:rFonts w:ascii="Bookman Old Style" w:hAnsi="Bookman Old Style"/>
        </w:rPr>
      </w:pPr>
    </w:p>
    <w:p w14:paraId="7E45E5CC" w14:textId="07C5A084" w:rsidR="009674A6" w:rsidRPr="00400814" w:rsidRDefault="009674A6" w:rsidP="009674A6">
      <w:pPr>
        <w:spacing w:line="259" w:lineRule="auto"/>
        <w:ind w:left="142" w:right="142"/>
        <w:jc w:val="both"/>
        <w:rPr>
          <w:rFonts w:ascii="Bookman Old Style" w:hAnsi="Bookman Old Style"/>
        </w:rPr>
      </w:pPr>
      <w:r w:rsidRPr="00400814">
        <w:rPr>
          <w:rFonts w:ascii="Bookman Old Style" w:hAnsi="Bookman Old Style"/>
        </w:rPr>
        <w:t xml:space="preserve">Los interesados podrán dirigir sus comentarios al director ejecutivo de la </w:t>
      </w:r>
      <w:r w:rsidRPr="008B52EF">
        <w:rPr>
          <w:rFonts w:ascii="Bookman Old Style" w:hAnsi="Bookman Old Style"/>
        </w:rPr>
        <w:t>Comisión de Regulación de Energía y Gas, al correo electrónico creg@creg.gov.co, identificando el mensaje con el siguiente asunto: “</w:t>
      </w:r>
      <w:r w:rsidRPr="008B52EF">
        <w:rPr>
          <w:rFonts w:ascii="Bookman Old Style" w:hAnsi="Bookman Old Style"/>
          <w:i/>
          <w:iCs/>
        </w:rPr>
        <w:t xml:space="preserve">Proyecto de resolución 701 </w:t>
      </w:r>
      <w:r w:rsidR="00F67972" w:rsidRPr="008B52EF">
        <w:rPr>
          <w:rFonts w:ascii="Bookman Old Style" w:hAnsi="Bookman Old Style"/>
          <w:i/>
          <w:iCs/>
        </w:rPr>
        <w:t>048</w:t>
      </w:r>
      <w:r w:rsidRPr="008B52EF">
        <w:rPr>
          <w:rFonts w:ascii="Bookman Old Style" w:hAnsi="Bookman Old Style"/>
          <w:i/>
          <w:iCs/>
        </w:rPr>
        <w:t xml:space="preserve"> de 202</w:t>
      </w:r>
      <w:r w:rsidR="00F67972" w:rsidRPr="008B52EF">
        <w:rPr>
          <w:rFonts w:ascii="Bookman Old Style" w:hAnsi="Bookman Old Style"/>
          <w:i/>
          <w:iCs/>
        </w:rPr>
        <w:t>4</w:t>
      </w:r>
      <w:r w:rsidRPr="008B52EF">
        <w:rPr>
          <w:rFonts w:ascii="Bookman Old Style" w:hAnsi="Bookman Old Style"/>
          <w:i/>
          <w:iCs/>
        </w:rPr>
        <w:t xml:space="preserve"> – Precio de Arranque - Parada</w:t>
      </w:r>
      <w:r w:rsidRPr="008B52EF">
        <w:rPr>
          <w:rFonts w:ascii="Bookman Old Style" w:hAnsi="Bookman Old Style"/>
        </w:rPr>
        <w:t>”.</w:t>
      </w:r>
    </w:p>
    <w:p w14:paraId="5F313833" w14:textId="77777777" w:rsidR="009674A6" w:rsidRPr="00BF3872" w:rsidRDefault="009674A6" w:rsidP="00BF3872">
      <w:pPr>
        <w:spacing w:line="259" w:lineRule="auto"/>
        <w:ind w:left="142" w:right="142"/>
        <w:jc w:val="both"/>
        <w:rPr>
          <w:rFonts w:ascii="Bookman Old Style" w:hAnsi="Bookman Old Style"/>
        </w:rPr>
      </w:pPr>
    </w:p>
    <w:p w14:paraId="133321FF" w14:textId="77777777" w:rsidR="004E3F1B" w:rsidRPr="00BF3872" w:rsidRDefault="004E3F1B" w:rsidP="00BF3872">
      <w:pPr>
        <w:spacing w:line="259" w:lineRule="auto"/>
        <w:ind w:left="142" w:right="142"/>
        <w:jc w:val="both"/>
        <w:rPr>
          <w:rFonts w:ascii="Bookman Old Style" w:hAnsi="Bookman Old Style"/>
        </w:rPr>
      </w:pPr>
      <w:r w:rsidRPr="00BF3872">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10D6151A" w14:textId="5461CD0D" w:rsidR="00BE3E40" w:rsidRPr="004007C2" w:rsidRDefault="00BE3E40" w:rsidP="00723A3D">
      <w:pPr>
        <w:pStyle w:val="Textoindependiente3"/>
        <w:spacing w:before="240"/>
        <w:ind w:left="0"/>
        <w:jc w:val="both"/>
        <w:rPr>
          <w:b w:val="0"/>
        </w:rPr>
      </w:pPr>
    </w:p>
    <w:p w14:paraId="30EC77E2" w14:textId="2BABEFF5" w:rsidR="005E43DD" w:rsidRPr="00982D85" w:rsidRDefault="004E3F1B" w:rsidP="00982D85">
      <w:pPr>
        <w:ind w:left="0"/>
        <w:jc w:val="center"/>
        <w:rPr>
          <w:rFonts w:ascii="Bookman Old Style" w:hAnsi="Bookman Old Style" w:cs="Arial"/>
          <w:b/>
          <w:color w:val="000000" w:themeColor="text1"/>
          <w:lang w:eastAsia="es-CO"/>
        </w:rPr>
      </w:pPr>
      <w:r w:rsidRPr="00982D85">
        <w:rPr>
          <w:rFonts w:ascii="Bookman Old Style" w:hAnsi="Bookman Old Style" w:cs="Arial"/>
          <w:b/>
          <w:color w:val="000000" w:themeColor="text1"/>
          <w:lang w:eastAsia="es-CO"/>
        </w:rPr>
        <w:t>PROYECTO DE RESOLUCIÓN</w:t>
      </w:r>
    </w:p>
    <w:p w14:paraId="3BF83E1A" w14:textId="77777777" w:rsidR="00BE3E40" w:rsidRPr="00642AD8" w:rsidRDefault="00BE3E40" w:rsidP="00723A3D">
      <w:pPr>
        <w:ind w:left="0" w:right="51"/>
        <w:jc w:val="center"/>
        <w:rPr>
          <w:rFonts w:ascii="Arial" w:hAnsi="Arial" w:cs="Arial"/>
          <w:bCs/>
        </w:rPr>
      </w:pPr>
    </w:p>
    <w:p w14:paraId="4B8E01C6" w14:textId="3A08B412" w:rsidR="00594DE3" w:rsidRPr="00433ED1" w:rsidRDefault="00C373AD" w:rsidP="00433ED1">
      <w:pPr>
        <w:ind w:left="0"/>
        <w:jc w:val="center"/>
        <w:rPr>
          <w:rFonts w:ascii="Bookman Old Style" w:hAnsi="Bookman Old Style" w:cs="Arial"/>
          <w:color w:val="000000"/>
        </w:rPr>
      </w:pPr>
      <w:r w:rsidRPr="00E30F97">
        <w:rPr>
          <w:rFonts w:ascii="Bookman Old Style" w:hAnsi="Bookman Old Style" w:cs="Arial"/>
          <w:color w:val="000000"/>
        </w:rPr>
        <w:t xml:space="preserve">Por la cual </w:t>
      </w:r>
      <w:r>
        <w:rPr>
          <w:rFonts w:ascii="Bookman Old Style" w:hAnsi="Bookman Old Style" w:cs="Arial"/>
          <w:color w:val="000000"/>
        </w:rPr>
        <w:t xml:space="preserve">se definen y establecen las reglas asociadas al literal a) del </w:t>
      </w:r>
      <w:proofErr w:type="gramStart"/>
      <w:r>
        <w:rPr>
          <w:rFonts w:ascii="Bookman Old Style" w:hAnsi="Bookman Old Style" w:cs="Arial"/>
          <w:color w:val="000000"/>
        </w:rPr>
        <w:t xml:space="preserve">artículo </w:t>
      </w:r>
      <w:r w:rsidR="00CD5714">
        <w:rPr>
          <w:rFonts w:ascii="Bookman Old Style" w:hAnsi="Bookman Old Style" w:cs="Arial"/>
          <w:color w:val="000000"/>
        </w:rPr>
        <w:t xml:space="preserve"> 2.2.3.2.71</w:t>
      </w:r>
      <w:proofErr w:type="gramEnd"/>
      <w:r w:rsidR="00CD5714">
        <w:rPr>
          <w:rFonts w:ascii="Bookman Old Style" w:hAnsi="Bookman Old Style" w:cs="Arial"/>
          <w:color w:val="000000"/>
        </w:rPr>
        <w:t xml:space="preserve"> del Decreto 1073 de 2015 adicionado por el artículo </w:t>
      </w:r>
      <w:r>
        <w:rPr>
          <w:rFonts w:ascii="Bookman Old Style" w:hAnsi="Bookman Old Style" w:cs="Arial"/>
          <w:color w:val="000000"/>
        </w:rPr>
        <w:t>8 del Decreto 0929 de 2023</w:t>
      </w:r>
      <w:r w:rsidR="00735F7E">
        <w:rPr>
          <w:rFonts w:ascii="Bookman Old Style" w:hAnsi="Bookman Old Style" w:cs="Arial"/>
          <w:color w:val="000000"/>
        </w:rPr>
        <w:t xml:space="preserve">, se ajustan </w:t>
      </w:r>
      <w:r w:rsidR="0061010F">
        <w:rPr>
          <w:rFonts w:ascii="Bookman Old Style" w:hAnsi="Bookman Old Style" w:cs="Arial"/>
          <w:color w:val="000000"/>
        </w:rPr>
        <w:t>los costos de arranque – parada de la Resolución CREG 034 de 2001</w:t>
      </w:r>
      <w:r>
        <w:rPr>
          <w:rFonts w:ascii="Bookman Old Style" w:hAnsi="Bookman Old Style" w:cs="Arial"/>
          <w:i/>
          <w:iCs/>
          <w:color w:val="000000"/>
        </w:rPr>
        <w:t>,</w:t>
      </w:r>
      <w:r>
        <w:rPr>
          <w:rFonts w:ascii="Bookman Old Style" w:hAnsi="Bookman Old Style" w:cs="Arial"/>
          <w:color w:val="000000"/>
        </w:rPr>
        <w:t xml:space="preserve"> y se dictan disposiciones</w:t>
      </w:r>
    </w:p>
    <w:p w14:paraId="571961F0" w14:textId="77777777" w:rsidR="00594DE3" w:rsidRDefault="00594DE3" w:rsidP="00723A3D">
      <w:pPr>
        <w:ind w:left="0" w:right="51"/>
        <w:jc w:val="center"/>
        <w:rPr>
          <w:rFonts w:ascii="Arial" w:hAnsi="Arial" w:cs="Arial"/>
          <w:bCs/>
          <w:highlight w:val="yellow"/>
        </w:rPr>
      </w:pPr>
    </w:p>
    <w:p w14:paraId="37DBAFD5" w14:textId="77777777" w:rsidR="00BE3E40" w:rsidRPr="00723A3D" w:rsidRDefault="00BE3E40" w:rsidP="00723A3D">
      <w:pPr>
        <w:ind w:left="0" w:right="51"/>
        <w:jc w:val="center"/>
        <w:rPr>
          <w:rFonts w:ascii="Arial" w:hAnsi="Arial" w:cs="Arial"/>
          <w:bCs/>
          <w:highlight w:val="yellow"/>
        </w:rPr>
      </w:pPr>
    </w:p>
    <w:p w14:paraId="7B67FAFA" w14:textId="26B2E3D8" w:rsidR="00045D3D" w:rsidRPr="0047712D" w:rsidRDefault="00045D3D" w:rsidP="0047712D">
      <w:pPr>
        <w:ind w:left="0"/>
        <w:jc w:val="center"/>
        <w:rPr>
          <w:rFonts w:ascii="Bookman Old Style" w:hAnsi="Bookman Old Style" w:cs="Arial"/>
          <w:b/>
          <w:color w:val="000000" w:themeColor="text1"/>
          <w:lang w:eastAsia="es-CO"/>
        </w:rPr>
      </w:pPr>
      <w:r w:rsidRPr="0047712D">
        <w:rPr>
          <w:rFonts w:ascii="Bookman Old Style" w:hAnsi="Bookman Old Style" w:cs="Arial"/>
          <w:b/>
          <w:color w:val="000000" w:themeColor="text1"/>
          <w:lang w:eastAsia="es-CO"/>
        </w:rPr>
        <w:t xml:space="preserve">LA COMISIÓN DE REGULACIÓN </w:t>
      </w:r>
      <w:r w:rsidR="007B5A60" w:rsidRPr="0047712D">
        <w:rPr>
          <w:rFonts w:ascii="Bookman Old Style" w:hAnsi="Bookman Old Style" w:cs="Arial"/>
          <w:b/>
          <w:color w:val="000000" w:themeColor="text1"/>
          <w:lang w:eastAsia="es-CO"/>
        </w:rPr>
        <w:t>DE ENERGÍA</w:t>
      </w:r>
      <w:r w:rsidRPr="0047712D">
        <w:rPr>
          <w:rFonts w:ascii="Bookman Old Style" w:hAnsi="Bookman Old Style" w:cs="Arial"/>
          <w:b/>
          <w:color w:val="000000" w:themeColor="text1"/>
          <w:lang w:eastAsia="es-CO"/>
        </w:rPr>
        <w:t xml:space="preserve"> Y GAS</w:t>
      </w:r>
    </w:p>
    <w:p w14:paraId="2739C8D4" w14:textId="77777777" w:rsidR="00045D3D" w:rsidRPr="00E501DA" w:rsidRDefault="00045D3D" w:rsidP="00723A3D">
      <w:pPr>
        <w:ind w:left="0" w:right="51"/>
        <w:rPr>
          <w:rFonts w:ascii="Arial" w:hAnsi="Arial" w:cs="Arial"/>
        </w:rPr>
      </w:pPr>
    </w:p>
    <w:p w14:paraId="6EDA2283" w14:textId="0D20A106" w:rsidR="00045D3D" w:rsidRPr="005A706D" w:rsidRDefault="00A82122" w:rsidP="005A706D">
      <w:pPr>
        <w:tabs>
          <w:tab w:val="left" w:pos="142"/>
        </w:tabs>
        <w:ind w:left="142"/>
        <w:jc w:val="center"/>
        <w:rPr>
          <w:rFonts w:ascii="Bookman Old Style" w:hAnsi="Bookman Old Style" w:cs="Arial"/>
          <w:color w:val="000000"/>
        </w:rPr>
      </w:pPr>
      <w:r w:rsidRPr="005A706D">
        <w:rPr>
          <w:rFonts w:ascii="Bookman Old Style" w:hAnsi="Bookman Old Style" w:cs="Arial"/>
          <w:color w:val="000000"/>
        </w:rPr>
        <w:t>En ejercicio de sus atribuciones constitucionales y legales, en especial las conferidas por las Leyes 142 y 143 de 1994, y en desarrollo de los Decretos 1524, 2253 de 1994 y 1260 de 2013.</w:t>
      </w:r>
    </w:p>
    <w:p w14:paraId="416AEFF4" w14:textId="77777777" w:rsidR="00045D3D" w:rsidRPr="00723A3D" w:rsidRDefault="00045D3D" w:rsidP="00723A3D">
      <w:pPr>
        <w:ind w:left="0" w:right="51"/>
        <w:jc w:val="center"/>
        <w:rPr>
          <w:rFonts w:ascii="Arial" w:hAnsi="Arial" w:cs="Arial"/>
          <w:bCs/>
          <w:highlight w:val="yellow"/>
        </w:rPr>
      </w:pPr>
    </w:p>
    <w:p w14:paraId="3E8440ED" w14:textId="77777777" w:rsidR="00045D3D" w:rsidRPr="00723A3D" w:rsidRDefault="00045D3D" w:rsidP="00723A3D">
      <w:pPr>
        <w:ind w:left="0" w:right="51"/>
        <w:jc w:val="center"/>
        <w:rPr>
          <w:rFonts w:ascii="Arial" w:hAnsi="Arial" w:cs="Arial"/>
          <w:bCs/>
          <w:highlight w:val="yellow"/>
        </w:rPr>
      </w:pPr>
    </w:p>
    <w:p w14:paraId="13C8E08B" w14:textId="77777777" w:rsidR="00EC72B7" w:rsidRDefault="00EC72B7" w:rsidP="00C862A7">
      <w:pPr>
        <w:ind w:left="0"/>
        <w:jc w:val="center"/>
        <w:rPr>
          <w:rFonts w:ascii="Bookman Old Style" w:hAnsi="Bookman Old Style" w:cs="Arial"/>
          <w:b/>
          <w:color w:val="000000"/>
          <w:lang w:val="it-IT"/>
        </w:rPr>
      </w:pPr>
    </w:p>
    <w:p w14:paraId="495CBAEE" w14:textId="77777777" w:rsidR="001566F7" w:rsidRDefault="001566F7" w:rsidP="00C862A7">
      <w:pPr>
        <w:ind w:left="0"/>
        <w:jc w:val="center"/>
        <w:rPr>
          <w:rFonts w:ascii="Bookman Old Style" w:hAnsi="Bookman Old Style" w:cs="Arial"/>
          <w:b/>
          <w:color w:val="000000"/>
          <w:lang w:val="it-IT"/>
        </w:rPr>
      </w:pPr>
    </w:p>
    <w:p w14:paraId="03A442D5" w14:textId="77777777" w:rsidR="001566F7" w:rsidRDefault="001566F7" w:rsidP="00C862A7">
      <w:pPr>
        <w:ind w:left="0"/>
        <w:jc w:val="center"/>
        <w:rPr>
          <w:rFonts w:ascii="Bookman Old Style" w:hAnsi="Bookman Old Style" w:cs="Arial"/>
          <w:b/>
          <w:color w:val="000000"/>
          <w:lang w:val="it-IT"/>
        </w:rPr>
      </w:pPr>
    </w:p>
    <w:p w14:paraId="765294B4" w14:textId="77777777" w:rsidR="001566F7" w:rsidRDefault="001566F7" w:rsidP="00C862A7">
      <w:pPr>
        <w:ind w:left="0"/>
        <w:jc w:val="center"/>
        <w:rPr>
          <w:rFonts w:ascii="Bookman Old Style" w:hAnsi="Bookman Old Style" w:cs="Arial"/>
          <w:b/>
          <w:color w:val="000000"/>
          <w:lang w:val="it-IT"/>
        </w:rPr>
      </w:pPr>
    </w:p>
    <w:p w14:paraId="72BBA367" w14:textId="4FA48A18" w:rsidR="00045D3D" w:rsidRPr="00C862A7" w:rsidRDefault="00045D3D" w:rsidP="00C862A7">
      <w:pPr>
        <w:ind w:left="0"/>
        <w:jc w:val="center"/>
        <w:rPr>
          <w:rFonts w:ascii="Bookman Old Style" w:hAnsi="Bookman Old Style" w:cs="Arial"/>
          <w:b/>
          <w:color w:val="000000"/>
          <w:lang w:val="it-IT"/>
        </w:rPr>
      </w:pPr>
      <w:r w:rsidRPr="00C862A7">
        <w:rPr>
          <w:rFonts w:ascii="Bookman Old Style" w:hAnsi="Bookman Old Style" w:cs="Arial"/>
          <w:b/>
          <w:color w:val="000000"/>
          <w:lang w:val="it-IT"/>
        </w:rPr>
        <w:lastRenderedPageBreak/>
        <w:t xml:space="preserve">C O N S I D E R A N D </w:t>
      </w:r>
      <w:r w:rsidR="007B5A60" w:rsidRPr="00C862A7">
        <w:rPr>
          <w:rFonts w:ascii="Bookman Old Style" w:hAnsi="Bookman Old Style" w:cs="Arial"/>
          <w:b/>
          <w:color w:val="000000"/>
          <w:lang w:val="it-IT"/>
        </w:rPr>
        <w:t xml:space="preserve">O </w:t>
      </w:r>
      <w:r w:rsidR="00723A3D" w:rsidRPr="00C862A7">
        <w:rPr>
          <w:rFonts w:ascii="Bookman Old Style" w:hAnsi="Bookman Old Style" w:cs="Arial"/>
          <w:b/>
          <w:color w:val="000000"/>
          <w:lang w:val="it-IT"/>
        </w:rPr>
        <w:t xml:space="preserve"> </w:t>
      </w:r>
      <w:r w:rsidR="007B5A60" w:rsidRPr="00C862A7">
        <w:rPr>
          <w:rFonts w:ascii="Bookman Old Style" w:hAnsi="Bookman Old Style" w:cs="Arial"/>
          <w:b/>
          <w:color w:val="000000"/>
          <w:lang w:val="it-IT"/>
        </w:rPr>
        <w:t>Q</w:t>
      </w:r>
      <w:r w:rsidRPr="00C862A7">
        <w:rPr>
          <w:rFonts w:ascii="Bookman Old Style" w:hAnsi="Bookman Old Style" w:cs="Arial"/>
          <w:b/>
          <w:color w:val="000000"/>
          <w:lang w:val="it-IT"/>
        </w:rPr>
        <w:t xml:space="preserve"> U E:</w:t>
      </w:r>
    </w:p>
    <w:p w14:paraId="2378A86C" w14:textId="77777777" w:rsidR="00045D3D" w:rsidRPr="005B7F99" w:rsidRDefault="00045D3D" w:rsidP="00723A3D">
      <w:pPr>
        <w:ind w:left="0" w:right="51"/>
        <w:jc w:val="center"/>
        <w:rPr>
          <w:rFonts w:ascii="Arial" w:hAnsi="Arial" w:cs="Arial"/>
          <w:bCs/>
          <w:highlight w:val="yellow"/>
          <w:lang w:val="pt-BR"/>
        </w:rPr>
      </w:pPr>
    </w:p>
    <w:p w14:paraId="38361245" w14:textId="77777777" w:rsidR="00E95C64" w:rsidRPr="00DE6FA2" w:rsidRDefault="00E95C64" w:rsidP="00E95C64">
      <w:pPr>
        <w:ind w:left="0"/>
        <w:jc w:val="both"/>
        <w:rPr>
          <w:rFonts w:ascii="Bookman Old Style" w:hAnsi="Bookman Old Style" w:cs="Arial"/>
        </w:rPr>
      </w:pPr>
      <w:r>
        <w:rPr>
          <w:rStyle w:val="normaltextrun"/>
          <w:rFonts w:ascii="Bookman Old Style" w:hAnsi="Bookman Old Style" w:cs="Segoe UI"/>
        </w:rPr>
        <w:t>El artículo 365 de la Constitución Política establece que los servicios públicos son inherentes a la finalidad social del Estado, y es deber de este asegurar su prestación eficiente a todos los habitantes del territorio nacional.</w:t>
      </w:r>
    </w:p>
    <w:p w14:paraId="0D67C2C7" w14:textId="77777777" w:rsidR="00E95C64" w:rsidRDefault="00E95C64" w:rsidP="00E95C64">
      <w:pPr>
        <w:spacing w:before="120" w:after="120"/>
        <w:ind w:left="0"/>
        <w:jc w:val="both"/>
        <w:rPr>
          <w:rFonts w:ascii="Bookman Old Style" w:hAnsi="Bookman Old Style" w:cs="Arial"/>
        </w:rPr>
      </w:pPr>
      <w:r w:rsidRPr="00DE6FA2">
        <w:rPr>
          <w:rFonts w:ascii="Bookman Old Style" w:hAnsi="Bookman Old Style" w:cs="Arial"/>
        </w:rPr>
        <w:t>La Constitución Política, en su artículo 333, señala que el Estado, por mandato de la ley, impedirá que se restrinja la libertad económica y evitará o controlará cualquier abuso que personas o empresas hagan de su posición dominante en el mercado nacional.</w:t>
      </w:r>
    </w:p>
    <w:p w14:paraId="60A7FA5F"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El citado a</w:t>
      </w:r>
      <w:r w:rsidRPr="007C5107">
        <w:rPr>
          <w:rFonts w:ascii="Bookman Old Style" w:hAnsi="Bookman Old Style" w:cs="Arial"/>
          <w:lang w:val="es-CO"/>
        </w:rPr>
        <w:t xml:space="preserve">rtículo 333 de la Constitución Política, </w:t>
      </w:r>
      <w:r>
        <w:rPr>
          <w:rFonts w:ascii="Bookman Old Style" w:hAnsi="Bookman Old Style" w:cs="Arial"/>
          <w:lang w:val="es-CO"/>
        </w:rPr>
        <w:t xml:space="preserve">prevé que </w:t>
      </w:r>
      <w:r w:rsidRPr="007C5107">
        <w:rPr>
          <w:rFonts w:ascii="Bookman Old Style" w:hAnsi="Bookman Old Style" w:cs="Arial"/>
          <w:lang w:val="es-CO"/>
        </w:rPr>
        <w:t>la libre competencia económica es un derecho de todo</w:t>
      </w:r>
      <w:r>
        <w:rPr>
          <w:rFonts w:ascii="Bookman Old Style" w:hAnsi="Bookman Old Style" w:cs="Arial"/>
          <w:lang w:val="es-CO"/>
        </w:rPr>
        <w:t>s, que supone responsabilidades.</w:t>
      </w:r>
    </w:p>
    <w:p w14:paraId="273D038D"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De igual forma, el artículo 334 de la Constitución Política</w:t>
      </w:r>
      <w:r w:rsidRPr="007C5107">
        <w:rPr>
          <w:rFonts w:ascii="Bookman Old Style" w:hAnsi="Bookman Old Style" w:cs="Arial"/>
          <w:lang w:val="es-CO"/>
        </w:rPr>
        <w:t xml:space="preserve">, </w:t>
      </w:r>
      <w:r>
        <w:rPr>
          <w:rFonts w:ascii="Bookman Old Style" w:hAnsi="Bookman Old Style" w:cs="Arial"/>
          <w:lang w:val="es-CO"/>
        </w:rPr>
        <w:t xml:space="preserve">dispone que </w:t>
      </w:r>
      <w:r w:rsidRPr="007C5107">
        <w:rPr>
          <w:rFonts w:ascii="Bookman Old Style" w:hAnsi="Bookman Old Style" w:cs="Arial"/>
          <w:lang w:val="es-CO"/>
        </w:rPr>
        <w:t xml:space="preserve">el Estado intervendrá, </w:t>
      </w:r>
      <w:r>
        <w:rPr>
          <w:rFonts w:ascii="Bookman Old Style" w:hAnsi="Bookman Old Style" w:cs="Arial"/>
          <w:lang w:val="es-CO"/>
        </w:rPr>
        <w:t xml:space="preserve">también </w:t>
      </w:r>
      <w:r w:rsidRPr="007C5107">
        <w:rPr>
          <w:rFonts w:ascii="Bookman Old Style" w:hAnsi="Bookman Old Style" w:cs="Arial"/>
          <w:lang w:val="es-CO"/>
        </w:rPr>
        <w:t>por mandato de la ley, en los servicios públicos y privados, para racionalizar la economía con el fin de conseguir el mejoramiento de la calidad de vida de los habitantes, la distribución equitativa de oportunidades y los beneficios del desarrollo y la p</w:t>
      </w:r>
      <w:r>
        <w:rPr>
          <w:rFonts w:ascii="Bookman Old Style" w:hAnsi="Bookman Old Style" w:cs="Arial"/>
          <w:lang w:val="es-CO"/>
        </w:rPr>
        <w:t>reservación de un ambiente sano.</w:t>
      </w:r>
    </w:p>
    <w:p w14:paraId="6ABE076B" w14:textId="4F732E0A" w:rsidR="00E95C64" w:rsidRDefault="00E95C64" w:rsidP="00E95C64">
      <w:pPr>
        <w:pStyle w:val="paragraph"/>
        <w:spacing w:before="120" w:beforeAutospacing="0" w:after="120" w:afterAutospacing="0"/>
        <w:ind w:right="136"/>
        <w:jc w:val="both"/>
        <w:textAlignment w:val="baseline"/>
        <w:rPr>
          <w:rFonts w:ascii="Segoe UI" w:hAnsi="Segoe UI" w:cs="Segoe UI"/>
          <w:sz w:val="18"/>
          <w:szCs w:val="18"/>
        </w:rPr>
      </w:pPr>
    </w:p>
    <w:p w14:paraId="172F93DA"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La Ley 142 de 1994, artículo 2</w:t>
      </w:r>
      <w:r w:rsidRPr="007C5107">
        <w:rPr>
          <w:rFonts w:ascii="Bookman Old Style" w:hAnsi="Bookman Old Style" w:cs="Arial"/>
          <w:lang w:val="es-CO"/>
        </w:rPr>
        <w:t xml:space="preserve">, </w:t>
      </w:r>
      <w:r>
        <w:rPr>
          <w:rFonts w:ascii="Bookman Old Style" w:hAnsi="Bookman Old Style" w:cs="Arial"/>
          <w:lang w:val="es-CO"/>
        </w:rPr>
        <w:t xml:space="preserve">señaló </w:t>
      </w:r>
      <w:r w:rsidRPr="007C5107">
        <w:rPr>
          <w:rFonts w:ascii="Bookman Old Style" w:hAnsi="Bookman Old Style" w:cs="Arial"/>
          <w:lang w:val="es-CO"/>
        </w:rPr>
        <w:t>la intervención del Estado en los servicios públicos, conforme a las reglas de competencia de que trata dicha ley, en el</w:t>
      </w:r>
      <w:r>
        <w:rPr>
          <w:rFonts w:ascii="Bookman Old Style" w:hAnsi="Bookman Old Style" w:cs="Arial"/>
          <w:lang w:val="es-CO"/>
        </w:rPr>
        <w:t xml:space="preserve"> marco de lo dispuesto por los a</w:t>
      </w:r>
      <w:r w:rsidRPr="007C5107">
        <w:rPr>
          <w:rFonts w:ascii="Bookman Old Style" w:hAnsi="Bookman Old Style" w:cs="Arial"/>
          <w:lang w:val="es-CO"/>
        </w:rPr>
        <w:t xml:space="preserve">rtículos 334, 336, y 365 a 370 de la Constitución Política, para lograr entre otros fines, la libertad de competencia y </w:t>
      </w:r>
      <w:r>
        <w:rPr>
          <w:rFonts w:ascii="Bookman Old Style" w:hAnsi="Bookman Old Style" w:cs="Arial"/>
          <w:lang w:val="es-CO"/>
        </w:rPr>
        <w:t xml:space="preserve">la </w:t>
      </w:r>
      <w:r w:rsidRPr="007C5107">
        <w:rPr>
          <w:rFonts w:ascii="Bookman Old Style" w:hAnsi="Bookman Old Style" w:cs="Arial"/>
          <w:lang w:val="es-CO"/>
        </w:rPr>
        <w:t>no utilización a</w:t>
      </w:r>
      <w:r>
        <w:rPr>
          <w:rFonts w:ascii="Bookman Old Style" w:hAnsi="Bookman Old Style" w:cs="Arial"/>
          <w:lang w:val="es-CO"/>
        </w:rPr>
        <w:t>busiva de la posición dominante.</w:t>
      </w:r>
    </w:p>
    <w:p w14:paraId="1747CEF7"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S</w:t>
      </w:r>
      <w:r w:rsidRPr="007C5107">
        <w:rPr>
          <w:rFonts w:ascii="Bookman Old Style" w:hAnsi="Bookman Old Style" w:cs="Arial"/>
          <w:lang w:val="es-CO"/>
        </w:rPr>
        <w:t xml:space="preserve">egún lo dispuesto </w:t>
      </w:r>
      <w:r>
        <w:rPr>
          <w:rFonts w:ascii="Bookman Old Style" w:hAnsi="Bookman Old Style" w:cs="Arial"/>
          <w:lang w:val="es-CO"/>
        </w:rPr>
        <w:t xml:space="preserve">en el artículo 3 de </w:t>
      </w:r>
      <w:r w:rsidRPr="007C5107">
        <w:rPr>
          <w:rFonts w:ascii="Bookman Old Style" w:hAnsi="Bookman Old Style" w:cs="Arial"/>
          <w:lang w:val="es-CO"/>
        </w:rPr>
        <w:t>la Ley 143 de 1994, en relación con el servicio público de electricidad</w:t>
      </w:r>
      <w:r>
        <w:rPr>
          <w:rFonts w:ascii="Bookman Old Style" w:hAnsi="Bookman Old Style" w:cs="Arial"/>
          <w:lang w:val="es-CO"/>
        </w:rPr>
        <w:t>,</w:t>
      </w:r>
      <w:r w:rsidRPr="007C5107">
        <w:rPr>
          <w:rFonts w:ascii="Bookman Old Style" w:hAnsi="Bookman Old Style" w:cs="Arial"/>
          <w:lang w:val="es-CO"/>
        </w:rPr>
        <w:t xml:space="preserve"> al Estado le corresponde, entre otros aspectos, promover la libre competencia en las actividades del sector, e impedir prácticas que constituyan competencia desleal o abuso de p</w:t>
      </w:r>
      <w:r>
        <w:rPr>
          <w:rFonts w:ascii="Bookman Old Style" w:hAnsi="Bookman Old Style" w:cs="Arial"/>
          <w:lang w:val="es-CO"/>
        </w:rPr>
        <w:t>osición dominante en el mercado.</w:t>
      </w:r>
      <w:r w:rsidRPr="007C5107">
        <w:rPr>
          <w:rFonts w:ascii="Bookman Old Style" w:hAnsi="Bookman Old Style" w:cs="Arial"/>
          <w:lang w:val="es-CO"/>
        </w:rPr>
        <w:t xml:space="preserve"> </w:t>
      </w:r>
    </w:p>
    <w:p w14:paraId="38DB991F"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El a</w:t>
      </w:r>
      <w:r w:rsidRPr="007C5107">
        <w:rPr>
          <w:rFonts w:ascii="Bookman Old Style" w:hAnsi="Bookman Old Style" w:cs="Arial"/>
          <w:lang w:val="es-CO"/>
        </w:rPr>
        <w:t xml:space="preserve">rtículo 4 de la Ley 143 de 1994 </w:t>
      </w:r>
      <w:r>
        <w:rPr>
          <w:rFonts w:ascii="Bookman Old Style" w:hAnsi="Bookman Old Style" w:cs="Arial"/>
          <w:lang w:val="es-CO"/>
        </w:rPr>
        <w:t xml:space="preserve">dispone que </w:t>
      </w:r>
      <w:r w:rsidRPr="007C5107">
        <w:rPr>
          <w:rFonts w:ascii="Bookman Old Style" w:hAnsi="Bookman Old Style" w:cs="Arial"/>
          <w:lang w:val="es-CO"/>
        </w:rPr>
        <w:t>el Estado, en relación con el servicio de electricidad</w:t>
      </w:r>
      <w:r>
        <w:rPr>
          <w:rFonts w:ascii="Bookman Old Style" w:hAnsi="Bookman Old Style" w:cs="Arial"/>
          <w:lang w:val="es-CO"/>
        </w:rPr>
        <w:t>, tiene dentro de sus objetivos</w:t>
      </w:r>
      <w:r w:rsidRPr="007C5107">
        <w:rPr>
          <w:rFonts w:ascii="Bookman Old Style" w:hAnsi="Bookman Old Style" w:cs="Arial"/>
          <w:lang w:val="es-CO"/>
        </w:rPr>
        <w:t xml:space="preserve"> abastecer la demanda de electricidad de la comunidad bajo criterios económicos y de viabilidad financiera, asegurando su cubrimiento en un marco de uso racional y eficiente de los diferentes recursos energ</w:t>
      </w:r>
      <w:r>
        <w:rPr>
          <w:rFonts w:ascii="Bookman Old Style" w:hAnsi="Bookman Old Style" w:cs="Arial"/>
          <w:lang w:val="es-CO"/>
        </w:rPr>
        <w:t>éticos del país.</w:t>
      </w:r>
    </w:p>
    <w:p w14:paraId="5B8E075D" w14:textId="77777777" w:rsidR="00E95C64" w:rsidRPr="007C5107"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Igualmente, el citado a</w:t>
      </w:r>
      <w:r w:rsidRPr="007C5107">
        <w:rPr>
          <w:rFonts w:ascii="Bookman Old Style" w:hAnsi="Bookman Old Style" w:cs="Arial"/>
          <w:lang w:val="es-CO"/>
        </w:rPr>
        <w:t>rtículo 4</w:t>
      </w:r>
      <w:r>
        <w:rPr>
          <w:rFonts w:ascii="Bookman Old Style" w:hAnsi="Bookman Old Style" w:cs="Arial"/>
          <w:lang w:val="es-CO"/>
        </w:rPr>
        <w:t xml:space="preserve"> </w:t>
      </w:r>
      <w:r w:rsidRPr="007C5107">
        <w:rPr>
          <w:rFonts w:ascii="Bookman Old Style" w:hAnsi="Bookman Old Style" w:cs="Arial"/>
          <w:lang w:val="es-CO"/>
        </w:rPr>
        <w:t>de la Ley 143 de 1994 define como objetivo del Estado asegurar una operación eficiente, segura y confiabl</w:t>
      </w:r>
      <w:r>
        <w:rPr>
          <w:rFonts w:ascii="Bookman Old Style" w:hAnsi="Bookman Old Style" w:cs="Arial"/>
          <w:lang w:val="es-CO"/>
        </w:rPr>
        <w:t xml:space="preserve">e en las actividades del sector, y </w:t>
      </w:r>
      <w:r w:rsidRPr="00576D9E">
        <w:rPr>
          <w:rFonts w:ascii="Bookman Old Style" w:hAnsi="Bookman Old Style" w:cs="Arial"/>
        </w:rPr>
        <w:t>mantener los niveles de calidad y seguridad establecidos</w:t>
      </w:r>
      <w:r>
        <w:rPr>
          <w:rFonts w:ascii="Bookman Old Style" w:hAnsi="Bookman Old Style" w:cs="Arial"/>
        </w:rPr>
        <w:t>.</w:t>
      </w:r>
    </w:p>
    <w:p w14:paraId="72BD511A" w14:textId="77777777" w:rsidR="00E95C64" w:rsidRDefault="00E95C64" w:rsidP="00E95C64">
      <w:pPr>
        <w:spacing w:before="120" w:after="120"/>
        <w:ind w:left="0"/>
        <w:jc w:val="both"/>
        <w:rPr>
          <w:rFonts w:ascii="Bookman Old Style" w:hAnsi="Bookman Old Style" w:cs="Arial"/>
          <w:lang w:val="es-CO"/>
        </w:rPr>
      </w:pPr>
      <w:r>
        <w:rPr>
          <w:rFonts w:ascii="Bookman Old Style" w:hAnsi="Bookman Old Style" w:cs="Arial"/>
          <w:lang w:val="es-CO"/>
        </w:rPr>
        <w:t>La</w:t>
      </w:r>
      <w:r w:rsidRPr="007C5107">
        <w:rPr>
          <w:rFonts w:ascii="Bookman Old Style" w:hAnsi="Bookman Old Style" w:cs="Arial"/>
          <w:lang w:val="es-CO"/>
        </w:rPr>
        <w:t xml:space="preserve"> Ley </w:t>
      </w:r>
      <w:r>
        <w:rPr>
          <w:rFonts w:ascii="Bookman Old Style" w:hAnsi="Bookman Old Style" w:cs="Arial"/>
          <w:lang w:val="es-CO"/>
        </w:rPr>
        <w:t>143 de 1994, artículo 6</w:t>
      </w:r>
      <w:r w:rsidRPr="007C5107">
        <w:rPr>
          <w:rFonts w:ascii="Bookman Old Style" w:hAnsi="Bookman Old Style" w:cs="Arial"/>
          <w:lang w:val="es-CO"/>
        </w:rPr>
        <w:t>, dispuso que las actividades relacionadas con el servicio de electricidad se regirán, entre otros principios, por el de eficiencia, el cual “</w:t>
      </w:r>
      <w:r w:rsidRPr="00E60CE3">
        <w:rPr>
          <w:rFonts w:ascii="Bookman Old Style" w:hAnsi="Bookman Old Style" w:cs="Arial"/>
          <w:i/>
          <w:lang w:val="es-CO"/>
        </w:rPr>
        <w:t>obliga a la correcta asignación y utilización de los recursos de tal forma que se garantice la prestación del servicio al menor costo económico</w:t>
      </w:r>
      <w:r>
        <w:rPr>
          <w:rFonts w:ascii="Bookman Old Style" w:hAnsi="Bookman Old Style" w:cs="Arial"/>
          <w:lang w:val="es-CO"/>
        </w:rPr>
        <w:t>”.</w:t>
      </w:r>
    </w:p>
    <w:p w14:paraId="63DD35E0" w14:textId="77777777" w:rsidR="00E95C64" w:rsidRPr="00576D9E" w:rsidRDefault="00E95C64" w:rsidP="00E95C64">
      <w:pPr>
        <w:spacing w:before="120" w:after="120"/>
        <w:ind w:left="0"/>
        <w:jc w:val="both"/>
        <w:rPr>
          <w:rFonts w:ascii="Bookman Old Style" w:hAnsi="Bookman Old Style" w:cs="Arial"/>
        </w:rPr>
      </w:pPr>
      <w:r>
        <w:rPr>
          <w:rFonts w:ascii="Bookman Old Style" w:hAnsi="Bookman Old Style" w:cs="Arial"/>
        </w:rPr>
        <w:t>El artículo 20 de l</w:t>
      </w:r>
      <w:r w:rsidRPr="00576D9E">
        <w:rPr>
          <w:rFonts w:ascii="Bookman Old Style" w:hAnsi="Bookman Old Style" w:cs="Arial"/>
        </w:rPr>
        <w:t xml:space="preserve">a Ley 143 de 1994 definió como objetivo fundamental de la </w:t>
      </w:r>
      <w:r>
        <w:rPr>
          <w:rFonts w:ascii="Bookman Old Style" w:hAnsi="Bookman Old Style" w:cs="Arial"/>
        </w:rPr>
        <w:t>r</w:t>
      </w:r>
      <w:r w:rsidRPr="00576D9E">
        <w:rPr>
          <w:rFonts w:ascii="Bookman Old Style" w:hAnsi="Bookman Old Style" w:cs="Arial"/>
        </w:rPr>
        <w:t xml:space="preserve">egulación en el sector eléctrico, asegurar una adecuada prestación del servicio mediante el aprovechamiento eficiente de los diferentes recursos energéticos, en beneficio del usuario en términos de calidad, oportunidad y costo del servicio. </w:t>
      </w:r>
    </w:p>
    <w:p w14:paraId="3868ADB7" w14:textId="77777777" w:rsidR="00E95C64" w:rsidRDefault="00E95C64" w:rsidP="00E95C64">
      <w:pPr>
        <w:spacing w:before="120" w:after="120"/>
        <w:ind w:left="0"/>
        <w:jc w:val="both"/>
        <w:rPr>
          <w:rFonts w:ascii="Bookman Old Style" w:hAnsi="Bookman Old Style" w:cs="Arial"/>
          <w:bCs/>
        </w:rPr>
      </w:pPr>
      <w:r>
        <w:rPr>
          <w:rFonts w:ascii="Bookman Old Style" w:hAnsi="Bookman Old Style" w:cs="Arial"/>
          <w:bCs/>
        </w:rPr>
        <w:t xml:space="preserve">La Resolución CREG 024 de 1995 </w:t>
      </w:r>
      <w:r w:rsidRPr="005168D4">
        <w:rPr>
          <w:rFonts w:ascii="Bookman Old Style" w:hAnsi="Bookman Old Style" w:cs="Arial"/>
          <w:bCs/>
        </w:rPr>
        <w:t>reglamenta los aspectos comerciales del mercado mayorista de energía en el sistema interconectado nacional, que hacen parte del Reglamento de Operación.</w:t>
      </w:r>
    </w:p>
    <w:p w14:paraId="22DD0911" w14:textId="77777777" w:rsidR="00E95C64" w:rsidRDefault="00E95C64" w:rsidP="00E95C64">
      <w:pPr>
        <w:pStyle w:val="Vietaletra"/>
        <w:numPr>
          <w:ilvl w:val="0"/>
          <w:numId w:val="0"/>
        </w:numPr>
        <w:suppressAutoHyphens w:val="0"/>
        <w:overflowPunct/>
        <w:autoSpaceDE/>
        <w:spacing w:before="120" w:after="120"/>
        <w:textAlignment w:val="auto"/>
        <w:rPr>
          <w:rFonts w:ascii="Bookman Old Style" w:hAnsi="Bookman Old Style" w:cs="Arial"/>
          <w:bCs/>
          <w:szCs w:val="24"/>
          <w:lang w:val="es-CO" w:eastAsia="es-ES"/>
        </w:rPr>
      </w:pPr>
      <w:r>
        <w:rPr>
          <w:rFonts w:ascii="Bookman Old Style" w:hAnsi="Bookman Old Style" w:cs="Arial"/>
          <w:bCs/>
          <w:szCs w:val="24"/>
          <w:lang w:val="es-CO" w:eastAsia="es-ES"/>
        </w:rPr>
        <w:lastRenderedPageBreak/>
        <w:t xml:space="preserve">La </w:t>
      </w:r>
      <w:r w:rsidRPr="00576D9E">
        <w:rPr>
          <w:rFonts w:ascii="Bookman Old Style" w:hAnsi="Bookman Old Style" w:cs="Arial"/>
          <w:bCs/>
          <w:szCs w:val="24"/>
          <w:lang w:val="es-CO" w:eastAsia="es-ES"/>
        </w:rPr>
        <w:t xml:space="preserve">Resolución </w:t>
      </w:r>
      <w:r>
        <w:rPr>
          <w:rFonts w:ascii="Bookman Old Style" w:hAnsi="Bookman Old Style" w:cs="Arial"/>
          <w:bCs/>
          <w:szCs w:val="24"/>
          <w:lang w:val="es-CO" w:eastAsia="es-ES"/>
        </w:rPr>
        <w:t>CREG 025</w:t>
      </w:r>
      <w:r w:rsidRPr="00576D9E">
        <w:rPr>
          <w:rFonts w:ascii="Bookman Old Style" w:hAnsi="Bookman Old Style" w:cs="Arial"/>
          <w:bCs/>
          <w:szCs w:val="24"/>
          <w:lang w:val="es-CO" w:eastAsia="es-ES"/>
        </w:rPr>
        <w:t xml:space="preserve"> de </w:t>
      </w:r>
      <w:r>
        <w:rPr>
          <w:rFonts w:ascii="Bookman Old Style" w:hAnsi="Bookman Old Style" w:cs="Arial"/>
          <w:bCs/>
          <w:szCs w:val="24"/>
          <w:lang w:val="es-CO" w:eastAsia="es-ES"/>
        </w:rPr>
        <w:t xml:space="preserve">1995 </w:t>
      </w:r>
      <w:r w:rsidRPr="003001B6">
        <w:rPr>
          <w:rFonts w:ascii="Bookman Old Style" w:hAnsi="Bookman Old Style" w:cs="Arial"/>
          <w:bCs/>
          <w:szCs w:val="24"/>
          <w:lang w:val="es-CO" w:eastAsia="es-ES"/>
        </w:rPr>
        <w:t>establec</w:t>
      </w:r>
      <w:r>
        <w:rPr>
          <w:rFonts w:ascii="Bookman Old Style" w:hAnsi="Bookman Old Style" w:cs="Arial"/>
          <w:bCs/>
          <w:szCs w:val="24"/>
          <w:lang w:val="es-CO" w:eastAsia="es-ES"/>
        </w:rPr>
        <w:t>ió</w:t>
      </w:r>
      <w:r w:rsidRPr="003001B6">
        <w:rPr>
          <w:rFonts w:ascii="Bookman Old Style" w:hAnsi="Bookman Old Style" w:cs="Arial"/>
          <w:bCs/>
          <w:szCs w:val="24"/>
          <w:lang w:val="es-CO" w:eastAsia="es-ES"/>
        </w:rPr>
        <w:t xml:space="preserve"> el Código de Redes, como parte del Reglamento de Operación del Sistema Interconectado Nacional</w:t>
      </w:r>
      <w:r>
        <w:rPr>
          <w:rFonts w:ascii="Bookman Old Style" w:hAnsi="Bookman Old Style" w:cs="Arial"/>
          <w:bCs/>
          <w:szCs w:val="24"/>
          <w:lang w:val="es-CO" w:eastAsia="es-ES"/>
        </w:rPr>
        <w:t>, que contiene los reglamentos de Código de Planeamiento, Código de Conexión, Código de Medida y Código de Operación.</w:t>
      </w:r>
    </w:p>
    <w:p w14:paraId="6E1DAC64" w14:textId="26A86E1F" w:rsidR="00577B1F" w:rsidRDefault="003F1187" w:rsidP="00E95C64">
      <w:pPr>
        <w:spacing w:before="120" w:after="120"/>
        <w:ind w:left="0"/>
        <w:jc w:val="both"/>
        <w:rPr>
          <w:rFonts w:ascii="Bookman Old Style" w:hAnsi="Bookman Old Style" w:cs="Arial"/>
          <w:bCs/>
        </w:rPr>
      </w:pPr>
      <w:r>
        <w:rPr>
          <w:rFonts w:ascii="Bookman Old Style" w:hAnsi="Bookman Old Style" w:cs="Arial"/>
          <w:bCs/>
        </w:rPr>
        <w:t xml:space="preserve">El </w:t>
      </w:r>
      <w:r w:rsidR="007B6F70">
        <w:rPr>
          <w:rFonts w:ascii="Bookman Old Style" w:hAnsi="Bookman Old Style" w:cs="Arial"/>
          <w:bCs/>
        </w:rPr>
        <w:t>literal del anexo A-4 “</w:t>
      </w:r>
      <w:r w:rsidR="00342BDD">
        <w:rPr>
          <w:rFonts w:ascii="Bookman Old Style" w:hAnsi="Bookman Old Style" w:cs="Arial"/>
          <w:bCs/>
        </w:rPr>
        <w:t xml:space="preserve">Función Precio en la Bolsa de Energía” de la Resolución CREG </w:t>
      </w:r>
      <w:r w:rsidR="00437990">
        <w:rPr>
          <w:rFonts w:ascii="Bookman Old Style" w:hAnsi="Bookman Old Style" w:cs="Arial"/>
          <w:bCs/>
        </w:rPr>
        <w:t>– 024 de 1995</w:t>
      </w:r>
      <w:r w:rsidR="00313F26">
        <w:rPr>
          <w:rFonts w:ascii="Bookman Old Style" w:hAnsi="Bookman Old Style" w:cs="Arial"/>
          <w:bCs/>
        </w:rPr>
        <w:t>, modificado por el artículo 5 de la Resolución CREG 101 028 de 2022,</w:t>
      </w:r>
      <w:r w:rsidR="00437990">
        <w:rPr>
          <w:rFonts w:ascii="Bookman Old Style" w:hAnsi="Bookman Old Style" w:cs="Arial"/>
          <w:bCs/>
        </w:rPr>
        <w:t xml:space="preserve"> define la forma de determinar </w:t>
      </w:r>
      <w:r w:rsidR="00CA049A">
        <w:rPr>
          <w:rFonts w:ascii="Bookman Old Style" w:hAnsi="Bookman Old Style" w:cs="Arial"/>
          <w:bCs/>
        </w:rPr>
        <w:t xml:space="preserve">el valor adicional ΔI que hace parte del precio de bolsa para </w:t>
      </w:r>
      <w:r w:rsidR="00D27866">
        <w:rPr>
          <w:rFonts w:ascii="Bookman Old Style" w:hAnsi="Bookman Old Style" w:cs="Arial"/>
          <w:bCs/>
        </w:rPr>
        <w:t xml:space="preserve">los </w:t>
      </w:r>
      <w:r>
        <w:rPr>
          <w:rFonts w:ascii="Bookman Old Style" w:hAnsi="Bookman Old Style" w:cs="Arial"/>
          <w:bCs/>
        </w:rPr>
        <w:t>mercados nacional e internacional.</w:t>
      </w:r>
    </w:p>
    <w:p w14:paraId="6C9BA0AB" w14:textId="3D25E5F8" w:rsidR="007A696A" w:rsidRDefault="007A696A" w:rsidP="00E95C64">
      <w:pPr>
        <w:spacing w:before="120" w:after="120"/>
        <w:ind w:left="0"/>
        <w:jc w:val="both"/>
        <w:rPr>
          <w:rFonts w:ascii="Bookman Old Style" w:hAnsi="Bookman Old Style" w:cs="Arial"/>
          <w:bCs/>
        </w:rPr>
      </w:pPr>
      <w:r>
        <w:rPr>
          <w:rFonts w:ascii="Bookman Old Style" w:hAnsi="Bookman Old Style" w:cs="Arial"/>
          <w:bCs/>
        </w:rPr>
        <w:t xml:space="preserve">La Resolución CREG </w:t>
      </w:r>
      <w:r w:rsidR="00D33651">
        <w:rPr>
          <w:rFonts w:ascii="Bookman Old Style" w:hAnsi="Bookman Old Style" w:cs="Arial"/>
          <w:bCs/>
        </w:rPr>
        <w:t xml:space="preserve">034 de 2001, modificada por </w:t>
      </w:r>
      <w:r w:rsidR="00A02EB5">
        <w:rPr>
          <w:rFonts w:ascii="Bookman Old Style" w:hAnsi="Bookman Old Style" w:cs="Arial"/>
          <w:bCs/>
        </w:rPr>
        <w:t xml:space="preserve">el artículo 9 de </w:t>
      </w:r>
      <w:r w:rsidR="00D33651">
        <w:rPr>
          <w:rFonts w:ascii="Bookman Old Style" w:hAnsi="Bookman Old Style" w:cs="Arial"/>
          <w:bCs/>
        </w:rPr>
        <w:t xml:space="preserve">la Resolución CREG 044 de 2020, define la metodología para </w:t>
      </w:r>
      <w:r w:rsidR="00F95DBC">
        <w:rPr>
          <w:rFonts w:ascii="Bookman Old Style" w:hAnsi="Bookman Old Style" w:cs="Arial"/>
          <w:bCs/>
        </w:rPr>
        <w:t xml:space="preserve">la definición del precio </w:t>
      </w:r>
      <w:r w:rsidR="00700BF4">
        <w:rPr>
          <w:rFonts w:ascii="Bookman Old Style" w:hAnsi="Bookman Old Style" w:cs="Arial"/>
          <w:bCs/>
        </w:rPr>
        <w:t xml:space="preserve">de </w:t>
      </w:r>
      <w:r w:rsidR="00F95DBC">
        <w:rPr>
          <w:rFonts w:ascii="Bookman Old Style" w:hAnsi="Bookman Old Style" w:cs="Arial"/>
          <w:bCs/>
        </w:rPr>
        <w:t>reconciliación</w:t>
      </w:r>
      <w:r w:rsidR="00700BF4">
        <w:rPr>
          <w:rFonts w:ascii="Bookman Old Style" w:hAnsi="Bookman Old Style" w:cs="Arial"/>
          <w:bCs/>
        </w:rPr>
        <w:t xml:space="preserve"> positiva de los generadores térmicos.</w:t>
      </w:r>
      <w:r w:rsidR="00F95DBC">
        <w:rPr>
          <w:rFonts w:ascii="Bookman Old Style" w:hAnsi="Bookman Old Style" w:cs="Arial"/>
          <w:bCs/>
        </w:rPr>
        <w:t xml:space="preserve"> </w:t>
      </w:r>
    </w:p>
    <w:p w14:paraId="7E0ED4BA" w14:textId="45EC17BB" w:rsidR="00E95C64" w:rsidRDefault="00E95C64" w:rsidP="00E95C64">
      <w:pPr>
        <w:spacing w:before="120" w:after="120"/>
        <w:ind w:left="0"/>
        <w:jc w:val="both"/>
        <w:rPr>
          <w:rFonts w:ascii="Bookman Old Style" w:hAnsi="Bookman Old Style" w:cs="Arial"/>
          <w:bCs/>
        </w:rPr>
      </w:pPr>
      <w:r w:rsidRPr="00736CE9">
        <w:rPr>
          <w:rFonts w:ascii="Bookman Old Style" w:hAnsi="Bookman Old Style" w:cs="Arial"/>
          <w:bCs/>
        </w:rPr>
        <w:t xml:space="preserve">Así mismo, el </w:t>
      </w:r>
      <w:r>
        <w:rPr>
          <w:rFonts w:ascii="Bookman Old Style" w:hAnsi="Bookman Old Style" w:cs="Arial"/>
          <w:bCs/>
        </w:rPr>
        <w:t xml:space="preserve">numeral </w:t>
      </w:r>
      <w:r w:rsidRPr="00736CE9">
        <w:rPr>
          <w:rFonts w:ascii="Bookman Old Style" w:hAnsi="Bookman Old Style" w:cs="Arial"/>
          <w:bCs/>
        </w:rPr>
        <w:t xml:space="preserve">3.1 del Anexo Código de Operación de la Resolución CREG 025 de 1995, modificado por el artículo 1 de la Resolución </w:t>
      </w:r>
      <w:r w:rsidR="00550DF1">
        <w:rPr>
          <w:rFonts w:ascii="Bookman Old Style" w:hAnsi="Bookman Old Style" w:cs="Arial"/>
          <w:bCs/>
        </w:rPr>
        <w:t xml:space="preserve">CREG </w:t>
      </w:r>
      <w:r w:rsidRPr="00736CE9">
        <w:rPr>
          <w:rFonts w:ascii="Bookman Old Style" w:hAnsi="Bookman Old Style" w:cs="Arial"/>
          <w:bCs/>
        </w:rPr>
        <w:t>101-</w:t>
      </w:r>
      <w:r w:rsidR="00550DF1">
        <w:rPr>
          <w:rFonts w:ascii="Bookman Old Style" w:hAnsi="Bookman Old Style" w:cs="Arial"/>
          <w:bCs/>
        </w:rPr>
        <w:t>0</w:t>
      </w:r>
      <w:r w:rsidRPr="00736CE9">
        <w:rPr>
          <w:rFonts w:ascii="Bookman Old Style" w:hAnsi="Bookman Old Style" w:cs="Arial"/>
          <w:bCs/>
        </w:rPr>
        <w:t>28 de 2022</w:t>
      </w:r>
      <w:r>
        <w:rPr>
          <w:rFonts w:ascii="Bookman Old Style" w:hAnsi="Bookman Old Style" w:cs="Arial"/>
          <w:bCs/>
        </w:rPr>
        <w:t>,</w:t>
      </w:r>
      <w:r w:rsidRPr="00736CE9">
        <w:rPr>
          <w:rFonts w:ascii="Bookman Old Style" w:hAnsi="Bookman Old Style" w:cs="Arial"/>
          <w:bCs/>
        </w:rPr>
        <w:t xml:space="preserve"> estableció las condiciones en que se declara la oferta de precios para el Despacho Económico Horario.</w:t>
      </w:r>
    </w:p>
    <w:p w14:paraId="211B0221" w14:textId="77777777" w:rsidR="00E95C64" w:rsidRDefault="00E95C64" w:rsidP="00E95C64">
      <w:pPr>
        <w:spacing w:before="120" w:after="120"/>
        <w:ind w:left="0"/>
        <w:jc w:val="both"/>
        <w:rPr>
          <w:rFonts w:ascii="Bookman Old Style" w:hAnsi="Bookman Old Style" w:cs="Arial"/>
          <w:bCs/>
        </w:rPr>
      </w:pPr>
      <w:r>
        <w:rPr>
          <w:rFonts w:ascii="Bookman Old Style" w:hAnsi="Bookman Old Style" w:cs="Arial"/>
          <w:bCs/>
        </w:rPr>
        <w:t xml:space="preserve">El Decreto 0929 </w:t>
      </w:r>
      <w:r w:rsidRPr="00C52440">
        <w:rPr>
          <w:rFonts w:ascii="Bookman Old Style" w:hAnsi="Bookman Old Style" w:cs="Arial"/>
        </w:rPr>
        <w:t xml:space="preserve">de 7 de junio de </w:t>
      </w:r>
      <w:r w:rsidRPr="5EFE6D10">
        <w:rPr>
          <w:rFonts w:ascii="Bookman Old Style" w:hAnsi="Bookman Old Style" w:cs="Arial"/>
        </w:rPr>
        <w:t xml:space="preserve">2023 </w:t>
      </w:r>
      <w:r>
        <w:rPr>
          <w:rFonts w:ascii="Bookman Old Style" w:hAnsi="Bookman Old Style" w:cs="Arial"/>
          <w:bCs/>
        </w:rPr>
        <w:t>de 2023 dispuso en su artículo 8 que la CREG ajustará su regulación así:</w:t>
      </w:r>
    </w:p>
    <w:p w14:paraId="242D6C94" w14:textId="77777777" w:rsidR="00E95C64" w:rsidRPr="00345748" w:rsidRDefault="00E95C64" w:rsidP="00E95C64">
      <w:pPr>
        <w:spacing w:before="24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 ARTÍCULO 8. Adiciónese la Sección 7 en el Capítulo 2, Titulo III, Parte 2, Libro 2 del Decreto 1073 de 2015, la cual quedará así:</w:t>
      </w:r>
    </w:p>
    <w:p w14:paraId="7DAB3344" w14:textId="77777777" w:rsidR="00E95C64" w:rsidRPr="00345748" w:rsidRDefault="00E95C64" w:rsidP="00E95C64">
      <w:pPr>
        <w:spacing w:before="120"/>
        <w:ind w:left="426"/>
        <w:jc w:val="center"/>
        <w:rPr>
          <w:rFonts w:ascii="Bookman Old Style" w:hAnsi="Bookman Old Style" w:cs="Arial"/>
          <w:bCs/>
          <w:i/>
          <w:iCs/>
          <w:sz w:val="23"/>
          <w:szCs w:val="23"/>
        </w:rPr>
      </w:pPr>
      <w:r w:rsidRPr="00345748">
        <w:rPr>
          <w:rFonts w:ascii="Bookman Old Style" w:hAnsi="Bookman Old Style" w:cs="Arial"/>
          <w:bCs/>
          <w:i/>
          <w:iCs/>
          <w:sz w:val="23"/>
          <w:szCs w:val="23"/>
        </w:rPr>
        <w:t>"SECCIÓN 7.</w:t>
      </w:r>
    </w:p>
    <w:p w14:paraId="2BDABF2D" w14:textId="77777777" w:rsidR="00E95C64" w:rsidRPr="00345748" w:rsidRDefault="00E95C64" w:rsidP="00E95C64">
      <w:pPr>
        <w:spacing w:before="12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POLÍTICAS PARA LA FORMACIÓN EFICIENTE DE PRECIOS EN EL MERCADO MAYORISTA</w:t>
      </w:r>
    </w:p>
    <w:p w14:paraId="01E4E46A" w14:textId="77777777" w:rsidR="00E95C64" w:rsidRPr="00345748" w:rsidRDefault="00E95C64" w:rsidP="00E95C64">
      <w:pPr>
        <w:spacing w:before="120"/>
        <w:ind w:left="426"/>
        <w:jc w:val="both"/>
        <w:rPr>
          <w:rFonts w:ascii="Bookman Old Style" w:hAnsi="Bookman Old Style" w:cs="Arial"/>
          <w:bCs/>
          <w:i/>
          <w:iCs/>
          <w:sz w:val="23"/>
          <w:szCs w:val="23"/>
        </w:rPr>
      </w:pPr>
      <w:r w:rsidRPr="00345748">
        <w:rPr>
          <w:rFonts w:ascii="Bookman Old Style" w:hAnsi="Bookman Old Style" w:cs="Arial"/>
          <w:bCs/>
          <w:i/>
          <w:iCs/>
          <w:sz w:val="23"/>
          <w:szCs w:val="23"/>
        </w:rPr>
        <w:t>ARTÍCULO 2.2.3.2.7.1. Lineamientos para la valoración de los recursos de generación de corto plazo. En desarrollo del principio de eficiencia consagrado en el artículo 6 de la Ley 143 de 1994, con el fin de fomentar el uso eficiente de los recursos energéticos del país, así como velar por su aprovechamiento económico y sostenible, dentro de los 3 meses posteriores a la expedición del presente decreto la CREG ajustará la regulación existente con el fin de incorporar los siguientes criterios. (…)</w:t>
      </w:r>
    </w:p>
    <w:p w14:paraId="454276CD" w14:textId="10B88CE3" w:rsidR="00E95C64" w:rsidRPr="00345748" w:rsidRDefault="00E95C64" w:rsidP="00E95C64">
      <w:pPr>
        <w:spacing w:before="120"/>
        <w:ind w:left="426"/>
        <w:jc w:val="both"/>
        <w:rPr>
          <w:rFonts w:ascii="Bookman Old Style" w:hAnsi="Bookman Old Style" w:cs="Arial"/>
          <w:bCs/>
          <w:sz w:val="23"/>
          <w:szCs w:val="23"/>
        </w:rPr>
      </w:pPr>
      <w:r w:rsidRPr="00345748">
        <w:rPr>
          <w:rFonts w:ascii="Bookman Old Style" w:hAnsi="Bookman Old Style" w:cs="Arial"/>
          <w:bCs/>
          <w:i/>
          <w:iCs/>
          <w:sz w:val="23"/>
          <w:szCs w:val="23"/>
        </w:rPr>
        <w:t xml:space="preserve">(…) </w:t>
      </w:r>
      <w:r w:rsidR="00EF2EE7" w:rsidRPr="00EF2EE7">
        <w:rPr>
          <w:rFonts w:ascii="Bookman Old Style" w:hAnsi="Bookman Old Style" w:cs="Arial"/>
          <w:bCs/>
          <w:i/>
          <w:iCs/>
          <w:sz w:val="23"/>
          <w:szCs w:val="23"/>
        </w:rPr>
        <w:t>a) Remuneración de costos de arranque y parada en los que efectivamente se incurra durante la operación real.</w:t>
      </w:r>
      <w:r>
        <w:rPr>
          <w:rFonts w:ascii="Bookman Old Style" w:hAnsi="Bookman Old Style" w:cs="Arial"/>
          <w:bCs/>
          <w:i/>
          <w:iCs/>
          <w:sz w:val="23"/>
          <w:szCs w:val="23"/>
        </w:rPr>
        <w:t xml:space="preserve"> </w:t>
      </w:r>
      <w:r w:rsidRPr="00345748">
        <w:rPr>
          <w:rFonts w:ascii="Bookman Old Style" w:hAnsi="Bookman Old Style" w:cs="Arial"/>
          <w:bCs/>
          <w:i/>
          <w:iCs/>
          <w:sz w:val="23"/>
          <w:szCs w:val="23"/>
        </w:rPr>
        <w:t>(…)</w:t>
      </w:r>
    </w:p>
    <w:p w14:paraId="60FB12CE" w14:textId="77777777" w:rsidR="004A1290" w:rsidRDefault="00F41D0D" w:rsidP="00EA0191">
      <w:pPr>
        <w:spacing w:before="120" w:after="120"/>
        <w:ind w:left="0"/>
        <w:jc w:val="both"/>
        <w:rPr>
          <w:rFonts w:ascii="Bookman Old Style" w:hAnsi="Bookman Old Style"/>
          <w:lang w:val="es-CO"/>
        </w:rPr>
      </w:pPr>
      <w:r>
        <w:rPr>
          <w:rFonts w:ascii="Bookman Old Style" w:hAnsi="Bookman Old Style"/>
          <w:lang w:val="es-CO"/>
        </w:rPr>
        <w:t xml:space="preserve">Por su parte, </w:t>
      </w:r>
      <w:r w:rsidR="00381D26">
        <w:rPr>
          <w:rFonts w:ascii="Bookman Old Style" w:hAnsi="Bookman Old Style"/>
          <w:lang w:val="es-CO"/>
        </w:rPr>
        <w:t xml:space="preserve">se encuentra que </w:t>
      </w:r>
      <w:r>
        <w:rPr>
          <w:rFonts w:ascii="Bookman Old Style" w:hAnsi="Bookman Old Style"/>
          <w:lang w:val="es-CO"/>
        </w:rPr>
        <w:t>l</w:t>
      </w:r>
      <w:r w:rsidRPr="00F41D0D">
        <w:rPr>
          <w:rFonts w:ascii="Bookman Old Style" w:hAnsi="Bookman Old Style"/>
          <w:lang w:val="es-CO"/>
        </w:rPr>
        <w:t>a remuneración de la reconciliación positiva de las plantas térmicas no se ajusta a las características y estado de la planta, que es una información que se está declarando en la actualidad con la expedición de la Resolución CREG 101 028 de 2022.</w:t>
      </w:r>
      <w:r w:rsidR="006D5BC7">
        <w:rPr>
          <w:rFonts w:ascii="Bookman Old Style" w:hAnsi="Bookman Old Style"/>
          <w:lang w:val="es-CO"/>
        </w:rPr>
        <w:t xml:space="preserve"> </w:t>
      </w:r>
    </w:p>
    <w:p w14:paraId="10CDC290" w14:textId="2861A198" w:rsidR="004A1290" w:rsidRDefault="004A1290" w:rsidP="00EA0191">
      <w:pPr>
        <w:spacing w:before="120" w:after="120"/>
        <w:ind w:left="0"/>
        <w:jc w:val="both"/>
        <w:rPr>
          <w:rFonts w:ascii="Bookman Old Style" w:hAnsi="Bookman Old Style"/>
          <w:lang w:val="es-CO"/>
        </w:rPr>
      </w:pPr>
      <w:r>
        <w:rPr>
          <w:rFonts w:ascii="Bookman Old Style" w:hAnsi="Bookman Old Style"/>
          <w:lang w:val="es-CO"/>
        </w:rPr>
        <w:t>Así mismo, l</w:t>
      </w:r>
      <w:r w:rsidR="006D5BC7" w:rsidRPr="006D5BC7">
        <w:rPr>
          <w:rFonts w:ascii="Bookman Old Style" w:hAnsi="Bookman Old Style"/>
          <w:lang w:val="es-CO"/>
        </w:rPr>
        <w:t xml:space="preserve">a reglamentación vigente de la remuneración por reconciliación positiva de las plantas térmicas de la Resolución CREG 034 de 2001, no considera el nuevo esquema para la declaración de los </w:t>
      </w:r>
      <w:r>
        <w:rPr>
          <w:rFonts w:ascii="Bookman Old Style" w:hAnsi="Bookman Old Style"/>
          <w:lang w:val="es-CO"/>
        </w:rPr>
        <w:t>costos de arranque y parada</w:t>
      </w:r>
      <w:r w:rsidR="006D5BC7" w:rsidRPr="006D5BC7">
        <w:rPr>
          <w:rFonts w:ascii="Bookman Old Style" w:hAnsi="Bookman Old Style"/>
          <w:lang w:val="es-CO"/>
        </w:rPr>
        <w:t xml:space="preserve"> por combustible, unidad y estado térmico: frio, tibio y caliente</w:t>
      </w:r>
      <w:r w:rsidR="00381D26">
        <w:rPr>
          <w:rFonts w:ascii="Bookman Old Style" w:hAnsi="Bookman Old Style"/>
          <w:lang w:val="es-CO"/>
        </w:rPr>
        <w:t xml:space="preserve">. </w:t>
      </w:r>
    </w:p>
    <w:p w14:paraId="721C00A0" w14:textId="48319A4A" w:rsidR="00F41D0D" w:rsidRDefault="00151E68" w:rsidP="00EA0191">
      <w:pPr>
        <w:spacing w:before="120" w:after="120"/>
        <w:ind w:left="0"/>
        <w:jc w:val="both"/>
        <w:rPr>
          <w:rFonts w:ascii="Bookman Old Style" w:hAnsi="Bookman Old Style"/>
          <w:lang w:val="es-CO"/>
        </w:rPr>
      </w:pPr>
      <w:r>
        <w:rPr>
          <w:rFonts w:ascii="Bookman Old Style" w:hAnsi="Bookman Old Style"/>
          <w:lang w:val="es-CO"/>
        </w:rPr>
        <w:t>En consecuencia</w:t>
      </w:r>
      <w:r w:rsidR="004A1290">
        <w:rPr>
          <w:rFonts w:ascii="Bookman Old Style" w:hAnsi="Bookman Old Style"/>
          <w:lang w:val="es-CO"/>
        </w:rPr>
        <w:t xml:space="preserve"> se encuentra conveniente a</w:t>
      </w:r>
      <w:r w:rsidR="00381D26" w:rsidRPr="00381D26">
        <w:rPr>
          <w:rFonts w:ascii="Bookman Old Style" w:hAnsi="Bookman Old Style"/>
          <w:lang w:val="es-CO"/>
        </w:rPr>
        <w:t xml:space="preserve">justar la regulación de la remuneración de la reconciliación positiva de las plantas térmicas definida en la Resolución CREG 034 de 2001 para armonizar el concepto </w:t>
      </w:r>
      <w:r w:rsidR="004A1290">
        <w:rPr>
          <w:rFonts w:ascii="Bookman Old Style" w:hAnsi="Bookman Old Style"/>
          <w:lang w:val="es-CO"/>
        </w:rPr>
        <w:t xml:space="preserve">que se </w:t>
      </w:r>
      <w:r w:rsidR="00381D26" w:rsidRPr="00381D26">
        <w:rPr>
          <w:rFonts w:ascii="Bookman Old Style" w:hAnsi="Bookman Old Style"/>
          <w:lang w:val="es-CO"/>
        </w:rPr>
        <w:t xml:space="preserve">incorporó en la Resolución CREG 101 028 en donde se consideran los </w:t>
      </w:r>
      <w:r w:rsidR="004A1290">
        <w:rPr>
          <w:rFonts w:ascii="Bookman Old Style" w:hAnsi="Bookman Old Style"/>
          <w:lang w:val="es-CO"/>
        </w:rPr>
        <w:t>costos de arranque y parada</w:t>
      </w:r>
      <w:r w:rsidR="00381D26" w:rsidRPr="00381D26">
        <w:rPr>
          <w:rFonts w:ascii="Bookman Old Style" w:hAnsi="Bookman Old Style"/>
          <w:lang w:val="es-CO"/>
        </w:rPr>
        <w:t xml:space="preserve"> por unidad y estado térmico</w:t>
      </w:r>
      <w:r w:rsidR="001118A8">
        <w:rPr>
          <w:rFonts w:ascii="Bookman Old Style" w:hAnsi="Bookman Old Style"/>
          <w:lang w:val="es-CO"/>
        </w:rPr>
        <w:t xml:space="preserve">, y la regulación que aplica a la definición del precio de bolsa para dar cumplimiento al </w:t>
      </w:r>
      <w:r w:rsidR="009B70E0">
        <w:rPr>
          <w:rFonts w:ascii="Bookman Old Style" w:hAnsi="Bookman Old Style"/>
          <w:lang w:val="es-CO"/>
        </w:rPr>
        <w:t>literal a) del artículo 2.2.</w:t>
      </w:r>
      <w:r w:rsidR="001C214D">
        <w:rPr>
          <w:rFonts w:ascii="Bookman Old Style" w:hAnsi="Bookman Old Style"/>
          <w:lang w:val="es-CO"/>
        </w:rPr>
        <w:t>3.2.7.1 del Decreto 10</w:t>
      </w:r>
      <w:r w:rsidR="00AA6E03">
        <w:rPr>
          <w:rFonts w:ascii="Bookman Old Style" w:hAnsi="Bookman Old Style"/>
          <w:lang w:val="es-CO"/>
        </w:rPr>
        <w:t>73 de 2015, adicionado por el artículo 8 del Decreto 929 de 2023</w:t>
      </w:r>
      <w:r w:rsidR="004A1290">
        <w:rPr>
          <w:rFonts w:ascii="Bookman Old Style" w:hAnsi="Bookman Old Style"/>
          <w:lang w:val="es-CO"/>
        </w:rPr>
        <w:t>.</w:t>
      </w:r>
    </w:p>
    <w:p w14:paraId="3DDD5E80" w14:textId="77777777" w:rsidR="00EF2EE7" w:rsidRDefault="00EF2EE7" w:rsidP="00EA0191">
      <w:pPr>
        <w:spacing w:before="120" w:after="120"/>
        <w:ind w:left="0"/>
        <w:jc w:val="both"/>
        <w:rPr>
          <w:rFonts w:ascii="Bookman Old Style" w:hAnsi="Bookman Old Style"/>
          <w:lang w:val="es-CO"/>
        </w:rPr>
      </w:pPr>
    </w:p>
    <w:p w14:paraId="57D3A08B" w14:textId="7DE506E8" w:rsidR="00EA0191" w:rsidRDefault="00EA0191" w:rsidP="00EA0191">
      <w:pPr>
        <w:spacing w:before="120" w:after="120"/>
        <w:ind w:left="0"/>
        <w:jc w:val="both"/>
        <w:rPr>
          <w:rFonts w:ascii="Bookman Old Style" w:hAnsi="Bookman Old Style"/>
          <w:lang w:val="es-CO"/>
        </w:rPr>
      </w:pPr>
      <w:r w:rsidRPr="008B52EF">
        <w:rPr>
          <w:rFonts w:ascii="Bookman Old Style" w:hAnsi="Bookman Old Style"/>
          <w:lang w:val="es-CO"/>
        </w:rPr>
        <w:t xml:space="preserve">Con base en lo anterior, la Comisión de Regulación de Energía y Gas en su sesión </w:t>
      </w:r>
      <w:r w:rsidR="008C2E77" w:rsidRPr="008B52EF">
        <w:rPr>
          <w:rFonts w:ascii="Bookman Old Style" w:hAnsi="Bookman Old Style"/>
          <w:lang w:val="es-CO"/>
        </w:rPr>
        <w:t>1319</w:t>
      </w:r>
      <w:r w:rsidRPr="008B52EF">
        <w:rPr>
          <w:rFonts w:ascii="Bookman Old Style" w:hAnsi="Bookman Old Style"/>
          <w:lang w:val="es-CO"/>
        </w:rPr>
        <w:t xml:space="preserve"> de </w:t>
      </w:r>
      <w:r w:rsidR="008C2E77" w:rsidRPr="008B52EF">
        <w:rPr>
          <w:rFonts w:ascii="Bookman Old Style" w:hAnsi="Bookman Old Style"/>
          <w:lang w:val="es-CO"/>
        </w:rPr>
        <w:t>31</w:t>
      </w:r>
      <w:r w:rsidRPr="008B52EF">
        <w:rPr>
          <w:rFonts w:ascii="Bookman Old Style" w:hAnsi="Bookman Old Style"/>
          <w:lang w:val="es-CO"/>
        </w:rPr>
        <w:t xml:space="preserve"> de </w:t>
      </w:r>
      <w:r w:rsidR="00B31CB4" w:rsidRPr="008B52EF">
        <w:rPr>
          <w:rFonts w:ascii="Bookman Old Style" w:hAnsi="Bookman Old Style"/>
          <w:lang w:val="es-CO"/>
        </w:rPr>
        <w:t xml:space="preserve">mayo </w:t>
      </w:r>
      <w:r w:rsidRPr="008B52EF">
        <w:rPr>
          <w:rFonts w:ascii="Bookman Old Style" w:hAnsi="Bookman Old Style"/>
          <w:lang w:val="es-CO"/>
        </w:rPr>
        <w:t>de 202</w:t>
      </w:r>
      <w:r w:rsidR="00B31CB4" w:rsidRPr="008B52EF">
        <w:rPr>
          <w:rFonts w:ascii="Bookman Old Style" w:hAnsi="Bookman Old Style"/>
          <w:lang w:val="es-CO"/>
        </w:rPr>
        <w:t>4</w:t>
      </w:r>
      <w:r w:rsidRPr="008B52EF">
        <w:rPr>
          <w:rFonts w:ascii="Bookman Old Style" w:hAnsi="Bookman Old Style"/>
          <w:lang w:val="es-CO"/>
        </w:rPr>
        <w:t>, acordó expedir la presente resolución.</w:t>
      </w:r>
    </w:p>
    <w:p w14:paraId="3DB41754" w14:textId="77777777" w:rsidR="00045D3D" w:rsidRPr="00E501DA" w:rsidRDefault="00045D3D" w:rsidP="000C67CF">
      <w:pPr>
        <w:suppressAutoHyphens/>
        <w:ind w:left="0"/>
        <w:jc w:val="center"/>
        <w:rPr>
          <w:rFonts w:ascii="Arial" w:hAnsi="Arial" w:cs="Arial"/>
          <w:b/>
          <w:spacing w:val="-3"/>
        </w:rPr>
      </w:pPr>
    </w:p>
    <w:p w14:paraId="40EFC463" w14:textId="77777777" w:rsidR="00045D3D" w:rsidRPr="00A7631E" w:rsidRDefault="00045D3D" w:rsidP="00A7631E">
      <w:pPr>
        <w:keepNext/>
        <w:tabs>
          <w:tab w:val="center" w:pos="4678"/>
        </w:tabs>
        <w:ind w:left="0"/>
        <w:jc w:val="center"/>
        <w:rPr>
          <w:rFonts w:ascii="Bookman Old Style" w:hAnsi="Bookman Old Style"/>
          <w:b/>
        </w:rPr>
      </w:pPr>
      <w:r w:rsidRPr="00A7631E">
        <w:rPr>
          <w:rFonts w:ascii="Bookman Old Style" w:hAnsi="Bookman Old Style"/>
          <w:b/>
        </w:rPr>
        <w:t>R E S U E L V E:</w:t>
      </w:r>
    </w:p>
    <w:p w14:paraId="494DDFC2" w14:textId="77777777" w:rsidR="00045D3D" w:rsidRPr="00E501DA" w:rsidRDefault="00045D3D" w:rsidP="000C67CF">
      <w:pPr>
        <w:ind w:left="0"/>
        <w:jc w:val="center"/>
        <w:rPr>
          <w:rFonts w:ascii="Arial" w:hAnsi="Arial" w:cs="Arial"/>
        </w:rPr>
      </w:pPr>
    </w:p>
    <w:p w14:paraId="7F710195" w14:textId="18D42D28" w:rsidR="003477EA" w:rsidRDefault="00AC459F" w:rsidP="003477EA">
      <w:pPr>
        <w:pStyle w:val="Articulo"/>
        <w:numPr>
          <w:ilvl w:val="0"/>
          <w:numId w:val="28"/>
        </w:numPr>
        <w:tabs>
          <w:tab w:val="left" w:pos="1560"/>
        </w:tabs>
        <w:spacing w:before="120" w:after="240"/>
        <w:ind w:left="0" w:firstLine="0"/>
        <w:rPr>
          <w:b w:val="0"/>
        </w:rPr>
      </w:pPr>
      <w:r w:rsidRPr="00F66950">
        <w:rPr>
          <w:bCs/>
        </w:rPr>
        <w:t>Modificación del artículo 1 de la Resolución CREG 034 de 2001</w:t>
      </w:r>
      <w:r w:rsidR="00C001B5">
        <w:rPr>
          <w:bCs/>
        </w:rPr>
        <w:t>, modificado por el artículo 9 de la Resolución CREG 044 de 2020</w:t>
      </w:r>
      <w:r w:rsidRPr="00AC459F">
        <w:rPr>
          <w:b w:val="0"/>
        </w:rPr>
        <w:t>. El artículo 1 de la Resolución CREG 034 de 2001 quedará así:</w:t>
      </w:r>
    </w:p>
    <w:p w14:paraId="2EB65BD0" w14:textId="77777777" w:rsidR="000E4D7D" w:rsidRDefault="000E4D7D" w:rsidP="000E4D7D">
      <w:pPr>
        <w:ind w:left="284"/>
        <w:jc w:val="both"/>
        <w:rPr>
          <w:rFonts w:ascii="Bookman Old Style" w:hAnsi="Bookman Old Style"/>
          <w:i/>
          <w:iCs/>
          <w:lang w:val="es-CO"/>
        </w:rPr>
      </w:pPr>
      <w:r w:rsidRPr="00AB2C18">
        <w:rPr>
          <w:rFonts w:ascii="Bookman Old Style" w:hAnsi="Bookman Old Style"/>
          <w:i/>
          <w:iCs/>
          <w:lang w:val="es-CO"/>
        </w:rPr>
        <w:t>“</w:t>
      </w:r>
      <w:r w:rsidRPr="008E7D56">
        <w:rPr>
          <w:rFonts w:ascii="Bookman Old Style" w:hAnsi="Bookman Old Style"/>
          <w:b/>
          <w:bCs/>
          <w:i/>
          <w:iCs/>
          <w:lang w:val="es-CO"/>
        </w:rPr>
        <w:t>Artículo 1. Precio de reconciliación positiva de los generadores térmicos</w:t>
      </w:r>
      <w:r w:rsidRPr="008E7D56">
        <w:rPr>
          <w:rFonts w:ascii="Bookman Old Style" w:hAnsi="Bookman Old Style"/>
          <w:i/>
          <w:iCs/>
          <w:lang w:val="es-CO"/>
        </w:rPr>
        <w:t xml:space="preserve">. </w:t>
      </w:r>
      <w:r>
        <w:rPr>
          <w:rFonts w:ascii="Bookman Old Style" w:hAnsi="Bookman Old Style"/>
          <w:i/>
          <w:iCs/>
          <w:lang w:val="es-CO"/>
        </w:rPr>
        <w:t>Para efectos de establecer el precio de reconciliación positiva de los generadores térmicos, en el contexto de la Resolución CREG-063 de 2000, se tendrán en cuenta los siguientes conceptos:</w:t>
      </w:r>
    </w:p>
    <w:p w14:paraId="24ED172D" w14:textId="77777777" w:rsidR="000E4D7D" w:rsidRDefault="000E4D7D" w:rsidP="000E4D7D">
      <w:pPr>
        <w:ind w:left="284"/>
        <w:jc w:val="both"/>
        <w:rPr>
          <w:rFonts w:ascii="Bookman Old Style" w:hAnsi="Bookman Old Style"/>
          <w:i/>
          <w:iCs/>
          <w:lang w:val="es-CO"/>
        </w:rPr>
      </w:pPr>
    </w:p>
    <w:p w14:paraId="369EE04E" w14:textId="77777777" w:rsidR="000E4D7D" w:rsidRPr="00065DB0" w:rsidRDefault="000E4D7D" w:rsidP="000E4D7D">
      <w:pPr>
        <w:pStyle w:val="Prrafodelista"/>
        <w:numPr>
          <w:ilvl w:val="0"/>
          <w:numId w:val="27"/>
        </w:numPr>
        <w:jc w:val="both"/>
        <w:rPr>
          <w:rFonts w:ascii="Bookman Old Style" w:hAnsi="Bookman Old Style"/>
          <w:i/>
          <w:iCs/>
          <w:sz w:val="24"/>
          <w:szCs w:val="24"/>
        </w:rPr>
      </w:pPr>
      <w:r w:rsidRPr="00065DB0">
        <w:rPr>
          <w:rFonts w:ascii="Bookman Old Style" w:hAnsi="Bookman Old Style"/>
          <w:b/>
          <w:bCs/>
          <w:i/>
          <w:iCs/>
          <w:sz w:val="24"/>
          <w:szCs w:val="24"/>
        </w:rPr>
        <w:t xml:space="preserve">Costos de suministro y transporte de combustibles. </w:t>
      </w:r>
      <w:r w:rsidRPr="00065DB0">
        <w:rPr>
          <w:rFonts w:ascii="Bookman Old Style" w:hAnsi="Bookman Old Style"/>
          <w:i/>
          <w:iCs/>
          <w:sz w:val="24"/>
          <w:szCs w:val="24"/>
        </w:rPr>
        <w:t xml:space="preserve">Corresponde a los costos de suministro y transporte de combustibles </w:t>
      </w:r>
      <w:r>
        <w:rPr>
          <w:rFonts w:ascii="Bookman Old Style" w:hAnsi="Bookman Old Style"/>
          <w:i/>
          <w:iCs/>
          <w:sz w:val="24"/>
          <w:szCs w:val="24"/>
        </w:rPr>
        <w:t xml:space="preserve">declarados por los agentes, </w:t>
      </w:r>
      <w:r w:rsidRPr="00065DB0">
        <w:rPr>
          <w:rFonts w:ascii="Bookman Old Style" w:hAnsi="Bookman Old Style"/>
          <w:i/>
          <w:iCs/>
          <w:sz w:val="24"/>
          <w:szCs w:val="24"/>
        </w:rPr>
        <w:t>considerando lo siguiente:</w:t>
      </w:r>
    </w:p>
    <w:p w14:paraId="080FEAB4" w14:textId="77777777" w:rsidR="000E4D7D" w:rsidRDefault="000E4D7D" w:rsidP="000E4D7D">
      <w:pPr>
        <w:jc w:val="both"/>
        <w:rPr>
          <w:rFonts w:ascii="Bookman Old Style" w:hAnsi="Bookman Old Style"/>
          <w:i/>
          <w:iCs/>
        </w:rPr>
      </w:pPr>
    </w:p>
    <w:p w14:paraId="65ABB11D" w14:textId="77777777" w:rsidR="000E4D7D" w:rsidRPr="002C45E1" w:rsidRDefault="000E4D7D" w:rsidP="000E4D7D">
      <w:pPr>
        <w:jc w:val="both"/>
        <w:rPr>
          <w:rFonts w:ascii="Bookman Old Style" w:hAnsi="Bookman Old Style"/>
          <w:b/>
          <w:bCs/>
          <w:i/>
          <w:iCs/>
        </w:rPr>
      </w:pPr>
      <w:r w:rsidRPr="002C45E1">
        <w:rPr>
          <w:rFonts w:ascii="Bookman Old Style" w:hAnsi="Bookman Old Style"/>
          <w:b/>
          <w:bCs/>
          <w:i/>
          <w:iCs/>
        </w:rPr>
        <w:t>1.1 Reporte de costos de suministro y transporte de combustibles.</w:t>
      </w:r>
    </w:p>
    <w:p w14:paraId="06B68872" w14:textId="77777777" w:rsidR="000E4D7D" w:rsidRDefault="000E4D7D" w:rsidP="000E4D7D">
      <w:pPr>
        <w:jc w:val="both"/>
        <w:rPr>
          <w:rFonts w:ascii="Bookman Old Style" w:hAnsi="Bookman Old Style"/>
          <w:i/>
          <w:iCs/>
        </w:rPr>
      </w:pPr>
    </w:p>
    <w:p w14:paraId="239D27E7" w14:textId="77777777" w:rsidR="000E4D7D" w:rsidRDefault="000E4D7D" w:rsidP="000E4D7D">
      <w:pPr>
        <w:jc w:val="both"/>
        <w:rPr>
          <w:rFonts w:ascii="Bookman Old Style" w:hAnsi="Bookman Old Style"/>
          <w:i/>
        </w:rPr>
      </w:pPr>
      <w:r w:rsidRPr="001814D0">
        <w:rPr>
          <w:rFonts w:ascii="Bookman Old Style" w:hAnsi="Bookman Old Style"/>
          <w:b/>
          <w:i/>
        </w:rPr>
        <w:t xml:space="preserve">Costo de </w:t>
      </w:r>
      <w:r>
        <w:rPr>
          <w:rFonts w:ascii="Bookman Old Style" w:hAnsi="Bookman Old Style"/>
          <w:b/>
          <w:i/>
        </w:rPr>
        <w:t>s</w:t>
      </w:r>
      <w:r w:rsidRPr="001814D0">
        <w:rPr>
          <w:rFonts w:ascii="Bookman Old Style" w:hAnsi="Bookman Old Style"/>
          <w:b/>
          <w:i/>
        </w:rPr>
        <w:t xml:space="preserve">uministro de </w:t>
      </w:r>
      <w:r>
        <w:rPr>
          <w:rFonts w:ascii="Bookman Old Style" w:hAnsi="Bookman Old Style"/>
          <w:b/>
          <w:i/>
        </w:rPr>
        <w:t>c</w:t>
      </w:r>
      <w:r w:rsidRPr="001814D0">
        <w:rPr>
          <w:rFonts w:ascii="Bookman Old Style" w:hAnsi="Bookman Old Style"/>
          <w:b/>
          <w:i/>
        </w:rPr>
        <w:t>ombustible (CSC).</w:t>
      </w:r>
      <w:r w:rsidRPr="001814D0">
        <w:rPr>
          <w:rFonts w:ascii="Bookman Old Style" w:hAnsi="Bookman Old Style"/>
          <w:i/>
        </w:rPr>
        <w:t xml:space="preserve">  Es la parte variable del costo de suministro de combustible, expresado en </w:t>
      </w:r>
      <w:r>
        <w:rPr>
          <w:rFonts w:ascii="Bookman Old Style" w:hAnsi="Bookman Old Style"/>
          <w:i/>
        </w:rPr>
        <w:t>COP</w:t>
      </w:r>
      <w:r w:rsidRPr="001814D0">
        <w:rPr>
          <w:rFonts w:ascii="Bookman Old Style" w:hAnsi="Bookman Old Style"/>
          <w:i/>
        </w:rPr>
        <w:t>/MBTU, que es posible sustentar.</w:t>
      </w:r>
    </w:p>
    <w:p w14:paraId="5F107C04" w14:textId="77777777" w:rsidR="000E4D7D" w:rsidRDefault="000E4D7D" w:rsidP="000E4D7D">
      <w:pPr>
        <w:jc w:val="both"/>
        <w:rPr>
          <w:rFonts w:ascii="Bookman Old Style" w:hAnsi="Bookman Old Style"/>
          <w:i/>
        </w:rPr>
      </w:pPr>
    </w:p>
    <w:p w14:paraId="1672A103" w14:textId="77777777" w:rsidR="000E4D7D" w:rsidRDefault="000E4D7D" w:rsidP="000E4D7D">
      <w:pPr>
        <w:jc w:val="both"/>
        <w:rPr>
          <w:rFonts w:ascii="Bookman Old Style" w:hAnsi="Bookman Old Style"/>
          <w:i/>
        </w:rPr>
      </w:pPr>
      <w:r w:rsidRPr="001814D0">
        <w:rPr>
          <w:rFonts w:ascii="Bookman Old Style" w:hAnsi="Bookman Old Style"/>
          <w:b/>
          <w:i/>
        </w:rPr>
        <w:t>Costo</w:t>
      </w:r>
      <w:r w:rsidRPr="004E0CF2">
        <w:rPr>
          <w:rFonts w:ascii="Bookman Old Style" w:hAnsi="Bookman Old Style" w:cs="Arial"/>
          <w:b/>
          <w:bCs/>
          <w:i/>
          <w:lang w:val="es-CO" w:eastAsia="es-CO"/>
        </w:rPr>
        <w:t xml:space="preserve"> de </w:t>
      </w:r>
      <w:r>
        <w:rPr>
          <w:rFonts w:ascii="Bookman Old Style" w:hAnsi="Bookman Old Style" w:cs="Arial"/>
          <w:b/>
          <w:bCs/>
          <w:i/>
          <w:lang w:val="es-CO" w:eastAsia="es-CO"/>
        </w:rPr>
        <w:t>t</w:t>
      </w:r>
      <w:r w:rsidRPr="004E0CF2">
        <w:rPr>
          <w:rFonts w:ascii="Bookman Old Style" w:hAnsi="Bookman Old Style" w:cs="Arial"/>
          <w:b/>
          <w:bCs/>
          <w:i/>
          <w:lang w:val="es-CO" w:eastAsia="es-CO"/>
        </w:rPr>
        <w:t xml:space="preserve">ransporte de </w:t>
      </w:r>
      <w:r>
        <w:rPr>
          <w:rFonts w:ascii="Bookman Old Style" w:hAnsi="Bookman Old Style" w:cs="Arial"/>
          <w:b/>
          <w:bCs/>
          <w:i/>
          <w:lang w:val="es-CO" w:eastAsia="es-CO"/>
        </w:rPr>
        <w:t>c</w:t>
      </w:r>
      <w:r w:rsidRPr="004E0CF2">
        <w:rPr>
          <w:rFonts w:ascii="Bookman Old Style" w:hAnsi="Bookman Old Style" w:cs="Arial"/>
          <w:b/>
          <w:bCs/>
          <w:i/>
          <w:lang w:val="es-CO" w:eastAsia="es-CO"/>
        </w:rPr>
        <w:t>ombustible (CTC). </w:t>
      </w:r>
      <w:r w:rsidRPr="004E0CF2">
        <w:rPr>
          <w:rFonts w:ascii="Bookman Old Style" w:hAnsi="Bookman Old Style" w:cs="Arial"/>
          <w:i/>
          <w:lang w:val="es-CO" w:eastAsia="es-CO"/>
        </w:rPr>
        <w:t xml:space="preserve">Es la parte variable del costo de transporte de combustible, expresado en </w:t>
      </w:r>
      <w:r>
        <w:rPr>
          <w:rFonts w:ascii="Bookman Old Style" w:hAnsi="Bookman Old Style" w:cs="Arial"/>
          <w:i/>
          <w:lang w:val="es-CO" w:eastAsia="es-CO"/>
        </w:rPr>
        <w:t>COP</w:t>
      </w:r>
      <w:r w:rsidRPr="004E0CF2">
        <w:rPr>
          <w:rFonts w:ascii="Bookman Old Style" w:hAnsi="Bookman Old Style" w:cs="Arial"/>
          <w:i/>
          <w:lang w:val="es-CO" w:eastAsia="es-CO"/>
        </w:rPr>
        <w:t>/</w:t>
      </w:r>
      <w:proofErr w:type="spellStart"/>
      <w:r w:rsidRPr="004E0CF2">
        <w:rPr>
          <w:rFonts w:ascii="Bookman Old Style" w:hAnsi="Bookman Old Style" w:cs="Arial"/>
          <w:i/>
          <w:lang w:val="es-CO" w:eastAsia="es-CO"/>
        </w:rPr>
        <w:t>MWh</w:t>
      </w:r>
      <w:proofErr w:type="spellEnd"/>
      <w:r w:rsidRPr="004E0CF2">
        <w:rPr>
          <w:rFonts w:ascii="Bookman Old Style" w:hAnsi="Bookman Old Style" w:cs="Arial"/>
          <w:i/>
          <w:lang w:val="es-CO" w:eastAsia="es-CO"/>
        </w:rPr>
        <w:t>, que es posible sustentar. </w:t>
      </w:r>
      <w:r w:rsidRPr="004E0CF2">
        <w:rPr>
          <w:rFonts w:ascii="Arial" w:hAnsi="Arial" w:cs="Arial"/>
          <w:i/>
          <w:color w:val="666666"/>
          <w:lang w:val="es-CO" w:eastAsia="es-CO"/>
        </w:rPr>
        <w:br/>
      </w:r>
    </w:p>
    <w:p w14:paraId="4697B7B9" w14:textId="77777777" w:rsidR="000E4D7D" w:rsidRDefault="000E4D7D" w:rsidP="000E4D7D">
      <w:pPr>
        <w:jc w:val="both"/>
        <w:rPr>
          <w:rFonts w:ascii="Bookman Old Style" w:hAnsi="Bookman Old Style"/>
          <w:i/>
        </w:rPr>
      </w:pPr>
      <w:r w:rsidRPr="00DA41E6">
        <w:rPr>
          <w:rFonts w:ascii="Bookman Old Style" w:hAnsi="Bookman Old Style"/>
          <w:i/>
        </w:rPr>
        <w:t xml:space="preserve">El generador térmico </w:t>
      </w:r>
      <w:r>
        <w:rPr>
          <w:rFonts w:ascii="Bookman Old Style" w:hAnsi="Bookman Old Style"/>
          <w:i/>
        </w:rPr>
        <w:t xml:space="preserve">deberá </w:t>
      </w:r>
      <w:r w:rsidRPr="00DA41E6">
        <w:rPr>
          <w:rFonts w:ascii="Bookman Old Style" w:hAnsi="Bookman Old Style"/>
          <w:i/>
        </w:rPr>
        <w:t>declara</w:t>
      </w:r>
      <w:r>
        <w:rPr>
          <w:rFonts w:ascii="Bookman Old Style" w:hAnsi="Bookman Old Style"/>
          <w:i/>
        </w:rPr>
        <w:t>r</w:t>
      </w:r>
      <w:r w:rsidRPr="00DA41E6">
        <w:rPr>
          <w:rFonts w:ascii="Bookman Old Style" w:hAnsi="Bookman Old Style"/>
          <w:i/>
        </w:rPr>
        <w:t xml:space="preserve"> ante el ASIC, a las </w:t>
      </w:r>
      <w:r>
        <w:rPr>
          <w:rFonts w:ascii="Bookman Old Style" w:hAnsi="Bookman Old Style"/>
          <w:i/>
        </w:rPr>
        <w:t>09:30</w:t>
      </w:r>
      <w:r w:rsidRPr="00DA41E6">
        <w:rPr>
          <w:rFonts w:ascii="Bookman Old Style" w:hAnsi="Bookman Old Style"/>
          <w:i/>
        </w:rPr>
        <w:t xml:space="preserve"> horas del día siguiente </w:t>
      </w:r>
      <w:r>
        <w:rPr>
          <w:rFonts w:ascii="Bookman Old Style" w:hAnsi="Bookman Old Style"/>
          <w:i/>
        </w:rPr>
        <w:t xml:space="preserve">al </w:t>
      </w:r>
      <w:r w:rsidRPr="00DA41E6">
        <w:rPr>
          <w:rFonts w:ascii="Bookman Old Style" w:hAnsi="Bookman Old Style"/>
          <w:i/>
        </w:rPr>
        <w:t>de la operación, según formato que defina el ASIC, para la planta o unidad de generación</w:t>
      </w:r>
      <w:r>
        <w:rPr>
          <w:rFonts w:ascii="Bookman Old Style" w:hAnsi="Bookman Old Style"/>
          <w:i/>
        </w:rPr>
        <w:t>,</w:t>
      </w:r>
      <w:r w:rsidRPr="00DA41E6">
        <w:rPr>
          <w:rFonts w:ascii="Bookman Old Style" w:hAnsi="Bookman Old Style"/>
          <w:i/>
        </w:rPr>
        <w:t xml:space="preserve"> </w:t>
      </w:r>
      <w:r>
        <w:rPr>
          <w:rFonts w:ascii="Bookman Old Style" w:hAnsi="Bookman Old Style"/>
          <w:i/>
        </w:rPr>
        <w:t>los valores CSC y CTC del combustible utilizado en la operación.</w:t>
      </w:r>
    </w:p>
    <w:p w14:paraId="4570008F" w14:textId="77777777" w:rsidR="000E4D7D" w:rsidRDefault="000E4D7D" w:rsidP="000E4D7D">
      <w:pPr>
        <w:jc w:val="both"/>
        <w:rPr>
          <w:rFonts w:ascii="Bookman Old Style" w:hAnsi="Bookman Old Style"/>
          <w:i/>
        </w:rPr>
      </w:pPr>
    </w:p>
    <w:p w14:paraId="74D24B4F" w14:textId="77777777" w:rsidR="000E4D7D" w:rsidRPr="002C45E1" w:rsidRDefault="000E4D7D" w:rsidP="000E4D7D">
      <w:pPr>
        <w:jc w:val="both"/>
        <w:rPr>
          <w:rFonts w:ascii="Bookman Old Style" w:hAnsi="Bookman Old Style"/>
          <w:b/>
          <w:bCs/>
          <w:i/>
          <w:iCs/>
        </w:rPr>
      </w:pPr>
      <w:r w:rsidRPr="002C45E1">
        <w:rPr>
          <w:rFonts w:ascii="Bookman Old Style" w:hAnsi="Bookman Old Style"/>
          <w:b/>
          <w:bCs/>
          <w:i/>
          <w:iCs/>
        </w:rPr>
        <w:t>1.</w:t>
      </w:r>
      <w:r>
        <w:rPr>
          <w:rFonts w:ascii="Bookman Old Style" w:hAnsi="Bookman Old Style"/>
          <w:b/>
          <w:bCs/>
          <w:i/>
          <w:iCs/>
        </w:rPr>
        <w:t>2</w:t>
      </w:r>
      <w:r w:rsidRPr="002C45E1">
        <w:rPr>
          <w:rFonts w:ascii="Bookman Old Style" w:hAnsi="Bookman Old Style"/>
          <w:b/>
          <w:bCs/>
          <w:i/>
          <w:iCs/>
        </w:rPr>
        <w:t xml:space="preserve"> </w:t>
      </w:r>
      <w:r>
        <w:rPr>
          <w:rFonts w:ascii="Bookman Old Style" w:hAnsi="Bookman Old Style"/>
          <w:b/>
          <w:bCs/>
          <w:i/>
          <w:iCs/>
        </w:rPr>
        <w:t>Metodología para estimar el valor a incluir en el r</w:t>
      </w:r>
      <w:r w:rsidRPr="002C45E1">
        <w:rPr>
          <w:rFonts w:ascii="Bookman Old Style" w:hAnsi="Bookman Old Style"/>
          <w:b/>
          <w:bCs/>
          <w:i/>
          <w:iCs/>
        </w:rPr>
        <w:t>eporte de costos de suministro y transporte de combustibles.</w:t>
      </w:r>
    </w:p>
    <w:p w14:paraId="429FFBFA" w14:textId="77777777" w:rsidR="000E4D7D" w:rsidRDefault="000E4D7D" w:rsidP="000E4D7D">
      <w:pPr>
        <w:jc w:val="both"/>
        <w:rPr>
          <w:rFonts w:ascii="Bookman Old Style" w:hAnsi="Bookman Old Style"/>
          <w:i/>
        </w:rPr>
      </w:pPr>
    </w:p>
    <w:p w14:paraId="0E927D6A" w14:textId="77777777" w:rsidR="000E4D7D" w:rsidRDefault="000E4D7D" w:rsidP="000E4D7D">
      <w:pPr>
        <w:jc w:val="both"/>
        <w:rPr>
          <w:rFonts w:ascii="Bookman Old Style" w:hAnsi="Bookman Old Style"/>
          <w:i/>
        </w:rPr>
      </w:pPr>
      <w:r w:rsidRPr="00001D6D">
        <w:rPr>
          <w:rFonts w:ascii="Bookman Old Style" w:hAnsi="Bookman Old Style"/>
          <w:i/>
        </w:rPr>
        <w:t xml:space="preserve">Para </w:t>
      </w:r>
      <w:r>
        <w:rPr>
          <w:rFonts w:ascii="Bookman Old Style" w:hAnsi="Bookman Old Style"/>
          <w:i/>
        </w:rPr>
        <w:t xml:space="preserve">establecer el CSC y el CTC que declara el agente, deberá tener en cuenta las siguientes consideraciones: </w:t>
      </w:r>
    </w:p>
    <w:p w14:paraId="24E20BF3" w14:textId="77777777" w:rsidR="000E4D7D" w:rsidRDefault="000E4D7D" w:rsidP="000E4D7D">
      <w:pPr>
        <w:jc w:val="both"/>
        <w:rPr>
          <w:rFonts w:ascii="Bookman Old Style" w:hAnsi="Bookman Old Style"/>
          <w:i/>
        </w:rPr>
      </w:pPr>
    </w:p>
    <w:p w14:paraId="0EF124D9" w14:textId="77777777" w:rsidR="000E4D7D" w:rsidRDefault="000E4D7D" w:rsidP="000E4D7D">
      <w:pPr>
        <w:pStyle w:val="Prrafodelista"/>
        <w:numPr>
          <w:ilvl w:val="0"/>
          <w:numId w:val="23"/>
        </w:numPr>
        <w:jc w:val="both"/>
        <w:rPr>
          <w:rFonts w:ascii="Bookman Old Style" w:hAnsi="Bookman Old Style"/>
          <w:i/>
          <w:sz w:val="24"/>
        </w:rPr>
      </w:pPr>
      <w:r w:rsidRPr="006F6F09">
        <w:rPr>
          <w:rFonts w:ascii="Bookman Old Style" w:hAnsi="Bookman Old Style"/>
          <w:b/>
          <w:i/>
          <w:sz w:val="24"/>
        </w:rPr>
        <w:t>Metodología 1</w:t>
      </w:r>
      <w:r>
        <w:rPr>
          <w:rFonts w:ascii="Bookman Old Style" w:hAnsi="Bookman Old Style"/>
          <w:i/>
          <w:sz w:val="24"/>
        </w:rPr>
        <w:t>. Aplica a combustibles fósiles sin almacenamiento, tal como el gas natural.</w:t>
      </w:r>
    </w:p>
    <w:p w14:paraId="541F5BD1" w14:textId="77777777" w:rsidR="000E4D7D" w:rsidRDefault="000E4D7D" w:rsidP="000E4D7D">
      <w:pPr>
        <w:jc w:val="both"/>
        <w:rPr>
          <w:rFonts w:ascii="Bookman Old Style" w:hAnsi="Bookman Old Style"/>
          <w:i/>
        </w:rPr>
      </w:pPr>
    </w:p>
    <w:p w14:paraId="5212499A" w14:textId="77777777" w:rsidR="000E4D7D" w:rsidRDefault="000E4D7D" w:rsidP="000E4D7D">
      <w:pPr>
        <w:pStyle w:val="Prrafodelista"/>
        <w:numPr>
          <w:ilvl w:val="0"/>
          <w:numId w:val="24"/>
        </w:numPr>
        <w:jc w:val="both"/>
        <w:rPr>
          <w:rFonts w:ascii="Bookman Old Style" w:hAnsi="Bookman Old Style"/>
          <w:i/>
          <w:sz w:val="24"/>
        </w:rPr>
      </w:pPr>
      <w:r w:rsidRPr="00A71611">
        <w:rPr>
          <w:rFonts w:ascii="Bookman Old Style" w:hAnsi="Bookman Old Style"/>
          <w:b/>
          <w:i/>
          <w:sz w:val="24"/>
        </w:rPr>
        <w:t xml:space="preserve">Del contrato de </w:t>
      </w:r>
      <w:r>
        <w:rPr>
          <w:rFonts w:ascii="Bookman Old Style" w:hAnsi="Bookman Old Style"/>
          <w:b/>
          <w:i/>
          <w:sz w:val="24"/>
        </w:rPr>
        <w:t>suministro principal</w:t>
      </w:r>
      <w:r>
        <w:rPr>
          <w:rFonts w:ascii="Bookman Old Style" w:hAnsi="Bookman Old Style"/>
          <w:i/>
          <w:sz w:val="24"/>
        </w:rPr>
        <w:t xml:space="preserve">, correspondiente al contrato con el cual se respaldan las OEF para las plantas térmicas que se respaldan con combustibles fósiles sin almacenamiento. En caso de no tener OEF, se tomará </w:t>
      </w:r>
      <w:r w:rsidRPr="007A474A">
        <w:rPr>
          <w:rFonts w:ascii="Bookman Old Style" w:hAnsi="Bookman Old Style"/>
          <w:i/>
          <w:sz w:val="24"/>
        </w:rPr>
        <w:t>el contrato firmado y registrado</w:t>
      </w:r>
      <w:r>
        <w:rPr>
          <w:rFonts w:ascii="Bookman Old Style" w:hAnsi="Bookman Old Style"/>
          <w:i/>
          <w:sz w:val="24"/>
        </w:rPr>
        <w:t xml:space="preserve"> ante el Gestor del Mercado de Gas</w:t>
      </w:r>
      <w:r w:rsidRPr="007A474A">
        <w:rPr>
          <w:rFonts w:ascii="Bookman Old Style" w:hAnsi="Bookman Old Style"/>
          <w:i/>
          <w:sz w:val="24"/>
        </w:rPr>
        <w:t xml:space="preserve"> en una fecha anterior al registro del contrato de ocasión</w:t>
      </w:r>
      <w:r>
        <w:rPr>
          <w:rFonts w:ascii="Bookman Old Style" w:hAnsi="Bookman Old Style"/>
          <w:i/>
          <w:sz w:val="24"/>
        </w:rPr>
        <w:t xml:space="preserve">. Considerar precio en COP/MBTU, cantidad utilizada en MBTU y cantidad máxima contratada en MBTU. Una vez se tenga la </w:t>
      </w:r>
      <w:r>
        <w:rPr>
          <w:rFonts w:ascii="Bookman Old Style" w:hAnsi="Bookman Old Style"/>
          <w:i/>
          <w:sz w:val="24"/>
        </w:rPr>
        <w:lastRenderedPageBreak/>
        <w:t>facturación, el agente deberá reportar el ASIC el precio facturado en COP/MBTU.</w:t>
      </w:r>
    </w:p>
    <w:p w14:paraId="229E6945" w14:textId="77777777" w:rsidR="000E4D7D" w:rsidRDefault="000E4D7D" w:rsidP="000E4D7D">
      <w:pPr>
        <w:ind w:left="66"/>
        <w:jc w:val="both"/>
        <w:rPr>
          <w:rFonts w:ascii="Bookman Old Style" w:hAnsi="Bookman Old Style"/>
          <w:i/>
        </w:rPr>
      </w:pPr>
    </w:p>
    <w:p w14:paraId="32394B1E" w14:textId="77777777" w:rsidR="000E4D7D" w:rsidRPr="00225C6B" w:rsidRDefault="000E4D7D" w:rsidP="000E4D7D">
      <w:pPr>
        <w:pStyle w:val="Prrafodelista"/>
        <w:numPr>
          <w:ilvl w:val="0"/>
          <w:numId w:val="24"/>
        </w:numPr>
        <w:jc w:val="both"/>
        <w:rPr>
          <w:rFonts w:ascii="Bookman Old Style" w:hAnsi="Bookman Old Style"/>
          <w:i/>
          <w:sz w:val="24"/>
        </w:rPr>
      </w:pPr>
      <w:r>
        <w:rPr>
          <w:rFonts w:ascii="Bookman Old Style" w:hAnsi="Bookman Old Style"/>
          <w:b/>
          <w:i/>
          <w:sz w:val="24"/>
        </w:rPr>
        <w:t>Del contrato de suministro de ocasión</w:t>
      </w:r>
      <w:r>
        <w:rPr>
          <w:rFonts w:ascii="Bookman Old Style" w:hAnsi="Bookman Old Style"/>
          <w:i/>
          <w:sz w:val="24"/>
        </w:rPr>
        <w:t>, corresponde al contrato firmado y registrado ante el Gestor del Mercado de Gas en una fecha posterior al registro del contrato principal. Considerar precio en COP/MBTU, cantidad utilizada en MBTU y cantidad máxima contratada en MBTU. Una vez se tenga la facturación, el agente deberá reportar el ASIC el precio facturado en COP/MBTU.</w:t>
      </w:r>
    </w:p>
    <w:p w14:paraId="5B038993" w14:textId="77777777" w:rsidR="000E4D7D" w:rsidRPr="00225C6B" w:rsidRDefault="000E4D7D" w:rsidP="000E4D7D">
      <w:pPr>
        <w:ind w:left="0"/>
        <w:jc w:val="both"/>
        <w:rPr>
          <w:rFonts w:ascii="Bookman Old Style" w:hAnsi="Bookman Old Style"/>
          <w:i/>
        </w:rPr>
      </w:pPr>
    </w:p>
    <w:p w14:paraId="31C1B7C7" w14:textId="77777777" w:rsidR="000E4D7D" w:rsidRDefault="000E4D7D" w:rsidP="000E4D7D">
      <w:pPr>
        <w:pStyle w:val="Prrafodelista"/>
        <w:numPr>
          <w:ilvl w:val="0"/>
          <w:numId w:val="24"/>
        </w:numPr>
        <w:jc w:val="both"/>
        <w:rPr>
          <w:rFonts w:ascii="Bookman Old Style" w:hAnsi="Bookman Old Style"/>
          <w:i/>
          <w:sz w:val="24"/>
        </w:rPr>
      </w:pPr>
      <w:r w:rsidRPr="00A71611">
        <w:rPr>
          <w:rFonts w:ascii="Bookman Old Style" w:hAnsi="Bookman Old Style"/>
          <w:b/>
          <w:i/>
          <w:sz w:val="24"/>
        </w:rPr>
        <w:t xml:space="preserve">Del contrato de </w:t>
      </w:r>
      <w:r>
        <w:rPr>
          <w:rFonts w:ascii="Bookman Old Style" w:hAnsi="Bookman Old Style"/>
          <w:b/>
          <w:i/>
          <w:sz w:val="24"/>
        </w:rPr>
        <w:t>transporte principal</w:t>
      </w:r>
      <w:r>
        <w:rPr>
          <w:rFonts w:ascii="Bookman Old Style" w:hAnsi="Bookman Old Style"/>
          <w:i/>
          <w:sz w:val="24"/>
        </w:rPr>
        <w:t xml:space="preserve">, correspondiente al contrato con el cual se respaldan la OEF para las plantas térmicas que se respaldan con gas natural. En caso de no tener OEF, se tomará el </w:t>
      </w:r>
      <w:r w:rsidRPr="007A474A">
        <w:rPr>
          <w:rFonts w:ascii="Bookman Old Style" w:hAnsi="Bookman Old Style"/>
          <w:i/>
          <w:sz w:val="24"/>
        </w:rPr>
        <w:t>contrato firmado y registrado ante el Gesto de Gas en una fecha anterior al registro del contrato de ocasión.</w:t>
      </w:r>
      <w:r>
        <w:rPr>
          <w:rFonts w:ascii="Bookman Old Style" w:hAnsi="Bookman Old Style"/>
          <w:i/>
          <w:sz w:val="24"/>
        </w:rPr>
        <w:t xml:space="preserve"> Considerar precio en COP/MBTU, cantidad utilizada en MBTU y cantidad máxima contratada en MBTU. Una vez se tenga la facturación, el agente deberá reportar el ASIC el precio facturado en COP/MBTU.</w:t>
      </w:r>
    </w:p>
    <w:p w14:paraId="6FB40BEE" w14:textId="77777777" w:rsidR="000E4D7D" w:rsidRPr="00225C6B" w:rsidRDefault="000E4D7D" w:rsidP="000E4D7D">
      <w:pPr>
        <w:ind w:left="0"/>
        <w:jc w:val="both"/>
        <w:rPr>
          <w:rFonts w:ascii="Bookman Old Style" w:hAnsi="Bookman Old Style"/>
          <w:i/>
        </w:rPr>
      </w:pPr>
    </w:p>
    <w:p w14:paraId="693AA3F7" w14:textId="77777777" w:rsidR="000E4D7D" w:rsidRPr="00225C6B" w:rsidRDefault="000E4D7D" w:rsidP="000E4D7D">
      <w:pPr>
        <w:pStyle w:val="Prrafodelista"/>
        <w:numPr>
          <w:ilvl w:val="0"/>
          <w:numId w:val="24"/>
        </w:numPr>
        <w:jc w:val="both"/>
        <w:rPr>
          <w:rFonts w:ascii="Bookman Old Style" w:hAnsi="Bookman Old Style"/>
          <w:i/>
          <w:sz w:val="24"/>
        </w:rPr>
      </w:pPr>
      <w:r>
        <w:rPr>
          <w:rFonts w:ascii="Bookman Old Style" w:hAnsi="Bookman Old Style"/>
          <w:b/>
          <w:i/>
          <w:sz w:val="24"/>
        </w:rPr>
        <w:t>Del contrato de transporte de ocasión</w:t>
      </w:r>
      <w:r>
        <w:rPr>
          <w:rFonts w:ascii="Bookman Old Style" w:hAnsi="Bookman Old Style"/>
          <w:i/>
          <w:sz w:val="24"/>
        </w:rPr>
        <w:t xml:space="preserve">, corresponde al contrato firmado y registrado ante el Gestor del Mercado de Gas en una fecha posterior al registro del contrato principal. Considerar precio en COP/MBTU, cantidad utilizada en MBTU y cantidad máxima contratada en MBTU. Una vez se tenga la facturación, el agente deberá reportar el ASIC el precio facturado en COP/MBTU. </w:t>
      </w:r>
    </w:p>
    <w:p w14:paraId="09B13A56" w14:textId="77777777" w:rsidR="000E4D7D" w:rsidRDefault="000E4D7D" w:rsidP="000E4D7D">
      <w:pPr>
        <w:ind w:left="426"/>
        <w:jc w:val="both"/>
        <w:rPr>
          <w:rFonts w:ascii="Bookman Old Style" w:hAnsi="Bookman Old Style"/>
          <w:i/>
        </w:rPr>
      </w:pPr>
    </w:p>
    <w:p w14:paraId="6F17B587" w14:textId="77777777" w:rsidR="000E4D7D" w:rsidRDefault="000E4D7D" w:rsidP="000E4D7D">
      <w:pPr>
        <w:ind w:left="915"/>
        <w:jc w:val="both"/>
        <w:rPr>
          <w:rFonts w:ascii="Bookman Old Style" w:hAnsi="Bookman Old Style"/>
          <w:i/>
        </w:rPr>
      </w:pPr>
      <w:r>
        <w:rPr>
          <w:rFonts w:ascii="Bookman Old Style" w:hAnsi="Bookman Old Style"/>
          <w:i/>
        </w:rPr>
        <w:t>El (los) precio(s) declarado(s) deberá(n) corresponder a el (los) precio(s) de la(s) cantidad(es) nominada(s) por el agente, hasta alcanzar la cantidad requerida para operación, iniciando con la cantidad nominada de menor precio.</w:t>
      </w:r>
    </w:p>
    <w:p w14:paraId="7B9BF666" w14:textId="77777777" w:rsidR="000E4D7D" w:rsidRDefault="000E4D7D" w:rsidP="000E4D7D">
      <w:pPr>
        <w:ind w:left="915"/>
        <w:jc w:val="both"/>
        <w:rPr>
          <w:rFonts w:ascii="Bookman Old Style" w:hAnsi="Bookman Old Style"/>
          <w:i/>
        </w:rPr>
      </w:pPr>
    </w:p>
    <w:p w14:paraId="294898B9" w14:textId="77777777" w:rsidR="000E4D7D" w:rsidRDefault="000E4D7D" w:rsidP="000E4D7D">
      <w:pPr>
        <w:ind w:left="915"/>
        <w:jc w:val="both"/>
        <w:rPr>
          <w:rFonts w:ascii="Bookman Old Style" w:hAnsi="Bookman Old Style"/>
          <w:i/>
        </w:rPr>
      </w:pPr>
      <w:r>
        <w:rPr>
          <w:rFonts w:ascii="Bookman Old Style" w:hAnsi="Bookman Old Style"/>
          <w:i/>
        </w:rPr>
        <w:t>El valor CSC y CTC se establecen por parte del agente como el costo promedio ponderado de los precios de los contratos nominados necesarios para la operación. Dicha ponderación será realizada con las cantidades utilizadas, según sea el caso, así:</w:t>
      </w:r>
    </w:p>
    <w:p w14:paraId="6117B9D0" w14:textId="77777777" w:rsidR="000E4D7D" w:rsidRDefault="000E4D7D" w:rsidP="000E4D7D">
      <w:pPr>
        <w:ind w:left="915"/>
        <w:jc w:val="both"/>
        <w:rPr>
          <w:rFonts w:ascii="Bookman Old Style" w:hAnsi="Bookman Old Style"/>
          <w:i/>
        </w:rPr>
      </w:pPr>
    </w:p>
    <w:tbl>
      <w:tblPr>
        <w:tblStyle w:val="Tablaconcuadrcula"/>
        <w:tblW w:w="0" w:type="auto"/>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3965"/>
      </w:tblGrid>
      <w:tr w:rsidR="000E4D7D" w14:paraId="46998433" w14:textId="77777777">
        <w:tc>
          <w:tcPr>
            <w:tcW w:w="3975" w:type="dxa"/>
          </w:tcPr>
          <w:p w14:paraId="66403AC6" w14:textId="77777777" w:rsidR="000E4D7D" w:rsidRDefault="00000000">
            <w:pPr>
              <w:ind w:left="0"/>
              <w:jc w:val="both"/>
              <w:rPr>
                <w:rFonts w:ascii="Bookman Old Style" w:hAnsi="Bookman Old Style"/>
                <w:i/>
              </w:rPr>
            </w:pPr>
            <m:oMathPara>
              <m:oMath>
                <m:sSub>
                  <m:sSubPr>
                    <m:ctrlPr>
                      <w:rPr>
                        <w:rFonts w:ascii="Cambria Math" w:hAnsi="Cambria Math"/>
                        <w:i/>
                      </w:rPr>
                    </m:ctrlPr>
                  </m:sSubPr>
                  <m:e>
                    <m:r>
                      <w:rPr>
                        <w:rFonts w:ascii="Cambria Math" w:hAnsi="Cambria Math"/>
                      </w:rPr>
                      <m:t>CSC</m:t>
                    </m:r>
                  </m:e>
                  <m:sub>
                    <m:r>
                      <w:rPr>
                        <w:rFonts w:ascii="Cambria Math" w:hAnsi="Cambria Math"/>
                      </w:rPr>
                      <m:t>p,d</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c=1</m:t>
                        </m:r>
                      </m:sub>
                      <m:sup>
                        <m:r>
                          <w:rPr>
                            <w:rFonts w:ascii="Cambria Math" w:hAnsi="Cambria Math"/>
                          </w:rPr>
                          <m:t>TCS</m:t>
                        </m:r>
                      </m:sup>
                      <m:e>
                        <m:sSub>
                          <m:sSubPr>
                            <m:ctrlPr>
                              <w:rPr>
                                <w:rFonts w:ascii="Cambria Math" w:hAnsi="Cambria Math"/>
                                <w:i/>
                              </w:rPr>
                            </m:ctrlPr>
                          </m:sSubPr>
                          <m:e>
                            <m:r>
                              <w:rPr>
                                <w:rFonts w:ascii="Cambria Math" w:hAnsi="Cambria Math"/>
                              </w:rPr>
                              <m:t>PRS</m:t>
                            </m:r>
                          </m:e>
                          <m:sub>
                            <m:r>
                              <w:rPr>
                                <w:rFonts w:ascii="Cambria Math" w:hAnsi="Cambria Math"/>
                              </w:rPr>
                              <m:t>c,d</m:t>
                            </m:r>
                          </m:sub>
                        </m:sSub>
                        <m:r>
                          <w:rPr>
                            <w:rFonts w:ascii="Cambria Math" w:hAnsi="Cambria Math"/>
                          </w:rPr>
                          <m:t>×</m:t>
                        </m:r>
                        <m:sSub>
                          <m:sSubPr>
                            <m:ctrlPr>
                              <w:rPr>
                                <w:rFonts w:ascii="Cambria Math" w:hAnsi="Cambria Math"/>
                                <w:i/>
                              </w:rPr>
                            </m:ctrlPr>
                          </m:sSubPr>
                          <m:e>
                            <m:r>
                              <w:rPr>
                                <w:rFonts w:ascii="Cambria Math" w:hAnsi="Cambria Math"/>
                              </w:rPr>
                              <m:t>CCS</m:t>
                            </m:r>
                          </m:e>
                          <m:sub>
                            <m:r>
                              <w:rPr>
                                <w:rFonts w:ascii="Cambria Math" w:hAnsi="Cambria Math"/>
                              </w:rPr>
                              <m:t>c,d</m:t>
                            </m:r>
                          </m:sub>
                        </m:sSub>
                      </m:e>
                    </m:nary>
                  </m:num>
                  <m:den>
                    <m:sSub>
                      <m:sSubPr>
                        <m:ctrlPr>
                          <w:rPr>
                            <w:rFonts w:ascii="Cambria Math" w:hAnsi="Cambria Math"/>
                            <w:i/>
                          </w:rPr>
                        </m:ctrlPr>
                      </m:sSubPr>
                      <m:e>
                        <m:r>
                          <w:rPr>
                            <w:rFonts w:ascii="Cambria Math" w:hAnsi="Cambria Math"/>
                          </w:rPr>
                          <m:t>CONS</m:t>
                        </m:r>
                      </m:e>
                      <m:sub>
                        <m:r>
                          <w:rPr>
                            <w:rFonts w:ascii="Cambria Math" w:hAnsi="Cambria Math"/>
                          </w:rPr>
                          <m:t>d</m:t>
                        </m:r>
                      </m:sub>
                    </m:sSub>
                  </m:den>
                </m:f>
              </m:oMath>
            </m:oMathPara>
          </w:p>
        </w:tc>
        <w:tc>
          <w:tcPr>
            <w:tcW w:w="3965" w:type="dxa"/>
          </w:tcPr>
          <w:p w14:paraId="491BB271" w14:textId="77777777" w:rsidR="000E4D7D" w:rsidRDefault="00000000">
            <w:pPr>
              <w:ind w:left="0"/>
              <w:jc w:val="both"/>
              <w:rPr>
                <w:rFonts w:ascii="Bookman Old Style" w:hAnsi="Bookman Old Style"/>
                <w:i/>
              </w:rPr>
            </w:pPr>
            <m:oMathPara>
              <m:oMath>
                <m:sSub>
                  <m:sSubPr>
                    <m:ctrlPr>
                      <w:rPr>
                        <w:rFonts w:ascii="Cambria Math" w:hAnsi="Cambria Math"/>
                        <w:i/>
                      </w:rPr>
                    </m:ctrlPr>
                  </m:sSubPr>
                  <m:e>
                    <m:r>
                      <w:rPr>
                        <w:rFonts w:ascii="Cambria Math" w:hAnsi="Cambria Math"/>
                      </w:rPr>
                      <m:t>CTC</m:t>
                    </m:r>
                  </m:e>
                  <m:sub>
                    <m:r>
                      <w:rPr>
                        <w:rFonts w:ascii="Cambria Math" w:hAnsi="Cambria Math"/>
                      </w:rPr>
                      <m:t>p,d</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TCS</m:t>
                        </m:r>
                      </m:sup>
                      <m:e>
                        <m:sSub>
                          <m:sSubPr>
                            <m:ctrlPr>
                              <w:rPr>
                                <w:rFonts w:ascii="Cambria Math" w:hAnsi="Cambria Math"/>
                                <w:i/>
                              </w:rPr>
                            </m:ctrlPr>
                          </m:sSubPr>
                          <m:e>
                            <m:r>
                              <w:rPr>
                                <w:rFonts w:ascii="Cambria Math" w:hAnsi="Cambria Math"/>
                              </w:rPr>
                              <m:t>PRT</m:t>
                            </m:r>
                          </m:e>
                          <m:sub>
                            <m:r>
                              <w:rPr>
                                <w:rFonts w:ascii="Cambria Math" w:hAnsi="Cambria Math"/>
                              </w:rPr>
                              <m:t>t,d</m:t>
                            </m:r>
                          </m:sub>
                        </m:sSub>
                        <m:r>
                          <w:rPr>
                            <w:rFonts w:ascii="Cambria Math" w:hAnsi="Cambria Math"/>
                          </w:rPr>
                          <m:t>×</m:t>
                        </m:r>
                        <m:sSub>
                          <m:sSubPr>
                            <m:ctrlPr>
                              <w:rPr>
                                <w:rFonts w:ascii="Cambria Math" w:hAnsi="Cambria Math"/>
                                <w:i/>
                              </w:rPr>
                            </m:ctrlPr>
                          </m:sSubPr>
                          <m:e>
                            <m:r>
                              <w:rPr>
                                <w:rFonts w:ascii="Cambria Math" w:hAnsi="Cambria Math"/>
                              </w:rPr>
                              <m:t>CCT</m:t>
                            </m:r>
                          </m:e>
                          <m:sub>
                            <m:r>
                              <w:rPr>
                                <w:rFonts w:ascii="Cambria Math" w:hAnsi="Cambria Math"/>
                              </w:rPr>
                              <m:t>t,d</m:t>
                            </m:r>
                          </m:sub>
                        </m:sSub>
                      </m:e>
                    </m:nary>
                  </m:num>
                  <m:den>
                    <m:sSub>
                      <m:sSubPr>
                        <m:ctrlPr>
                          <w:rPr>
                            <w:rFonts w:ascii="Cambria Math" w:hAnsi="Cambria Math"/>
                            <w:i/>
                          </w:rPr>
                        </m:ctrlPr>
                      </m:sSubPr>
                      <m:e>
                        <m:r>
                          <w:rPr>
                            <w:rFonts w:ascii="Cambria Math" w:hAnsi="Cambria Math"/>
                          </w:rPr>
                          <m:t>CONS</m:t>
                        </m:r>
                      </m:e>
                      <m:sub>
                        <m:r>
                          <w:rPr>
                            <w:rFonts w:ascii="Cambria Math" w:hAnsi="Cambria Math"/>
                          </w:rPr>
                          <m:t>d</m:t>
                        </m:r>
                      </m:sub>
                    </m:sSub>
                  </m:den>
                </m:f>
              </m:oMath>
            </m:oMathPara>
          </w:p>
        </w:tc>
      </w:tr>
    </w:tbl>
    <w:p w14:paraId="0A7168A1" w14:textId="77777777" w:rsidR="000E4D7D" w:rsidRPr="00AE517D" w:rsidRDefault="000E4D7D" w:rsidP="000E4D7D">
      <w:pPr>
        <w:ind w:left="915"/>
        <w:jc w:val="both"/>
        <w:rPr>
          <w:rFonts w:ascii="Bookman Old Style" w:hAnsi="Bookman Old Style"/>
          <w:i/>
        </w:rPr>
      </w:pPr>
    </w:p>
    <w:p w14:paraId="3BC7A2A2" w14:textId="77777777" w:rsidR="000E4D7D" w:rsidRDefault="000E4D7D" w:rsidP="000E4D7D">
      <w:pPr>
        <w:ind w:left="915"/>
        <w:jc w:val="both"/>
        <w:rPr>
          <w:rFonts w:ascii="Bookman Old Style" w:hAnsi="Bookman Old Style"/>
          <w:i/>
        </w:rPr>
      </w:pPr>
      <w:r>
        <w:rPr>
          <w:rFonts w:ascii="Bookman Old Style" w:hAnsi="Bookman Old Style"/>
          <w:i/>
        </w:rPr>
        <w:t>Donde:</w:t>
      </w:r>
    </w:p>
    <w:p w14:paraId="74B6F8E4" w14:textId="77777777" w:rsidR="000E4D7D" w:rsidRDefault="000E4D7D" w:rsidP="000E4D7D">
      <w:pPr>
        <w:ind w:left="915"/>
        <w:jc w:val="both"/>
        <w:rPr>
          <w:rFonts w:ascii="Bookman Old Style" w:hAnsi="Bookman Old Style"/>
          <w:i/>
        </w:rPr>
      </w:pPr>
    </w:p>
    <w:tbl>
      <w:tblPr>
        <w:tblStyle w:val="Tablaconcuadrcula"/>
        <w:tblW w:w="7935"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6521"/>
      </w:tblGrid>
      <w:tr w:rsidR="000E4D7D" w:rsidRPr="008D0532" w14:paraId="2E5BA3EF" w14:textId="77777777">
        <w:tc>
          <w:tcPr>
            <w:tcW w:w="1414" w:type="dxa"/>
          </w:tcPr>
          <w:p w14:paraId="2A772D14" w14:textId="77777777" w:rsidR="000E4D7D" w:rsidRDefault="000E4D7D">
            <w:pPr>
              <w:ind w:left="0"/>
              <w:jc w:val="both"/>
              <w:rPr>
                <w:rFonts w:ascii="Bookman Old Style" w:hAnsi="Bookman Old Style"/>
                <w:i/>
              </w:rPr>
            </w:pPr>
            <w:proofErr w:type="spellStart"/>
            <w:proofErr w:type="gramStart"/>
            <w:r>
              <w:rPr>
                <w:rFonts w:ascii="Bookman Old Style" w:hAnsi="Bookman Old Style"/>
                <w:i/>
              </w:rPr>
              <w:t>CSC</w:t>
            </w:r>
            <w:r w:rsidRPr="00B45BC5">
              <w:rPr>
                <w:rFonts w:ascii="Bookman Old Style" w:hAnsi="Bookman Old Style"/>
                <w:i/>
                <w:vertAlign w:val="subscript"/>
              </w:rPr>
              <w:t>p,d</w:t>
            </w:r>
            <w:proofErr w:type="spellEnd"/>
            <w:proofErr w:type="gramEnd"/>
            <w:r>
              <w:rPr>
                <w:rFonts w:ascii="Bookman Old Style" w:hAnsi="Bookman Old Style"/>
                <w:i/>
              </w:rPr>
              <w:t>:</w:t>
            </w:r>
          </w:p>
        </w:tc>
        <w:tc>
          <w:tcPr>
            <w:tcW w:w="6521" w:type="dxa"/>
          </w:tcPr>
          <w:p w14:paraId="3909219F" w14:textId="77777777" w:rsidR="000E4D7D" w:rsidRPr="008D0532" w:rsidRDefault="000E4D7D">
            <w:pPr>
              <w:ind w:left="0"/>
              <w:jc w:val="both"/>
              <w:rPr>
                <w:rFonts w:ascii="Bookman Old Style" w:hAnsi="Bookman Old Style"/>
                <w:i/>
              </w:rPr>
            </w:pPr>
            <w:r>
              <w:rPr>
                <w:rFonts w:ascii="Bookman Old Style" w:hAnsi="Bookman Old Style"/>
                <w:i/>
              </w:rPr>
              <w:t>Costo de Suministro de Combustible para planta p, en el día d</w:t>
            </w:r>
          </w:p>
        </w:tc>
      </w:tr>
      <w:tr w:rsidR="000E4D7D" w:rsidRPr="008D0532" w14:paraId="0AA5FE91" w14:textId="77777777">
        <w:tc>
          <w:tcPr>
            <w:tcW w:w="1414" w:type="dxa"/>
          </w:tcPr>
          <w:p w14:paraId="0CACD321" w14:textId="77777777" w:rsidR="000E4D7D" w:rsidRDefault="000E4D7D">
            <w:pPr>
              <w:ind w:left="0"/>
              <w:jc w:val="both"/>
              <w:rPr>
                <w:rFonts w:ascii="Bookman Old Style" w:hAnsi="Bookman Old Style"/>
                <w:i/>
              </w:rPr>
            </w:pPr>
            <w:proofErr w:type="spellStart"/>
            <w:proofErr w:type="gramStart"/>
            <w:r>
              <w:rPr>
                <w:rFonts w:ascii="Bookman Old Style" w:hAnsi="Bookman Old Style"/>
                <w:i/>
              </w:rPr>
              <w:t>PRS</w:t>
            </w:r>
            <w:r w:rsidRPr="00B45BC5">
              <w:rPr>
                <w:rFonts w:ascii="Bookman Old Style" w:hAnsi="Bookman Old Style"/>
                <w:i/>
                <w:vertAlign w:val="subscript"/>
              </w:rPr>
              <w:t>c,d</w:t>
            </w:r>
            <w:proofErr w:type="spellEnd"/>
            <w:proofErr w:type="gramEnd"/>
            <w:r>
              <w:rPr>
                <w:rFonts w:ascii="Bookman Old Style" w:hAnsi="Bookman Old Style"/>
                <w:i/>
              </w:rPr>
              <w:t>:</w:t>
            </w:r>
          </w:p>
        </w:tc>
        <w:tc>
          <w:tcPr>
            <w:tcW w:w="6521" w:type="dxa"/>
          </w:tcPr>
          <w:p w14:paraId="5D2C6184" w14:textId="77777777" w:rsidR="000E4D7D" w:rsidRPr="002D13E7" w:rsidRDefault="000E4D7D">
            <w:pPr>
              <w:ind w:left="0"/>
              <w:jc w:val="both"/>
              <w:rPr>
                <w:rFonts w:ascii="Bookman Old Style" w:hAnsi="Bookman Old Style"/>
                <w:i/>
              </w:rPr>
            </w:pPr>
            <w:r>
              <w:rPr>
                <w:rFonts w:ascii="Bookman Old Style" w:hAnsi="Bookman Old Style"/>
                <w:i/>
              </w:rPr>
              <w:t>Precio del contrato de suministro c para el día d</w:t>
            </w:r>
          </w:p>
        </w:tc>
      </w:tr>
      <w:tr w:rsidR="000E4D7D" w:rsidRPr="008D0532" w14:paraId="3D2F038A" w14:textId="77777777">
        <w:tc>
          <w:tcPr>
            <w:tcW w:w="1414" w:type="dxa"/>
          </w:tcPr>
          <w:p w14:paraId="1D23AC96" w14:textId="77777777" w:rsidR="000E4D7D" w:rsidRDefault="000E4D7D">
            <w:pPr>
              <w:ind w:left="0"/>
              <w:jc w:val="both"/>
              <w:rPr>
                <w:rFonts w:ascii="Bookman Old Style" w:hAnsi="Bookman Old Style"/>
                <w:i/>
                <w:lang w:val="es-CO"/>
              </w:rPr>
            </w:pPr>
            <w:proofErr w:type="spellStart"/>
            <w:proofErr w:type="gramStart"/>
            <w:r>
              <w:rPr>
                <w:rFonts w:ascii="Bookman Old Style" w:hAnsi="Bookman Old Style"/>
                <w:i/>
              </w:rPr>
              <w:t>CCS</w:t>
            </w:r>
            <w:r w:rsidRPr="00B45BC5">
              <w:rPr>
                <w:rFonts w:ascii="Bookman Old Style" w:hAnsi="Bookman Old Style"/>
                <w:i/>
                <w:vertAlign w:val="subscript"/>
              </w:rPr>
              <w:t>c,d</w:t>
            </w:r>
            <w:proofErr w:type="spellEnd"/>
            <w:proofErr w:type="gramEnd"/>
            <w:r>
              <w:rPr>
                <w:rFonts w:ascii="Bookman Old Style" w:hAnsi="Bookman Old Style"/>
                <w:i/>
              </w:rPr>
              <w:t>:</w:t>
            </w:r>
          </w:p>
        </w:tc>
        <w:tc>
          <w:tcPr>
            <w:tcW w:w="6521" w:type="dxa"/>
          </w:tcPr>
          <w:p w14:paraId="7CA0BAE6" w14:textId="77777777" w:rsidR="000E4D7D" w:rsidRPr="002D13E7" w:rsidRDefault="000E4D7D">
            <w:pPr>
              <w:ind w:left="0"/>
              <w:jc w:val="both"/>
              <w:rPr>
                <w:rFonts w:ascii="Bookman Old Style" w:hAnsi="Bookman Old Style"/>
                <w:i/>
              </w:rPr>
            </w:pPr>
            <w:r>
              <w:rPr>
                <w:rFonts w:ascii="Bookman Old Style" w:hAnsi="Bookman Old Style"/>
                <w:i/>
              </w:rPr>
              <w:t>Cantidad utilizada del contrato de suministro c para el día d</w:t>
            </w:r>
          </w:p>
        </w:tc>
      </w:tr>
      <w:tr w:rsidR="000E4D7D" w:rsidRPr="008D0532" w14:paraId="58DFFB8F" w14:textId="77777777">
        <w:tc>
          <w:tcPr>
            <w:tcW w:w="1414" w:type="dxa"/>
          </w:tcPr>
          <w:p w14:paraId="4FA793E2" w14:textId="77777777" w:rsidR="000E4D7D" w:rsidRDefault="000E4D7D">
            <w:pPr>
              <w:ind w:left="0"/>
              <w:jc w:val="both"/>
              <w:rPr>
                <w:rFonts w:ascii="Bookman Old Style" w:hAnsi="Bookman Old Style"/>
                <w:i/>
              </w:rPr>
            </w:pPr>
            <w:r>
              <w:rPr>
                <w:rFonts w:ascii="Bookman Old Style" w:hAnsi="Bookman Old Style"/>
                <w:i/>
              </w:rPr>
              <w:t>c:</w:t>
            </w:r>
          </w:p>
        </w:tc>
        <w:tc>
          <w:tcPr>
            <w:tcW w:w="6521" w:type="dxa"/>
          </w:tcPr>
          <w:p w14:paraId="6AE11B44" w14:textId="77777777" w:rsidR="000E4D7D" w:rsidRDefault="000E4D7D">
            <w:pPr>
              <w:ind w:left="0"/>
              <w:jc w:val="both"/>
              <w:rPr>
                <w:rFonts w:ascii="Bookman Old Style" w:hAnsi="Bookman Old Style"/>
                <w:i/>
              </w:rPr>
            </w:pPr>
            <w:r>
              <w:rPr>
                <w:rFonts w:ascii="Bookman Old Style" w:hAnsi="Bookman Old Style"/>
                <w:i/>
              </w:rPr>
              <w:t>Contrato de suministro utilizado</w:t>
            </w:r>
          </w:p>
        </w:tc>
      </w:tr>
      <w:tr w:rsidR="000E4D7D" w:rsidRPr="008D0532" w14:paraId="0DAEB944" w14:textId="77777777">
        <w:tc>
          <w:tcPr>
            <w:tcW w:w="1414" w:type="dxa"/>
          </w:tcPr>
          <w:p w14:paraId="23C28088" w14:textId="77777777" w:rsidR="000E4D7D" w:rsidRDefault="000E4D7D">
            <w:pPr>
              <w:ind w:left="0"/>
              <w:jc w:val="both"/>
              <w:rPr>
                <w:rFonts w:ascii="Bookman Old Style" w:hAnsi="Bookman Old Style"/>
                <w:i/>
              </w:rPr>
            </w:pPr>
            <w:proofErr w:type="spellStart"/>
            <w:proofErr w:type="gramStart"/>
            <w:r>
              <w:rPr>
                <w:rFonts w:ascii="Bookman Old Style" w:hAnsi="Bookman Old Style"/>
                <w:i/>
              </w:rPr>
              <w:t>CTC</w:t>
            </w:r>
            <w:r w:rsidRPr="00B45BC5">
              <w:rPr>
                <w:rFonts w:ascii="Bookman Old Style" w:hAnsi="Bookman Old Style"/>
                <w:i/>
                <w:vertAlign w:val="subscript"/>
              </w:rPr>
              <w:t>p,d</w:t>
            </w:r>
            <w:proofErr w:type="spellEnd"/>
            <w:proofErr w:type="gramEnd"/>
            <w:r>
              <w:rPr>
                <w:rFonts w:ascii="Bookman Old Style" w:hAnsi="Bookman Old Style"/>
                <w:i/>
              </w:rPr>
              <w:t>:</w:t>
            </w:r>
          </w:p>
        </w:tc>
        <w:tc>
          <w:tcPr>
            <w:tcW w:w="6521" w:type="dxa"/>
          </w:tcPr>
          <w:p w14:paraId="77C9A43D" w14:textId="77777777" w:rsidR="000E4D7D" w:rsidRDefault="000E4D7D">
            <w:pPr>
              <w:ind w:left="0"/>
              <w:jc w:val="both"/>
              <w:rPr>
                <w:rFonts w:ascii="Bookman Old Style" w:hAnsi="Bookman Old Style"/>
                <w:i/>
              </w:rPr>
            </w:pPr>
            <w:r>
              <w:rPr>
                <w:rFonts w:ascii="Bookman Old Style" w:hAnsi="Bookman Old Style"/>
                <w:i/>
              </w:rPr>
              <w:t>Costo de Transporte de Combustible para planta p, en el día d</w:t>
            </w:r>
          </w:p>
        </w:tc>
      </w:tr>
      <w:tr w:rsidR="000E4D7D" w:rsidRPr="008D0532" w14:paraId="0120A9BF" w14:textId="77777777">
        <w:tc>
          <w:tcPr>
            <w:tcW w:w="1414" w:type="dxa"/>
          </w:tcPr>
          <w:p w14:paraId="030617FC" w14:textId="77777777" w:rsidR="000E4D7D" w:rsidRDefault="000E4D7D">
            <w:pPr>
              <w:ind w:left="0"/>
              <w:jc w:val="both"/>
              <w:rPr>
                <w:rFonts w:ascii="Bookman Old Style" w:hAnsi="Bookman Old Style"/>
                <w:i/>
              </w:rPr>
            </w:pPr>
            <w:proofErr w:type="spellStart"/>
            <w:proofErr w:type="gramStart"/>
            <w:r>
              <w:rPr>
                <w:rFonts w:ascii="Bookman Old Style" w:hAnsi="Bookman Old Style"/>
                <w:i/>
              </w:rPr>
              <w:t>PRT</w:t>
            </w:r>
            <w:r w:rsidRPr="00B45BC5">
              <w:rPr>
                <w:rFonts w:ascii="Bookman Old Style" w:hAnsi="Bookman Old Style"/>
                <w:i/>
                <w:vertAlign w:val="subscript"/>
              </w:rPr>
              <w:t>c,d</w:t>
            </w:r>
            <w:proofErr w:type="spellEnd"/>
            <w:proofErr w:type="gramEnd"/>
            <w:r>
              <w:rPr>
                <w:rFonts w:ascii="Bookman Old Style" w:hAnsi="Bookman Old Style"/>
                <w:i/>
              </w:rPr>
              <w:t>:</w:t>
            </w:r>
          </w:p>
        </w:tc>
        <w:tc>
          <w:tcPr>
            <w:tcW w:w="6521" w:type="dxa"/>
          </w:tcPr>
          <w:p w14:paraId="1BD2CD74" w14:textId="77777777" w:rsidR="000E4D7D" w:rsidRDefault="000E4D7D">
            <w:pPr>
              <w:ind w:left="0"/>
              <w:jc w:val="both"/>
              <w:rPr>
                <w:rFonts w:ascii="Bookman Old Style" w:hAnsi="Bookman Old Style"/>
                <w:i/>
              </w:rPr>
            </w:pPr>
            <w:r>
              <w:rPr>
                <w:rFonts w:ascii="Bookman Old Style" w:hAnsi="Bookman Old Style"/>
                <w:i/>
              </w:rPr>
              <w:t>Precio del contrato de transporte t para el día d</w:t>
            </w:r>
          </w:p>
        </w:tc>
      </w:tr>
      <w:tr w:rsidR="000E4D7D" w:rsidRPr="008D0532" w14:paraId="27CFE5FD" w14:textId="77777777">
        <w:tc>
          <w:tcPr>
            <w:tcW w:w="1414" w:type="dxa"/>
          </w:tcPr>
          <w:p w14:paraId="5D1CBD41" w14:textId="77777777" w:rsidR="000E4D7D" w:rsidRDefault="000E4D7D">
            <w:pPr>
              <w:ind w:left="0"/>
              <w:jc w:val="both"/>
              <w:rPr>
                <w:rFonts w:ascii="Bookman Old Style" w:hAnsi="Bookman Old Style"/>
                <w:i/>
              </w:rPr>
            </w:pPr>
            <w:proofErr w:type="spellStart"/>
            <w:proofErr w:type="gramStart"/>
            <w:r>
              <w:rPr>
                <w:rFonts w:ascii="Bookman Old Style" w:hAnsi="Bookman Old Style"/>
                <w:i/>
              </w:rPr>
              <w:lastRenderedPageBreak/>
              <w:t>CCT</w:t>
            </w:r>
            <w:r w:rsidRPr="00B45BC5">
              <w:rPr>
                <w:rFonts w:ascii="Bookman Old Style" w:hAnsi="Bookman Old Style"/>
                <w:i/>
                <w:vertAlign w:val="subscript"/>
              </w:rPr>
              <w:t>c,d</w:t>
            </w:r>
            <w:proofErr w:type="spellEnd"/>
            <w:proofErr w:type="gramEnd"/>
            <w:r>
              <w:rPr>
                <w:rFonts w:ascii="Bookman Old Style" w:hAnsi="Bookman Old Style"/>
                <w:i/>
              </w:rPr>
              <w:t>:</w:t>
            </w:r>
          </w:p>
        </w:tc>
        <w:tc>
          <w:tcPr>
            <w:tcW w:w="6521" w:type="dxa"/>
          </w:tcPr>
          <w:p w14:paraId="329561A6" w14:textId="77777777" w:rsidR="000E4D7D" w:rsidRDefault="000E4D7D">
            <w:pPr>
              <w:ind w:left="0"/>
              <w:jc w:val="both"/>
              <w:rPr>
                <w:rFonts w:ascii="Bookman Old Style" w:hAnsi="Bookman Old Style"/>
                <w:i/>
              </w:rPr>
            </w:pPr>
            <w:r>
              <w:rPr>
                <w:rFonts w:ascii="Bookman Old Style" w:hAnsi="Bookman Old Style"/>
                <w:i/>
              </w:rPr>
              <w:t>Cantidad utilizada del contrato de transporte t para el día d</w:t>
            </w:r>
          </w:p>
        </w:tc>
      </w:tr>
      <w:tr w:rsidR="000E4D7D" w:rsidRPr="008D0532" w14:paraId="128D38E4" w14:textId="77777777">
        <w:tc>
          <w:tcPr>
            <w:tcW w:w="1414" w:type="dxa"/>
          </w:tcPr>
          <w:p w14:paraId="6DB6D5BA" w14:textId="77777777" w:rsidR="000E4D7D" w:rsidRDefault="000E4D7D">
            <w:pPr>
              <w:ind w:left="0"/>
              <w:jc w:val="both"/>
              <w:rPr>
                <w:rFonts w:ascii="Bookman Old Style" w:hAnsi="Bookman Old Style"/>
                <w:i/>
              </w:rPr>
            </w:pPr>
            <w:r>
              <w:rPr>
                <w:rFonts w:ascii="Bookman Old Style" w:hAnsi="Bookman Old Style"/>
                <w:i/>
              </w:rPr>
              <w:t>t:</w:t>
            </w:r>
          </w:p>
        </w:tc>
        <w:tc>
          <w:tcPr>
            <w:tcW w:w="6521" w:type="dxa"/>
          </w:tcPr>
          <w:p w14:paraId="1A3230F7" w14:textId="77777777" w:rsidR="000E4D7D" w:rsidRDefault="000E4D7D">
            <w:pPr>
              <w:ind w:left="0"/>
              <w:jc w:val="both"/>
              <w:rPr>
                <w:rFonts w:ascii="Bookman Old Style" w:hAnsi="Bookman Old Style"/>
                <w:i/>
              </w:rPr>
            </w:pPr>
            <w:r>
              <w:rPr>
                <w:rFonts w:ascii="Bookman Old Style" w:hAnsi="Bookman Old Style"/>
                <w:i/>
              </w:rPr>
              <w:t>Contrato de transporte utilizado</w:t>
            </w:r>
          </w:p>
        </w:tc>
      </w:tr>
      <w:tr w:rsidR="000E4D7D" w:rsidRPr="008D0532" w14:paraId="5099577D" w14:textId="77777777">
        <w:tc>
          <w:tcPr>
            <w:tcW w:w="1414" w:type="dxa"/>
          </w:tcPr>
          <w:p w14:paraId="4ECC4F67" w14:textId="77777777" w:rsidR="000E4D7D" w:rsidRDefault="000E4D7D">
            <w:pPr>
              <w:ind w:left="0"/>
              <w:jc w:val="both"/>
              <w:rPr>
                <w:rFonts w:ascii="Bookman Old Style" w:hAnsi="Bookman Old Style"/>
                <w:i/>
              </w:rPr>
            </w:pPr>
            <w:proofErr w:type="spellStart"/>
            <w:r>
              <w:rPr>
                <w:rFonts w:ascii="Bookman Old Style" w:hAnsi="Bookman Old Style"/>
                <w:i/>
              </w:rPr>
              <w:t>CONS</w:t>
            </w:r>
            <w:r w:rsidRPr="00B45BC5">
              <w:rPr>
                <w:rFonts w:ascii="Bookman Old Style" w:hAnsi="Bookman Old Style"/>
                <w:i/>
                <w:vertAlign w:val="subscript"/>
              </w:rPr>
              <w:t>d</w:t>
            </w:r>
            <w:proofErr w:type="spellEnd"/>
            <w:r>
              <w:rPr>
                <w:rFonts w:ascii="Bookman Old Style" w:hAnsi="Bookman Old Style"/>
                <w:i/>
              </w:rPr>
              <w:t>:</w:t>
            </w:r>
          </w:p>
        </w:tc>
        <w:tc>
          <w:tcPr>
            <w:tcW w:w="6521" w:type="dxa"/>
          </w:tcPr>
          <w:p w14:paraId="0F0F14B0" w14:textId="77777777" w:rsidR="000E4D7D" w:rsidRDefault="000E4D7D">
            <w:pPr>
              <w:ind w:left="0"/>
              <w:jc w:val="both"/>
              <w:rPr>
                <w:rFonts w:ascii="Bookman Old Style" w:hAnsi="Bookman Old Style"/>
                <w:i/>
              </w:rPr>
            </w:pPr>
            <w:r>
              <w:rPr>
                <w:rFonts w:ascii="Bookman Old Style" w:hAnsi="Bookman Old Style"/>
                <w:i/>
              </w:rPr>
              <w:t>Consumo del combustible para el día d</w:t>
            </w:r>
          </w:p>
        </w:tc>
      </w:tr>
    </w:tbl>
    <w:p w14:paraId="25BE2F0D" w14:textId="77777777" w:rsidR="000E4D7D" w:rsidRDefault="000E4D7D" w:rsidP="000E4D7D">
      <w:pPr>
        <w:ind w:left="915"/>
        <w:jc w:val="both"/>
        <w:rPr>
          <w:rFonts w:ascii="Bookman Old Style" w:hAnsi="Bookman Old Style"/>
          <w:i/>
        </w:rPr>
      </w:pPr>
    </w:p>
    <w:p w14:paraId="0C1FDAFF" w14:textId="77777777" w:rsidR="000E4D7D" w:rsidRPr="00D578DE" w:rsidRDefault="000E4D7D" w:rsidP="000E4D7D">
      <w:pPr>
        <w:ind w:left="993"/>
        <w:jc w:val="both"/>
        <w:rPr>
          <w:rFonts w:ascii="Bookman Old Style" w:hAnsi="Bookman Old Style"/>
          <w:i/>
        </w:rPr>
      </w:pPr>
      <w:r>
        <w:rPr>
          <w:rFonts w:ascii="Bookman Old Style" w:hAnsi="Bookman Old Style"/>
          <w:i/>
        </w:rPr>
        <w:t xml:space="preserve">En el caso de que el agente aplique contratos de ocasión, el agente considerará como costo CSC y CTC el valor del contrato de ocasión, incrementado en un 50% de la diferencia positiva entre el precio del contrato principal y el precio del contrato de ocasión. En ningún caso, el precio del contrato de ocasión declarado más el incremento podrá ser superior al precio del contrato principal.  </w:t>
      </w:r>
    </w:p>
    <w:p w14:paraId="3D2110E0" w14:textId="77777777" w:rsidR="000E4D7D" w:rsidRPr="00BC3239" w:rsidRDefault="000E4D7D" w:rsidP="000E4D7D">
      <w:pPr>
        <w:ind w:left="993"/>
        <w:jc w:val="both"/>
        <w:rPr>
          <w:rFonts w:ascii="Bookman Old Style" w:hAnsi="Bookman Old Style"/>
          <w:i/>
        </w:rPr>
      </w:pPr>
    </w:p>
    <w:p w14:paraId="3891299B" w14:textId="77777777" w:rsidR="000E4D7D" w:rsidRDefault="000E4D7D" w:rsidP="000E4D7D">
      <w:pPr>
        <w:ind w:left="993"/>
        <w:jc w:val="both"/>
        <w:rPr>
          <w:rFonts w:ascii="Bookman Old Style" w:hAnsi="Bookman Old Style"/>
          <w:i/>
        </w:rPr>
      </w:pPr>
      <w:r w:rsidRPr="001814D0">
        <w:rPr>
          <w:rFonts w:ascii="Bookman Old Style" w:hAnsi="Bookman Old Style"/>
          <w:i/>
        </w:rPr>
        <w:t xml:space="preserve">En el caso de </w:t>
      </w:r>
      <w:r>
        <w:rPr>
          <w:rFonts w:ascii="Bookman Old Style" w:hAnsi="Bookman Old Style"/>
          <w:i/>
        </w:rPr>
        <w:t>los combustibles que les aplique la metodología 2</w:t>
      </w:r>
      <w:r w:rsidRPr="001814D0">
        <w:rPr>
          <w:rFonts w:ascii="Bookman Old Style" w:hAnsi="Bookman Old Style"/>
          <w:i/>
        </w:rPr>
        <w:t>, el CSC incluye el costo variable de transporte</w:t>
      </w:r>
      <w:r>
        <w:rPr>
          <w:rFonts w:ascii="Bookman Old Style" w:hAnsi="Bookman Old Style"/>
          <w:i/>
        </w:rPr>
        <w:t>, con excepción del GNI que se le aplicará lo definido en la metodología 1 para el caso del transporte</w:t>
      </w:r>
      <w:r w:rsidRPr="001814D0">
        <w:rPr>
          <w:rFonts w:ascii="Bookman Old Style" w:hAnsi="Bookman Old Style"/>
          <w:i/>
        </w:rPr>
        <w:t>.</w:t>
      </w:r>
    </w:p>
    <w:p w14:paraId="33F5FD0C" w14:textId="77777777" w:rsidR="000E4D7D" w:rsidRDefault="000E4D7D" w:rsidP="000E4D7D">
      <w:pPr>
        <w:ind w:left="993"/>
        <w:jc w:val="both"/>
        <w:rPr>
          <w:rFonts w:ascii="Bookman Old Style" w:hAnsi="Bookman Old Style"/>
          <w:i/>
        </w:rPr>
      </w:pPr>
    </w:p>
    <w:p w14:paraId="7EF971C0" w14:textId="77777777" w:rsidR="000E4D7D" w:rsidRDefault="000E4D7D" w:rsidP="000E4D7D">
      <w:pPr>
        <w:ind w:left="993"/>
        <w:jc w:val="both"/>
        <w:rPr>
          <w:rFonts w:ascii="Bookman Old Style" w:hAnsi="Bookman Old Style"/>
          <w:i/>
        </w:rPr>
      </w:pPr>
      <w:r>
        <w:rPr>
          <w:rFonts w:ascii="Bookman Old Style" w:hAnsi="Bookman Old Style"/>
          <w:i/>
        </w:rPr>
        <w:t>Para el caso de que una planta de generación opere con combustibles diferentes, de tal forma que se encuentran en los grupos de la metodología 1 y la metodología 2, se le aplicará la metodología respectiva a cada combustible.</w:t>
      </w:r>
    </w:p>
    <w:p w14:paraId="428DBC06" w14:textId="77777777" w:rsidR="000E4D7D" w:rsidRDefault="000E4D7D" w:rsidP="000E4D7D">
      <w:pPr>
        <w:ind w:left="915"/>
        <w:jc w:val="both"/>
        <w:rPr>
          <w:rFonts w:ascii="Bookman Old Style" w:hAnsi="Bookman Old Style"/>
          <w:i/>
        </w:rPr>
      </w:pPr>
    </w:p>
    <w:p w14:paraId="527313F6" w14:textId="77777777" w:rsidR="000E4D7D" w:rsidRDefault="000E4D7D" w:rsidP="000E4D7D">
      <w:pPr>
        <w:pStyle w:val="Prrafodelista"/>
        <w:numPr>
          <w:ilvl w:val="0"/>
          <w:numId w:val="23"/>
        </w:numPr>
        <w:jc w:val="both"/>
        <w:rPr>
          <w:rFonts w:ascii="Bookman Old Style" w:hAnsi="Bookman Old Style"/>
          <w:i/>
          <w:sz w:val="24"/>
        </w:rPr>
      </w:pPr>
      <w:r w:rsidRPr="006F6F09">
        <w:rPr>
          <w:rFonts w:ascii="Bookman Old Style" w:hAnsi="Bookman Old Style"/>
          <w:b/>
          <w:i/>
          <w:sz w:val="24"/>
        </w:rPr>
        <w:t xml:space="preserve">Metodología </w:t>
      </w:r>
      <w:r>
        <w:rPr>
          <w:rFonts w:ascii="Bookman Old Style" w:hAnsi="Bookman Old Style"/>
          <w:b/>
          <w:i/>
          <w:sz w:val="24"/>
        </w:rPr>
        <w:t>2</w:t>
      </w:r>
      <w:r>
        <w:rPr>
          <w:rFonts w:ascii="Bookman Old Style" w:hAnsi="Bookman Old Style"/>
          <w:i/>
          <w:sz w:val="24"/>
        </w:rPr>
        <w:t xml:space="preserve">. Aplica a combustibles fósiles con almacenamiento, tales como el Gas Natural Importado (GNI), carbón (CM), Diesel </w:t>
      </w:r>
      <w:proofErr w:type="spellStart"/>
      <w:r>
        <w:rPr>
          <w:rFonts w:ascii="Bookman Old Style" w:hAnsi="Bookman Old Style"/>
          <w:i/>
          <w:sz w:val="24"/>
        </w:rPr>
        <w:t>Oil</w:t>
      </w:r>
      <w:proofErr w:type="spellEnd"/>
      <w:r>
        <w:rPr>
          <w:rFonts w:ascii="Bookman Old Style" w:hAnsi="Bookman Old Style"/>
          <w:i/>
          <w:sz w:val="24"/>
        </w:rPr>
        <w:t xml:space="preserve"> (DO), Fuel </w:t>
      </w:r>
      <w:proofErr w:type="spellStart"/>
      <w:r>
        <w:rPr>
          <w:rFonts w:ascii="Bookman Old Style" w:hAnsi="Bookman Old Style"/>
          <w:i/>
          <w:sz w:val="24"/>
        </w:rPr>
        <w:t>Oil</w:t>
      </w:r>
      <w:proofErr w:type="spellEnd"/>
      <w:r>
        <w:rPr>
          <w:rFonts w:ascii="Bookman Old Style" w:hAnsi="Bookman Old Style"/>
          <w:i/>
          <w:sz w:val="24"/>
        </w:rPr>
        <w:t xml:space="preserve"> (FO) y GLP.</w:t>
      </w:r>
    </w:p>
    <w:p w14:paraId="23D19FC8" w14:textId="77777777" w:rsidR="000E4D7D" w:rsidRDefault="000E4D7D" w:rsidP="000E4D7D">
      <w:pPr>
        <w:ind w:left="66"/>
        <w:jc w:val="both"/>
        <w:rPr>
          <w:rFonts w:ascii="Bookman Old Style" w:hAnsi="Bookman Old Style"/>
          <w:i/>
        </w:rPr>
      </w:pPr>
    </w:p>
    <w:p w14:paraId="3BEB8636" w14:textId="77777777" w:rsidR="000E4D7D" w:rsidRDefault="000E4D7D" w:rsidP="000E4D7D">
      <w:pPr>
        <w:pStyle w:val="Prrafodelista"/>
        <w:numPr>
          <w:ilvl w:val="0"/>
          <w:numId w:val="25"/>
        </w:numPr>
        <w:ind w:left="1275" w:hanging="282"/>
        <w:jc w:val="both"/>
        <w:rPr>
          <w:rFonts w:ascii="Bookman Old Style" w:hAnsi="Bookman Old Style"/>
          <w:i/>
          <w:sz w:val="24"/>
        </w:rPr>
      </w:pPr>
      <w:r w:rsidRPr="00A71611">
        <w:rPr>
          <w:rFonts w:ascii="Bookman Old Style" w:hAnsi="Bookman Old Style"/>
          <w:b/>
          <w:i/>
          <w:sz w:val="24"/>
        </w:rPr>
        <w:t xml:space="preserve">Del contrato de </w:t>
      </w:r>
      <w:r>
        <w:rPr>
          <w:rFonts w:ascii="Bookman Old Style" w:hAnsi="Bookman Old Style"/>
          <w:b/>
          <w:i/>
          <w:sz w:val="24"/>
        </w:rPr>
        <w:t>suministro principal</w:t>
      </w:r>
      <w:r>
        <w:rPr>
          <w:rFonts w:ascii="Bookman Old Style" w:hAnsi="Bookman Old Style"/>
          <w:i/>
          <w:sz w:val="24"/>
        </w:rPr>
        <w:t xml:space="preserve">, correspondiente al contrato con el cual se respaldan las OEF para las plantas térmicas que se respaldan con combustibles fósiles con almacenamiento. En caso de no tener OEF, se tomará </w:t>
      </w:r>
      <w:r w:rsidRPr="007A474A">
        <w:rPr>
          <w:rFonts w:ascii="Bookman Old Style" w:hAnsi="Bookman Old Style"/>
          <w:i/>
          <w:sz w:val="24"/>
        </w:rPr>
        <w:t xml:space="preserve">el contrato firmado y registrado </w:t>
      </w:r>
      <w:r>
        <w:rPr>
          <w:rFonts w:ascii="Bookman Old Style" w:hAnsi="Bookman Old Style"/>
          <w:i/>
          <w:sz w:val="24"/>
        </w:rPr>
        <w:t xml:space="preserve">ante el Gestor del Mercado de Gas, en caso de que le aplique, </w:t>
      </w:r>
      <w:r w:rsidRPr="007A474A">
        <w:rPr>
          <w:rFonts w:ascii="Bookman Old Style" w:hAnsi="Bookman Old Style"/>
          <w:i/>
          <w:sz w:val="24"/>
        </w:rPr>
        <w:t>en una fecha anterior al registro del contrato de ocasión</w:t>
      </w:r>
      <w:r>
        <w:rPr>
          <w:rFonts w:ascii="Bookman Old Style" w:hAnsi="Bookman Old Style"/>
          <w:i/>
          <w:sz w:val="24"/>
        </w:rPr>
        <w:t>. Considerar precio en COP/MBTU, cantidad utilizada en MBTU y cantidad máxima contratada en MBTU. Una vez se tenga la facturación, el agente deberá reportar el ASIC el precio facturado en COP/MBTU.</w:t>
      </w:r>
    </w:p>
    <w:p w14:paraId="55889531" w14:textId="77777777" w:rsidR="000E4D7D" w:rsidRDefault="000E4D7D" w:rsidP="000E4D7D">
      <w:pPr>
        <w:ind w:left="66"/>
        <w:jc w:val="both"/>
        <w:rPr>
          <w:rFonts w:ascii="Bookman Old Style" w:hAnsi="Bookman Old Style"/>
          <w:i/>
        </w:rPr>
      </w:pPr>
    </w:p>
    <w:p w14:paraId="73D04EE4" w14:textId="77777777" w:rsidR="000E4D7D" w:rsidRPr="00225C6B" w:rsidRDefault="000E4D7D" w:rsidP="000E4D7D">
      <w:pPr>
        <w:pStyle w:val="Prrafodelista"/>
        <w:numPr>
          <w:ilvl w:val="0"/>
          <w:numId w:val="25"/>
        </w:numPr>
        <w:ind w:left="1275" w:hanging="141"/>
        <w:jc w:val="both"/>
        <w:rPr>
          <w:rFonts w:ascii="Bookman Old Style" w:hAnsi="Bookman Old Style"/>
          <w:i/>
          <w:sz w:val="24"/>
        </w:rPr>
      </w:pPr>
      <w:r>
        <w:rPr>
          <w:rFonts w:ascii="Bookman Old Style" w:hAnsi="Bookman Old Style"/>
          <w:b/>
          <w:i/>
          <w:sz w:val="24"/>
        </w:rPr>
        <w:t>Del contrato de suministro de ocasión</w:t>
      </w:r>
      <w:r>
        <w:rPr>
          <w:rFonts w:ascii="Bookman Old Style" w:hAnsi="Bookman Old Style"/>
          <w:i/>
          <w:sz w:val="24"/>
        </w:rPr>
        <w:t>, corresponde al contrato firmado y registrado ante el Gestor del Mercado de Gas, en caso de que le aplique, en una fecha posterior al registro del contrato principal. Considerar precio en COP/MBTU, cantidad utilizada en MBTU y cantidad máxima contratada en MBTU. Una vez se tenga la facturación, el agente deberá reportar el ASIC el precio facturado en COP/MBTU.</w:t>
      </w:r>
    </w:p>
    <w:p w14:paraId="196F75B8" w14:textId="77777777" w:rsidR="000E4D7D" w:rsidRDefault="000E4D7D" w:rsidP="000E4D7D">
      <w:pPr>
        <w:ind w:left="66"/>
        <w:jc w:val="both"/>
        <w:rPr>
          <w:rFonts w:ascii="Bookman Old Style" w:hAnsi="Bookman Old Style"/>
          <w:i/>
        </w:rPr>
      </w:pPr>
    </w:p>
    <w:p w14:paraId="6403D51B" w14:textId="77777777" w:rsidR="000E4D7D" w:rsidRDefault="000E4D7D" w:rsidP="000E4D7D">
      <w:pPr>
        <w:ind w:left="915"/>
        <w:jc w:val="both"/>
        <w:rPr>
          <w:rFonts w:ascii="Bookman Old Style" w:hAnsi="Bookman Old Style"/>
          <w:i/>
        </w:rPr>
      </w:pPr>
      <w:r w:rsidRPr="008D399E">
        <w:rPr>
          <w:rFonts w:ascii="Bookman Old Style" w:hAnsi="Bookman Old Style"/>
          <w:i/>
        </w:rPr>
        <w:t xml:space="preserve">El costo CSC declarado deberá corresponder al promedio ponderado por las cantidades de </w:t>
      </w:r>
      <w:r>
        <w:rPr>
          <w:rFonts w:ascii="Bookman Old Style" w:hAnsi="Bookman Old Style"/>
          <w:i/>
        </w:rPr>
        <w:t>combustible</w:t>
      </w:r>
      <w:r w:rsidRPr="008D399E">
        <w:rPr>
          <w:rFonts w:ascii="Bookman Old Style" w:hAnsi="Bookman Old Style"/>
          <w:i/>
        </w:rPr>
        <w:t xml:space="preserve"> recibidos durante el mes que se liquida.</w:t>
      </w:r>
    </w:p>
    <w:p w14:paraId="02134EAB" w14:textId="77777777" w:rsidR="000E4D7D" w:rsidRDefault="000E4D7D" w:rsidP="000E4D7D">
      <w:pPr>
        <w:ind w:left="915"/>
        <w:jc w:val="both"/>
        <w:rPr>
          <w:rFonts w:ascii="Bookman Old Style" w:hAnsi="Bookman Old Style"/>
          <w:i/>
        </w:rPr>
      </w:pPr>
    </w:p>
    <w:p w14:paraId="39BDB224" w14:textId="77777777" w:rsidR="000E4D7D" w:rsidRDefault="000E4D7D" w:rsidP="000E4D7D">
      <w:pPr>
        <w:ind w:left="915"/>
        <w:jc w:val="both"/>
        <w:rPr>
          <w:rFonts w:ascii="Bookman Old Style" w:hAnsi="Bookman Old Style"/>
          <w:i/>
        </w:rPr>
      </w:pPr>
      <w:r w:rsidRPr="008D399E">
        <w:rPr>
          <w:rFonts w:ascii="Bookman Old Style" w:hAnsi="Bookman Old Style"/>
          <w:i/>
        </w:rPr>
        <w:t>Si durante el mes que se liquida no se tienen compras de combustibles, se tomará la información del último mes en el que se haya recib</w:t>
      </w:r>
      <w:r>
        <w:rPr>
          <w:rFonts w:ascii="Bookman Old Style" w:hAnsi="Bookman Old Style"/>
          <w:i/>
        </w:rPr>
        <w:t>ido</w:t>
      </w:r>
      <w:r w:rsidRPr="008D399E">
        <w:rPr>
          <w:rFonts w:ascii="Bookman Old Style" w:hAnsi="Bookman Old Style"/>
          <w:i/>
        </w:rPr>
        <w:t xml:space="preserve"> combustible.</w:t>
      </w:r>
      <w:r>
        <w:rPr>
          <w:rFonts w:ascii="Bookman Old Style" w:hAnsi="Bookman Old Style"/>
          <w:i/>
        </w:rPr>
        <w:t xml:space="preserve"> </w:t>
      </w:r>
    </w:p>
    <w:p w14:paraId="3D67D583" w14:textId="77777777" w:rsidR="000E4D7D" w:rsidRDefault="000E4D7D" w:rsidP="000E4D7D">
      <w:pPr>
        <w:jc w:val="both"/>
        <w:rPr>
          <w:rFonts w:ascii="Bookman Old Style" w:hAnsi="Bookman Old Style"/>
          <w:i/>
        </w:rPr>
      </w:pPr>
    </w:p>
    <w:p w14:paraId="5376E98A" w14:textId="77777777" w:rsidR="000E4D7D" w:rsidRDefault="000E4D7D" w:rsidP="000E4D7D">
      <w:pPr>
        <w:ind w:left="915"/>
        <w:jc w:val="both"/>
        <w:rPr>
          <w:rFonts w:ascii="Bookman Old Style" w:hAnsi="Bookman Old Style"/>
          <w:i/>
        </w:rPr>
      </w:pPr>
      <w:r>
        <w:rPr>
          <w:rFonts w:ascii="Bookman Old Style" w:hAnsi="Bookman Old Style"/>
          <w:i/>
        </w:rPr>
        <w:lastRenderedPageBreak/>
        <w:t>Los precios declarados por el agente deberán considerar los mismos componentes que se tienen en la factura.</w:t>
      </w:r>
    </w:p>
    <w:p w14:paraId="13EA4301" w14:textId="77777777" w:rsidR="000E4D7D" w:rsidRDefault="000E4D7D" w:rsidP="000E4D7D">
      <w:pPr>
        <w:jc w:val="both"/>
        <w:rPr>
          <w:rFonts w:ascii="Bookman Old Style" w:hAnsi="Bookman Old Style"/>
          <w:i/>
        </w:rPr>
      </w:pPr>
    </w:p>
    <w:p w14:paraId="1D19381C" w14:textId="77777777" w:rsidR="000E4D7D" w:rsidRPr="00D578DE" w:rsidRDefault="000E4D7D" w:rsidP="000E4D7D">
      <w:pPr>
        <w:tabs>
          <w:tab w:val="left" w:pos="851"/>
        </w:tabs>
        <w:ind w:left="851"/>
        <w:jc w:val="both"/>
        <w:rPr>
          <w:rFonts w:ascii="Bookman Old Style" w:hAnsi="Bookman Old Style"/>
          <w:i/>
        </w:rPr>
      </w:pPr>
      <w:r>
        <w:rPr>
          <w:rFonts w:ascii="Bookman Old Style" w:hAnsi="Bookman Old Style"/>
          <w:i/>
        </w:rPr>
        <w:t xml:space="preserve">En el caso de que el agente aplique contratos de ocasión, el agente considerará como costo CSC y CTC el valor del contrato de ocasión, incrementado en un 50% de la diferencia positiva entre el precio del contrato principal y el precio del contrato de ocasión. En ningún caso, el precio del contrato de ocasión declarado más el incremento podrá ser superior al precio del contrato principal.  </w:t>
      </w:r>
    </w:p>
    <w:p w14:paraId="6B8A4D3B" w14:textId="77777777" w:rsidR="000E4D7D" w:rsidRPr="00BC3239" w:rsidRDefault="000E4D7D" w:rsidP="000E4D7D">
      <w:pPr>
        <w:tabs>
          <w:tab w:val="left" w:pos="851"/>
        </w:tabs>
        <w:ind w:left="851"/>
        <w:jc w:val="both"/>
        <w:rPr>
          <w:rFonts w:ascii="Bookman Old Style" w:hAnsi="Bookman Old Style"/>
          <w:i/>
        </w:rPr>
      </w:pPr>
    </w:p>
    <w:p w14:paraId="33C1C014" w14:textId="77777777" w:rsidR="000E4D7D" w:rsidRDefault="000E4D7D" w:rsidP="000E4D7D">
      <w:pPr>
        <w:tabs>
          <w:tab w:val="left" w:pos="851"/>
        </w:tabs>
        <w:ind w:left="851"/>
        <w:jc w:val="both"/>
        <w:rPr>
          <w:rFonts w:ascii="Bookman Old Style" w:hAnsi="Bookman Old Style"/>
          <w:i/>
        </w:rPr>
      </w:pPr>
      <w:r w:rsidRPr="001814D0">
        <w:rPr>
          <w:rFonts w:ascii="Bookman Old Style" w:hAnsi="Bookman Old Style"/>
          <w:i/>
        </w:rPr>
        <w:t xml:space="preserve">En el caso de </w:t>
      </w:r>
      <w:r>
        <w:rPr>
          <w:rFonts w:ascii="Bookman Old Style" w:hAnsi="Bookman Old Style"/>
          <w:i/>
        </w:rPr>
        <w:t>los combustibles que les aplique la metodología 2</w:t>
      </w:r>
      <w:r w:rsidRPr="001814D0">
        <w:rPr>
          <w:rFonts w:ascii="Bookman Old Style" w:hAnsi="Bookman Old Style"/>
          <w:i/>
        </w:rPr>
        <w:t>, el CSC incluye el costo variable de transporte</w:t>
      </w:r>
      <w:r>
        <w:rPr>
          <w:rFonts w:ascii="Bookman Old Style" w:hAnsi="Bookman Old Style"/>
          <w:i/>
        </w:rPr>
        <w:t>, con excepción del GNI que se le aplicará lo definido en la metodología 1 para el caso del transporte</w:t>
      </w:r>
      <w:r w:rsidRPr="001814D0">
        <w:rPr>
          <w:rFonts w:ascii="Bookman Old Style" w:hAnsi="Bookman Old Style"/>
          <w:i/>
        </w:rPr>
        <w:t>.</w:t>
      </w:r>
    </w:p>
    <w:p w14:paraId="2AF28B9F" w14:textId="77777777" w:rsidR="000E4D7D" w:rsidRDefault="000E4D7D" w:rsidP="000E4D7D">
      <w:pPr>
        <w:tabs>
          <w:tab w:val="left" w:pos="851"/>
        </w:tabs>
        <w:ind w:left="851"/>
        <w:jc w:val="both"/>
        <w:rPr>
          <w:rFonts w:ascii="Bookman Old Style" w:hAnsi="Bookman Old Style"/>
          <w:i/>
        </w:rPr>
      </w:pPr>
    </w:p>
    <w:p w14:paraId="35E309C3" w14:textId="77777777" w:rsidR="000E4D7D" w:rsidRDefault="000E4D7D" w:rsidP="000E4D7D">
      <w:pPr>
        <w:tabs>
          <w:tab w:val="left" w:pos="851"/>
        </w:tabs>
        <w:ind w:left="851"/>
        <w:jc w:val="both"/>
        <w:rPr>
          <w:rFonts w:ascii="Bookman Old Style" w:hAnsi="Bookman Old Style"/>
          <w:i/>
        </w:rPr>
      </w:pPr>
      <w:r>
        <w:rPr>
          <w:rFonts w:ascii="Bookman Old Style" w:hAnsi="Bookman Old Style"/>
          <w:i/>
        </w:rPr>
        <w:t>Para el caso de que una planta de generación opere con combustibles diferentes, de tal forma que se encuentran en los grupos de la metodología 1 y la metodología 2, se le aplicará la metodología respectiva a cada combustible.</w:t>
      </w:r>
    </w:p>
    <w:p w14:paraId="61FA3DC0" w14:textId="77777777" w:rsidR="000E4D7D" w:rsidRDefault="000E4D7D" w:rsidP="000E4D7D">
      <w:pPr>
        <w:jc w:val="both"/>
        <w:rPr>
          <w:rFonts w:ascii="Bookman Old Style" w:hAnsi="Bookman Old Style"/>
          <w:i/>
        </w:rPr>
      </w:pPr>
    </w:p>
    <w:p w14:paraId="581FECA1" w14:textId="77777777" w:rsidR="000E4D7D" w:rsidRPr="002C45E1" w:rsidRDefault="000E4D7D" w:rsidP="000E4D7D">
      <w:pPr>
        <w:jc w:val="both"/>
        <w:rPr>
          <w:rFonts w:ascii="Bookman Old Style" w:hAnsi="Bookman Old Style"/>
          <w:b/>
          <w:bCs/>
          <w:i/>
          <w:iCs/>
        </w:rPr>
      </w:pPr>
      <w:r w:rsidRPr="002C45E1">
        <w:rPr>
          <w:rFonts w:ascii="Bookman Old Style" w:hAnsi="Bookman Old Style"/>
          <w:b/>
          <w:bCs/>
          <w:i/>
          <w:iCs/>
        </w:rPr>
        <w:t>1.</w:t>
      </w:r>
      <w:r>
        <w:rPr>
          <w:rFonts w:ascii="Bookman Old Style" w:hAnsi="Bookman Old Style"/>
          <w:b/>
          <w:bCs/>
          <w:i/>
          <w:iCs/>
        </w:rPr>
        <w:t>2</w:t>
      </w:r>
      <w:r w:rsidRPr="002C45E1">
        <w:rPr>
          <w:rFonts w:ascii="Bookman Old Style" w:hAnsi="Bookman Old Style"/>
          <w:b/>
          <w:bCs/>
          <w:i/>
          <w:iCs/>
        </w:rPr>
        <w:t xml:space="preserve"> </w:t>
      </w:r>
      <w:r>
        <w:rPr>
          <w:rFonts w:ascii="Bookman Old Style" w:hAnsi="Bookman Old Style"/>
          <w:b/>
          <w:bCs/>
          <w:i/>
          <w:iCs/>
        </w:rPr>
        <w:t>Facturación de la reconciliación positiva</w:t>
      </w:r>
    </w:p>
    <w:p w14:paraId="5BC5BC52" w14:textId="77777777" w:rsidR="000E4D7D" w:rsidRDefault="000E4D7D" w:rsidP="000E4D7D">
      <w:pPr>
        <w:jc w:val="both"/>
        <w:rPr>
          <w:rFonts w:ascii="Bookman Old Style" w:hAnsi="Bookman Old Style"/>
          <w:i/>
        </w:rPr>
      </w:pPr>
    </w:p>
    <w:p w14:paraId="4BD67BD7" w14:textId="77777777" w:rsidR="000E4D7D" w:rsidRDefault="000E4D7D" w:rsidP="000E4D7D">
      <w:pPr>
        <w:jc w:val="both"/>
        <w:rPr>
          <w:rFonts w:ascii="Bookman Old Style" w:hAnsi="Bookman Old Style"/>
          <w:i/>
        </w:rPr>
      </w:pPr>
      <w:r>
        <w:rPr>
          <w:rFonts w:ascii="Bookman Old Style" w:hAnsi="Bookman Old Style"/>
          <w:i/>
        </w:rPr>
        <w:t>La facturación que se adelanta en el mes m+1 de la Reconciliación Positiva del mes m, se hará con los precios declarados, si no se han reportado las facturas. En el mes m+2 se harán los ajustes a la facturación de la Reconciliación Positiva del mes m, considerando los reportes de los agentes al ASIC de la CSC y CTC en COP/MBTU de acuerdo con la factura real pagada por el agente generador, declaración que se realizará en los formatos definidos por el ASIC.</w:t>
      </w:r>
    </w:p>
    <w:p w14:paraId="7E59D014" w14:textId="77777777" w:rsidR="000E4D7D" w:rsidRDefault="000E4D7D" w:rsidP="000E4D7D">
      <w:pPr>
        <w:jc w:val="both"/>
        <w:rPr>
          <w:rFonts w:ascii="Bookman Old Style" w:hAnsi="Bookman Old Style"/>
          <w:i/>
        </w:rPr>
      </w:pPr>
    </w:p>
    <w:p w14:paraId="56907B76" w14:textId="77777777" w:rsidR="000E4D7D" w:rsidRPr="00065DB0" w:rsidRDefault="000E4D7D" w:rsidP="000E4D7D">
      <w:pPr>
        <w:pStyle w:val="Prrafodelista"/>
        <w:numPr>
          <w:ilvl w:val="0"/>
          <w:numId w:val="27"/>
        </w:numPr>
        <w:jc w:val="both"/>
        <w:rPr>
          <w:rFonts w:ascii="Bookman Old Style" w:hAnsi="Bookman Old Style"/>
          <w:b/>
          <w:bCs/>
          <w:i/>
          <w:iCs/>
          <w:sz w:val="24"/>
          <w:szCs w:val="24"/>
        </w:rPr>
      </w:pPr>
      <w:r w:rsidRPr="00C54996">
        <w:rPr>
          <w:rFonts w:ascii="Bookman Old Style" w:hAnsi="Bookman Old Style"/>
          <w:b/>
          <w:bCs/>
          <w:i/>
          <w:iCs/>
          <w:sz w:val="24"/>
          <w:szCs w:val="24"/>
        </w:rPr>
        <w:t xml:space="preserve">Costos de </w:t>
      </w:r>
      <w:r>
        <w:rPr>
          <w:rFonts w:ascii="Bookman Old Style" w:hAnsi="Bookman Old Style"/>
          <w:b/>
          <w:bCs/>
          <w:i/>
          <w:iCs/>
          <w:sz w:val="24"/>
          <w:szCs w:val="24"/>
        </w:rPr>
        <w:t>operación y mantenimiento (COM)</w:t>
      </w:r>
      <w:r w:rsidRPr="00C54996">
        <w:rPr>
          <w:rFonts w:ascii="Bookman Old Style" w:hAnsi="Bookman Old Style"/>
          <w:b/>
          <w:bCs/>
          <w:i/>
          <w:iCs/>
          <w:sz w:val="24"/>
          <w:szCs w:val="24"/>
        </w:rPr>
        <w:t>.</w:t>
      </w:r>
      <w:r>
        <w:rPr>
          <w:rFonts w:ascii="Bookman Old Style" w:hAnsi="Bookman Old Style"/>
          <w:b/>
          <w:bCs/>
          <w:i/>
          <w:iCs/>
          <w:sz w:val="24"/>
          <w:szCs w:val="24"/>
        </w:rPr>
        <w:t xml:space="preserve"> </w:t>
      </w:r>
      <w:r>
        <w:rPr>
          <w:rFonts w:ascii="Bookman Old Style" w:hAnsi="Bookman Old Style"/>
          <w:i/>
          <w:iCs/>
          <w:sz w:val="24"/>
          <w:szCs w:val="24"/>
        </w:rPr>
        <w:t>Es la parte variable del costo de operación y mantenimiento, expresado en COP/</w:t>
      </w:r>
      <w:proofErr w:type="spellStart"/>
      <w:r>
        <w:rPr>
          <w:rFonts w:ascii="Bookman Old Style" w:hAnsi="Bookman Old Style"/>
          <w:i/>
          <w:iCs/>
          <w:sz w:val="24"/>
          <w:szCs w:val="24"/>
        </w:rPr>
        <w:t>MWh</w:t>
      </w:r>
      <w:proofErr w:type="spellEnd"/>
      <w:r>
        <w:rPr>
          <w:rFonts w:ascii="Bookman Old Style" w:hAnsi="Bookman Old Style"/>
          <w:i/>
          <w:iCs/>
          <w:sz w:val="24"/>
          <w:szCs w:val="24"/>
        </w:rPr>
        <w:t>, fijado en los siguientes valores, por tipo de tecnología:</w:t>
      </w:r>
    </w:p>
    <w:p w14:paraId="7FDD42CB" w14:textId="77777777" w:rsidR="000E4D7D" w:rsidRDefault="000E4D7D" w:rsidP="000E4D7D">
      <w:pPr>
        <w:jc w:val="both"/>
        <w:rPr>
          <w:rFonts w:ascii="Bookman Old Style" w:hAnsi="Bookman Old Style"/>
          <w:b/>
          <w:bCs/>
          <w:i/>
          <w:iC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423"/>
      </w:tblGrid>
      <w:tr w:rsidR="000E4D7D" w14:paraId="7757D7E2" w14:textId="77777777">
        <w:tc>
          <w:tcPr>
            <w:tcW w:w="4673" w:type="dxa"/>
          </w:tcPr>
          <w:p w14:paraId="66585949" w14:textId="77777777" w:rsidR="000E4D7D" w:rsidRPr="00BA52F2" w:rsidRDefault="000E4D7D">
            <w:pPr>
              <w:ind w:left="0"/>
              <w:jc w:val="center"/>
              <w:rPr>
                <w:rFonts w:ascii="Bookman Old Style" w:hAnsi="Bookman Old Style"/>
                <w:b/>
                <w:bCs/>
                <w:i/>
                <w:iCs/>
              </w:rPr>
            </w:pPr>
            <w:r w:rsidRPr="00BA52F2">
              <w:rPr>
                <w:rFonts w:ascii="Bookman Old Style" w:hAnsi="Bookman Old Style"/>
                <w:b/>
                <w:bCs/>
                <w:i/>
                <w:iCs/>
              </w:rPr>
              <w:t>Tecnología</w:t>
            </w:r>
          </w:p>
        </w:tc>
        <w:tc>
          <w:tcPr>
            <w:tcW w:w="4673" w:type="dxa"/>
          </w:tcPr>
          <w:p w14:paraId="666622F4" w14:textId="77777777" w:rsidR="000E4D7D" w:rsidRPr="00BA52F2" w:rsidRDefault="000E4D7D">
            <w:pPr>
              <w:ind w:left="0"/>
              <w:jc w:val="center"/>
              <w:rPr>
                <w:rFonts w:ascii="Bookman Old Style" w:hAnsi="Bookman Old Style"/>
                <w:b/>
                <w:bCs/>
                <w:i/>
                <w:iCs/>
              </w:rPr>
            </w:pPr>
            <w:r w:rsidRPr="00BA52F2">
              <w:rPr>
                <w:rFonts w:ascii="Bookman Old Style" w:hAnsi="Bookman Old Style"/>
                <w:b/>
                <w:bCs/>
                <w:i/>
                <w:iCs/>
              </w:rPr>
              <w:t>COM (</w:t>
            </w:r>
            <w:proofErr w:type="spellStart"/>
            <w:r>
              <w:rPr>
                <w:rFonts w:ascii="Bookman Old Style" w:hAnsi="Bookman Old Style"/>
                <w:b/>
                <w:bCs/>
                <w:i/>
                <w:iCs/>
              </w:rPr>
              <w:t>COP</w:t>
            </w:r>
            <w:r w:rsidRPr="00BA52F2">
              <w:rPr>
                <w:rFonts w:ascii="Bookman Old Style" w:hAnsi="Bookman Old Style"/>
                <w:b/>
                <w:bCs/>
                <w:i/>
                <w:iCs/>
                <w:vertAlign w:val="subscript"/>
              </w:rPr>
              <w:t>Dic</w:t>
            </w:r>
            <w:proofErr w:type="spellEnd"/>
            <w:r w:rsidRPr="00BA52F2">
              <w:rPr>
                <w:rFonts w:ascii="Bookman Old Style" w:hAnsi="Bookman Old Style"/>
                <w:b/>
                <w:bCs/>
                <w:i/>
                <w:iCs/>
                <w:vertAlign w:val="subscript"/>
              </w:rPr>
              <w:t>/2019</w:t>
            </w:r>
            <w:r w:rsidRPr="00BA52F2">
              <w:rPr>
                <w:rFonts w:ascii="Bookman Old Style" w:hAnsi="Bookman Old Style"/>
                <w:b/>
                <w:bCs/>
                <w:i/>
                <w:iCs/>
              </w:rPr>
              <w:t>/</w:t>
            </w:r>
            <w:proofErr w:type="spellStart"/>
            <w:r w:rsidRPr="00BA52F2">
              <w:rPr>
                <w:rFonts w:ascii="Bookman Old Style" w:hAnsi="Bookman Old Style"/>
                <w:b/>
                <w:bCs/>
                <w:i/>
                <w:iCs/>
              </w:rPr>
              <w:t>MWh</w:t>
            </w:r>
            <w:proofErr w:type="spellEnd"/>
            <w:r w:rsidRPr="00BA52F2">
              <w:rPr>
                <w:rFonts w:ascii="Bookman Old Style" w:hAnsi="Bookman Old Style"/>
                <w:b/>
                <w:bCs/>
                <w:i/>
                <w:iCs/>
              </w:rPr>
              <w:t>)</w:t>
            </w:r>
          </w:p>
        </w:tc>
      </w:tr>
      <w:tr w:rsidR="000E4D7D" w14:paraId="47FD2E64" w14:textId="77777777">
        <w:tc>
          <w:tcPr>
            <w:tcW w:w="4673" w:type="dxa"/>
          </w:tcPr>
          <w:p w14:paraId="0001F2DD"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Térmica a Gas</w:t>
            </w:r>
          </w:p>
        </w:tc>
        <w:tc>
          <w:tcPr>
            <w:tcW w:w="4673" w:type="dxa"/>
          </w:tcPr>
          <w:p w14:paraId="65CEC234"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11.999</w:t>
            </w:r>
          </w:p>
        </w:tc>
      </w:tr>
      <w:tr w:rsidR="000E4D7D" w14:paraId="7871ED66" w14:textId="77777777">
        <w:tc>
          <w:tcPr>
            <w:tcW w:w="4673" w:type="dxa"/>
          </w:tcPr>
          <w:p w14:paraId="56E99070"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Térmica a Carbón</w:t>
            </w:r>
          </w:p>
        </w:tc>
        <w:tc>
          <w:tcPr>
            <w:tcW w:w="4673" w:type="dxa"/>
          </w:tcPr>
          <w:p w14:paraId="5956F7EC"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24.602</w:t>
            </w:r>
          </w:p>
        </w:tc>
      </w:tr>
      <w:tr w:rsidR="000E4D7D" w14:paraId="2584125A" w14:textId="77777777">
        <w:tc>
          <w:tcPr>
            <w:tcW w:w="4673" w:type="dxa"/>
          </w:tcPr>
          <w:p w14:paraId="45AD6BFF"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Térmica Otros Combustibles</w:t>
            </w:r>
          </w:p>
        </w:tc>
        <w:tc>
          <w:tcPr>
            <w:tcW w:w="4673" w:type="dxa"/>
          </w:tcPr>
          <w:p w14:paraId="2914FEEA" w14:textId="77777777" w:rsidR="000E4D7D" w:rsidRPr="00065DB0" w:rsidRDefault="000E4D7D">
            <w:pPr>
              <w:ind w:left="0"/>
              <w:jc w:val="center"/>
              <w:rPr>
                <w:rFonts w:ascii="Bookman Old Style" w:hAnsi="Bookman Old Style"/>
                <w:i/>
                <w:iCs/>
              </w:rPr>
            </w:pPr>
            <w:r w:rsidRPr="00065DB0">
              <w:rPr>
                <w:rFonts w:ascii="Bookman Old Style" w:hAnsi="Bookman Old Style"/>
                <w:i/>
                <w:iCs/>
              </w:rPr>
              <w:t>18.302</w:t>
            </w:r>
          </w:p>
        </w:tc>
      </w:tr>
    </w:tbl>
    <w:p w14:paraId="56C0DB23" w14:textId="77777777" w:rsidR="000E4D7D" w:rsidRPr="00065DB0" w:rsidRDefault="000E4D7D" w:rsidP="000E4D7D">
      <w:pPr>
        <w:jc w:val="both"/>
        <w:rPr>
          <w:rFonts w:ascii="Bookman Old Style" w:hAnsi="Bookman Old Style"/>
          <w:b/>
          <w:bCs/>
          <w:i/>
          <w:iCs/>
        </w:rPr>
      </w:pPr>
    </w:p>
    <w:p w14:paraId="3FA3C2C1" w14:textId="77777777" w:rsidR="000E4D7D" w:rsidRDefault="000E4D7D" w:rsidP="000E4D7D">
      <w:pPr>
        <w:jc w:val="both"/>
        <w:rPr>
          <w:rFonts w:ascii="Bookman Old Style" w:hAnsi="Bookman Old Style"/>
          <w:i/>
        </w:rPr>
      </w:pPr>
      <w:r>
        <w:rPr>
          <w:rFonts w:ascii="Bookman Old Style" w:hAnsi="Bookman Old Style"/>
          <w:i/>
        </w:rPr>
        <w:t>El COM se actualizará mensualmente con el último IPC disponible al momento de la liquidación.</w:t>
      </w:r>
    </w:p>
    <w:p w14:paraId="08733551" w14:textId="77777777" w:rsidR="000E4D7D" w:rsidRDefault="000E4D7D" w:rsidP="000E4D7D">
      <w:pPr>
        <w:jc w:val="both"/>
        <w:rPr>
          <w:rFonts w:ascii="Bookman Old Style" w:hAnsi="Bookman Old Style"/>
          <w:i/>
        </w:rPr>
      </w:pPr>
    </w:p>
    <w:p w14:paraId="076ECD58" w14:textId="77777777" w:rsidR="000E4D7D" w:rsidRDefault="000E4D7D" w:rsidP="000E4D7D">
      <w:pPr>
        <w:pStyle w:val="Prrafodelista"/>
        <w:numPr>
          <w:ilvl w:val="0"/>
          <w:numId w:val="27"/>
        </w:numPr>
        <w:jc w:val="both"/>
        <w:rPr>
          <w:rFonts w:ascii="Bookman Old Style" w:hAnsi="Bookman Old Style"/>
          <w:i/>
          <w:spacing w:val="-3"/>
          <w:sz w:val="24"/>
          <w:szCs w:val="24"/>
        </w:rPr>
      </w:pPr>
      <w:r w:rsidRPr="005E4B09">
        <w:rPr>
          <w:rFonts w:ascii="Bookman Old Style" w:hAnsi="Bookman Old Style"/>
          <w:b/>
          <w:bCs/>
          <w:i/>
          <w:spacing w:val="-3"/>
          <w:sz w:val="24"/>
          <w:szCs w:val="24"/>
        </w:rPr>
        <w:t>Otros costos variables (OCV)</w:t>
      </w:r>
      <w:r>
        <w:rPr>
          <w:rFonts w:ascii="Bookman Old Style" w:hAnsi="Bookman Old Style"/>
          <w:i/>
          <w:spacing w:val="-3"/>
          <w:sz w:val="24"/>
          <w:szCs w:val="24"/>
        </w:rPr>
        <w:t xml:space="preserve">. Corresponde a los siguientes costos variables calculados por el </w:t>
      </w:r>
      <w:proofErr w:type="spellStart"/>
      <w:r>
        <w:rPr>
          <w:rFonts w:ascii="Bookman Old Style" w:hAnsi="Bookman Old Style"/>
          <w:i/>
          <w:spacing w:val="-3"/>
          <w:sz w:val="24"/>
          <w:szCs w:val="24"/>
        </w:rPr>
        <w:t>ASIC</w:t>
      </w:r>
      <w:proofErr w:type="spellEnd"/>
      <w:r>
        <w:rPr>
          <w:rFonts w:ascii="Bookman Old Style" w:hAnsi="Bookman Old Style"/>
          <w:i/>
          <w:spacing w:val="-3"/>
          <w:sz w:val="24"/>
          <w:szCs w:val="24"/>
        </w:rPr>
        <w:t>, expresado en COP/</w:t>
      </w:r>
      <w:proofErr w:type="spellStart"/>
      <w:r>
        <w:rPr>
          <w:rFonts w:ascii="Bookman Old Style" w:hAnsi="Bookman Old Style"/>
          <w:i/>
          <w:spacing w:val="-3"/>
          <w:sz w:val="24"/>
          <w:szCs w:val="24"/>
        </w:rPr>
        <w:t>MWh</w:t>
      </w:r>
      <w:proofErr w:type="spellEnd"/>
      <w:r>
        <w:rPr>
          <w:rFonts w:ascii="Bookman Old Style" w:hAnsi="Bookman Old Style"/>
          <w:i/>
          <w:spacing w:val="-3"/>
          <w:sz w:val="24"/>
          <w:szCs w:val="24"/>
        </w:rPr>
        <w:t>:</w:t>
      </w:r>
    </w:p>
    <w:p w14:paraId="40C86596" w14:textId="77777777" w:rsidR="000E4D7D" w:rsidRDefault="000E4D7D" w:rsidP="000E4D7D">
      <w:pPr>
        <w:jc w:val="both"/>
        <w:rPr>
          <w:rFonts w:ascii="Bookman Old Style" w:hAnsi="Bookman Old Style"/>
          <w:i/>
          <w:spacing w:val="-3"/>
        </w:rPr>
      </w:pPr>
    </w:p>
    <w:p w14:paraId="62EE034E" w14:textId="77777777" w:rsidR="000E4D7D" w:rsidRDefault="000E4D7D" w:rsidP="000E4D7D">
      <w:pPr>
        <w:pStyle w:val="Prrafodelista"/>
        <w:numPr>
          <w:ilvl w:val="0"/>
          <w:numId w:val="26"/>
        </w:numPr>
        <w:jc w:val="both"/>
        <w:rPr>
          <w:rFonts w:ascii="Bookman Old Style" w:hAnsi="Bookman Old Style"/>
          <w:i/>
          <w:spacing w:val="-3"/>
          <w:sz w:val="24"/>
          <w:szCs w:val="24"/>
        </w:rPr>
      </w:pPr>
      <w:r>
        <w:rPr>
          <w:rFonts w:ascii="Bookman Old Style" w:hAnsi="Bookman Old Style"/>
          <w:i/>
          <w:spacing w:val="-3"/>
          <w:sz w:val="24"/>
          <w:szCs w:val="24"/>
        </w:rPr>
        <w:t>CEE (CERE);</w:t>
      </w:r>
    </w:p>
    <w:p w14:paraId="6001C30A" w14:textId="77777777" w:rsidR="000E4D7D" w:rsidRDefault="000E4D7D" w:rsidP="000E4D7D">
      <w:pPr>
        <w:pStyle w:val="Prrafodelista"/>
        <w:numPr>
          <w:ilvl w:val="0"/>
          <w:numId w:val="26"/>
        </w:numPr>
        <w:jc w:val="both"/>
        <w:rPr>
          <w:rFonts w:ascii="Bookman Old Style" w:hAnsi="Bookman Old Style"/>
          <w:i/>
          <w:spacing w:val="-3"/>
          <w:sz w:val="24"/>
          <w:szCs w:val="24"/>
        </w:rPr>
      </w:pPr>
      <w:r>
        <w:rPr>
          <w:rFonts w:ascii="Bookman Old Style" w:hAnsi="Bookman Old Style"/>
          <w:i/>
          <w:spacing w:val="-3"/>
          <w:sz w:val="24"/>
          <w:szCs w:val="24"/>
        </w:rPr>
        <w:t>FAZNI;</w:t>
      </w:r>
    </w:p>
    <w:p w14:paraId="3EA45291" w14:textId="77777777" w:rsidR="000E4D7D" w:rsidRDefault="000E4D7D" w:rsidP="000E4D7D">
      <w:pPr>
        <w:pStyle w:val="Prrafodelista"/>
        <w:numPr>
          <w:ilvl w:val="0"/>
          <w:numId w:val="26"/>
        </w:numPr>
        <w:jc w:val="both"/>
        <w:rPr>
          <w:rFonts w:ascii="Bookman Old Style" w:hAnsi="Bookman Old Style"/>
          <w:i/>
          <w:spacing w:val="-3"/>
          <w:sz w:val="24"/>
          <w:szCs w:val="24"/>
        </w:rPr>
      </w:pPr>
      <w:r>
        <w:rPr>
          <w:rFonts w:ascii="Bookman Old Style" w:hAnsi="Bookman Old Style"/>
          <w:i/>
          <w:spacing w:val="-3"/>
          <w:sz w:val="24"/>
          <w:szCs w:val="24"/>
        </w:rPr>
        <w:t>Aportes Ley 99 de 1993;</w:t>
      </w:r>
    </w:p>
    <w:p w14:paraId="410048C9" w14:textId="77777777" w:rsidR="000E4D7D" w:rsidRPr="005E4B09" w:rsidRDefault="000E4D7D" w:rsidP="000E4D7D">
      <w:pPr>
        <w:pStyle w:val="Prrafodelista"/>
        <w:numPr>
          <w:ilvl w:val="0"/>
          <w:numId w:val="26"/>
        </w:numPr>
        <w:jc w:val="both"/>
        <w:rPr>
          <w:rFonts w:ascii="Bookman Old Style" w:hAnsi="Bookman Old Style"/>
          <w:i/>
          <w:spacing w:val="-3"/>
          <w:sz w:val="24"/>
          <w:szCs w:val="24"/>
        </w:rPr>
      </w:pPr>
      <w:r>
        <w:rPr>
          <w:rFonts w:ascii="Bookman Old Style" w:hAnsi="Bookman Old Style"/>
          <w:i/>
          <w:spacing w:val="-3"/>
          <w:sz w:val="24"/>
          <w:szCs w:val="24"/>
        </w:rPr>
        <w:t>Costo unitario por servicio de AGC, descontando la parte correspondiente de la reconciliación negativa, según se define en el artículo 3 de la Resolución CREG 063 de 2000, proporcional a la generación programada del agente (estimado y luego corregido con asignación real).</w:t>
      </w:r>
    </w:p>
    <w:p w14:paraId="42F52521" w14:textId="77777777" w:rsidR="000E4D7D" w:rsidRDefault="000E4D7D" w:rsidP="000E4D7D">
      <w:pPr>
        <w:ind w:left="708"/>
        <w:jc w:val="both"/>
        <w:rPr>
          <w:rFonts w:ascii="Bookman Old Style" w:hAnsi="Bookman Old Style"/>
          <w:i/>
          <w:spacing w:val="-3"/>
        </w:rPr>
      </w:pPr>
    </w:p>
    <w:p w14:paraId="519E4239" w14:textId="77777777" w:rsidR="000E4D7D" w:rsidRDefault="000E4D7D" w:rsidP="000E4D7D">
      <w:pPr>
        <w:pStyle w:val="Prrafodelista"/>
        <w:numPr>
          <w:ilvl w:val="0"/>
          <w:numId w:val="27"/>
        </w:numPr>
        <w:jc w:val="both"/>
        <w:rPr>
          <w:rFonts w:ascii="Bookman Old Style" w:hAnsi="Bookman Old Style"/>
          <w:i/>
          <w:sz w:val="24"/>
          <w:szCs w:val="24"/>
        </w:rPr>
      </w:pPr>
      <w:r w:rsidRPr="005E4B09">
        <w:rPr>
          <w:rFonts w:ascii="Bookman Old Style" w:hAnsi="Bookman Old Style"/>
          <w:b/>
          <w:bCs/>
          <w:i/>
          <w:sz w:val="24"/>
          <w:szCs w:val="24"/>
        </w:rPr>
        <w:t>Precio de reconciliación positiva</w:t>
      </w:r>
      <w:r>
        <w:rPr>
          <w:rFonts w:ascii="Bookman Old Style" w:hAnsi="Bookman Old Style"/>
          <w:i/>
          <w:sz w:val="24"/>
          <w:szCs w:val="24"/>
        </w:rPr>
        <w:t>. El precio de reconciliación positiva de un generador térmico será igual a:</w:t>
      </w:r>
    </w:p>
    <w:p w14:paraId="3F5F5960" w14:textId="77777777" w:rsidR="000E4D7D" w:rsidRPr="005E4B09" w:rsidRDefault="000E4D7D" w:rsidP="000E4D7D">
      <w:pPr>
        <w:jc w:val="both"/>
        <w:rPr>
          <w:rFonts w:ascii="Bookman Old Style" w:hAnsi="Bookman Old Style"/>
          <w:i/>
        </w:rPr>
      </w:pPr>
    </w:p>
    <w:p w14:paraId="47F49B74" w14:textId="22D6678A" w:rsidR="000E4D7D" w:rsidRDefault="000E4D7D" w:rsidP="000E4D7D">
      <w:pPr>
        <w:jc w:val="both"/>
        <w:rPr>
          <w:rFonts w:ascii="Bookman Old Style" w:hAnsi="Bookman Old Style"/>
          <w:i/>
        </w:rPr>
      </w:pPr>
      <m:oMathPara>
        <m:oMath>
          <m:r>
            <w:rPr>
              <w:rFonts w:ascii="Cambria Math" w:hAnsi="Cambria Math"/>
            </w:rPr>
            <m:t>PR=Min</m:t>
          </m:r>
          <m:d>
            <m:dPr>
              <m:begChr m:val="["/>
              <m:endChr m:val="]"/>
              <m:ctrlPr>
                <w:rPr>
                  <w:rFonts w:ascii="Cambria Math" w:hAnsi="Cambria Math"/>
                  <w:i/>
                </w:rPr>
              </m:ctrlPr>
            </m:dPr>
            <m:e>
              <m:d>
                <m:dPr>
                  <m:ctrlPr>
                    <w:rPr>
                      <w:rFonts w:ascii="Cambria Math" w:hAnsi="Cambria Math"/>
                      <w:i/>
                    </w:rPr>
                  </m:ctrlPr>
                </m:dPr>
                <m:e>
                  <m:r>
                    <w:rPr>
                      <w:rFonts w:ascii="Cambria Math" w:hAnsi="Cambria Math"/>
                    </w:rPr>
                    <m:t>CSC+CTC+COM+OCV</m:t>
                  </m:r>
                </m:e>
              </m:d>
              <m:r>
                <w:rPr>
                  <w:rFonts w:ascii="Cambria Math" w:hAnsi="Cambria Math"/>
                </w:rPr>
                <m:t>;PreciodeOferta</m:t>
              </m:r>
            </m:e>
          </m:d>
          <m:r>
            <w:rPr>
              <w:rFonts w:ascii="Cambria Math" w:hAnsi="Cambria Math"/>
            </w:rPr>
            <m:t>+</m:t>
          </m:r>
          <m:f>
            <m:fPr>
              <m:ctrlPr>
                <w:rPr>
                  <w:rFonts w:ascii="Cambria Math" w:hAnsi="Cambria Math"/>
                  <w:i/>
                </w:rPr>
              </m:ctrlPr>
            </m:fPr>
            <m:num>
              <m:r>
                <w:rPr>
                  <w:rFonts w:ascii="Cambria Math" w:hAnsi="Cambria Math"/>
                </w:rPr>
                <m:t>Par</m:t>
              </m:r>
            </m:num>
            <m:den>
              <m:r>
                <w:rPr>
                  <w:rFonts w:ascii="Cambria Math" w:hAnsi="Cambria Math"/>
                </w:rPr>
                <m:t>GSA</m:t>
              </m:r>
            </m:den>
          </m:f>
        </m:oMath>
      </m:oMathPara>
    </w:p>
    <w:p w14:paraId="0DFC9A58" w14:textId="77777777" w:rsidR="000E4D7D" w:rsidRDefault="000E4D7D" w:rsidP="000E4D7D">
      <w:pPr>
        <w:jc w:val="both"/>
        <w:rPr>
          <w:rFonts w:ascii="Bookman Old Style" w:hAnsi="Bookman Old Style"/>
          <w:i/>
        </w:rPr>
      </w:pPr>
    </w:p>
    <w:p w14:paraId="2EB9D658" w14:textId="77777777" w:rsidR="000E4D7D" w:rsidRDefault="000E4D7D" w:rsidP="000E4D7D">
      <w:pPr>
        <w:jc w:val="both"/>
        <w:rPr>
          <w:rFonts w:ascii="Bookman Old Style" w:hAnsi="Bookman Old Style"/>
          <w:i/>
        </w:rPr>
      </w:pPr>
      <w:r>
        <w:rPr>
          <w:rFonts w:ascii="Bookman Old Style" w:hAnsi="Bookman Old Style"/>
          <w:i/>
        </w:rPr>
        <w:t>Donde</w:t>
      </w:r>
    </w:p>
    <w:p w14:paraId="2A60C689" w14:textId="77777777" w:rsidR="000E4D7D" w:rsidRDefault="000E4D7D" w:rsidP="000E4D7D">
      <w:pPr>
        <w:jc w:val="both"/>
        <w:rPr>
          <w:rFonts w:ascii="Bookman Old Style" w:hAnsi="Bookman Old Style"/>
          <w:i/>
        </w:rPr>
      </w:pPr>
    </w:p>
    <w:tbl>
      <w:tblPr>
        <w:tblStyle w:val="Tablaconcuadrcula"/>
        <w:tblW w:w="87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13"/>
      </w:tblGrid>
      <w:tr w:rsidR="000E4D7D" w14:paraId="7768CF9E" w14:textId="77777777">
        <w:tc>
          <w:tcPr>
            <w:tcW w:w="1271" w:type="dxa"/>
          </w:tcPr>
          <w:p w14:paraId="1470AC52" w14:textId="77777777" w:rsidR="000E4D7D" w:rsidRDefault="000E4D7D" w:rsidP="00C903BB">
            <w:pPr>
              <w:ind w:left="0"/>
              <w:rPr>
                <w:rFonts w:ascii="Bookman Old Style" w:hAnsi="Bookman Old Style"/>
                <w:i/>
              </w:rPr>
            </w:pPr>
            <w:r>
              <w:rPr>
                <w:rFonts w:ascii="Bookman Old Style" w:hAnsi="Bookman Old Style"/>
                <w:i/>
              </w:rPr>
              <w:t>GSA</w:t>
            </w:r>
          </w:p>
        </w:tc>
        <w:tc>
          <w:tcPr>
            <w:tcW w:w="7513" w:type="dxa"/>
          </w:tcPr>
          <w:p w14:paraId="418F91B1" w14:textId="77777777" w:rsidR="000E4D7D" w:rsidRDefault="000E4D7D">
            <w:pPr>
              <w:ind w:left="0"/>
              <w:jc w:val="both"/>
              <w:rPr>
                <w:rFonts w:ascii="Bookman Old Style" w:hAnsi="Bookman Old Style"/>
                <w:i/>
              </w:rPr>
            </w:pPr>
            <w:proofErr w:type="spellStart"/>
            <w:r>
              <w:rPr>
                <w:rFonts w:ascii="Bookman Old Style" w:hAnsi="Bookman Old Style"/>
                <w:i/>
              </w:rPr>
              <w:t>MW’s</w:t>
            </w:r>
            <w:proofErr w:type="spellEnd"/>
            <w:r>
              <w:rPr>
                <w:rFonts w:ascii="Bookman Old Style" w:hAnsi="Bookman Old Style"/>
                <w:i/>
              </w:rPr>
              <w:t xml:space="preserve"> totales de generación de seguridad fuera del despacho ideal durante el día, asociada con dicho arranque.</w:t>
            </w:r>
          </w:p>
          <w:p w14:paraId="3BD50D37" w14:textId="77777777" w:rsidR="000E4D7D" w:rsidRDefault="000E4D7D">
            <w:pPr>
              <w:ind w:left="0"/>
              <w:jc w:val="both"/>
              <w:rPr>
                <w:rFonts w:ascii="Bookman Old Style" w:hAnsi="Bookman Old Style"/>
                <w:i/>
              </w:rPr>
            </w:pPr>
          </w:p>
        </w:tc>
      </w:tr>
      <w:tr w:rsidR="000E4D7D" w14:paraId="4EB41C33" w14:textId="77777777">
        <w:tc>
          <w:tcPr>
            <w:tcW w:w="1271" w:type="dxa"/>
          </w:tcPr>
          <w:p w14:paraId="0AF1DC09" w14:textId="77777777" w:rsidR="000E4D7D" w:rsidRDefault="000E4D7D" w:rsidP="00C903BB">
            <w:pPr>
              <w:ind w:left="0"/>
              <w:rPr>
                <w:rFonts w:ascii="Bookman Old Style" w:hAnsi="Bookman Old Style"/>
                <w:i/>
              </w:rPr>
            </w:pPr>
            <w:r>
              <w:rPr>
                <w:rFonts w:ascii="Bookman Old Style" w:hAnsi="Bookman Old Style"/>
                <w:i/>
              </w:rPr>
              <w:t>Par</w:t>
            </w:r>
          </w:p>
        </w:tc>
        <w:tc>
          <w:tcPr>
            <w:tcW w:w="7513" w:type="dxa"/>
          </w:tcPr>
          <w:p w14:paraId="0C2623E9" w14:textId="6D5A6033" w:rsidR="000E4D7D" w:rsidRDefault="000E4D7D">
            <w:pPr>
              <w:ind w:left="0"/>
              <w:jc w:val="both"/>
              <w:rPr>
                <w:rFonts w:ascii="Bookman Old Style" w:hAnsi="Bookman Old Style"/>
                <w:i/>
              </w:rPr>
            </w:pPr>
            <w:r>
              <w:rPr>
                <w:rFonts w:ascii="Bookman Old Style" w:hAnsi="Bookman Old Style"/>
                <w:i/>
              </w:rPr>
              <w:t xml:space="preserve">Precios de </w:t>
            </w:r>
            <w:r w:rsidR="00DB0A6D">
              <w:rPr>
                <w:rFonts w:ascii="Bookman Old Style" w:hAnsi="Bookman Old Style"/>
                <w:i/>
              </w:rPr>
              <w:t>A</w:t>
            </w:r>
            <w:r>
              <w:rPr>
                <w:rFonts w:ascii="Bookman Old Style" w:hAnsi="Bookman Old Style"/>
                <w:i/>
              </w:rPr>
              <w:t>rranque-</w:t>
            </w:r>
            <w:r w:rsidR="00DB0A6D">
              <w:rPr>
                <w:rFonts w:ascii="Bookman Old Style" w:hAnsi="Bookman Old Style"/>
                <w:i/>
              </w:rPr>
              <w:t>P</w:t>
            </w:r>
            <w:r>
              <w:rPr>
                <w:rFonts w:ascii="Bookman Old Style" w:hAnsi="Bookman Old Style"/>
                <w:i/>
              </w:rPr>
              <w:t>arada ofertado</w:t>
            </w:r>
            <w:r w:rsidR="007D4FAE">
              <w:rPr>
                <w:rFonts w:ascii="Bookman Old Style" w:hAnsi="Bookman Old Style"/>
                <w:i/>
              </w:rPr>
              <w:t>s</w:t>
            </w:r>
            <w:r>
              <w:rPr>
                <w:rFonts w:ascii="Bookman Old Style" w:hAnsi="Bookman Old Style"/>
                <w:i/>
              </w:rPr>
              <w:t xml:space="preserve"> para la </w:t>
            </w:r>
            <w:r w:rsidR="008C208E">
              <w:rPr>
                <w:rFonts w:ascii="Bookman Old Style" w:hAnsi="Bookman Old Style"/>
                <w:i/>
              </w:rPr>
              <w:t>configuración, combustible</w:t>
            </w:r>
            <w:r>
              <w:rPr>
                <w:rFonts w:ascii="Bookman Old Style" w:hAnsi="Bookman Old Style"/>
                <w:i/>
              </w:rPr>
              <w:t xml:space="preserve"> </w:t>
            </w:r>
            <w:r w:rsidR="005B1110">
              <w:rPr>
                <w:rFonts w:ascii="Bookman Old Style" w:hAnsi="Bookman Old Style"/>
                <w:i/>
              </w:rPr>
              <w:t>y</w:t>
            </w:r>
            <w:r w:rsidR="00502B43">
              <w:rPr>
                <w:rFonts w:ascii="Bookman Old Style" w:hAnsi="Bookman Old Style"/>
                <w:i/>
              </w:rPr>
              <w:t xml:space="preserve"> su estado</w:t>
            </w:r>
            <w:r w:rsidR="003F2780">
              <w:rPr>
                <w:rFonts w:ascii="Bookman Old Style" w:hAnsi="Bookman Old Style"/>
                <w:i/>
              </w:rPr>
              <w:t xml:space="preserve"> térmico</w:t>
            </w:r>
            <w:r w:rsidR="00502B43">
              <w:rPr>
                <w:rFonts w:ascii="Bookman Old Style" w:hAnsi="Bookman Old Style"/>
                <w:i/>
              </w:rPr>
              <w:t>,</w:t>
            </w:r>
            <w:r w:rsidR="00B47EE8">
              <w:rPr>
                <w:rFonts w:ascii="Bookman Old Style" w:hAnsi="Bookman Old Style"/>
                <w:i/>
              </w:rPr>
              <w:t xml:space="preserve"> conforme el numeral 3.1 del Anexo Código de Operación </w:t>
            </w:r>
            <w:r w:rsidR="002F4AA4">
              <w:rPr>
                <w:rFonts w:ascii="Bookman Old Style" w:hAnsi="Bookman Old Style"/>
                <w:i/>
              </w:rPr>
              <w:t xml:space="preserve">de la Resolución CREG 025 de 1995 (o todas aquellas que la modifiquen </w:t>
            </w:r>
            <w:r w:rsidR="00CE3F38">
              <w:rPr>
                <w:rFonts w:ascii="Bookman Old Style" w:hAnsi="Bookman Old Style"/>
                <w:i/>
              </w:rPr>
              <w:t>adicionen</w:t>
            </w:r>
            <w:r w:rsidR="002F4AA4">
              <w:rPr>
                <w:rFonts w:ascii="Bookman Old Style" w:hAnsi="Bookman Old Style"/>
                <w:i/>
              </w:rPr>
              <w:t xml:space="preserve"> o sustituyan)</w:t>
            </w:r>
            <w:r w:rsidR="002372C9">
              <w:rPr>
                <w:rFonts w:ascii="Bookman Old Style" w:hAnsi="Bookman Old Style"/>
                <w:i/>
              </w:rPr>
              <w:t>.</w:t>
            </w:r>
          </w:p>
          <w:p w14:paraId="5F9A55E3" w14:textId="77777777" w:rsidR="008037BC" w:rsidRDefault="008037BC">
            <w:pPr>
              <w:ind w:left="0"/>
              <w:jc w:val="both"/>
              <w:rPr>
                <w:rFonts w:ascii="Bookman Old Style" w:hAnsi="Bookman Old Style"/>
                <w:i/>
                <w:lang w:val="es-MX"/>
              </w:rPr>
            </w:pPr>
          </w:p>
          <w:p w14:paraId="1A7FB564" w14:textId="77777777" w:rsidR="000E4D7D" w:rsidRDefault="00F35038">
            <w:pPr>
              <w:ind w:left="0"/>
              <w:jc w:val="both"/>
              <w:rPr>
                <w:rFonts w:ascii="Bookman Old Style" w:hAnsi="Bookman Old Style"/>
                <w:i/>
                <w:lang w:val="es-MX"/>
              </w:rPr>
            </w:pPr>
            <w:r>
              <w:rPr>
                <w:rFonts w:ascii="Bookman Old Style" w:hAnsi="Bookman Old Style"/>
                <w:i/>
                <w:lang w:val="es-MX"/>
              </w:rPr>
              <w:t xml:space="preserve">Será igual a cero si: i) </w:t>
            </w:r>
            <w:r w:rsidR="006101A3">
              <w:rPr>
                <w:rFonts w:ascii="Bookman Old Style" w:hAnsi="Bookman Old Style"/>
                <w:i/>
                <w:lang w:val="es-MX"/>
              </w:rPr>
              <w:t xml:space="preserve">el arranque se ha incluido </w:t>
            </w:r>
            <w:r w:rsidR="00237619">
              <w:rPr>
                <w:rFonts w:ascii="Bookman Old Style" w:hAnsi="Bookman Old Style"/>
                <w:i/>
                <w:lang w:val="es-MX"/>
              </w:rPr>
              <w:t>en el despacho ideal</w:t>
            </w:r>
            <w:r w:rsidR="001971D0">
              <w:rPr>
                <w:rFonts w:ascii="Bookman Old Style" w:hAnsi="Bookman Old Style"/>
                <w:i/>
                <w:lang w:val="es-MX"/>
              </w:rPr>
              <w:t xml:space="preserve"> o </w:t>
            </w:r>
            <w:proofErr w:type="spellStart"/>
            <w:r w:rsidR="00BE32C0">
              <w:rPr>
                <w:rFonts w:ascii="Bookman Old Style" w:hAnsi="Bookman Old Style"/>
                <w:i/>
                <w:lang w:val="es-MX"/>
              </w:rPr>
              <w:t>ii</w:t>
            </w:r>
            <w:proofErr w:type="spellEnd"/>
            <w:r w:rsidR="00BE32C0">
              <w:rPr>
                <w:rFonts w:ascii="Bookman Old Style" w:hAnsi="Bookman Old Style"/>
                <w:i/>
                <w:lang w:val="es-MX"/>
              </w:rPr>
              <w:t xml:space="preserve">) </w:t>
            </w:r>
            <w:r w:rsidR="0069422C">
              <w:rPr>
                <w:rFonts w:ascii="Bookman Old Style" w:hAnsi="Bookman Old Style"/>
                <w:i/>
                <w:lang w:val="es-MX"/>
              </w:rPr>
              <w:t>la planta y/o unidad térmica arrancó desde un día anterior y continúa generando.</w:t>
            </w:r>
          </w:p>
          <w:p w14:paraId="7B92EDA7" w14:textId="420D8652" w:rsidR="000868E0" w:rsidRDefault="000868E0">
            <w:pPr>
              <w:ind w:left="0"/>
              <w:jc w:val="both"/>
              <w:rPr>
                <w:rFonts w:ascii="Bookman Old Style" w:hAnsi="Bookman Old Style"/>
                <w:i/>
              </w:rPr>
            </w:pPr>
          </w:p>
        </w:tc>
      </w:tr>
      <w:tr w:rsidR="00C903BB" w14:paraId="072A8794" w14:textId="77777777">
        <w:tc>
          <w:tcPr>
            <w:tcW w:w="1271" w:type="dxa"/>
          </w:tcPr>
          <w:p w14:paraId="5DA6416B" w14:textId="7912E3F4" w:rsidR="00C903BB" w:rsidRPr="00C903BB" w:rsidRDefault="00C903BB" w:rsidP="00C903BB">
            <w:pPr>
              <w:ind w:left="0"/>
              <w:jc w:val="both"/>
              <w:rPr>
                <w:rFonts w:ascii="Bookman Old Style" w:hAnsi="Bookman Old Style"/>
                <w:i/>
              </w:rPr>
            </w:pPr>
            <w:r w:rsidRPr="00C903BB">
              <w:rPr>
                <w:rFonts w:ascii="Bookman Old Style" w:hAnsi="Bookman Old Style"/>
                <w:i/>
              </w:rPr>
              <w:t>CSC</w:t>
            </w:r>
          </w:p>
        </w:tc>
        <w:tc>
          <w:tcPr>
            <w:tcW w:w="7513" w:type="dxa"/>
          </w:tcPr>
          <w:p w14:paraId="4E289D62" w14:textId="2DBFA057" w:rsidR="00C903BB" w:rsidRDefault="00C903BB" w:rsidP="00C903BB">
            <w:pPr>
              <w:ind w:left="0"/>
              <w:jc w:val="both"/>
              <w:rPr>
                <w:rFonts w:ascii="Bookman Old Style" w:hAnsi="Bookman Old Style"/>
                <w:i/>
              </w:rPr>
            </w:pPr>
            <w:r>
              <w:rPr>
                <w:rFonts w:ascii="Bookman Old Style" w:hAnsi="Bookman Old Style"/>
                <w:i/>
              </w:rPr>
              <w:t>Costo de suministro de combustible</w:t>
            </w:r>
          </w:p>
        </w:tc>
      </w:tr>
      <w:tr w:rsidR="00C903BB" w14:paraId="574F6A07" w14:textId="77777777">
        <w:tc>
          <w:tcPr>
            <w:tcW w:w="1271" w:type="dxa"/>
          </w:tcPr>
          <w:p w14:paraId="78BD9424" w14:textId="60B61E69" w:rsidR="00C903BB" w:rsidRPr="00C903BB" w:rsidRDefault="00C903BB" w:rsidP="00C903BB">
            <w:pPr>
              <w:ind w:left="0"/>
              <w:jc w:val="both"/>
              <w:rPr>
                <w:i/>
              </w:rPr>
            </w:pPr>
            <w:r w:rsidRPr="00C903BB">
              <w:rPr>
                <w:i/>
              </w:rPr>
              <w:t>CTC</w:t>
            </w:r>
          </w:p>
        </w:tc>
        <w:tc>
          <w:tcPr>
            <w:tcW w:w="7513" w:type="dxa"/>
          </w:tcPr>
          <w:p w14:paraId="1BE91175" w14:textId="37D8ABF2" w:rsidR="00C903BB" w:rsidRDefault="00C903BB" w:rsidP="00C903BB">
            <w:pPr>
              <w:ind w:left="0"/>
              <w:jc w:val="both"/>
              <w:rPr>
                <w:rFonts w:ascii="Bookman Old Style" w:hAnsi="Bookman Old Style"/>
                <w:i/>
              </w:rPr>
            </w:pPr>
            <w:r>
              <w:rPr>
                <w:rFonts w:ascii="Bookman Old Style" w:hAnsi="Bookman Old Style"/>
                <w:i/>
              </w:rPr>
              <w:t>Costo de transporte de combustible</w:t>
            </w:r>
          </w:p>
        </w:tc>
      </w:tr>
      <w:tr w:rsidR="00C903BB" w14:paraId="2D5D1DEB" w14:textId="77777777">
        <w:tc>
          <w:tcPr>
            <w:tcW w:w="1271" w:type="dxa"/>
          </w:tcPr>
          <w:p w14:paraId="6B366175" w14:textId="4CA9E173" w:rsidR="00C903BB" w:rsidRPr="00C903BB" w:rsidRDefault="00C903BB" w:rsidP="00C903BB">
            <w:pPr>
              <w:ind w:left="0"/>
              <w:jc w:val="both"/>
              <w:rPr>
                <w:i/>
              </w:rPr>
            </w:pPr>
            <w:r w:rsidRPr="00C903BB">
              <w:rPr>
                <w:i/>
              </w:rPr>
              <w:t>COM</w:t>
            </w:r>
          </w:p>
        </w:tc>
        <w:tc>
          <w:tcPr>
            <w:tcW w:w="7513" w:type="dxa"/>
          </w:tcPr>
          <w:p w14:paraId="2045B5D3" w14:textId="554ECC15" w:rsidR="00C903BB" w:rsidRDefault="00C903BB" w:rsidP="00C903BB">
            <w:pPr>
              <w:ind w:left="0"/>
              <w:jc w:val="both"/>
              <w:rPr>
                <w:rFonts w:ascii="Bookman Old Style" w:hAnsi="Bookman Old Style"/>
                <w:i/>
              </w:rPr>
            </w:pPr>
            <w:r>
              <w:rPr>
                <w:rFonts w:ascii="Bookman Old Style" w:hAnsi="Bookman Old Style"/>
                <w:i/>
              </w:rPr>
              <w:t>Costo de operación y mantenimiento</w:t>
            </w:r>
          </w:p>
        </w:tc>
      </w:tr>
      <w:tr w:rsidR="00C903BB" w14:paraId="37F5FD10" w14:textId="77777777">
        <w:tc>
          <w:tcPr>
            <w:tcW w:w="1271" w:type="dxa"/>
          </w:tcPr>
          <w:p w14:paraId="331A5460" w14:textId="5E4533FC" w:rsidR="00C903BB" w:rsidRPr="00C903BB" w:rsidRDefault="00C903BB" w:rsidP="00C903BB">
            <w:pPr>
              <w:ind w:left="0"/>
              <w:jc w:val="both"/>
              <w:rPr>
                <w:i/>
              </w:rPr>
            </w:pPr>
            <w:r>
              <w:rPr>
                <w:i/>
              </w:rPr>
              <w:t>OCV</w:t>
            </w:r>
          </w:p>
        </w:tc>
        <w:tc>
          <w:tcPr>
            <w:tcW w:w="7513" w:type="dxa"/>
          </w:tcPr>
          <w:p w14:paraId="1423AECF" w14:textId="08A96857" w:rsidR="00C903BB" w:rsidRDefault="00C903BB" w:rsidP="00C903BB">
            <w:pPr>
              <w:ind w:left="0"/>
              <w:jc w:val="both"/>
              <w:rPr>
                <w:rFonts w:ascii="Bookman Old Style" w:hAnsi="Bookman Old Style"/>
                <w:i/>
              </w:rPr>
            </w:pPr>
            <w:r>
              <w:rPr>
                <w:rFonts w:ascii="Bookman Old Style" w:hAnsi="Bookman Old Style"/>
                <w:i/>
              </w:rPr>
              <w:t>Otros costos variables</w:t>
            </w:r>
          </w:p>
        </w:tc>
      </w:tr>
    </w:tbl>
    <w:p w14:paraId="6EAAA62B" w14:textId="77777777" w:rsidR="000E4D7D" w:rsidRDefault="000E4D7D" w:rsidP="000E4D7D">
      <w:pPr>
        <w:jc w:val="both"/>
        <w:rPr>
          <w:rFonts w:ascii="Bookman Old Style" w:hAnsi="Bookman Old Style"/>
          <w:i/>
        </w:rPr>
      </w:pPr>
    </w:p>
    <w:p w14:paraId="23B5B111" w14:textId="77777777" w:rsidR="000E4D7D" w:rsidRDefault="000E4D7D" w:rsidP="000E4D7D">
      <w:pPr>
        <w:jc w:val="both"/>
        <w:rPr>
          <w:rFonts w:ascii="Bookman Old Style" w:hAnsi="Bookman Old Style"/>
          <w:i/>
        </w:rPr>
      </w:pPr>
      <w:r w:rsidRPr="00AB2C18">
        <w:rPr>
          <w:rFonts w:ascii="Bookman Old Style" w:hAnsi="Bookman Old Style"/>
          <w:b/>
          <w:bCs/>
          <w:i/>
        </w:rPr>
        <w:t>Parágrafo 1</w:t>
      </w:r>
      <w:r>
        <w:rPr>
          <w:rFonts w:ascii="Bookman Old Style" w:hAnsi="Bookman Old Style"/>
          <w:i/>
        </w:rPr>
        <w:t>. Las inflexibilidades asociadas con generación de seguridad se liquidarán a precio de reconciliación positiva.</w:t>
      </w:r>
    </w:p>
    <w:p w14:paraId="0C568CF4" w14:textId="77777777" w:rsidR="000E4D7D" w:rsidRDefault="000E4D7D" w:rsidP="000E4D7D">
      <w:pPr>
        <w:jc w:val="both"/>
        <w:rPr>
          <w:rFonts w:ascii="Bookman Old Style" w:hAnsi="Bookman Old Style"/>
          <w:i/>
        </w:rPr>
      </w:pPr>
    </w:p>
    <w:p w14:paraId="6F6A33D2" w14:textId="77777777" w:rsidR="000E4D7D" w:rsidRDefault="000E4D7D" w:rsidP="000E4D7D">
      <w:pPr>
        <w:jc w:val="both"/>
        <w:rPr>
          <w:rFonts w:ascii="Bookman Old Style" w:hAnsi="Bookman Old Style"/>
          <w:i/>
        </w:rPr>
      </w:pPr>
      <w:r w:rsidRPr="001814D0">
        <w:rPr>
          <w:rFonts w:ascii="Bookman Old Style" w:hAnsi="Bookman Old Style"/>
          <w:b/>
          <w:i/>
        </w:rPr>
        <w:t>Parágrafo 2</w:t>
      </w:r>
      <w:r w:rsidRPr="00E30281">
        <w:rPr>
          <w:rFonts w:ascii="Bookman Old Style" w:hAnsi="Bookman Old Style"/>
          <w:bCs/>
          <w:i/>
        </w:rPr>
        <w:t>.</w:t>
      </w:r>
      <w:r w:rsidRPr="001814D0">
        <w:rPr>
          <w:rFonts w:ascii="Bookman Old Style" w:hAnsi="Bookman Old Style"/>
          <w:i/>
        </w:rPr>
        <w:t> De no existir declaración antes de las 9:30 horas del día correspondiente, el ASIC mantendrá los últimos valores declarados por el agente.</w:t>
      </w:r>
    </w:p>
    <w:p w14:paraId="5852EE8E" w14:textId="77777777" w:rsidR="000E4D7D" w:rsidRDefault="000E4D7D" w:rsidP="000E4D7D">
      <w:pPr>
        <w:jc w:val="both"/>
        <w:rPr>
          <w:rFonts w:ascii="Bookman Old Style" w:hAnsi="Bookman Old Style"/>
          <w:i/>
        </w:rPr>
      </w:pPr>
    </w:p>
    <w:p w14:paraId="0096B3C1" w14:textId="77777777" w:rsidR="000E4D7D" w:rsidRDefault="000E4D7D" w:rsidP="000E4D7D">
      <w:pPr>
        <w:jc w:val="both"/>
        <w:rPr>
          <w:rFonts w:ascii="Bookman Old Style" w:hAnsi="Bookman Old Style"/>
          <w:i/>
        </w:rPr>
      </w:pPr>
      <w:r w:rsidRPr="001814D0">
        <w:rPr>
          <w:rFonts w:ascii="Bookman Old Style" w:hAnsi="Bookman Old Style"/>
          <w:i/>
        </w:rPr>
        <w:t xml:space="preserve">De no haber declaración previa de las variables CSC y CTC (en </w:t>
      </w:r>
      <w:r>
        <w:rPr>
          <w:rFonts w:ascii="Bookman Old Style" w:hAnsi="Bookman Old Style"/>
          <w:i/>
        </w:rPr>
        <w:t>COP</w:t>
      </w:r>
      <w:r w:rsidRPr="001814D0">
        <w:rPr>
          <w:rFonts w:ascii="Bookman Old Style" w:hAnsi="Bookman Old Style"/>
          <w:i/>
        </w:rPr>
        <w:t xml:space="preserve">/MBTU) para el combustible </w:t>
      </w:r>
      <w:r>
        <w:rPr>
          <w:rFonts w:ascii="Bookman Old Style" w:hAnsi="Bookman Old Style"/>
          <w:i/>
        </w:rPr>
        <w:t>utilizado</w:t>
      </w:r>
      <w:r w:rsidRPr="001814D0">
        <w:rPr>
          <w:rFonts w:ascii="Bookman Old Style" w:hAnsi="Bookman Old Style"/>
          <w:i/>
        </w:rPr>
        <w:t xml:space="preserve">, el ASIC asumirá como valores declarados cero (0) </w:t>
      </w:r>
      <w:r>
        <w:rPr>
          <w:rFonts w:ascii="Bookman Old Style" w:hAnsi="Bookman Old Style"/>
          <w:i/>
        </w:rPr>
        <w:t>COP</w:t>
      </w:r>
      <w:r w:rsidRPr="001814D0">
        <w:rPr>
          <w:rFonts w:ascii="Bookman Old Style" w:hAnsi="Bookman Old Style"/>
          <w:i/>
        </w:rPr>
        <w:t>/MBTU.</w:t>
      </w:r>
    </w:p>
    <w:p w14:paraId="307A9163" w14:textId="77777777" w:rsidR="000E4D7D" w:rsidRDefault="000E4D7D" w:rsidP="000E4D7D">
      <w:pPr>
        <w:jc w:val="both"/>
        <w:rPr>
          <w:rFonts w:ascii="Bookman Old Style" w:hAnsi="Bookman Old Style"/>
          <w:i/>
        </w:rPr>
      </w:pPr>
    </w:p>
    <w:p w14:paraId="3DCAD703" w14:textId="77777777" w:rsidR="003922F9" w:rsidRDefault="000E4D7D" w:rsidP="000E4D7D">
      <w:pPr>
        <w:jc w:val="both"/>
        <w:rPr>
          <w:rFonts w:ascii="Bookman Old Style" w:hAnsi="Bookman Old Style"/>
          <w:i/>
        </w:rPr>
      </w:pPr>
      <w:r w:rsidRPr="00E30281">
        <w:rPr>
          <w:rFonts w:ascii="Bookman Old Style" w:hAnsi="Bookman Old Style"/>
          <w:b/>
          <w:bCs/>
          <w:i/>
        </w:rPr>
        <w:t>Parágrafo 3</w:t>
      </w:r>
      <w:r>
        <w:rPr>
          <w:rFonts w:ascii="Bookman Old Style" w:hAnsi="Bookman Old Style"/>
          <w:i/>
        </w:rPr>
        <w:t>. El presente artículo no aplica para las importaciones efectuadas a través de interconexiones internacionales.</w:t>
      </w:r>
    </w:p>
    <w:p w14:paraId="144B3E28" w14:textId="77777777" w:rsidR="003922F9" w:rsidRDefault="003922F9" w:rsidP="000E4D7D">
      <w:pPr>
        <w:jc w:val="both"/>
        <w:rPr>
          <w:rFonts w:ascii="Bookman Old Style" w:hAnsi="Bookman Old Style"/>
          <w:i/>
        </w:rPr>
      </w:pPr>
    </w:p>
    <w:p w14:paraId="3A8E9C36" w14:textId="77777777" w:rsidR="00146F88" w:rsidRDefault="003922F9" w:rsidP="000E4D7D">
      <w:pPr>
        <w:jc w:val="both"/>
        <w:rPr>
          <w:rFonts w:ascii="Bookman Old Style" w:hAnsi="Bookman Old Style"/>
          <w:i/>
        </w:rPr>
      </w:pPr>
      <w:r w:rsidRPr="008A64F3">
        <w:rPr>
          <w:rFonts w:ascii="Bookman Old Style" w:hAnsi="Bookman Old Style"/>
          <w:b/>
          <w:bCs/>
          <w:i/>
        </w:rPr>
        <w:t>Parágrafo 4</w:t>
      </w:r>
      <w:r>
        <w:rPr>
          <w:rFonts w:ascii="Bookman Old Style" w:hAnsi="Bookman Old Style"/>
          <w:i/>
        </w:rPr>
        <w:t xml:space="preserve">. </w:t>
      </w:r>
      <w:r w:rsidR="007743B2">
        <w:rPr>
          <w:rFonts w:ascii="Bookman Old Style" w:hAnsi="Bookman Old Style"/>
          <w:i/>
        </w:rPr>
        <w:t xml:space="preserve">El agente </w:t>
      </w:r>
      <w:r w:rsidR="007B3C59" w:rsidRPr="007B3C59">
        <w:rPr>
          <w:rFonts w:ascii="Bookman Old Style" w:hAnsi="Bookman Old Style"/>
          <w:i/>
        </w:rPr>
        <w:t xml:space="preserve">deberá desarrollar una metodología </w:t>
      </w:r>
      <w:r w:rsidR="008A64F3">
        <w:rPr>
          <w:rFonts w:ascii="Bookman Old Style" w:hAnsi="Bookman Old Style"/>
          <w:i/>
        </w:rPr>
        <w:t>replicable</w:t>
      </w:r>
      <w:r w:rsidR="008A64F3" w:rsidRPr="007B3C59">
        <w:rPr>
          <w:rFonts w:ascii="Bookman Old Style" w:hAnsi="Bookman Old Style"/>
          <w:i/>
        </w:rPr>
        <w:t xml:space="preserve"> </w:t>
      </w:r>
      <w:r w:rsidR="007B3C59" w:rsidRPr="007B3C59">
        <w:rPr>
          <w:rFonts w:ascii="Bookman Old Style" w:hAnsi="Bookman Old Style"/>
          <w:i/>
        </w:rPr>
        <w:t xml:space="preserve">para calcular </w:t>
      </w:r>
      <w:r w:rsidR="007743B2">
        <w:rPr>
          <w:rFonts w:ascii="Bookman Old Style" w:hAnsi="Bookman Old Style"/>
          <w:i/>
        </w:rPr>
        <w:t>el P</w:t>
      </w:r>
      <w:r w:rsidR="008A64F3">
        <w:rPr>
          <w:rFonts w:ascii="Bookman Old Style" w:hAnsi="Bookman Old Style"/>
          <w:i/>
        </w:rPr>
        <w:t>ar</w:t>
      </w:r>
      <w:r w:rsidR="007B3C59" w:rsidRPr="007B3C59">
        <w:rPr>
          <w:rFonts w:ascii="Bookman Old Style" w:hAnsi="Bookman Old Style"/>
          <w:i/>
        </w:rPr>
        <w:t xml:space="preserve"> </w:t>
      </w:r>
      <w:r w:rsidR="008A64F3">
        <w:rPr>
          <w:rFonts w:ascii="Bookman Old Style" w:hAnsi="Bookman Old Style"/>
          <w:i/>
        </w:rPr>
        <w:t>declarado</w:t>
      </w:r>
      <w:r w:rsidR="007B3C59" w:rsidRPr="007B3C59">
        <w:rPr>
          <w:rFonts w:ascii="Bookman Old Style" w:hAnsi="Bookman Old Style"/>
          <w:i/>
        </w:rPr>
        <w:t xml:space="preserve"> en la oferta, </w:t>
      </w:r>
      <w:r w:rsidR="00691A8F">
        <w:rPr>
          <w:rFonts w:ascii="Bookman Old Style" w:hAnsi="Bookman Old Style"/>
          <w:i/>
        </w:rPr>
        <w:t>la</w:t>
      </w:r>
      <w:r w:rsidR="007B3C59" w:rsidRPr="007B3C59">
        <w:rPr>
          <w:rFonts w:ascii="Bookman Old Style" w:hAnsi="Bookman Old Style"/>
          <w:i/>
        </w:rPr>
        <w:t xml:space="preserve"> cual deberá actualizar </w:t>
      </w:r>
      <w:r w:rsidR="008A64F3">
        <w:rPr>
          <w:rFonts w:ascii="Bookman Old Style" w:hAnsi="Bookman Old Style"/>
          <w:i/>
        </w:rPr>
        <w:t xml:space="preserve">cada vez que corresponda </w:t>
      </w:r>
      <w:r w:rsidR="007B3C59" w:rsidRPr="007B3C59">
        <w:rPr>
          <w:rFonts w:ascii="Bookman Old Style" w:hAnsi="Bookman Old Style"/>
          <w:i/>
        </w:rPr>
        <w:t>y enviar a la Superintendencia de Servicios Públicos Domiciliarios, SSPD</w:t>
      </w:r>
      <w:r w:rsidR="00BE41DC">
        <w:rPr>
          <w:rFonts w:ascii="Bookman Old Style" w:hAnsi="Bookman Old Style"/>
          <w:i/>
        </w:rPr>
        <w:t>,</w:t>
      </w:r>
      <w:r w:rsidR="007B3C59" w:rsidRPr="007B3C59">
        <w:rPr>
          <w:rFonts w:ascii="Bookman Old Style" w:hAnsi="Bookman Old Style"/>
          <w:i/>
        </w:rPr>
        <w:t xml:space="preserve"> cuando esta lo requiera para inspección, vigilancia y control.</w:t>
      </w:r>
    </w:p>
    <w:p w14:paraId="357079FF" w14:textId="77777777" w:rsidR="00146F88" w:rsidRDefault="00146F88" w:rsidP="000E4D7D">
      <w:pPr>
        <w:jc w:val="both"/>
        <w:rPr>
          <w:rFonts w:ascii="Bookman Old Style" w:hAnsi="Bookman Old Style"/>
          <w:i/>
        </w:rPr>
      </w:pPr>
    </w:p>
    <w:p w14:paraId="69284520" w14:textId="1347B093" w:rsidR="000E4D7D" w:rsidRDefault="00146F88" w:rsidP="000E4D7D">
      <w:pPr>
        <w:jc w:val="both"/>
        <w:rPr>
          <w:rFonts w:ascii="Bookman Old Style" w:hAnsi="Bookman Old Style"/>
          <w:i/>
        </w:rPr>
      </w:pPr>
      <w:r>
        <w:rPr>
          <w:rFonts w:ascii="Bookman Old Style" w:hAnsi="Bookman Old Style"/>
          <w:i/>
        </w:rPr>
        <w:t xml:space="preserve">Así mismo, </w:t>
      </w:r>
      <w:r w:rsidR="005573EC">
        <w:rPr>
          <w:rFonts w:ascii="Bookman Old Style" w:hAnsi="Bookman Old Style"/>
          <w:i/>
        </w:rPr>
        <w:t xml:space="preserve">cuando se presenten </w:t>
      </w:r>
      <w:r w:rsidR="00ED0430">
        <w:rPr>
          <w:rFonts w:ascii="Bookman Old Style" w:hAnsi="Bookman Old Style"/>
          <w:i/>
        </w:rPr>
        <w:t>incrementos</w:t>
      </w:r>
      <w:r w:rsidR="00B90A55">
        <w:rPr>
          <w:rFonts w:ascii="Bookman Old Style" w:hAnsi="Bookman Old Style"/>
          <w:i/>
        </w:rPr>
        <w:t xml:space="preserve"> </w:t>
      </w:r>
      <w:r w:rsidR="00ED0430">
        <w:rPr>
          <w:rFonts w:ascii="Bookman Old Style" w:hAnsi="Bookman Old Style"/>
          <w:i/>
        </w:rPr>
        <w:t>entre declaraciones d</w:t>
      </w:r>
      <w:r>
        <w:rPr>
          <w:rFonts w:ascii="Bookman Old Style" w:hAnsi="Bookman Old Style"/>
          <w:i/>
        </w:rPr>
        <w:t>el Par</w:t>
      </w:r>
      <w:r w:rsidRPr="00146F88">
        <w:rPr>
          <w:rFonts w:ascii="Bookman Old Style" w:hAnsi="Bookman Old Style"/>
          <w:i/>
        </w:rPr>
        <w:t xml:space="preserve"> mayores al 20%,</w:t>
      </w:r>
      <w:r w:rsidR="005573EC">
        <w:rPr>
          <w:rFonts w:ascii="Bookman Old Style" w:hAnsi="Bookman Old Style"/>
          <w:i/>
        </w:rPr>
        <w:t xml:space="preserve"> el agente debe</w:t>
      </w:r>
      <w:r w:rsidRPr="00146F88">
        <w:rPr>
          <w:rFonts w:ascii="Bookman Old Style" w:hAnsi="Bookman Old Style"/>
          <w:i/>
        </w:rPr>
        <w:t xml:space="preserve"> remit</w:t>
      </w:r>
      <w:r w:rsidR="005573EC">
        <w:rPr>
          <w:rFonts w:ascii="Bookman Old Style" w:hAnsi="Bookman Old Style"/>
          <w:i/>
        </w:rPr>
        <w:t>ir</w:t>
      </w:r>
      <w:r w:rsidRPr="00146F88">
        <w:rPr>
          <w:rFonts w:ascii="Bookman Old Style" w:hAnsi="Bookman Old Style"/>
          <w:i/>
        </w:rPr>
        <w:t xml:space="preserve"> la justificación a la SSPD, para que dicha entidad </w:t>
      </w:r>
      <w:r w:rsidR="0056022C">
        <w:rPr>
          <w:rFonts w:ascii="Bookman Old Style" w:hAnsi="Bookman Old Style"/>
          <w:i/>
        </w:rPr>
        <w:t>realice</w:t>
      </w:r>
      <w:r w:rsidRPr="00146F88">
        <w:rPr>
          <w:rFonts w:ascii="Bookman Old Style" w:hAnsi="Bookman Old Style"/>
          <w:i/>
        </w:rPr>
        <w:t xml:space="preserve"> las averiguaciones pertinentes si lo considera.</w:t>
      </w:r>
      <w:r w:rsidR="001C02DF">
        <w:rPr>
          <w:rFonts w:ascii="Bookman Old Style" w:hAnsi="Bookman Old Style"/>
          <w:i/>
        </w:rPr>
        <w:t xml:space="preserve"> El CND debe notificar y reportar a la SSPD de dicha situación.</w:t>
      </w:r>
      <w:r w:rsidR="000E4D7D">
        <w:rPr>
          <w:rFonts w:ascii="Bookman Old Style" w:hAnsi="Bookman Old Style"/>
          <w:i/>
        </w:rPr>
        <w:t>”</w:t>
      </w:r>
    </w:p>
    <w:p w14:paraId="1F032986" w14:textId="77777777" w:rsidR="00045D3D" w:rsidRDefault="00045D3D" w:rsidP="0007451D">
      <w:pPr>
        <w:ind w:left="0"/>
        <w:rPr>
          <w:rFonts w:ascii="Arial" w:hAnsi="Arial" w:cs="Arial"/>
        </w:rPr>
      </w:pPr>
    </w:p>
    <w:p w14:paraId="407F68EA" w14:textId="3A4803F3" w:rsidR="00B60B0C" w:rsidRDefault="00825D0A" w:rsidP="00B60B0C">
      <w:pPr>
        <w:pStyle w:val="Articulo"/>
        <w:numPr>
          <w:ilvl w:val="0"/>
          <w:numId w:val="28"/>
        </w:numPr>
        <w:tabs>
          <w:tab w:val="left" w:pos="1560"/>
        </w:tabs>
        <w:spacing w:before="120" w:after="240"/>
        <w:ind w:left="0" w:firstLine="0"/>
        <w:rPr>
          <w:b w:val="0"/>
        </w:rPr>
      </w:pPr>
      <w:r>
        <w:lastRenderedPageBreak/>
        <w:t>Modificación de</w:t>
      </w:r>
      <w:r w:rsidR="009872E3">
        <w:t xml:space="preserve">l </w:t>
      </w:r>
      <w:r>
        <w:t>apart</w:t>
      </w:r>
      <w:r w:rsidR="009872E3">
        <w:t>e</w:t>
      </w:r>
      <w:r>
        <w:t xml:space="preserve"> “</w:t>
      </w:r>
      <w:r w:rsidR="00EF5192" w:rsidRPr="00EF5192">
        <w:t>Precios de Arranque-Parada</w:t>
      </w:r>
      <w:r w:rsidR="009872E3">
        <w:t>”</w:t>
      </w:r>
      <w:r>
        <w:t xml:space="preserve"> del numeral 3.1 del Código de Operación de la Resolución CREG 025 de 1995</w:t>
      </w:r>
      <w:r w:rsidR="00D57050">
        <w:t>, modificado por el artículo 1 de la Resolución CREG 101 028 de 2022</w:t>
      </w:r>
      <w:r>
        <w:t>.</w:t>
      </w:r>
      <w:r>
        <w:rPr>
          <w:b w:val="0"/>
        </w:rPr>
        <w:t xml:space="preserve"> </w:t>
      </w:r>
      <w:r w:rsidR="00B60B0C" w:rsidRPr="00AC459F">
        <w:rPr>
          <w:b w:val="0"/>
        </w:rPr>
        <w:t xml:space="preserve"> </w:t>
      </w:r>
      <w:r w:rsidR="006D0F51" w:rsidRPr="006D0F51">
        <w:rPr>
          <w:b w:val="0"/>
        </w:rPr>
        <w:t>El aparte “</w:t>
      </w:r>
      <w:r w:rsidR="00EF5192" w:rsidRPr="00EF5192">
        <w:rPr>
          <w:b w:val="0"/>
        </w:rPr>
        <w:t>Precios de Arranque-Parada</w:t>
      </w:r>
      <w:r w:rsidR="006D0F51" w:rsidRPr="006D0F51">
        <w:rPr>
          <w:b w:val="0"/>
        </w:rPr>
        <w:t>” del numeral 3.1 del anexo denominado Código de Operación de la Resolución CREG 025 de 1995 quedará así:</w:t>
      </w:r>
    </w:p>
    <w:p w14:paraId="7216D7AA" w14:textId="77777777" w:rsidR="000215E4" w:rsidRDefault="000215E4" w:rsidP="000215E4">
      <w:pPr>
        <w:ind w:right="142"/>
        <w:jc w:val="both"/>
        <w:rPr>
          <w:rFonts w:ascii="Bookman Old Style" w:hAnsi="Bookman Old Style"/>
          <w:b/>
          <w:i/>
          <w:spacing w:val="-3"/>
        </w:rPr>
      </w:pPr>
      <w:r>
        <w:rPr>
          <w:rFonts w:ascii="Bookman Old Style" w:hAnsi="Bookman Old Style"/>
          <w:b/>
          <w:i/>
          <w:spacing w:val="-3"/>
        </w:rPr>
        <w:t>"3.1 INFORMACIÓN BÁSICA (…)</w:t>
      </w:r>
    </w:p>
    <w:p w14:paraId="715C873F" w14:textId="77777777" w:rsidR="000215E4" w:rsidRDefault="000215E4" w:rsidP="000215E4">
      <w:pPr>
        <w:ind w:right="142"/>
        <w:jc w:val="both"/>
        <w:rPr>
          <w:rFonts w:ascii="Bookman Old Style" w:hAnsi="Bookman Old Style"/>
          <w:b/>
          <w:i/>
          <w:spacing w:val="-3"/>
        </w:rPr>
      </w:pPr>
    </w:p>
    <w:p w14:paraId="2EE1935D" w14:textId="77777777" w:rsidR="000215E4" w:rsidRDefault="000215E4" w:rsidP="000215E4">
      <w:pPr>
        <w:ind w:right="142"/>
        <w:jc w:val="both"/>
        <w:rPr>
          <w:rFonts w:ascii="Bookman Old Style" w:hAnsi="Bookman Old Style"/>
          <w:b/>
          <w:i/>
          <w:spacing w:val="-3"/>
        </w:rPr>
      </w:pPr>
      <w:r>
        <w:rPr>
          <w:rFonts w:ascii="Bookman Old Style" w:hAnsi="Bookman Old Style"/>
          <w:b/>
          <w:i/>
          <w:spacing w:val="-3"/>
        </w:rPr>
        <w:t xml:space="preserve">Precios de Arranque-Parada. </w:t>
      </w:r>
    </w:p>
    <w:p w14:paraId="1EDF1FFE" w14:textId="77777777" w:rsidR="000215E4" w:rsidRDefault="000215E4" w:rsidP="000215E4">
      <w:pPr>
        <w:ind w:right="142"/>
        <w:jc w:val="both"/>
        <w:rPr>
          <w:rFonts w:ascii="Bookman Old Style" w:hAnsi="Bookman Old Style"/>
          <w:b/>
          <w:i/>
          <w:spacing w:val="-3"/>
        </w:rPr>
      </w:pPr>
    </w:p>
    <w:p w14:paraId="70DB1881" w14:textId="283B9867" w:rsidR="000215E4" w:rsidRPr="002B64A4" w:rsidRDefault="000215E4" w:rsidP="000215E4">
      <w:pPr>
        <w:ind w:right="142"/>
        <w:jc w:val="both"/>
        <w:rPr>
          <w:rFonts w:ascii="Bookman Old Style" w:hAnsi="Bookman Old Style"/>
          <w:i/>
          <w:spacing w:val="-3"/>
        </w:rPr>
      </w:pPr>
      <w:r w:rsidRPr="002B64A4">
        <w:rPr>
          <w:rFonts w:ascii="Bookman Old Style" w:hAnsi="Bookman Old Style"/>
          <w:i/>
          <w:spacing w:val="-3"/>
        </w:rPr>
        <w:t xml:space="preserve">Las empresas generadoras con plantas y/o unidades térmicas ofertarán en el último día de los meses </w:t>
      </w:r>
      <w:r w:rsidR="0001599F">
        <w:rPr>
          <w:rFonts w:ascii="Bookman Old Style" w:hAnsi="Bookman Old Style"/>
          <w:i/>
          <w:spacing w:val="-3"/>
        </w:rPr>
        <w:t xml:space="preserve">de </w:t>
      </w:r>
      <w:r w:rsidRPr="002B64A4">
        <w:rPr>
          <w:rFonts w:ascii="Bookman Old Style" w:hAnsi="Bookman Old Style"/>
          <w:i/>
          <w:spacing w:val="-3"/>
        </w:rPr>
        <w:t xml:space="preserve">diciembre, marzo, junio y septiembre de cada año </w:t>
      </w:r>
      <w:r>
        <w:rPr>
          <w:rFonts w:ascii="Bookman Old Style" w:hAnsi="Bookman Old Style"/>
          <w:i/>
          <w:spacing w:val="-3"/>
        </w:rPr>
        <w:t xml:space="preserve">sus </w:t>
      </w:r>
      <w:r w:rsidRPr="002B64A4">
        <w:rPr>
          <w:rFonts w:ascii="Bookman Old Style" w:hAnsi="Bookman Old Style"/>
          <w:i/>
          <w:spacing w:val="-3"/>
        </w:rPr>
        <w:t>precio</w:t>
      </w:r>
      <w:r>
        <w:rPr>
          <w:rFonts w:ascii="Bookman Old Style" w:hAnsi="Bookman Old Style"/>
          <w:i/>
          <w:spacing w:val="-3"/>
        </w:rPr>
        <w:t>s</w:t>
      </w:r>
      <w:r w:rsidRPr="002B64A4">
        <w:rPr>
          <w:rFonts w:ascii="Bookman Old Style" w:hAnsi="Bookman Old Style"/>
          <w:i/>
          <w:spacing w:val="-3"/>
        </w:rPr>
        <w:t xml:space="preserve"> de arranque-parada al CND, antes de las 8:00 horas, expresados en valores enteros de dólares de los Estados Unidos de Norteamérica (US$) por cada recurso de generación. Para pasar a pesos (Col$) el CND y el ASIC tomarán la TRM del día anterior a la realización del despacho, tomando los valores enteros en esta moneda.</w:t>
      </w:r>
    </w:p>
    <w:p w14:paraId="204806C6" w14:textId="77777777" w:rsidR="000215E4" w:rsidRPr="002B64A4" w:rsidRDefault="000215E4" w:rsidP="000215E4">
      <w:pPr>
        <w:ind w:right="142"/>
        <w:jc w:val="both"/>
        <w:rPr>
          <w:rFonts w:ascii="Bookman Old Style" w:hAnsi="Bookman Old Style"/>
          <w:i/>
          <w:spacing w:val="-3"/>
        </w:rPr>
      </w:pPr>
    </w:p>
    <w:p w14:paraId="0638A1CA" w14:textId="1525B652" w:rsidR="000215E4" w:rsidRPr="002B64A4" w:rsidRDefault="000215E4" w:rsidP="000215E4">
      <w:pPr>
        <w:ind w:right="142"/>
        <w:jc w:val="both"/>
        <w:rPr>
          <w:rFonts w:ascii="Bookman Old Style" w:hAnsi="Bookman Old Style"/>
          <w:i/>
          <w:spacing w:val="-3"/>
        </w:rPr>
      </w:pPr>
      <w:r w:rsidRPr="002B64A4">
        <w:rPr>
          <w:rFonts w:ascii="Bookman Old Style" w:hAnsi="Bookman Old Style"/>
          <w:i/>
          <w:spacing w:val="-3"/>
        </w:rPr>
        <w:t>Los precios de arranque-parada se podrán ofertar por</w:t>
      </w:r>
      <w:r>
        <w:rPr>
          <w:rFonts w:ascii="Bookman Old Style" w:hAnsi="Bookman Old Style"/>
          <w:i/>
          <w:spacing w:val="-3"/>
        </w:rPr>
        <w:t>:</w:t>
      </w:r>
      <w:r w:rsidRPr="002B64A4">
        <w:rPr>
          <w:rFonts w:ascii="Bookman Old Style" w:hAnsi="Bookman Old Style"/>
          <w:i/>
          <w:spacing w:val="-3"/>
        </w:rPr>
        <w:t xml:space="preserve"> tipo de combustible</w:t>
      </w:r>
      <w:r>
        <w:rPr>
          <w:rFonts w:ascii="Bookman Old Style" w:hAnsi="Bookman Old Style"/>
          <w:i/>
          <w:spacing w:val="-3"/>
        </w:rPr>
        <w:t>, unidad de generación y estado térmico</w:t>
      </w:r>
      <w:r w:rsidRPr="002B64A4">
        <w:rPr>
          <w:rFonts w:ascii="Bookman Old Style" w:hAnsi="Bookman Old Style"/>
          <w:i/>
          <w:spacing w:val="-3"/>
        </w:rPr>
        <w:t>, con sujeción al</w:t>
      </w:r>
      <w:r>
        <w:rPr>
          <w:rFonts w:ascii="Bookman Old Style" w:hAnsi="Bookman Old Style"/>
          <w:i/>
          <w:spacing w:val="-3"/>
        </w:rPr>
        <w:t xml:space="preserve"> Acuerdo </w:t>
      </w:r>
      <w:r w:rsidRPr="002B64A4">
        <w:rPr>
          <w:rFonts w:ascii="Bookman Old Style" w:hAnsi="Bookman Old Style"/>
          <w:i/>
          <w:spacing w:val="-3"/>
        </w:rPr>
        <w:t>del Consejo Nacional de Operaci</w:t>
      </w:r>
      <w:r w:rsidR="00EF5192">
        <w:rPr>
          <w:rFonts w:ascii="Bookman Old Style" w:hAnsi="Bookman Old Style"/>
          <w:i/>
          <w:spacing w:val="-3"/>
        </w:rPr>
        <w:t>ó</w:t>
      </w:r>
      <w:r w:rsidRPr="002B64A4">
        <w:rPr>
          <w:rFonts w:ascii="Bookman Old Style" w:hAnsi="Bookman Old Style"/>
          <w:i/>
          <w:spacing w:val="-3"/>
        </w:rPr>
        <w:t>n</w:t>
      </w:r>
      <w:r>
        <w:rPr>
          <w:rFonts w:ascii="Bookman Old Style" w:hAnsi="Bookman Old Style"/>
          <w:i/>
          <w:spacing w:val="-3"/>
        </w:rPr>
        <w:t xml:space="preserve"> (C.N.O.)</w:t>
      </w:r>
      <w:r w:rsidRPr="002B64A4">
        <w:rPr>
          <w:rFonts w:ascii="Bookman Old Style" w:hAnsi="Bookman Old Style"/>
          <w:i/>
          <w:spacing w:val="-3"/>
        </w:rPr>
        <w:t xml:space="preserve"> y </w:t>
      </w:r>
      <w:r>
        <w:rPr>
          <w:rFonts w:ascii="Bookman Old Style" w:hAnsi="Bookman Old Style"/>
          <w:i/>
          <w:spacing w:val="-3"/>
        </w:rPr>
        <w:t xml:space="preserve">aquellos que </w:t>
      </w:r>
      <w:r w:rsidRPr="002B64A4">
        <w:rPr>
          <w:rFonts w:ascii="Bookman Old Style" w:hAnsi="Bookman Old Style"/>
          <w:i/>
          <w:spacing w:val="-3"/>
        </w:rPr>
        <w:t xml:space="preserve">lo adicionen, modifiquen o sustituyan. Además, diariamente al mismo tiempo que hacen la oferta de precios a la Bolsa de energía deberán informar </w:t>
      </w:r>
      <w:r>
        <w:rPr>
          <w:rFonts w:ascii="Bookman Old Style" w:hAnsi="Bookman Old Style"/>
          <w:i/>
          <w:spacing w:val="-3"/>
        </w:rPr>
        <w:t xml:space="preserve">los </w:t>
      </w:r>
      <w:r w:rsidRPr="002B64A4">
        <w:rPr>
          <w:rFonts w:ascii="Bookman Old Style" w:hAnsi="Bookman Old Style"/>
          <w:i/>
          <w:spacing w:val="-3"/>
        </w:rPr>
        <w:t>combustible</w:t>
      </w:r>
      <w:r>
        <w:rPr>
          <w:rFonts w:ascii="Bookman Old Style" w:hAnsi="Bookman Old Style"/>
          <w:i/>
          <w:spacing w:val="-3"/>
        </w:rPr>
        <w:t>s</w:t>
      </w:r>
      <w:r w:rsidRPr="002B64A4">
        <w:rPr>
          <w:rFonts w:ascii="Bookman Old Style" w:hAnsi="Bookman Old Style"/>
          <w:i/>
          <w:spacing w:val="-3"/>
        </w:rPr>
        <w:t xml:space="preserve"> y la</w:t>
      </w:r>
      <w:r>
        <w:rPr>
          <w:rFonts w:ascii="Bookman Old Style" w:hAnsi="Bookman Old Style"/>
          <w:i/>
          <w:spacing w:val="-3"/>
        </w:rPr>
        <w:t>s</w:t>
      </w:r>
      <w:r w:rsidRPr="002B64A4">
        <w:rPr>
          <w:rFonts w:ascii="Bookman Old Style" w:hAnsi="Bookman Old Style"/>
          <w:i/>
          <w:spacing w:val="-3"/>
        </w:rPr>
        <w:t xml:space="preserve"> configuraci</w:t>
      </w:r>
      <w:r>
        <w:rPr>
          <w:rFonts w:ascii="Bookman Old Style" w:hAnsi="Bookman Old Style"/>
          <w:i/>
          <w:spacing w:val="-3"/>
        </w:rPr>
        <w:t>ones</w:t>
      </w:r>
      <w:r w:rsidRPr="002B64A4">
        <w:rPr>
          <w:rFonts w:ascii="Bookman Old Style" w:hAnsi="Bookman Old Style"/>
          <w:i/>
          <w:spacing w:val="-3"/>
        </w:rPr>
        <w:t xml:space="preserve"> con que se debe considerar cada recurso de generación en el despacho.</w:t>
      </w:r>
    </w:p>
    <w:p w14:paraId="45A37D47" w14:textId="77777777" w:rsidR="000215E4" w:rsidRDefault="000215E4" w:rsidP="000215E4">
      <w:pPr>
        <w:ind w:right="142"/>
        <w:jc w:val="both"/>
        <w:rPr>
          <w:rFonts w:ascii="Bookman Old Style" w:hAnsi="Bookman Old Style"/>
          <w:i/>
          <w:spacing w:val="-3"/>
        </w:rPr>
      </w:pPr>
    </w:p>
    <w:p w14:paraId="2C09DDCB" w14:textId="77777777" w:rsidR="000215E4" w:rsidRDefault="000215E4" w:rsidP="000215E4">
      <w:pPr>
        <w:ind w:right="142"/>
        <w:jc w:val="both"/>
        <w:rPr>
          <w:rFonts w:ascii="Bookman Old Style" w:hAnsi="Bookman Old Style"/>
          <w:i/>
          <w:spacing w:val="-3"/>
        </w:rPr>
      </w:pPr>
      <w:r>
        <w:rPr>
          <w:rFonts w:ascii="Bookman Old Style" w:hAnsi="Bookman Old Style"/>
          <w:i/>
          <w:spacing w:val="-3"/>
        </w:rPr>
        <w:t xml:space="preserve">En el caso de las plantas térmicas de ciclo combinado se deberá declarar el combustible de </w:t>
      </w:r>
      <w:r w:rsidRPr="00477655">
        <w:rPr>
          <w:rFonts w:ascii="Bookman Old Style" w:hAnsi="Bookman Old Style"/>
          <w:i/>
          <w:spacing w:val="-3"/>
        </w:rPr>
        <w:t>cada configuración disponible</w:t>
      </w:r>
      <w:r>
        <w:rPr>
          <w:rFonts w:ascii="Bookman Old Style" w:hAnsi="Bookman Old Style"/>
          <w:i/>
          <w:spacing w:val="-3"/>
        </w:rPr>
        <w:t xml:space="preserve"> que se debe considerar en el despacho económico y redespacho para la selección de la configuración para la operación.</w:t>
      </w:r>
    </w:p>
    <w:p w14:paraId="118E75C9" w14:textId="77777777" w:rsidR="000215E4" w:rsidRPr="002B64A4" w:rsidRDefault="000215E4" w:rsidP="000215E4">
      <w:pPr>
        <w:ind w:right="142"/>
        <w:jc w:val="both"/>
        <w:rPr>
          <w:rFonts w:ascii="Bookman Old Style" w:hAnsi="Bookman Old Style"/>
          <w:i/>
          <w:spacing w:val="-3"/>
        </w:rPr>
      </w:pPr>
    </w:p>
    <w:p w14:paraId="21496CF9" w14:textId="77777777" w:rsidR="000215E4" w:rsidRPr="002B64A4" w:rsidRDefault="000215E4" w:rsidP="000215E4">
      <w:pPr>
        <w:ind w:right="142"/>
        <w:jc w:val="both"/>
        <w:rPr>
          <w:rFonts w:ascii="Bookman Old Style" w:hAnsi="Bookman Old Style"/>
          <w:i/>
          <w:spacing w:val="-3"/>
        </w:rPr>
      </w:pPr>
      <w:r w:rsidRPr="002B64A4">
        <w:rPr>
          <w:rFonts w:ascii="Bookman Old Style" w:hAnsi="Bookman Old Style"/>
          <w:i/>
          <w:spacing w:val="-3"/>
        </w:rPr>
        <w:t xml:space="preserve">Cuando un generador no oferte los precios de arranque-parada en las condiciones aquí establecidas, el CND asumirá lo siguiente: </w:t>
      </w:r>
    </w:p>
    <w:p w14:paraId="18E654D7" w14:textId="77777777" w:rsidR="000215E4" w:rsidRPr="002B64A4" w:rsidRDefault="000215E4" w:rsidP="000215E4">
      <w:pPr>
        <w:ind w:right="142"/>
        <w:jc w:val="both"/>
        <w:rPr>
          <w:rFonts w:ascii="Bookman Old Style" w:hAnsi="Bookman Old Style"/>
          <w:i/>
          <w:spacing w:val="-3"/>
        </w:rPr>
      </w:pPr>
    </w:p>
    <w:p w14:paraId="5751816A" w14:textId="77777777" w:rsidR="000215E4" w:rsidRPr="00EC58CF" w:rsidRDefault="000215E4" w:rsidP="000215E4">
      <w:pPr>
        <w:pStyle w:val="Prrafodelista"/>
        <w:numPr>
          <w:ilvl w:val="0"/>
          <w:numId w:val="29"/>
        </w:numPr>
        <w:spacing w:after="120"/>
        <w:ind w:left="1066" w:right="142" w:hanging="215"/>
        <w:jc w:val="both"/>
        <w:rPr>
          <w:rFonts w:ascii="Bookman Old Style" w:hAnsi="Bookman Old Style"/>
          <w:i/>
          <w:spacing w:val="-3"/>
          <w:sz w:val="24"/>
        </w:rPr>
      </w:pPr>
      <w:r w:rsidRPr="00EC58CF">
        <w:rPr>
          <w:rFonts w:ascii="Bookman Old Style" w:hAnsi="Bookman Old Style"/>
          <w:i/>
          <w:spacing w:val="-3"/>
          <w:sz w:val="24"/>
        </w:rPr>
        <w:t xml:space="preserve">Si no declaran la configuración para la primera vez, se tomará la primera configuración </w:t>
      </w:r>
      <w:r>
        <w:rPr>
          <w:rFonts w:ascii="Bookman Old Style" w:hAnsi="Bookman Old Style"/>
          <w:i/>
          <w:spacing w:val="-3"/>
          <w:sz w:val="24"/>
        </w:rPr>
        <w:t>declarada según acuerdos del C.N.O</w:t>
      </w:r>
      <w:r w:rsidRPr="00EC58CF">
        <w:rPr>
          <w:rFonts w:ascii="Bookman Old Style" w:hAnsi="Bookman Old Style"/>
          <w:i/>
          <w:spacing w:val="-3"/>
          <w:sz w:val="24"/>
        </w:rPr>
        <w:t>. Para las siguientes veces se tomará la última declarada.</w:t>
      </w:r>
    </w:p>
    <w:p w14:paraId="6CDE9A05" w14:textId="31441D17" w:rsidR="000215E4" w:rsidRPr="00BA6499" w:rsidRDefault="00CD1330" w:rsidP="000215E4">
      <w:pPr>
        <w:pStyle w:val="Prrafodelista"/>
        <w:numPr>
          <w:ilvl w:val="0"/>
          <w:numId w:val="29"/>
        </w:numPr>
        <w:ind w:left="1066" w:right="142" w:hanging="215"/>
        <w:jc w:val="both"/>
        <w:rPr>
          <w:rFonts w:ascii="Bookman Old Style" w:hAnsi="Bookman Old Style"/>
          <w:i/>
          <w:spacing w:val="-3"/>
          <w:sz w:val="24"/>
        </w:rPr>
      </w:pPr>
      <w:r w:rsidRPr="00BA6499">
        <w:rPr>
          <w:rFonts w:ascii="Bookman Old Style" w:hAnsi="Bookman Old Style"/>
          <w:i/>
          <w:spacing w:val="-3"/>
          <w:sz w:val="24"/>
        </w:rPr>
        <w:t>S</w:t>
      </w:r>
      <w:r w:rsidR="000215E4" w:rsidRPr="00BA6499">
        <w:rPr>
          <w:rFonts w:ascii="Bookman Old Style" w:hAnsi="Bookman Old Style"/>
          <w:i/>
          <w:spacing w:val="-3"/>
          <w:sz w:val="24"/>
        </w:rPr>
        <w:t>i no ofertan precios de arranque-parada para la primera vez, se</w:t>
      </w:r>
      <w:r w:rsidRPr="00BA6499">
        <w:rPr>
          <w:rFonts w:ascii="Bookman Old Style" w:hAnsi="Bookman Old Style"/>
          <w:i/>
          <w:spacing w:val="-3"/>
          <w:sz w:val="24"/>
        </w:rPr>
        <w:t xml:space="preserve"> </w:t>
      </w:r>
      <w:r w:rsidR="00BA302C" w:rsidRPr="00BA6499">
        <w:rPr>
          <w:rFonts w:ascii="Bookman Old Style" w:hAnsi="Bookman Old Style"/>
          <w:i/>
          <w:spacing w:val="-3"/>
          <w:sz w:val="24"/>
        </w:rPr>
        <w:t>asume como cero el precio de oferta</w:t>
      </w:r>
      <w:r w:rsidR="001C02DF">
        <w:rPr>
          <w:rFonts w:ascii="Bookman Old Style" w:hAnsi="Bookman Old Style"/>
          <w:i/>
          <w:spacing w:val="-3"/>
          <w:sz w:val="24"/>
        </w:rPr>
        <w:t xml:space="preserve">, de acuerdo con lo que se tiene señalado en este numeral, </w:t>
      </w:r>
      <w:r w:rsidR="00BA302C" w:rsidRPr="00BA6499">
        <w:rPr>
          <w:rFonts w:ascii="Bookman Old Style" w:hAnsi="Bookman Old Style"/>
          <w:i/>
          <w:spacing w:val="-3"/>
          <w:sz w:val="24"/>
        </w:rPr>
        <w:t>hasta que sea declarado</w:t>
      </w:r>
      <w:r w:rsidR="00691F6C">
        <w:rPr>
          <w:rFonts w:ascii="Bookman Old Style" w:hAnsi="Bookman Old Style"/>
          <w:i/>
          <w:spacing w:val="-3"/>
          <w:sz w:val="24"/>
        </w:rPr>
        <w:t xml:space="preserve"> al CND</w:t>
      </w:r>
      <w:r w:rsidR="00617665">
        <w:rPr>
          <w:rFonts w:ascii="Bookman Old Style" w:hAnsi="Bookman Old Style"/>
          <w:i/>
          <w:spacing w:val="-3"/>
          <w:sz w:val="24"/>
        </w:rPr>
        <w:t>, sin superar el tiempo establecido para su actualización conforme el presente numeral (</w:t>
      </w:r>
      <w:r w:rsidR="00617665" w:rsidRPr="00617665">
        <w:rPr>
          <w:rFonts w:ascii="Bookman Old Style" w:hAnsi="Bookman Old Style"/>
          <w:i/>
          <w:spacing w:val="-3"/>
          <w:sz w:val="24"/>
        </w:rPr>
        <w:t>último día de los meses diciembre, marzo, junio y septiembre de cada año</w:t>
      </w:r>
      <w:r w:rsidR="00617665">
        <w:rPr>
          <w:rFonts w:ascii="Bookman Old Style" w:hAnsi="Bookman Old Style"/>
          <w:i/>
          <w:spacing w:val="-3"/>
          <w:sz w:val="24"/>
        </w:rPr>
        <w:t>)</w:t>
      </w:r>
      <w:r w:rsidR="000215E4" w:rsidRPr="00BA6499">
        <w:rPr>
          <w:rFonts w:ascii="Bookman Old Style" w:hAnsi="Bookman Old Style"/>
          <w:i/>
          <w:spacing w:val="-3"/>
          <w:sz w:val="24"/>
        </w:rPr>
        <w:t>. Para las siguientes veces se tomará el último valor ofertado.</w:t>
      </w:r>
    </w:p>
    <w:p w14:paraId="32C79BD7" w14:textId="77777777" w:rsidR="000215E4" w:rsidRPr="002B64A4" w:rsidRDefault="000215E4" w:rsidP="000215E4">
      <w:pPr>
        <w:ind w:right="142"/>
        <w:jc w:val="both"/>
        <w:rPr>
          <w:rFonts w:ascii="Bookman Old Style" w:hAnsi="Bookman Old Style"/>
          <w:i/>
          <w:spacing w:val="-3"/>
        </w:rPr>
      </w:pPr>
    </w:p>
    <w:p w14:paraId="2EB261D8" w14:textId="77777777" w:rsidR="000215E4" w:rsidRDefault="000215E4" w:rsidP="000215E4">
      <w:pPr>
        <w:ind w:right="142"/>
        <w:jc w:val="both"/>
        <w:rPr>
          <w:rFonts w:ascii="Bookman Old Style" w:hAnsi="Bookman Old Style"/>
          <w:i/>
          <w:spacing w:val="-3"/>
        </w:rPr>
      </w:pPr>
      <w:r w:rsidRPr="002B64A4">
        <w:rPr>
          <w:rFonts w:ascii="Bookman Old Style" w:hAnsi="Bookman Old Style"/>
          <w:i/>
          <w:spacing w:val="-3"/>
        </w:rPr>
        <w:t>Cuando una planta nueva entre en operación comercial o una planta adicione otro combustible principal o sustituto</w:t>
      </w:r>
      <w:r>
        <w:rPr>
          <w:rFonts w:ascii="Bookman Old Style" w:hAnsi="Bookman Old Style"/>
          <w:i/>
          <w:spacing w:val="-3"/>
        </w:rPr>
        <w:t>,</w:t>
      </w:r>
      <w:r w:rsidRPr="002B64A4">
        <w:rPr>
          <w:rFonts w:ascii="Bookman Old Style" w:hAnsi="Bookman Old Style"/>
          <w:i/>
          <w:spacing w:val="-3"/>
        </w:rPr>
        <w:t xml:space="preserve"> se podrán ofertar los precios de arranque-parada una vez inicie su operación comercial y continuarán ofertando los precios de arranque-parada en el último día de los meses diciembre, marzo, junio y septiembre de cada año.</w:t>
      </w:r>
    </w:p>
    <w:p w14:paraId="0C60740A" w14:textId="77777777" w:rsidR="000215E4" w:rsidRDefault="000215E4" w:rsidP="000215E4">
      <w:pPr>
        <w:ind w:right="142"/>
        <w:jc w:val="both"/>
        <w:rPr>
          <w:rFonts w:ascii="Bookman Old Style" w:hAnsi="Bookman Old Style"/>
          <w:i/>
          <w:spacing w:val="-3"/>
        </w:rPr>
      </w:pPr>
    </w:p>
    <w:p w14:paraId="6B504B91" w14:textId="77777777" w:rsidR="000215E4" w:rsidRDefault="000215E4" w:rsidP="000215E4">
      <w:pPr>
        <w:ind w:right="142"/>
        <w:jc w:val="both"/>
        <w:rPr>
          <w:rFonts w:ascii="Bookman Old Style" w:hAnsi="Bookman Old Style"/>
          <w:i/>
          <w:spacing w:val="-3"/>
        </w:rPr>
      </w:pPr>
      <w:r w:rsidRPr="007A7E87">
        <w:rPr>
          <w:rFonts w:ascii="Bookman Old Style" w:hAnsi="Bookman Old Style"/>
          <w:b/>
          <w:bCs/>
          <w:i/>
          <w:spacing w:val="-3"/>
        </w:rPr>
        <w:lastRenderedPageBreak/>
        <w:t>Parágrafo</w:t>
      </w:r>
      <w:r w:rsidRPr="00DE6FA2">
        <w:rPr>
          <w:rFonts w:ascii="Bookman Old Style" w:hAnsi="Bookman Old Style"/>
          <w:b/>
          <w:bCs/>
          <w:i/>
          <w:spacing w:val="-3"/>
        </w:rPr>
        <w:t>.</w:t>
      </w:r>
      <w:r>
        <w:rPr>
          <w:rFonts w:ascii="Bookman Old Style" w:hAnsi="Bookman Old Style"/>
          <w:i/>
          <w:spacing w:val="-3"/>
        </w:rPr>
        <w:t xml:space="preserve"> </w:t>
      </w:r>
      <w:r w:rsidRPr="009F121B">
        <w:rPr>
          <w:rFonts w:ascii="Bookman Old Style" w:hAnsi="Bookman Old Style"/>
          <w:i/>
          <w:spacing w:val="-3"/>
        </w:rPr>
        <w:t>La oferta de precios</w:t>
      </w:r>
      <w:r>
        <w:rPr>
          <w:rFonts w:ascii="Bookman Old Style" w:hAnsi="Bookman Old Style"/>
          <w:i/>
          <w:spacing w:val="-3"/>
        </w:rPr>
        <w:t xml:space="preserve"> </w:t>
      </w:r>
      <w:r w:rsidRPr="009F121B">
        <w:rPr>
          <w:rFonts w:ascii="Bookman Old Style" w:hAnsi="Bookman Old Style"/>
          <w:i/>
          <w:spacing w:val="-3"/>
        </w:rPr>
        <w:t>de arranque-parada</w:t>
      </w:r>
      <w:r>
        <w:rPr>
          <w:rFonts w:ascii="Bookman Old Style" w:hAnsi="Bookman Old Style"/>
          <w:i/>
          <w:spacing w:val="-3"/>
        </w:rPr>
        <w:t xml:space="preserve"> de plantas y/o unidades térmicas se deberá hacer por unidad y por estado: frío, tibio y caliente. Dicha oferta </w:t>
      </w:r>
      <w:r w:rsidRPr="009F121B">
        <w:rPr>
          <w:rFonts w:ascii="Bookman Old Style" w:hAnsi="Bookman Old Style"/>
          <w:i/>
          <w:spacing w:val="-3"/>
        </w:rPr>
        <w:t>se hará el último día de los meses diciembre, marzo, junio y septiembre de cada año.</w:t>
      </w:r>
      <w:r>
        <w:rPr>
          <w:rFonts w:ascii="Bookman Old Style" w:hAnsi="Bookman Old Style"/>
          <w:i/>
          <w:spacing w:val="-3"/>
        </w:rPr>
        <w:t>”</w:t>
      </w:r>
    </w:p>
    <w:p w14:paraId="026FF2C4" w14:textId="77777777" w:rsidR="000215E4" w:rsidRDefault="000215E4" w:rsidP="000215E4">
      <w:pPr>
        <w:ind w:left="0"/>
      </w:pPr>
    </w:p>
    <w:p w14:paraId="79177C33" w14:textId="36B8D0A4" w:rsidR="002E780A" w:rsidRDefault="00F81C1F" w:rsidP="002E780A">
      <w:pPr>
        <w:pStyle w:val="Articulo"/>
        <w:numPr>
          <w:ilvl w:val="0"/>
          <w:numId w:val="28"/>
        </w:numPr>
        <w:tabs>
          <w:tab w:val="left" w:pos="1560"/>
        </w:tabs>
        <w:spacing w:before="120" w:after="240"/>
        <w:ind w:left="0" w:firstLine="0"/>
        <w:rPr>
          <w:b w:val="0"/>
        </w:rPr>
      </w:pPr>
      <w:r>
        <w:t xml:space="preserve">Modificar </w:t>
      </w:r>
      <w:r w:rsidR="00DE232D">
        <w:t>las</w:t>
      </w:r>
      <w:r w:rsidR="00721157">
        <w:t xml:space="preserve"> </w:t>
      </w:r>
      <w:r w:rsidR="00DE232D">
        <w:t>definiciones</w:t>
      </w:r>
      <w:r w:rsidR="00C9140C">
        <w:t xml:space="preserve"> de </w:t>
      </w:r>
      <w:proofErr w:type="spellStart"/>
      <w:proofErr w:type="gramStart"/>
      <w:r w:rsidR="00C9140C" w:rsidRPr="00DE232D">
        <w:rPr>
          <w:i/>
          <w:iCs/>
        </w:rPr>
        <w:t>Par</w:t>
      </w:r>
      <w:r w:rsidR="00C9140C" w:rsidRPr="00DE232D">
        <w:rPr>
          <w:i/>
          <w:iCs/>
          <w:vertAlign w:val="subscript"/>
        </w:rPr>
        <w:t>j,z</w:t>
      </w:r>
      <w:proofErr w:type="spellEnd"/>
      <w:proofErr w:type="gramEnd"/>
      <w:r w:rsidR="00C9140C">
        <w:rPr>
          <w:vertAlign w:val="subscript"/>
        </w:rPr>
        <w:t xml:space="preserve"> </w:t>
      </w:r>
      <w:r w:rsidR="00FA1292">
        <w:t>contenida</w:t>
      </w:r>
      <w:r w:rsidR="00DE232D">
        <w:t>s</w:t>
      </w:r>
      <w:r w:rsidR="00FA1292">
        <w:t xml:space="preserve"> en el </w:t>
      </w:r>
      <w:r w:rsidR="00653EBE" w:rsidRPr="00653EBE">
        <w:t>literal d del Anexo A-4 “Función Precio en la Bolsa de Energía” de la Resolución CREG-024 de 1995</w:t>
      </w:r>
      <w:r w:rsidR="002E780A">
        <w:t>.</w:t>
      </w:r>
      <w:r w:rsidR="002E780A">
        <w:rPr>
          <w:b w:val="0"/>
        </w:rPr>
        <w:t xml:space="preserve"> </w:t>
      </w:r>
      <w:r w:rsidR="002E780A" w:rsidRPr="00AC459F">
        <w:rPr>
          <w:b w:val="0"/>
        </w:rPr>
        <w:t xml:space="preserve"> </w:t>
      </w:r>
      <w:r w:rsidR="00C9140C">
        <w:rPr>
          <w:b w:val="0"/>
        </w:rPr>
        <w:t xml:space="preserve">La </w:t>
      </w:r>
      <w:r w:rsidR="00DE232D">
        <w:rPr>
          <w:b w:val="0"/>
        </w:rPr>
        <w:t>definici</w:t>
      </w:r>
      <w:r w:rsidR="00C51CF4">
        <w:rPr>
          <w:b w:val="0"/>
        </w:rPr>
        <w:t>ó</w:t>
      </w:r>
      <w:r w:rsidR="00DE232D">
        <w:rPr>
          <w:b w:val="0"/>
        </w:rPr>
        <w:t>n</w:t>
      </w:r>
      <w:r w:rsidR="00C9140C">
        <w:rPr>
          <w:b w:val="0"/>
        </w:rPr>
        <w:t xml:space="preserve"> de </w:t>
      </w:r>
      <w:proofErr w:type="spellStart"/>
      <w:proofErr w:type="gramStart"/>
      <w:r w:rsidR="00C9140C" w:rsidRPr="00C51CF4">
        <w:rPr>
          <w:b w:val="0"/>
          <w:bCs/>
          <w:i/>
          <w:iCs/>
        </w:rPr>
        <w:t>Par</w:t>
      </w:r>
      <w:r w:rsidR="00C9140C" w:rsidRPr="00C51CF4">
        <w:rPr>
          <w:b w:val="0"/>
          <w:bCs/>
          <w:i/>
          <w:iCs/>
          <w:vertAlign w:val="subscript"/>
        </w:rPr>
        <w:t>j,z</w:t>
      </w:r>
      <w:proofErr w:type="spellEnd"/>
      <w:proofErr w:type="gramEnd"/>
      <w:r w:rsidR="00325F64">
        <w:rPr>
          <w:vertAlign w:val="subscript"/>
        </w:rPr>
        <w:t xml:space="preserve"> </w:t>
      </w:r>
      <w:r w:rsidR="00325F64">
        <w:rPr>
          <w:b w:val="0"/>
        </w:rPr>
        <w:t>que s</w:t>
      </w:r>
      <w:r w:rsidR="00C9140C">
        <w:rPr>
          <w:b w:val="0"/>
        </w:rPr>
        <w:t xml:space="preserve">e usará para la aplicación del </w:t>
      </w:r>
      <w:r w:rsidR="00325F64">
        <w:rPr>
          <w:b w:val="0"/>
        </w:rPr>
        <w:t>cálculo</w:t>
      </w:r>
      <w:r w:rsidR="00C9140C">
        <w:rPr>
          <w:b w:val="0"/>
        </w:rPr>
        <w:t xml:space="preserve"> de </w:t>
      </w:r>
      <w:r w:rsidR="00A37AAF">
        <w:rPr>
          <w:b w:val="0"/>
        </w:rPr>
        <w:t>los valores adicionales (</w:t>
      </w:r>
      <w:r w:rsidR="00DE232D">
        <w:rPr>
          <w:b w:val="0"/>
        </w:rPr>
        <w:t>ΔI</w:t>
      </w:r>
      <w:r w:rsidR="00A37AAF">
        <w:rPr>
          <w:b w:val="0"/>
        </w:rPr>
        <w:t>) para los mercados nacional</w:t>
      </w:r>
      <w:r w:rsidR="004708EB">
        <w:rPr>
          <w:b w:val="0"/>
        </w:rPr>
        <w:t>es</w:t>
      </w:r>
      <w:r w:rsidR="00A37AAF">
        <w:rPr>
          <w:b w:val="0"/>
        </w:rPr>
        <w:t xml:space="preserve"> e </w:t>
      </w:r>
      <w:r w:rsidR="00325F64">
        <w:rPr>
          <w:b w:val="0"/>
        </w:rPr>
        <w:t>internacional</w:t>
      </w:r>
      <w:r w:rsidR="004708EB">
        <w:rPr>
          <w:b w:val="0"/>
        </w:rPr>
        <w:t>es</w:t>
      </w:r>
      <w:r w:rsidR="00325F64">
        <w:rPr>
          <w:b w:val="0"/>
        </w:rPr>
        <w:t xml:space="preserve"> </w:t>
      </w:r>
      <w:r w:rsidR="00672BAC">
        <w:rPr>
          <w:b w:val="0"/>
        </w:rPr>
        <w:t>establecidos en</w:t>
      </w:r>
      <w:r w:rsidR="004708EB">
        <w:rPr>
          <w:b w:val="0"/>
        </w:rPr>
        <w:t xml:space="preserve"> el </w:t>
      </w:r>
      <w:r w:rsidR="00653EBE" w:rsidRPr="00653EBE">
        <w:rPr>
          <w:b w:val="0"/>
        </w:rPr>
        <w:t>literal d del Anexo A-4 “Función Precio en la Bolsa de Energía” de la Resolución CREG-024 de 1995</w:t>
      </w:r>
      <w:r w:rsidR="00302A50">
        <w:rPr>
          <w:b w:val="0"/>
        </w:rPr>
        <w:t xml:space="preserve"> </w:t>
      </w:r>
      <w:r w:rsidR="00653EBE">
        <w:rPr>
          <w:b w:val="0"/>
        </w:rPr>
        <w:t xml:space="preserve">quedará </w:t>
      </w:r>
      <w:r w:rsidR="00302A50">
        <w:rPr>
          <w:b w:val="0"/>
        </w:rPr>
        <w:t>así</w:t>
      </w:r>
      <w:r w:rsidR="00653EBE">
        <w:rPr>
          <w:b w:val="0"/>
        </w:rPr>
        <w:t>:</w:t>
      </w:r>
    </w:p>
    <w:p w14:paraId="719055C1" w14:textId="54E5D0D8" w:rsidR="002C6F9F" w:rsidRPr="00DF6EC2" w:rsidRDefault="00C9140C" w:rsidP="00672BAC">
      <w:pPr>
        <w:ind w:right="142"/>
        <w:jc w:val="both"/>
        <w:rPr>
          <w:rFonts w:ascii="Bookman Old Style" w:hAnsi="Bookman Old Style"/>
          <w:i/>
          <w:spacing w:val="-3"/>
        </w:rPr>
      </w:pPr>
      <w:r w:rsidRPr="00DF6EC2">
        <w:rPr>
          <w:rFonts w:ascii="Bookman Old Style" w:hAnsi="Bookman Old Style"/>
          <w:i/>
          <w:spacing w:val="-3"/>
        </w:rPr>
        <w:t>“</w:t>
      </w:r>
      <w:proofErr w:type="spellStart"/>
      <w:proofErr w:type="gramStart"/>
      <w:r w:rsidR="00540C33" w:rsidRPr="00DF6EC2">
        <w:rPr>
          <w:rFonts w:ascii="Bookman Old Style" w:hAnsi="Bookman Old Style"/>
          <w:i/>
          <w:spacing w:val="-3"/>
        </w:rPr>
        <w:t>Par</w:t>
      </w:r>
      <w:r w:rsidR="00540C33" w:rsidRPr="00DF6EC2">
        <w:rPr>
          <w:rFonts w:ascii="Bookman Old Style" w:hAnsi="Bookman Old Style"/>
          <w:i/>
          <w:spacing w:val="-3"/>
          <w:vertAlign w:val="subscript"/>
        </w:rPr>
        <w:t>j,z</w:t>
      </w:r>
      <w:proofErr w:type="spellEnd"/>
      <w:proofErr w:type="gramEnd"/>
      <w:r w:rsidR="00540C33" w:rsidRPr="00DF6EC2">
        <w:rPr>
          <w:rFonts w:ascii="Bookman Old Style" w:hAnsi="Bookman Old Style"/>
          <w:i/>
          <w:spacing w:val="-3"/>
        </w:rPr>
        <w:t>:</w:t>
      </w:r>
      <w:r w:rsidR="00DF6EC2">
        <w:rPr>
          <w:rFonts w:ascii="Bookman Old Style" w:hAnsi="Bookman Old Style"/>
          <w:i/>
          <w:spacing w:val="-3"/>
        </w:rPr>
        <w:t xml:space="preserve"> </w:t>
      </w:r>
      <w:r w:rsidR="00DF6EC2" w:rsidRPr="00DF6EC2">
        <w:rPr>
          <w:rFonts w:ascii="Bookman Old Style" w:hAnsi="Bookman Old Style"/>
          <w:i/>
          <w:spacing w:val="-3"/>
        </w:rPr>
        <w:t>Precios de oferta de arranque – parada z de la planta j. En caso de presentarse transición entre configuraciones de una planta de ciclo combinado, el arranque – parada de la nueva configuración será valorado como la suma de los precios de arranque – parada, según estado</w:t>
      </w:r>
      <w:r w:rsidR="00E16A81">
        <w:rPr>
          <w:rFonts w:ascii="Bookman Old Style" w:hAnsi="Bookman Old Style"/>
          <w:i/>
          <w:spacing w:val="-3"/>
        </w:rPr>
        <w:t xml:space="preserve"> térmico</w:t>
      </w:r>
      <w:r w:rsidR="00FA02A0">
        <w:rPr>
          <w:rFonts w:ascii="Bookman Old Style" w:hAnsi="Bookman Old Style"/>
          <w:i/>
          <w:spacing w:val="-3"/>
        </w:rPr>
        <w:t xml:space="preserve">: frío, </w:t>
      </w:r>
      <w:r w:rsidR="004E3421">
        <w:rPr>
          <w:rFonts w:ascii="Bookman Old Style" w:hAnsi="Bookman Old Style"/>
          <w:i/>
          <w:spacing w:val="-3"/>
        </w:rPr>
        <w:t>tibio o caliente</w:t>
      </w:r>
      <w:r w:rsidR="00DF6EC2" w:rsidRPr="00DF6EC2">
        <w:rPr>
          <w:rFonts w:ascii="Bookman Old Style" w:hAnsi="Bookman Old Style"/>
          <w:i/>
          <w:spacing w:val="-3"/>
        </w:rPr>
        <w:t xml:space="preserve">, de unidades adicionales entre la configuración del período t y la configuración del período t-1. Aplica para las plantas </w:t>
      </w:r>
      <w:r w:rsidR="00151BD5">
        <w:rPr>
          <w:rFonts w:ascii="Bookman Old Style" w:hAnsi="Bookman Old Style"/>
          <w:i/>
          <w:spacing w:val="-3"/>
        </w:rPr>
        <w:t xml:space="preserve">y/o unidades </w:t>
      </w:r>
      <w:r w:rsidR="00DF6EC2" w:rsidRPr="00DF6EC2">
        <w:rPr>
          <w:rFonts w:ascii="Bookman Old Style" w:hAnsi="Bookman Old Style"/>
          <w:i/>
          <w:spacing w:val="-3"/>
        </w:rPr>
        <w:t>que salen en el despacho ideal y real. Será cero si la planta solo opera en el despacho ideal</w:t>
      </w:r>
      <w:r w:rsidRPr="00DF6EC2">
        <w:rPr>
          <w:rFonts w:ascii="Bookman Old Style" w:hAnsi="Bookman Old Style"/>
          <w:i/>
          <w:spacing w:val="-3"/>
        </w:rPr>
        <w:t>”</w:t>
      </w:r>
    </w:p>
    <w:p w14:paraId="07475C61" w14:textId="54CF8303" w:rsidR="00D54968" w:rsidRPr="00D54968" w:rsidRDefault="008601A7" w:rsidP="00D54968">
      <w:pPr>
        <w:pStyle w:val="Articulo"/>
        <w:numPr>
          <w:ilvl w:val="0"/>
          <w:numId w:val="28"/>
        </w:numPr>
        <w:tabs>
          <w:tab w:val="left" w:pos="1560"/>
        </w:tabs>
        <w:spacing w:before="120" w:after="240"/>
        <w:ind w:left="0" w:firstLine="0"/>
        <w:rPr>
          <w:b w:val="0"/>
        </w:rPr>
      </w:pPr>
      <w:r w:rsidRPr="00D54968">
        <w:rPr>
          <w:bCs/>
        </w:rPr>
        <w:t>Vigencia y de</w:t>
      </w:r>
      <w:r w:rsidR="00A530C2" w:rsidRPr="00D54968">
        <w:rPr>
          <w:bCs/>
        </w:rPr>
        <w:t>rogatorias</w:t>
      </w:r>
      <w:r w:rsidRPr="00D54968">
        <w:rPr>
          <w:b w:val="0"/>
        </w:rPr>
        <w:t xml:space="preserve">. </w:t>
      </w:r>
      <w:r w:rsidR="00A530C2" w:rsidRPr="00D54968">
        <w:rPr>
          <w:b w:val="0"/>
        </w:rPr>
        <w:t xml:space="preserve">La presente resolución </w:t>
      </w:r>
      <w:proofErr w:type="gramStart"/>
      <w:r w:rsidR="00A530C2" w:rsidRPr="00D54968">
        <w:rPr>
          <w:b w:val="0"/>
        </w:rPr>
        <w:t>entra en vigencia</w:t>
      </w:r>
      <w:proofErr w:type="gramEnd"/>
      <w:r w:rsidR="00A530C2" w:rsidRPr="00D54968">
        <w:rPr>
          <w:b w:val="0"/>
        </w:rPr>
        <w:t xml:space="preserve"> una vez se publique en el </w:t>
      </w:r>
      <w:r w:rsidR="00A530C2" w:rsidRPr="00D54968">
        <w:rPr>
          <w:b w:val="0"/>
          <w:i/>
          <w:iCs/>
        </w:rPr>
        <w:t>Diario Oficial</w:t>
      </w:r>
      <w:r w:rsidR="00360FB2">
        <w:rPr>
          <w:b w:val="0"/>
        </w:rPr>
        <w:t xml:space="preserve"> y</w:t>
      </w:r>
      <w:r w:rsidR="00F67972">
        <w:rPr>
          <w:b w:val="0"/>
        </w:rPr>
        <w:t xml:space="preserve"> </w:t>
      </w:r>
      <w:r w:rsidR="00360FB2">
        <w:rPr>
          <w:b w:val="0"/>
        </w:rPr>
        <w:t>m</w:t>
      </w:r>
      <w:r w:rsidR="00CE3098" w:rsidRPr="00D54968">
        <w:rPr>
          <w:b w:val="0"/>
        </w:rPr>
        <w:t>odifica</w:t>
      </w:r>
      <w:r w:rsidR="00360FB2">
        <w:rPr>
          <w:b w:val="0"/>
        </w:rPr>
        <w:t xml:space="preserve"> las siguientes normas</w:t>
      </w:r>
      <w:r w:rsidR="000D6270" w:rsidRPr="00D54968">
        <w:rPr>
          <w:b w:val="0"/>
        </w:rPr>
        <w:t xml:space="preserve">: </w:t>
      </w:r>
    </w:p>
    <w:p w14:paraId="20C22850" w14:textId="77777777" w:rsidR="00D54968" w:rsidRDefault="00D54968" w:rsidP="00D54968">
      <w:pPr>
        <w:pStyle w:val="Articulo"/>
        <w:numPr>
          <w:ilvl w:val="0"/>
          <w:numId w:val="30"/>
        </w:numPr>
        <w:tabs>
          <w:tab w:val="left" w:pos="1560"/>
        </w:tabs>
        <w:spacing w:before="120" w:after="240"/>
        <w:rPr>
          <w:b w:val="0"/>
        </w:rPr>
      </w:pPr>
      <w:r>
        <w:rPr>
          <w:b w:val="0"/>
        </w:rPr>
        <w:t>E</w:t>
      </w:r>
      <w:r w:rsidR="000D6270">
        <w:rPr>
          <w:b w:val="0"/>
        </w:rPr>
        <w:t xml:space="preserve">l artículo 1 de la Resolución CREG 034 de 2001, modificado por el artículo 9 de la Resolución CREG 044 de 2020; </w:t>
      </w:r>
    </w:p>
    <w:p w14:paraId="180036C4" w14:textId="77777777" w:rsidR="00D54968" w:rsidRDefault="00D54968" w:rsidP="00D54968">
      <w:pPr>
        <w:pStyle w:val="Articulo"/>
        <w:numPr>
          <w:ilvl w:val="0"/>
          <w:numId w:val="30"/>
        </w:numPr>
        <w:tabs>
          <w:tab w:val="left" w:pos="1560"/>
        </w:tabs>
        <w:spacing w:before="120" w:after="240"/>
        <w:rPr>
          <w:b w:val="0"/>
        </w:rPr>
      </w:pPr>
      <w:r>
        <w:rPr>
          <w:b w:val="0"/>
        </w:rPr>
        <w:t>E</w:t>
      </w:r>
      <w:r w:rsidR="00EF2F4C">
        <w:rPr>
          <w:b w:val="0"/>
        </w:rPr>
        <w:t xml:space="preserve">l aparte </w:t>
      </w:r>
      <w:r w:rsidR="00EF2F4C" w:rsidRPr="00EF2F4C">
        <w:rPr>
          <w:b w:val="0"/>
        </w:rPr>
        <w:t>“Precios de Arranque-Parada” del numeral 3.1 del Código de Operación de la Resolución CREG 025 de 1995, modificado por el artículo 1 de la Resolución CREG 101 028 de 2022</w:t>
      </w:r>
      <w:r w:rsidR="00EF2F4C">
        <w:rPr>
          <w:b w:val="0"/>
        </w:rPr>
        <w:t xml:space="preserve">; y </w:t>
      </w:r>
    </w:p>
    <w:p w14:paraId="2B252AA4" w14:textId="05850DF6" w:rsidR="008601A7" w:rsidRDefault="00D54968" w:rsidP="00D54968">
      <w:pPr>
        <w:pStyle w:val="Articulo"/>
        <w:numPr>
          <w:ilvl w:val="0"/>
          <w:numId w:val="30"/>
        </w:numPr>
        <w:tabs>
          <w:tab w:val="left" w:pos="1560"/>
        </w:tabs>
        <w:spacing w:before="120" w:after="240"/>
        <w:rPr>
          <w:b w:val="0"/>
        </w:rPr>
      </w:pPr>
      <w:r>
        <w:rPr>
          <w:b w:val="0"/>
        </w:rPr>
        <w:t>E</w:t>
      </w:r>
      <w:r w:rsidR="002F277B">
        <w:rPr>
          <w:b w:val="0"/>
        </w:rPr>
        <w:t xml:space="preserve">l literal d del </w:t>
      </w:r>
      <w:r w:rsidR="002F277B" w:rsidRPr="002F277B">
        <w:rPr>
          <w:b w:val="0"/>
        </w:rPr>
        <w:t>del Anexo A-4 “Función Precio en la Bolsa de Energía” de la Resolución CREG-024 de 1995</w:t>
      </w:r>
      <w:r w:rsidR="002F277B">
        <w:rPr>
          <w:b w:val="0"/>
        </w:rPr>
        <w:t>, literal modificado por el artículo 5 de la Resolución CREG 101 028 de 2022.</w:t>
      </w:r>
    </w:p>
    <w:p w14:paraId="575CB3AC" w14:textId="2D2A4145" w:rsidR="00045D3D" w:rsidRPr="00E501DA" w:rsidRDefault="00045D3D" w:rsidP="00DF3CA2">
      <w:pPr>
        <w:ind w:left="0"/>
        <w:jc w:val="both"/>
        <w:rPr>
          <w:rFonts w:ascii="Arial" w:hAnsi="Arial" w:cs="Arial"/>
          <w:i/>
          <w:sz w:val="22"/>
        </w:rPr>
      </w:pPr>
    </w:p>
    <w:p w14:paraId="748B56F3" w14:textId="4DA95047" w:rsidR="00F70DF3" w:rsidRPr="00B16555" w:rsidRDefault="00045D3D" w:rsidP="00B16555">
      <w:pPr>
        <w:ind w:left="0"/>
        <w:jc w:val="center"/>
        <w:rPr>
          <w:rFonts w:ascii="Bookman Old Style" w:hAnsi="Bookman Old Style" w:cs="Arial"/>
          <w:b/>
        </w:rPr>
      </w:pPr>
      <w:r w:rsidRPr="00820447">
        <w:rPr>
          <w:rFonts w:ascii="Bookman Old Style" w:hAnsi="Bookman Old Style" w:cs="Arial"/>
          <w:b/>
        </w:rPr>
        <w:t>PU</w:t>
      </w:r>
      <w:r w:rsidR="00CA03C8" w:rsidRPr="00820447">
        <w:rPr>
          <w:rFonts w:ascii="Bookman Old Style" w:hAnsi="Bookman Old Style" w:cs="Arial"/>
          <w:b/>
        </w:rPr>
        <w:t>B</w:t>
      </w:r>
      <w:r w:rsidRPr="00820447">
        <w:rPr>
          <w:rFonts w:ascii="Bookman Old Style" w:hAnsi="Bookman Old Style" w:cs="Arial"/>
          <w:b/>
        </w:rPr>
        <w:t>LÍQUESE Y CÚMPLASE</w:t>
      </w:r>
    </w:p>
    <w:p w14:paraId="21DF3C38" w14:textId="77777777" w:rsidR="00F70DF3" w:rsidRDefault="00F70DF3" w:rsidP="00F70DF3">
      <w:pPr>
        <w:ind w:left="0"/>
        <w:rPr>
          <w:rFonts w:ascii="Bookman Old Style" w:hAnsi="Bookman Old Style"/>
        </w:rPr>
      </w:pPr>
    </w:p>
    <w:p w14:paraId="0C1602FE" w14:textId="77777777" w:rsidR="00F70DF3" w:rsidRDefault="00F70DF3" w:rsidP="00F70DF3">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0DF3" w:rsidRPr="00666660" w14:paraId="58E32802" w14:textId="77777777" w:rsidTr="00EF34ED">
        <w:trPr>
          <w:jc w:val="center"/>
        </w:trPr>
        <w:tc>
          <w:tcPr>
            <w:tcW w:w="5067" w:type="dxa"/>
          </w:tcPr>
          <w:p w14:paraId="26AF130E" w14:textId="6FB89DBE" w:rsidR="00F70DF3" w:rsidRPr="00BD0865" w:rsidRDefault="00F70DF3" w:rsidP="00EF34ED">
            <w:pPr>
              <w:tabs>
                <w:tab w:val="left" w:pos="-720"/>
              </w:tabs>
              <w:suppressAutoHyphens/>
              <w:ind w:left="0"/>
              <w:jc w:val="center"/>
              <w:rPr>
                <w:rFonts w:ascii="Bookman Old Style" w:hAnsi="Bookman Old Style" w:cs="Arial"/>
                <w:b/>
                <w:strike/>
                <w:spacing w:val="-3"/>
              </w:rPr>
            </w:pPr>
          </w:p>
        </w:tc>
        <w:tc>
          <w:tcPr>
            <w:tcW w:w="4429" w:type="dxa"/>
          </w:tcPr>
          <w:p w14:paraId="71D6CF7F" w14:textId="46215207" w:rsidR="00F70DF3" w:rsidRPr="00666660" w:rsidRDefault="00F70DF3" w:rsidP="00EF34ED">
            <w:pPr>
              <w:tabs>
                <w:tab w:val="left" w:pos="-720"/>
              </w:tabs>
              <w:suppressAutoHyphens/>
              <w:ind w:left="0"/>
              <w:jc w:val="center"/>
              <w:rPr>
                <w:rFonts w:ascii="Bookman Old Style" w:hAnsi="Bookman Old Style" w:cs="Arial"/>
                <w:b/>
                <w:spacing w:val="-3"/>
              </w:rPr>
            </w:pPr>
          </w:p>
        </w:tc>
      </w:tr>
    </w:tbl>
    <w:p w14:paraId="7891A370" w14:textId="77777777" w:rsidR="00F70DF3" w:rsidRDefault="00F70DF3" w:rsidP="002C155C">
      <w:pPr>
        <w:ind w:left="0"/>
        <w:rPr>
          <w:rFonts w:ascii="Arial" w:hAnsi="Arial" w:cs="Arial"/>
        </w:rPr>
      </w:pPr>
    </w:p>
    <w:sectPr w:rsidR="00F70DF3"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41DE" w14:textId="77777777" w:rsidR="00442B1D" w:rsidRDefault="00442B1D">
      <w:r>
        <w:separator/>
      </w:r>
    </w:p>
  </w:endnote>
  <w:endnote w:type="continuationSeparator" w:id="0">
    <w:p w14:paraId="2F4B410E" w14:textId="77777777" w:rsidR="00442B1D" w:rsidRDefault="00442B1D">
      <w:r>
        <w:continuationSeparator/>
      </w:r>
    </w:p>
  </w:endnote>
  <w:endnote w:type="continuationNotice" w:id="1">
    <w:p w14:paraId="54F4076B" w14:textId="77777777" w:rsidR="00442B1D" w:rsidRDefault="0044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2B1E" w14:textId="77777777" w:rsidR="00442B1D" w:rsidRDefault="00442B1D">
      <w:r>
        <w:separator/>
      </w:r>
    </w:p>
  </w:footnote>
  <w:footnote w:type="continuationSeparator" w:id="0">
    <w:p w14:paraId="2DC0B3B6" w14:textId="77777777" w:rsidR="00442B1D" w:rsidRDefault="00442B1D">
      <w:r>
        <w:continuationSeparator/>
      </w:r>
    </w:p>
  </w:footnote>
  <w:footnote w:type="continuationNotice" w:id="1">
    <w:p w14:paraId="27E9D82C" w14:textId="77777777" w:rsidR="00442B1D" w:rsidRDefault="00442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E21A3B0" w:rsidR="0087657D" w:rsidRPr="00951F79" w:rsidRDefault="009A58FA"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proofErr w:type="gramStart"/>
    <w:r w:rsidR="005B669A" w:rsidRPr="005B669A">
      <w:rPr>
        <w:rFonts w:ascii="Bookman Old Style" w:hAnsi="Bookman Old Style" w:cs="Arial"/>
        <w:sz w:val="22"/>
        <w:szCs w:val="22"/>
        <w:u w:val="single"/>
      </w:rPr>
      <w:t xml:space="preserve">701 </w:t>
    </w:r>
    <w:r w:rsidR="005B669A">
      <w:rPr>
        <w:rFonts w:ascii="Bookman Old Style" w:hAnsi="Bookman Old Style" w:cs="Arial"/>
        <w:sz w:val="22"/>
        <w:szCs w:val="22"/>
        <w:u w:val="single"/>
      </w:rPr>
      <w:t xml:space="preserve"> </w:t>
    </w:r>
    <w:r w:rsidR="001566F7">
      <w:rPr>
        <w:rFonts w:ascii="Bookman Old Style" w:hAnsi="Bookman Old Style" w:cs="Arial"/>
        <w:sz w:val="22"/>
        <w:szCs w:val="22"/>
        <w:u w:val="single"/>
      </w:rPr>
      <w:t>048</w:t>
    </w:r>
    <w:proofErr w:type="gramEnd"/>
    <w:r w:rsidR="001566F7">
      <w:rPr>
        <w:rFonts w:ascii="Bookman Old Style" w:hAnsi="Bookman Old Style" w:cs="Arial"/>
        <w:b w:val="0"/>
        <w:sz w:val="22"/>
        <w:szCs w:val="22"/>
      </w:rPr>
      <w:t xml:space="preserve"> </w:t>
    </w:r>
    <w:r w:rsidR="00886EE1" w:rsidRPr="001566F7">
      <w:rPr>
        <w:rFonts w:ascii="Bookman Old Style" w:hAnsi="Bookman Old Style" w:cs="Arial"/>
        <w:b w:val="0"/>
        <w:sz w:val="22"/>
        <w:szCs w:val="22"/>
      </w:rPr>
      <w:t>DE</w:t>
    </w:r>
    <w:r w:rsidR="000D26F8" w:rsidRPr="001566F7">
      <w:rPr>
        <w:rFonts w:ascii="Bookman Old Style" w:hAnsi="Bookman Old Style" w:cs="Arial"/>
        <w:b w:val="0"/>
        <w:sz w:val="22"/>
        <w:szCs w:val="22"/>
      </w:rPr>
      <w:t xml:space="preserve"> </w:t>
    </w:r>
    <w:r w:rsidR="005B669A" w:rsidRPr="001566F7">
      <w:rPr>
        <w:rFonts w:ascii="Bookman Old Style" w:hAnsi="Bookman Old Style" w:cs="Arial"/>
        <w:b w:val="0"/>
        <w:sz w:val="22"/>
        <w:szCs w:val="22"/>
      </w:rPr>
      <w:t xml:space="preserve"> </w:t>
    </w:r>
    <w:r w:rsidR="001566F7" w:rsidRPr="001566F7">
      <w:rPr>
        <w:rFonts w:ascii="Bookman Old Style" w:hAnsi="Bookman Old Style" w:cs="Arial"/>
        <w:sz w:val="22"/>
        <w:szCs w:val="22"/>
        <w:u w:val="single"/>
      </w:rPr>
      <w:t>31</w:t>
    </w:r>
    <w:r w:rsidR="005B669A" w:rsidRPr="001566F7">
      <w:rPr>
        <w:rFonts w:ascii="Bookman Old Style" w:hAnsi="Bookman Old Style" w:cs="Arial"/>
        <w:sz w:val="22"/>
        <w:szCs w:val="22"/>
        <w:u w:val="single"/>
      </w:rPr>
      <w:t xml:space="preserve"> </w:t>
    </w:r>
    <w:r w:rsidR="005E007A" w:rsidRPr="001566F7">
      <w:rPr>
        <w:rFonts w:ascii="Bookman Old Style" w:hAnsi="Bookman Old Style" w:cs="Arial"/>
        <w:sz w:val="22"/>
        <w:szCs w:val="22"/>
        <w:u w:val="single"/>
      </w:rPr>
      <w:t>MAY</w:t>
    </w:r>
    <w:r w:rsidR="005B669A" w:rsidRPr="005B669A">
      <w:rPr>
        <w:rFonts w:ascii="Bookman Old Style" w:hAnsi="Bookman Old Style" w:cs="Arial"/>
        <w:sz w:val="22"/>
        <w:szCs w:val="22"/>
        <w:u w:val="single"/>
      </w:rPr>
      <w:t>. 202</w:t>
    </w:r>
    <w:r w:rsidR="005E007A">
      <w:rPr>
        <w:rFonts w:ascii="Bookman Old Style" w:hAnsi="Bookman Old Style" w:cs="Arial"/>
        <w:sz w:val="22"/>
        <w:szCs w:val="22"/>
        <w:u w:val="single"/>
      </w:rPr>
      <w:t>4</w:t>
    </w:r>
    <w:r w:rsidR="003D076C">
      <w:rPr>
        <w:rFonts w:ascii="Bookman Old Style" w:hAnsi="Bookman Old Style" w:cs="Arial"/>
        <w:b w:val="0"/>
        <w:sz w:val="22"/>
        <w:szCs w:val="22"/>
      </w:rPr>
      <w:tab/>
    </w:r>
    <w:r w:rsidR="005B669A">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5B669A">
      <w:rPr>
        <w:rFonts w:ascii="Bookman Old Style" w:hAnsi="Bookman Old Style" w:cs="Arial"/>
        <w:b w:val="0"/>
        <w:noProof/>
        <w:sz w:val="22"/>
        <w:szCs w:val="22"/>
      </w:rPr>
      <w:t>4</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NUMPAGES  \* MERGEFORMAT">
      <w:r w:rsidR="005B669A" w:rsidRPr="005B669A">
        <w:rPr>
          <w:rFonts w:ascii="Bookman Old Style" w:hAnsi="Bookman Old Style" w:cs="Arial"/>
          <w:b w:val="0"/>
          <w:noProof/>
          <w:sz w:val="22"/>
          <w:szCs w:val="22"/>
        </w:rPr>
        <w:t>4</w:t>
      </w:r>
    </w:fldSimple>
  </w:p>
  <w:p w14:paraId="39489639" w14:textId="4A2B8A3C" w:rsidR="006F6D95" w:rsidRDefault="00DF16F5"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278B"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4EED1839" w14:textId="54797858" w:rsidR="00FD1864" w:rsidRPr="001566F7" w:rsidRDefault="001566F7" w:rsidP="00FD1864">
    <w:pPr>
      <w:ind w:left="0"/>
      <w:jc w:val="center"/>
      <w:rPr>
        <w:rFonts w:ascii="Bookman Old Style" w:hAnsi="Bookman Old Style" w:cs="Arial"/>
        <w:color w:val="A6A6A6" w:themeColor="background1" w:themeShade="A6"/>
      </w:rPr>
    </w:pPr>
    <w:r w:rsidRPr="001566F7">
      <w:rPr>
        <w:rFonts w:ascii="Bookman Old Style" w:hAnsi="Bookman Old Style" w:cs="Arial"/>
        <w:color w:val="A6A6A6" w:themeColor="background1" w:themeShade="A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1F90B8C5" w:rsidR="00725FA4" w:rsidRPr="00723A3D" w:rsidRDefault="00725FA4" w:rsidP="00723A3D">
    <w:pPr>
      <w:pStyle w:val="Encabezado"/>
      <w:ind w:left="0"/>
      <w:jc w:val="center"/>
      <w:rPr>
        <w:rFonts w:ascii="Arial" w:hAnsi="Arial" w:cs="Arial"/>
        <w:spacing w:val="20"/>
        <w:szCs w:val="24"/>
      </w:rPr>
    </w:pPr>
    <w:r w:rsidRPr="00723A3D">
      <w:rPr>
        <w:rFonts w:ascii="Arial" w:hAnsi="Arial" w:cs="Arial"/>
        <w:spacing w:val="20"/>
        <w:szCs w:val="24"/>
      </w:rPr>
      <w:t>República de Colombia</w:t>
    </w:r>
  </w:p>
  <w:p w14:paraId="273850B7" w14:textId="77777777" w:rsidR="00725FA4" w:rsidRPr="00723A3D" w:rsidRDefault="00725FA4" w:rsidP="00723A3D">
    <w:pPr>
      <w:pStyle w:val="Encabezado"/>
      <w:ind w:left="0"/>
      <w:jc w:val="center"/>
      <w:rPr>
        <w:rFonts w:ascii="Arial" w:hAnsi="Arial" w:cs="Arial"/>
        <w:spacing w:val="20"/>
        <w:szCs w:val="24"/>
      </w:rPr>
    </w:pPr>
  </w:p>
  <w:p w14:paraId="367D4456" w14:textId="76DA3229" w:rsidR="00725FA4" w:rsidRDefault="00DF16F5"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C201"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AF75033"/>
    <w:multiLevelType w:val="hybridMultilevel"/>
    <w:tmpl w:val="D48ED8A6"/>
    <w:lvl w:ilvl="0" w:tplc="24AC511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5F52FA"/>
    <w:multiLevelType w:val="hybridMultilevel"/>
    <w:tmpl w:val="15B2C24C"/>
    <w:lvl w:ilvl="0" w:tplc="CB589430">
      <w:start w:val="1"/>
      <w:numFmt w:val="decimal"/>
      <w:lvlText w:val="Artículo %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22495B"/>
    <w:multiLevelType w:val="hybridMultilevel"/>
    <w:tmpl w:val="3DA8E6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24540D3"/>
    <w:multiLevelType w:val="hybridMultilevel"/>
    <w:tmpl w:val="38DE187A"/>
    <w:lvl w:ilvl="0" w:tplc="B81816AA">
      <w:start w:val="1"/>
      <w:numFmt w:val="lowerRoman"/>
      <w:lvlText w:val="%1."/>
      <w:lvlJc w:val="right"/>
      <w:pPr>
        <w:ind w:left="1776" w:hanging="360"/>
      </w:pPr>
      <w:rPr>
        <w:rFonts w:hint="default"/>
      </w:rPr>
    </w:lvl>
    <w:lvl w:ilvl="1" w:tplc="240A0019" w:tentative="1">
      <w:start w:val="1"/>
      <w:numFmt w:val="lowerLetter"/>
      <w:lvlText w:val="%2."/>
      <w:lvlJc w:val="left"/>
      <w:pPr>
        <w:ind w:left="1929" w:hanging="360"/>
      </w:pPr>
    </w:lvl>
    <w:lvl w:ilvl="2" w:tplc="240A001B" w:tentative="1">
      <w:start w:val="1"/>
      <w:numFmt w:val="lowerRoman"/>
      <w:lvlText w:val="%3."/>
      <w:lvlJc w:val="right"/>
      <w:pPr>
        <w:ind w:left="2649" w:hanging="180"/>
      </w:pPr>
    </w:lvl>
    <w:lvl w:ilvl="3" w:tplc="240A000F" w:tentative="1">
      <w:start w:val="1"/>
      <w:numFmt w:val="decimal"/>
      <w:lvlText w:val="%4."/>
      <w:lvlJc w:val="left"/>
      <w:pPr>
        <w:ind w:left="3369" w:hanging="360"/>
      </w:pPr>
    </w:lvl>
    <w:lvl w:ilvl="4" w:tplc="240A0019" w:tentative="1">
      <w:start w:val="1"/>
      <w:numFmt w:val="lowerLetter"/>
      <w:lvlText w:val="%5."/>
      <w:lvlJc w:val="left"/>
      <w:pPr>
        <w:ind w:left="4089" w:hanging="360"/>
      </w:pPr>
    </w:lvl>
    <w:lvl w:ilvl="5" w:tplc="240A001B" w:tentative="1">
      <w:start w:val="1"/>
      <w:numFmt w:val="lowerRoman"/>
      <w:lvlText w:val="%6."/>
      <w:lvlJc w:val="right"/>
      <w:pPr>
        <w:ind w:left="4809" w:hanging="180"/>
      </w:pPr>
    </w:lvl>
    <w:lvl w:ilvl="6" w:tplc="240A000F" w:tentative="1">
      <w:start w:val="1"/>
      <w:numFmt w:val="decimal"/>
      <w:lvlText w:val="%7."/>
      <w:lvlJc w:val="left"/>
      <w:pPr>
        <w:ind w:left="5529" w:hanging="360"/>
      </w:pPr>
    </w:lvl>
    <w:lvl w:ilvl="7" w:tplc="240A0019" w:tentative="1">
      <w:start w:val="1"/>
      <w:numFmt w:val="lowerLetter"/>
      <w:lvlText w:val="%8."/>
      <w:lvlJc w:val="left"/>
      <w:pPr>
        <w:ind w:left="6249" w:hanging="360"/>
      </w:pPr>
    </w:lvl>
    <w:lvl w:ilvl="8" w:tplc="240A001B" w:tentative="1">
      <w:start w:val="1"/>
      <w:numFmt w:val="lowerRoman"/>
      <w:lvlText w:val="%9."/>
      <w:lvlJc w:val="right"/>
      <w:pPr>
        <w:ind w:left="6969" w:hanging="180"/>
      </w:p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92D65B9"/>
    <w:multiLevelType w:val="hybridMultilevel"/>
    <w:tmpl w:val="86EA649A"/>
    <w:lvl w:ilvl="0" w:tplc="240A001B">
      <w:start w:val="1"/>
      <w:numFmt w:val="lowerRoman"/>
      <w:lvlText w:val="%1."/>
      <w:lvlJc w:val="righ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21329B"/>
    <w:multiLevelType w:val="hybridMultilevel"/>
    <w:tmpl w:val="21C01F42"/>
    <w:lvl w:ilvl="0" w:tplc="A09AE4DA">
      <w:start w:val="1"/>
      <w:numFmt w:val="decimal"/>
      <w:lvlText w:val="%1."/>
      <w:lvlJc w:val="left"/>
      <w:pPr>
        <w:ind w:left="644" w:hanging="360"/>
      </w:pPr>
      <w:rPr>
        <w:rFonts w:hint="default"/>
        <w:b/>
        <w:bCs/>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0DA58C7"/>
    <w:multiLevelType w:val="hybridMultilevel"/>
    <w:tmpl w:val="38DE187A"/>
    <w:lvl w:ilvl="0" w:tplc="B81816AA">
      <w:start w:val="1"/>
      <w:numFmt w:val="lowerRoman"/>
      <w:lvlText w:val="%1."/>
      <w:lvlJc w:val="right"/>
      <w:pPr>
        <w:ind w:left="128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F23897"/>
    <w:multiLevelType w:val="hybridMultilevel"/>
    <w:tmpl w:val="4C5A79FC"/>
    <w:lvl w:ilvl="0" w:tplc="240A0001">
      <w:start w:val="1"/>
      <w:numFmt w:val="bullet"/>
      <w:lvlText w:val=""/>
      <w:lvlJc w:val="left"/>
      <w:pPr>
        <w:ind w:left="1287" w:hanging="360"/>
      </w:pPr>
      <w:rPr>
        <w:rFonts w:ascii="Symbol" w:hAnsi="Symbol" w:hint="default"/>
      </w:rPr>
    </w:lvl>
    <w:lvl w:ilvl="1" w:tplc="240A0019">
      <w:start w:val="1"/>
      <w:numFmt w:val="lowerLetter"/>
      <w:lvlText w:val="%2."/>
      <w:lvlJc w:val="left"/>
      <w:pPr>
        <w:ind w:left="1440" w:hanging="360"/>
      </w:pPr>
    </w:lvl>
    <w:lvl w:ilvl="2" w:tplc="240A000F">
      <w:start w:val="1"/>
      <w:numFmt w:val="decimal"/>
      <w:lvlText w:val="%3."/>
      <w:lvlJc w:val="left"/>
      <w:pPr>
        <w:ind w:left="2160" w:hanging="180"/>
      </w:pPr>
    </w:lvl>
    <w:lvl w:ilvl="3" w:tplc="6764C462">
      <w:start w:val="18"/>
      <w:numFmt w:val="bullet"/>
      <w:lvlText w:val="-"/>
      <w:lvlJc w:val="left"/>
      <w:pPr>
        <w:ind w:left="2880" w:hanging="360"/>
      </w:pPr>
      <w:rPr>
        <w:rFonts w:ascii="Bookman Old Style" w:eastAsia="Times New Roman" w:hAnsi="Bookman Old Style" w:cs="Times New Roman"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0920320">
    <w:abstractNumId w:val="15"/>
  </w:num>
  <w:num w:numId="2" w16cid:durableId="823089665">
    <w:abstractNumId w:val="6"/>
  </w:num>
  <w:num w:numId="3" w16cid:durableId="41026518">
    <w:abstractNumId w:val="28"/>
  </w:num>
  <w:num w:numId="4" w16cid:durableId="847520359">
    <w:abstractNumId w:val="9"/>
  </w:num>
  <w:num w:numId="5" w16cid:durableId="1362904061">
    <w:abstractNumId w:val="20"/>
  </w:num>
  <w:num w:numId="6" w16cid:durableId="2146655073">
    <w:abstractNumId w:val="4"/>
  </w:num>
  <w:num w:numId="7" w16cid:durableId="1981493275">
    <w:abstractNumId w:val="3"/>
  </w:num>
  <w:num w:numId="8" w16cid:durableId="475800980">
    <w:abstractNumId w:val="24"/>
  </w:num>
  <w:num w:numId="9" w16cid:durableId="859586086">
    <w:abstractNumId w:val="22"/>
  </w:num>
  <w:num w:numId="10" w16cid:durableId="337275607">
    <w:abstractNumId w:val="16"/>
  </w:num>
  <w:num w:numId="11" w16cid:durableId="2025013510">
    <w:abstractNumId w:val="29"/>
  </w:num>
  <w:num w:numId="12" w16cid:durableId="1035351795">
    <w:abstractNumId w:val="26"/>
  </w:num>
  <w:num w:numId="13" w16cid:durableId="1623031708">
    <w:abstractNumId w:val="14"/>
  </w:num>
  <w:num w:numId="14" w16cid:durableId="1346202006">
    <w:abstractNumId w:val="2"/>
  </w:num>
  <w:num w:numId="15" w16cid:durableId="1654719488">
    <w:abstractNumId w:val="17"/>
  </w:num>
  <w:num w:numId="16" w16cid:durableId="852299446">
    <w:abstractNumId w:val="1"/>
  </w:num>
  <w:num w:numId="17" w16cid:durableId="1597013314">
    <w:abstractNumId w:val="13"/>
  </w:num>
  <w:num w:numId="18" w16cid:durableId="1769078923">
    <w:abstractNumId w:val="0"/>
  </w:num>
  <w:num w:numId="19" w16cid:durableId="246885759">
    <w:abstractNumId w:val="25"/>
  </w:num>
  <w:num w:numId="20" w16cid:durableId="502824292">
    <w:abstractNumId w:val="18"/>
  </w:num>
  <w:num w:numId="21" w16cid:durableId="1506478153">
    <w:abstractNumId w:val="10"/>
  </w:num>
  <w:num w:numId="22" w16cid:durableId="236598592">
    <w:abstractNumId w:val="11"/>
  </w:num>
  <w:num w:numId="23" w16cid:durableId="1535923909">
    <w:abstractNumId w:val="5"/>
  </w:num>
  <w:num w:numId="24" w16cid:durableId="270280713">
    <w:abstractNumId w:val="23"/>
  </w:num>
  <w:num w:numId="25" w16cid:durableId="511456169">
    <w:abstractNumId w:val="12"/>
  </w:num>
  <w:num w:numId="26" w16cid:durableId="210844399">
    <w:abstractNumId w:val="27"/>
  </w:num>
  <w:num w:numId="27" w16cid:durableId="387345051">
    <w:abstractNumId w:val="21"/>
  </w:num>
  <w:num w:numId="28" w16cid:durableId="355888151">
    <w:abstractNumId w:val="7"/>
  </w:num>
  <w:num w:numId="29" w16cid:durableId="490020732">
    <w:abstractNumId w:val="19"/>
  </w:num>
  <w:num w:numId="30" w16cid:durableId="796067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6AE2"/>
    <w:rsid w:val="000076A1"/>
    <w:rsid w:val="00012259"/>
    <w:rsid w:val="00012FDC"/>
    <w:rsid w:val="000151BD"/>
    <w:rsid w:val="0001599F"/>
    <w:rsid w:val="000215E4"/>
    <w:rsid w:val="00025383"/>
    <w:rsid w:val="00025AC0"/>
    <w:rsid w:val="00025E2C"/>
    <w:rsid w:val="00030ED7"/>
    <w:rsid w:val="00031292"/>
    <w:rsid w:val="00033B08"/>
    <w:rsid w:val="00034324"/>
    <w:rsid w:val="00045D3D"/>
    <w:rsid w:val="00046287"/>
    <w:rsid w:val="0004710B"/>
    <w:rsid w:val="00063657"/>
    <w:rsid w:val="000665B8"/>
    <w:rsid w:val="0007164D"/>
    <w:rsid w:val="0007451D"/>
    <w:rsid w:val="00076680"/>
    <w:rsid w:val="00076A1D"/>
    <w:rsid w:val="0008073E"/>
    <w:rsid w:val="00084CA6"/>
    <w:rsid w:val="000868E0"/>
    <w:rsid w:val="00086964"/>
    <w:rsid w:val="00087EC3"/>
    <w:rsid w:val="00090E5D"/>
    <w:rsid w:val="00091CDB"/>
    <w:rsid w:val="00091F4B"/>
    <w:rsid w:val="00092FA7"/>
    <w:rsid w:val="000942CA"/>
    <w:rsid w:val="000A19AC"/>
    <w:rsid w:val="000B04F9"/>
    <w:rsid w:val="000B2EC9"/>
    <w:rsid w:val="000C5EA6"/>
    <w:rsid w:val="000C67CF"/>
    <w:rsid w:val="000D26F8"/>
    <w:rsid w:val="000D4D40"/>
    <w:rsid w:val="000D6270"/>
    <w:rsid w:val="000D7B4A"/>
    <w:rsid w:val="000E165C"/>
    <w:rsid w:val="000E34C3"/>
    <w:rsid w:val="000E3DF8"/>
    <w:rsid w:val="000E4D7D"/>
    <w:rsid w:val="000F210C"/>
    <w:rsid w:val="00106654"/>
    <w:rsid w:val="001118A8"/>
    <w:rsid w:val="001136CF"/>
    <w:rsid w:val="0011391C"/>
    <w:rsid w:val="001142D4"/>
    <w:rsid w:val="00114938"/>
    <w:rsid w:val="00116867"/>
    <w:rsid w:val="00121414"/>
    <w:rsid w:val="00127588"/>
    <w:rsid w:val="00132FA3"/>
    <w:rsid w:val="0013526C"/>
    <w:rsid w:val="001365BD"/>
    <w:rsid w:val="001369FB"/>
    <w:rsid w:val="001405C6"/>
    <w:rsid w:val="001409AF"/>
    <w:rsid w:val="00141013"/>
    <w:rsid w:val="00142123"/>
    <w:rsid w:val="00146F88"/>
    <w:rsid w:val="00147277"/>
    <w:rsid w:val="00151BD5"/>
    <w:rsid w:val="00151E68"/>
    <w:rsid w:val="001566F7"/>
    <w:rsid w:val="001607F0"/>
    <w:rsid w:val="00161A00"/>
    <w:rsid w:val="00162A84"/>
    <w:rsid w:val="001714A6"/>
    <w:rsid w:val="00173202"/>
    <w:rsid w:val="00174A39"/>
    <w:rsid w:val="001757B5"/>
    <w:rsid w:val="001770E6"/>
    <w:rsid w:val="00185FAD"/>
    <w:rsid w:val="00192307"/>
    <w:rsid w:val="00192CBF"/>
    <w:rsid w:val="00192FF1"/>
    <w:rsid w:val="001966E5"/>
    <w:rsid w:val="001971D0"/>
    <w:rsid w:val="001A150D"/>
    <w:rsid w:val="001A2234"/>
    <w:rsid w:val="001A2CF3"/>
    <w:rsid w:val="001A3153"/>
    <w:rsid w:val="001A5F1B"/>
    <w:rsid w:val="001A6207"/>
    <w:rsid w:val="001B1C22"/>
    <w:rsid w:val="001B2846"/>
    <w:rsid w:val="001B34C6"/>
    <w:rsid w:val="001B5845"/>
    <w:rsid w:val="001C02DF"/>
    <w:rsid w:val="001C099E"/>
    <w:rsid w:val="001C214D"/>
    <w:rsid w:val="001D4709"/>
    <w:rsid w:val="001D4F6D"/>
    <w:rsid w:val="001D6B09"/>
    <w:rsid w:val="001D7832"/>
    <w:rsid w:val="001E00C3"/>
    <w:rsid w:val="001E02D8"/>
    <w:rsid w:val="001E04DC"/>
    <w:rsid w:val="002070AE"/>
    <w:rsid w:val="00210DC1"/>
    <w:rsid w:val="00211D34"/>
    <w:rsid w:val="00214F04"/>
    <w:rsid w:val="00221FAE"/>
    <w:rsid w:val="002223FA"/>
    <w:rsid w:val="002224CD"/>
    <w:rsid w:val="00222E4B"/>
    <w:rsid w:val="002234D5"/>
    <w:rsid w:val="00227D42"/>
    <w:rsid w:val="00230BC6"/>
    <w:rsid w:val="00234BFD"/>
    <w:rsid w:val="002352B9"/>
    <w:rsid w:val="00236A1A"/>
    <w:rsid w:val="002372C9"/>
    <w:rsid w:val="00237619"/>
    <w:rsid w:val="00240E8F"/>
    <w:rsid w:val="00243233"/>
    <w:rsid w:val="0025317E"/>
    <w:rsid w:val="00253D09"/>
    <w:rsid w:val="00266CD6"/>
    <w:rsid w:val="002673AC"/>
    <w:rsid w:val="00272DBD"/>
    <w:rsid w:val="0027447A"/>
    <w:rsid w:val="00274A8D"/>
    <w:rsid w:val="00275DAB"/>
    <w:rsid w:val="00277158"/>
    <w:rsid w:val="00281314"/>
    <w:rsid w:val="002903C0"/>
    <w:rsid w:val="002920A7"/>
    <w:rsid w:val="00296002"/>
    <w:rsid w:val="002977B1"/>
    <w:rsid w:val="002A2807"/>
    <w:rsid w:val="002A6FC4"/>
    <w:rsid w:val="002A782A"/>
    <w:rsid w:val="002B03CE"/>
    <w:rsid w:val="002B08B1"/>
    <w:rsid w:val="002B11E2"/>
    <w:rsid w:val="002B24B8"/>
    <w:rsid w:val="002B4205"/>
    <w:rsid w:val="002B461A"/>
    <w:rsid w:val="002C155C"/>
    <w:rsid w:val="002C6F9F"/>
    <w:rsid w:val="002D3AE9"/>
    <w:rsid w:val="002D4510"/>
    <w:rsid w:val="002D4C04"/>
    <w:rsid w:val="002E0DE7"/>
    <w:rsid w:val="002E780A"/>
    <w:rsid w:val="002F0734"/>
    <w:rsid w:val="002F175F"/>
    <w:rsid w:val="002F17DD"/>
    <w:rsid w:val="002F277B"/>
    <w:rsid w:val="002F46E7"/>
    <w:rsid w:val="002F4AA4"/>
    <w:rsid w:val="00302A50"/>
    <w:rsid w:val="00304E0A"/>
    <w:rsid w:val="003101DA"/>
    <w:rsid w:val="003111C3"/>
    <w:rsid w:val="00313F26"/>
    <w:rsid w:val="00314757"/>
    <w:rsid w:val="003163BC"/>
    <w:rsid w:val="00317056"/>
    <w:rsid w:val="003211CE"/>
    <w:rsid w:val="00325F64"/>
    <w:rsid w:val="003270EE"/>
    <w:rsid w:val="003326FB"/>
    <w:rsid w:val="00334B87"/>
    <w:rsid w:val="00342363"/>
    <w:rsid w:val="00342841"/>
    <w:rsid w:val="00342BDD"/>
    <w:rsid w:val="0034491F"/>
    <w:rsid w:val="003477EA"/>
    <w:rsid w:val="0035403A"/>
    <w:rsid w:val="003609F2"/>
    <w:rsid w:val="00360FB2"/>
    <w:rsid w:val="0036394B"/>
    <w:rsid w:val="00365AC8"/>
    <w:rsid w:val="00366DB6"/>
    <w:rsid w:val="003709B5"/>
    <w:rsid w:val="00372DF6"/>
    <w:rsid w:val="003758E3"/>
    <w:rsid w:val="003759C2"/>
    <w:rsid w:val="00381D26"/>
    <w:rsid w:val="003922F9"/>
    <w:rsid w:val="003943CC"/>
    <w:rsid w:val="00397365"/>
    <w:rsid w:val="003A31F6"/>
    <w:rsid w:val="003A4FEA"/>
    <w:rsid w:val="003A5D49"/>
    <w:rsid w:val="003B1919"/>
    <w:rsid w:val="003C3447"/>
    <w:rsid w:val="003C3E82"/>
    <w:rsid w:val="003D076C"/>
    <w:rsid w:val="003D409D"/>
    <w:rsid w:val="003E0C70"/>
    <w:rsid w:val="003E3F2C"/>
    <w:rsid w:val="003E6D90"/>
    <w:rsid w:val="003E78B5"/>
    <w:rsid w:val="003F1187"/>
    <w:rsid w:val="003F2780"/>
    <w:rsid w:val="003F36EB"/>
    <w:rsid w:val="003F5C22"/>
    <w:rsid w:val="003F6965"/>
    <w:rsid w:val="004007C2"/>
    <w:rsid w:val="00400CE0"/>
    <w:rsid w:val="0040512A"/>
    <w:rsid w:val="0041355C"/>
    <w:rsid w:val="00415BAB"/>
    <w:rsid w:val="00415DAB"/>
    <w:rsid w:val="00415ED2"/>
    <w:rsid w:val="0042068C"/>
    <w:rsid w:val="00424EA3"/>
    <w:rsid w:val="0042544E"/>
    <w:rsid w:val="00433ED1"/>
    <w:rsid w:val="00433F95"/>
    <w:rsid w:val="00437728"/>
    <w:rsid w:val="00437990"/>
    <w:rsid w:val="00441546"/>
    <w:rsid w:val="00442B1D"/>
    <w:rsid w:val="0044318E"/>
    <w:rsid w:val="0044358C"/>
    <w:rsid w:val="00443B35"/>
    <w:rsid w:val="00452D74"/>
    <w:rsid w:val="0045488D"/>
    <w:rsid w:val="004548B2"/>
    <w:rsid w:val="00462591"/>
    <w:rsid w:val="00464E04"/>
    <w:rsid w:val="00466668"/>
    <w:rsid w:val="004671A9"/>
    <w:rsid w:val="00467ECA"/>
    <w:rsid w:val="004708EB"/>
    <w:rsid w:val="0047122B"/>
    <w:rsid w:val="00473B7A"/>
    <w:rsid w:val="0047712D"/>
    <w:rsid w:val="0048714F"/>
    <w:rsid w:val="0049362E"/>
    <w:rsid w:val="004960E9"/>
    <w:rsid w:val="004A1290"/>
    <w:rsid w:val="004A2779"/>
    <w:rsid w:val="004A2E88"/>
    <w:rsid w:val="004A4D09"/>
    <w:rsid w:val="004A5305"/>
    <w:rsid w:val="004A6418"/>
    <w:rsid w:val="004B2902"/>
    <w:rsid w:val="004B756A"/>
    <w:rsid w:val="004C257F"/>
    <w:rsid w:val="004C6B5E"/>
    <w:rsid w:val="004D31F6"/>
    <w:rsid w:val="004D337B"/>
    <w:rsid w:val="004D7634"/>
    <w:rsid w:val="004E0E7B"/>
    <w:rsid w:val="004E22A4"/>
    <w:rsid w:val="004E3421"/>
    <w:rsid w:val="004E3F1B"/>
    <w:rsid w:val="004E611A"/>
    <w:rsid w:val="004F6460"/>
    <w:rsid w:val="004F666A"/>
    <w:rsid w:val="004F7DF8"/>
    <w:rsid w:val="00502B43"/>
    <w:rsid w:val="0051539A"/>
    <w:rsid w:val="00523EEC"/>
    <w:rsid w:val="005256B4"/>
    <w:rsid w:val="005300D3"/>
    <w:rsid w:val="0053106F"/>
    <w:rsid w:val="00533F48"/>
    <w:rsid w:val="005346E7"/>
    <w:rsid w:val="00537518"/>
    <w:rsid w:val="00540C33"/>
    <w:rsid w:val="0054158D"/>
    <w:rsid w:val="00541A95"/>
    <w:rsid w:val="00542A10"/>
    <w:rsid w:val="00542C9F"/>
    <w:rsid w:val="00544F82"/>
    <w:rsid w:val="005509D2"/>
    <w:rsid w:val="00550DF1"/>
    <w:rsid w:val="00554DC4"/>
    <w:rsid w:val="0055637A"/>
    <w:rsid w:val="005573EC"/>
    <w:rsid w:val="00560055"/>
    <w:rsid w:val="0056022C"/>
    <w:rsid w:val="00566660"/>
    <w:rsid w:val="005671B1"/>
    <w:rsid w:val="00575217"/>
    <w:rsid w:val="00577B1F"/>
    <w:rsid w:val="00582F3B"/>
    <w:rsid w:val="00583350"/>
    <w:rsid w:val="0059012D"/>
    <w:rsid w:val="00593C4F"/>
    <w:rsid w:val="005946A8"/>
    <w:rsid w:val="00594DE3"/>
    <w:rsid w:val="005A4407"/>
    <w:rsid w:val="005A4975"/>
    <w:rsid w:val="005A59EF"/>
    <w:rsid w:val="005A706D"/>
    <w:rsid w:val="005A7AA4"/>
    <w:rsid w:val="005B1110"/>
    <w:rsid w:val="005B1C7E"/>
    <w:rsid w:val="005B3313"/>
    <w:rsid w:val="005B669A"/>
    <w:rsid w:val="005B7F99"/>
    <w:rsid w:val="005C031C"/>
    <w:rsid w:val="005C62E0"/>
    <w:rsid w:val="005C6976"/>
    <w:rsid w:val="005D2E2D"/>
    <w:rsid w:val="005E007A"/>
    <w:rsid w:val="005E43DD"/>
    <w:rsid w:val="005E4F2D"/>
    <w:rsid w:val="005F6F41"/>
    <w:rsid w:val="00601419"/>
    <w:rsid w:val="0061010F"/>
    <w:rsid w:val="006101A3"/>
    <w:rsid w:val="00617665"/>
    <w:rsid w:val="00617694"/>
    <w:rsid w:val="00623180"/>
    <w:rsid w:val="00623863"/>
    <w:rsid w:val="00625DC6"/>
    <w:rsid w:val="00626B6E"/>
    <w:rsid w:val="00626C6B"/>
    <w:rsid w:val="0063188B"/>
    <w:rsid w:val="00642AD8"/>
    <w:rsid w:val="0064391D"/>
    <w:rsid w:val="006515EF"/>
    <w:rsid w:val="00651821"/>
    <w:rsid w:val="00653EBE"/>
    <w:rsid w:val="00654384"/>
    <w:rsid w:val="0065791A"/>
    <w:rsid w:val="0066195D"/>
    <w:rsid w:val="00665FC7"/>
    <w:rsid w:val="006675CD"/>
    <w:rsid w:val="00671B90"/>
    <w:rsid w:val="00672BAC"/>
    <w:rsid w:val="0067507F"/>
    <w:rsid w:val="00684D9B"/>
    <w:rsid w:val="0068510A"/>
    <w:rsid w:val="00691A8F"/>
    <w:rsid w:val="00691F6C"/>
    <w:rsid w:val="00692B61"/>
    <w:rsid w:val="0069332C"/>
    <w:rsid w:val="0069422C"/>
    <w:rsid w:val="00697556"/>
    <w:rsid w:val="006A5B1F"/>
    <w:rsid w:val="006A71C0"/>
    <w:rsid w:val="006B4647"/>
    <w:rsid w:val="006B4C2B"/>
    <w:rsid w:val="006B6194"/>
    <w:rsid w:val="006B6D47"/>
    <w:rsid w:val="006C0289"/>
    <w:rsid w:val="006C0AE0"/>
    <w:rsid w:val="006C1369"/>
    <w:rsid w:val="006C5AFE"/>
    <w:rsid w:val="006D0F51"/>
    <w:rsid w:val="006D280C"/>
    <w:rsid w:val="006D5BC7"/>
    <w:rsid w:val="006D6BFC"/>
    <w:rsid w:val="006E2BCC"/>
    <w:rsid w:val="006E500E"/>
    <w:rsid w:val="006E5507"/>
    <w:rsid w:val="006F2EC8"/>
    <w:rsid w:val="006F6D95"/>
    <w:rsid w:val="006F6E3A"/>
    <w:rsid w:val="00700BF4"/>
    <w:rsid w:val="00703379"/>
    <w:rsid w:val="00706F13"/>
    <w:rsid w:val="007072E8"/>
    <w:rsid w:val="00711FE1"/>
    <w:rsid w:val="0071618D"/>
    <w:rsid w:val="007166D2"/>
    <w:rsid w:val="0071726D"/>
    <w:rsid w:val="00717C7A"/>
    <w:rsid w:val="00721157"/>
    <w:rsid w:val="00723A3D"/>
    <w:rsid w:val="00725FA4"/>
    <w:rsid w:val="00726F26"/>
    <w:rsid w:val="00735F7E"/>
    <w:rsid w:val="00740059"/>
    <w:rsid w:val="00740446"/>
    <w:rsid w:val="007411B9"/>
    <w:rsid w:val="00743223"/>
    <w:rsid w:val="007438A9"/>
    <w:rsid w:val="0074491E"/>
    <w:rsid w:val="00747A3E"/>
    <w:rsid w:val="007523EA"/>
    <w:rsid w:val="00755509"/>
    <w:rsid w:val="00760B2C"/>
    <w:rsid w:val="00761FD3"/>
    <w:rsid w:val="0076247A"/>
    <w:rsid w:val="007647B6"/>
    <w:rsid w:val="0077274E"/>
    <w:rsid w:val="007743B2"/>
    <w:rsid w:val="00775964"/>
    <w:rsid w:val="007765FE"/>
    <w:rsid w:val="00777C20"/>
    <w:rsid w:val="007879FA"/>
    <w:rsid w:val="00794E2E"/>
    <w:rsid w:val="00795BFB"/>
    <w:rsid w:val="007A35C1"/>
    <w:rsid w:val="007A4C0E"/>
    <w:rsid w:val="007A5D9C"/>
    <w:rsid w:val="007A6181"/>
    <w:rsid w:val="007A696A"/>
    <w:rsid w:val="007A7C83"/>
    <w:rsid w:val="007B2760"/>
    <w:rsid w:val="007B3C59"/>
    <w:rsid w:val="007B5A60"/>
    <w:rsid w:val="007B6F70"/>
    <w:rsid w:val="007B7127"/>
    <w:rsid w:val="007D19F8"/>
    <w:rsid w:val="007D4FAE"/>
    <w:rsid w:val="007E044A"/>
    <w:rsid w:val="007E43FD"/>
    <w:rsid w:val="007E6619"/>
    <w:rsid w:val="008007E8"/>
    <w:rsid w:val="008037BC"/>
    <w:rsid w:val="00803EE2"/>
    <w:rsid w:val="0080406B"/>
    <w:rsid w:val="00805AA1"/>
    <w:rsid w:val="00806C01"/>
    <w:rsid w:val="00811D39"/>
    <w:rsid w:val="008131FC"/>
    <w:rsid w:val="008143EC"/>
    <w:rsid w:val="0081458C"/>
    <w:rsid w:val="008148CC"/>
    <w:rsid w:val="008161D9"/>
    <w:rsid w:val="00820447"/>
    <w:rsid w:val="00820695"/>
    <w:rsid w:val="008211A4"/>
    <w:rsid w:val="008229DD"/>
    <w:rsid w:val="00824DB2"/>
    <w:rsid w:val="00825D0A"/>
    <w:rsid w:val="00840F93"/>
    <w:rsid w:val="0084693A"/>
    <w:rsid w:val="00855BE2"/>
    <w:rsid w:val="008601A7"/>
    <w:rsid w:val="0086213E"/>
    <w:rsid w:val="00866FE7"/>
    <w:rsid w:val="00873150"/>
    <w:rsid w:val="0087657D"/>
    <w:rsid w:val="00876879"/>
    <w:rsid w:val="008807D5"/>
    <w:rsid w:val="00880832"/>
    <w:rsid w:val="0088449C"/>
    <w:rsid w:val="00884784"/>
    <w:rsid w:val="00886EE1"/>
    <w:rsid w:val="0088727D"/>
    <w:rsid w:val="008963C7"/>
    <w:rsid w:val="00896780"/>
    <w:rsid w:val="00896E12"/>
    <w:rsid w:val="00897A2B"/>
    <w:rsid w:val="00897C75"/>
    <w:rsid w:val="008A0191"/>
    <w:rsid w:val="008A3BA1"/>
    <w:rsid w:val="008A64F3"/>
    <w:rsid w:val="008B118B"/>
    <w:rsid w:val="008B3F27"/>
    <w:rsid w:val="008B52EF"/>
    <w:rsid w:val="008B7347"/>
    <w:rsid w:val="008C1130"/>
    <w:rsid w:val="008C1A7C"/>
    <w:rsid w:val="008C208E"/>
    <w:rsid w:val="008C2E77"/>
    <w:rsid w:val="008D18E6"/>
    <w:rsid w:val="008D7A9B"/>
    <w:rsid w:val="008E0060"/>
    <w:rsid w:val="008E7091"/>
    <w:rsid w:val="008E76AC"/>
    <w:rsid w:val="008E7891"/>
    <w:rsid w:val="008E7E99"/>
    <w:rsid w:val="008F21F6"/>
    <w:rsid w:val="008F5066"/>
    <w:rsid w:val="0090633F"/>
    <w:rsid w:val="00911A8A"/>
    <w:rsid w:val="00911F25"/>
    <w:rsid w:val="00915220"/>
    <w:rsid w:val="00917C54"/>
    <w:rsid w:val="0092261B"/>
    <w:rsid w:val="009234BE"/>
    <w:rsid w:val="00923A2E"/>
    <w:rsid w:val="00945DF8"/>
    <w:rsid w:val="00946E48"/>
    <w:rsid w:val="0095141C"/>
    <w:rsid w:val="00951F79"/>
    <w:rsid w:val="00954074"/>
    <w:rsid w:val="00955EE6"/>
    <w:rsid w:val="009563C8"/>
    <w:rsid w:val="00961097"/>
    <w:rsid w:val="00963629"/>
    <w:rsid w:val="0096489C"/>
    <w:rsid w:val="009674A6"/>
    <w:rsid w:val="009674C0"/>
    <w:rsid w:val="009725DD"/>
    <w:rsid w:val="00974AB5"/>
    <w:rsid w:val="009805A9"/>
    <w:rsid w:val="00981B95"/>
    <w:rsid w:val="00982D85"/>
    <w:rsid w:val="0098706D"/>
    <w:rsid w:val="009872E3"/>
    <w:rsid w:val="009935FB"/>
    <w:rsid w:val="00993DBF"/>
    <w:rsid w:val="00993ED0"/>
    <w:rsid w:val="009950B8"/>
    <w:rsid w:val="009A1101"/>
    <w:rsid w:val="009A58FA"/>
    <w:rsid w:val="009B5E81"/>
    <w:rsid w:val="009B664E"/>
    <w:rsid w:val="009B70E0"/>
    <w:rsid w:val="009B7434"/>
    <w:rsid w:val="009C707B"/>
    <w:rsid w:val="009D3C8B"/>
    <w:rsid w:val="009D5DD6"/>
    <w:rsid w:val="009F255D"/>
    <w:rsid w:val="009F4A54"/>
    <w:rsid w:val="009F4BEC"/>
    <w:rsid w:val="009F5874"/>
    <w:rsid w:val="00A02EB5"/>
    <w:rsid w:val="00A0372E"/>
    <w:rsid w:val="00A10782"/>
    <w:rsid w:val="00A121D9"/>
    <w:rsid w:val="00A25FD7"/>
    <w:rsid w:val="00A37AAF"/>
    <w:rsid w:val="00A37ECC"/>
    <w:rsid w:val="00A436C5"/>
    <w:rsid w:val="00A43AFF"/>
    <w:rsid w:val="00A45EC3"/>
    <w:rsid w:val="00A47924"/>
    <w:rsid w:val="00A530C2"/>
    <w:rsid w:val="00A648DE"/>
    <w:rsid w:val="00A70AAA"/>
    <w:rsid w:val="00A73A68"/>
    <w:rsid w:val="00A7624E"/>
    <w:rsid w:val="00A7631E"/>
    <w:rsid w:val="00A7793A"/>
    <w:rsid w:val="00A82122"/>
    <w:rsid w:val="00A8271E"/>
    <w:rsid w:val="00A848BE"/>
    <w:rsid w:val="00A871BA"/>
    <w:rsid w:val="00A8788A"/>
    <w:rsid w:val="00A948B2"/>
    <w:rsid w:val="00A956EC"/>
    <w:rsid w:val="00AA170D"/>
    <w:rsid w:val="00AA4CC7"/>
    <w:rsid w:val="00AA4DEE"/>
    <w:rsid w:val="00AA5E8E"/>
    <w:rsid w:val="00AA6D86"/>
    <w:rsid w:val="00AA6E03"/>
    <w:rsid w:val="00AB2BAD"/>
    <w:rsid w:val="00AB6638"/>
    <w:rsid w:val="00AB6CA7"/>
    <w:rsid w:val="00AC1223"/>
    <w:rsid w:val="00AC459F"/>
    <w:rsid w:val="00AC72B7"/>
    <w:rsid w:val="00AD01E4"/>
    <w:rsid w:val="00AD0858"/>
    <w:rsid w:val="00AE02E3"/>
    <w:rsid w:val="00AE7340"/>
    <w:rsid w:val="00AF0BDF"/>
    <w:rsid w:val="00AF181B"/>
    <w:rsid w:val="00AF1BBD"/>
    <w:rsid w:val="00AF3BE1"/>
    <w:rsid w:val="00AF4BFA"/>
    <w:rsid w:val="00AF5EB3"/>
    <w:rsid w:val="00B01FAF"/>
    <w:rsid w:val="00B0388F"/>
    <w:rsid w:val="00B04222"/>
    <w:rsid w:val="00B10207"/>
    <w:rsid w:val="00B141E7"/>
    <w:rsid w:val="00B16555"/>
    <w:rsid w:val="00B2287F"/>
    <w:rsid w:val="00B31CB4"/>
    <w:rsid w:val="00B32F88"/>
    <w:rsid w:val="00B351B4"/>
    <w:rsid w:val="00B37D19"/>
    <w:rsid w:val="00B43AE4"/>
    <w:rsid w:val="00B46BCA"/>
    <w:rsid w:val="00B478AA"/>
    <w:rsid w:val="00B47EE8"/>
    <w:rsid w:val="00B60B0C"/>
    <w:rsid w:val="00B66F23"/>
    <w:rsid w:val="00B8114F"/>
    <w:rsid w:val="00B821BF"/>
    <w:rsid w:val="00B87806"/>
    <w:rsid w:val="00B87EC9"/>
    <w:rsid w:val="00B90149"/>
    <w:rsid w:val="00B90A55"/>
    <w:rsid w:val="00B90D39"/>
    <w:rsid w:val="00B913B6"/>
    <w:rsid w:val="00B91BF5"/>
    <w:rsid w:val="00B91DA1"/>
    <w:rsid w:val="00B92F5A"/>
    <w:rsid w:val="00B9679B"/>
    <w:rsid w:val="00BA302C"/>
    <w:rsid w:val="00BA4B26"/>
    <w:rsid w:val="00BA6499"/>
    <w:rsid w:val="00BC1639"/>
    <w:rsid w:val="00BC38FD"/>
    <w:rsid w:val="00BD6F3F"/>
    <w:rsid w:val="00BE30CB"/>
    <w:rsid w:val="00BE32C0"/>
    <w:rsid w:val="00BE3E40"/>
    <w:rsid w:val="00BE41DC"/>
    <w:rsid w:val="00BE7D0D"/>
    <w:rsid w:val="00BF3872"/>
    <w:rsid w:val="00C001B5"/>
    <w:rsid w:val="00C0312D"/>
    <w:rsid w:val="00C034CB"/>
    <w:rsid w:val="00C051A8"/>
    <w:rsid w:val="00C054BC"/>
    <w:rsid w:val="00C17897"/>
    <w:rsid w:val="00C23B9A"/>
    <w:rsid w:val="00C27281"/>
    <w:rsid w:val="00C304B4"/>
    <w:rsid w:val="00C31E1B"/>
    <w:rsid w:val="00C32554"/>
    <w:rsid w:val="00C351BA"/>
    <w:rsid w:val="00C364F0"/>
    <w:rsid w:val="00C373AD"/>
    <w:rsid w:val="00C409D5"/>
    <w:rsid w:val="00C435C3"/>
    <w:rsid w:val="00C44E5F"/>
    <w:rsid w:val="00C46912"/>
    <w:rsid w:val="00C50A9C"/>
    <w:rsid w:val="00C51B7C"/>
    <w:rsid w:val="00C51CF4"/>
    <w:rsid w:val="00C563D4"/>
    <w:rsid w:val="00C60AC7"/>
    <w:rsid w:val="00C610FC"/>
    <w:rsid w:val="00C6234B"/>
    <w:rsid w:val="00C63EAE"/>
    <w:rsid w:val="00C64A9F"/>
    <w:rsid w:val="00C64AC4"/>
    <w:rsid w:val="00C73260"/>
    <w:rsid w:val="00C7629F"/>
    <w:rsid w:val="00C862A7"/>
    <w:rsid w:val="00C8661B"/>
    <w:rsid w:val="00C903BB"/>
    <w:rsid w:val="00C9140C"/>
    <w:rsid w:val="00CA03C8"/>
    <w:rsid w:val="00CA049A"/>
    <w:rsid w:val="00CA139A"/>
    <w:rsid w:val="00CA1E34"/>
    <w:rsid w:val="00CA2899"/>
    <w:rsid w:val="00CA2D2F"/>
    <w:rsid w:val="00CA3A3D"/>
    <w:rsid w:val="00CA3AA6"/>
    <w:rsid w:val="00CA61B2"/>
    <w:rsid w:val="00CA77FB"/>
    <w:rsid w:val="00CB08FE"/>
    <w:rsid w:val="00CB2741"/>
    <w:rsid w:val="00CB32A7"/>
    <w:rsid w:val="00CB379B"/>
    <w:rsid w:val="00CB5DD0"/>
    <w:rsid w:val="00CC34AC"/>
    <w:rsid w:val="00CC4746"/>
    <w:rsid w:val="00CC4C76"/>
    <w:rsid w:val="00CC51D4"/>
    <w:rsid w:val="00CC65DA"/>
    <w:rsid w:val="00CD1330"/>
    <w:rsid w:val="00CD1B0C"/>
    <w:rsid w:val="00CD5714"/>
    <w:rsid w:val="00CD5E0B"/>
    <w:rsid w:val="00CD698A"/>
    <w:rsid w:val="00CE0E10"/>
    <w:rsid w:val="00CE306D"/>
    <w:rsid w:val="00CE3098"/>
    <w:rsid w:val="00CE3F38"/>
    <w:rsid w:val="00CE526B"/>
    <w:rsid w:val="00CE5D24"/>
    <w:rsid w:val="00CF0886"/>
    <w:rsid w:val="00CF21B9"/>
    <w:rsid w:val="00CF6BF9"/>
    <w:rsid w:val="00D031B9"/>
    <w:rsid w:val="00D03800"/>
    <w:rsid w:val="00D04FC6"/>
    <w:rsid w:val="00D065D3"/>
    <w:rsid w:val="00D13184"/>
    <w:rsid w:val="00D13A9B"/>
    <w:rsid w:val="00D14C94"/>
    <w:rsid w:val="00D212DC"/>
    <w:rsid w:val="00D23F2F"/>
    <w:rsid w:val="00D27866"/>
    <w:rsid w:val="00D301AA"/>
    <w:rsid w:val="00D30BD1"/>
    <w:rsid w:val="00D31D00"/>
    <w:rsid w:val="00D33651"/>
    <w:rsid w:val="00D342A6"/>
    <w:rsid w:val="00D37471"/>
    <w:rsid w:val="00D45CA6"/>
    <w:rsid w:val="00D464BF"/>
    <w:rsid w:val="00D51E7A"/>
    <w:rsid w:val="00D52EDA"/>
    <w:rsid w:val="00D53E26"/>
    <w:rsid w:val="00D54968"/>
    <w:rsid w:val="00D57050"/>
    <w:rsid w:val="00D573AB"/>
    <w:rsid w:val="00D610C0"/>
    <w:rsid w:val="00D67808"/>
    <w:rsid w:val="00D73D81"/>
    <w:rsid w:val="00D764A6"/>
    <w:rsid w:val="00D8159C"/>
    <w:rsid w:val="00D848A1"/>
    <w:rsid w:val="00D9039F"/>
    <w:rsid w:val="00D93A88"/>
    <w:rsid w:val="00D97CAF"/>
    <w:rsid w:val="00DA62A5"/>
    <w:rsid w:val="00DB0A6D"/>
    <w:rsid w:val="00DB182C"/>
    <w:rsid w:val="00DB3325"/>
    <w:rsid w:val="00DC3E7F"/>
    <w:rsid w:val="00DC5F4E"/>
    <w:rsid w:val="00DD067D"/>
    <w:rsid w:val="00DD3A86"/>
    <w:rsid w:val="00DD4F0E"/>
    <w:rsid w:val="00DD71DC"/>
    <w:rsid w:val="00DE232D"/>
    <w:rsid w:val="00DF0BF0"/>
    <w:rsid w:val="00DF16F5"/>
    <w:rsid w:val="00DF3928"/>
    <w:rsid w:val="00DF3CA2"/>
    <w:rsid w:val="00DF68C2"/>
    <w:rsid w:val="00DF6B50"/>
    <w:rsid w:val="00DF6EC2"/>
    <w:rsid w:val="00DF753F"/>
    <w:rsid w:val="00E01463"/>
    <w:rsid w:val="00E03536"/>
    <w:rsid w:val="00E05E0A"/>
    <w:rsid w:val="00E060BE"/>
    <w:rsid w:val="00E10FA3"/>
    <w:rsid w:val="00E16A81"/>
    <w:rsid w:val="00E21E83"/>
    <w:rsid w:val="00E25C7D"/>
    <w:rsid w:val="00E32C2F"/>
    <w:rsid w:val="00E419A5"/>
    <w:rsid w:val="00E501DA"/>
    <w:rsid w:val="00E50334"/>
    <w:rsid w:val="00E52473"/>
    <w:rsid w:val="00E534CF"/>
    <w:rsid w:val="00E636F8"/>
    <w:rsid w:val="00E63920"/>
    <w:rsid w:val="00E678E8"/>
    <w:rsid w:val="00E70C9E"/>
    <w:rsid w:val="00E765F2"/>
    <w:rsid w:val="00E81AEE"/>
    <w:rsid w:val="00E81CB4"/>
    <w:rsid w:val="00E8585B"/>
    <w:rsid w:val="00E86CF3"/>
    <w:rsid w:val="00E87F41"/>
    <w:rsid w:val="00E917BE"/>
    <w:rsid w:val="00E95C64"/>
    <w:rsid w:val="00EA0191"/>
    <w:rsid w:val="00EA0F09"/>
    <w:rsid w:val="00EA2022"/>
    <w:rsid w:val="00EA3F15"/>
    <w:rsid w:val="00EA5654"/>
    <w:rsid w:val="00EA7847"/>
    <w:rsid w:val="00EB0E81"/>
    <w:rsid w:val="00EB4C2F"/>
    <w:rsid w:val="00EC0480"/>
    <w:rsid w:val="00EC72B7"/>
    <w:rsid w:val="00ED0430"/>
    <w:rsid w:val="00EE2E6E"/>
    <w:rsid w:val="00EE4718"/>
    <w:rsid w:val="00EF2EE7"/>
    <w:rsid w:val="00EF2F4C"/>
    <w:rsid w:val="00EF5192"/>
    <w:rsid w:val="00F00625"/>
    <w:rsid w:val="00F01AA3"/>
    <w:rsid w:val="00F0354E"/>
    <w:rsid w:val="00F048EC"/>
    <w:rsid w:val="00F04903"/>
    <w:rsid w:val="00F0759E"/>
    <w:rsid w:val="00F075F2"/>
    <w:rsid w:val="00F16681"/>
    <w:rsid w:val="00F16A43"/>
    <w:rsid w:val="00F2108C"/>
    <w:rsid w:val="00F31BC6"/>
    <w:rsid w:val="00F35038"/>
    <w:rsid w:val="00F41D0D"/>
    <w:rsid w:val="00F42CAE"/>
    <w:rsid w:val="00F440FF"/>
    <w:rsid w:val="00F46780"/>
    <w:rsid w:val="00F46EE6"/>
    <w:rsid w:val="00F503CF"/>
    <w:rsid w:val="00F53BD0"/>
    <w:rsid w:val="00F55C21"/>
    <w:rsid w:val="00F55DB1"/>
    <w:rsid w:val="00F56A43"/>
    <w:rsid w:val="00F624CE"/>
    <w:rsid w:val="00F65B8D"/>
    <w:rsid w:val="00F663CB"/>
    <w:rsid w:val="00F66950"/>
    <w:rsid w:val="00F67972"/>
    <w:rsid w:val="00F70DF3"/>
    <w:rsid w:val="00F72525"/>
    <w:rsid w:val="00F77D2D"/>
    <w:rsid w:val="00F81C1F"/>
    <w:rsid w:val="00F821A3"/>
    <w:rsid w:val="00F8696C"/>
    <w:rsid w:val="00F9314A"/>
    <w:rsid w:val="00F9382C"/>
    <w:rsid w:val="00F940B2"/>
    <w:rsid w:val="00F957B6"/>
    <w:rsid w:val="00F95DBC"/>
    <w:rsid w:val="00FA02A0"/>
    <w:rsid w:val="00FA1292"/>
    <w:rsid w:val="00FA1E9A"/>
    <w:rsid w:val="00FA7884"/>
    <w:rsid w:val="00FB0CEA"/>
    <w:rsid w:val="00FB1D2F"/>
    <w:rsid w:val="00FB39C7"/>
    <w:rsid w:val="00FC12A5"/>
    <w:rsid w:val="00FC3172"/>
    <w:rsid w:val="00FC394C"/>
    <w:rsid w:val="00FC58EF"/>
    <w:rsid w:val="00FD1864"/>
    <w:rsid w:val="00FD33DF"/>
    <w:rsid w:val="00FD6202"/>
    <w:rsid w:val="00FE1796"/>
    <w:rsid w:val="00FE39D7"/>
    <w:rsid w:val="00FF6314"/>
    <w:rsid w:val="020E52A3"/>
    <w:rsid w:val="0F9943CF"/>
    <w:rsid w:val="1F172A3E"/>
    <w:rsid w:val="21C3137B"/>
    <w:rsid w:val="3095A8AB"/>
    <w:rsid w:val="31F7323C"/>
    <w:rsid w:val="351D36E1"/>
    <w:rsid w:val="3E5C38EF"/>
    <w:rsid w:val="40B4B62C"/>
    <w:rsid w:val="482C274E"/>
    <w:rsid w:val="48BF636A"/>
    <w:rsid w:val="4B4FF2DD"/>
    <w:rsid w:val="4CEC27E5"/>
    <w:rsid w:val="4CF3927F"/>
    <w:rsid w:val="50975913"/>
    <w:rsid w:val="535312CF"/>
    <w:rsid w:val="57DC56D5"/>
    <w:rsid w:val="5B92B0EB"/>
    <w:rsid w:val="5E9C23D2"/>
    <w:rsid w:val="6080B4DD"/>
    <w:rsid w:val="68AFE073"/>
    <w:rsid w:val="68BBEAF5"/>
    <w:rsid w:val="6F506F46"/>
    <w:rsid w:val="710B36E0"/>
    <w:rsid w:val="781D9083"/>
    <w:rsid w:val="79EBA7B2"/>
    <w:rsid w:val="7B4C06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9E9890C"/>
  <w15:chartTrackingRefBased/>
  <w15:docId w15:val="{BF4EA4E8-F1D3-4F00-9FB4-26532182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2224CD"/>
    <w:rPr>
      <w:color w:val="0563C1" w:themeColor="hyperlink"/>
      <w:u w:val="single"/>
    </w:rPr>
  </w:style>
  <w:style w:type="character" w:customStyle="1" w:styleId="UnresolvedMention1">
    <w:name w:val="Unresolved Mention1"/>
    <w:basedOn w:val="Fuentedeprrafopredeter"/>
    <w:uiPriority w:val="99"/>
    <w:semiHidden/>
    <w:unhideWhenUsed/>
    <w:rsid w:val="002224CD"/>
    <w:rPr>
      <w:color w:val="605E5C"/>
      <w:shd w:val="clear" w:color="auto" w:fill="E1DFDD"/>
    </w:rPr>
  </w:style>
  <w:style w:type="paragraph" w:styleId="Revisin">
    <w:name w:val="Revision"/>
    <w:hidden/>
    <w:uiPriority w:val="99"/>
    <w:semiHidden/>
    <w:rsid w:val="00D031B9"/>
    <w:rPr>
      <w:sz w:val="24"/>
      <w:szCs w:val="24"/>
      <w:lang w:val="es-ES" w:eastAsia="es-ES"/>
    </w:rPr>
  </w:style>
  <w:style w:type="character" w:styleId="Refdecomentario">
    <w:name w:val="annotation reference"/>
    <w:basedOn w:val="Fuentedeprrafopredeter"/>
    <w:uiPriority w:val="99"/>
    <w:semiHidden/>
    <w:unhideWhenUsed/>
    <w:rsid w:val="009563C8"/>
    <w:rPr>
      <w:sz w:val="16"/>
      <w:szCs w:val="16"/>
    </w:rPr>
  </w:style>
  <w:style w:type="paragraph" w:styleId="Textocomentario">
    <w:name w:val="annotation text"/>
    <w:basedOn w:val="Normal"/>
    <w:link w:val="TextocomentarioCar"/>
    <w:uiPriority w:val="99"/>
    <w:unhideWhenUsed/>
    <w:rsid w:val="009563C8"/>
    <w:rPr>
      <w:sz w:val="20"/>
      <w:szCs w:val="20"/>
    </w:rPr>
  </w:style>
  <w:style w:type="character" w:customStyle="1" w:styleId="TextocomentarioCar">
    <w:name w:val="Texto comentario Car"/>
    <w:basedOn w:val="Fuentedeprrafopredeter"/>
    <w:link w:val="Textocomentario"/>
    <w:uiPriority w:val="99"/>
    <w:rsid w:val="009563C8"/>
    <w:rPr>
      <w:lang w:val="es-ES" w:eastAsia="es-ES"/>
    </w:rPr>
  </w:style>
  <w:style w:type="paragraph" w:styleId="Asuntodelcomentario">
    <w:name w:val="annotation subject"/>
    <w:basedOn w:val="Textocomentario"/>
    <w:next w:val="Textocomentario"/>
    <w:link w:val="AsuntodelcomentarioCar"/>
    <w:uiPriority w:val="99"/>
    <w:semiHidden/>
    <w:unhideWhenUsed/>
    <w:rsid w:val="009563C8"/>
    <w:rPr>
      <w:b/>
      <w:bCs/>
    </w:rPr>
  </w:style>
  <w:style w:type="character" w:customStyle="1" w:styleId="AsuntodelcomentarioCar">
    <w:name w:val="Asunto del comentario Car"/>
    <w:basedOn w:val="TextocomentarioCar"/>
    <w:link w:val="Asuntodelcomentario"/>
    <w:uiPriority w:val="99"/>
    <w:semiHidden/>
    <w:rsid w:val="009563C8"/>
    <w:rPr>
      <w:b/>
      <w:bCs/>
      <w:lang w:val="es-ES" w:eastAsia="es-ES"/>
    </w:rPr>
  </w:style>
  <w:style w:type="paragraph" w:customStyle="1" w:styleId="Articulo">
    <w:name w:val="Articulo"/>
    <w:basedOn w:val="Normal"/>
    <w:qFormat/>
    <w:rsid w:val="003477EA"/>
    <w:pPr>
      <w:ind w:left="0"/>
      <w:jc w:val="both"/>
    </w:pPr>
    <w:rPr>
      <w:rFonts w:ascii="Bookman Old Style" w:hAnsi="Bookman Old Style"/>
      <w:b/>
    </w:rPr>
  </w:style>
  <w:style w:type="character" w:customStyle="1" w:styleId="Ttulo1Car">
    <w:name w:val="Título 1 Car"/>
    <w:basedOn w:val="Fuentedeprrafopredeter"/>
    <w:link w:val="Ttulo1"/>
    <w:rsid w:val="000215E4"/>
    <w:rPr>
      <w:rFonts w:ascii="CG Times" w:hAnsi="CG Times"/>
      <w:b/>
      <w:sz w:val="24"/>
      <w:lang w:eastAsia="es-ES"/>
    </w:rPr>
  </w:style>
  <w:style w:type="paragraph" w:customStyle="1" w:styleId="paragraph">
    <w:name w:val="paragraph"/>
    <w:basedOn w:val="Normal"/>
    <w:rsid w:val="00E95C64"/>
    <w:pPr>
      <w:spacing w:before="100" w:beforeAutospacing="1" w:after="100" w:afterAutospacing="1"/>
      <w:ind w:left="0"/>
    </w:pPr>
    <w:rPr>
      <w:lang w:val="es-CO" w:eastAsia="es-CO"/>
    </w:rPr>
  </w:style>
  <w:style w:type="character" w:customStyle="1" w:styleId="normaltextrun">
    <w:name w:val="normaltextrun"/>
    <w:basedOn w:val="Fuentedeprrafopredeter"/>
    <w:rsid w:val="00E95C64"/>
  </w:style>
  <w:style w:type="character" w:styleId="Mencionar">
    <w:name w:val="Mention"/>
    <w:basedOn w:val="Fuentedeprrafopredeter"/>
    <w:uiPriority w:val="99"/>
    <w:unhideWhenUsed/>
    <w:rsid w:val="00FF63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288">
      <w:bodyDiv w:val="1"/>
      <w:marLeft w:val="0"/>
      <w:marRight w:val="0"/>
      <w:marTop w:val="0"/>
      <w:marBottom w:val="0"/>
      <w:divBdr>
        <w:top w:val="none" w:sz="0" w:space="0" w:color="auto"/>
        <w:left w:val="none" w:sz="0" w:space="0" w:color="auto"/>
        <w:bottom w:val="none" w:sz="0" w:space="0" w:color="auto"/>
        <w:right w:val="none" w:sz="0" w:space="0" w:color="auto"/>
      </w:divBdr>
      <w:divsChild>
        <w:div w:id="114644471">
          <w:marLeft w:val="446"/>
          <w:marRight w:val="0"/>
          <w:marTop w:val="0"/>
          <w:marBottom w:val="0"/>
          <w:divBdr>
            <w:top w:val="none" w:sz="0" w:space="0" w:color="auto"/>
            <w:left w:val="none" w:sz="0" w:space="0" w:color="auto"/>
            <w:bottom w:val="none" w:sz="0" w:space="0" w:color="auto"/>
            <w:right w:val="none" w:sz="0" w:space="0" w:color="auto"/>
          </w:divBdr>
        </w:div>
      </w:divsChild>
    </w:div>
    <w:div w:id="5644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9f6219-a73f-4366-a00d-6bacb1e9f8e0" xsi:nil="true"/>
    <lcf76f155ced4ddcb4097134ff3c332f xmlns="0f90cc45-9d06-4234-8034-eeec6c0c7cc1">
      <Terms xmlns="http://schemas.microsoft.com/office/infopath/2007/PartnerControls"/>
    </lcf76f155ced4ddcb4097134ff3c332f>
    <SharedWithUsers xmlns="309f6219-a73f-4366-a00d-6bacb1e9f8e0">
      <UserInfo>
        <DisplayName>Magaly Echeverria</DisplayName>
        <AccountId>17</AccountId>
        <AccountType/>
      </UserInfo>
      <UserInfo>
        <DisplayName>Luis Fernando León Granados</DisplayName>
        <AccountId>37</AccountId>
        <AccountType/>
      </UserInfo>
      <UserInfo>
        <DisplayName>Mateo Cortes</DisplayName>
        <AccountId>14</AccountId>
        <AccountType/>
      </UserInfo>
      <UserInfo>
        <DisplayName>Laura Berrio Mesa</DisplayName>
        <AccountId>121</AccountId>
        <AccountType/>
      </UserInfo>
    </SharedWithUsers>
  </documentManagement>
</p:properties>
</file>

<file path=customXml/itemProps1.xml><?xml version="1.0" encoding="utf-8"?>
<ds:datastoreItem xmlns:ds="http://schemas.openxmlformats.org/officeDocument/2006/customXml" ds:itemID="{818942F6-6A06-42AC-B9C9-D8CCD00A6FB2}">
  <ds:schemaRefs>
    <ds:schemaRef ds:uri="http://schemas.microsoft.com/sharepoint/v3/contenttype/forms"/>
  </ds:schemaRefs>
</ds:datastoreItem>
</file>

<file path=customXml/itemProps2.xml><?xml version="1.0" encoding="utf-8"?>
<ds:datastoreItem xmlns:ds="http://schemas.openxmlformats.org/officeDocument/2006/customXml" ds:itemID="{D0207617-3CE6-4E5F-AC8C-3F239356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7CD40-E638-41DA-BBD9-650C880FA330}">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62</TotalTime>
  <Pages>10</Pages>
  <Words>3679</Words>
  <Characters>20239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23871</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Wilson Sanchez Sanchez</cp:lastModifiedBy>
  <cp:revision>12</cp:revision>
  <cp:lastPrinted>2022-08-18T16:11:00Z</cp:lastPrinted>
  <dcterms:created xsi:type="dcterms:W3CDTF">2024-05-31T15:16:00Z</dcterms:created>
  <dcterms:modified xsi:type="dcterms:W3CDTF">2024-06-06T15:30:00Z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0x010100A7D4FDF199FE64438732850D4FBE260F</vt:lpwstr>
  </property>
</Properties>
</file>