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7B00F3" w14:textId="3A24C6F8" w:rsidR="00F662E9" w:rsidRDefault="00F662E9"/>
    <w:p w14:paraId="4EF98527" w14:textId="77777777" w:rsidR="00F662E9" w:rsidRDefault="00F662E9"/>
    <w:p w14:paraId="2CC2A55D" w14:textId="77777777" w:rsidR="00F662E9" w:rsidRDefault="00F662E9"/>
    <w:p w14:paraId="3470A6B6" w14:textId="77777777" w:rsidR="00153C2B" w:rsidRDefault="00153C2B"/>
    <w:p w14:paraId="6DA5328E" w14:textId="6AF42D09" w:rsidR="00020441" w:rsidRDefault="00000520">
      <w:r>
        <w:rPr>
          <w:noProof/>
          <w:sz w:val="20"/>
          <w:lang w:val="es-CO" w:eastAsia="es-CO"/>
        </w:rPr>
        <w:drawing>
          <wp:anchor distT="0" distB="0" distL="114300" distR="114300" simplePos="0" relativeHeight="251657216" behindDoc="0" locked="0" layoutInCell="1" allowOverlap="1" wp14:anchorId="3CD679E6" wp14:editId="0B0F3A8F">
            <wp:simplePos x="0" y="0"/>
            <wp:positionH relativeFrom="column">
              <wp:posOffset>1714500</wp:posOffset>
            </wp:positionH>
            <wp:positionV relativeFrom="paragraph">
              <wp:posOffset>215265</wp:posOffset>
            </wp:positionV>
            <wp:extent cx="2377440" cy="109283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7440" cy="1092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917622" w14:textId="77777777" w:rsidR="00020441" w:rsidRDefault="00020441" w:rsidP="00A64046">
      <w:pPr>
        <w:pStyle w:val="TDC1"/>
      </w:pPr>
    </w:p>
    <w:p w14:paraId="59B5E414" w14:textId="7623CD08" w:rsidR="00020441" w:rsidRDefault="00020441" w:rsidP="00A64046">
      <w:pPr>
        <w:pStyle w:val="TDC1"/>
      </w:pPr>
    </w:p>
    <w:p w14:paraId="567DA79D" w14:textId="77777777" w:rsidR="00F662E9" w:rsidRPr="00F662E9" w:rsidRDefault="00F662E9" w:rsidP="00F662E9">
      <w:pPr>
        <w:rPr>
          <w:lang w:val="es-ES"/>
        </w:rPr>
      </w:pPr>
    </w:p>
    <w:p w14:paraId="31FBBA12" w14:textId="77777777" w:rsidR="00020441" w:rsidRDefault="00020441"/>
    <w:p w14:paraId="211E001C" w14:textId="77777777" w:rsidR="00020441" w:rsidRDefault="00020441"/>
    <w:p w14:paraId="16F6F529" w14:textId="77777777" w:rsidR="00020441" w:rsidRDefault="00020441"/>
    <w:p w14:paraId="1B27E835" w14:textId="77AD6E7A" w:rsidR="00020441" w:rsidRDefault="00160ACD" w:rsidP="007B7AC5">
      <w:pPr>
        <w:pStyle w:val="Textoindependiente"/>
        <w:rPr>
          <w:sz w:val="40"/>
        </w:rPr>
      </w:pPr>
      <w:bookmarkStart w:id="0" w:name="_Hlk143159777"/>
      <w:r>
        <w:rPr>
          <w:sz w:val="40"/>
        </w:rPr>
        <w:t xml:space="preserve">REMUNERACIÓN DE COSTOS DE </w:t>
      </w:r>
      <w:r w:rsidR="00B73E75">
        <w:rPr>
          <w:sz w:val="40"/>
        </w:rPr>
        <w:t xml:space="preserve">ARRANQUE </w:t>
      </w:r>
      <w:r>
        <w:rPr>
          <w:sz w:val="40"/>
        </w:rPr>
        <w:t xml:space="preserve">Y </w:t>
      </w:r>
      <w:r w:rsidR="00B73E75">
        <w:rPr>
          <w:sz w:val="40"/>
        </w:rPr>
        <w:t>PARADA</w:t>
      </w:r>
      <w:r>
        <w:rPr>
          <w:sz w:val="40"/>
        </w:rPr>
        <w:t xml:space="preserve"> DE PLANTAS TÉRMICAS</w:t>
      </w:r>
    </w:p>
    <w:p w14:paraId="58B91D2B" w14:textId="77777777" w:rsidR="00160ACD" w:rsidRDefault="00160ACD" w:rsidP="007B7AC5">
      <w:pPr>
        <w:pStyle w:val="Textoindependiente"/>
        <w:rPr>
          <w:bCs/>
          <w:sz w:val="32"/>
        </w:rPr>
      </w:pPr>
    </w:p>
    <w:p w14:paraId="1C0E5528" w14:textId="01FAF751" w:rsidR="007B7AC5" w:rsidRDefault="00B73E75" w:rsidP="007B7AC5">
      <w:pPr>
        <w:pStyle w:val="Textoindependiente"/>
        <w:rPr>
          <w:bCs/>
          <w:sz w:val="32"/>
        </w:rPr>
      </w:pPr>
      <w:r>
        <w:rPr>
          <w:bCs/>
          <w:sz w:val="32"/>
        </w:rPr>
        <w:t>PROPUESTAS DE AJUSTE</w:t>
      </w:r>
      <w:r w:rsidR="00E51BC0">
        <w:rPr>
          <w:bCs/>
          <w:sz w:val="32"/>
        </w:rPr>
        <w:t xml:space="preserve"> </w:t>
      </w:r>
    </w:p>
    <w:bookmarkEnd w:id="0"/>
    <w:p w14:paraId="65040993" w14:textId="77777777" w:rsidR="00020441" w:rsidRDefault="00020441" w:rsidP="00A64046">
      <w:pPr>
        <w:pStyle w:val="TDC1"/>
      </w:pPr>
    </w:p>
    <w:p w14:paraId="66F041D0" w14:textId="77777777" w:rsidR="00020441" w:rsidRDefault="00020441"/>
    <w:p w14:paraId="2A19BA9B" w14:textId="77777777" w:rsidR="00020441" w:rsidRDefault="00020441"/>
    <w:p w14:paraId="218BB56E" w14:textId="662D4274" w:rsidR="00020441" w:rsidRDefault="00020441"/>
    <w:p w14:paraId="715B5A8B" w14:textId="77777777" w:rsidR="007B7AC5" w:rsidRDefault="007B7AC5"/>
    <w:p w14:paraId="07BC111C" w14:textId="77777777" w:rsidR="00020441" w:rsidRDefault="00020441"/>
    <w:p w14:paraId="54E911F9" w14:textId="08C92C90" w:rsidR="00020441" w:rsidRDefault="00020441">
      <w:pPr>
        <w:rPr>
          <w:b/>
          <w:caps/>
          <w:sz w:val="36"/>
          <w:lang w:val="es-ES"/>
        </w:rPr>
      </w:pPr>
      <w:r>
        <w:rPr>
          <w:b/>
          <w:caps/>
          <w:sz w:val="28"/>
          <w:lang w:val="es-ES"/>
        </w:rPr>
        <w:t xml:space="preserve">DOCUMENTO </w:t>
      </w:r>
      <w:r>
        <w:rPr>
          <w:b/>
          <w:caps/>
          <w:sz w:val="40"/>
          <w:lang w:val="es-ES"/>
        </w:rPr>
        <w:t>CREG-</w:t>
      </w:r>
      <w:r w:rsidR="000930FE">
        <w:rPr>
          <w:b/>
          <w:caps/>
          <w:sz w:val="40"/>
          <w:lang w:val="es-ES"/>
        </w:rPr>
        <w:t xml:space="preserve"> </w:t>
      </w:r>
      <w:r w:rsidR="000930FE" w:rsidRPr="000930FE">
        <w:rPr>
          <w:rFonts w:cs="Arial"/>
          <w:b/>
          <w:bCs/>
          <w:sz w:val="40"/>
          <w:szCs w:val="40"/>
          <w:lang w:val="es-MX"/>
        </w:rPr>
        <w:t>901</w:t>
      </w:r>
      <w:r w:rsidR="000930FE">
        <w:rPr>
          <w:rFonts w:cs="Arial"/>
          <w:b/>
          <w:bCs/>
          <w:sz w:val="40"/>
          <w:szCs w:val="40"/>
          <w:lang w:val="es-MX"/>
        </w:rPr>
        <w:t xml:space="preserve"> </w:t>
      </w:r>
      <w:r w:rsidR="000930FE" w:rsidRPr="000930FE">
        <w:rPr>
          <w:rFonts w:cs="Arial"/>
          <w:b/>
          <w:bCs/>
          <w:sz w:val="40"/>
          <w:szCs w:val="40"/>
          <w:lang w:val="es-MX"/>
        </w:rPr>
        <w:t>096</w:t>
      </w:r>
      <w:r w:rsidR="000930FE">
        <w:rPr>
          <w:rFonts w:cs="Arial"/>
          <w:b/>
          <w:bCs/>
          <w:sz w:val="40"/>
          <w:szCs w:val="40"/>
          <w:lang w:val="es-MX"/>
        </w:rPr>
        <w:t xml:space="preserve"> de 2024</w:t>
      </w:r>
    </w:p>
    <w:p w14:paraId="0C635D25" w14:textId="7127D410" w:rsidR="00020441" w:rsidRDefault="000930FE">
      <w:pPr>
        <w:tabs>
          <w:tab w:val="left" w:pos="9142"/>
        </w:tabs>
        <w:jc w:val="left"/>
        <w:rPr>
          <w:sz w:val="28"/>
        </w:rPr>
      </w:pPr>
      <w:r>
        <w:rPr>
          <w:rFonts w:cs="Arial"/>
          <w:b/>
          <w:bCs/>
          <w:lang w:val="es-MX"/>
        </w:rPr>
        <w:t>31</w:t>
      </w:r>
      <w:r w:rsidR="000F0F5E">
        <w:rPr>
          <w:rFonts w:cs="Arial"/>
          <w:b/>
          <w:bCs/>
          <w:lang w:val="es-MX"/>
        </w:rPr>
        <w:t>-</w:t>
      </w:r>
      <w:r>
        <w:rPr>
          <w:rFonts w:cs="Arial"/>
          <w:b/>
          <w:bCs/>
          <w:lang w:val="es-MX"/>
        </w:rPr>
        <w:t>MAY</w:t>
      </w:r>
      <w:r w:rsidR="000F0F5E">
        <w:rPr>
          <w:rFonts w:cs="Arial"/>
          <w:b/>
          <w:bCs/>
          <w:lang w:val="es-MX"/>
        </w:rPr>
        <w:t>-</w:t>
      </w:r>
      <w:r>
        <w:rPr>
          <w:rFonts w:cs="Arial"/>
          <w:b/>
          <w:bCs/>
          <w:lang w:val="es-MX"/>
        </w:rPr>
        <w:t>2024</w:t>
      </w:r>
    </w:p>
    <w:p w14:paraId="5AF90631" w14:textId="15CE37E0" w:rsidR="00020441" w:rsidRDefault="00020441" w:rsidP="00A64046">
      <w:pPr>
        <w:pStyle w:val="TDC1"/>
      </w:pPr>
    </w:p>
    <w:p w14:paraId="23423849" w14:textId="77777777" w:rsidR="007B7AC5" w:rsidRPr="007B7AC5" w:rsidRDefault="007B7AC5" w:rsidP="007B7AC5">
      <w:pPr>
        <w:rPr>
          <w:lang w:val="es-ES"/>
        </w:rPr>
      </w:pPr>
    </w:p>
    <w:tbl>
      <w:tblPr>
        <w:tblW w:w="0" w:type="auto"/>
        <w:tblInd w:w="4956" w:type="dxa"/>
        <w:tblCellMar>
          <w:left w:w="70" w:type="dxa"/>
          <w:right w:w="70" w:type="dxa"/>
        </w:tblCellMar>
        <w:tblLook w:val="0000" w:firstRow="0" w:lastRow="0" w:firstColumn="0" w:lastColumn="0" w:noHBand="0" w:noVBand="0"/>
      </w:tblPr>
      <w:tblGrid>
        <w:gridCol w:w="4024"/>
      </w:tblGrid>
      <w:tr w:rsidR="00020441" w14:paraId="36CD7AB8" w14:textId="77777777">
        <w:tc>
          <w:tcPr>
            <w:tcW w:w="4024" w:type="dxa"/>
          </w:tcPr>
          <w:p w14:paraId="6A0FC686" w14:textId="77777777" w:rsidR="0077100C" w:rsidRDefault="0077100C">
            <w:pPr>
              <w:jc w:val="left"/>
              <w:rPr>
                <w:b/>
                <w:bCs/>
              </w:rPr>
            </w:pPr>
          </w:p>
          <w:p w14:paraId="7A3FF910" w14:textId="77777777" w:rsidR="0077100C" w:rsidRDefault="0077100C">
            <w:pPr>
              <w:jc w:val="left"/>
              <w:rPr>
                <w:b/>
                <w:bCs/>
              </w:rPr>
            </w:pPr>
          </w:p>
          <w:p w14:paraId="0342DAB8" w14:textId="77777777" w:rsidR="00020441" w:rsidRDefault="00020441">
            <w:pPr>
              <w:jc w:val="left"/>
              <w:rPr>
                <w:b/>
                <w:bCs/>
              </w:rPr>
            </w:pPr>
            <w:r>
              <w:rPr>
                <w:b/>
                <w:bCs/>
              </w:rPr>
              <w:t>CIRCULACIÓN:</w:t>
            </w:r>
          </w:p>
        </w:tc>
      </w:tr>
      <w:tr w:rsidR="00020441" w14:paraId="36F7E2C3" w14:textId="77777777">
        <w:tc>
          <w:tcPr>
            <w:tcW w:w="4024" w:type="dxa"/>
          </w:tcPr>
          <w:p w14:paraId="03E9AF54" w14:textId="77777777" w:rsidR="00020441" w:rsidRDefault="00020441">
            <w:pPr>
              <w:jc w:val="left"/>
              <w:rPr>
                <w:b/>
                <w:bCs/>
              </w:rPr>
            </w:pPr>
            <w:r>
              <w:rPr>
                <w:b/>
                <w:bCs/>
              </w:rPr>
              <w:t>MIEMBROS DE LA COMISIÓN DE</w:t>
            </w:r>
          </w:p>
        </w:tc>
      </w:tr>
      <w:tr w:rsidR="00020441" w14:paraId="7F486FE2" w14:textId="77777777">
        <w:tc>
          <w:tcPr>
            <w:tcW w:w="4024" w:type="dxa"/>
          </w:tcPr>
          <w:p w14:paraId="5EC323FC" w14:textId="7CFA26AF" w:rsidR="00020441" w:rsidRDefault="00020441">
            <w:pPr>
              <w:tabs>
                <w:tab w:val="left" w:pos="4606"/>
                <w:tab w:val="left" w:pos="9142"/>
              </w:tabs>
              <w:jc w:val="left"/>
              <w:rPr>
                <w:b/>
                <w:bCs/>
              </w:rPr>
            </w:pPr>
            <w:r>
              <w:rPr>
                <w:b/>
                <w:bCs/>
              </w:rPr>
              <w:t>REGULACIÓN DE ENERGÍA Y GAS</w:t>
            </w:r>
          </w:p>
        </w:tc>
      </w:tr>
    </w:tbl>
    <w:p w14:paraId="18F91C2D" w14:textId="77777777" w:rsidR="00E7209B" w:rsidRDefault="00E7209B" w:rsidP="003C55ED">
      <w:pPr>
        <w:pStyle w:val="Ttulo1"/>
        <w:numPr>
          <w:ilvl w:val="0"/>
          <w:numId w:val="0"/>
        </w:numPr>
        <w:ind w:left="432" w:hanging="432"/>
        <w:jc w:val="center"/>
      </w:pPr>
    </w:p>
    <w:p w14:paraId="27BAB38E" w14:textId="77777777" w:rsidR="00E7209B" w:rsidRDefault="00020441" w:rsidP="003C55ED">
      <w:pPr>
        <w:pStyle w:val="Ttulo1"/>
        <w:numPr>
          <w:ilvl w:val="0"/>
          <w:numId w:val="0"/>
        </w:numPr>
        <w:ind w:left="432" w:hanging="432"/>
        <w:jc w:val="center"/>
      </w:pPr>
      <w:r>
        <w:br w:type="page"/>
      </w:r>
      <w:bookmarkStart w:id="1" w:name="_Toc429486657"/>
      <w:bookmarkStart w:id="2" w:name="_Toc417034533"/>
    </w:p>
    <w:bookmarkEnd w:id="2" w:displacedByCustomXml="next"/>
    <w:bookmarkEnd w:id="1" w:displacedByCustomXml="next"/>
    <w:sdt>
      <w:sdtPr>
        <w:rPr>
          <w:rFonts w:ascii="Arial" w:eastAsia="Times New Roman" w:hAnsi="Arial" w:cs="Times New Roman"/>
          <w:color w:val="auto"/>
          <w:sz w:val="24"/>
          <w:szCs w:val="20"/>
          <w:lang w:val="es-ES" w:eastAsia="es-ES"/>
        </w:rPr>
        <w:id w:val="116259151"/>
        <w:docPartObj>
          <w:docPartGallery w:val="Table of Contents"/>
          <w:docPartUnique/>
        </w:docPartObj>
      </w:sdtPr>
      <w:sdtEndPr>
        <w:rPr>
          <w:b/>
          <w:bCs/>
        </w:rPr>
      </w:sdtEndPr>
      <w:sdtContent>
        <w:p w14:paraId="409AAE58" w14:textId="77777777" w:rsidR="00F2644E" w:rsidRDefault="00F2644E">
          <w:pPr>
            <w:pStyle w:val="TtuloTDC"/>
            <w:rPr>
              <w:rFonts w:ascii="Arial" w:eastAsia="Times New Roman" w:hAnsi="Arial" w:cs="Times New Roman"/>
              <w:color w:val="auto"/>
              <w:sz w:val="24"/>
              <w:szCs w:val="20"/>
              <w:lang w:val="es-ES" w:eastAsia="es-ES"/>
            </w:rPr>
          </w:pPr>
        </w:p>
        <w:p w14:paraId="5173E7E1" w14:textId="0E8933F3" w:rsidR="00DE477E" w:rsidRDefault="00DE477E">
          <w:pPr>
            <w:pStyle w:val="TtuloTDC"/>
          </w:pPr>
          <w:r>
            <w:rPr>
              <w:lang w:val="es-ES"/>
            </w:rPr>
            <w:t>Contenido</w:t>
          </w:r>
        </w:p>
        <w:p w14:paraId="7DAB302D" w14:textId="70B2AE4D" w:rsidR="00A14D7A" w:rsidRDefault="00DE477E">
          <w:pPr>
            <w:pStyle w:val="TDC1"/>
            <w:rPr>
              <w:rFonts w:asciiTheme="minorHAnsi" w:eastAsiaTheme="minorEastAsia" w:hAnsiTheme="minorHAnsi" w:cstheme="minorBidi"/>
              <w:kern w:val="2"/>
              <w:lang w:val="es-CO" w:eastAsia="es-CO"/>
              <w14:ligatures w14:val="standardContextual"/>
            </w:rPr>
          </w:pPr>
          <w:r>
            <w:fldChar w:fldCharType="begin"/>
          </w:r>
          <w:r>
            <w:instrText xml:space="preserve"> TOC \o "1-3" \h \z \u </w:instrText>
          </w:r>
          <w:r>
            <w:fldChar w:fldCharType="separate"/>
          </w:r>
          <w:hyperlink w:anchor="_Toc168493550" w:history="1">
            <w:r w:rsidR="00A14D7A" w:rsidRPr="00062B8F">
              <w:rPr>
                <w:rStyle w:val="Hipervnculo"/>
              </w:rPr>
              <w:t>1.</w:t>
            </w:r>
            <w:r w:rsidR="00A14D7A">
              <w:rPr>
                <w:rFonts w:asciiTheme="minorHAnsi" w:eastAsiaTheme="minorEastAsia" w:hAnsiTheme="minorHAnsi" w:cstheme="minorBidi"/>
                <w:kern w:val="2"/>
                <w:lang w:val="es-CO" w:eastAsia="es-CO"/>
                <w14:ligatures w14:val="standardContextual"/>
              </w:rPr>
              <w:tab/>
            </w:r>
            <w:r w:rsidR="00A14D7A" w:rsidRPr="00062B8F">
              <w:rPr>
                <w:rStyle w:val="Hipervnculo"/>
              </w:rPr>
              <w:t>ANTECEDENTES</w:t>
            </w:r>
            <w:r w:rsidR="00A14D7A">
              <w:rPr>
                <w:webHidden/>
              </w:rPr>
              <w:tab/>
            </w:r>
            <w:r w:rsidR="00A14D7A">
              <w:rPr>
                <w:webHidden/>
              </w:rPr>
              <w:fldChar w:fldCharType="begin"/>
            </w:r>
            <w:r w:rsidR="00A14D7A">
              <w:rPr>
                <w:webHidden/>
              </w:rPr>
              <w:instrText xml:space="preserve"> PAGEREF _Toc168493550 \h </w:instrText>
            </w:r>
            <w:r w:rsidR="00A14D7A">
              <w:rPr>
                <w:webHidden/>
              </w:rPr>
            </w:r>
            <w:r w:rsidR="00A14D7A">
              <w:rPr>
                <w:webHidden/>
              </w:rPr>
              <w:fldChar w:fldCharType="separate"/>
            </w:r>
            <w:r w:rsidR="00CB0CB3">
              <w:rPr>
                <w:webHidden/>
              </w:rPr>
              <w:t>4</w:t>
            </w:r>
            <w:r w:rsidR="00A14D7A">
              <w:rPr>
                <w:webHidden/>
              </w:rPr>
              <w:fldChar w:fldCharType="end"/>
            </w:r>
          </w:hyperlink>
        </w:p>
        <w:p w14:paraId="2B643A8A" w14:textId="75C21C98" w:rsidR="00A14D7A" w:rsidRDefault="00000000">
          <w:pPr>
            <w:pStyle w:val="TDC1"/>
            <w:rPr>
              <w:rFonts w:asciiTheme="minorHAnsi" w:eastAsiaTheme="minorEastAsia" w:hAnsiTheme="minorHAnsi" w:cstheme="minorBidi"/>
              <w:kern w:val="2"/>
              <w:lang w:val="es-CO" w:eastAsia="es-CO"/>
              <w14:ligatures w14:val="standardContextual"/>
            </w:rPr>
          </w:pPr>
          <w:hyperlink w:anchor="_Toc168493551" w:history="1">
            <w:r w:rsidR="00A14D7A" w:rsidRPr="00062B8F">
              <w:rPr>
                <w:rStyle w:val="Hipervnculo"/>
              </w:rPr>
              <w:t>2.</w:t>
            </w:r>
            <w:r w:rsidR="00A14D7A">
              <w:rPr>
                <w:rFonts w:asciiTheme="minorHAnsi" w:eastAsiaTheme="minorEastAsia" w:hAnsiTheme="minorHAnsi" w:cstheme="minorBidi"/>
                <w:kern w:val="2"/>
                <w:lang w:val="es-CO" w:eastAsia="es-CO"/>
                <w14:ligatures w14:val="standardContextual"/>
              </w:rPr>
              <w:tab/>
            </w:r>
            <w:r w:rsidR="00A14D7A" w:rsidRPr="00062B8F">
              <w:rPr>
                <w:rStyle w:val="Hipervnculo"/>
              </w:rPr>
              <w:t>INFORMACIÓN GENERAL</w:t>
            </w:r>
            <w:r w:rsidR="00A14D7A">
              <w:rPr>
                <w:webHidden/>
              </w:rPr>
              <w:tab/>
            </w:r>
            <w:r w:rsidR="00A14D7A">
              <w:rPr>
                <w:webHidden/>
              </w:rPr>
              <w:fldChar w:fldCharType="begin"/>
            </w:r>
            <w:r w:rsidR="00A14D7A">
              <w:rPr>
                <w:webHidden/>
              </w:rPr>
              <w:instrText xml:space="preserve"> PAGEREF _Toc168493551 \h </w:instrText>
            </w:r>
            <w:r w:rsidR="00A14D7A">
              <w:rPr>
                <w:webHidden/>
              </w:rPr>
            </w:r>
            <w:r w:rsidR="00A14D7A">
              <w:rPr>
                <w:webHidden/>
              </w:rPr>
              <w:fldChar w:fldCharType="separate"/>
            </w:r>
            <w:r w:rsidR="00CB0CB3">
              <w:rPr>
                <w:webHidden/>
              </w:rPr>
              <w:t>5</w:t>
            </w:r>
            <w:r w:rsidR="00A14D7A">
              <w:rPr>
                <w:webHidden/>
              </w:rPr>
              <w:fldChar w:fldCharType="end"/>
            </w:r>
          </w:hyperlink>
        </w:p>
        <w:p w14:paraId="3F269447" w14:textId="6C1C8630" w:rsidR="00A14D7A" w:rsidRDefault="00000000">
          <w:pPr>
            <w:pStyle w:val="TDC2"/>
            <w:rPr>
              <w:rFonts w:asciiTheme="minorHAnsi" w:eastAsiaTheme="minorEastAsia" w:hAnsiTheme="minorHAnsi" w:cstheme="minorBidi"/>
              <w:kern w:val="2"/>
              <w:lang w:val="es-CO" w:eastAsia="es-CO"/>
              <w14:ligatures w14:val="standardContextual"/>
            </w:rPr>
          </w:pPr>
          <w:hyperlink w:anchor="_Toc168493552" w:history="1">
            <w:r w:rsidR="00A14D7A" w:rsidRPr="00062B8F">
              <w:rPr>
                <w:rStyle w:val="Hipervnculo"/>
              </w:rPr>
              <w:t>2.1</w:t>
            </w:r>
            <w:r w:rsidR="00A14D7A">
              <w:rPr>
                <w:rFonts w:asciiTheme="minorHAnsi" w:eastAsiaTheme="minorEastAsia" w:hAnsiTheme="minorHAnsi" w:cstheme="minorBidi"/>
                <w:kern w:val="2"/>
                <w:lang w:val="es-CO" w:eastAsia="es-CO"/>
                <w14:ligatures w14:val="standardContextual"/>
              </w:rPr>
              <w:tab/>
            </w:r>
            <w:r w:rsidR="00A14D7A" w:rsidRPr="00062B8F">
              <w:rPr>
                <w:rStyle w:val="Hipervnculo"/>
              </w:rPr>
              <w:t>Reconciliación positiva de plantas térmicas - Resolución CREG 034 de 2001</w:t>
            </w:r>
            <w:r w:rsidR="00A14D7A">
              <w:rPr>
                <w:webHidden/>
              </w:rPr>
              <w:tab/>
            </w:r>
            <w:r w:rsidR="00A14D7A">
              <w:rPr>
                <w:webHidden/>
              </w:rPr>
              <w:fldChar w:fldCharType="begin"/>
            </w:r>
            <w:r w:rsidR="00A14D7A">
              <w:rPr>
                <w:webHidden/>
              </w:rPr>
              <w:instrText xml:space="preserve"> PAGEREF _Toc168493552 \h </w:instrText>
            </w:r>
            <w:r w:rsidR="00A14D7A">
              <w:rPr>
                <w:webHidden/>
              </w:rPr>
            </w:r>
            <w:r w:rsidR="00A14D7A">
              <w:rPr>
                <w:webHidden/>
              </w:rPr>
              <w:fldChar w:fldCharType="separate"/>
            </w:r>
            <w:r w:rsidR="00CB0CB3">
              <w:rPr>
                <w:webHidden/>
              </w:rPr>
              <w:t>5</w:t>
            </w:r>
            <w:r w:rsidR="00A14D7A">
              <w:rPr>
                <w:webHidden/>
              </w:rPr>
              <w:fldChar w:fldCharType="end"/>
            </w:r>
          </w:hyperlink>
        </w:p>
        <w:p w14:paraId="461340F5" w14:textId="58853165" w:rsidR="00A14D7A" w:rsidRDefault="00000000">
          <w:pPr>
            <w:pStyle w:val="TDC2"/>
            <w:rPr>
              <w:rFonts w:asciiTheme="minorHAnsi" w:eastAsiaTheme="minorEastAsia" w:hAnsiTheme="minorHAnsi" w:cstheme="minorBidi"/>
              <w:kern w:val="2"/>
              <w:lang w:val="es-CO" w:eastAsia="es-CO"/>
              <w14:ligatures w14:val="standardContextual"/>
            </w:rPr>
          </w:pPr>
          <w:hyperlink w:anchor="_Toc168493553" w:history="1">
            <w:r w:rsidR="00A14D7A" w:rsidRPr="00062B8F">
              <w:rPr>
                <w:rStyle w:val="Hipervnculo"/>
              </w:rPr>
              <w:t>2.2</w:t>
            </w:r>
            <w:r w:rsidR="00A14D7A">
              <w:rPr>
                <w:rFonts w:asciiTheme="minorHAnsi" w:eastAsiaTheme="minorEastAsia" w:hAnsiTheme="minorHAnsi" w:cstheme="minorBidi"/>
                <w:kern w:val="2"/>
                <w:lang w:val="es-CO" w:eastAsia="es-CO"/>
                <w14:ligatures w14:val="standardContextual"/>
              </w:rPr>
              <w:tab/>
            </w:r>
            <w:r w:rsidR="00A14D7A" w:rsidRPr="00062B8F">
              <w:rPr>
                <w:rStyle w:val="Hipervnculo"/>
              </w:rPr>
              <w:t>Función precio en la bolsa de energía - Resolución CREG 024 de 1995</w:t>
            </w:r>
            <w:r w:rsidR="00A14D7A">
              <w:rPr>
                <w:webHidden/>
              </w:rPr>
              <w:tab/>
            </w:r>
            <w:r w:rsidR="00A14D7A">
              <w:rPr>
                <w:webHidden/>
              </w:rPr>
              <w:fldChar w:fldCharType="begin"/>
            </w:r>
            <w:r w:rsidR="00A14D7A">
              <w:rPr>
                <w:webHidden/>
              </w:rPr>
              <w:instrText xml:space="preserve"> PAGEREF _Toc168493553 \h </w:instrText>
            </w:r>
            <w:r w:rsidR="00A14D7A">
              <w:rPr>
                <w:webHidden/>
              </w:rPr>
            </w:r>
            <w:r w:rsidR="00A14D7A">
              <w:rPr>
                <w:webHidden/>
              </w:rPr>
              <w:fldChar w:fldCharType="separate"/>
            </w:r>
            <w:r w:rsidR="00CB0CB3">
              <w:rPr>
                <w:webHidden/>
              </w:rPr>
              <w:t>6</w:t>
            </w:r>
            <w:r w:rsidR="00A14D7A">
              <w:rPr>
                <w:webHidden/>
              </w:rPr>
              <w:fldChar w:fldCharType="end"/>
            </w:r>
          </w:hyperlink>
        </w:p>
        <w:p w14:paraId="6BAFD6AF" w14:textId="02C73D50" w:rsidR="00A14D7A" w:rsidRDefault="00000000">
          <w:pPr>
            <w:pStyle w:val="TDC1"/>
            <w:rPr>
              <w:rFonts w:asciiTheme="minorHAnsi" w:eastAsiaTheme="minorEastAsia" w:hAnsiTheme="minorHAnsi" w:cstheme="minorBidi"/>
              <w:kern w:val="2"/>
              <w:lang w:val="es-CO" w:eastAsia="es-CO"/>
              <w14:ligatures w14:val="standardContextual"/>
            </w:rPr>
          </w:pPr>
          <w:hyperlink w:anchor="_Toc168493554" w:history="1">
            <w:r w:rsidR="00A14D7A" w:rsidRPr="00062B8F">
              <w:rPr>
                <w:rStyle w:val="Hipervnculo"/>
              </w:rPr>
              <w:t>3.</w:t>
            </w:r>
            <w:r w:rsidR="00A14D7A">
              <w:rPr>
                <w:rFonts w:asciiTheme="minorHAnsi" w:eastAsiaTheme="minorEastAsia" w:hAnsiTheme="minorHAnsi" w:cstheme="minorBidi"/>
                <w:kern w:val="2"/>
                <w:lang w:val="es-CO" w:eastAsia="es-CO"/>
                <w14:ligatures w14:val="standardContextual"/>
              </w:rPr>
              <w:tab/>
            </w:r>
            <w:r w:rsidR="00A14D7A" w:rsidRPr="00062B8F">
              <w:rPr>
                <w:rStyle w:val="Hipervnculo"/>
              </w:rPr>
              <w:t>DEFINICIÓN DEL PROBLEMA</w:t>
            </w:r>
            <w:r w:rsidR="00A14D7A">
              <w:rPr>
                <w:webHidden/>
              </w:rPr>
              <w:tab/>
            </w:r>
            <w:r w:rsidR="00A14D7A">
              <w:rPr>
                <w:webHidden/>
              </w:rPr>
              <w:fldChar w:fldCharType="begin"/>
            </w:r>
            <w:r w:rsidR="00A14D7A">
              <w:rPr>
                <w:webHidden/>
              </w:rPr>
              <w:instrText xml:space="preserve"> PAGEREF _Toc168493554 \h </w:instrText>
            </w:r>
            <w:r w:rsidR="00A14D7A">
              <w:rPr>
                <w:webHidden/>
              </w:rPr>
            </w:r>
            <w:r w:rsidR="00A14D7A">
              <w:rPr>
                <w:webHidden/>
              </w:rPr>
              <w:fldChar w:fldCharType="separate"/>
            </w:r>
            <w:r w:rsidR="00CB0CB3">
              <w:rPr>
                <w:webHidden/>
              </w:rPr>
              <w:t>8</w:t>
            </w:r>
            <w:r w:rsidR="00A14D7A">
              <w:rPr>
                <w:webHidden/>
              </w:rPr>
              <w:fldChar w:fldCharType="end"/>
            </w:r>
          </w:hyperlink>
        </w:p>
        <w:p w14:paraId="53CBF60D" w14:textId="6544453B" w:rsidR="00A14D7A" w:rsidRDefault="00000000">
          <w:pPr>
            <w:pStyle w:val="TDC2"/>
            <w:rPr>
              <w:rFonts w:asciiTheme="minorHAnsi" w:eastAsiaTheme="minorEastAsia" w:hAnsiTheme="minorHAnsi" w:cstheme="minorBidi"/>
              <w:kern w:val="2"/>
              <w:lang w:val="es-CO" w:eastAsia="es-CO"/>
              <w14:ligatures w14:val="standardContextual"/>
            </w:rPr>
          </w:pPr>
          <w:hyperlink w:anchor="_Toc168493555" w:history="1">
            <w:r w:rsidR="00A14D7A" w:rsidRPr="00062B8F">
              <w:rPr>
                <w:rStyle w:val="Hipervnculo"/>
              </w:rPr>
              <w:t>3.1</w:t>
            </w:r>
            <w:r w:rsidR="00A14D7A">
              <w:rPr>
                <w:rFonts w:asciiTheme="minorHAnsi" w:eastAsiaTheme="minorEastAsia" w:hAnsiTheme="minorHAnsi" w:cstheme="minorBidi"/>
                <w:kern w:val="2"/>
                <w:lang w:val="es-CO" w:eastAsia="es-CO"/>
                <w14:ligatures w14:val="standardContextual"/>
              </w:rPr>
              <w:tab/>
            </w:r>
            <w:r w:rsidR="00A14D7A" w:rsidRPr="00062B8F">
              <w:rPr>
                <w:rStyle w:val="Hipervnculo"/>
              </w:rPr>
              <w:t>Consecuencias</w:t>
            </w:r>
            <w:r w:rsidR="00A14D7A">
              <w:rPr>
                <w:webHidden/>
              </w:rPr>
              <w:tab/>
            </w:r>
            <w:r w:rsidR="00A14D7A">
              <w:rPr>
                <w:webHidden/>
              </w:rPr>
              <w:fldChar w:fldCharType="begin"/>
            </w:r>
            <w:r w:rsidR="00A14D7A">
              <w:rPr>
                <w:webHidden/>
              </w:rPr>
              <w:instrText xml:space="preserve"> PAGEREF _Toc168493555 \h </w:instrText>
            </w:r>
            <w:r w:rsidR="00A14D7A">
              <w:rPr>
                <w:webHidden/>
              </w:rPr>
            </w:r>
            <w:r w:rsidR="00A14D7A">
              <w:rPr>
                <w:webHidden/>
              </w:rPr>
              <w:fldChar w:fldCharType="separate"/>
            </w:r>
            <w:r w:rsidR="00CB0CB3">
              <w:rPr>
                <w:webHidden/>
              </w:rPr>
              <w:t>8</w:t>
            </w:r>
            <w:r w:rsidR="00A14D7A">
              <w:rPr>
                <w:webHidden/>
              </w:rPr>
              <w:fldChar w:fldCharType="end"/>
            </w:r>
          </w:hyperlink>
        </w:p>
        <w:p w14:paraId="52AB41F0" w14:textId="101CF9D8" w:rsidR="00A14D7A" w:rsidRDefault="00000000">
          <w:pPr>
            <w:pStyle w:val="TDC2"/>
            <w:rPr>
              <w:rFonts w:asciiTheme="minorHAnsi" w:eastAsiaTheme="minorEastAsia" w:hAnsiTheme="minorHAnsi" w:cstheme="minorBidi"/>
              <w:kern w:val="2"/>
              <w:lang w:val="es-CO" w:eastAsia="es-CO"/>
              <w14:ligatures w14:val="standardContextual"/>
            </w:rPr>
          </w:pPr>
          <w:hyperlink w:anchor="_Toc168493556" w:history="1">
            <w:r w:rsidR="00A14D7A" w:rsidRPr="00062B8F">
              <w:rPr>
                <w:rStyle w:val="Hipervnculo"/>
                <w:rFonts w:cs="Arial"/>
                <w:bCs/>
              </w:rPr>
              <w:t>3.2</w:t>
            </w:r>
            <w:r w:rsidR="00A14D7A">
              <w:rPr>
                <w:rFonts w:asciiTheme="minorHAnsi" w:eastAsiaTheme="minorEastAsia" w:hAnsiTheme="minorHAnsi" w:cstheme="minorBidi"/>
                <w:kern w:val="2"/>
                <w:lang w:val="es-CO" w:eastAsia="es-CO"/>
                <w14:ligatures w14:val="standardContextual"/>
              </w:rPr>
              <w:tab/>
            </w:r>
            <w:r w:rsidR="00A14D7A" w:rsidRPr="00062B8F">
              <w:rPr>
                <w:rStyle w:val="Hipervnculo"/>
                <w:rFonts w:cs="Arial"/>
                <w:bCs/>
              </w:rPr>
              <w:t>Causa</w:t>
            </w:r>
            <w:r w:rsidR="00A14D7A">
              <w:rPr>
                <w:webHidden/>
              </w:rPr>
              <w:tab/>
            </w:r>
            <w:r w:rsidR="00A14D7A">
              <w:rPr>
                <w:webHidden/>
              </w:rPr>
              <w:fldChar w:fldCharType="begin"/>
            </w:r>
            <w:r w:rsidR="00A14D7A">
              <w:rPr>
                <w:webHidden/>
              </w:rPr>
              <w:instrText xml:space="preserve"> PAGEREF _Toc168493556 \h </w:instrText>
            </w:r>
            <w:r w:rsidR="00A14D7A">
              <w:rPr>
                <w:webHidden/>
              </w:rPr>
            </w:r>
            <w:r w:rsidR="00A14D7A">
              <w:rPr>
                <w:webHidden/>
              </w:rPr>
              <w:fldChar w:fldCharType="separate"/>
            </w:r>
            <w:r w:rsidR="00CB0CB3">
              <w:rPr>
                <w:webHidden/>
              </w:rPr>
              <w:t>9</w:t>
            </w:r>
            <w:r w:rsidR="00A14D7A">
              <w:rPr>
                <w:webHidden/>
              </w:rPr>
              <w:fldChar w:fldCharType="end"/>
            </w:r>
          </w:hyperlink>
        </w:p>
        <w:p w14:paraId="0F0D7FA3" w14:textId="7E76AEE4" w:rsidR="00A14D7A" w:rsidRDefault="00000000">
          <w:pPr>
            <w:pStyle w:val="TDC2"/>
            <w:rPr>
              <w:rFonts w:asciiTheme="minorHAnsi" w:eastAsiaTheme="minorEastAsia" w:hAnsiTheme="minorHAnsi" w:cstheme="minorBidi"/>
              <w:kern w:val="2"/>
              <w:lang w:val="es-CO" w:eastAsia="es-CO"/>
              <w14:ligatures w14:val="standardContextual"/>
            </w:rPr>
          </w:pPr>
          <w:hyperlink w:anchor="_Toc168493557" w:history="1">
            <w:r w:rsidR="00A14D7A" w:rsidRPr="00062B8F">
              <w:rPr>
                <w:rStyle w:val="Hipervnculo"/>
                <w:rFonts w:cs="Arial"/>
              </w:rPr>
              <w:t>3.3</w:t>
            </w:r>
            <w:r w:rsidR="00A14D7A">
              <w:rPr>
                <w:rFonts w:asciiTheme="minorHAnsi" w:eastAsiaTheme="minorEastAsia" w:hAnsiTheme="minorHAnsi" w:cstheme="minorBidi"/>
                <w:kern w:val="2"/>
                <w:lang w:val="es-CO" w:eastAsia="es-CO"/>
                <w14:ligatures w14:val="standardContextual"/>
              </w:rPr>
              <w:tab/>
            </w:r>
            <w:r w:rsidR="00A14D7A" w:rsidRPr="00062B8F">
              <w:rPr>
                <w:rStyle w:val="Hipervnculo"/>
                <w:rFonts w:cs="Arial"/>
              </w:rPr>
              <w:t>Identificación del problema</w:t>
            </w:r>
            <w:r w:rsidR="00A14D7A">
              <w:rPr>
                <w:webHidden/>
              </w:rPr>
              <w:tab/>
            </w:r>
            <w:r w:rsidR="00A14D7A">
              <w:rPr>
                <w:webHidden/>
              </w:rPr>
              <w:fldChar w:fldCharType="begin"/>
            </w:r>
            <w:r w:rsidR="00A14D7A">
              <w:rPr>
                <w:webHidden/>
              </w:rPr>
              <w:instrText xml:space="preserve"> PAGEREF _Toc168493557 \h </w:instrText>
            </w:r>
            <w:r w:rsidR="00A14D7A">
              <w:rPr>
                <w:webHidden/>
              </w:rPr>
            </w:r>
            <w:r w:rsidR="00A14D7A">
              <w:rPr>
                <w:webHidden/>
              </w:rPr>
              <w:fldChar w:fldCharType="separate"/>
            </w:r>
            <w:r w:rsidR="00CB0CB3">
              <w:rPr>
                <w:webHidden/>
              </w:rPr>
              <w:t>9</w:t>
            </w:r>
            <w:r w:rsidR="00A14D7A">
              <w:rPr>
                <w:webHidden/>
              </w:rPr>
              <w:fldChar w:fldCharType="end"/>
            </w:r>
          </w:hyperlink>
        </w:p>
        <w:p w14:paraId="13E655D4" w14:textId="36120ED8" w:rsidR="00A14D7A" w:rsidRDefault="00000000">
          <w:pPr>
            <w:pStyle w:val="TDC1"/>
            <w:rPr>
              <w:rFonts w:asciiTheme="minorHAnsi" w:eastAsiaTheme="minorEastAsia" w:hAnsiTheme="minorHAnsi" w:cstheme="minorBidi"/>
              <w:kern w:val="2"/>
              <w:lang w:val="es-CO" w:eastAsia="es-CO"/>
              <w14:ligatures w14:val="standardContextual"/>
            </w:rPr>
          </w:pPr>
          <w:hyperlink w:anchor="_Toc168493558" w:history="1">
            <w:r w:rsidR="00A14D7A" w:rsidRPr="00062B8F">
              <w:rPr>
                <w:rStyle w:val="Hipervnculo"/>
              </w:rPr>
              <w:t>4.</w:t>
            </w:r>
            <w:r w:rsidR="00A14D7A">
              <w:rPr>
                <w:rFonts w:asciiTheme="minorHAnsi" w:eastAsiaTheme="minorEastAsia" w:hAnsiTheme="minorHAnsi" w:cstheme="minorBidi"/>
                <w:kern w:val="2"/>
                <w:lang w:val="es-CO" w:eastAsia="es-CO"/>
                <w14:ligatures w14:val="standardContextual"/>
              </w:rPr>
              <w:tab/>
            </w:r>
            <w:r w:rsidR="00A14D7A" w:rsidRPr="00062B8F">
              <w:rPr>
                <w:rStyle w:val="Hipervnculo"/>
              </w:rPr>
              <w:t>OBJETIVOS</w:t>
            </w:r>
            <w:r w:rsidR="00A14D7A">
              <w:rPr>
                <w:webHidden/>
              </w:rPr>
              <w:tab/>
            </w:r>
            <w:r w:rsidR="00A14D7A">
              <w:rPr>
                <w:webHidden/>
              </w:rPr>
              <w:fldChar w:fldCharType="begin"/>
            </w:r>
            <w:r w:rsidR="00A14D7A">
              <w:rPr>
                <w:webHidden/>
              </w:rPr>
              <w:instrText xml:space="preserve"> PAGEREF _Toc168493558 \h </w:instrText>
            </w:r>
            <w:r w:rsidR="00A14D7A">
              <w:rPr>
                <w:webHidden/>
              </w:rPr>
            </w:r>
            <w:r w:rsidR="00A14D7A">
              <w:rPr>
                <w:webHidden/>
              </w:rPr>
              <w:fldChar w:fldCharType="separate"/>
            </w:r>
            <w:r w:rsidR="00CB0CB3">
              <w:rPr>
                <w:webHidden/>
              </w:rPr>
              <w:t>9</w:t>
            </w:r>
            <w:r w:rsidR="00A14D7A">
              <w:rPr>
                <w:webHidden/>
              </w:rPr>
              <w:fldChar w:fldCharType="end"/>
            </w:r>
          </w:hyperlink>
        </w:p>
        <w:p w14:paraId="06774FAE" w14:textId="6C13D5F6" w:rsidR="00A14D7A" w:rsidRDefault="00000000">
          <w:pPr>
            <w:pStyle w:val="TDC2"/>
            <w:rPr>
              <w:rFonts w:asciiTheme="minorHAnsi" w:eastAsiaTheme="minorEastAsia" w:hAnsiTheme="minorHAnsi" w:cstheme="minorBidi"/>
              <w:kern w:val="2"/>
              <w:lang w:val="es-CO" w:eastAsia="es-CO"/>
              <w14:ligatures w14:val="standardContextual"/>
            </w:rPr>
          </w:pPr>
          <w:hyperlink w:anchor="_Toc168493559" w:history="1">
            <w:r w:rsidR="00A14D7A" w:rsidRPr="00062B8F">
              <w:rPr>
                <w:rStyle w:val="Hipervnculo"/>
                <w:rFonts w:cs="Arial"/>
              </w:rPr>
              <w:t>4.1</w:t>
            </w:r>
            <w:r w:rsidR="00A14D7A">
              <w:rPr>
                <w:rFonts w:asciiTheme="minorHAnsi" w:eastAsiaTheme="minorEastAsia" w:hAnsiTheme="minorHAnsi" w:cstheme="minorBidi"/>
                <w:kern w:val="2"/>
                <w:lang w:val="es-CO" w:eastAsia="es-CO"/>
                <w14:ligatures w14:val="standardContextual"/>
              </w:rPr>
              <w:tab/>
            </w:r>
            <w:r w:rsidR="00A14D7A" w:rsidRPr="00062B8F">
              <w:rPr>
                <w:rStyle w:val="Hipervnculo"/>
                <w:rFonts w:cs="Arial"/>
              </w:rPr>
              <w:t>Objetivo de impacto</w:t>
            </w:r>
            <w:r w:rsidR="00A14D7A">
              <w:rPr>
                <w:webHidden/>
              </w:rPr>
              <w:tab/>
            </w:r>
            <w:r w:rsidR="00A14D7A">
              <w:rPr>
                <w:webHidden/>
              </w:rPr>
              <w:fldChar w:fldCharType="begin"/>
            </w:r>
            <w:r w:rsidR="00A14D7A">
              <w:rPr>
                <w:webHidden/>
              </w:rPr>
              <w:instrText xml:space="preserve"> PAGEREF _Toc168493559 \h </w:instrText>
            </w:r>
            <w:r w:rsidR="00A14D7A">
              <w:rPr>
                <w:webHidden/>
              </w:rPr>
            </w:r>
            <w:r w:rsidR="00A14D7A">
              <w:rPr>
                <w:webHidden/>
              </w:rPr>
              <w:fldChar w:fldCharType="separate"/>
            </w:r>
            <w:r w:rsidR="00CB0CB3">
              <w:rPr>
                <w:webHidden/>
              </w:rPr>
              <w:t>9</w:t>
            </w:r>
            <w:r w:rsidR="00A14D7A">
              <w:rPr>
                <w:webHidden/>
              </w:rPr>
              <w:fldChar w:fldCharType="end"/>
            </w:r>
          </w:hyperlink>
        </w:p>
        <w:p w14:paraId="2A387963" w14:textId="4DECB845" w:rsidR="00A14D7A" w:rsidRDefault="00000000">
          <w:pPr>
            <w:pStyle w:val="TDC2"/>
            <w:rPr>
              <w:rFonts w:asciiTheme="minorHAnsi" w:eastAsiaTheme="minorEastAsia" w:hAnsiTheme="minorHAnsi" w:cstheme="minorBidi"/>
              <w:kern w:val="2"/>
              <w:lang w:val="es-CO" w:eastAsia="es-CO"/>
              <w14:ligatures w14:val="standardContextual"/>
            </w:rPr>
          </w:pPr>
          <w:hyperlink w:anchor="_Toc168493560" w:history="1">
            <w:r w:rsidR="00A14D7A" w:rsidRPr="00062B8F">
              <w:rPr>
                <w:rStyle w:val="Hipervnculo"/>
                <w:rFonts w:cs="Arial"/>
              </w:rPr>
              <w:t>4.2</w:t>
            </w:r>
            <w:r w:rsidR="00A14D7A">
              <w:rPr>
                <w:rFonts w:asciiTheme="minorHAnsi" w:eastAsiaTheme="minorEastAsia" w:hAnsiTheme="minorHAnsi" w:cstheme="minorBidi"/>
                <w:kern w:val="2"/>
                <w:lang w:val="es-CO" w:eastAsia="es-CO"/>
                <w14:ligatures w14:val="standardContextual"/>
              </w:rPr>
              <w:tab/>
            </w:r>
            <w:r w:rsidR="00A14D7A" w:rsidRPr="00062B8F">
              <w:rPr>
                <w:rStyle w:val="Hipervnculo"/>
                <w:rFonts w:cs="Arial"/>
              </w:rPr>
              <w:t>Objetivo de resultado</w:t>
            </w:r>
            <w:r w:rsidR="00A14D7A">
              <w:rPr>
                <w:webHidden/>
              </w:rPr>
              <w:tab/>
            </w:r>
            <w:r w:rsidR="00A14D7A">
              <w:rPr>
                <w:webHidden/>
              </w:rPr>
              <w:fldChar w:fldCharType="begin"/>
            </w:r>
            <w:r w:rsidR="00A14D7A">
              <w:rPr>
                <w:webHidden/>
              </w:rPr>
              <w:instrText xml:space="preserve"> PAGEREF _Toc168493560 \h </w:instrText>
            </w:r>
            <w:r w:rsidR="00A14D7A">
              <w:rPr>
                <w:webHidden/>
              </w:rPr>
            </w:r>
            <w:r w:rsidR="00A14D7A">
              <w:rPr>
                <w:webHidden/>
              </w:rPr>
              <w:fldChar w:fldCharType="separate"/>
            </w:r>
            <w:r w:rsidR="00CB0CB3">
              <w:rPr>
                <w:webHidden/>
              </w:rPr>
              <w:t>9</w:t>
            </w:r>
            <w:r w:rsidR="00A14D7A">
              <w:rPr>
                <w:webHidden/>
              </w:rPr>
              <w:fldChar w:fldCharType="end"/>
            </w:r>
          </w:hyperlink>
        </w:p>
        <w:p w14:paraId="5395A720" w14:textId="1CF22F28" w:rsidR="00A14D7A" w:rsidRDefault="00000000">
          <w:pPr>
            <w:pStyle w:val="TDC1"/>
            <w:rPr>
              <w:rFonts w:asciiTheme="minorHAnsi" w:eastAsiaTheme="minorEastAsia" w:hAnsiTheme="minorHAnsi" w:cstheme="minorBidi"/>
              <w:kern w:val="2"/>
              <w:lang w:val="es-CO" w:eastAsia="es-CO"/>
              <w14:ligatures w14:val="standardContextual"/>
            </w:rPr>
          </w:pPr>
          <w:hyperlink w:anchor="_Toc168493561" w:history="1">
            <w:r w:rsidR="00A14D7A" w:rsidRPr="00062B8F">
              <w:rPr>
                <w:rStyle w:val="Hipervnculo"/>
              </w:rPr>
              <w:t>5.</w:t>
            </w:r>
            <w:r w:rsidR="00A14D7A">
              <w:rPr>
                <w:rFonts w:asciiTheme="minorHAnsi" w:eastAsiaTheme="minorEastAsia" w:hAnsiTheme="minorHAnsi" w:cstheme="minorBidi"/>
                <w:kern w:val="2"/>
                <w:lang w:val="es-CO" w:eastAsia="es-CO"/>
                <w14:ligatures w14:val="standardContextual"/>
              </w:rPr>
              <w:tab/>
            </w:r>
            <w:r w:rsidR="00A14D7A" w:rsidRPr="00062B8F">
              <w:rPr>
                <w:rStyle w:val="Hipervnculo"/>
              </w:rPr>
              <w:t>ALTERNATIVAS</w:t>
            </w:r>
            <w:r w:rsidR="00A14D7A">
              <w:rPr>
                <w:webHidden/>
              </w:rPr>
              <w:tab/>
            </w:r>
            <w:r w:rsidR="00A14D7A">
              <w:rPr>
                <w:webHidden/>
              </w:rPr>
              <w:fldChar w:fldCharType="begin"/>
            </w:r>
            <w:r w:rsidR="00A14D7A">
              <w:rPr>
                <w:webHidden/>
              </w:rPr>
              <w:instrText xml:space="preserve"> PAGEREF _Toc168493561 \h </w:instrText>
            </w:r>
            <w:r w:rsidR="00A14D7A">
              <w:rPr>
                <w:webHidden/>
              </w:rPr>
            </w:r>
            <w:r w:rsidR="00A14D7A">
              <w:rPr>
                <w:webHidden/>
              </w:rPr>
              <w:fldChar w:fldCharType="separate"/>
            </w:r>
            <w:r w:rsidR="00CB0CB3">
              <w:rPr>
                <w:webHidden/>
              </w:rPr>
              <w:t>10</w:t>
            </w:r>
            <w:r w:rsidR="00A14D7A">
              <w:rPr>
                <w:webHidden/>
              </w:rPr>
              <w:fldChar w:fldCharType="end"/>
            </w:r>
          </w:hyperlink>
        </w:p>
        <w:p w14:paraId="2F396080" w14:textId="50B2FD2A" w:rsidR="00A14D7A" w:rsidRDefault="00000000">
          <w:pPr>
            <w:pStyle w:val="TDC2"/>
            <w:rPr>
              <w:rFonts w:asciiTheme="minorHAnsi" w:eastAsiaTheme="minorEastAsia" w:hAnsiTheme="minorHAnsi" w:cstheme="minorBidi"/>
              <w:kern w:val="2"/>
              <w:lang w:val="es-CO" w:eastAsia="es-CO"/>
              <w14:ligatures w14:val="standardContextual"/>
            </w:rPr>
          </w:pPr>
          <w:hyperlink w:anchor="_Toc168493562" w:history="1">
            <w:r w:rsidR="00A14D7A" w:rsidRPr="00062B8F">
              <w:rPr>
                <w:rStyle w:val="Hipervnculo"/>
              </w:rPr>
              <w:t>5.1</w:t>
            </w:r>
            <w:r w:rsidR="00A14D7A">
              <w:rPr>
                <w:rFonts w:asciiTheme="minorHAnsi" w:eastAsiaTheme="minorEastAsia" w:hAnsiTheme="minorHAnsi" w:cstheme="minorBidi"/>
                <w:kern w:val="2"/>
                <w:lang w:val="es-CO" w:eastAsia="es-CO"/>
                <w14:ligatures w14:val="standardContextual"/>
              </w:rPr>
              <w:tab/>
            </w:r>
            <w:r w:rsidR="00A14D7A" w:rsidRPr="00062B8F">
              <w:rPr>
                <w:rStyle w:val="Hipervnculo"/>
              </w:rPr>
              <w:t>Mantener las reglas vigentes</w:t>
            </w:r>
            <w:r w:rsidR="00A14D7A">
              <w:rPr>
                <w:webHidden/>
              </w:rPr>
              <w:tab/>
            </w:r>
            <w:r w:rsidR="00A14D7A">
              <w:rPr>
                <w:webHidden/>
              </w:rPr>
              <w:fldChar w:fldCharType="begin"/>
            </w:r>
            <w:r w:rsidR="00A14D7A">
              <w:rPr>
                <w:webHidden/>
              </w:rPr>
              <w:instrText xml:space="preserve"> PAGEREF _Toc168493562 \h </w:instrText>
            </w:r>
            <w:r w:rsidR="00A14D7A">
              <w:rPr>
                <w:webHidden/>
              </w:rPr>
            </w:r>
            <w:r w:rsidR="00A14D7A">
              <w:rPr>
                <w:webHidden/>
              </w:rPr>
              <w:fldChar w:fldCharType="separate"/>
            </w:r>
            <w:r w:rsidR="00CB0CB3">
              <w:rPr>
                <w:webHidden/>
              </w:rPr>
              <w:t>10</w:t>
            </w:r>
            <w:r w:rsidR="00A14D7A">
              <w:rPr>
                <w:webHidden/>
              </w:rPr>
              <w:fldChar w:fldCharType="end"/>
            </w:r>
          </w:hyperlink>
        </w:p>
        <w:p w14:paraId="4737DB3A" w14:textId="0BEBD13C" w:rsidR="00A14D7A" w:rsidRDefault="00000000">
          <w:pPr>
            <w:pStyle w:val="TDC2"/>
            <w:rPr>
              <w:rFonts w:asciiTheme="minorHAnsi" w:eastAsiaTheme="minorEastAsia" w:hAnsiTheme="minorHAnsi" w:cstheme="minorBidi"/>
              <w:kern w:val="2"/>
              <w:lang w:val="es-CO" w:eastAsia="es-CO"/>
              <w14:ligatures w14:val="standardContextual"/>
            </w:rPr>
          </w:pPr>
          <w:hyperlink w:anchor="_Toc168493563" w:history="1">
            <w:r w:rsidR="00A14D7A" w:rsidRPr="00062B8F">
              <w:rPr>
                <w:rStyle w:val="Hipervnculo"/>
              </w:rPr>
              <w:t>5.2</w:t>
            </w:r>
            <w:r w:rsidR="00A14D7A">
              <w:rPr>
                <w:rFonts w:asciiTheme="minorHAnsi" w:eastAsiaTheme="minorEastAsia" w:hAnsiTheme="minorHAnsi" w:cstheme="minorBidi"/>
                <w:kern w:val="2"/>
                <w:lang w:val="es-CO" w:eastAsia="es-CO"/>
                <w14:ligatures w14:val="standardContextual"/>
              </w:rPr>
              <w:tab/>
            </w:r>
            <w:r w:rsidR="00A14D7A" w:rsidRPr="00062B8F">
              <w:rPr>
                <w:rStyle w:val="Hipervnculo"/>
              </w:rPr>
              <w:t>Ajuste costos de arranque parada</w:t>
            </w:r>
            <w:r w:rsidR="00A14D7A">
              <w:rPr>
                <w:webHidden/>
              </w:rPr>
              <w:tab/>
            </w:r>
            <w:r w:rsidR="00A14D7A">
              <w:rPr>
                <w:webHidden/>
              </w:rPr>
              <w:fldChar w:fldCharType="begin"/>
            </w:r>
            <w:r w:rsidR="00A14D7A">
              <w:rPr>
                <w:webHidden/>
              </w:rPr>
              <w:instrText xml:space="preserve"> PAGEREF _Toc168493563 \h </w:instrText>
            </w:r>
            <w:r w:rsidR="00A14D7A">
              <w:rPr>
                <w:webHidden/>
              </w:rPr>
            </w:r>
            <w:r w:rsidR="00A14D7A">
              <w:rPr>
                <w:webHidden/>
              </w:rPr>
              <w:fldChar w:fldCharType="separate"/>
            </w:r>
            <w:r w:rsidR="00CB0CB3">
              <w:rPr>
                <w:webHidden/>
              </w:rPr>
              <w:t>11</w:t>
            </w:r>
            <w:r w:rsidR="00A14D7A">
              <w:rPr>
                <w:webHidden/>
              </w:rPr>
              <w:fldChar w:fldCharType="end"/>
            </w:r>
          </w:hyperlink>
        </w:p>
        <w:p w14:paraId="44E219E9" w14:textId="0CEC898A" w:rsidR="00A14D7A" w:rsidRDefault="00000000">
          <w:pPr>
            <w:pStyle w:val="TDC3"/>
            <w:rPr>
              <w:rFonts w:asciiTheme="minorHAnsi" w:eastAsiaTheme="minorEastAsia" w:hAnsiTheme="minorHAnsi" w:cstheme="minorBidi"/>
              <w:noProof/>
              <w:kern w:val="2"/>
              <w:lang w:val="es-CO" w:eastAsia="es-CO"/>
              <w14:ligatures w14:val="standardContextual"/>
            </w:rPr>
          </w:pPr>
          <w:hyperlink w:anchor="_Toc168493564" w:history="1">
            <w:r w:rsidR="00A14D7A" w:rsidRPr="00062B8F">
              <w:rPr>
                <w:rStyle w:val="Hipervnculo"/>
                <w:noProof/>
              </w:rPr>
              <w:t>5.2.1</w:t>
            </w:r>
            <w:r w:rsidR="00A14D7A">
              <w:rPr>
                <w:rFonts w:asciiTheme="minorHAnsi" w:eastAsiaTheme="minorEastAsia" w:hAnsiTheme="minorHAnsi" w:cstheme="minorBidi"/>
                <w:noProof/>
                <w:kern w:val="2"/>
                <w:lang w:val="es-CO" w:eastAsia="es-CO"/>
                <w14:ligatures w14:val="standardContextual"/>
              </w:rPr>
              <w:tab/>
            </w:r>
            <w:r w:rsidR="00A14D7A" w:rsidRPr="00062B8F">
              <w:rPr>
                <w:rStyle w:val="Hipervnculo"/>
                <w:noProof/>
              </w:rPr>
              <w:t>Experiencia en la aplicación del PCAP y Par</w:t>
            </w:r>
            <w:r w:rsidR="00A14D7A">
              <w:rPr>
                <w:noProof/>
                <w:webHidden/>
              </w:rPr>
              <w:tab/>
            </w:r>
            <w:r w:rsidR="00A14D7A">
              <w:rPr>
                <w:noProof/>
                <w:webHidden/>
              </w:rPr>
              <w:fldChar w:fldCharType="begin"/>
            </w:r>
            <w:r w:rsidR="00A14D7A">
              <w:rPr>
                <w:noProof/>
                <w:webHidden/>
              </w:rPr>
              <w:instrText xml:space="preserve"> PAGEREF _Toc168493564 \h </w:instrText>
            </w:r>
            <w:r w:rsidR="00A14D7A">
              <w:rPr>
                <w:noProof/>
                <w:webHidden/>
              </w:rPr>
            </w:r>
            <w:r w:rsidR="00A14D7A">
              <w:rPr>
                <w:noProof/>
                <w:webHidden/>
              </w:rPr>
              <w:fldChar w:fldCharType="separate"/>
            </w:r>
            <w:r w:rsidR="00CB0CB3">
              <w:rPr>
                <w:noProof/>
                <w:webHidden/>
              </w:rPr>
              <w:t>11</w:t>
            </w:r>
            <w:r w:rsidR="00A14D7A">
              <w:rPr>
                <w:noProof/>
                <w:webHidden/>
              </w:rPr>
              <w:fldChar w:fldCharType="end"/>
            </w:r>
          </w:hyperlink>
        </w:p>
        <w:p w14:paraId="3108D151" w14:textId="684D82EE" w:rsidR="00A14D7A" w:rsidRDefault="00000000">
          <w:pPr>
            <w:pStyle w:val="TDC3"/>
            <w:rPr>
              <w:rFonts w:asciiTheme="minorHAnsi" w:eastAsiaTheme="minorEastAsia" w:hAnsiTheme="minorHAnsi" w:cstheme="minorBidi"/>
              <w:noProof/>
              <w:kern w:val="2"/>
              <w:lang w:val="es-CO" w:eastAsia="es-CO"/>
              <w14:ligatures w14:val="standardContextual"/>
            </w:rPr>
          </w:pPr>
          <w:hyperlink w:anchor="_Toc168493565" w:history="1">
            <w:r w:rsidR="00A14D7A" w:rsidRPr="00062B8F">
              <w:rPr>
                <w:rStyle w:val="Hipervnculo"/>
                <w:noProof/>
              </w:rPr>
              <w:t>5.2.2</w:t>
            </w:r>
            <w:r w:rsidR="00A14D7A">
              <w:rPr>
                <w:rFonts w:asciiTheme="minorHAnsi" w:eastAsiaTheme="minorEastAsia" w:hAnsiTheme="minorHAnsi" w:cstheme="minorBidi"/>
                <w:noProof/>
                <w:kern w:val="2"/>
                <w:lang w:val="es-CO" w:eastAsia="es-CO"/>
                <w14:ligatures w14:val="standardContextual"/>
              </w:rPr>
              <w:tab/>
            </w:r>
            <w:r w:rsidR="00A14D7A" w:rsidRPr="00062B8F">
              <w:rPr>
                <w:rStyle w:val="Hipervnculo"/>
                <w:noProof/>
              </w:rPr>
              <w:t>Aplicación de pago de CAP efectivamente incurridos</w:t>
            </w:r>
            <w:r w:rsidR="00A14D7A">
              <w:rPr>
                <w:noProof/>
                <w:webHidden/>
              </w:rPr>
              <w:tab/>
            </w:r>
            <w:r w:rsidR="00A14D7A">
              <w:rPr>
                <w:noProof/>
                <w:webHidden/>
              </w:rPr>
              <w:fldChar w:fldCharType="begin"/>
            </w:r>
            <w:r w:rsidR="00A14D7A">
              <w:rPr>
                <w:noProof/>
                <w:webHidden/>
              </w:rPr>
              <w:instrText xml:space="preserve"> PAGEREF _Toc168493565 \h </w:instrText>
            </w:r>
            <w:r w:rsidR="00A14D7A">
              <w:rPr>
                <w:noProof/>
                <w:webHidden/>
              </w:rPr>
            </w:r>
            <w:r w:rsidR="00A14D7A">
              <w:rPr>
                <w:noProof/>
                <w:webHidden/>
              </w:rPr>
              <w:fldChar w:fldCharType="separate"/>
            </w:r>
            <w:r w:rsidR="00CB0CB3">
              <w:rPr>
                <w:noProof/>
                <w:webHidden/>
              </w:rPr>
              <w:t>13</w:t>
            </w:r>
            <w:r w:rsidR="00A14D7A">
              <w:rPr>
                <w:noProof/>
                <w:webHidden/>
              </w:rPr>
              <w:fldChar w:fldCharType="end"/>
            </w:r>
          </w:hyperlink>
        </w:p>
        <w:p w14:paraId="3A52E9D1" w14:textId="4BEE9897" w:rsidR="00A14D7A" w:rsidRDefault="00000000">
          <w:pPr>
            <w:pStyle w:val="TDC3"/>
            <w:rPr>
              <w:rFonts w:asciiTheme="minorHAnsi" w:eastAsiaTheme="minorEastAsia" w:hAnsiTheme="minorHAnsi" w:cstheme="minorBidi"/>
              <w:noProof/>
              <w:kern w:val="2"/>
              <w:lang w:val="es-CO" w:eastAsia="es-CO"/>
              <w14:ligatures w14:val="standardContextual"/>
            </w:rPr>
          </w:pPr>
          <w:hyperlink w:anchor="_Toc168493566" w:history="1">
            <w:r w:rsidR="00A14D7A" w:rsidRPr="00062B8F">
              <w:rPr>
                <w:rStyle w:val="Hipervnculo"/>
                <w:noProof/>
              </w:rPr>
              <w:t>5.2.3</w:t>
            </w:r>
            <w:r w:rsidR="00A14D7A">
              <w:rPr>
                <w:rFonts w:asciiTheme="minorHAnsi" w:eastAsiaTheme="minorEastAsia" w:hAnsiTheme="minorHAnsi" w:cstheme="minorBidi"/>
                <w:noProof/>
                <w:kern w:val="2"/>
                <w:lang w:val="es-CO" w:eastAsia="es-CO"/>
                <w14:ligatures w14:val="standardContextual"/>
              </w:rPr>
              <w:tab/>
            </w:r>
            <w:r w:rsidR="00A14D7A" w:rsidRPr="00062B8F">
              <w:rPr>
                <w:rStyle w:val="Hipervnculo"/>
                <w:noProof/>
              </w:rPr>
              <w:t>Propuesta</w:t>
            </w:r>
            <w:r w:rsidR="00A14D7A">
              <w:rPr>
                <w:noProof/>
                <w:webHidden/>
              </w:rPr>
              <w:tab/>
            </w:r>
            <w:r w:rsidR="00A14D7A">
              <w:rPr>
                <w:noProof/>
                <w:webHidden/>
              </w:rPr>
              <w:fldChar w:fldCharType="begin"/>
            </w:r>
            <w:r w:rsidR="00A14D7A">
              <w:rPr>
                <w:noProof/>
                <w:webHidden/>
              </w:rPr>
              <w:instrText xml:space="preserve"> PAGEREF _Toc168493566 \h </w:instrText>
            </w:r>
            <w:r w:rsidR="00A14D7A">
              <w:rPr>
                <w:noProof/>
                <w:webHidden/>
              </w:rPr>
            </w:r>
            <w:r w:rsidR="00A14D7A">
              <w:rPr>
                <w:noProof/>
                <w:webHidden/>
              </w:rPr>
              <w:fldChar w:fldCharType="separate"/>
            </w:r>
            <w:r w:rsidR="00CB0CB3">
              <w:rPr>
                <w:noProof/>
                <w:webHidden/>
              </w:rPr>
              <w:t>15</w:t>
            </w:r>
            <w:r w:rsidR="00A14D7A">
              <w:rPr>
                <w:noProof/>
                <w:webHidden/>
              </w:rPr>
              <w:fldChar w:fldCharType="end"/>
            </w:r>
          </w:hyperlink>
        </w:p>
        <w:p w14:paraId="19E0C527" w14:textId="6A6614C2" w:rsidR="00A14D7A" w:rsidRDefault="00000000">
          <w:pPr>
            <w:pStyle w:val="TDC1"/>
            <w:rPr>
              <w:rFonts w:asciiTheme="minorHAnsi" w:eastAsiaTheme="minorEastAsia" w:hAnsiTheme="minorHAnsi" w:cstheme="minorBidi"/>
              <w:kern w:val="2"/>
              <w:lang w:val="es-CO" w:eastAsia="es-CO"/>
              <w14:ligatures w14:val="standardContextual"/>
            </w:rPr>
          </w:pPr>
          <w:hyperlink w:anchor="_Toc168493567" w:history="1">
            <w:r w:rsidR="00A14D7A" w:rsidRPr="00062B8F">
              <w:rPr>
                <w:rStyle w:val="Hipervnculo"/>
              </w:rPr>
              <w:t>6.</w:t>
            </w:r>
            <w:r w:rsidR="00A14D7A">
              <w:rPr>
                <w:rFonts w:asciiTheme="minorHAnsi" w:eastAsiaTheme="minorEastAsia" w:hAnsiTheme="minorHAnsi" w:cstheme="minorBidi"/>
                <w:kern w:val="2"/>
                <w:lang w:val="es-CO" w:eastAsia="es-CO"/>
                <w14:ligatures w14:val="standardContextual"/>
              </w:rPr>
              <w:tab/>
            </w:r>
            <w:r w:rsidR="00A14D7A" w:rsidRPr="00062B8F">
              <w:rPr>
                <w:rStyle w:val="Hipervnculo"/>
              </w:rPr>
              <w:t>ANÁLISIS DE IMPACTO</w:t>
            </w:r>
            <w:r w:rsidR="00A14D7A">
              <w:rPr>
                <w:webHidden/>
              </w:rPr>
              <w:tab/>
            </w:r>
            <w:r w:rsidR="00A14D7A">
              <w:rPr>
                <w:webHidden/>
              </w:rPr>
              <w:fldChar w:fldCharType="begin"/>
            </w:r>
            <w:r w:rsidR="00A14D7A">
              <w:rPr>
                <w:webHidden/>
              </w:rPr>
              <w:instrText xml:space="preserve"> PAGEREF _Toc168493567 \h </w:instrText>
            </w:r>
            <w:r w:rsidR="00A14D7A">
              <w:rPr>
                <w:webHidden/>
              </w:rPr>
            </w:r>
            <w:r w:rsidR="00A14D7A">
              <w:rPr>
                <w:webHidden/>
              </w:rPr>
              <w:fldChar w:fldCharType="separate"/>
            </w:r>
            <w:r w:rsidR="00CB0CB3">
              <w:rPr>
                <w:webHidden/>
              </w:rPr>
              <w:t>17</w:t>
            </w:r>
            <w:r w:rsidR="00A14D7A">
              <w:rPr>
                <w:webHidden/>
              </w:rPr>
              <w:fldChar w:fldCharType="end"/>
            </w:r>
          </w:hyperlink>
        </w:p>
        <w:p w14:paraId="5EF834EB" w14:textId="0B024304" w:rsidR="00A14D7A" w:rsidRDefault="00000000">
          <w:pPr>
            <w:pStyle w:val="TDC1"/>
            <w:rPr>
              <w:rFonts w:asciiTheme="minorHAnsi" w:eastAsiaTheme="minorEastAsia" w:hAnsiTheme="minorHAnsi" w:cstheme="minorBidi"/>
              <w:kern w:val="2"/>
              <w:lang w:val="es-CO" w:eastAsia="es-CO"/>
              <w14:ligatures w14:val="standardContextual"/>
            </w:rPr>
          </w:pPr>
          <w:hyperlink w:anchor="_Toc168493568" w:history="1">
            <w:r w:rsidR="00A14D7A" w:rsidRPr="00062B8F">
              <w:rPr>
                <w:rStyle w:val="Hipervnculo"/>
              </w:rPr>
              <w:t>7.</w:t>
            </w:r>
            <w:r w:rsidR="00A14D7A">
              <w:rPr>
                <w:rFonts w:asciiTheme="minorHAnsi" w:eastAsiaTheme="minorEastAsia" w:hAnsiTheme="minorHAnsi" w:cstheme="minorBidi"/>
                <w:kern w:val="2"/>
                <w:lang w:val="es-CO" w:eastAsia="es-CO"/>
                <w14:ligatures w14:val="standardContextual"/>
              </w:rPr>
              <w:tab/>
            </w:r>
            <w:r w:rsidR="00A14D7A" w:rsidRPr="00062B8F">
              <w:rPr>
                <w:rStyle w:val="Hipervnculo"/>
              </w:rPr>
              <w:t>CONSULTA PÚBLICA</w:t>
            </w:r>
            <w:r w:rsidR="00A14D7A">
              <w:rPr>
                <w:webHidden/>
              </w:rPr>
              <w:tab/>
            </w:r>
            <w:r w:rsidR="00A14D7A">
              <w:rPr>
                <w:webHidden/>
              </w:rPr>
              <w:fldChar w:fldCharType="begin"/>
            </w:r>
            <w:r w:rsidR="00A14D7A">
              <w:rPr>
                <w:webHidden/>
              </w:rPr>
              <w:instrText xml:space="preserve"> PAGEREF _Toc168493568 \h </w:instrText>
            </w:r>
            <w:r w:rsidR="00A14D7A">
              <w:rPr>
                <w:webHidden/>
              </w:rPr>
            </w:r>
            <w:r w:rsidR="00A14D7A">
              <w:rPr>
                <w:webHidden/>
              </w:rPr>
              <w:fldChar w:fldCharType="separate"/>
            </w:r>
            <w:r w:rsidR="00CB0CB3">
              <w:rPr>
                <w:webHidden/>
              </w:rPr>
              <w:t>18</w:t>
            </w:r>
            <w:r w:rsidR="00A14D7A">
              <w:rPr>
                <w:webHidden/>
              </w:rPr>
              <w:fldChar w:fldCharType="end"/>
            </w:r>
          </w:hyperlink>
        </w:p>
        <w:p w14:paraId="73130DB5" w14:textId="36178CCC" w:rsidR="00A14D7A" w:rsidRDefault="00000000">
          <w:pPr>
            <w:pStyle w:val="TDC1"/>
            <w:rPr>
              <w:rFonts w:asciiTheme="minorHAnsi" w:eastAsiaTheme="minorEastAsia" w:hAnsiTheme="minorHAnsi" w:cstheme="minorBidi"/>
              <w:kern w:val="2"/>
              <w:lang w:val="es-CO" w:eastAsia="es-CO"/>
              <w14:ligatures w14:val="standardContextual"/>
            </w:rPr>
          </w:pPr>
          <w:hyperlink w:anchor="_Toc168493569" w:history="1">
            <w:r w:rsidR="00A14D7A" w:rsidRPr="00062B8F">
              <w:rPr>
                <w:rStyle w:val="Hipervnculo"/>
              </w:rPr>
              <w:t>8.</w:t>
            </w:r>
            <w:r w:rsidR="00A14D7A">
              <w:rPr>
                <w:rFonts w:asciiTheme="minorHAnsi" w:eastAsiaTheme="minorEastAsia" w:hAnsiTheme="minorHAnsi" w:cstheme="minorBidi"/>
                <w:kern w:val="2"/>
                <w:lang w:val="es-CO" w:eastAsia="es-CO"/>
                <w14:ligatures w14:val="standardContextual"/>
              </w:rPr>
              <w:tab/>
            </w:r>
            <w:r w:rsidR="00A14D7A" w:rsidRPr="00062B8F">
              <w:rPr>
                <w:rStyle w:val="Hipervnculo"/>
              </w:rPr>
              <w:t>CONCLUSIONES</w:t>
            </w:r>
            <w:r w:rsidR="00A14D7A">
              <w:rPr>
                <w:webHidden/>
              </w:rPr>
              <w:tab/>
            </w:r>
            <w:r w:rsidR="00A14D7A">
              <w:rPr>
                <w:webHidden/>
              </w:rPr>
              <w:fldChar w:fldCharType="begin"/>
            </w:r>
            <w:r w:rsidR="00A14D7A">
              <w:rPr>
                <w:webHidden/>
              </w:rPr>
              <w:instrText xml:space="preserve"> PAGEREF _Toc168493569 \h </w:instrText>
            </w:r>
            <w:r w:rsidR="00A14D7A">
              <w:rPr>
                <w:webHidden/>
              </w:rPr>
            </w:r>
            <w:r w:rsidR="00A14D7A">
              <w:rPr>
                <w:webHidden/>
              </w:rPr>
              <w:fldChar w:fldCharType="separate"/>
            </w:r>
            <w:r w:rsidR="00CB0CB3">
              <w:rPr>
                <w:webHidden/>
              </w:rPr>
              <w:t>18</w:t>
            </w:r>
            <w:r w:rsidR="00A14D7A">
              <w:rPr>
                <w:webHidden/>
              </w:rPr>
              <w:fldChar w:fldCharType="end"/>
            </w:r>
          </w:hyperlink>
        </w:p>
        <w:p w14:paraId="3D01E000" w14:textId="391F990E" w:rsidR="00A14D7A" w:rsidRDefault="00000000">
          <w:pPr>
            <w:pStyle w:val="TDC1"/>
            <w:rPr>
              <w:rFonts w:asciiTheme="minorHAnsi" w:eastAsiaTheme="minorEastAsia" w:hAnsiTheme="minorHAnsi" w:cstheme="minorBidi"/>
              <w:kern w:val="2"/>
              <w:lang w:val="es-CO" w:eastAsia="es-CO"/>
              <w14:ligatures w14:val="standardContextual"/>
            </w:rPr>
          </w:pPr>
          <w:hyperlink w:anchor="_Toc168493570" w:history="1">
            <w:r w:rsidR="00A14D7A" w:rsidRPr="00062B8F">
              <w:rPr>
                <w:rStyle w:val="Hipervnculo"/>
              </w:rPr>
              <w:t>ANEXO. PRECIOS DE ARRANQUE – PARADA DECLARADOS</w:t>
            </w:r>
            <w:r w:rsidR="00A14D7A">
              <w:rPr>
                <w:webHidden/>
              </w:rPr>
              <w:tab/>
            </w:r>
            <w:r w:rsidR="00A14D7A">
              <w:rPr>
                <w:webHidden/>
              </w:rPr>
              <w:fldChar w:fldCharType="begin"/>
            </w:r>
            <w:r w:rsidR="00A14D7A">
              <w:rPr>
                <w:webHidden/>
              </w:rPr>
              <w:instrText xml:space="preserve"> PAGEREF _Toc168493570 \h </w:instrText>
            </w:r>
            <w:r w:rsidR="00A14D7A">
              <w:rPr>
                <w:webHidden/>
              </w:rPr>
            </w:r>
            <w:r w:rsidR="00A14D7A">
              <w:rPr>
                <w:webHidden/>
              </w:rPr>
              <w:fldChar w:fldCharType="separate"/>
            </w:r>
            <w:r w:rsidR="00CB0CB3">
              <w:rPr>
                <w:webHidden/>
              </w:rPr>
              <w:t>20</w:t>
            </w:r>
            <w:r w:rsidR="00A14D7A">
              <w:rPr>
                <w:webHidden/>
              </w:rPr>
              <w:fldChar w:fldCharType="end"/>
            </w:r>
          </w:hyperlink>
        </w:p>
        <w:p w14:paraId="669389C3" w14:textId="0BFB3499" w:rsidR="00DE477E" w:rsidRDefault="00DE477E">
          <w:r>
            <w:rPr>
              <w:b/>
              <w:bCs/>
              <w:lang w:val="es-ES"/>
            </w:rPr>
            <w:fldChar w:fldCharType="end"/>
          </w:r>
        </w:p>
      </w:sdtContent>
    </w:sdt>
    <w:p w14:paraId="151790FB" w14:textId="5F0B2FFC" w:rsidR="00F2644E" w:rsidRDefault="00F2644E" w:rsidP="003E39BA">
      <w:pPr>
        <w:pStyle w:val="TtuloTDC"/>
        <w:rPr>
          <w:lang w:val="es-ES"/>
        </w:rPr>
      </w:pPr>
      <w:r>
        <w:rPr>
          <w:lang w:val="es-ES"/>
        </w:rPr>
        <w:br w:type="page"/>
      </w:r>
    </w:p>
    <w:p w14:paraId="4B3CADB0" w14:textId="77777777" w:rsidR="003E39BA" w:rsidRDefault="003E39BA" w:rsidP="003E39BA">
      <w:pPr>
        <w:pStyle w:val="TtuloTDC"/>
        <w:rPr>
          <w:lang w:val="es-ES"/>
        </w:rPr>
      </w:pPr>
    </w:p>
    <w:p w14:paraId="6E54A31A" w14:textId="22864BD3" w:rsidR="0090732B" w:rsidRDefault="0090732B" w:rsidP="003E39BA">
      <w:pPr>
        <w:pStyle w:val="TtuloTDC"/>
        <w:rPr>
          <w:lang w:val="es-ES"/>
        </w:rPr>
      </w:pPr>
      <w:r>
        <w:rPr>
          <w:lang w:val="es-ES"/>
        </w:rPr>
        <w:t>Ecuac</w:t>
      </w:r>
      <w:r w:rsidR="003E39BA">
        <w:rPr>
          <w:lang w:val="es-ES"/>
        </w:rPr>
        <w:t>iones</w:t>
      </w:r>
    </w:p>
    <w:p w14:paraId="273815EC" w14:textId="77777777" w:rsidR="0090732B" w:rsidRDefault="0090732B">
      <w:pPr>
        <w:pStyle w:val="Tabladeilustraciones"/>
        <w:rPr>
          <w:lang w:val="es-ES"/>
        </w:rPr>
      </w:pPr>
    </w:p>
    <w:p w14:paraId="62F35682" w14:textId="38D1494C" w:rsidR="00A14D7A" w:rsidRDefault="0090732B">
      <w:pPr>
        <w:pStyle w:val="Tabladeilustraciones"/>
        <w:rPr>
          <w:rFonts w:asciiTheme="minorHAnsi" w:eastAsiaTheme="minorEastAsia" w:hAnsiTheme="minorHAnsi" w:cstheme="minorBidi"/>
          <w:kern w:val="2"/>
          <w:szCs w:val="24"/>
          <w:lang w:val="es-CO" w:eastAsia="es-CO"/>
          <w14:ligatures w14:val="standardContextual"/>
        </w:rPr>
      </w:pPr>
      <w:r>
        <w:rPr>
          <w:lang w:val="es-ES"/>
        </w:rPr>
        <w:fldChar w:fldCharType="begin"/>
      </w:r>
      <w:r>
        <w:rPr>
          <w:lang w:val="es-ES"/>
        </w:rPr>
        <w:instrText xml:space="preserve"> TOC \h \z \c "Ecuación" </w:instrText>
      </w:r>
      <w:r>
        <w:rPr>
          <w:lang w:val="es-ES"/>
        </w:rPr>
        <w:fldChar w:fldCharType="separate"/>
      </w:r>
      <w:hyperlink w:anchor="_Toc168493571" w:history="1">
        <w:r w:rsidR="00A14D7A" w:rsidRPr="003A2675">
          <w:rPr>
            <w:rStyle w:val="Hipervnculo"/>
          </w:rPr>
          <w:t>Ecuación 1. Reconciliación positiva plantas térmicas</w:t>
        </w:r>
        <w:r w:rsidR="00A14D7A">
          <w:rPr>
            <w:webHidden/>
          </w:rPr>
          <w:tab/>
        </w:r>
        <w:r w:rsidR="00A14D7A">
          <w:rPr>
            <w:webHidden/>
          </w:rPr>
          <w:fldChar w:fldCharType="begin"/>
        </w:r>
        <w:r w:rsidR="00A14D7A">
          <w:rPr>
            <w:webHidden/>
          </w:rPr>
          <w:instrText xml:space="preserve"> PAGEREF _Toc168493571 \h </w:instrText>
        </w:r>
        <w:r w:rsidR="00A14D7A">
          <w:rPr>
            <w:webHidden/>
          </w:rPr>
        </w:r>
        <w:r w:rsidR="00A14D7A">
          <w:rPr>
            <w:webHidden/>
          </w:rPr>
          <w:fldChar w:fldCharType="separate"/>
        </w:r>
        <w:r w:rsidR="00CB0CB3">
          <w:rPr>
            <w:webHidden/>
          </w:rPr>
          <w:t>5</w:t>
        </w:r>
        <w:r w:rsidR="00A14D7A">
          <w:rPr>
            <w:webHidden/>
          </w:rPr>
          <w:fldChar w:fldCharType="end"/>
        </w:r>
      </w:hyperlink>
    </w:p>
    <w:p w14:paraId="2C4AAC51" w14:textId="234E1AA6" w:rsidR="00A14D7A" w:rsidRDefault="00000000">
      <w:pPr>
        <w:pStyle w:val="Tabladeilustraciones"/>
        <w:rPr>
          <w:rFonts w:asciiTheme="minorHAnsi" w:eastAsiaTheme="minorEastAsia" w:hAnsiTheme="minorHAnsi" w:cstheme="minorBidi"/>
          <w:kern w:val="2"/>
          <w:szCs w:val="24"/>
          <w:lang w:val="es-CO" w:eastAsia="es-CO"/>
          <w14:ligatures w14:val="standardContextual"/>
        </w:rPr>
      </w:pPr>
      <w:hyperlink w:anchor="_Toc168493572" w:history="1">
        <w:r w:rsidR="00A14D7A" w:rsidRPr="003A2675">
          <w:rPr>
            <w:rStyle w:val="Hipervnculo"/>
          </w:rPr>
          <w:t xml:space="preserve">Ecuación 2.Ecuaciones para determinar </w:t>
        </w:r>
        <w:r w:rsidR="00A14D7A" w:rsidRPr="003A2675">
          <w:rPr>
            <w:rStyle w:val="Hipervnculo"/>
            <w:rFonts w:cs="Arial"/>
          </w:rPr>
          <w:t>Δ</w:t>
        </w:r>
        <w:r w:rsidR="00A14D7A" w:rsidRPr="003A2675">
          <w:rPr>
            <w:rStyle w:val="Hipervnculo"/>
          </w:rPr>
          <w:t>I</w:t>
        </w:r>
        <w:r w:rsidR="00A14D7A">
          <w:rPr>
            <w:webHidden/>
          </w:rPr>
          <w:tab/>
        </w:r>
        <w:r w:rsidR="00A14D7A">
          <w:rPr>
            <w:webHidden/>
          </w:rPr>
          <w:fldChar w:fldCharType="begin"/>
        </w:r>
        <w:r w:rsidR="00A14D7A">
          <w:rPr>
            <w:webHidden/>
          </w:rPr>
          <w:instrText xml:space="preserve"> PAGEREF _Toc168493572 \h </w:instrText>
        </w:r>
        <w:r w:rsidR="00A14D7A">
          <w:rPr>
            <w:webHidden/>
          </w:rPr>
        </w:r>
        <w:r w:rsidR="00A14D7A">
          <w:rPr>
            <w:webHidden/>
          </w:rPr>
          <w:fldChar w:fldCharType="separate"/>
        </w:r>
        <w:r w:rsidR="00CB0CB3">
          <w:rPr>
            <w:webHidden/>
          </w:rPr>
          <w:t>7</w:t>
        </w:r>
        <w:r w:rsidR="00A14D7A">
          <w:rPr>
            <w:webHidden/>
          </w:rPr>
          <w:fldChar w:fldCharType="end"/>
        </w:r>
      </w:hyperlink>
    </w:p>
    <w:p w14:paraId="47C17944" w14:textId="552FE3EB" w:rsidR="00A14D7A" w:rsidRDefault="00000000">
      <w:pPr>
        <w:pStyle w:val="Tabladeilustraciones"/>
        <w:rPr>
          <w:rFonts w:asciiTheme="minorHAnsi" w:eastAsiaTheme="minorEastAsia" w:hAnsiTheme="minorHAnsi" w:cstheme="minorBidi"/>
          <w:kern w:val="2"/>
          <w:szCs w:val="24"/>
          <w:lang w:val="es-CO" w:eastAsia="es-CO"/>
          <w14:ligatures w14:val="standardContextual"/>
        </w:rPr>
      </w:pPr>
      <w:hyperlink w:anchor="_Toc168493573" w:history="1">
        <w:r w:rsidR="00A14D7A" w:rsidRPr="003A2675">
          <w:rPr>
            <w:rStyle w:val="Hipervnculo"/>
          </w:rPr>
          <w:t xml:space="preserve">Ecuación 3. Ecuación reescrita para determinar </w:t>
        </w:r>
        <w:r w:rsidR="00A14D7A" w:rsidRPr="003A2675">
          <w:rPr>
            <w:rStyle w:val="Hipervnculo"/>
            <w:rFonts w:cs="Arial"/>
          </w:rPr>
          <w:t>∆</w:t>
        </w:r>
        <w:r w:rsidR="00A14D7A" w:rsidRPr="003A2675">
          <w:rPr>
            <w:rStyle w:val="Hipervnculo"/>
          </w:rPr>
          <w:t>I</w:t>
        </w:r>
        <w:r w:rsidR="00A14D7A">
          <w:rPr>
            <w:webHidden/>
          </w:rPr>
          <w:tab/>
        </w:r>
        <w:r w:rsidR="00A14D7A">
          <w:rPr>
            <w:webHidden/>
          </w:rPr>
          <w:fldChar w:fldCharType="begin"/>
        </w:r>
        <w:r w:rsidR="00A14D7A">
          <w:rPr>
            <w:webHidden/>
          </w:rPr>
          <w:instrText xml:space="preserve"> PAGEREF _Toc168493573 \h </w:instrText>
        </w:r>
        <w:r w:rsidR="00A14D7A">
          <w:rPr>
            <w:webHidden/>
          </w:rPr>
        </w:r>
        <w:r w:rsidR="00A14D7A">
          <w:rPr>
            <w:webHidden/>
          </w:rPr>
          <w:fldChar w:fldCharType="separate"/>
        </w:r>
        <w:r w:rsidR="00CB0CB3">
          <w:rPr>
            <w:webHidden/>
          </w:rPr>
          <w:t>7</w:t>
        </w:r>
        <w:r w:rsidR="00A14D7A">
          <w:rPr>
            <w:webHidden/>
          </w:rPr>
          <w:fldChar w:fldCharType="end"/>
        </w:r>
      </w:hyperlink>
    </w:p>
    <w:p w14:paraId="6455F760" w14:textId="3B634D35" w:rsidR="00A14D7A" w:rsidRDefault="00000000">
      <w:pPr>
        <w:pStyle w:val="Tabladeilustraciones"/>
        <w:rPr>
          <w:rFonts w:asciiTheme="minorHAnsi" w:eastAsiaTheme="minorEastAsia" w:hAnsiTheme="minorHAnsi" w:cstheme="minorBidi"/>
          <w:kern w:val="2"/>
          <w:szCs w:val="24"/>
          <w:lang w:val="es-CO" w:eastAsia="es-CO"/>
          <w14:ligatures w14:val="standardContextual"/>
        </w:rPr>
      </w:pPr>
      <w:hyperlink w:anchor="_Toc168493574" w:history="1">
        <w:r w:rsidR="00A14D7A" w:rsidRPr="003A2675">
          <w:rPr>
            <w:rStyle w:val="Hipervnculo"/>
          </w:rPr>
          <w:t>Ecuación 4. Nueva fórmula reconciliación positiva plantas térmicas</w:t>
        </w:r>
        <w:r w:rsidR="00A14D7A">
          <w:rPr>
            <w:webHidden/>
          </w:rPr>
          <w:tab/>
        </w:r>
        <w:r w:rsidR="00A14D7A">
          <w:rPr>
            <w:webHidden/>
          </w:rPr>
          <w:fldChar w:fldCharType="begin"/>
        </w:r>
        <w:r w:rsidR="00A14D7A">
          <w:rPr>
            <w:webHidden/>
          </w:rPr>
          <w:instrText xml:space="preserve"> PAGEREF _Toc168493574 \h </w:instrText>
        </w:r>
        <w:r w:rsidR="00A14D7A">
          <w:rPr>
            <w:webHidden/>
          </w:rPr>
        </w:r>
        <w:r w:rsidR="00A14D7A">
          <w:rPr>
            <w:webHidden/>
          </w:rPr>
          <w:fldChar w:fldCharType="separate"/>
        </w:r>
        <w:r w:rsidR="00CB0CB3">
          <w:rPr>
            <w:webHidden/>
          </w:rPr>
          <w:t>16</w:t>
        </w:r>
        <w:r w:rsidR="00A14D7A">
          <w:rPr>
            <w:webHidden/>
          </w:rPr>
          <w:fldChar w:fldCharType="end"/>
        </w:r>
      </w:hyperlink>
    </w:p>
    <w:p w14:paraId="54AFFF40" w14:textId="50FFF744" w:rsidR="00346BC3" w:rsidRPr="005354BD" w:rsidRDefault="0090732B" w:rsidP="005354BD">
      <w:pPr>
        <w:pStyle w:val="TtuloTDC"/>
        <w:rPr>
          <w:lang w:val="es-ES"/>
        </w:rPr>
      </w:pPr>
      <w:r>
        <w:rPr>
          <w:lang w:val="es-ES"/>
        </w:rPr>
        <w:fldChar w:fldCharType="end"/>
      </w:r>
      <w:r w:rsidR="005354BD" w:rsidRPr="005354BD">
        <w:rPr>
          <w:lang w:val="es-ES"/>
        </w:rPr>
        <w:t>Ilustraciones</w:t>
      </w:r>
    </w:p>
    <w:p w14:paraId="4C192F6E" w14:textId="4CB2DAE4" w:rsidR="00DE477E" w:rsidRDefault="00DE477E" w:rsidP="0038050C">
      <w:pPr>
        <w:rPr>
          <w:sz w:val="22"/>
        </w:rPr>
      </w:pPr>
    </w:p>
    <w:p w14:paraId="0CFFCFF0" w14:textId="6BAA7D39" w:rsidR="00A14D7A" w:rsidRDefault="00FC574A">
      <w:pPr>
        <w:pStyle w:val="Tabladeilustraciones"/>
        <w:rPr>
          <w:rFonts w:asciiTheme="minorHAnsi" w:eastAsiaTheme="minorEastAsia" w:hAnsiTheme="minorHAnsi" w:cstheme="minorBidi"/>
          <w:kern w:val="2"/>
          <w:szCs w:val="24"/>
          <w:lang w:val="es-CO" w:eastAsia="es-CO"/>
          <w14:ligatures w14:val="standardContextual"/>
        </w:rPr>
      </w:pPr>
      <w:r>
        <w:rPr>
          <w:sz w:val="22"/>
        </w:rPr>
        <w:fldChar w:fldCharType="begin"/>
      </w:r>
      <w:r>
        <w:rPr>
          <w:sz w:val="22"/>
        </w:rPr>
        <w:instrText xml:space="preserve"> TOC \h \z \c "Ilustración" </w:instrText>
      </w:r>
      <w:r>
        <w:rPr>
          <w:sz w:val="22"/>
        </w:rPr>
        <w:fldChar w:fldCharType="separate"/>
      </w:r>
      <w:hyperlink w:anchor="_Toc168493575" w:history="1">
        <w:r w:rsidR="00A14D7A" w:rsidRPr="001D66A9">
          <w:rPr>
            <w:rStyle w:val="Hipervnculo"/>
          </w:rPr>
          <w:t>Ilustración 1. Ejemplo de las unidades que conforman una configuración</w:t>
        </w:r>
        <w:r w:rsidR="00A14D7A">
          <w:rPr>
            <w:webHidden/>
          </w:rPr>
          <w:tab/>
        </w:r>
        <w:r w:rsidR="00A14D7A">
          <w:rPr>
            <w:webHidden/>
          </w:rPr>
          <w:fldChar w:fldCharType="begin"/>
        </w:r>
        <w:r w:rsidR="00A14D7A">
          <w:rPr>
            <w:webHidden/>
          </w:rPr>
          <w:instrText xml:space="preserve"> PAGEREF _Toc168493575 \h </w:instrText>
        </w:r>
        <w:r w:rsidR="00A14D7A">
          <w:rPr>
            <w:webHidden/>
          </w:rPr>
        </w:r>
        <w:r w:rsidR="00A14D7A">
          <w:rPr>
            <w:webHidden/>
          </w:rPr>
          <w:fldChar w:fldCharType="separate"/>
        </w:r>
        <w:r w:rsidR="00CB0CB3">
          <w:rPr>
            <w:webHidden/>
          </w:rPr>
          <w:t>6</w:t>
        </w:r>
        <w:r w:rsidR="00A14D7A">
          <w:rPr>
            <w:webHidden/>
          </w:rPr>
          <w:fldChar w:fldCharType="end"/>
        </w:r>
      </w:hyperlink>
    </w:p>
    <w:p w14:paraId="4CD8D9B1" w14:textId="4EC681D7" w:rsidR="00A14D7A" w:rsidRDefault="00000000">
      <w:pPr>
        <w:pStyle w:val="Tabladeilustraciones"/>
        <w:rPr>
          <w:rFonts w:asciiTheme="minorHAnsi" w:eastAsiaTheme="minorEastAsia" w:hAnsiTheme="minorHAnsi" w:cstheme="minorBidi"/>
          <w:kern w:val="2"/>
          <w:szCs w:val="24"/>
          <w:lang w:val="es-CO" w:eastAsia="es-CO"/>
          <w14:ligatures w14:val="standardContextual"/>
        </w:rPr>
      </w:pPr>
      <w:hyperlink w:anchor="_Toc168493576" w:history="1">
        <w:r w:rsidR="00A14D7A" w:rsidRPr="001D66A9">
          <w:rPr>
            <w:rStyle w:val="Hipervnculo"/>
          </w:rPr>
          <w:t xml:space="preserve">Ilustración 2. Precio de bolsa y cálculo del </w:t>
        </w:r>
        <w:r w:rsidR="00A14D7A" w:rsidRPr="001D66A9">
          <w:rPr>
            <w:rStyle w:val="Hipervnculo"/>
            <w:rFonts w:cs="Arial"/>
          </w:rPr>
          <w:t>Δ</w:t>
        </w:r>
        <w:r w:rsidR="00A14D7A" w:rsidRPr="001D66A9">
          <w:rPr>
            <w:rStyle w:val="Hipervnculo"/>
          </w:rPr>
          <w:t>I</w:t>
        </w:r>
        <w:r w:rsidR="00A14D7A">
          <w:rPr>
            <w:webHidden/>
          </w:rPr>
          <w:tab/>
        </w:r>
        <w:r w:rsidR="00A14D7A">
          <w:rPr>
            <w:webHidden/>
          </w:rPr>
          <w:fldChar w:fldCharType="begin"/>
        </w:r>
        <w:r w:rsidR="00A14D7A">
          <w:rPr>
            <w:webHidden/>
          </w:rPr>
          <w:instrText xml:space="preserve"> PAGEREF _Toc168493576 \h </w:instrText>
        </w:r>
        <w:r w:rsidR="00A14D7A">
          <w:rPr>
            <w:webHidden/>
          </w:rPr>
        </w:r>
        <w:r w:rsidR="00A14D7A">
          <w:rPr>
            <w:webHidden/>
          </w:rPr>
          <w:fldChar w:fldCharType="separate"/>
        </w:r>
        <w:r w:rsidR="00CB0CB3">
          <w:rPr>
            <w:webHidden/>
          </w:rPr>
          <w:t>7</w:t>
        </w:r>
        <w:r w:rsidR="00A14D7A">
          <w:rPr>
            <w:webHidden/>
          </w:rPr>
          <w:fldChar w:fldCharType="end"/>
        </w:r>
      </w:hyperlink>
    </w:p>
    <w:p w14:paraId="36243B49" w14:textId="507F3379" w:rsidR="00A14D7A" w:rsidRDefault="00000000">
      <w:pPr>
        <w:pStyle w:val="Tabladeilustraciones"/>
        <w:rPr>
          <w:rFonts w:asciiTheme="minorHAnsi" w:eastAsiaTheme="minorEastAsia" w:hAnsiTheme="minorHAnsi" w:cstheme="minorBidi"/>
          <w:kern w:val="2"/>
          <w:szCs w:val="24"/>
          <w:lang w:val="es-CO" w:eastAsia="es-CO"/>
          <w14:ligatures w14:val="standardContextual"/>
        </w:rPr>
      </w:pPr>
      <w:hyperlink w:anchor="_Toc168493577" w:history="1">
        <w:r w:rsidR="00A14D7A" w:rsidRPr="001D66A9">
          <w:rPr>
            <w:rStyle w:val="Hipervnculo"/>
          </w:rPr>
          <w:t xml:space="preserve">Ilustración 3. Valores diarios </w:t>
        </w:r>
        <w:r w:rsidR="00A14D7A" w:rsidRPr="001D66A9">
          <w:rPr>
            <w:rStyle w:val="Hipervnculo"/>
            <w:rFonts w:cs="Arial"/>
          </w:rPr>
          <w:t>Δ</w:t>
        </w:r>
        <w:r w:rsidR="00A14D7A" w:rsidRPr="001D66A9">
          <w:rPr>
            <w:rStyle w:val="Hipervnculo"/>
          </w:rPr>
          <w:t>I para el periodo enero de 2022 a diciembre de 2023</w:t>
        </w:r>
        <w:r w:rsidR="00A14D7A">
          <w:rPr>
            <w:webHidden/>
          </w:rPr>
          <w:tab/>
        </w:r>
        <w:r w:rsidR="00A14D7A">
          <w:rPr>
            <w:webHidden/>
          </w:rPr>
          <w:fldChar w:fldCharType="begin"/>
        </w:r>
        <w:r w:rsidR="00A14D7A">
          <w:rPr>
            <w:webHidden/>
          </w:rPr>
          <w:instrText xml:space="preserve"> PAGEREF _Toc168493577 \h </w:instrText>
        </w:r>
        <w:r w:rsidR="00A14D7A">
          <w:rPr>
            <w:webHidden/>
          </w:rPr>
        </w:r>
        <w:r w:rsidR="00A14D7A">
          <w:rPr>
            <w:webHidden/>
          </w:rPr>
          <w:fldChar w:fldCharType="separate"/>
        </w:r>
        <w:r w:rsidR="00CB0CB3">
          <w:rPr>
            <w:webHidden/>
          </w:rPr>
          <w:t>8</w:t>
        </w:r>
        <w:r w:rsidR="00A14D7A">
          <w:rPr>
            <w:webHidden/>
          </w:rPr>
          <w:fldChar w:fldCharType="end"/>
        </w:r>
      </w:hyperlink>
    </w:p>
    <w:p w14:paraId="27032D26" w14:textId="3B50D9F5" w:rsidR="00A14D7A" w:rsidRDefault="00000000">
      <w:pPr>
        <w:pStyle w:val="Tabladeilustraciones"/>
        <w:rPr>
          <w:rFonts w:asciiTheme="minorHAnsi" w:eastAsiaTheme="minorEastAsia" w:hAnsiTheme="minorHAnsi" w:cstheme="minorBidi"/>
          <w:kern w:val="2"/>
          <w:szCs w:val="24"/>
          <w:lang w:val="es-CO" w:eastAsia="es-CO"/>
          <w14:ligatures w14:val="standardContextual"/>
        </w:rPr>
      </w:pPr>
      <w:hyperlink w:anchor="_Toc168493578" w:history="1">
        <w:r w:rsidR="00A14D7A" w:rsidRPr="001D66A9">
          <w:rPr>
            <w:rStyle w:val="Hipervnculo"/>
          </w:rPr>
          <w:t>Ilustración 4. Comparación PCAP y Par plantas ciclo combinado configuración 1</w:t>
        </w:r>
        <w:r w:rsidR="00A14D7A">
          <w:rPr>
            <w:webHidden/>
          </w:rPr>
          <w:tab/>
        </w:r>
        <w:r w:rsidR="00A14D7A">
          <w:rPr>
            <w:webHidden/>
          </w:rPr>
          <w:fldChar w:fldCharType="begin"/>
        </w:r>
        <w:r w:rsidR="00A14D7A">
          <w:rPr>
            <w:webHidden/>
          </w:rPr>
          <w:instrText xml:space="preserve"> PAGEREF _Toc168493578 \h </w:instrText>
        </w:r>
        <w:r w:rsidR="00A14D7A">
          <w:rPr>
            <w:webHidden/>
          </w:rPr>
        </w:r>
        <w:r w:rsidR="00A14D7A">
          <w:rPr>
            <w:webHidden/>
          </w:rPr>
          <w:fldChar w:fldCharType="separate"/>
        </w:r>
        <w:r w:rsidR="00CB0CB3">
          <w:rPr>
            <w:webHidden/>
          </w:rPr>
          <w:t>12</w:t>
        </w:r>
        <w:r w:rsidR="00A14D7A">
          <w:rPr>
            <w:webHidden/>
          </w:rPr>
          <w:fldChar w:fldCharType="end"/>
        </w:r>
      </w:hyperlink>
    </w:p>
    <w:p w14:paraId="3FE7C52D" w14:textId="0293F1C1" w:rsidR="00A14D7A" w:rsidRDefault="00000000">
      <w:pPr>
        <w:pStyle w:val="Tabladeilustraciones"/>
        <w:rPr>
          <w:rFonts w:asciiTheme="minorHAnsi" w:eastAsiaTheme="minorEastAsia" w:hAnsiTheme="minorHAnsi" w:cstheme="minorBidi"/>
          <w:kern w:val="2"/>
          <w:szCs w:val="24"/>
          <w:lang w:val="es-CO" w:eastAsia="es-CO"/>
          <w14:ligatures w14:val="standardContextual"/>
        </w:rPr>
      </w:pPr>
      <w:hyperlink w:anchor="_Toc168493579" w:history="1">
        <w:r w:rsidR="00A14D7A" w:rsidRPr="001D66A9">
          <w:rPr>
            <w:rStyle w:val="Hipervnculo"/>
          </w:rPr>
          <w:t>Ilustración 5. Comparación PCAP y Par plantas de ciclo simple carbón</w:t>
        </w:r>
        <w:r w:rsidR="00A14D7A">
          <w:rPr>
            <w:webHidden/>
          </w:rPr>
          <w:tab/>
        </w:r>
        <w:r w:rsidR="00A14D7A">
          <w:rPr>
            <w:webHidden/>
          </w:rPr>
          <w:fldChar w:fldCharType="begin"/>
        </w:r>
        <w:r w:rsidR="00A14D7A">
          <w:rPr>
            <w:webHidden/>
          </w:rPr>
          <w:instrText xml:space="preserve"> PAGEREF _Toc168493579 \h </w:instrText>
        </w:r>
        <w:r w:rsidR="00A14D7A">
          <w:rPr>
            <w:webHidden/>
          </w:rPr>
        </w:r>
        <w:r w:rsidR="00A14D7A">
          <w:rPr>
            <w:webHidden/>
          </w:rPr>
          <w:fldChar w:fldCharType="separate"/>
        </w:r>
        <w:r w:rsidR="00CB0CB3">
          <w:rPr>
            <w:webHidden/>
          </w:rPr>
          <w:t>12</w:t>
        </w:r>
        <w:r w:rsidR="00A14D7A">
          <w:rPr>
            <w:webHidden/>
          </w:rPr>
          <w:fldChar w:fldCharType="end"/>
        </w:r>
      </w:hyperlink>
    </w:p>
    <w:p w14:paraId="398415EE" w14:textId="361F40F4" w:rsidR="00A14D7A" w:rsidRDefault="00000000">
      <w:pPr>
        <w:pStyle w:val="Tabladeilustraciones"/>
        <w:rPr>
          <w:rFonts w:asciiTheme="minorHAnsi" w:eastAsiaTheme="minorEastAsia" w:hAnsiTheme="minorHAnsi" w:cstheme="minorBidi"/>
          <w:kern w:val="2"/>
          <w:szCs w:val="24"/>
          <w:lang w:val="es-CO" w:eastAsia="es-CO"/>
          <w14:ligatures w14:val="standardContextual"/>
        </w:rPr>
      </w:pPr>
      <w:hyperlink w:anchor="_Toc168493580" w:history="1">
        <w:r w:rsidR="00A14D7A" w:rsidRPr="001D66A9">
          <w:rPr>
            <w:rStyle w:val="Hipervnculo"/>
          </w:rPr>
          <w:t>Ilustración 6. Plantas ciclo simple restantes</w:t>
        </w:r>
        <w:r w:rsidR="00A14D7A">
          <w:rPr>
            <w:webHidden/>
          </w:rPr>
          <w:tab/>
        </w:r>
        <w:r w:rsidR="00A14D7A">
          <w:rPr>
            <w:webHidden/>
          </w:rPr>
          <w:fldChar w:fldCharType="begin"/>
        </w:r>
        <w:r w:rsidR="00A14D7A">
          <w:rPr>
            <w:webHidden/>
          </w:rPr>
          <w:instrText xml:space="preserve"> PAGEREF _Toc168493580 \h </w:instrText>
        </w:r>
        <w:r w:rsidR="00A14D7A">
          <w:rPr>
            <w:webHidden/>
          </w:rPr>
        </w:r>
        <w:r w:rsidR="00A14D7A">
          <w:rPr>
            <w:webHidden/>
          </w:rPr>
          <w:fldChar w:fldCharType="separate"/>
        </w:r>
        <w:r w:rsidR="00CB0CB3">
          <w:rPr>
            <w:webHidden/>
          </w:rPr>
          <w:t>13</w:t>
        </w:r>
        <w:r w:rsidR="00A14D7A">
          <w:rPr>
            <w:webHidden/>
          </w:rPr>
          <w:fldChar w:fldCharType="end"/>
        </w:r>
      </w:hyperlink>
    </w:p>
    <w:p w14:paraId="1B4A2959" w14:textId="1E9E36AB" w:rsidR="00A14D7A" w:rsidRDefault="00000000">
      <w:pPr>
        <w:pStyle w:val="Tabladeilustraciones"/>
        <w:rPr>
          <w:rFonts w:asciiTheme="minorHAnsi" w:eastAsiaTheme="minorEastAsia" w:hAnsiTheme="minorHAnsi" w:cstheme="minorBidi"/>
          <w:kern w:val="2"/>
          <w:szCs w:val="24"/>
          <w:lang w:val="es-CO" w:eastAsia="es-CO"/>
          <w14:ligatures w14:val="standardContextual"/>
        </w:rPr>
      </w:pPr>
      <w:hyperlink w:anchor="_Toc168493581" w:history="1">
        <w:r w:rsidR="00A14D7A" w:rsidRPr="001D66A9">
          <w:rPr>
            <w:rStyle w:val="Hipervnculo"/>
          </w:rPr>
          <w:t>Ilustración 7. Períodos de análisis: mañana y tarde</w:t>
        </w:r>
        <w:r w:rsidR="00A14D7A">
          <w:rPr>
            <w:webHidden/>
          </w:rPr>
          <w:tab/>
        </w:r>
        <w:r w:rsidR="00A14D7A">
          <w:rPr>
            <w:webHidden/>
          </w:rPr>
          <w:fldChar w:fldCharType="begin"/>
        </w:r>
        <w:r w:rsidR="00A14D7A">
          <w:rPr>
            <w:webHidden/>
          </w:rPr>
          <w:instrText xml:space="preserve"> PAGEREF _Toc168493581 \h </w:instrText>
        </w:r>
        <w:r w:rsidR="00A14D7A">
          <w:rPr>
            <w:webHidden/>
          </w:rPr>
        </w:r>
        <w:r w:rsidR="00A14D7A">
          <w:rPr>
            <w:webHidden/>
          </w:rPr>
          <w:fldChar w:fldCharType="separate"/>
        </w:r>
        <w:r w:rsidR="00CB0CB3">
          <w:rPr>
            <w:webHidden/>
          </w:rPr>
          <w:t>14</w:t>
        </w:r>
        <w:r w:rsidR="00A14D7A">
          <w:rPr>
            <w:webHidden/>
          </w:rPr>
          <w:fldChar w:fldCharType="end"/>
        </w:r>
      </w:hyperlink>
    </w:p>
    <w:p w14:paraId="7EE00B78" w14:textId="072105AA" w:rsidR="00346BC3" w:rsidRDefault="00FC574A" w:rsidP="0038050C">
      <w:pPr>
        <w:rPr>
          <w:sz w:val="22"/>
        </w:rPr>
      </w:pPr>
      <w:r>
        <w:rPr>
          <w:sz w:val="22"/>
        </w:rPr>
        <w:fldChar w:fldCharType="end"/>
      </w:r>
    </w:p>
    <w:p w14:paraId="73E389C6" w14:textId="43EB66B0" w:rsidR="008B4D0F" w:rsidRPr="005354BD" w:rsidRDefault="005354BD" w:rsidP="005354BD">
      <w:pPr>
        <w:pStyle w:val="TtuloTDC"/>
        <w:rPr>
          <w:lang w:val="es-ES"/>
        </w:rPr>
      </w:pPr>
      <w:r w:rsidRPr="005354BD">
        <w:rPr>
          <w:lang w:val="es-ES"/>
        </w:rPr>
        <w:t>Tablas</w:t>
      </w:r>
    </w:p>
    <w:p w14:paraId="048E1D1F" w14:textId="77777777" w:rsidR="005354BD" w:rsidRDefault="005354BD" w:rsidP="0038050C">
      <w:pPr>
        <w:rPr>
          <w:sz w:val="22"/>
        </w:rPr>
      </w:pPr>
    </w:p>
    <w:p w14:paraId="11D6BA96" w14:textId="4E7A7E15" w:rsidR="00A14D7A" w:rsidRDefault="008B4D0F">
      <w:pPr>
        <w:pStyle w:val="Tabladeilustraciones"/>
        <w:rPr>
          <w:rFonts w:asciiTheme="minorHAnsi" w:eastAsiaTheme="minorEastAsia" w:hAnsiTheme="minorHAnsi" w:cstheme="minorBidi"/>
          <w:kern w:val="2"/>
          <w:szCs w:val="24"/>
          <w:lang w:val="es-CO" w:eastAsia="es-CO"/>
          <w14:ligatures w14:val="standardContextual"/>
        </w:rPr>
      </w:pPr>
      <w:r>
        <w:rPr>
          <w:sz w:val="22"/>
        </w:rPr>
        <w:fldChar w:fldCharType="begin"/>
      </w:r>
      <w:r>
        <w:rPr>
          <w:sz w:val="22"/>
        </w:rPr>
        <w:instrText xml:space="preserve"> TOC \h \z \c "Tabla" </w:instrText>
      </w:r>
      <w:r>
        <w:rPr>
          <w:sz w:val="22"/>
        </w:rPr>
        <w:fldChar w:fldCharType="separate"/>
      </w:r>
      <w:hyperlink w:anchor="_Toc168493582" w:history="1">
        <w:r w:rsidR="00A14D7A" w:rsidRPr="00817366">
          <w:rPr>
            <w:rStyle w:val="Hipervnculo"/>
          </w:rPr>
          <w:t>Tabla 1. Descripción variables costo arranque – parada Res. CREG 034 de 2001</w:t>
        </w:r>
        <w:r w:rsidR="00A14D7A">
          <w:rPr>
            <w:webHidden/>
          </w:rPr>
          <w:tab/>
        </w:r>
        <w:r w:rsidR="00A14D7A">
          <w:rPr>
            <w:webHidden/>
          </w:rPr>
          <w:fldChar w:fldCharType="begin"/>
        </w:r>
        <w:r w:rsidR="00A14D7A">
          <w:rPr>
            <w:webHidden/>
          </w:rPr>
          <w:instrText xml:space="preserve"> PAGEREF _Toc168493582 \h </w:instrText>
        </w:r>
        <w:r w:rsidR="00A14D7A">
          <w:rPr>
            <w:webHidden/>
          </w:rPr>
        </w:r>
        <w:r w:rsidR="00A14D7A">
          <w:rPr>
            <w:webHidden/>
          </w:rPr>
          <w:fldChar w:fldCharType="separate"/>
        </w:r>
        <w:r w:rsidR="00CB0CB3">
          <w:rPr>
            <w:webHidden/>
          </w:rPr>
          <w:t>10</w:t>
        </w:r>
        <w:r w:rsidR="00A14D7A">
          <w:rPr>
            <w:webHidden/>
          </w:rPr>
          <w:fldChar w:fldCharType="end"/>
        </w:r>
      </w:hyperlink>
    </w:p>
    <w:p w14:paraId="75C0D4DF" w14:textId="62A753F9" w:rsidR="00A14D7A" w:rsidRDefault="00000000">
      <w:pPr>
        <w:pStyle w:val="Tabladeilustraciones"/>
        <w:rPr>
          <w:rFonts w:asciiTheme="minorHAnsi" w:eastAsiaTheme="minorEastAsia" w:hAnsiTheme="minorHAnsi" w:cstheme="minorBidi"/>
          <w:kern w:val="2"/>
          <w:szCs w:val="24"/>
          <w:lang w:val="es-CO" w:eastAsia="es-CO"/>
          <w14:ligatures w14:val="standardContextual"/>
        </w:rPr>
      </w:pPr>
      <w:hyperlink w:anchor="_Toc168493583" w:history="1">
        <w:r w:rsidR="00A14D7A" w:rsidRPr="00817366">
          <w:rPr>
            <w:rStyle w:val="Hipervnculo"/>
          </w:rPr>
          <w:t xml:space="preserve">Tabla 2. Descripción variable arranque – parada para la determinación de </w:t>
        </w:r>
        <w:r w:rsidR="00A14D7A" w:rsidRPr="00817366">
          <w:rPr>
            <w:rStyle w:val="Hipervnculo"/>
            <w:rFonts w:cs="Arial"/>
          </w:rPr>
          <w:t>∆</w:t>
        </w:r>
        <w:r w:rsidR="00A14D7A" w:rsidRPr="00817366">
          <w:rPr>
            <w:rStyle w:val="Hipervnculo"/>
          </w:rPr>
          <w:t>I</w:t>
        </w:r>
        <w:r w:rsidR="00A14D7A">
          <w:rPr>
            <w:webHidden/>
          </w:rPr>
          <w:tab/>
        </w:r>
        <w:r w:rsidR="00A14D7A">
          <w:rPr>
            <w:webHidden/>
          </w:rPr>
          <w:fldChar w:fldCharType="begin"/>
        </w:r>
        <w:r w:rsidR="00A14D7A">
          <w:rPr>
            <w:webHidden/>
          </w:rPr>
          <w:instrText xml:space="preserve"> PAGEREF _Toc168493583 \h </w:instrText>
        </w:r>
        <w:r w:rsidR="00A14D7A">
          <w:rPr>
            <w:webHidden/>
          </w:rPr>
        </w:r>
        <w:r w:rsidR="00A14D7A">
          <w:rPr>
            <w:webHidden/>
          </w:rPr>
          <w:fldChar w:fldCharType="separate"/>
        </w:r>
        <w:r w:rsidR="00CB0CB3">
          <w:rPr>
            <w:webHidden/>
          </w:rPr>
          <w:t>11</w:t>
        </w:r>
        <w:r w:rsidR="00A14D7A">
          <w:rPr>
            <w:webHidden/>
          </w:rPr>
          <w:fldChar w:fldCharType="end"/>
        </w:r>
      </w:hyperlink>
    </w:p>
    <w:p w14:paraId="01B35AB0" w14:textId="5E28493F" w:rsidR="00A14D7A" w:rsidRDefault="00000000">
      <w:pPr>
        <w:pStyle w:val="Tabladeilustraciones"/>
        <w:rPr>
          <w:rFonts w:asciiTheme="minorHAnsi" w:eastAsiaTheme="minorEastAsia" w:hAnsiTheme="minorHAnsi" w:cstheme="minorBidi"/>
          <w:kern w:val="2"/>
          <w:szCs w:val="24"/>
          <w:lang w:val="es-CO" w:eastAsia="es-CO"/>
          <w14:ligatures w14:val="standardContextual"/>
        </w:rPr>
      </w:pPr>
      <w:hyperlink w:anchor="_Toc168493584" w:history="1">
        <w:r w:rsidR="00A14D7A" w:rsidRPr="00817366">
          <w:rPr>
            <w:rStyle w:val="Hipervnculo"/>
          </w:rPr>
          <w:t>Tabla 3. Esquema de remuneración para dar cumplimiento al decreto</w:t>
        </w:r>
        <w:r w:rsidR="00A14D7A">
          <w:rPr>
            <w:webHidden/>
          </w:rPr>
          <w:tab/>
        </w:r>
        <w:r w:rsidR="00A14D7A">
          <w:rPr>
            <w:webHidden/>
          </w:rPr>
          <w:fldChar w:fldCharType="begin"/>
        </w:r>
        <w:r w:rsidR="00A14D7A">
          <w:rPr>
            <w:webHidden/>
          </w:rPr>
          <w:instrText xml:space="preserve"> PAGEREF _Toc168493584 \h </w:instrText>
        </w:r>
        <w:r w:rsidR="00A14D7A">
          <w:rPr>
            <w:webHidden/>
          </w:rPr>
        </w:r>
        <w:r w:rsidR="00A14D7A">
          <w:rPr>
            <w:webHidden/>
          </w:rPr>
          <w:fldChar w:fldCharType="separate"/>
        </w:r>
        <w:r w:rsidR="00CB0CB3">
          <w:rPr>
            <w:webHidden/>
          </w:rPr>
          <w:t>14</w:t>
        </w:r>
        <w:r w:rsidR="00A14D7A">
          <w:rPr>
            <w:webHidden/>
          </w:rPr>
          <w:fldChar w:fldCharType="end"/>
        </w:r>
      </w:hyperlink>
    </w:p>
    <w:p w14:paraId="58AAC629" w14:textId="674D5B81" w:rsidR="00A14D7A" w:rsidRDefault="00000000">
      <w:pPr>
        <w:pStyle w:val="Tabladeilustraciones"/>
        <w:rPr>
          <w:rFonts w:asciiTheme="minorHAnsi" w:eastAsiaTheme="minorEastAsia" w:hAnsiTheme="minorHAnsi" w:cstheme="minorBidi"/>
          <w:kern w:val="2"/>
          <w:szCs w:val="24"/>
          <w:lang w:val="es-CO" w:eastAsia="es-CO"/>
          <w14:ligatures w14:val="standardContextual"/>
        </w:rPr>
      </w:pPr>
      <w:hyperlink w:anchor="_Toc168493585" w:history="1">
        <w:r w:rsidR="00A14D7A" w:rsidRPr="00817366">
          <w:rPr>
            <w:rStyle w:val="Hipervnculo"/>
          </w:rPr>
          <w:t xml:space="preserve">Tabla 4. Nueva descripción variable arranque – parada para la determinación de </w:t>
        </w:r>
        <w:r w:rsidR="00A14D7A" w:rsidRPr="00817366">
          <w:rPr>
            <w:rStyle w:val="Hipervnculo"/>
            <w:rFonts w:cs="Arial"/>
          </w:rPr>
          <w:t>∆</w:t>
        </w:r>
        <w:r w:rsidR="00A14D7A" w:rsidRPr="00817366">
          <w:rPr>
            <w:rStyle w:val="Hipervnculo"/>
          </w:rPr>
          <w:t>I</w:t>
        </w:r>
        <w:r w:rsidR="00A14D7A">
          <w:rPr>
            <w:webHidden/>
          </w:rPr>
          <w:tab/>
        </w:r>
        <w:r w:rsidR="00A14D7A">
          <w:rPr>
            <w:webHidden/>
          </w:rPr>
          <w:fldChar w:fldCharType="begin"/>
        </w:r>
        <w:r w:rsidR="00A14D7A">
          <w:rPr>
            <w:webHidden/>
          </w:rPr>
          <w:instrText xml:space="preserve"> PAGEREF _Toc168493585 \h </w:instrText>
        </w:r>
        <w:r w:rsidR="00A14D7A">
          <w:rPr>
            <w:webHidden/>
          </w:rPr>
        </w:r>
        <w:r w:rsidR="00A14D7A">
          <w:rPr>
            <w:webHidden/>
          </w:rPr>
          <w:fldChar w:fldCharType="separate"/>
        </w:r>
        <w:r w:rsidR="00CB0CB3">
          <w:rPr>
            <w:webHidden/>
          </w:rPr>
          <w:t>17</w:t>
        </w:r>
        <w:r w:rsidR="00A14D7A">
          <w:rPr>
            <w:webHidden/>
          </w:rPr>
          <w:fldChar w:fldCharType="end"/>
        </w:r>
      </w:hyperlink>
    </w:p>
    <w:p w14:paraId="7424F6E6" w14:textId="2A8103E4" w:rsidR="00346BC3" w:rsidRDefault="008B4D0F" w:rsidP="0038050C">
      <w:pPr>
        <w:rPr>
          <w:sz w:val="22"/>
        </w:rPr>
      </w:pPr>
      <w:r>
        <w:rPr>
          <w:sz w:val="22"/>
        </w:rPr>
        <w:fldChar w:fldCharType="end"/>
      </w:r>
    </w:p>
    <w:p w14:paraId="07EF70AE" w14:textId="4413EF69" w:rsidR="000333AD" w:rsidRDefault="000333AD">
      <w:pPr>
        <w:jc w:val="left"/>
        <w:rPr>
          <w:sz w:val="22"/>
        </w:rPr>
      </w:pPr>
      <w:r>
        <w:rPr>
          <w:sz w:val="22"/>
        </w:rPr>
        <w:br w:type="page"/>
      </w:r>
    </w:p>
    <w:p w14:paraId="25039CCC" w14:textId="77777777" w:rsidR="00346BC3" w:rsidRDefault="00346BC3" w:rsidP="0038050C">
      <w:pPr>
        <w:rPr>
          <w:sz w:val="22"/>
        </w:rPr>
      </w:pPr>
    </w:p>
    <w:p w14:paraId="15668A04" w14:textId="61F0E4E4" w:rsidR="00E7209B" w:rsidRDefault="00E7209B" w:rsidP="00E7209B">
      <w:pPr>
        <w:pStyle w:val="Ttulo"/>
      </w:pPr>
    </w:p>
    <w:p w14:paraId="19C97467" w14:textId="2985A4D7" w:rsidR="00E7209B" w:rsidRDefault="00276D79" w:rsidP="00B617FF">
      <w:pPr>
        <w:pStyle w:val="Ttulo"/>
        <w:rPr>
          <w:sz w:val="28"/>
          <w:szCs w:val="21"/>
        </w:rPr>
      </w:pPr>
      <w:r>
        <w:rPr>
          <w:sz w:val="28"/>
          <w:szCs w:val="21"/>
        </w:rPr>
        <w:t xml:space="preserve">REMUNERACIÓN DE COSTOS DE </w:t>
      </w:r>
      <w:r w:rsidR="00B73E75">
        <w:rPr>
          <w:sz w:val="28"/>
          <w:szCs w:val="21"/>
        </w:rPr>
        <w:t xml:space="preserve">ARRANQUE </w:t>
      </w:r>
      <w:r w:rsidR="00A14D7A">
        <w:rPr>
          <w:sz w:val="28"/>
          <w:szCs w:val="21"/>
        </w:rPr>
        <w:t xml:space="preserve">Y </w:t>
      </w:r>
      <w:r w:rsidR="00B73E75">
        <w:rPr>
          <w:sz w:val="28"/>
          <w:szCs w:val="21"/>
        </w:rPr>
        <w:t>PARADA</w:t>
      </w:r>
      <w:r w:rsidR="00A14D7A">
        <w:rPr>
          <w:sz w:val="28"/>
          <w:szCs w:val="21"/>
        </w:rPr>
        <w:t xml:space="preserve"> DE PLANTAS TÉRMICAS</w:t>
      </w:r>
    </w:p>
    <w:p w14:paraId="475AD1A7" w14:textId="77777777" w:rsidR="00A14D7A" w:rsidRDefault="00A14D7A" w:rsidP="00B617FF">
      <w:pPr>
        <w:pStyle w:val="Ttulo"/>
        <w:rPr>
          <w:sz w:val="28"/>
          <w:szCs w:val="21"/>
        </w:rPr>
      </w:pPr>
    </w:p>
    <w:p w14:paraId="72D0D2E2" w14:textId="62D38DE9" w:rsidR="00B73E75" w:rsidRPr="00A14D7A" w:rsidRDefault="00B73E75" w:rsidP="00B617FF">
      <w:pPr>
        <w:pStyle w:val="Ttulo"/>
        <w:rPr>
          <w:sz w:val="22"/>
          <w:szCs w:val="18"/>
        </w:rPr>
      </w:pPr>
      <w:r w:rsidRPr="00A14D7A">
        <w:rPr>
          <w:sz w:val="22"/>
          <w:szCs w:val="18"/>
        </w:rPr>
        <w:t>PROPUESTAS DE AJUSTE</w:t>
      </w:r>
    </w:p>
    <w:p w14:paraId="41F45379" w14:textId="77777777" w:rsidR="00A0103E" w:rsidRDefault="00A0103E" w:rsidP="00E7209B">
      <w:pPr>
        <w:pStyle w:val="Ttulo"/>
      </w:pPr>
    </w:p>
    <w:p w14:paraId="6188005B" w14:textId="56F17189" w:rsidR="00A85D82" w:rsidRDefault="00A85D82" w:rsidP="00E7209B"/>
    <w:p w14:paraId="607F5863" w14:textId="77777777" w:rsidR="00A85D82" w:rsidRDefault="00A85D82" w:rsidP="00E7209B"/>
    <w:p w14:paraId="27888DC3" w14:textId="11F2D3FB" w:rsidR="00E7209B" w:rsidRPr="00C562ED" w:rsidRDefault="00E7209B">
      <w:pPr>
        <w:pStyle w:val="Ttulo1"/>
        <w:numPr>
          <w:ilvl w:val="0"/>
          <w:numId w:val="7"/>
        </w:numPr>
        <w:spacing w:after="0"/>
        <w:ind w:left="431" w:hanging="431"/>
        <w:rPr>
          <w:szCs w:val="21"/>
        </w:rPr>
      </w:pPr>
      <w:bookmarkStart w:id="3" w:name="_Toc41901972"/>
      <w:bookmarkStart w:id="4" w:name="_Toc506979468"/>
      <w:bookmarkStart w:id="5" w:name="_Toc494863466"/>
      <w:bookmarkStart w:id="6" w:name="_Toc168493550"/>
      <w:r w:rsidRPr="00C562ED">
        <w:rPr>
          <w:szCs w:val="21"/>
        </w:rPr>
        <w:t>ANTECEDENTES</w:t>
      </w:r>
      <w:bookmarkEnd w:id="3"/>
      <w:bookmarkEnd w:id="4"/>
      <w:bookmarkEnd w:id="5"/>
      <w:bookmarkEnd w:id="6"/>
      <w:r w:rsidRPr="00C562ED">
        <w:rPr>
          <w:szCs w:val="21"/>
        </w:rPr>
        <w:t xml:space="preserve"> </w:t>
      </w:r>
    </w:p>
    <w:p w14:paraId="3CB3350D" w14:textId="65615E12" w:rsidR="00E7209B" w:rsidRDefault="00E7209B" w:rsidP="00E7209B">
      <w:pPr>
        <w:rPr>
          <w:sz w:val="22"/>
        </w:rPr>
      </w:pPr>
    </w:p>
    <w:p w14:paraId="3159D59F" w14:textId="6D0D28AD" w:rsidR="00813FF4" w:rsidRPr="00454B35" w:rsidRDefault="00B73E75" w:rsidP="002A55C2">
      <w:pPr>
        <w:rPr>
          <w:rFonts w:cs="Arial"/>
        </w:rPr>
      </w:pPr>
      <w:r w:rsidRPr="00454B35">
        <w:rPr>
          <w:rFonts w:cs="Arial"/>
        </w:rPr>
        <w:t xml:space="preserve">Los costos de arranque – parada (CAP) </w:t>
      </w:r>
      <w:r w:rsidR="00687466" w:rsidRPr="00454B35">
        <w:rPr>
          <w:rFonts w:cs="Arial"/>
        </w:rPr>
        <w:t xml:space="preserve">son parte de los costos de la operación de las plantas de generación térmicas, los cuales se incurren solamente cuando se enciende la máquina y no cambian con la operación de la planta, por lo </w:t>
      </w:r>
      <w:r w:rsidR="0043677F">
        <w:rPr>
          <w:rFonts w:cs="Arial"/>
        </w:rPr>
        <w:t xml:space="preserve">que </w:t>
      </w:r>
      <w:r w:rsidR="00687466" w:rsidRPr="00454B35">
        <w:rPr>
          <w:rFonts w:cs="Arial"/>
        </w:rPr>
        <w:t>se les denomina costos cuasi</w:t>
      </w:r>
      <w:r w:rsidR="00454B35">
        <w:rPr>
          <w:rFonts w:cs="Arial"/>
        </w:rPr>
        <w:t xml:space="preserve"> </w:t>
      </w:r>
      <w:r w:rsidR="00687466" w:rsidRPr="00454B35">
        <w:rPr>
          <w:rFonts w:cs="Arial"/>
        </w:rPr>
        <w:t>-</w:t>
      </w:r>
      <w:r w:rsidR="00454B35">
        <w:rPr>
          <w:rFonts w:cs="Arial"/>
        </w:rPr>
        <w:t xml:space="preserve"> </w:t>
      </w:r>
      <w:r w:rsidR="00687466" w:rsidRPr="00454B35">
        <w:rPr>
          <w:rFonts w:cs="Arial"/>
        </w:rPr>
        <w:t>fijos.</w:t>
      </w:r>
      <w:r w:rsidR="00454B35" w:rsidRPr="00454B35">
        <w:rPr>
          <w:rFonts w:cs="Arial"/>
        </w:rPr>
        <w:t xml:space="preserve"> En ese sentido, las plantas térmicas tienen dos componentes en sus costos de operación: los costos variables, que son los costos que varían con la operación, tale</w:t>
      </w:r>
      <w:r w:rsidR="00454B35">
        <w:rPr>
          <w:rFonts w:cs="Arial"/>
        </w:rPr>
        <w:t>s</w:t>
      </w:r>
      <w:r w:rsidR="00454B35" w:rsidRPr="00454B35">
        <w:rPr>
          <w:rFonts w:cs="Arial"/>
        </w:rPr>
        <w:t xml:space="preserve"> como los costos de los combustibles, operación y mantenimiento, y los costos cuasi – fijo</w:t>
      </w:r>
      <w:r w:rsidR="00405617">
        <w:rPr>
          <w:rFonts w:cs="Arial"/>
        </w:rPr>
        <w:t>s</w:t>
      </w:r>
      <w:r w:rsidR="00454B35" w:rsidRPr="00454B35">
        <w:rPr>
          <w:rFonts w:cs="Arial"/>
        </w:rPr>
        <w:t xml:space="preserve"> que se incurren solo una vez al momento de encender la planta.</w:t>
      </w:r>
    </w:p>
    <w:p w14:paraId="6F7187AD" w14:textId="77777777" w:rsidR="00454B35" w:rsidRDefault="00454B35" w:rsidP="002A55C2">
      <w:pPr>
        <w:rPr>
          <w:rFonts w:cs="Arial"/>
          <w:sz w:val="22"/>
          <w:szCs w:val="18"/>
        </w:rPr>
      </w:pPr>
    </w:p>
    <w:p w14:paraId="36DFF698" w14:textId="41A646D3" w:rsidR="00454B35" w:rsidRDefault="00454B35" w:rsidP="002A55C2">
      <w:pPr>
        <w:rPr>
          <w:rFonts w:cs="Arial"/>
        </w:rPr>
      </w:pPr>
      <w:r w:rsidRPr="00454B35">
        <w:rPr>
          <w:rFonts w:cs="Arial"/>
        </w:rPr>
        <w:t>En el caso colombiano, en donde se tienen 2 tipos de regulación</w:t>
      </w:r>
      <w:r>
        <w:rPr>
          <w:rFonts w:cs="Arial"/>
        </w:rPr>
        <w:t xml:space="preserve"> para el Sistema Interconectado Nacional -SIN</w:t>
      </w:r>
      <w:r w:rsidRPr="00454B35">
        <w:rPr>
          <w:rFonts w:cs="Arial"/>
        </w:rPr>
        <w:t xml:space="preserve">, siendo la primera </w:t>
      </w:r>
      <w:r w:rsidR="00033CCB">
        <w:rPr>
          <w:rFonts w:cs="Arial"/>
        </w:rPr>
        <w:t xml:space="preserve">regulación la correspondiente al </w:t>
      </w:r>
      <w:r w:rsidRPr="00454B35">
        <w:rPr>
          <w:rFonts w:cs="Arial"/>
        </w:rPr>
        <w:t xml:space="preserve">mercado en competencia </w:t>
      </w:r>
      <w:r w:rsidR="00021312">
        <w:rPr>
          <w:rFonts w:cs="Arial"/>
        </w:rPr>
        <w:t xml:space="preserve">o bolsa de energía </w:t>
      </w:r>
      <w:r w:rsidRPr="00454B35">
        <w:rPr>
          <w:rFonts w:cs="Arial"/>
        </w:rPr>
        <w:t>reglamentad</w:t>
      </w:r>
      <w:r w:rsidR="00033CCB">
        <w:rPr>
          <w:rFonts w:cs="Arial"/>
        </w:rPr>
        <w:t>a</w:t>
      </w:r>
      <w:r w:rsidRPr="00454B35">
        <w:rPr>
          <w:rFonts w:cs="Arial"/>
        </w:rPr>
        <w:t xml:space="preserve"> </w:t>
      </w:r>
      <w:r w:rsidR="00033CCB">
        <w:rPr>
          <w:rFonts w:cs="Arial"/>
        </w:rPr>
        <w:t xml:space="preserve">con </w:t>
      </w:r>
      <w:r w:rsidRPr="00454B35">
        <w:rPr>
          <w:rFonts w:cs="Arial"/>
        </w:rPr>
        <w:t>la</w:t>
      </w:r>
      <w:r w:rsidR="00033CCB">
        <w:rPr>
          <w:rFonts w:cs="Arial"/>
        </w:rPr>
        <w:t>s</w:t>
      </w:r>
      <w:r w:rsidRPr="00454B35">
        <w:rPr>
          <w:rFonts w:cs="Arial"/>
        </w:rPr>
        <w:t xml:space="preserve"> Resoluciones CREG 024 y 025 de 1995 y sus modificaciones</w:t>
      </w:r>
      <w:r w:rsidR="00033CCB">
        <w:rPr>
          <w:rFonts w:cs="Arial"/>
        </w:rPr>
        <w:t>,</w:t>
      </w:r>
      <w:r w:rsidR="00021312">
        <w:rPr>
          <w:rFonts w:cs="Arial"/>
        </w:rPr>
        <w:t xml:space="preserve"> en especial la Resolución CREG 101 028 de 2022</w:t>
      </w:r>
      <w:r w:rsidRPr="00454B35">
        <w:rPr>
          <w:rFonts w:cs="Arial"/>
        </w:rPr>
        <w:t xml:space="preserve">, </w:t>
      </w:r>
      <w:r>
        <w:rPr>
          <w:rFonts w:cs="Arial"/>
        </w:rPr>
        <w:t xml:space="preserve">y la reglamentación para los casos en donde no hay competencia, </w:t>
      </w:r>
      <w:r w:rsidR="00021312">
        <w:rPr>
          <w:rFonts w:cs="Arial"/>
        </w:rPr>
        <w:t>caso de la generación forzada p</w:t>
      </w:r>
      <w:r w:rsidR="001F3A7B">
        <w:rPr>
          <w:rFonts w:cs="Arial"/>
        </w:rPr>
        <w:t>ara</w:t>
      </w:r>
      <w:r w:rsidR="00033CCB">
        <w:rPr>
          <w:rFonts w:cs="Arial"/>
        </w:rPr>
        <w:t xml:space="preserve"> atender</w:t>
      </w:r>
      <w:r w:rsidR="00021312">
        <w:rPr>
          <w:rFonts w:cs="Arial"/>
        </w:rPr>
        <w:t xml:space="preserve"> restricciones, </w:t>
      </w:r>
      <w:r>
        <w:rPr>
          <w:rFonts w:cs="Arial"/>
        </w:rPr>
        <w:t xml:space="preserve">en donde </w:t>
      </w:r>
      <w:r w:rsidR="00033CCB">
        <w:rPr>
          <w:rFonts w:cs="Arial"/>
        </w:rPr>
        <w:t xml:space="preserve">se </w:t>
      </w:r>
      <w:r>
        <w:rPr>
          <w:rFonts w:cs="Arial"/>
        </w:rPr>
        <w:t>reglamenta</w:t>
      </w:r>
      <w:r w:rsidR="00033CCB">
        <w:rPr>
          <w:rFonts w:cs="Arial"/>
        </w:rPr>
        <w:t xml:space="preserve"> </w:t>
      </w:r>
      <w:r>
        <w:rPr>
          <w:rFonts w:cs="Arial"/>
        </w:rPr>
        <w:t>por costos</w:t>
      </w:r>
      <w:r w:rsidR="00021312">
        <w:rPr>
          <w:rFonts w:cs="Arial"/>
        </w:rPr>
        <w:t xml:space="preserve"> con la Resolución CREG 034 de 2001 y sus modificaciones, en especial la Resolución CREG 044 de 2020</w:t>
      </w:r>
      <w:r w:rsidR="00D34C3A">
        <w:rPr>
          <w:rFonts w:cs="Arial"/>
        </w:rPr>
        <w:t xml:space="preserve">. Las anteriores </w:t>
      </w:r>
      <w:r w:rsidR="00747F73">
        <w:rPr>
          <w:rFonts w:cs="Arial"/>
        </w:rPr>
        <w:t xml:space="preserve">normas </w:t>
      </w:r>
      <w:r w:rsidR="00021312">
        <w:rPr>
          <w:rFonts w:cs="Arial"/>
        </w:rPr>
        <w:t xml:space="preserve">definen los plazos </w:t>
      </w:r>
      <w:r w:rsidR="00033CCB">
        <w:rPr>
          <w:rFonts w:cs="Arial"/>
        </w:rPr>
        <w:t xml:space="preserve">y procesos para </w:t>
      </w:r>
      <w:r w:rsidR="00021312">
        <w:rPr>
          <w:rFonts w:cs="Arial"/>
        </w:rPr>
        <w:t>la entrega de la información para adelantar los procesos de</w:t>
      </w:r>
      <w:r w:rsidR="00033CCB">
        <w:rPr>
          <w:rFonts w:cs="Arial"/>
        </w:rPr>
        <w:t xml:space="preserve"> </w:t>
      </w:r>
      <w:r w:rsidR="00021312">
        <w:rPr>
          <w:rFonts w:cs="Arial"/>
        </w:rPr>
        <w:t>despacho</w:t>
      </w:r>
      <w:r w:rsidR="00033CCB">
        <w:rPr>
          <w:rFonts w:cs="Arial"/>
        </w:rPr>
        <w:t xml:space="preserve"> y remuneración, dentro de los cuales los valores </w:t>
      </w:r>
      <w:r w:rsidR="008A4CAD">
        <w:rPr>
          <w:rFonts w:cs="Arial"/>
        </w:rPr>
        <w:t xml:space="preserve">de </w:t>
      </w:r>
      <w:r w:rsidR="00033CCB">
        <w:rPr>
          <w:rFonts w:cs="Arial"/>
        </w:rPr>
        <w:t>CAP</w:t>
      </w:r>
      <w:r w:rsidR="008A4CAD">
        <w:rPr>
          <w:rFonts w:cs="Arial"/>
        </w:rPr>
        <w:t xml:space="preserve"> se declaran</w:t>
      </w:r>
      <w:r w:rsidR="00033CCB">
        <w:rPr>
          <w:rFonts w:cs="Arial"/>
        </w:rPr>
        <w:t xml:space="preserve"> </w:t>
      </w:r>
      <w:r w:rsidR="008A4CAD">
        <w:rPr>
          <w:rFonts w:cs="Arial"/>
        </w:rPr>
        <w:t xml:space="preserve">trimestralmente </w:t>
      </w:r>
      <w:r w:rsidR="00033CCB">
        <w:rPr>
          <w:rFonts w:cs="Arial"/>
        </w:rPr>
        <w:t xml:space="preserve">para la bolsa </w:t>
      </w:r>
      <w:r w:rsidR="008A4CAD">
        <w:rPr>
          <w:rFonts w:cs="Arial"/>
        </w:rPr>
        <w:t>de energía,</w:t>
      </w:r>
      <w:r w:rsidR="00033CCB">
        <w:rPr>
          <w:rFonts w:cs="Arial"/>
        </w:rPr>
        <w:t xml:space="preserve"> y para las restricciones </w:t>
      </w:r>
      <w:r w:rsidR="008A4CAD">
        <w:rPr>
          <w:rFonts w:cs="Arial"/>
        </w:rPr>
        <w:t xml:space="preserve">se utiliza </w:t>
      </w:r>
      <w:r w:rsidR="00033CCB">
        <w:rPr>
          <w:rFonts w:cs="Arial"/>
        </w:rPr>
        <w:t xml:space="preserve">el valor </w:t>
      </w:r>
      <w:r w:rsidR="000B63B8">
        <w:rPr>
          <w:rFonts w:cs="Arial"/>
        </w:rPr>
        <w:t xml:space="preserve">de CAP </w:t>
      </w:r>
      <w:r w:rsidR="00033CCB">
        <w:rPr>
          <w:rFonts w:cs="Arial"/>
        </w:rPr>
        <w:t>declarado por primera vez</w:t>
      </w:r>
      <w:r w:rsidR="00F15C2E">
        <w:rPr>
          <w:rFonts w:cs="Arial"/>
        </w:rPr>
        <w:t xml:space="preserve">, el cual se actualiza con </w:t>
      </w:r>
      <w:r w:rsidR="007D0A84">
        <w:rPr>
          <w:rFonts w:cs="Arial"/>
        </w:rPr>
        <w:t xml:space="preserve">el </w:t>
      </w:r>
      <w:r w:rsidR="00F15C2E">
        <w:rPr>
          <w:rFonts w:cs="Arial"/>
        </w:rPr>
        <w:t xml:space="preserve">Índice de Precios </w:t>
      </w:r>
      <w:r w:rsidR="00D63BD5">
        <w:rPr>
          <w:rFonts w:cs="Arial"/>
        </w:rPr>
        <w:t>al</w:t>
      </w:r>
      <w:r w:rsidR="00F15C2E">
        <w:rPr>
          <w:rFonts w:cs="Arial"/>
        </w:rPr>
        <w:t xml:space="preserve"> Productor de los EUA</w:t>
      </w:r>
      <w:r w:rsidR="00B17AC2">
        <w:rPr>
          <w:rFonts w:cs="Arial"/>
        </w:rPr>
        <w:t xml:space="preserve"> y se le denomina</w:t>
      </w:r>
      <w:r w:rsidR="0082362C">
        <w:rPr>
          <w:rFonts w:cs="Arial"/>
        </w:rPr>
        <w:t xml:space="preserve"> actualmente</w:t>
      </w:r>
      <w:r w:rsidR="00B17AC2">
        <w:rPr>
          <w:rFonts w:cs="Arial"/>
        </w:rPr>
        <w:t xml:space="preserve"> PCAP</w:t>
      </w:r>
      <w:r w:rsidR="00033CCB">
        <w:rPr>
          <w:rFonts w:cs="Arial"/>
        </w:rPr>
        <w:t>.</w:t>
      </w:r>
    </w:p>
    <w:p w14:paraId="6F535D92" w14:textId="77777777" w:rsidR="00021312" w:rsidRDefault="00021312" w:rsidP="002A55C2">
      <w:pPr>
        <w:rPr>
          <w:rFonts w:cs="Arial"/>
        </w:rPr>
      </w:pPr>
    </w:p>
    <w:p w14:paraId="789E7CCA" w14:textId="1BC0E585" w:rsidR="00021312" w:rsidRDefault="00033CCB" w:rsidP="002A55C2">
      <w:pPr>
        <w:rPr>
          <w:rFonts w:cs="Arial"/>
        </w:rPr>
      </w:pPr>
      <w:r>
        <w:rPr>
          <w:rFonts w:cs="Arial"/>
        </w:rPr>
        <w:t xml:space="preserve">Ahora bien, recientemente </w:t>
      </w:r>
      <w:r w:rsidR="008A4CAD">
        <w:rPr>
          <w:rFonts w:cs="Arial"/>
        </w:rPr>
        <w:t xml:space="preserve">para el despacho diario en la bolsa de energía se hicieron ajustes para lograr un despacho más eficiente, </w:t>
      </w:r>
      <w:r w:rsidR="00DB7AA9">
        <w:rPr>
          <w:rFonts w:cs="Arial"/>
        </w:rPr>
        <w:t xml:space="preserve">pasando </w:t>
      </w:r>
      <w:r w:rsidR="008A4CAD">
        <w:rPr>
          <w:rFonts w:cs="Arial"/>
        </w:rPr>
        <w:t xml:space="preserve">de considerar el CAP de la planta a </w:t>
      </w:r>
      <w:r w:rsidR="00DB7AA9">
        <w:rPr>
          <w:rFonts w:cs="Arial"/>
        </w:rPr>
        <w:t xml:space="preserve">considerar los CAP </w:t>
      </w:r>
      <w:r w:rsidR="008A4CAD">
        <w:rPr>
          <w:rFonts w:cs="Arial"/>
        </w:rPr>
        <w:t>de cada una de las unidades que componen la planta,</w:t>
      </w:r>
      <w:r w:rsidR="00AA1B17">
        <w:rPr>
          <w:rFonts w:cs="Arial"/>
        </w:rPr>
        <w:t xml:space="preserve"> </w:t>
      </w:r>
      <w:r w:rsidR="00E16F24">
        <w:rPr>
          <w:rFonts w:cs="Arial"/>
        </w:rPr>
        <w:t>así</w:t>
      </w:r>
      <w:r w:rsidR="00AA1B17">
        <w:rPr>
          <w:rFonts w:cs="Arial"/>
        </w:rPr>
        <w:t xml:space="preserve"> como las diferentes configuraciones y </w:t>
      </w:r>
      <w:r w:rsidR="00E16F24">
        <w:rPr>
          <w:rFonts w:cs="Arial"/>
        </w:rPr>
        <w:t>la desagregación</w:t>
      </w:r>
      <w:r w:rsidR="00DB7AA9">
        <w:rPr>
          <w:rFonts w:cs="Arial"/>
        </w:rPr>
        <w:t xml:space="preserve"> por </w:t>
      </w:r>
      <w:r w:rsidR="008A4CAD">
        <w:rPr>
          <w:rFonts w:cs="Arial"/>
        </w:rPr>
        <w:t>estado térmico: frio, tibio o caliente</w:t>
      </w:r>
      <w:r w:rsidR="00E16F24">
        <w:rPr>
          <w:rFonts w:cs="Arial"/>
        </w:rPr>
        <w:t>;</w:t>
      </w:r>
      <w:r w:rsidR="008A4CAD">
        <w:rPr>
          <w:rFonts w:cs="Arial"/>
        </w:rPr>
        <w:t xml:space="preserve"> tal como quedó reflejado en la Resolución CREG 101 028 de 2022. </w:t>
      </w:r>
      <w:r w:rsidR="00DB7AA9">
        <w:rPr>
          <w:rFonts w:cs="Arial"/>
        </w:rPr>
        <w:t>P</w:t>
      </w:r>
      <w:r w:rsidR="008A4CAD">
        <w:rPr>
          <w:rFonts w:cs="Arial"/>
        </w:rPr>
        <w:t>or otro lado</w:t>
      </w:r>
      <w:r w:rsidR="00DB7AA9">
        <w:rPr>
          <w:rFonts w:cs="Arial"/>
        </w:rPr>
        <w:t>,</w:t>
      </w:r>
      <w:r w:rsidR="008A4CAD">
        <w:rPr>
          <w:rFonts w:cs="Arial"/>
        </w:rPr>
        <w:t xml:space="preserve"> </w:t>
      </w:r>
      <w:r w:rsidR="00DB7AA9">
        <w:rPr>
          <w:rFonts w:cs="Arial"/>
        </w:rPr>
        <w:t xml:space="preserve">el gobierno nacional </w:t>
      </w:r>
      <w:r w:rsidR="008A4CAD">
        <w:rPr>
          <w:rFonts w:cs="Arial"/>
        </w:rPr>
        <w:t xml:space="preserve">expidió el Decreto 929 de 2023, en donde </w:t>
      </w:r>
      <w:r w:rsidR="00A75B0A">
        <w:rPr>
          <w:rFonts w:cs="Arial"/>
        </w:rPr>
        <w:t xml:space="preserve">en el literal a) artículo 8 </w:t>
      </w:r>
      <w:r w:rsidR="008A4CAD">
        <w:rPr>
          <w:rFonts w:cs="Arial"/>
        </w:rPr>
        <w:t xml:space="preserve">se </w:t>
      </w:r>
      <w:r w:rsidR="000B63B8">
        <w:rPr>
          <w:rFonts w:cs="Arial"/>
        </w:rPr>
        <w:t>señala que la remuneración de los CAP solamente se dará para los que efectivamente se incurran durante la operación real.</w:t>
      </w:r>
    </w:p>
    <w:p w14:paraId="482A7052" w14:textId="77777777" w:rsidR="000B63B8" w:rsidRDefault="000B63B8" w:rsidP="002A55C2">
      <w:pPr>
        <w:rPr>
          <w:rFonts w:cs="Arial"/>
        </w:rPr>
      </w:pPr>
    </w:p>
    <w:p w14:paraId="3CE21481" w14:textId="11675AC6" w:rsidR="000B63B8" w:rsidRDefault="000B63B8" w:rsidP="002A55C2">
      <w:pPr>
        <w:rPr>
          <w:rFonts w:cs="Arial"/>
        </w:rPr>
      </w:pPr>
      <w:r>
        <w:rPr>
          <w:rFonts w:cs="Arial"/>
        </w:rPr>
        <w:t>Teniendo en cuenta lo anterior, se ha encontrado conveniente hacer una revisión de las resoluciones en donde se considera el CAP</w:t>
      </w:r>
      <w:r w:rsidR="001F7C00">
        <w:rPr>
          <w:rFonts w:cs="Arial"/>
        </w:rPr>
        <w:t xml:space="preserve">, de tal manera que se armonicen </w:t>
      </w:r>
      <w:r>
        <w:rPr>
          <w:rFonts w:cs="Arial"/>
        </w:rPr>
        <w:t xml:space="preserve">los que se vienen utilizando </w:t>
      </w:r>
      <w:r w:rsidR="00D91A2B">
        <w:rPr>
          <w:rFonts w:cs="Arial"/>
        </w:rPr>
        <w:t xml:space="preserve">en las ofertas para </w:t>
      </w:r>
      <w:r>
        <w:rPr>
          <w:rFonts w:cs="Arial"/>
        </w:rPr>
        <w:t xml:space="preserve">la bolsa de energía y </w:t>
      </w:r>
      <w:r w:rsidR="00890770">
        <w:rPr>
          <w:rFonts w:cs="Arial"/>
        </w:rPr>
        <w:t xml:space="preserve">en la liquidación de </w:t>
      </w:r>
      <w:r>
        <w:rPr>
          <w:rFonts w:cs="Arial"/>
        </w:rPr>
        <w:t xml:space="preserve">las </w:t>
      </w:r>
      <w:r>
        <w:rPr>
          <w:rFonts w:cs="Arial"/>
        </w:rPr>
        <w:lastRenderedPageBreak/>
        <w:t xml:space="preserve">restricciones, y darle cumplimiento al </w:t>
      </w:r>
      <w:r w:rsidR="00A75B0A">
        <w:rPr>
          <w:rFonts w:cs="Arial"/>
        </w:rPr>
        <w:t xml:space="preserve">literal a) artículo 8 del </w:t>
      </w:r>
      <w:r>
        <w:rPr>
          <w:rFonts w:cs="Arial"/>
        </w:rPr>
        <w:t>Decreto 929 de 2023, en lo pertinente a los CAP.</w:t>
      </w:r>
    </w:p>
    <w:p w14:paraId="0C209183" w14:textId="77777777" w:rsidR="00021312" w:rsidRDefault="00021312" w:rsidP="008944ED">
      <w:pPr>
        <w:jc w:val="left"/>
        <w:rPr>
          <w:rFonts w:cs="Arial"/>
        </w:rPr>
      </w:pPr>
    </w:p>
    <w:p w14:paraId="04893B24" w14:textId="77777777" w:rsidR="00021312" w:rsidRPr="00454B35" w:rsidRDefault="00021312" w:rsidP="008944ED">
      <w:pPr>
        <w:jc w:val="left"/>
        <w:rPr>
          <w:rFonts w:cs="Arial"/>
        </w:rPr>
      </w:pPr>
    </w:p>
    <w:p w14:paraId="447A7295" w14:textId="77777777" w:rsidR="00454B35" w:rsidRDefault="00454B35" w:rsidP="008944ED">
      <w:pPr>
        <w:jc w:val="left"/>
        <w:rPr>
          <w:rFonts w:cs="Arial"/>
          <w:sz w:val="22"/>
          <w:szCs w:val="18"/>
        </w:rPr>
      </w:pPr>
    </w:p>
    <w:p w14:paraId="3D3108C3" w14:textId="199EE99A" w:rsidR="00E7209B" w:rsidRPr="00C562ED" w:rsidRDefault="00C50033">
      <w:pPr>
        <w:pStyle w:val="Ttulo1"/>
        <w:numPr>
          <w:ilvl w:val="0"/>
          <w:numId w:val="7"/>
        </w:numPr>
        <w:spacing w:after="0"/>
        <w:ind w:left="431" w:hanging="431"/>
        <w:rPr>
          <w:szCs w:val="21"/>
        </w:rPr>
      </w:pPr>
      <w:bookmarkStart w:id="7" w:name="_Toc168493551"/>
      <w:r w:rsidRPr="00C562ED">
        <w:rPr>
          <w:szCs w:val="21"/>
        </w:rPr>
        <w:t>INFORMACIÓN GENERAL</w:t>
      </w:r>
      <w:bookmarkEnd w:id="7"/>
    </w:p>
    <w:p w14:paraId="380C7453" w14:textId="6D542007" w:rsidR="00F0257B" w:rsidRPr="00C562ED" w:rsidRDefault="00F0257B" w:rsidP="00793EEA">
      <w:pPr>
        <w:rPr>
          <w:szCs w:val="21"/>
        </w:rPr>
      </w:pPr>
    </w:p>
    <w:p w14:paraId="42703EAC" w14:textId="3BC46EC5" w:rsidR="001901EF" w:rsidRDefault="001901EF" w:rsidP="00A51C90">
      <w:pPr>
        <w:rPr>
          <w:szCs w:val="22"/>
          <w:lang w:val="es-CO"/>
        </w:rPr>
      </w:pPr>
      <w:r w:rsidRPr="001901EF">
        <w:rPr>
          <w:szCs w:val="22"/>
          <w:lang w:val="es-CO"/>
        </w:rPr>
        <w:t>Con respecto a la remuneración de los CAP, la reglamentación</w:t>
      </w:r>
      <w:r>
        <w:rPr>
          <w:szCs w:val="22"/>
          <w:lang w:val="es-CO"/>
        </w:rPr>
        <w:t xml:space="preserve"> vigente es la siguiente:</w:t>
      </w:r>
    </w:p>
    <w:p w14:paraId="45D501EE" w14:textId="77777777" w:rsidR="001901EF" w:rsidRDefault="001901EF" w:rsidP="00A51C90">
      <w:pPr>
        <w:rPr>
          <w:szCs w:val="22"/>
          <w:lang w:val="es-CO"/>
        </w:rPr>
      </w:pPr>
    </w:p>
    <w:p w14:paraId="1A8A77FF" w14:textId="57780733" w:rsidR="001901EF" w:rsidRPr="00C562ED" w:rsidRDefault="008E3D67" w:rsidP="001901EF">
      <w:pPr>
        <w:pStyle w:val="Ttulo2"/>
      </w:pPr>
      <w:bookmarkStart w:id="8" w:name="_Ref142573173"/>
      <w:bookmarkStart w:id="9" w:name="_Toc168493552"/>
      <w:r>
        <w:t xml:space="preserve">Reconciliación positiva de plantas térmicas - </w:t>
      </w:r>
      <w:r w:rsidR="001901EF">
        <w:t>Resolución CREG 034 de 2001</w:t>
      </w:r>
      <w:bookmarkEnd w:id="8"/>
      <w:bookmarkEnd w:id="9"/>
    </w:p>
    <w:p w14:paraId="7B7DAA34" w14:textId="17F8D451" w:rsidR="001901EF" w:rsidRDefault="005F6BCD" w:rsidP="00A51C90">
      <w:pPr>
        <w:rPr>
          <w:szCs w:val="22"/>
          <w:lang w:val="es-CO"/>
        </w:rPr>
      </w:pPr>
      <w:r>
        <w:rPr>
          <w:szCs w:val="22"/>
          <w:lang w:val="es-CO"/>
        </w:rPr>
        <w:t>El artículo 1 de la Resolución CREG 034 de 2001</w:t>
      </w:r>
      <w:r w:rsidR="00F9034B">
        <w:rPr>
          <w:szCs w:val="22"/>
          <w:lang w:val="es-CO"/>
        </w:rPr>
        <w:t>, modificado por el artículo 9 de la Resolución CREG 044 de 2020,</w:t>
      </w:r>
      <w:r>
        <w:rPr>
          <w:szCs w:val="22"/>
          <w:lang w:val="es-CO"/>
        </w:rPr>
        <w:t xml:space="preserve"> define el precio de reconciliación positiva de los generadores térmicos. La reconciliación positiva corresponde al pago </w:t>
      </w:r>
      <w:r w:rsidR="00D959EC">
        <w:rPr>
          <w:szCs w:val="22"/>
          <w:lang w:val="es-CO"/>
        </w:rPr>
        <w:t xml:space="preserve">de </w:t>
      </w:r>
      <w:r>
        <w:rPr>
          <w:szCs w:val="22"/>
          <w:lang w:val="es-CO"/>
        </w:rPr>
        <w:t>aquellos recursos de generación que no son competitivos en la bolsa de energía pero que se requiere</w:t>
      </w:r>
      <w:r w:rsidR="00D959EC">
        <w:rPr>
          <w:szCs w:val="22"/>
          <w:lang w:val="es-CO"/>
        </w:rPr>
        <w:t>n</w:t>
      </w:r>
      <w:r>
        <w:rPr>
          <w:szCs w:val="22"/>
          <w:lang w:val="es-CO"/>
        </w:rPr>
        <w:t xml:space="preserve"> operar para atender la demanda, dada una restricción en el sistema que impide que la planta competitiva entregue la energía.</w:t>
      </w:r>
    </w:p>
    <w:p w14:paraId="0E17A900" w14:textId="77777777" w:rsidR="005F6BCD" w:rsidRDefault="005F6BCD" w:rsidP="00A51C90">
      <w:pPr>
        <w:rPr>
          <w:szCs w:val="22"/>
          <w:lang w:val="es-CO"/>
        </w:rPr>
      </w:pPr>
    </w:p>
    <w:p w14:paraId="71E5E3A2" w14:textId="57CCEB37" w:rsidR="005F6BCD" w:rsidRDefault="005F6BCD" w:rsidP="00A51C90">
      <w:pPr>
        <w:rPr>
          <w:szCs w:val="22"/>
          <w:lang w:val="es-CO"/>
        </w:rPr>
      </w:pPr>
      <w:r>
        <w:rPr>
          <w:szCs w:val="22"/>
          <w:lang w:val="es-CO"/>
        </w:rPr>
        <w:t xml:space="preserve">La </w:t>
      </w:r>
      <w:r w:rsidR="006855A6">
        <w:rPr>
          <w:szCs w:val="22"/>
          <w:lang w:val="es-CO"/>
        </w:rPr>
        <w:t xml:space="preserve">ecuación </w:t>
      </w:r>
      <w:r>
        <w:rPr>
          <w:szCs w:val="22"/>
          <w:lang w:val="es-CO"/>
        </w:rPr>
        <w:t>definida para</w:t>
      </w:r>
      <w:r w:rsidR="00CC43AC">
        <w:rPr>
          <w:szCs w:val="22"/>
          <w:lang w:val="es-CO"/>
        </w:rPr>
        <w:t xml:space="preserve"> el </w:t>
      </w:r>
      <w:r w:rsidR="002759C1">
        <w:rPr>
          <w:szCs w:val="22"/>
          <w:lang w:val="es-CO"/>
        </w:rPr>
        <w:t xml:space="preserve">precio de reconciliación positiva </w:t>
      </w:r>
      <w:r>
        <w:rPr>
          <w:szCs w:val="22"/>
          <w:lang w:val="es-CO"/>
        </w:rPr>
        <w:t>es la siguiente:</w:t>
      </w:r>
    </w:p>
    <w:p w14:paraId="428CE442" w14:textId="77777777" w:rsidR="005F6BCD" w:rsidRDefault="005F6BCD" w:rsidP="00A51C90">
      <w:pPr>
        <w:rPr>
          <w:szCs w:val="22"/>
          <w:lang w:val="es-CO"/>
        </w:rPr>
      </w:pPr>
    </w:p>
    <w:p w14:paraId="32225F9A" w14:textId="1A3671CA" w:rsidR="005F6BCD" w:rsidRPr="00220A93" w:rsidRDefault="005F6BCD" w:rsidP="00A51C90">
      <w:pPr>
        <w:rPr>
          <w:szCs w:val="22"/>
          <w:lang w:val="es-CO"/>
        </w:rPr>
      </w:pPr>
      <m:oMathPara>
        <m:oMath>
          <m:r>
            <w:rPr>
              <w:rFonts w:ascii="Cambria Math" w:hAnsi="Cambria Math"/>
              <w:szCs w:val="22"/>
              <w:lang w:val="es-CO"/>
            </w:rPr>
            <m:t>PR=Min</m:t>
          </m:r>
          <m:d>
            <m:dPr>
              <m:begChr m:val="["/>
              <m:endChr m:val="]"/>
              <m:ctrlPr>
                <w:rPr>
                  <w:rFonts w:ascii="Cambria Math" w:hAnsi="Cambria Math"/>
                  <w:i/>
                  <w:szCs w:val="22"/>
                  <w:lang w:val="es-CO"/>
                </w:rPr>
              </m:ctrlPr>
            </m:dPr>
            <m:e>
              <m:d>
                <m:dPr>
                  <m:ctrlPr>
                    <w:rPr>
                      <w:rFonts w:ascii="Cambria Math" w:hAnsi="Cambria Math"/>
                      <w:i/>
                      <w:szCs w:val="22"/>
                      <w:lang w:val="es-CO"/>
                    </w:rPr>
                  </m:ctrlPr>
                </m:dPr>
                <m:e>
                  <m:r>
                    <w:rPr>
                      <w:rFonts w:ascii="Cambria Math" w:hAnsi="Cambria Math"/>
                      <w:szCs w:val="22"/>
                      <w:lang w:val="es-CO"/>
                    </w:rPr>
                    <m:t>CSC+CTC+COM+OCV</m:t>
                  </m:r>
                </m:e>
              </m:d>
              <m:r>
                <w:rPr>
                  <w:rFonts w:ascii="Cambria Math" w:hAnsi="Cambria Math"/>
                  <w:szCs w:val="22"/>
                  <w:lang w:val="es-CO"/>
                </w:rPr>
                <m:t>+</m:t>
              </m:r>
              <m:f>
                <m:fPr>
                  <m:ctrlPr>
                    <w:rPr>
                      <w:rFonts w:ascii="Cambria Math" w:hAnsi="Cambria Math"/>
                      <w:i/>
                      <w:szCs w:val="22"/>
                      <w:lang w:val="es-CO"/>
                    </w:rPr>
                  </m:ctrlPr>
                </m:fPr>
                <m:num>
                  <m:r>
                    <w:rPr>
                      <w:rFonts w:ascii="Cambria Math" w:hAnsi="Cambria Math"/>
                      <w:szCs w:val="22"/>
                      <w:lang w:val="es-CO"/>
                    </w:rPr>
                    <m:t>PCAP</m:t>
                  </m:r>
                </m:num>
                <m:den>
                  <m:r>
                    <w:rPr>
                      <w:rFonts w:ascii="Cambria Math" w:hAnsi="Cambria Math"/>
                      <w:szCs w:val="22"/>
                      <w:lang w:val="es-CO"/>
                    </w:rPr>
                    <m:t>GSA</m:t>
                  </m:r>
                </m:den>
              </m:f>
              <m:r>
                <w:rPr>
                  <w:rFonts w:ascii="Cambria Math" w:hAnsi="Cambria Math"/>
                  <w:szCs w:val="22"/>
                  <w:lang w:val="es-CO"/>
                </w:rPr>
                <m:t>;PrecioOferta+</m:t>
              </m:r>
              <m:f>
                <m:fPr>
                  <m:ctrlPr>
                    <w:rPr>
                      <w:rFonts w:ascii="Cambria Math" w:hAnsi="Cambria Math"/>
                      <w:i/>
                      <w:szCs w:val="22"/>
                      <w:lang w:val="es-CO"/>
                    </w:rPr>
                  </m:ctrlPr>
                </m:fPr>
                <m:num>
                  <m:r>
                    <w:rPr>
                      <w:rFonts w:ascii="Cambria Math" w:hAnsi="Cambria Math"/>
                      <w:szCs w:val="22"/>
                      <w:lang w:val="es-CO"/>
                    </w:rPr>
                    <m:t>Par</m:t>
                  </m:r>
                </m:num>
                <m:den>
                  <m:r>
                    <w:rPr>
                      <w:rFonts w:ascii="Cambria Math" w:hAnsi="Cambria Math"/>
                      <w:szCs w:val="22"/>
                      <w:lang w:val="es-CO"/>
                    </w:rPr>
                    <m:t>GSA</m:t>
                  </m:r>
                </m:den>
              </m:f>
            </m:e>
          </m:d>
        </m:oMath>
      </m:oMathPara>
    </w:p>
    <w:p w14:paraId="32326D1D" w14:textId="77777777" w:rsidR="00220A93" w:rsidRDefault="00220A93" w:rsidP="00A51C90">
      <w:pPr>
        <w:rPr>
          <w:szCs w:val="22"/>
          <w:lang w:val="es-CO"/>
        </w:rPr>
      </w:pPr>
    </w:p>
    <w:p w14:paraId="55F3761D" w14:textId="445F2FBB" w:rsidR="00220A93" w:rsidRPr="00F33E1F" w:rsidRDefault="00F33E1F" w:rsidP="00F33E1F">
      <w:pPr>
        <w:pStyle w:val="Descripcin"/>
        <w:jc w:val="center"/>
        <w:rPr>
          <w:sz w:val="20"/>
          <w:szCs w:val="24"/>
          <w:lang w:val="es-CO"/>
        </w:rPr>
      </w:pPr>
      <w:bookmarkStart w:id="10" w:name="_Toc168493571"/>
      <w:r w:rsidRPr="00F33E1F">
        <w:rPr>
          <w:sz w:val="20"/>
          <w:szCs w:val="20"/>
        </w:rPr>
        <w:t xml:space="preserve">Ecuación </w:t>
      </w:r>
      <w:r w:rsidRPr="00F33E1F">
        <w:rPr>
          <w:sz w:val="20"/>
          <w:szCs w:val="20"/>
        </w:rPr>
        <w:fldChar w:fldCharType="begin"/>
      </w:r>
      <w:r w:rsidRPr="00F33E1F">
        <w:rPr>
          <w:sz w:val="20"/>
          <w:szCs w:val="20"/>
        </w:rPr>
        <w:instrText xml:space="preserve"> SEQ Ecuación \* ARABIC </w:instrText>
      </w:r>
      <w:r w:rsidRPr="00F33E1F">
        <w:rPr>
          <w:sz w:val="20"/>
          <w:szCs w:val="20"/>
        </w:rPr>
        <w:fldChar w:fldCharType="separate"/>
      </w:r>
      <w:r w:rsidR="00CB0CB3">
        <w:rPr>
          <w:noProof/>
          <w:sz w:val="20"/>
          <w:szCs w:val="20"/>
        </w:rPr>
        <w:t>1</w:t>
      </w:r>
      <w:r w:rsidRPr="00F33E1F">
        <w:rPr>
          <w:sz w:val="20"/>
          <w:szCs w:val="20"/>
        </w:rPr>
        <w:fldChar w:fldCharType="end"/>
      </w:r>
      <w:r w:rsidRPr="00F33E1F">
        <w:rPr>
          <w:sz w:val="20"/>
          <w:szCs w:val="20"/>
        </w:rPr>
        <w:t>. Reconciliación positiva plantas térmicas</w:t>
      </w:r>
      <w:bookmarkEnd w:id="10"/>
    </w:p>
    <w:p w14:paraId="37A19035" w14:textId="77777777" w:rsidR="005F6BCD" w:rsidRDefault="005F6BCD" w:rsidP="00A51C90">
      <w:pPr>
        <w:rPr>
          <w:sz w:val="22"/>
          <w:lang w:val="es-CO"/>
        </w:rPr>
      </w:pPr>
    </w:p>
    <w:p w14:paraId="6C9927F1" w14:textId="54C94FAE" w:rsidR="006165DF" w:rsidRDefault="00C637CC" w:rsidP="00A51C90">
      <w:pPr>
        <w:rPr>
          <w:szCs w:val="22"/>
          <w:lang w:val="es-CO"/>
        </w:rPr>
      </w:pPr>
      <w:r w:rsidRPr="00C637CC">
        <w:rPr>
          <w:szCs w:val="22"/>
          <w:lang w:val="es-CO"/>
        </w:rPr>
        <w:t xml:space="preserve">La fórmula anterior, </w:t>
      </w:r>
      <w:r>
        <w:rPr>
          <w:szCs w:val="22"/>
          <w:lang w:val="es-CO"/>
        </w:rPr>
        <w:t xml:space="preserve">define el pago de la reconciliación positiva (PR) </w:t>
      </w:r>
      <w:r w:rsidR="006855A6">
        <w:rPr>
          <w:szCs w:val="22"/>
          <w:lang w:val="es-CO"/>
        </w:rPr>
        <w:t xml:space="preserve">como </w:t>
      </w:r>
      <w:r>
        <w:rPr>
          <w:szCs w:val="22"/>
          <w:lang w:val="es-CO"/>
        </w:rPr>
        <w:t xml:space="preserve">el </w:t>
      </w:r>
      <w:r w:rsidR="006855A6">
        <w:rPr>
          <w:szCs w:val="22"/>
          <w:lang w:val="es-CO"/>
        </w:rPr>
        <w:t xml:space="preserve">valor </w:t>
      </w:r>
      <w:r>
        <w:rPr>
          <w:szCs w:val="22"/>
          <w:lang w:val="es-CO"/>
        </w:rPr>
        <w:t>mínimo entre</w:t>
      </w:r>
      <w:r w:rsidR="00397361">
        <w:rPr>
          <w:szCs w:val="22"/>
          <w:lang w:val="es-CO"/>
        </w:rPr>
        <w:t>: a)</w:t>
      </w:r>
      <w:r>
        <w:rPr>
          <w:szCs w:val="22"/>
          <w:lang w:val="es-CO"/>
        </w:rPr>
        <w:t xml:space="preserve"> </w:t>
      </w:r>
      <w:r w:rsidRPr="00012511">
        <w:rPr>
          <w:b/>
          <w:bCs/>
          <w:szCs w:val="22"/>
          <w:lang w:val="es-CO"/>
        </w:rPr>
        <w:t>los costos</w:t>
      </w:r>
      <w:r>
        <w:rPr>
          <w:szCs w:val="22"/>
          <w:lang w:val="es-CO"/>
        </w:rPr>
        <w:t xml:space="preserve"> que corresponde</w:t>
      </w:r>
      <w:r w:rsidR="006855A6">
        <w:rPr>
          <w:szCs w:val="22"/>
          <w:lang w:val="es-CO"/>
        </w:rPr>
        <w:t>n</w:t>
      </w:r>
      <w:r>
        <w:rPr>
          <w:szCs w:val="22"/>
          <w:lang w:val="es-CO"/>
        </w:rPr>
        <w:t xml:space="preserve"> a la componente del lado izquierdo; constru</w:t>
      </w:r>
      <w:r w:rsidR="006855A6">
        <w:rPr>
          <w:szCs w:val="22"/>
          <w:lang w:val="es-CO"/>
        </w:rPr>
        <w:t xml:space="preserve">ida con: </w:t>
      </w:r>
      <w:r>
        <w:rPr>
          <w:szCs w:val="22"/>
          <w:lang w:val="es-CO"/>
        </w:rPr>
        <w:t>costos de suministro de combustible (CSC), costo de transporte de combustible (CTC), costos de operación y mantenimiento (COM), otros costos variables (OCV) que corresponde a costos que se tienen en la bolsa</w:t>
      </w:r>
      <w:r w:rsidR="00CB126A">
        <w:rPr>
          <w:rStyle w:val="Refdenotaalpie"/>
          <w:szCs w:val="22"/>
          <w:lang w:val="es-CO"/>
        </w:rPr>
        <w:footnoteReference w:id="2"/>
      </w:r>
      <w:r>
        <w:rPr>
          <w:szCs w:val="22"/>
          <w:lang w:val="es-CO"/>
        </w:rPr>
        <w:t xml:space="preserve">, y costos de arranque parada reconocidos por </w:t>
      </w:r>
      <w:r w:rsidR="005E74C4">
        <w:rPr>
          <w:szCs w:val="22"/>
          <w:lang w:val="es-CO"/>
        </w:rPr>
        <w:t>configuración</w:t>
      </w:r>
      <w:r w:rsidR="009830E8">
        <w:rPr>
          <w:szCs w:val="22"/>
          <w:lang w:val="es-CO"/>
        </w:rPr>
        <w:t xml:space="preserve"> (PCAP)</w:t>
      </w:r>
      <w:r w:rsidR="005E74C4">
        <w:rPr>
          <w:szCs w:val="22"/>
          <w:lang w:val="es-CO"/>
        </w:rPr>
        <w:t>, sin definir estado térmico</w:t>
      </w:r>
      <w:r>
        <w:rPr>
          <w:szCs w:val="22"/>
          <w:lang w:val="es-CO"/>
        </w:rPr>
        <w:t>; y</w:t>
      </w:r>
      <w:r w:rsidR="00397361">
        <w:rPr>
          <w:szCs w:val="22"/>
          <w:lang w:val="es-CO"/>
        </w:rPr>
        <w:t xml:space="preserve"> b)</w:t>
      </w:r>
      <w:r>
        <w:rPr>
          <w:szCs w:val="22"/>
          <w:lang w:val="es-CO"/>
        </w:rPr>
        <w:t xml:space="preserve"> </w:t>
      </w:r>
      <w:r w:rsidRPr="00012511">
        <w:rPr>
          <w:b/>
          <w:bCs/>
          <w:szCs w:val="22"/>
          <w:lang w:val="es-CO"/>
        </w:rPr>
        <w:t>los valores ofertados</w:t>
      </w:r>
      <w:r>
        <w:rPr>
          <w:szCs w:val="22"/>
          <w:lang w:val="es-CO"/>
        </w:rPr>
        <w:t xml:space="preserve"> que corresponde a la componente de lado derecho, que son</w:t>
      </w:r>
      <w:r w:rsidR="006855A6">
        <w:rPr>
          <w:szCs w:val="22"/>
          <w:lang w:val="es-CO"/>
        </w:rPr>
        <w:t>: l</w:t>
      </w:r>
      <w:r>
        <w:rPr>
          <w:szCs w:val="22"/>
          <w:lang w:val="es-CO"/>
        </w:rPr>
        <w:t>os precios ofertados diariamente y los preci</w:t>
      </w:r>
      <w:r w:rsidR="006855A6">
        <w:rPr>
          <w:szCs w:val="22"/>
          <w:lang w:val="es-CO"/>
        </w:rPr>
        <w:t xml:space="preserve">os </w:t>
      </w:r>
      <w:r>
        <w:rPr>
          <w:szCs w:val="22"/>
          <w:lang w:val="es-CO"/>
        </w:rPr>
        <w:t xml:space="preserve">de arranque parada ofertados trimestralmente </w:t>
      </w:r>
      <w:r w:rsidR="009830E8">
        <w:rPr>
          <w:szCs w:val="22"/>
          <w:lang w:val="es-CO"/>
        </w:rPr>
        <w:t xml:space="preserve">(Par) </w:t>
      </w:r>
      <w:r>
        <w:rPr>
          <w:szCs w:val="22"/>
          <w:lang w:val="es-CO"/>
        </w:rPr>
        <w:t>y que se consideran para el despacho que define los preci</w:t>
      </w:r>
      <w:r w:rsidR="00284B18">
        <w:rPr>
          <w:szCs w:val="22"/>
          <w:lang w:val="es-CO"/>
        </w:rPr>
        <w:t>os</w:t>
      </w:r>
      <w:r>
        <w:rPr>
          <w:szCs w:val="22"/>
          <w:lang w:val="es-CO"/>
        </w:rPr>
        <w:t xml:space="preserve"> de bolsa, denominado despacho ideal</w:t>
      </w:r>
      <w:r w:rsidR="00F9034B">
        <w:rPr>
          <w:szCs w:val="22"/>
          <w:lang w:val="es-CO"/>
        </w:rPr>
        <w:t>, el cual fue modificado con la Resolución CREG 101 028 de 2022 para pasar de un oferta de CAP por configuración a una oferta por unidad y estado térmico</w:t>
      </w:r>
      <w:r w:rsidR="006855A6">
        <w:rPr>
          <w:szCs w:val="22"/>
          <w:lang w:val="es-CO"/>
        </w:rPr>
        <w:t>: frio, tibio y caliente</w:t>
      </w:r>
      <w:r w:rsidR="007A0A0F">
        <w:rPr>
          <w:szCs w:val="22"/>
          <w:lang w:val="es-CO"/>
        </w:rPr>
        <w:t>, tal como se puede ver en el ejemplo de la ilustración siguiente</w:t>
      </w:r>
      <w:r>
        <w:rPr>
          <w:szCs w:val="22"/>
          <w:lang w:val="es-CO"/>
        </w:rPr>
        <w:t>.</w:t>
      </w:r>
    </w:p>
    <w:p w14:paraId="35DE1FE9" w14:textId="77777777" w:rsidR="006165DF" w:rsidRDefault="006165DF" w:rsidP="00A51C90">
      <w:pPr>
        <w:rPr>
          <w:szCs w:val="22"/>
          <w:lang w:val="es-CO"/>
        </w:rPr>
      </w:pPr>
    </w:p>
    <w:p w14:paraId="4C608B8F" w14:textId="25F56E7E" w:rsidR="00C637CC" w:rsidRDefault="006165DF" w:rsidP="00A51C90">
      <w:pPr>
        <w:rPr>
          <w:szCs w:val="22"/>
          <w:lang w:val="es-CO"/>
        </w:rPr>
      </w:pPr>
      <w:r w:rsidRPr="006165DF">
        <w:rPr>
          <w:noProof/>
          <w:szCs w:val="22"/>
        </w:rPr>
        <w:lastRenderedPageBreak/>
        <w:drawing>
          <wp:inline distT="0" distB="0" distL="0" distR="0" wp14:anchorId="539CA2ED" wp14:editId="3333F352">
            <wp:extent cx="5648325" cy="1794301"/>
            <wp:effectExtent l="0" t="0" r="0" b="0"/>
            <wp:docPr id="556044387" name="Graphic 556044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44387"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5652031" cy="1795478"/>
                    </a:xfrm>
                    <a:prstGeom prst="rect">
                      <a:avLst/>
                    </a:prstGeom>
                  </pic:spPr>
                </pic:pic>
              </a:graphicData>
            </a:graphic>
          </wp:inline>
        </w:drawing>
      </w:r>
      <w:r w:rsidR="00C637CC">
        <w:rPr>
          <w:szCs w:val="22"/>
          <w:lang w:val="es-CO"/>
        </w:rPr>
        <w:t xml:space="preserve">  </w:t>
      </w:r>
    </w:p>
    <w:p w14:paraId="24B92E32" w14:textId="77777777" w:rsidR="006165DF" w:rsidRDefault="006165DF" w:rsidP="00A51C90">
      <w:pPr>
        <w:rPr>
          <w:szCs w:val="22"/>
          <w:lang w:val="es-CO"/>
        </w:rPr>
      </w:pPr>
    </w:p>
    <w:p w14:paraId="6F2097E2" w14:textId="632A7FB8" w:rsidR="006165DF" w:rsidRPr="006165DF" w:rsidRDefault="006165DF" w:rsidP="006165DF">
      <w:pPr>
        <w:pStyle w:val="Descripcin"/>
        <w:jc w:val="center"/>
        <w:rPr>
          <w:sz w:val="28"/>
          <w:szCs w:val="24"/>
          <w:lang w:val="es-CO"/>
        </w:rPr>
      </w:pPr>
      <w:bookmarkStart w:id="11" w:name="_Toc168493575"/>
      <w:r w:rsidRPr="006165DF">
        <w:rPr>
          <w:sz w:val="20"/>
          <w:szCs w:val="20"/>
        </w:rPr>
        <w:t xml:space="preserve">Ilustración </w:t>
      </w:r>
      <w:r w:rsidRPr="006165DF">
        <w:rPr>
          <w:sz w:val="20"/>
          <w:szCs w:val="20"/>
        </w:rPr>
        <w:fldChar w:fldCharType="begin"/>
      </w:r>
      <w:r w:rsidRPr="006165DF">
        <w:rPr>
          <w:sz w:val="20"/>
          <w:szCs w:val="20"/>
        </w:rPr>
        <w:instrText xml:space="preserve"> SEQ Ilustración \* ARABIC </w:instrText>
      </w:r>
      <w:r w:rsidRPr="006165DF">
        <w:rPr>
          <w:sz w:val="20"/>
          <w:szCs w:val="20"/>
        </w:rPr>
        <w:fldChar w:fldCharType="separate"/>
      </w:r>
      <w:r w:rsidR="00CB0CB3">
        <w:rPr>
          <w:noProof/>
          <w:sz w:val="20"/>
          <w:szCs w:val="20"/>
        </w:rPr>
        <w:t>1</w:t>
      </w:r>
      <w:r w:rsidRPr="006165DF">
        <w:rPr>
          <w:sz w:val="20"/>
          <w:szCs w:val="20"/>
        </w:rPr>
        <w:fldChar w:fldCharType="end"/>
      </w:r>
      <w:r w:rsidRPr="006165DF">
        <w:rPr>
          <w:sz w:val="20"/>
          <w:szCs w:val="20"/>
        </w:rPr>
        <w:t>. Ejemplo de las unidades que conforman una configuración</w:t>
      </w:r>
      <w:bookmarkEnd w:id="11"/>
    </w:p>
    <w:p w14:paraId="685C6431" w14:textId="77777777" w:rsidR="00CE6C94" w:rsidRDefault="00CE6C94" w:rsidP="00A51C90">
      <w:pPr>
        <w:rPr>
          <w:sz w:val="22"/>
        </w:rPr>
      </w:pPr>
    </w:p>
    <w:p w14:paraId="5B7A98EE" w14:textId="36308133" w:rsidR="006855A6" w:rsidRPr="00C562ED" w:rsidRDefault="009A5492" w:rsidP="006855A6">
      <w:pPr>
        <w:pStyle w:val="Ttulo2"/>
      </w:pPr>
      <w:bookmarkStart w:id="12" w:name="_Toc168493553"/>
      <w:bookmarkStart w:id="13" w:name="_Ref142573176"/>
      <w:r>
        <w:t xml:space="preserve">Función precio en la bolsa de energía - </w:t>
      </w:r>
      <w:r w:rsidR="006855A6">
        <w:t>Resolución CREG 024 de 1995</w:t>
      </w:r>
      <w:bookmarkEnd w:id="12"/>
      <w:r w:rsidR="006855A6">
        <w:t xml:space="preserve"> </w:t>
      </w:r>
      <w:bookmarkEnd w:id="13"/>
    </w:p>
    <w:p w14:paraId="49CFC732" w14:textId="00ECA2B3" w:rsidR="006855A6" w:rsidRDefault="005D02B7" w:rsidP="00A51C90">
      <w:pPr>
        <w:rPr>
          <w:szCs w:val="22"/>
        </w:rPr>
      </w:pPr>
      <w:r w:rsidRPr="005D02B7">
        <w:rPr>
          <w:szCs w:val="22"/>
        </w:rPr>
        <w:t xml:space="preserve">En el </w:t>
      </w:r>
      <w:r w:rsidR="007A0A0F">
        <w:rPr>
          <w:szCs w:val="22"/>
        </w:rPr>
        <w:t xml:space="preserve">literal d del </w:t>
      </w:r>
      <w:r w:rsidRPr="005D02B7">
        <w:rPr>
          <w:szCs w:val="22"/>
        </w:rPr>
        <w:t>anexo 4 de la Resolución CREG 024 de 1995</w:t>
      </w:r>
      <w:r>
        <w:rPr>
          <w:szCs w:val="22"/>
        </w:rPr>
        <w:t>, modificado por el artículo 5 de la Resolución CREG 101 028 de 2022,</w:t>
      </w:r>
      <w:r w:rsidRPr="005D02B7">
        <w:rPr>
          <w:szCs w:val="22"/>
        </w:rPr>
        <w:t xml:space="preserve"> establece la forma de calcular el </w:t>
      </w:r>
      <w:r w:rsidR="007A0A0F">
        <w:rPr>
          <w:szCs w:val="22"/>
        </w:rPr>
        <w:t>valor delta I (</w:t>
      </w:r>
      <w:r w:rsidR="007A0A0F">
        <w:rPr>
          <w:rFonts w:cs="Arial"/>
          <w:szCs w:val="22"/>
        </w:rPr>
        <w:t>Δ</w:t>
      </w:r>
      <w:r w:rsidR="007A0A0F">
        <w:rPr>
          <w:szCs w:val="22"/>
        </w:rPr>
        <w:t xml:space="preserve">I) que hace parte del </w:t>
      </w:r>
      <w:r w:rsidRPr="005D02B7">
        <w:rPr>
          <w:szCs w:val="22"/>
        </w:rPr>
        <w:t>precio de bolsa</w:t>
      </w:r>
      <w:r w:rsidR="00FD34CB">
        <w:rPr>
          <w:rStyle w:val="Refdenotaalpie"/>
          <w:szCs w:val="22"/>
        </w:rPr>
        <w:footnoteReference w:id="3"/>
      </w:r>
      <w:r w:rsidRPr="005D02B7">
        <w:rPr>
          <w:szCs w:val="22"/>
        </w:rPr>
        <w:t>, con los resultados del despacho ideal, es decir el despacho en donde no se considera la red</w:t>
      </w:r>
      <w:r>
        <w:rPr>
          <w:szCs w:val="22"/>
        </w:rPr>
        <w:t>, para los mercados nacional e internacional.</w:t>
      </w:r>
    </w:p>
    <w:p w14:paraId="4B159DC9" w14:textId="77777777" w:rsidR="005D02B7" w:rsidRDefault="005D02B7" w:rsidP="00A51C90">
      <w:pPr>
        <w:rPr>
          <w:szCs w:val="22"/>
        </w:rPr>
      </w:pPr>
    </w:p>
    <w:p w14:paraId="66E581CE" w14:textId="2501E4A5" w:rsidR="005D02B7" w:rsidRDefault="007A0A0F" w:rsidP="00A51C90">
      <w:pPr>
        <w:rPr>
          <w:szCs w:val="22"/>
        </w:rPr>
      </w:pPr>
      <w:r>
        <w:rPr>
          <w:szCs w:val="22"/>
        </w:rPr>
        <w:t>El precio de bolsa es la suma de</w:t>
      </w:r>
      <w:r w:rsidR="003646D0">
        <w:rPr>
          <w:szCs w:val="22"/>
        </w:rPr>
        <w:t>:</w:t>
      </w:r>
      <w:r>
        <w:rPr>
          <w:szCs w:val="22"/>
        </w:rPr>
        <w:t xml:space="preserve"> Máximo Precio Ofertado (MPO) </w:t>
      </w:r>
      <w:r w:rsidR="005D5C2F">
        <w:rPr>
          <w:szCs w:val="22"/>
        </w:rPr>
        <w:t>y el</w:t>
      </w:r>
      <w:r>
        <w:rPr>
          <w:szCs w:val="22"/>
        </w:rPr>
        <w:t xml:space="preserve"> valor adicional denominado </w:t>
      </w:r>
      <w:r>
        <w:rPr>
          <w:rFonts w:cs="Arial"/>
          <w:szCs w:val="22"/>
        </w:rPr>
        <w:t>Δ</w:t>
      </w:r>
      <w:r>
        <w:rPr>
          <w:szCs w:val="22"/>
        </w:rPr>
        <w:t xml:space="preserve">I. </w:t>
      </w:r>
      <w:r w:rsidR="00BB390F">
        <w:rPr>
          <w:szCs w:val="22"/>
        </w:rPr>
        <w:t>Donde</w:t>
      </w:r>
      <w:r>
        <w:rPr>
          <w:szCs w:val="22"/>
        </w:rPr>
        <w:t xml:space="preserve"> el MPO corresponde al precio ofertado de la última planta despachada para atender la demanda y el </w:t>
      </w:r>
      <w:r>
        <w:rPr>
          <w:rFonts w:cs="Arial"/>
          <w:szCs w:val="22"/>
        </w:rPr>
        <w:t>Δ</w:t>
      </w:r>
      <w:r>
        <w:rPr>
          <w:szCs w:val="22"/>
        </w:rPr>
        <w:t>I es el valor no cubierto durante el día en la bolsa para las plantas térmicas.</w:t>
      </w:r>
    </w:p>
    <w:p w14:paraId="05A74A32" w14:textId="77777777" w:rsidR="007A0A0F" w:rsidRDefault="007A0A0F" w:rsidP="00A51C90">
      <w:pPr>
        <w:rPr>
          <w:szCs w:val="22"/>
        </w:rPr>
      </w:pPr>
    </w:p>
    <w:p w14:paraId="27066C05" w14:textId="487757FF" w:rsidR="00D0208B" w:rsidRDefault="00D0208B" w:rsidP="00A51C90">
      <w:pPr>
        <w:rPr>
          <w:szCs w:val="22"/>
        </w:rPr>
      </w:pPr>
      <w:r>
        <w:rPr>
          <w:szCs w:val="22"/>
        </w:rPr>
        <w:t xml:space="preserve">El </w:t>
      </w:r>
      <w:r>
        <w:rPr>
          <w:rFonts w:cs="Arial"/>
          <w:szCs w:val="22"/>
        </w:rPr>
        <w:t>Δ</w:t>
      </w:r>
      <w:r>
        <w:rPr>
          <w:szCs w:val="22"/>
        </w:rPr>
        <w:t xml:space="preserve">I es un valor que aparece cuando </w:t>
      </w:r>
      <w:r w:rsidR="00A44610">
        <w:rPr>
          <w:szCs w:val="22"/>
        </w:rPr>
        <w:t xml:space="preserve">al </w:t>
      </w:r>
      <w:r>
        <w:rPr>
          <w:szCs w:val="22"/>
        </w:rPr>
        <w:t>compara</w:t>
      </w:r>
      <w:r w:rsidR="00A44610">
        <w:rPr>
          <w:szCs w:val="22"/>
        </w:rPr>
        <w:t>r</w:t>
      </w:r>
      <w:r>
        <w:rPr>
          <w:szCs w:val="22"/>
        </w:rPr>
        <w:t xml:space="preserve"> los ingresos y costos diarios</w:t>
      </w:r>
      <w:r w:rsidR="00F6126D">
        <w:rPr>
          <w:szCs w:val="22"/>
        </w:rPr>
        <w:t xml:space="preserve"> de las plantas térmicas</w:t>
      </w:r>
      <w:r w:rsidR="00E15AC2">
        <w:rPr>
          <w:szCs w:val="22"/>
        </w:rPr>
        <w:t xml:space="preserve">, </w:t>
      </w:r>
      <w:r w:rsidR="00D153E3">
        <w:rPr>
          <w:szCs w:val="22"/>
        </w:rPr>
        <w:t xml:space="preserve">se encuentra que los ingresos son </w:t>
      </w:r>
      <w:r w:rsidR="00D26B33">
        <w:rPr>
          <w:szCs w:val="22"/>
        </w:rPr>
        <w:t>menores que los costos</w:t>
      </w:r>
      <w:r>
        <w:rPr>
          <w:szCs w:val="22"/>
        </w:rPr>
        <w:t xml:space="preserve">, </w:t>
      </w:r>
      <w:r w:rsidR="005B4618">
        <w:rPr>
          <w:szCs w:val="22"/>
        </w:rPr>
        <w:t>donde</w:t>
      </w:r>
      <w:r>
        <w:rPr>
          <w:szCs w:val="22"/>
        </w:rPr>
        <w:t xml:space="preserve"> los ingreso</w:t>
      </w:r>
      <w:r w:rsidR="00BA72B9">
        <w:rPr>
          <w:szCs w:val="22"/>
        </w:rPr>
        <w:t>s</w:t>
      </w:r>
      <w:r>
        <w:rPr>
          <w:szCs w:val="22"/>
        </w:rPr>
        <w:t xml:space="preserve"> son el producto del MPO por la generación ideal de la planta </w:t>
      </w:r>
      <w:r w:rsidR="00652010">
        <w:rPr>
          <w:szCs w:val="22"/>
        </w:rPr>
        <w:t xml:space="preserve">y </w:t>
      </w:r>
      <w:r>
        <w:rPr>
          <w:szCs w:val="22"/>
        </w:rPr>
        <w:t xml:space="preserve">los </w:t>
      </w:r>
      <w:r w:rsidR="00257C6A">
        <w:rPr>
          <w:szCs w:val="22"/>
        </w:rPr>
        <w:t xml:space="preserve">costos son </w:t>
      </w:r>
      <w:r>
        <w:rPr>
          <w:szCs w:val="22"/>
        </w:rPr>
        <w:t xml:space="preserve">el producto del precio ofertado por la generación ideal más el CAP. Ahora bien, el </w:t>
      </w:r>
      <w:r>
        <w:rPr>
          <w:rFonts w:cs="Arial"/>
          <w:szCs w:val="22"/>
        </w:rPr>
        <w:t>Δ</w:t>
      </w:r>
      <w:r>
        <w:rPr>
          <w:szCs w:val="22"/>
        </w:rPr>
        <w:t xml:space="preserve">I es la diferencia entre los ingresos y los costos operativos diarios dividido </w:t>
      </w:r>
      <w:r w:rsidR="00511021">
        <w:rPr>
          <w:szCs w:val="22"/>
        </w:rPr>
        <w:t>por la demanda del día, con lo que se obtiene un valor en $/kWh que se agrega al MPO para determinar el precio de bolsa. En la</w:t>
      </w:r>
      <w:r w:rsidR="002A3328">
        <w:rPr>
          <w:szCs w:val="22"/>
        </w:rPr>
        <w:t xml:space="preserve"> ilustración y ecuaciones </w:t>
      </w:r>
      <w:r w:rsidR="00511021">
        <w:rPr>
          <w:szCs w:val="22"/>
        </w:rPr>
        <w:t>siguientes se muestra lo señalado anteriormente.</w:t>
      </w:r>
    </w:p>
    <w:p w14:paraId="4A542960" w14:textId="77777777" w:rsidR="002A3328" w:rsidRDefault="002A3328" w:rsidP="00A51C90">
      <w:pPr>
        <w:rPr>
          <w:szCs w:val="22"/>
        </w:rPr>
      </w:pPr>
    </w:p>
    <w:p w14:paraId="12DB0B13" w14:textId="77777777" w:rsidR="002A3328" w:rsidRDefault="002A3328" w:rsidP="00A51C90">
      <w:pPr>
        <w:rPr>
          <w:szCs w:val="22"/>
        </w:rPr>
      </w:pPr>
    </w:p>
    <w:tbl>
      <w:tblPr>
        <w:tblStyle w:val="Tablaconcuadrcula"/>
        <w:tblW w:w="0" w:type="auto"/>
        <w:tblLook w:val="04A0" w:firstRow="1" w:lastRow="0" w:firstColumn="1" w:lastColumn="0" w:noHBand="0" w:noVBand="1"/>
      </w:tblPr>
      <w:tblGrid>
        <w:gridCol w:w="4521"/>
        <w:gridCol w:w="4875"/>
      </w:tblGrid>
      <w:tr w:rsidR="002A3328" w14:paraId="2ED8C0E2" w14:textId="77777777" w:rsidTr="002A3328">
        <w:tc>
          <w:tcPr>
            <w:tcW w:w="4698" w:type="dxa"/>
          </w:tcPr>
          <w:p w14:paraId="67943718" w14:textId="7AA04785" w:rsidR="002A3328" w:rsidRDefault="002A3328" w:rsidP="00A51C90">
            <w:pPr>
              <w:rPr>
                <w:szCs w:val="22"/>
              </w:rPr>
            </w:pPr>
            <w:r w:rsidRPr="002A3328">
              <w:rPr>
                <w:noProof/>
                <w:szCs w:val="22"/>
              </w:rPr>
              <w:lastRenderedPageBreak/>
              <w:drawing>
                <wp:inline distT="0" distB="0" distL="0" distR="0" wp14:anchorId="71E4AA15" wp14:editId="061D37A0">
                  <wp:extent cx="2895600" cy="2103184"/>
                  <wp:effectExtent l="0" t="0" r="0" b="0"/>
                  <wp:docPr id="1730685749" name="Graphic 1730685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685749"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2914042" cy="2116579"/>
                          </a:xfrm>
                          <a:prstGeom prst="rect">
                            <a:avLst/>
                          </a:prstGeom>
                        </pic:spPr>
                      </pic:pic>
                    </a:graphicData>
                  </a:graphic>
                </wp:inline>
              </w:drawing>
            </w:r>
          </w:p>
        </w:tc>
        <w:tc>
          <w:tcPr>
            <w:tcW w:w="4698" w:type="dxa"/>
          </w:tcPr>
          <w:p w14:paraId="3C128DDA" w14:textId="7F6F7738" w:rsidR="002A3328" w:rsidRDefault="002A3328" w:rsidP="00A51C90">
            <w:pPr>
              <w:rPr>
                <w:szCs w:val="22"/>
              </w:rPr>
            </w:pPr>
            <w:r w:rsidRPr="002A3328">
              <w:rPr>
                <w:noProof/>
                <w:szCs w:val="22"/>
              </w:rPr>
              <w:drawing>
                <wp:inline distT="0" distB="0" distL="0" distR="0" wp14:anchorId="723D94AE" wp14:editId="3F7DC26F">
                  <wp:extent cx="3133725" cy="2138114"/>
                  <wp:effectExtent l="0" t="0" r="0" b="0"/>
                  <wp:docPr id="1839684249" name="Graphic 1839684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580579"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3140646" cy="2142836"/>
                          </a:xfrm>
                          <a:prstGeom prst="rect">
                            <a:avLst/>
                          </a:prstGeom>
                        </pic:spPr>
                      </pic:pic>
                    </a:graphicData>
                  </a:graphic>
                </wp:inline>
              </w:drawing>
            </w:r>
          </w:p>
        </w:tc>
      </w:tr>
    </w:tbl>
    <w:p w14:paraId="7C724E11" w14:textId="77777777" w:rsidR="002A3328" w:rsidRDefault="002A3328" w:rsidP="00A51C90">
      <w:pPr>
        <w:rPr>
          <w:szCs w:val="22"/>
        </w:rPr>
      </w:pPr>
    </w:p>
    <w:p w14:paraId="165D866F" w14:textId="20AABEA0" w:rsidR="002A3328" w:rsidRPr="002A3328" w:rsidRDefault="002A3328" w:rsidP="002A3328">
      <w:pPr>
        <w:pStyle w:val="Descripcin"/>
        <w:jc w:val="center"/>
        <w:rPr>
          <w:sz w:val="20"/>
          <w:szCs w:val="24"/>
        </w:rPr>
      </w:pPr>
      <w:bookmarkStart w:id="14" w:name="_Toc168493576"/>
      <w:r w:rsidRPr="002A3328">
        <w:rPr>
          <w:sz w:val="20"/>
          <w:szCs w:val="20"/>
        </w:rPr>
        <w:t xml:space="preserve">Ilustración </w:t>
      </w:r>
      <w:r w:rsidRPr="002A3328">
        <w:rPr>
          <w:sz w:val="20"/>
          <w:szCs w:val="20"/>
        </w:rPr>
        <w:fldChar w:fldCharType="begin"/>
      </w:r>
      <w:r w:rsidRPr="002A3328">
        <w:rPr>
          <w:sz w:val="20"/>
          <w:szCs w:val="20"/>
        </w:rPr>
        <w:instrText xml:space="preserve"> SEQ Ilustración \* ARABIC </w:instrText>
      </w:r>
      <w:r w:rsidRPr="002A3328">
        <w:rPr>
          <w:sz w:val="20"/>
          <w:szCs w:val="20"/>
        </w:rPr>
        <w:fldChar w:fldCharType="separate"/>
      </w:r>
      <w:r w:rsidR="00CB0CB3">
        <w:rPr>
          <w:noProof/>
          <w:sz w:val="20"/>
          <w:szCs w:val="20"/>
        </w:rPr>
        <w:t>2</w:t>
      </w:r>
      <w:r w:rsidRPr="002A3328">
        <w:rPr>
          <w:sz w:val="20"/>
          <w:szCs w:val="20"/>
        </w:rPr>
        <w:fldChar w:fldCharType="end"/>
      </w:r>
      <w:r w:rsidRPr="002A3328">
        <w:rPr>
          <w:sz w:val="20"/>
          <w:szCs w:val="20"/>
        </w:rPr>
        <w:t xml:space="preserve">. Precio de bolsa y cálculo del </w:t>
      </w:r>
      <w:r w:rsidRPr="002A3328">
        <w:rPr>
          <w:rFonts w:cs="Arial"/>
          <w:sz w:val="20"/>
          <w:szCs w:val="20"/>
        </w:rPr>
        <w:t>Δ</w:t>
      </w:r>
      <w:r w:rsidRPr="002A3328">
        <w:rPr>
          <w:sz w:val="20"/>
          <w:szCs w:val="20"/>
        </w:rPr>
        <w:t>I</w:t>
      </w:r>
      <w:bookmarkEnd w:id="14"/>
    </w:p>
    <w:p w14:paraId="076BD12F" w14:textId="2C46062F" w:rsidR="002A3328" w:rsidRDefault="002A3328" w:rsidP="00A51C90">
      <w:pPr>
        <w:rPr>
          <w:szCs w:val="22"/>
        </w:rPr>
      </w:pPr>
    </w:p>
    <w:p w14:paraId="04C8CECB" w14:textId="462ADD5F" w:rsidR="00B12940" w:rsidRDefault="00B12940" w:rsidP="00A51C90">
      <w:pPr>
        <w:rPr>
          <w:szCs w:val="22"/>
        </w:rPr>
      </w:pPr>
      <w:r>
        <w:rPr>
          <w:szCs w:val="22"/>
        </w:rPr>
        <w:t xml:space="preserve">Ecuaciones </w:t>
      </w:r>
      <w:r>
        <w:rPr>
          <w:rFonts w:cs="Arial"/>
          <w:szCs w:val="22"/>
        </w:rPr>
        <w:t>Δ</w:t>
      </w:r>
      <w:r>
        <w:rPr>
          <w:szCs w:val="22"/>
        </w:rPr>
        <w:t>I</w:t>
      </w:r>
      <w:r w:rsidR="00DA0E40">
        <w:rPr>
          <w:szCs w:val="22"/>
        </w:rPr>
        <w:t>:</w:t>
      </w:r>
    </w:p>
    <w:p w14:paraId="0122EED7" w14:textId="1C496B8A" w:rsidR="00B12940" w:rsidRDefault="00B12940" w:rsidP="00A51C90">
      <w:pPr>
        <w:rPr>
          <w:szCs w:val="22"/>
        </w:rPr>
      </w:pPr>
    </w:p>
    <w:p w14:paraId="65DDD792" w14:textId="3F1A50F7" w:rsidR="00B12940" w:rsidRDefault="00B12940" w:rsidP="00422F6C">
      <w:pPr>
        <w:ind w:left="2268"/>
        <w:jc w:val="left"/>
        <w:rPr>
          <w:szCs w:val="22"/>
        </w:rPr>
      </w:pPr>
      <w:r w:rsidRPr="00B12940">
        <w:rPr>
          <w:noProof/>
          <w:szCs w:val="22"/>
        </w:rPr>
        <w:drawing>
          <wp:inline distT="0" distB="0" distL="0" distR="0" wp14:anchorId="2B50DB33" wp14:editId="6D06763F">
            <wp:extent cx="2847975" cy="414346"/>
            <wp:effectExtent l="0" t="0" r="0" b="0"/>
            <wp:docPr id="800122591" name="Graphic 800122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12259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2903136" cy="422371"/>
                    </a:xfrm>
                    <a:prstGeom prst="rect">
                      <a:avLst/>
                    </a:prstGeom>
                  </pic:spPr>
                </pic:pic>
              </a:graphicData>
            </a:graphic>
          </wp:inline>
        </w:drawing>
      </w:r>
    </w:p>
    <w:p w14:paraId="4B5F1E41" w14:textId="4D3D41A3" w:rsidR="00B12940" w:rsidRDefault="00B12940" w:rsidP="00422F6C">
      <w:pPr>
        <w:ind w:left="2268"/>
        <w:jc w:val="left"/>
        <w:rPr>
          <w:szCs w:val="22"/>
        </w:rPr>
      </w:pPr>
    </w:p>
    <w:p w14:paraId="45095AAF" w14:textId="4EFF2330" w:rsidR="002A3328" w:rsidRPr="00715056" w:rsidRDefault="001071FD" w:rsidP="00422F6C">
      <w:pPr>
        <w:ind w:left="2268"/>
        <w:jc w:val="left"/>
        <w:rPr>
          <w:szCs w:val="22"/>
        </w:rPr>
      </w:pPr>
      <m:oMathPara>
        <m:oMathParaPr>
          <m:jc m:val="left"/>
        </m:oMathParaPr>
        <m:oMath>
          <m:r>
            <w:rPr>
              <w:rFonts w:ascii="Cambria Math" w:hAnsi="Cambria Math"/>
              <w:szCs w:val="22"/>
            </w:rPr>
            <m:t>∆I=</m:t>
          </m:r>
          <m:f>
            <m:fPr>
              <m:ctrlPr>
                <w:rPr>
                  <w:rFonts w:ascii="Cambria Math" w:hAnsi="Cambria Math"/>
                  <w:i/>
                  <w:szCs w:val="22"/>
                </w:rPr>
              </m:ctrlPr>
            </m:fPr>
            <m:num>
              <m:nary>
                <m:naryPr>
                  <m:chr m:val="∑"/>
                  <m:limLoc m:val="undOvr"/>
                  <m:subHide m:val="1"/>
                  <m:supHide m:val="1"/>
                  <m:ctrlPr>
                    <w:rPr>
                      <w:rFonts w:ascii="Cambria Math" w:hAnsi="Cambria Math"/>
                      <w:i/>
                      <w:szCs w:val="22"/>
                    </w:rPr>
                  </m:ctrlPr>
                </m:naryPr>
                <m:sub/>
                <m:sup/>
                <m:e>
                  <m:r>
                    <w:rPr>
                      <w:rFonts w:ascii="Cambria Math" w:hAnsi="Cambria Math"/>
                      <w:szCs w:val="22"/>
                    </w:rPr>
                    <m:t xml:space="preserve">CostosOperación- </m:t>
                  </m:r>
                  <m:nary>
                    <m:naryPr>
                      <m:chr m:val="∑"/>
                      <m:limLoc m:val="undOvr"/>
                      <m:subHide m:val="1"/>
                      <m:supHide m:val="1"/>
                      <m:ctrlPr>
                        <w:rPr>
                          <w:rFonts w:ascii="Cambria Math" w:hAnsi="Cambria Math"/>
                          <w:i/>
                          <w:szCs w:val="22"/>
                        </w:rPr>
                      </m:ctrlPr>
                    </m:naryPr>
                    <m:sub/>
                    <m:sup/>
                    <m:e>
                      <m:r>
                        <w:rPr>
                          <w:rFonts w:ascii="Cambria Math" w:hAnsi="Cambria Math"/>
                          <w:szCs w:val="22"/>
                        </w:rPr>
                        <m:t>Ingresos</m:t>
                      </m:r>
                    </m:e>
                  </m:nary>
                </m:e>
              </m:nary>
            </m:num>
            <m:den>
              <m:nary>
                <m:naryPr>
                  <m:chr m:val="∑"/>
                  <m:limLoc m:val="undOvr"/>
                  <m:subHide m:val="1"/>
                  <m:supHide m:val="1"/>
                  <m:ctrlPr>
                    <w:rPr>
                      <w:rFonts w:ascii="Cambria Math" w:hAnsi="Cambria Math"/>
                      <w:i/>
                      <w:szCs w:val="22"/>
                    </w:rPr>
                  </m:ctrlPr>
                </m:naryPr>
                <m:sub/>
                <m:sup/>
                <m:e>
                  <m:r>
                    <w:rPr>
                      <w:rFonts w:ascii="Cambria Math" w:hAnsi="Cambria Math"/>
                      <w:szCs w:val="22"/>
                    </w:rPr>
                    <m:t>Demanda</m:t>
                  </m:r>
                </m:e>
              </m:nary>
            </m:den>
          </m:f>
        </m:oMath>
      </m:oMathPara>
    </w:p>
    <w:p w14:paraId="1A1A748E" w14:textId="77777777" w:rsidR="00B51DBC" w:rsidRDefault="00B51DBC" w:rsidP="00422F6C">
      <w:pPr>
        <w:ind w:left="2268"/>
        <w:jc w:val="left"/>
        <w:rPr>
          <w:szCs w:val="22"/>
        </w:rPr>
      </w:pPr>
    </w:p>
    <w:p w14:paraId="5249794A" w14:textId="1C574510" w:rsidR="00C94555" w:rsidRDefault="00C94555" w:rsidP="00422F6C">
      <w:pPr>
        <w:ind w:left="2268"/>
        <w:jc w:val="left"/>
        <w:rPr>
          <w:szCs w:val="22"/>
        </w:rPr>
      </w:pPr>
      <w:r>
        <w:rPr>
          <w:szCs w:val="22"/>
        </w:rPr>
        <w:t>Donde:</w:t>
      </w:r>
    </w:p>
    <w:p w14:paraId="59B9E848" w14:textId="77777777" w:rsidR="00C94555" w:rsidRDefault="00C94555" w:rsidP="00422F6C">
      <w:pPr>
        <w:ind w:left="2268"/>
        <w:jc w:val="left"/>
        <w:rPr>
          <w:szCs w:val="22"/>
        </w:rPr>
      </w:pPr>
    </w:p>
    <w:p w14:paraId="4339E4C7" w14:textId="07BB6E30" w:rsidR="00C94555" w:rsidRDefault="00C94555" w:rsidP="00422F6C">
      <w:pPr>
        <w:ind w:left="2268"/>
        <w:jc w:val="left"/>
        <w:rPr>
          <w:szCs w:val="22"/>
        </w:rPr>
      </w:pPr>
      <w:r>
        <w:rPr>
          <w:szCs w:val="22"/>
        </w:rPr>
        <w:t>Ingresos</w:t>
      </w:r>
      <w:r w:rsidR="009A2622">
        <w:rPr>
          <w:szCs w:val="22"/>
        </w:rPr>
        <w:t xml:space="preserve"> (I) = </w:t>
      </w:r>
      <w:r w:rsidR="009A2622">
        <w:rPr>
          <w:rFonts w:cs="Arial"/>
          <w:szCs w:val="22"/>
        </w:rPr>
        <w:t>∑</w:t>
      </w:r>
      <w:proofErr w:type="spellStart"/>
      <w:r w:rsidR="009A2622">
        <w:rPr>
          <w:szCs w:val="22"/>
        </w:rPr>
        <w:t>MPO</w:t>
      </w:r>
      <w:proofErr w:type="spellEnd"/>
      <w:r w:rsidR="009A2622">
        <w:rPr>
          <w:szCs w:val="22"/>
        </w:rPr>
        <w:t xml:space="preserve"> * </w:t>
      </w:r>
      <w:proofErr w:type="spellStart"/>
      <w:r w:rsidR="009A2622">
        <w:rPr>
          <w:szCs w:val="22"/>
        </w:rPr>
        <w:t>Gen.Ideal</w:t>
      </w:r>
      <w:proofErr w:type="spellEnd"/>
    </w:p>
    <w:p w14:paraId="425284D7" w14:textId="77777777" w:rsidR="00F50EC4" w:rsidRDefault="00F50EC4" w:rsidP="00422F6C">
      <w:pPr>
        <w:ind w:left="2268"/>
        <w:jc w:val="left"/>
        <w:rPr>
          <w:szCs w:val="22"/>
        </w:rPr>
      </w:pPr>
    </w:p>
    <w:p w14:paraId="2778EDE3" w14:textId="009C1C64" w:rsidR="00F50EC4" w:rsidRDefault="00F50EC4" w:rsidP="00422F6C">
      <w:pPr>
        <w:ind w:left="2268"/>
        <w:jc w:val="left"/>
        <w:rPr>
          <w:rFonts w:cs="Arial"/>
          <w:szCs w:val="22"/>
        </w:rPr>
      </w:pPr>
      <w:proofErr w:type="spellStart"/>
      <w:r>
        <w:rPr>
          <w:szCs w:val="22"/>
        </w:rPr>
        <w:t>CostosOperación</w:t>
      </w:r>
      <w:proofErr w:type="spellEnd"/>
      <w:r>
        <w:rPr>
          <w:szCs w:val="22"/>
        </w:rPr>
        <w:t xml:space="preserve"> (CO</w:t>
      </w:r>
      <w:r w:rsidR="007708B8">
        <w:rPr>
          <w:szCs w:val="22"/>
        </w:rPr>
        <w:t xml:space="preserve">) = </w:t>
      </w:r>
      <w:r w:rsidR="004944BF">
        <w:rPr>
          <w:rFonts w:cs="Arial"/>
          <w:szCs w:val="22"/>
        </w:rPr>
        <w:t xml:space="preserve">∑Gen. Ideal * </w:t>
      </w:r>
      <w:proofErr w:type="spellStart"/>
      <w:r w:rsidR="004944BF">
        <w:rPr>
          <w:rFonts w:cs="Arial"/>
          <w:szCs w:val="22"/>
        </w:rPr>
        <w:t>P.Ofer</w:t>
      </w:r>
      <w:proofErr w:type="spellEnd"/>
      <w:r w:rsidR="004944BF">
        <w:rPr>
          <w:rFonts w:cs="Arial"/>
          <w:szCs w:val="22"/>
        </w:rPr>
        <w:t xml:space="preserve"> + Par</w:t>
      </w:r>
    </w:p>
    <w:p w14:paraId="2FF0B9D2" w14:textId="77777777" w:rsidR="004944BF" w:rsidRDefault="004944BF" w:rsidP="00A51C90">
      <w:pPr>
        <w:rPr>
          <w:rFonts w:cs="Arial"/>
          <w:szCs w:val="22"/>
        </w:rPr>
      </w:pPr>
    </w:p>
    <w:p w14:paraId="09264B73" w14:textId="21F9C52A" w:rsidR="002A3328" w:rsidRPr="00B12940" w:rsidRDefault="00B12940" w:rsidP="00B12940">
      <w:pPr>
        <w:pStyle w:val="Descripcin"/>
        <w:jc w:val="center"/>
        <w:rPr>
          <w:sz w:val="20"/>
          <w:szCs w:val="24"/>
        </w:rPr>
      </w:pPr>
      <w:bookmarkStart w:id="15" w:name="_Toc168493572"/>
      <w:r w:rsidRPr="00B12940">
        <w:rPr>
          <w:sz w:val="20"/>
          <w:szCs w:val="20"/>
        </w:rPr>
        <w:t xml:space="preserve">Ecuación </w:t>
      </w:r>
      <w:r w:rsidRPr="00B12940">
        <w:rPr>
          <w:sz w:val="20"/>
          <w:szCs w:val="20"/>
        </w:rPr>
        <w:fldChar w:fldCharType="begin"/>
      </w:r>
      <w:r w:rsidRPr="00B12940">
        <w:rPr>
          <w:sz w:val="20"/>
          <w:szCs w:val="20"/>
        </w:rPr>
        <w:instrText xml:space="preserve"> SEQ Ecuación \* ARABIC </w:instrText>
      </w:r>
      <w:r w:rsidRPr="00B12940">
        <w:rPr>
          <w:sz w:val="20"/>
          <w:szCs w:val="20"/>
        </w:rPr>
        <w:fldChar w:fldCharType="separate"/>
      </w:r>
      <w:r w:rsidR="00CB0CB3">
        <w:rPr>
          <w:noProof/>
          <w:sz w:val="20"/>
          <w:szCs w:val="20"/>
        </w:rPr>
        <w:t>2</w:t>
      </w:r>
      <w:r w:rsidRPr="00B12940">
        <w:rPr>
          <w:sz w:val="20"/>
          <w:szCs w:val="20"/>
        </w:rPr>
        <w:fldChar w:fldCharType="end"/>
      </w:r>
      <w:r w:rsidRPr="00B12940">
        <w:rPr>
          <w:sz w:val="20"/>
          <w:szCs w:val="20"/>
        </w:rPr>
        <w:t>.Ecuaciones</w:t>
      </w:r>
      <w:r w:rsidR="007640D8">
        <w:rPr>
          <w:sz w:val="20"/>
          <w:szCs w:val="20"/>
        </w:rPr>
        <w:t xml:space="preserve"> para determinar </w:t>
      </w:r>
      <w:r w:rsidRPr="00B12940">
        <w:rPr>
          <w:rFonts w:cs="Arial"/>
          <w:sz w:val="20"/>
          <w:szCs w:val="20"/>
        </w:rPr>
        <w:t>Δ</w:t>
      </w:r>
      <w:r w:rsidRPr="00B12940">
        <w:rPr>
          <w:sz w:val="20"/>
          <w:szCs w:val="20"/>
        </w:rPr>
        <w:t>I</w:t>
      </w:r>
      <w:bookmarkEnd w:id="15"/>
    </w:p>
    <w:p w14:paraId="42352314" w14:textId="77777777" w:rsidR="00B12940" w:rsidRDefault="00B12940" w:rsidP="00A51C90">
      <w:pPr>
        <w:rPr>
          <w:szCs w:val="22"/>
        </w:rPr>
      </w:pPr>
    </w:p>
    <w:p w14:paraId="702B2C1F" w14:textId="0A43C9F7" w:rsidR="004179CF" w:rsidRDefault="004179CF" w:rsidP="00A51C90">
      <w:pPr>
        <w:rPr>
          <w:szCs w:val="22"/>
        </w:rPr>
      </w:pPr>
      <w:r>
        <w:rPr>
          <w:szCs w:val="22"/>
        </w:rPr>
        <w:t>Reescribiendo la anterior ecuación</w:t>
      </w:r>
      <w:r w:rsidR="00E61E05">
        <w:rPr>
          <w:szCs w:val="22"/>
        </w:rPr>
        <w:t xml:space="preserve">, </w:t>
      </w:r>
      <w:r w:rsidR="003E5CA6">
        <w:rPr>
          <w:szCs w:val="22"/>
        </w:rPr>
        <w:t>se obtiene lo siguiente:</w:t>
      </w:r>
    </w:p>
    <w:p w14:paraId="707B9CF2" w14:textId="77777777" w:rsidR="003E5CA6" w:rsidRDefault="003E5CA6" w:rsidP="00A51C90">
      <w:pPr>
        <w:rPr>
          <w:szCs w:val="22"/>
        </w:rPr>
      </w:pPr>
    </w:p>
    <w:p w14:paraId="439BDCD2" w14:textId="00DF3F0B" w:rsidR="003E5CA6" w:rsidRPr="00D901AB" w:rsidRDefault="00C61BF6" w:rsidP="00A51C90">
      <w:pPr>
        <w:rPr>
          <w:szCs w:val="22"/>
        </w:rPr>
      </w:pPr>
      <m:oMathPara>
        <m:oMath>
          <m:r>
            <w:rPr>
              <w:rFonts w:ascii="Cambria Math" w:hAnsi="Cambria Math"/>
              <w:szCs w:val="22"/>
            </w:rPr>
            <m:t xml:space="preserve">∆I= </m:t>
          </m:r>
          <m:f>
            <m:fPr>
              <m:ctrlPr>
                <w:rPr>
                  <w:rFonts w:ascii="Cambria Math" w:hAnsi="Cambria Math"/>
                  <w:i/>
                  <w:szCs w:val="22"/>
                </w:rPr>
              </m:ctrlPr>
            </m:fPr>
            <m:num>
              <m:r>
                <w:rPr>
                  <w:rFonts w:ascii="Cambria Math" w:hAnsi="Cambria Math"/>
                  <w:szCs w:val="22"/>
                </w:rPr>
                <m:t xml:space="preserve">Par- </m:t>
              </m:r>
              <m:nary>
                <m:naryPr>
                  <m:chr m:val="∑"/>
                  <m:limLoc m:val="undOvr"/>
                  <m:subHide m:val="1"/>
                  <m:supHide m:val="1"/>
                  <m:ctrlPr>
                    <w:rPr>
                      <w:rFonts w:ascii="Cambria Math" w:hAnsi="Cambria Math"/>
                      <w:i/>
                      <w:szCs w:val="22"/>
                    </w:rPr>
                  </m:ctrlPr>
                </m:naryPr>
                <m:sub/>
                <m:sup/>
                <m:e>
                  <m:r>
                    <w:rPr>
                      <w:rFonts w:ascii="Cambria Math" w:hAnsi="Cambria Math"/>
                      <w:szCs w:val="22"/>
                    </w:rPr>
                    <m:t>Gen.Ideal×</m:t>
                  </m:r>
                  <m:d>
                    <m:dPr>
                      <m:ctrlPr>
                        <w:rPr>
                          <w:rFonts w:ascii="Cambria Math" w:hAnsi="Cambria Math"/>
                          <w:i/>
                          <w:szCs w:val="22"/>
                        </w:rPr>
                      </m:ctrlPr>
                    </m:dPr>
                    <m:e>
                      <m:r>
                        <w:rPr>
                          <w:rFonts w:ascii="Cambria Math" w:hAnsi="Cambria Math"/>
                          <w:szCs w:val="22"/>
                        </w:rPr>
                        <m:t>MPO-P.Ofer</m:t>
                      </m:r>
                    </m:e>
                  </m:d>
                </m:e>
              </m:nary>
            </m:num>
            <m:den>
              <m:nary>
                <m:naryPr>
                  <m:chr m:val="∑"/>
                  <m:limLoc m:val="undOvr"/>
                  <m:subHide m:val="1"/>
                  <m:supHide m:val="1"/>
                  <m:ctrlPr>
                    <w:rPr>
                      <w:rFonts w:ascii="Cambria Math" w:hAnsi="Cambria Math"/>
                      <w:i/>
                      <w:szCs w:val="22"/>
                    </w:rPr>
                  </m:ctrlPr>
                </m:naryPr>
                <m:sub/>
                <m:sup/>
                <m:e>
                  <m:r>
                    <w:rPr>
                      <w:rFonts w:ascii="Cambria Math" w:hAnsi="Cambria Math"/>
                      <w:szCs w:val="22"/>
                    </w:rPr>
                    <m:t>Demanda</m:t>
                  </m:r>
                </m:e>
              </m:nary>
            </m:den>
          </m:f>
        </m:oMath>
      </m:oMathPara>
    </w:p>
    <w:p w14:paraId="6360194A" w14:textId="77777777" w:rsidR="00BB2231" w:rsidRDefault="00BB2231" w:rsidP="00BB2231">
      <w:pPr>
        <w:pStyle w:val="Descripcin"/>
        <w:jc w:val="center"/>
        <w:rPr>
          <w:sz w:val="20"/>
          <w:szCs w:val="20"/>
        </w:rPr>
      </w:pPr>
    </w:p>
    <w:p w14:paraId="4710DF62" w14:textId="4BA43090" w:rsidR="00D901AB" w:rsidRPr="00BB2231" w:rsidRDefault="00D901AB" w:rsidP="00BB2231">
      <w:pPr>
        <w:pStyle w:val="Descripcin"/>
        <w:jc w:val="center"/>
        <w:rPr>
          <w:sz w:val="20"/>
          <w:szCs w:val="24"/>
        </w:rPr>
      </w:pPr>
      <w:bookmarkStart w:id="16" w:name="_Toc168493573"/>
      <w:r w:rsidRPr="00BB2231">
        <w:rPr>
          <w:sz w:val="20"/>
          <w:szCs w:val="20"/>
        </w:rPr>
        <w:t xml:space="preserve">Ecuación </w:t>
      </w:r>
      <w:r w:rsidRPr="00BB2231">
        <w:rPr>
          <w:sz w:val="20"/>
          <w:szCs w:val="20"/>
        </w:rPr>
        <w:fldChar w:fldCharType="begin"/>
      </w:r>
      <w:r w:rsidRPr="00BB2231">
        <w:rPr>
          <w:sz w:val="20"/>
          <w:szCs w:val="20"/>
        </w:rPr>
        <w:instrText xml:space="preserve"> SEQ Ecuación \* ARABIC </w:instrText>
      </w:r>
      <w:r w:rsidRPr="00BB2231">
        <w:rPr>
          <w:sz w:val="20"/>
          <w:szCs w:val="20"/>
        </w:rPr>
        <w:fldChar w:fldCharType="separate"/>
      </w:r>
      <w:r w:rsidR="00CB0CB3">
        <w:rPr>
          <w:noProof/>
          <w:sz w:val="20"/>
          <w:szCs w:val="20"/>
        </w:rPr>
        <w:t>3</w:t>
      </w:r>
      <w:r w:rsidRPr="00BB2231">
        <w:rPr>
          <w:sz w:val="20"/>
          <w:szCs w:val="20"/>
        </w:rPr>
        <w:fldChar w:fldCharType="end"/>
      </w:r>
      <w:r w:rsidRPr="00BB2231">
        <w:rPr>
          <w:sz w:val="20"/>
          <w:szCs w:val="20"/>
        </w:rPr>
        <w:t xml:space="preserve">. Ecuación reescrita para </w:t>
      </w:r>
      <w:r w:rsidR="00BB2231" w:rsidRPr="00BB2231">
        <w:rPr>
          <w:sz w:val="20"/>
          <w:szCs w:val="20"/>
        </w:rPr>
        <w:t xml:space="preserve">determinar </w:t>
      </w:r>
      <w:r w:rsidR="00BB2231" w:rsidRPr="00BB2231">
        <w:rPr>
          <w:rFonts w:cs="Arial"/>
          <w:sz w:val="20"/>
          <w:szCs w:val="20"/>
        </w:rPr>
        <w:t>∆</w:t>
      </w:r>
      <w:r w:rsidR="00BB2231" w:rsidRPr="00BB2231">
        <w:rPr>
          <w:sz w:val="20"/>
          <w:szCs w:val="20"/>
        </w:rPr>
        <w:t>I</w:t>
      </w:r>
      <w:bookmarkEnd w:id="16"/>
    </w:p>
    <w:p w14:paraId="525EDB76" w14:textId="77777777" w:rsidR="004179CF" w:rsidRDefault="004179CF" w:rsidP="00A51C90">
      <w:pPr>
        <w:rPr>
          <w:szCs w:val="22"/>
        </w:rPr>
      </w:pPr>
    </w:p>
    <w:p w14:paraId="1382365A" w14:textId="19517E8E" w:rsidR="00744028" w:rsidRDefault="00232E0D" w:rsidP="00A51C90">
      <w:pPr>
        <w:rPr>
          <w:szCs w:val="22"/>
        </w:rPr>
      </w:pPr>
      <w:r>
        <w:rPr>
          <w:szCs w:val="22"/>
        </w:rPr>
        <w:t xml:space="preserve">La </w:t>
      </w:r>
      <w:r w:rsidR="00BB2231">
        <w:rPr>
          <w:szCs w:val="22"/>
        </w:rPr>
        <w:t xml:space="preserve">ecuación </w:t>
      </w:r>
      <w:r w:rsidR="009957C6">
        <w:rPr>
          <w:szCs w:val="22"/>
        </w:rPr>
        <w:t xml:space="preserve">del </w:t>
      </w:r>
      <w:r w:rsidR="009957C6">
        <w:rPr>
          <w:rFonts w:cs="Arial"/>
          <w:szCs w:val="22"/>
        </w:rPr>
        <w:t>∆</w:t>
      </w:r>
      <w:r w:rsidR="009957C6">
        <w:rPr>
          <w:szCs w:val="22"/>
        </w:rPr>
        <w:t xml:space="preserve">I </w:t>
      </w:r>
      <w:r w:rsidR="00347C32">
        <w:rPr>
          <w:szCs w:val="22"/>
        </w:rPr>
        <w:t xml:space="preserve">esta </w:t>
      </w:r>
      <w:r w:rsidR="00BB2231">
        <w:rPr>
          <w:szCs w:val="22"/>
        </w:rPr>
        <w:t xml:space="preserve">reescrita </w:t>
      </w:r>
      <w:r w:rsidR="00347C32">
        <w:rPr>
          <w:szCs w:val="22"/>
        </w:rPr>
        <w:t xml:space="preserve">en </w:t>
      </w:r>
      <w:r>
        <w:rPr>
          <w:szCs w:val="22"/>
        </w:rPr>
        <w:t xml:space="preserve">la forma en que se encuentra expresada en el anexo </w:t>
      </w:r>
      <w:r w:rsidR="00570A61">
        <w:rPr>
          <w:szCs w:val="22"/>
        </w:rPr>
        <w:t>A-</w:t>
      </w:r>
      <w:r>
        <w:rPr>
          <w:szCs w:val="22"/>
        </w:rPr>
        <w:t>4 de la Resolución CREG 024 de 1995</w:t>
      </w:r>
      <w:r w:rsidR="00E86AE2">
        <w:rPr>
          <w:szCs w:val="22"/>
        </w:rPr>
        <w:t xml:space="preserve"> </w:t>
      </w:r>
      <w:r w:rsidR="00347C32">
        <w:rPr>
          <w:szCs w:val="22"/>
        </w:rPr>
        <w:t>(</w:t>
      </w:r>
      <w:r w:rsidR="005D5C2F">
        <w:rPr>
          <w:szCs w:val="22"/>
        </w:rPr>
        <w:t>última</w:t>
      </w:r>
      <w:r w:rsidR="00347C32">
        <w:rPr>
          <w:szCs w:val="22"/>
        </w:rPr>
        <w:t xml:space="preserve"> modificación </w:t>
      </w:r>
      <w:r w:rsidR="00E86AE2">
        <w:rPr>
          <w:szCs w:val="22"/>
        </w:rPr>
        <w:t>por la Resolución CREG 101 028 de 2022</w:t>
      </w:r>
      <w:r w:rsidR="00347C32">
        <w:rPr>
          <w:szCs w:val="22"/>
        </w:rPr>
        <w:t>)</w:t>
      </w:r>
      <w:r>
        <w:rPr>
          <w:szCs w:val="22"/>
        </w:rPr>
        <w:t>.</w:t>
      </w:r>
    </w:p>
    <w:p w14:paraId="5BD0288E" w14:textId="77777777" w:rsidR="00232E0D" w:rsidRDefault="00232E0D" w:rsidP="00A51C90">
      <w:pPr>
        <w:rPr>
          <w:szCs w:val="22"/>
        </w:rPr>
      </w:pPr>
    </w:p>
    <w:p w14:paraId="22AE544A" w14:textId="77777777" w:rsidR="00232E0D" w:rsidRDefault="00232E0D" w:rsidP="00A51C90">
      <w:pPr>
        <w:rPr>
          <w:szCs w:val="22"/>
        </w:rPr>
      </w:pPr>
    </w:p>
    <w:p w14:paraId="292814F1" w14:textId="14A2BD22" w:rsidR="006855A6" w:rsidRDefault="00B12940" w:rsidP="00A51C90">
      <w:pPr>
        <w:rPr>
          <w:szCs w:val="22"/>
        </w:rPr>
      </w:pPr>
      <w:r w:rsidRPr="00B12940">
        <w:rPr>
          <w:szCs w:val="22"/>
        </w:rPr>
        <w:t xml:space="preserve">En la </w:t>
      </w:r>
      <w:r w:rsidR="003E4520">
        <w:rPr>
          <w:szCs w:val="22"/>
        </w:rPr>
        <w:fldChar w:fldCharType="begin"/>
      </w:r>
      <w:r w:rsidR="003E4520">
        <w:rPr>
          <w:szCs w:val="22"/>
        </w:rPr>
        <w:instrText xml:space="preserve"> REF _Ref142572676 \h  \* MERGEFORMAT </w:instrText>
      </w:r>
      <w:r w:rsidR="003E4520">
        <w:rPr>
          <w:szCs w:val="22"/>
        </w:rPr>
      </w:r>
      <w:r w:rsidR="003E4520">
        <w:rPr>
          <w:szCs w:val="22"/>
        </w:rPr>
        <w:fldChar w:fldCharType="separate"/>
      </w:r>
      <w:r w:rsidR="00CB0CB3" w:rsidRPr="00CB0CB3">
        <w:rPr>
          <w:szCs w:val="22"/>
        </w:rPr>
        <w:t>Ilustración 3</w:t>
      </w:r>
      <w:r w:rsidR="003E4520">
        <w:rPr>
          <w:szCs w:val="22"/>
        </w:rPr>
        <w:fldChar w:fldCharType="end"/>
      </w:r>
      <w:r w:rsidRPr="00B12940">
        <w:rPr>
          <w:szCs w:val="22"/>
        </w:rPr>
        <w:t xml:space="preserve"> se tiene los valores diarios del </w:t>
      </w:r>
      <w:r w:rsidRPr="00B12940">
        <w:rPr>
          <w:rFonts w:cs="Arial"/>
          <w:szCs w:val="22"/>
        </w:rPr>
        <w:t>Δ</w:t>
      </w:r>
      <w:r w:rsidRPr="00B12940">
        <w:rPr>
          <w:szCs w:val="22"/>
        </w:rPr>
        <w:t>I para el período enero de 2022 a julio de 2022</w:t>
      </w:r>
      <w:r>
        <w:rPr>
          <w:szCs w:val="22"/>
        </w:rPr>
        <w:t xml:space="preserve"> para el precio de bolsa nacional.</w:t>
      </w:r>
      <w:r w:rsidR="007640D8">
        <w:rPr>
          <w:szCs w:val="22"/>
        </w:rPr>
        <w:t xml:space="preserve"> El promedio para el año 2022, enero-diciembre, fue de 2.26 $/kWh y </w:t>
      </w:r>
      <w:r w:rsidR="00ED4A40">
        <w:rPr>
          <w:szCs w:val="22"/>
        </w:rPr>
        <w:t xml:space="preserve">el </w:t>
      </w:r>
      <w:r w:rsidR="007640D8">
        <w:rPr>
          <w:szCs w:val="22"/>
        </w:rPr>
        <w:t>promedio de 2023, enero-</w:t>
      </w:r>
      <w:r w:rsidR="002D5B8D">
        <w:rPr>
          <w:szCs w:val="22"/>
        </w:rPr>
        <w:t>diciembre</w:t>
      </w:r>
      <w:r w:rsidR="007640D8">
        <w:rPr>
          <w:szCs w:val="22"/>
        </w:rPr>
        <w:t>, fue de 2.</w:t>
      </w:r>
      <w:r w:rsidR="002D5B8D">
        <w:rPr>
          <w:szCs w:val="22"/>
        </w:rPr>
        <w:t>56</w:t>
      </w:r>
      <w:r w:rsidR="007640D8">
        <w:rPr>
          <w:szCs w:val="22"/>
        </w:rPr>
        <w:t xml:space="preserve"> $/kWh. </w:t>
      </w:r>
    </w:p>
    <w:p w14:paraId="6F254C3F" w14:textId="77777777" w:rsidR="00B12940" w:rsidRDefault="00B12940" w:rsidP="00A51C90">
      <w:pPr>
        <w:rPr>
          <w:szCs w:val="22"/>
        </w:rPr>
      </w:pPr>
    </w:p>
    <w:p w14:paraId="4642B59F" w14:textId="57F3AD54" w:rsidR="00B12940" w:rsidRDefault="00753441" w:rsidP="00B12940">
      <w:pPr>
        <w:jc w:val="center"/>
        <w:rPr>
          <w:szCs w:val="22"/>
        </w:rPr>
      </w:pPr>
      <w:r>
        <w:rPr>
          <w:noProof/>
        </w:rPr>
        <w:drawing>
          <wp:inline distT="0" distB="0" distL="0" distR="0" wp14:anchorId="3A4D5DF6" wp14:editId="4F5F9A5E">
            <wp:extent cx="5210355" cy="2898475"/>
            <wp:effectExtent l="0" t="0" r="9525" b="16510"/>
            <wp:docPr id="114900150" name="Gráfico 1">
              <a:extLst xmlns:a="http://schemas.openxmlformats.org/drawingml/2006/main">
                <a:ext uri="{FF2B5EF4-FFF2-40B4-BE49-F238E27FC236}">
                  <a16:creationId xmlns:a16="http://schemas.microsoft.com/office/drawing/2014/main" id="{B334401B-5067-C937-A68A-7747D32658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9A28062" w14:textId="1AE6D2A3" w:rsidR="00B12940" w:rsidRDefault="0045627A" w:rsidP="00CF6CBA">
      <w:pPr>
        <w:jc w:val="center"/>
        <w:rPr>
          <w:sz w:val="18"/>
          <w:szCs w:val="16"/>
        </w:rPr>
      </w:pPr>
      <w:r w:rsidRPr="0045627A">
        <w:rPr>
          <w:sz w:val="18"/>
          <w:szCs w:val="16"/>
        </w:rPr>
        <w:t>Fuente: xm.com.co</w:t>
      </w:r>
      <w:r>
        <w:rPr>
          <w:sz w:val="18"/>
          <w:szCs w:val="16"/>
        </w:rPr>
        <w:t>, elaboración Creg</w:t>
      </w:r>
    </w:p>
    <w:p w14:paraId="72B6B7EC" w14:textId="77777777" w:rsidR="006A5F4A" w:rsidRPr="0045627A" w:rsidRDefault="006A5F4A" w:rsidP="00A51C90">
      <w:pPr>
        <w:rPr>
          <w:sz w:val="18"/>
          <w:szCs w:val="16"/>
        </w:rPr>
      </w:pPr>
    </w:p>
    <w:p w14:paraId="6671B447" w14:textId="50CB65D9" w:rsidR="00B12940" w:rsidRPr="00B12940" w:rsidRDefault="00B12940" w:rsidP="00B12940">
      <w:pPr>
        <w:pStyle w:val="Descripcin"/>
        <w:jc w:val="center"/>
        <w:rPr>
          <w:sz w:val="20"/>
          <w:szCs w:val="24"/>
        </w:rPr>
      </w:pPr>
      <w:bookmarkStart w:id="17" w:name="_Ref142572676"/>
      <w:bookmarkStart w:id="18" w:name="_Toc168493577"/>
      <w:r w:rsidRPr="00B12940">
        <w:rPr>
          <w:sz w:val="20"/>
          <w:szCs w:val="20"/>
        </w:rPr>
        <w:t xml:space="preserve">Ilustración </w:t>
      </w:r>
      <w:r w:rsidRPr="00B12940">
        <w:rPr>
          <w:sz w:val="20"/>
          <w:szCs w:val="20"/>
        </w:rPr>
        <w:fldChar w:fldCharType="begin"/>
      </w:r>
      <w:r w:rsidRPr="00B12940">
        <w:rPr>
          <w:sz w:val="20"/>
          <w:szCs w:val="20"/>
        </w:rPr>
        <w:instrText xml:space="preserve"> SEQ Ilustración \* ARABIC </w:instrText>
      </w:r>
      <w:r w:rsidRPr="00B12940">
        <w:rPr>
          <w:sz w:val="20"/>
          <w:szCs w:val="20"/>
        </w:rPr>
        <w:fldChar w:fldCharType="separate"/>
      </w:r>
      <w:r w:rsidR="00CB0CB3">
        <w:rPr>
          <w:noProof/>
          <w:sz w:val="20"/>
          <w:szCs w:val="20"/>
        </w:rPr>
        <w:t>3</w:t>
      </w:r>
      <w:r w:rsidRPr="00B12940">
        <w:rPr>
          <w:sz w:val="20"/>
          <w:szCs w:val="20"/>
        </w:rPr>
        <w:fldChar w:fldCharType="end"/>
      </w:r>
      <w:bookmarkEnd w:id="17"/>
      <w:r w:rsidRPr="00B12940">
        <w:rPr>
          <w:sz w:val="20"/>
          <w:szCs w:val="20"/>
        </w:rPr>
        <w:t xml:space="preserve">. Valores diarios </w:t>
      </w:r>
      <w:r w:rsidRPr="00B12940">
        <w:rPr>
          <w:rFonts w:cs="Arial"/>
          <w:sz w:val="20"/>
          <w:szCs w:val="20"/>
        </w:rPr>
        <w:t>Δ</w:t>
      </w:r>
      <w:r w:rsidRPr="00B12940">
        <w:rPr>
          <w:sz w:val="20"/>
          <w:szCs w:val="20"/>
        </w:rPr>
        <w:t xml:space="preserve">I para el periodo enero de 2022 a </w:t>
      </w:r>
      <w:r w:rsidR="00753441">
        <w:rPr>
          <w:sz w:val="20"/>
          <w:szCs w:val="20"/>
        </w:rPr>
        <w:t>diciembre</w:t>
      </w:r>
      <w:r w:rsidRPr="00B12940">
        <w:rPr>
          <w:sz w:val="20"/>
          <w:szCs w:val="20"/>
        </w:rPr>
        <w:t xml:space="preserve"> de 2023</w:t>
      </w:r>
      <w:bookmarkEnd w:id="18"/>
    </w:p>
    <w:p w14:paraId="750F1443" w14:textId="77777777" w:rsidR="00B12940" w:rsidRDefault="00B12940" w:rsidP="00A51C90">
      <w:pPr>
        <w:rPr>
          <w:szCs w:val="22"/>
        </w:rPr>
      </w:pPr>
    </w:p>
    <w:p w14:paraId="41A3956B" w14:textId="77777777" w:rsidR="009079E7" w:rsidRPr="00C562ED" w:rsidRDefault="009079E7">
      <w:pPr>
        <w:pStyle w:val="Ttulo1"/>
        <w:numPr>
          <w:ilvl w:val="0"/>
          <w:numId w:val="7"/>
        </w:numPr>
        <w:spacing w:after="0"/>
        <w:ind w:left="431" w:hanging="431"/>
      </w:pPr>
      <w:bookmarkStart w:id="19" w:name="_Toc168493554"/>
      <w:r w:rsidRPr="00C562ED">
        <w:t>DEFINICIÓN DEL PROBLEMA</w:t>
      </w:r>
      <w:bookmarkEnd w:id="19"/>
    </w:p>
    <w:p w14:paraId="5C1C6A84" w14:textId="52224751" w:rsidR="00A51C90" w:rsidRDefault="00A51C90" w:rsidP="00A51C90">
      <w:pPr>
        <w:rPr>
          <w:szCs w:val="21"/>
        </w:rPr>
      </w:pPr>
    </w:p>
    <w:p w14:paraId="55CCA5D1" w14:textId="6EFF6A6D" w:rsidR="007640D8" w:rsidRPr="00C562ED" w:rsidRDefault="007640D8" w:rsidP="00A51C90">
      <w:pPr>
        <w:rPr>
          <w:szCs w:val="21"/>
        </w:rPr>
      </w:pPr>
      <w:r>
        <w:rPr>
          <w:szCs w:val="21"/>
        </w:rPr>
        <w:t>E</w:t>
      </w:r>
      <w:r w:rsidR="00E94BAE">
        <w:rPr>
          <w:szCs w:val="21"/>
        </w:rPr>
        <w:t>sta</w:t>
      </w:r>
      <w:r>
        <w:rPr>
          <w:szCs w:val="21"/>
        </w:rPr>
        <w:t xml:space="preserve"> sección presenta los resultados de la metodología seguida de análisis de impacto normativo (AIN), en la que, como primer paso se contempla la identificación del problema. Para ello, es necesario establecer cuáles son las consecuencias </w:t>
      </w:r>
      <w:r w:rsidR="00C12E7B">
        <w:rPr>
          <w:szCs w:val="21"/>
        </w:rPr>
        <w:t xml:space="preserve">visibles del problema y posteriormente sus causas. </w:t>
      </w:r>
    </w:p>
    <w:p w14:paraId="11D0E59E" w14:textId="5F9DF719" w:rsidR="00A10C21" w:rsidRDefault="00A10C21" w:rsidP="00A51C90">
      <w:pPr>
        <w:rPr>
          <w:sz w:val="22"/>
        </w:rPr>
      </w:pPr>
    </w:p>
    <w:p w14:paraId="1573D7B8" w14:textId="10765BF2" w:rsidR="00C12E7B" w:rsidRPr="00C12E7B" w:rsidRDefault="00C12E7B" w:rsidP="00A51C90">
      <w:pPr>
        <w:rPr>
          <w:szCs w:val="22"/>
        </w:rPr>
      </w:pPr>
      <w:r w:rsidRPr="00C12E7B">
        <w:rPr>
          <w:szCs w:val="22"/>
        </w:rPr>
        <w:t xml:space="preserve">La aplicación de la metodología de AIN se </w:t>
      </w:r>
      <w:r>
        <w:rPr>
          <w:szCs w:val="22"/>
        </w:rPr>
        <w:t>hace a la parte de la revisión de la reconciliación positiva de plantas térmica</w:t>
      </w:r>
      <w:r w:rsidR="0044704E">
        <w:rPr>
          <w:szCs w:val="22"/>
        </w:rPr>
        <w:t>s</w:t>
      </w:r>
      <w:r>
        <w:rPr>
          <w:szCs w:val="22"/>
        </w:rPr>
        <w:t>, porque en lo pertinente a la remuneración de los CAP efectivamente incurridos en la operación se está dando cumplimiento a</w:t>
      </w:r>
      <w:r w:rsidR="00263FBE">
        <w:rPr>
          <w:szCs w:val="22"/>
        </w:rPr>
        <w:t>l</w:t>
      </w:r>
      <w:r>
        <w:rPr>
          <w:szCs w:val="22"/>
        </w:rPr>
        <w:t xml:space="preserve"> lineamiento dado por el </w:t>
      </w:r>
      <w:r w:rsidR="00263FBE">
        <w:rPr>
          <w:szCs w:val="22"/>
        </w:rPr>
        <w:t xml:space="preserve">literal a) artículo 8 del </w:t>
      </w:r>
      <w:r>
        <w:rPr>
          <w:szCs w:val="22"/>
        </w:rPr>
        <w:t>Decreto 929 de 2023.</w:t>
      </w:r>
    </w:p>
    <w:p w14:paraId="3D510FFB" w14:textId="77777777" w:rsidR="00C12E7B" w:rsidRDefault="00C12E7B" w:rsidP="00A51C90">
      <w:pPr>
        <w:rPr>
          <w:sz w:val="22"/>
        </w:rPr>
      </w:pPr>
    </w:p>
    <w:p w14:paraId="27C48F7A" w14:textId="182778C6" w:rsidR="00C12E7B" w:rsidRDefault="00C12E7B" w:rsidP="00A51C90">
      <w:pPr>
        <w:rPr>
          <w:sz w:val="22"/>
        </w:rPr>
      </w:pPr>
      <w:r>
        <w:rPr>
          <w:sz w:val="22"/>
        </w:rPr>
        <w:t xml:space="preserve"> </w:t>
      </w:r>
    </w:p>
    <w:p w14:paraId="5118A8E8" w14:textId="4CFDBECA" w:rsidR="00DB33BC" w:rsidRDefault="00DB33BC" w:rsidP="00D02E7D">
      <w:pPr>
        <w:pStyle w:val="Ttulo2"/>
      </w:pPr>
      <w:bookmarkStart w:id="20" w:name="_Toc168493555"/>
      <w:r w:rsidRPr="00C562ED">
        <w:t>Consecuencias</w:t>
      </w:r>
      <w:bookmarkEnd w:id="20"/>
    </w:p>
    <w:p w14:paraId="28175336" w14:textId="57A2DCE5" w:rsidR="00C12E7B" w:rsidRPr="00C12E7B" w:rsidRDefault="00C12E7B" w:rsidP="00C12E7B">
      <w:r>
        <w:t xml:space="preserve">La remuneración de la </w:t>
      </w:r>
      <w:r w:rsidR="006731C6">
        <w:t>reconciliación positiva de las plantas térmicas no se ajusta a las características y estado de la planta</w:t>
      </w:r>
      <w:r w:rsidR="00D97CA2">
        <w:t>,</w:t>
      </w:r>
      <w:r w:rsidR="006731C6">
        <w:t xml:space="preserve"> que es una información que se está declarando en la actualidad con la expedición de la Resolución CREG 101 028 de 2022.</w:t>
      </w:r>
    </w:p>
    <w:p w14:paraId="0D35893F" w14:textId="77777777" w:rsidR="00695351" w:rsidRDefault="00695351" w:rsidP="00DB33BC">
      <w:pPr>
        <w:rPr>
          <w:rFonts w:cs="Arial"/>
          <w:sz w:val="22"/>
          <w:szCs w:val="18"/>
        </w:rPr>
      </w:pPr>
    </w:p>
    <w:p w14:paraId="671CFD5F" w14:textId="521E6B62" w:rsidR="006258AB" w:rsidRPr="00C562ED" w:rsidRDefault="006258AB" w:rsidP="002A181E">
      <w:pPr>
        <w:pStyle w:val="Ttulo2"/>
        <w:rPr>
          <w:rFonts w:cs="Arial"/>
          <w:bCs/>
          <w:szCs w:val="20"/>
        </w:rPr>
      </w:pPr>
      <w:bookmarkStart w:id="21" w:name="_Toc168493556"/>
      <w:r w:rsidRPr="00C562ED">
        <w:rPr>
          <w:rFonts w:cs="Arial"/>
          <w:bCs/>
          <w:szCs w:val="20"/>
        </w:rPr>
        <w:lastRenderedPageBreak/>
        <w:t>Causa</w:t>
      </w:r>
      <w:bookmarkEnd w:id="21"/>
    </w:p>
    <w:p w14:paraId="2E7E1658" w14:textId="53F81C3F" w:rsidR="00A566C6" w:rsidRPr="006731C6" w:rsidRDefault="006731C6" w:rsidP="006258AB">
      <w:pPr>
        <w:rPr>
          <w:rFonts w:cs="Arial"/>
        </w:rPr>
      </w:pPr>
      <w:r w:rsidRPr="006731C6">
        <w:rPr>
          <w:rFonts w:cs="Arial"/>
        </w:rPr>
        <w:t xml:space="preserve">La remuneración de la reconciliación positiva de las plantas térmicas </w:t>
      </w:r>
      <w:r>
        <w:rPr>
          <w:rFonts w:cs="Arial"/>
        </w:rPr>
        <w:t>considera los CAP por configuración sin definir estado térmico.</w:t>
      </w:r>
    </w:p>
    <w:p w14:paraId="5376375C" w14:textId="77777777" w:rsidR="006731C6" w:rsidRDefault="006731C6" w:rsidP="006258AB">
      <w:pPr>
        <w:rPr>
          <w:rFonts w:cs="Arial"/>
          <w:sz w:val="22"/>
          <w:szCs w:val="18"/>
        </w:rPr>
      </w:pPr>
    </w:p>
    <w:p w14:paraId="5AB4CD8E" w14:textId="77777777" w:rsidR="006731C6" w:rsidRDefault="006731C6" w:rsidP="006258AB">
      <w:pPr>
        <w:rPr>
          <w:rFonts w:cs="Arial"/>
          <w:sz w:val="22"/>
          <w:szCs w:val="18"/>
        </w:rPr>
      </w:pPr>
    </w:p>
    <w:p w14:paraId="3E18AB75" w14:textId="60BD9DA8" w:rsidR="00476B4B" w:rsidRPr="00C562ED" w:rsidRDefault="00D02E7D" w:rsidP="002A181E">
      <w:pPr>
        <w:pStyle w:val="Ttulo2"/>
        <w:rPr>
          <w:rFonts w:cs="Arial"/>
          <w:szCs w:val="20"/>
        </w:rPr>
      </w:pPr>
      <w:bookmarkStart w:id="22" w:name="_Toc168493557"/>
      <w:r w:rsidRPr="00C562ED">
        <w:rPr>
          <w:rFonts w:cs="Arial"/>
          <w:szCs w:val="20"/>
        </w:rPr>
        <w:t>Identificación del p</w:t>
      </w:r>
      <w:r w:rsidR="00791794" w:rsidRPr="00C562ED">
        <w:rPr>
          <w:rFonts w:cs="Arial"/>
          <w:szCs w:val="20"/>
        </w:rPr>
        <w:t>roblema</w:t>
      </w:r>
      <w:bookmarkEnd w:id="22"/>
    </w:p>
    <w:p w14:paraId="2CA10A9E" w14:textId="6ADA01FA" w:rsidR="00A566C6" w:rsidRPr="006731C6" w:rsidRDefault="006731C6" w:rsidP="00D0798C">
      <w:pPr>
        <w:rPr>
          <w:rFonts w:cs="Arial"/>
        </w:rPr>
      </w:pPr>
      <w:r w:rsidRPr="006731C6">
        <w:rPr>
          <w:rFonts w:cs="Arial"/>
        </w:rPr>
        <w:t xml:space="preserve">La reglamentación vigente </w:t>
      </w:r>
      <w:r>
        <w:rPr>
          <w:rFonts w:cs="Arial"/>
        </w:rPr>
        <w:t>de la remuneración por reconciliación positiva de la</w:t>
      </w:r>
      <w:r w:rsidR="00774FD1">
        <w:rPr>
          <w:rFonts w:cs="Arial"/>
        </w:rPr>
        <w:t>s plantas térmicas de la Resolución CREG 034 de 2001, no considera el nuevo esquema para la declaración de los CAP por combustible, unidad y estado térmico: frio, tibio y caliente.</w:t>
      </w:r>
    </w:p>
    <w:p w14:paraId="0FDCFA19" w14:textId="77777777" w:rsidR="009924F3" w:rsidRDefault="009924F3" w:rsidP="0038050C">
      <w:pPr>
        <w:rPr>
          <w:sz w:val="22"/>
        </w:rPr>
      </w:pPr>
    </w:p>
    <w:p w14:paraId="5CB10928" w14:textId="6F5EC19F" w:rsidR="00D1473F" w:rsidRPr="00C562ED" w:rsidRDefault="00D1473F">
      <w:pPr>
        <w:pStyle w:val="Ttulo1"/>
        <w:numPr>
          <w:ilvl w:val="0"/>
          <w:numId w:val="7"/>
        </w:numPr>
        <w:spacing w:after="0"/>
        <w:ind w:left="431" w:hanging="431"/>
      </w:pPr>
      <w:bookmarkStart w:id="23" w:name="_Toc168493558"/>
      <w:r w:rsidRPr="00C562ED">
        <w:t>OBJETIVOS</w:t>
      </w:r>
      <w:bookmarkEnd w:id="23"/>
    </w:p>
    <w:p w14:paraId="7BA4D496" w14:textId="4B06ECFC" w:rsidR="00D1473F" w:rsidRDefault="00D1473F" w:rsidP="0038050C">
      <w:pPr>
        <w:rPr>
          <w:szCs w:val="21"/>
        </w:rPr>
      </w:pPr>
    </w:p>
    <w:p w14:paraId="3A2C87A3" w14:textId="385136D8" w:rsidR="00A85247" w:rsidRPr="00C562ED" w:rsidRDefault="00A85247" w:rsidP="0038050C">
      <w:pPr>
        <w:rPr>
          <w:szCs w:val="21"/>
        </w:rPr>
      </w:pPr>
      <w:r>
        <w:rPr>
          <w:szCs w:val="21"/>
        </w:rPr>
        <w:t>Partiendo del principio de que la prestación del servicio de energía eléctrica se debe remunerar a precios eficientes, la Comisión ha identificado una serie de objetivos que se quieran alcanzar con la propuesta regulatoria.</w:t>
      </w:r>
    </w:p>
    <w:p w14:paraId="257F4717" w14:textId="77777777" w:rsidR="00930A2F" w:rsidRDefault="00930A2F" w:rsidP="00BE1712">
      <w:pPr>
        <w:rPr>
          <w:sz w:val="22"/>
          <w:szCs w:val="18"/>
        </w:rPr>
      </w:pPr>
    </w:p>
    <w:p w14:paraId="4768096D" w14:textId="65E19F43" w:rsidR="005B3BB2" w:rsidRPr="00C562ED" w:rsidRDefault="005B3BB2" w:rsidP="005B3BB2">
      <w:pPr>
        <w:pStyle w:val="Ttulo2"/>
        <w:rPr>
          <w:rFonts w:cs="Arial"/>
          <w:szCs w:val="20"/>
        </w:rPr>
      </w:pPr>
      <w:bookmarkStart w:id="24" w:name="_Toc168493559"/>
      <w:r w:rsidRPr="00C562ED">
        <w:rPr>
          <w:rFonts w:cs="Arial"/>
          <w:szCs w:val="20"/>
        </w:rPr>
        <w:t>Objetivo de impacto</w:t>
      </w:r>
      <w:bookmarkEnd w:id="24"/>
    </w:p>
    <w:p w14:paraId="24CB7781" w14:textId="0CC13B72" w:rsidR="00930A2F" w:rsidRDefault="00C501D3" w:rsidP="0038050C">
      <w:pPr>
        <w:rPr>
          <w:szCs w:val="21"/>
        </w:rPr>
      </w:pPr>
      <w:r>
        <w:rPr>
          <w:szCs w:val="21"/>
        </w:rPr>
        <w:t>Los objetivos de impacto que se identifican son los siguientes:</w:t>
      </w:r>
    </w:p>
    <w:p w14:paraId="14E255E1" w14:textId="77777777" w:rsidR="00C501D3" w:rsidRDefault="00C501D3" w:rsidP="0038050C">
      <w:pPr>
        <w:rPr>
          <w:szCs w:val="21"/>
        </w:rPr>
      </w:pPr>
    </w:p>
    <w:p w14:paraId="48A5A784" w14:textId="01CA193A" w:rsidR="00C501D3" w:rsidRDefault="00C501D3" w:rsidP="00C501D3">
      <w:pPr>
        <w:pStyle w:val="Prrafodelista"/>
        <w:numPr>
          <w:ilvl w:val="0"/>
          <w:numId w:val="34"/>
        </w:numPr>
        <w:rPr>
          <w:szCs w:val="21"/>
        </w:rPr>
      </w:pPr>
      <w:r>
        <w:rPr>
          <w:szCs w:val="21"/>
        </w:rPr>
        <w:t>Remunerar los CAP de acuerdo con las unidades con que opere la planta y el estado térmico en que se encuentre.</w:t>
      </w:r>
    </w:p>
    <w:p w14:paraId="6DD4E433" w14:textId="77777777" w:rsidR="00C501D3" w:rsidRPr="00C501D3" w:rsidRDefault="00C501D3" w:rsidP="00C501D3">
      <w:pPr>
        <w:rPr>
          <w:szCs w:val="21"/>
        </w:rPr>
      </w:pPr>
    </w:p>
    <w:p w14:paraId="60243594" w14:textId="6C952B1B" w:rsidR="00C501D3" w:rsidRPr="00C501D3" w:rsidRDefault="00C501D3" w:rsidP="00C501D3">
      <w:pPr>
        <w:pStyle w:val="Prrafodelista"/>
        <w:numPr>
          <w:ilvl w:val="0"/>
          <w:numId w:val="34"/>
        </w:numPr>
        <w:rPr>
          <w:szCs w:val="21"/>
        </w:rPr>
      </w:pPr>
      <w:r>
        <w:rPr>
          <w:szCs w:val="21"/>
        </w:rPr>
        <w:t>Remunerar los CAP que efectivamente se hayan presentado en la operación real de la planta.</w:t>
      </w:r>
    </w:p>
    <w:p w14:paraId="10DE7EBD" w14:textId="42B0C338" w:rsidR="00F80D30" w:rsidRPr="00C562ED" w:rsidRDefault="00F80D30" w:rsidP="0038050C">
      <w:pPr>
        <w:rPr>
          <w:szCs w:val="21"/>
        </w:rPr>
      </w:pPr>
    </w:p>
    <w:p w14:paraId="1F7C4828" w14:textId="597EFA74" w:rsidR="00F80D30" w:rsidRPr="00C562ED" w:rsidRDefault="00F80D30" w:rsidP="00F80D30">
      <w:pPr>
        <w:pStyle w:val="Ttulo2"/>
        <w:rPr>
          <w:rFonts w:cs="Arial"/>
          <w:szCs w:val="20"/>
        </w:rPr>
      </w:pPr>
      <w:bookmarkStart w:id="25" w:name="_Toc168493560"/>
      <w:r w:rsidRPr="00C562ED">
        <w:rPr>
          <w:rFonts w:cs="Arial"/>
          <w:szCs w:val="20"/>
        </w:rPr>
        <w:t>Objetivo de resultado</w:t>
      </w:r>
      <w:bookmarkEnd w:id="25"/>
    </w:p>
    <w:p w14:paraId="123E1BC8" w14:textId="4DA78F08" w:rsidR="00F80D30" w:rsidRPr="00C562ED" w:rsidRDefault="007A4ACD" w:rsidP="0038050C">
      <w:pPr>
        <w:rPr>
          <w:szCs w:val="21"/>
        </w:rPr>
      </w:pPr>
      <w:r>
        <w:rPr>
          <w:szCs w:val="21"/>
        </w:rPr>
        <w:t>En cuanto a los objetivos de resultados se identifican los siguientes:</w:t>
      </w:r>
    </w:p>
    <w:p w14:paraId="2A18DFCA" w14:textId="174E2406" w:rsidR="00652049" w:rsidRPr="00C562ED" w:rsidRDefault="00652049" w:rsidP="0038050C">
      <w:pPr>
        <w:rPr>
          <w:szCs w:val="21"/>
        </w:rPr>
      </w:pPr>
    </w:p>
    <w:p w14:paraId="6C366B69" w14:textId="46987535" w:rsidR="00F80D30" w:rsidRDefault="007A4ACD" w:rsidP="007A4ACD">
      <w:pPr>
        <w:pStyle w:val="Prrafodelista"/>
        <w:numPr>
          <w:ilvl w:val="0"/>
          <w:numId w:val="34"/>
        </w:numPr>
        <w:rPr>
          <w:szCs w:val="22"/>
        </w:rPr>
      </w:pPr>
      <w:r w:rsidRPr="007A4ACD">
        <w:rPr>
          <w:szCs w:val="22"/>
        </w:rPr>
        <w:t xml:space="preserve">Ajustar </w:t>
      </w:r>
      <w:r>
        <w:rPr>
          <w:szCs w:val="22"/>
        </w:rPr>
        <w:t>la regulación de la remuneración de la reconciliación positiva de las plantas térmicas definida en la Resolución CREG 034 de 2001 para armonizar el concepto de CAP tal como se incorporó en la Resolución CREG 101 028</w:t>
      </w:r>
      <w:r w:rsidR="004C1B1C">
        <w:rPr>
          <w:szCs w:val="22"/>
        </w:rPr>
        <w:t xml:space="preserve"> de 2022</w:t>
      </w:r>
      <w:r>
        <w:rPr>
          <w:szCs w:val="22"/>
        </w:rPr>
        <w:t xml:space="preserve"> en donde se consideran los CAP por unidad y estado térmico.</w:t>
      </w:r>
    </w:p>
    <w:p w14:paraId="6A0507C7" w14:textId="77777777" w:rsidR="007A4ACD" w:rsidRPr="007A4ACD" w:rsidRDefault="007A4ACD" w:rsidP="007A4ACD">
      <w:pPr>
        <w:rPr>
          <w:szCs w:val="22"/>
        </w:rPr>
      </w:pPr>
    </w:p>
    <w:p w14:paraId="37990DC5" w14:textId="1578CECE" w:rsidR="007A4ACD" w:rsidRPr="007A4ACD" w:rsidRDefault="007A4ACD" w:rsidP="007A4ACD">
      <w:pPr>
        <w:pStyle w:val="Prrafodelista"/>
        <w:numPr>
          <w:ilvl w:val="0"/>
          <w:numId w:val="34"/>
        </w:numPr>
        <w:rPr>
          <w:szCs w:val="22"/>
        </w:rPr>
      </w:pPr>
      <w:r>
        <w:rPr>
          <w:szCs w:val="22"/>
        </w:rPr>
        <w:t xml:space="preserve">Ajustar la regulación de la liquidación del </w:t>
      </w:r>
      <w:r>
        <w:rPr>
          <w:rFonts w:cs="Arial"/>
          <w:szCs w:val="22"/>
        </w:rPr>
        <w:t>Δ</w:t>
      </w:r>
      <w:r>
        <w:rPr>
          <w:szCs w:val="22"/>
        </w:rPr>
        <w:t>I de la Resolución CREG 024 de 1995, incorporado por la Resolución CREG 051 de 2009 y modificado por la Resolución CREG 101 028 de 202</w:t>
      </w:r>
      <w:r w:rsidR="004C1B1C">
        <w:rPr>
          <w:szCs w:val="22"/>
        </w:rPr>
        <w:t>2</w:t>
      </w:r>
      <w:r>
        <w:rPr>
          <w:szCs w:val="22"/>
        </w:rPr>
        <w:t xml:space="preserve">, para establecer que solo se paguen en el </w:t>
      </w:r>
      <w:r>
        <w:rPr>
          <w:rFonts w:cs="Arial"/>
          <w:szCs w:val="22"/>
        </w:rPr>
        <w:t>Δ</w:t>
      </w:r>
      <w:r>
        <w:rPr>
          <w:szCs w:val="22"/>
        </w:rPr>
        <w:t>I los CAP que se den en la operación real y que no se remuneran por reconciliación positiva.</w:t>
      </w:r>
    </w:p>
    <w:p w14:paraId="076D4F16" w14:textId="77777777" w:rsidR="00F161EC" w:rsidRDefault="00F161EC" w:rsidP="0038050C">
      <w:pPr>
        <w:rPr>
          <w:szCs w:val="21"/>
        </w:rPr>
      </w:pPr>
    </w:p>
    <w:p w14:paraId="2439FF71" w14:textId="24FB90BF" w:rsidR="00F2644E" w:rsidRDefault="00F2644E" w:rsidP="0038050C">
      <w:pPr>
        <w:rPr>
          <w:szCs w:val="21"/>
        </w:rPr>
      </w:pPr>
      <w:r>
        <w:rPr>
          <w:szCs w:val="21"/>
        </w:rPr>
        <w:br w:type="page"/>
      </w:r>
    </w:p>
    <w:p w14:paraId="61ECAB1A" w14:textId="77777777" w:rsidR="004C02DA" w:rsidRPr="00C562ED" w:rsidRDefault="004C02DA" w:rsidP="0038050C">
      <w:pPr>
        <w:rPr>
          <w:szCs w:val="21"/>
        </w:rPr>
      </w:pPr>
    </w:p>
    <w:p w14:paraId="439ABBF4" w14:textId="331DB78A" w:rsidR="00F161EC" w:rsidRPr="00C562ED" w:rsidRDefault="00F161EC">
      <w:pPr>
        <w:pStyle w:val="Ttulo1"/>
        <w:numPr>
          <w:ilvl w:val="0"/>
          <w:numId w:val="7"/>
        </w:numPr>
        <w:spacing w:after="0"/>
        <w:ind w:left="431" w:hanging="431"/>
      </w:pPr>
      <w:bookmarkStart w:id="26" w:name="_Toc168493561"/>
      <w:r w:rsidRPr="00C562ED">
        <w:t>ALTERNATIVAS</w:t>
      </w:r>
      <w:bookmarkEnd w:id="26"/>
    </w:p>
    <w:p w14:paraId="546A199B" w14:textId="29AC8EA1" w:rsidR="00DF699E" w:rsidRPr="00C562ED" w:rsidRDefault="00DF699E" w:rsidP="0038050C">
      <w:pPr>
        <w:rPr>
          <w:szCs w:val="21"/>
        </w:rPr>
      </w:pPr>
    </w:p>
    <w:p w14:paraId="6CF7F1C2" w14:textId="569D9E22" w:rsidR="009B0FD7" w:rsidRPr="00C562ED" w:rsidRDefault="00543F79" w:rsidP="0038050C">
      <w:pPr>
        <w:rPr>
          <w:szCs w:val="21"/>
        </w:rPr>
      </w:pPr>
      <w:r>
        <w:rPr>
          <w:szCs w:val="21"/>
        </w:rPr>
        <w:t xml:space="preserve">Con el </w:t>
      </w:r>
      <w:r w:rsidR="001D08B9">
        <w:rPr>
          <w:szCs w:val="21"/>
        </w:rPr>
        <w:t>fin de</w:t>
      </w:r>
      <w:r>
        <w:rPr>
          <w:szCs w:val="21"/>
        </w:rPr>
        <w:t xml:space="preserve"> alcanzar los objetivos regulatorios planteados, las alternativas identificadas para </w:t>
      </w:r>
      <w:r w:rsidR="0082390B">
        <w:rPr>
          <w:szCs w:val="21"/>
        </w:rPr>
        <w:t>la liquidación</w:t>
      </w:r>
      <w:r>
        <w:rPr>
          <w:szCs w:val="21"/>
        </w:rPr>
        <w:t xml:space="preserve"> y/o pago de los CAP a las plantas térmicas son las siguientes:</w:t>
      </w:r>
    </w:p>
    <w:p w14:paraId="2227CE5F" w14:textId="77777777" w:rsidR="009B0FD7" w:rsidRDefault="009B0FD7" w:rsidP="0038050C">
      <w:pPr>
        <w:rPr>
          <w:sz w:val="22"/>
        </w:rPr>
      </w:pPr>
    </w:p>
    <w:p w14:paraId="45F21278" w14:textId="5DB5FA20" w:rsidR="00E84DBE" w:rsidRPr="00C562ED" w:rsidRDefault="00F325F5" w:rsidP="000D1065">
      <w:pPr>
        <w:pStyle w:val="Ttulo2"/>
        <w:numPr>
          <w:ilvl w:val="1"/>
          <w:numId w:val="1"/>
        </w:numPr>
        <w:rPr>
          <w:szCs w:val="28"/>
        </w:rPr>
      </w:pPr>
      <w:bookmarkStart w:id="27" w:name="_Toc168493562"/>
      <w:r w:rsidRPr="00C562ED">
        <w:rPr>
          <w:szCs w:val="28"/>
        </w:rPr>
        <w:t>Mantener las reglas vigentes</w:t>
      </w:r>
      <w:bookmarkEnd w:id="27"/>
    </w:p>
    <w:p w14:paraId="7FDB9E01" w14:textId="0D765249" w:rsidR="004407B5" w:rsidRDefault="004B6FBA" w:rsidP="0038050C">
      <w:pPr>
        <w:rPr>
          <w:szCs w:val="21"/>
        </w:rPr>
      </w:pPr>
      <w:r>
        <w:rPr>
          <w:szCs w:val="21"/>
        </w:rPr>
        <w:t xml:space="preserve">Esquema actual de liquidación de los CAP para el pago de la reconciliación positiva </w:t>
      </w:r>
      <w:r w:rsidR="00ED4E4F">
        <w:rPr>
          <w:szCs w:val="21"/>
        </w:rPr>
        <w:t xml:space="preserve">(PR) </w:t>
      </w:r>
      <w:r>
        <w:rPr>
          <w:szCs w:val="21"/>
        </w:rPr>
        <w:t>est</w:t>
      </w:r>
      <w:r w:rsidR="00ED4E4F">
        <w:rPr>
          <w:szCs w:val="21"/>
        </w:rPr>
        <w:t>á definido en la Resolución CREG 034 de 2001, modificada por la Resolución CREG 044 de 2020, mediante la siguiente ecuación:</w:t>
      </w:r>
    </w:p>
    <w:p w14:paraId="25D7F4AA" w14:textId="77777777" w:rsidR="00ED4E4F" w:rsidRDefault="00ED4E4F" w:rsidP="0038050C">
      <w:pPr>
        <w:rPr>
          <w:szCs w:val="21"/>
        </w:rPr>
      </w:pPr>
    </w:p>
    <w:p w14:paraId="1FCCE7E7" w14:textId="2183BC50" w:rsidR="00E94047" w:rsidRDefault="00E94047" w:rsidP="0038050C">
      <w:pPr>
        <w:rPr>
          <w:szCs w:val="21"/>
        </w:rPr>
      </w:pPr>
      <m:oMathPara>
        <m:oMath>
          <m:r>
            <w:rPr>
              <w:rFonts w:ascii="Cambria Math" w:hAnsi="Cambria Math"/>
              <w:szCs w:val="22"/>
              <w:lang w:val="es-CO"/>
            </w:rPr>
            <m:t>PR=Min</m:t>
          </m:r>
          <m:d>
            <m:dPr>
              <m:begChr m:val="["/>
              <m:endChr m:val="]"/>
              <m:ctrlPr>
                <w:rPr>
                  <w:rFonts w:ascii="Cambria Math" w:hAnsi="Cambria Math"/>
                  <w:i/>
                  <w:szCs w:val="22"/>
                  <w:lang w:val="es-CO"/>
                </w:rPr>
              </m:ctrlPr>
            </m:dPr>
            <m:e>
              <m:d>
                <m:dPr>
                  <m:ctrlPr>
                    <w:rPr>
                      <w:rFonts w:ascii="Cambria Math" w:hAnsi="Cambria Math"/>
                      <w:i/>
                      <w:szCs w:val="22"/>
                      <w:lang w:val="es-CO"/>
                    </w:rPr>
                  </m:ctrlPr>
                </m:dPr>
                <m:e>
                  <m:r>
                    <w:rPr>
                      <w:rFonts w:ascii="Cambria Math" w:hAnsi="Cambria Math"/>
                      <w:szCs w:val="22"/>
                      <w:lang w:val="es-CO"/>
                    </w:rPr>
                    <m:t>CSC+CTC+COM+OCV</m:t>
                  </m:r>
                </m:e>
              </m:d>
              <m:r>
                <w:rPr>
                  <w:rFonts w:ascii="Cambria Math" w:hAnsi="Cambria Math"/>
                  <w:szCs w:val="22"/>
                  <w:lang w:val="es-CO"/>
                </w:rPr>
                <m:t>+</m:t>
              </m:r>
              <m:f>
                <m:fPr>
                  <m:ctrlPr>
                    <w:rPr>
                      <w:rFonts w:ascii="Cambria Math" w:hAnsi="Cambria Math"/>
                      <w:i/>
                      <w:szCs w:val="22"/>
                      <w:lang w:val="es-CO"/>
                    </w:rPr>
                  </m:ctrlPr>
                </m:fPr>
                <m:num>
                  <m:r>
                    <w:rPr>
                      <w:rFonts w:ascii="Cambria Math" w:hAnsi="Cambria Math"/>
                      <w:szCs w:val="22"/>
                      <w:lang w:val="es-CO"/>
                    </w:rPr>
                    <m:t>PCAP</m:t>
                  </m:r>
                </m:num>
                <m:den>
                  <m:r>
                    <w:rPr>
                      <w:rFonts w:ascii="Cambria Math" w:hAnsi="Cambria Math"/>
                      <w:szCs w:val="22"/>
                      <w:lang w:val="es-CO"/>
                    </w:rPr>
                    <m:t>GSA</m:t>
                  </m:r>
                </m:den>
              </m:f>
              <m:r>
                <w:rPr>
                  <w:rFonts w:ascii="Cambria Math" w:hAnsi="Cambria Math"/>
                  <w:szCs w:val="22"/>
                  <w:lang w:val="es-CO"/>
                </w:rPr>
                <m:t>;PrecioOferta+</m:t>
              </m:r>
              <m:f>
                <m:fPr>
                  <m:ctrlPr>
                    <w:rPr>
                      <w:rFonts w:ascii="Cambria Math" w:hAnsi="Cambria Math"/>
                      <w:i/>
                      <w:szCs w:val="22"/>
                      <w:lang w:val="es-CO"/>
                    </w:rPr>
                  </m:ctrlPr>
                </m:fPr>
                <m:num>
                  <m:r>
                    <w:rPr>
                      <w:rFonts w:ascii="Cambria Math" w:hAnsi="Cambria Math"/>
                      <w:szCs w:val="22"/>
                      <w:lang w:val="es-CO"/>
                    </w:rPr>
                    <m:t>Par</m:t>
                  </m:r>
                </m:num>
                <m:den>
                  <m:r>
                    <w:rPr>
                      <w:rFonts w:ascii="Cambria Math" w:hAnsi="Cambria Math"/>
                      <w:szCs w:val="22"/>
                      <w:lang w:val="es-CO"/>
                    </w:rPr>
                    <m:t>GSA</m:t>
                  </m:r>
                </m:den>
              </m:f>
            </m:e>
          </m:d>
        </m:oMath>
      </m:oMathPara>
    </w:p>
    <w:p w14:paraId="3979BD78" w14:textId="77777777" w:rsidR="00DD48DE" w:rsidRDefault="00DD48DE" w:rsidP="0038050C">
      <w:pPr>
        <w:rPr>
          <w:szCs w:val="21"/>
        </w:rPr>
      </w:pPr>
    </w:p>
    <w:p w14:paraId="041672BC" w14:textId="77777777" w:rsidR="006D5365" w:rsidRDefault="006D5365" w:rsidP="0038050C">
      <w:pPr>
        <w:rPr>
          <w:szCs w:val="21"/>
        </w:rPr>
      </w:pPr>
    </w:p>
    <w:p w14:paraId="5D8C5DC4" w14:textId="1019C7D7" w:rsidR="00ED4E4F" w:rsidRDefault="00045AA0" w:rsidP="0038050C">
      <w:pPr>
        <w:rPr>
          <w:szCs w:val="22"/>
          <w:lang w:val="es-CO"/>
        </w:rPr>
      </w:pPr>
      <w:r w:rsidRPr="00C637CC">
        <w:rPr>
          <w:szCs w:val="22"/>
          <w:lang w:val="es-CO"/>
        </w:rPr>
        <w:t xml:space="preserve">La fórmula anterior, </w:t>
      </w:r>
      <w:r>
        <w:rPr>
          <w:szCs w:val="22"/>
          <w:lang w:val="es-CO"/>
        </w:rPr>
        <w:t xml:space="preserve">define el </w:t>
      </w:r>
      <w:r w:rsidR="009749E9">
        <w:rPr>
          <w:szCs w:val="22"/>
          <w:lang w:val="es-CO"/>
        </w:rPr>
        <w:t>PR</w:t>
      </w:r>
      <w:r>
        <w:rPr>
          <w:szCs w:val="22"/>
          <w:lang w:val="es-CO"/>
        </w:rPr>
        <w:t xml:space="preserve"> como el valor mínimo entre</w:t>
      </w:r>
      <w:r w:rsidR="000E70AA">
        <w:rPr>
          <w:szCs w:val="22"/>
          <w:lang w:val="es-CO"/>
        </w:rPr>
        <w:t>: a)</w:t>
      </w:r>
      <w:r>
        <w:rPr>
          <w:szCs w:val="22"/>
          <w:lang w:val="es-CO"/>
        </w:rPr>
        <w:t xml:space="preserve"> </w:t>
      </w:r>
      <w:r w:rsidRPr="00012511">
        <w:rPr>
          <w:b/>
          <w:bCs/>
          <w:szCs w:val="22"/>
          <w:lang w:val="es-CO"/>
        </w:rPr>
        <w:t>los costos</w:t>
      </w:r>
      <w:r>
        <w:rPr>
          <w:szCs w:val="22"/>
          <w:lang w:val="es-CO"/>
        </w:rPr>
        <w:t xml:space="preserve"> que corresponden a la componente del lado izquierdo; construida con los: costos de suministro de combustible (CSC), costo de transporte de combustible (CTC), costos de operación y mantenimiento (COM), otros costos variables (OCV) que corresponde a costos que se tienen en la bolsa</w:t>
      </w:r>
      <w:r w:rsidR="000E70AA">
        <w:rPr>
          <w:rStyle w:val="Refdenotaalpie"/>
          <w:szCs w:val="22"/>
          <w:lang w:val="es-CO"/>
        </w:rPr>
        <w:footnoteReference w:id="4"/>
      </w:r>
      <w:r>
        <w:rPr>
          <w:szCs w:val="22"/>
          <w:lang w:val="es-CO"/>
        </w:rPr>
        <w:t>, y costos de arranque parada reconocidos por configuración</w:t>
      </w:r>
      <w:r w:rsidR="00F82E7C">
        <w:rPr>
          <w:szCs w:val="22"/>
          <w:lang w:val="es-CO"/>
        </w:rPr>
        <w:t xml:space="preserve"> (PCAP)</w:t>
      </w:r>
      <w:r>
        <w:rPr>
          <w:szCs w:val="22"/>
          <w:lang w:val="es-CO"/>
        </w:rPr>
        <w:t xml:space="preserve">, sin definir estado térmico; y </w:t>
      </w:r>
      <w:r w:rsidR="000E70AA">
        <w:rPr>
          <w:szCs w:val="22"/>
          <w:lang w:val="es-CO"/>
        </w:rPr>
        <w:t xml:space="preserve">b) </w:t>
      </w:r>
      <w:r w:rsidRPr="00012511">
        <w:rPr>
          <w:b/>
          <w:bCs/>
          <w:szCs w:val="22"/>
          <w:lang w:val="es-CO"/>
        </w:rPr>
        <w:t>los valores ofertados</w:t>
      </w:r>
      <w:r>
        <w:rPr>
          <w:szCs w:val="22"/>
          <w:lang w:val="es-CO"/>
        </w:rPr>
        <w:t xml:space="preserve"> que corresponde a la componente de lado derecho, que son: los precios ofertados diariamente y los precios de arranque parada ofertados trimestralmente </w:t>
      </w:r>
      <w:r w:rsidR="00F82E7C">
        <w:rPr>
          <w:szCs w:val="22"/>
          <w:lang w:val="es-CO"/>
        </w:rPr>
        <w:t xml:space="preserve">(Par) </w:t>
      </w:r>
      <w:r>
        <w:rPr>
          <w:szCs w:val="22"/>
          <w:lang w:val="es-CO"/>
        </w:rPr>
        <w:t>y que se consideran para el despacho que define los preciso de bolsa</w:t>
      </w:r>
      <w:r w:rsidR="0055433B">
        <w:rPr>
          <w:szCs w:val="22"/>
          <w:lang w:val="es-CO"/>
        </w:rPr>
        <w:t>.</w:t>
      </w:r>
    </w:p>
    <w:p w14:paraId="22ADCF4F" w14:textId="77777777" w:rsidR="0055433B" w:rsidRDefault="0055433B" w:rsidP="0038050C">
      <w:pPr>
        <w:rPr>
          <w:szCs w:val="22"/>
          <w:lang w:val="es-CO"/>
        </w:rPr>
      </w:pPr>
    </w:p>
    <w:p w14:paraId="18E6096E" w14:textId="3C7D085C" w:rsidR="0055433B" w:rsidRDefault="0055433B" w:rsidP="0038050C">
      <w:pPr>
        <w:rPr>
          <w:szCs w:val="22"/>
          <w:lang w:val="es-CO"/>
        </w:rPr>
      </w:pPr>
      <w:r>
        <w:rPr>
          <w:szCs w:val="22"/>
          <w:lang w:val="es-CO"/>
        </w:rPr>
        <w:t xml:space="preserve">En específico </w:t>
      </w:r>
      <w:r w:rsidR="00F82E7C">
        <w:rPr>
          <w:szCs w:val="22"/>
          <w:lang w:val="es-CO"/>
        </w:rPr>
        <w:t xml:space="preserve">la descripción de las variables PCAP </w:t>
      </w:r>
      <w:r w:rsidR="00AE6C69">
        <w:rPr>
          <w:szCs w:val="22"/>
          <w:lang w:val="es-CO"/>
        </w:rPr>
        <w:t>y Par es la siguiente:</w:t>
      </w:r>
    </w:p>
    <w:p w14:paraId="2DA1B429" w14:textId="77777777" w:rsidR="00AE6C69" w:rsidRDefault="00AE6C69" w:rsidP="0038050C">
      <w:pPr>
        <w:rPr>
          <w:szCs w:val="22"/>
          <w:lang w:val="es-CO"/>
        </w:rPr>
      </w:pPr>
    </w:p>
    <w:tbl>
      <w:tblPr>
        <w:tblStyle w:val="Tablaconcuadrcula"/>
        <w:tblW w:w="0" w:type="auto"/>
        <w:tblLook w:val="04A0" w:firstRow="1" w:lastRow="0" w:firstColumn="1" w:lastColumn="0" w:noHBand="0" w:noVBand="1"/>
      </w:tblPr>
      <w:tblGrid>
        <w:gridCol w:w="1555"/>
        <w:gridCol w:w="7796"/>
      </w:tblGrid>
      <w:tr w:rsidR="00AE6C69" w14:paraId="15E465CA" w14:textId="77777777" w:rsidTr="00AE6C69">
        <w:tc>
          <w:tcPr>
            <w:tcW w:w="1555" w:type="dxa"/>
          </w:tcPr>
          <w:p w14:paraId="5B81124A" w14:textId="6FF9EAA0" w:rsidR="00AE6C69" w:rsidRPr="00584142" w:rsidRDefault="00AE6C69" w:rsidP="0038050C">
            <w:pPr>
              <w:rPr>
                <w:i/>
                <w:iCs/>
                <w:szCs w:val="22"/>
                <w:lang w:val="es-CO"/>
              </w:rPr>
            </w:pPr>
            <w:r w:rsidRPr="00584142">
              <w:rPr>
                <w:i/>
                <w:iCs/>
                <w:szCs w:val="22"/>
                <w:lang w:val="es-CO"/>
              </w:rPr>
              <w:t>PCAP:</w:t>
            </w:r>
          </w:p>
        </w:tc>
        <w:tc>
          <w:tcPr>
            <w:tcW w:w="7796" w:type="dxa"/>
          </w:tcPr>
          <w:p w14:paraId="01A79AA5" w14:textId="03C26AA0" w:rsidR="00AE6C69" w:rsidRPr="00F46425" w:rsidRDefault="00FD0E3D" w:rsidP="0038050C">
            <w:pPr>
              <w:rPr>
                <w:i/>
                <w:iCs/>
                <w:szCs w:val="22"/>
                <w:lang w:val="es-CO"/>
              </w:rPr>
            </w:pPr>
            <w:r w:rsidRPr="00F46425">
              <w:rPr>
                <w:i/>
                <w:iCs/>
                <w:szCs w:val="22"/>
                <w:lang w:val="es-CO"/>
              </w:rPr>
              <w:t xml:space="preserve">Valor reconocido como costo de arranque – parada en USD asociado con la generación fuera de </w:t>
            </w:r>
            <w:r w:rsidR="00575BF6" w:rsidRPr="00F46425">
              <w:rPr>
                <w:i/>
                <w:iCs/>
                <w:szCs w:val="22"/>
                <w:lang w:val="es-CO"/>
              </w:rPr>
              <w:t>mérito. Corresponde al mes y año ofertado por primera vez. Se actualiza con el IPP (Índice de precios al productor de EUA)</w:t>
            </w:r>
            <w:r w:rsidR="00EC6210" w:rsidRPr="00F46425">
              <w:rPr>
                <w:i/>
                <w:iCs/>
                <w:szCs w:val="22"/>
                <w:lang w:val="es-CO"/>
              </w:rPr>
              <w:t xml:space="preserve">. Será igual a cero si la planta se arranca según el despacho ideal, o si arrancó desde </w:t>
            </w:r>
            <w:r w:rsidR="00584142" w:rsidRPr="00F46425">
              <w:rPr>
                <w:i/>
                <w:iCs/>
                <w:szCs w:val="22"/>
                <w:lang w:val="es-CO"/>
              </w:rPr>
              <w:t>un día anterior y continúa generando.</w:t>
            </w:r>
          </w:p>
        </w:tc>
      </w:tr>
      <w:tr w:rsidR="00AE6C69" w14:paraId="716F8E1C" w14:textId="77777777" w:rsidTr="00AE6C69">
        <w:tc>
          <w:tcPr>
            <w:tcW w:w="1555" w:type="dxa"/>
          </w:tcPr>
          <w:p w14:paraId="7621B28C" w14:textId="233603DD" w:rsidR="00AE6C69" w:rsidRPr="00584142" w:rsidRDefault="00584142" w:rsidP="0038050C">
            <w:pPr>
              <w:rPr>
                <w:i/>
                <w:iCs/>
                <w:szCs w:val="22"/>
                <w:lang w:val="es-CO"/>
              </w:rPr>
            </w:pPr>
            <w:r w:rsidRPr="00584142">
              <w:rPr>
                <w:i/>
                <w:iCs/>
                <w:szCs w:val="22"/>
                <w:lang w:val="es-CO"/>
              </w:rPr>
              <w:t>Par:</w:t>
            </w:r>
          </w:p>
        </w:tc>
        <w:tc>
          <w:tcPr>
            <w:tcW w:w="7796" w:type="dxa"/>
          </w:tcPr>
          <w:p w14:paraId="05CBAB19" w14:textId="59D27B56" w:rsidR="00AE6C69" w:rsidRPr="00F46425" w:rsidRDefault="00584142" w:rsidP="0038050C">
            <w:pPr>
              <w:rPr>
                <w:i/>
                <w:iCs/>
                <w:szCs w:val="22"/>
                <w:lang w:val="es-CO"/>
              </w:rPr>
            </w:pPr>
            <w:r w:rsidRPr="00F46425">
              <w:rPr>
                <w:i/>
                <w:iCs/>
                <w:szCs w:val="22"/>
                <w:lang w:val="es-CO"/>
              </w:rPr>
              <w:t>Precios de arranque – parada en USD para la configuración y combustible con el que se le considera para el despacho ideal</w:t>
            </w:r>
            <w:r w:rsidR="00812222" w:rsidRPr="00F46425">
              <w:rPr>
                <w:i/>
                <w:iCs/>
                <w:szCs w:val="22"/>
                <w:lang w:val="es-CO"/>
              </w:rPr>
              <w:t xml:space="preserve">. El valor se declara trimestralmente. Si el valor se ha </w:t>
            </w:r>
            <w:r w:rsidR="00BC09E9" w:rsidRPr="00F46425">
              <w:rPr>
                <w:i/>
                <w:iCs/>
                <w:szCs w:val="22"/>
                <w:lang w:val="es-CO"/>
              </w:rPr>
              <w:t>incluido en el despacho ideal este valor es cero.</w:t>
            </w:r>
          </w:p>
        </w:tc>
      </w:tr>
    </w:tbl>
    <w:p w14:paraId="6CA8C32A" w14:textId="1F0267C1" w:rsidR="009749E9" w:rsidRPr="00585B2C" w:rsidRDefault="00585B2C" w:rsidP="00585B2C">
      <w:pPr>
        <w:pStyle w:val="Descripcin"/>
        <w:jc w:val="center"/>
        <w:rPr>
          <w:sz w:val="20"/>
          <w:szCs w:val="24"/>
          <w:lang w:val="es-CO"/>
        </w:rPr>
      </w:pPr>
      <w:bookmarkStart w:id="28" w:name="_Toc168493582"/>
      <w:r w:rsidRPr="00585B2C">
        <w:rPr>
          <w:sz w:val="20"/>
          <w:szCs w:val="20"/>
        </w:rPr>
        <w:t xml:space="preserve">Tabla </w:t>
      </w:r>
      <w:r w:rsidRPr="00585B2C">
        <w:rPr>
          <w:sz w:val="20"/>
          <w:szCs w:val="20"/>
        </w:rPr>
        <w:fldChar w:fldCharType="begin"/>
      </w:r>
      <w:r w:rsidRPr="00585B2C">
        <w:rPr>
          <w:sz w:val="20"/>
          <w:szCs w:val="20"/>
        </w:rPr>
        <w:instrText xml:space="preserve"> SEQ Tabla \* ARABIC </w:instrText>
      </w:r>
      <w:r w:rsidRPr="00585B2C">
        <w:rPr>
          <w:sz w:val="20"/>
          <w:szCs w:val="20"/>
        </w:rPr>
        <w:fldChar w:fldCharType="separate"/>
      </w:r>
      <w:r w:rsidR="00CB0CB3">
        <w:rPr>
          <w:noProof/>
          <w:sz w:val="20"/>
          <w:szCs w:val="20"/>
        </w:rPr>
        <w:t>1</w:t>
      </w:r>
      <w:r w:rsidRPr="00585B2C">
        <w:rPr>
          <w:sz w:val="20"/>
          <w:szCs w:val="20"/>
        </w:rPr>
        <w:fldChar w:fldCharType="end"/>
      </w:r>
      <w:r w:rsidRPr="00585B2C">
        <w:rPr>
          <w:sz w:val="20"/>
          <w:szCs w:val="20"/>
        </w:rPr>
        <w:t xml:space="preserve">. Descripción variables costo arranque – parada Res. </w:t>
      </w:r>
      <w:r w:rsidR="00467926">
        <w:rPr>
          <w:sz w:val="20"/>
          <w:szCs w:val="20"/>
        </w:rPr>
        <w:t xml:space="preserve">CREG </w:t>
      </w:r>
      <w:r w:rsidRPr="00585B2C">
        <w:rPr>
          <w:sz w:val="20"/>
          <w:szCs w:val="20"/>
        </w:rPr>
        <w:t>034 de 2001</w:t>
      </w:r>
      <w:bookmarkEnd w:id="28"/>
    </w:p>
    <w:p w14:paraId="330E6260" w14:textId="77777777" w:rsidR="009749E9" w:rsidRDefault="009749E9" w:rsidP="0038050C">
      <w:pPr>
        <w:rPr>
          <w:szCs w:val="21"/>
        </w:rPr>
      </w:pPr>
    </w:p>
    <w:p w14:paraId="7BC08B39" w14:textId="0B8658F7" w:rsidR="003A03FF" w:rsidRDefault="007D6839" w:rsidP="003A03FF">
      <w:pPr>
        <w:rPr>
          <w:szCs w:val="22"/>
        </w:rPr>
      </w:pPr>
      <w:r>
        <w:rPr>
          <w:szCs w:val="21"/>
        </w:rPr>
        <w:t xml:space="preserve">Por otra parte, el CAP hace parte de la liquidación del </w:t>
      </w:r>
      <w:r w:rsidR="00254E51">
        <w:rPr>
          <w:rFonts w:cs="Arial"/>
          <w:szCs w:val="21"/>
        </w:rPr>
        <w:t>∆</w:t>
      </w:r>
      <w:r w:rsidR="00254E51">
        <w:rPr>
          <w:szCs w:val="21"/>
        </w:rPr>
        <w:t xml:space="preserve">I que hace parte del precio de bolsa que corresponde al Máximo Precio de Ofertado </w:t>
      </w:r>
      <w:r w:rsidR="003A03FF">
        <w:rPr>
          <w:szCs w:val="21"/>
        </w:rPr>
        <w:t>(MPO)</w:t>
      </w:r>
      <w:r w:rsidR="001C5CD7">
        <w:rPr>
          <w:szCs w:val="21"/>
        </w:rPr>
        <w:t xml:space="preserve"> más el </w:t>
      </w:r>
      <w:r w:rsidR="001C5CD7">
        <w:rPr>
          <w:rFonts w:cs="Arial"/>
          <w:szCs w:val="21"/>
        </w:rPr>
        <w:t>∆</w:t>
      </w:r>
      <w:r w:rsidR="001C5CD7">
        <w:rPr>
          <w:szCs w:val="21"/>
        </w:rPr>
        <w:t xml:space="preserve">I, como quedó definido en </w:t>
      </w:r>
      <w:r w:rsidR="00746449">
        <w:rPr>
          <w:szCs w:val="21"/>
        </w:rPr>
        <w:t xml:space="preserve">el </w:t>
      </w:r>
      <w:r w:rsidR="003A03FF">
        <w:rPr>
          <w:szCs w:val="22"/>
        </w:rPr>
        <w:t xml:space="preserve">literal d del </w:t>
      </w:r>
      <w:r w:rsidR="003A03FF" w:rsidRPr="005D02B7">
        <w:rPr>
          <w:szCs w:val="22"/>
        </w:rPr>
        <w:t>anexo 4 de la Resolución CREG 024 de 1995</w:t>
      </w:r>
      <w:r w:rsidR="003A03FF">
        <w:rPr>
          <w:szCs w:val="22"/>
        </w:rPr>
        <w:t>, modificado por el artículo 5 de la Resolución CREG 101 028 de 2022,</w:t>
      </w:r>
      <w:r w:rsidR="003A03FF" w:rsidRPr="005D02B7">
        <w:rPr>
          <w:szCs w:val="22"/>
        </w:rPr>
        <w:t xml:space="preserve"> </w:t>
      </w:r>
      <w:r w:rsidR="00746449">
        <w:rPr>
          <w:szCs w:val="22"/>
        </w:rPr>
        <w:t xml:space="preserve">donde </w:t>
      </w:r>
      <w:r w:rsidR="003A03FF" w:rsidRPr="005D02B7">
        <w:rPr>
          <w:szCs w:val="22"/>
        </w:rPr>
        <w:t xml:space="preserve">establece la forma de </w:t>
      </w:r>
      <w:r w:rsidR="003A03FF" w:rsidRPr="005D02B7">
        <w:rPr>
          <w:szCs w:val="22"/>
        </w:rPr>
        <w:lastRenderedPageBreak/>
        <w:t xml:space="preserve">calcular el </w:t>
      </w:r>
      <w:r w:rsidR="003A03FF">
        <w:rPr>
          <w:szCs w:val="22"/>
        </w:rPr>
        <w:t xml:space="preserve">valor </w:t>
      </w:r>
      <w:r w:rsidR="003A03FF">
        <w:rPr>
          <w:rFonts w:cs="Arial"/>
          <w:szCs w:val="22"/>
        </w:rPr>
        <w:t>Δ</w:t>
      </w:r>
      <w:r w:rsidR="003A03FF">
        <w:rPr>
          <w:szCs w:val="22"/>
        </w:rPr>
        <w:t xml:space="preserve">I que hace parte del </w:t>
      </w:r>
      <w:r w:rsidR="003A03FF" w:rsidRPr="005D02B7">
        <w:rPr>
          <w:szCs w:val="22"/>
        </w:rPr>
        <w:t>precio de bolsa,</w:t>
      </w:r>
      <w:r w:rsidR="00A202A9">
        <w:rPr>
          <w:szCs w:val="22"/>
        </w:rPr>
        <w:t xml:space="preserve"> de acuerdo</w:t>
      </w:r>
      <w:r w:rsidR="003A03FF" w:rsidRPr="005D02B7">
        <w:rPr>
          <w:szCs w:val="22"/>
        </w:rPr>
        <w:t xml:space="preserve"> con los resultados del despacho ideal, es decir el despacho en donde no se considera la red</w:t>
      </w:r>
      <w:r w:rsidR="003A03FF">
        <w:rPr>
          <w:szCs w:val="22"/>
        </w:rPr>
        <w:t>, para los mercados nacional e internacional.</w:t>
      </w:r>
    </w:p>
    <w:p w14:paraId="24AA0FE8" w14:textId="77777777" w:rsidR="003A03FF" w:rsidRDefault="003A03FF" w:rsidP="003A03FF">
      <w:pPr>
        <w:rPr>
          <w:szCs w:val="22"/>
        </w:rPr>
      </w:pPr>
    </w:p>
    <w:p w14:paraId="2B30F70C" w14:textId="25BA859A" w:rsidR="003A03FF" w:rsidRDefault="006F4A51" w:rsidP="003A03FF">
      <w:pPr>
        <w:rPr>
          <w:szCs w:val="22"/>
        </w:rPr>
      </w:pPr>
      <w:r>
        <w:rPr>
          <w:szCs w:val="22"/>
        </w:rPr>
        <w:t>La vari</w:t>
      </w:r>
      <w:r w:rsidR="00810827">
        <w:rPr>
          <w:szCs w:val="22"/>
        </w:rPr>
        <w:t xml:space="preserve">able Par que hace parte del </w:t>
      </w:r>
      <w:r w:rsidR="00810827">
        <w:rPr>
          <w:rFonts w:cs="Arial"/>
          <w:szCs w:val="22"/>
        </w:rPr>
        <w:t>Δ</w:t>
      </w:r>
      <w:r w:rsidR="008170C0">
        <w:rPr>
          <w:szCs w:val="22"/>
        </w:rPr>
        <w:t>I,</w:t>
      </w:r>
      <w:r w:rsidR="008677A6">
        <w:rPr>
          <w:szCs w:val="22"/>
        </w:rPr>
        <w:t xml:space="preserve"> literal d</w:t>
      </w:r>
      <w:r w:rsidR="004B3D53">
        <w:rPr>
          <w:szCs w:val="22"/>
        </w:rPr>
        <w:t xml:space="preserve"> </w:t>
      </w:r>
      <w:r w:rsidR="004B3D53" w:rsidRPr="00DB1884">
        <w:rPr>
          <w:i/>
          <w:iCs/>
          <w:szCs w:val="22"/>
        </w:rPr>
        <w:t>“Se determinarán los valores de (</w:t>
      </w:r>
      <w:r w:rsidR="004B3D53" w:rsidRPr="00DB1884">
        <w:rPr>
          <w:rFonts w:cs="Arial"/>
          <w:i/>
          <w:iCs/>
          <w:szCs w:val="22"/>
        </w:rPr>
        <w:t>Δ</w:t>
      </w:r>
      <w:r w:rsidR="004B3D53" w:rsidRPr="00DB1884">
        <w:rPr>
          <w:i/>
          <w:iCs/>
          <w:szCs w:val="22"/>
        </w:rPr>
        <w:t>I)</w:t>
      </w:r>
      <w:r w:rsidR="0012600F" w:rsidRPr="00DB1884">
        <w:rPr>
          <w:i/>
          <w:iCs/>
          <w:szCs w:val="22"/>
        </w:rPr>
        <w:t xml:space="preserve"> para los mercado</w:t>
      </w:r>
      <w:r w:rsidR="00582D98">
        <w:rPr>
          <w:i/>
          <w:iCs/>
          <w:szCs w:val="22"/>
        </w:rPr>
        <w:t>s</w:t>
      </w:r>
      <w:r w:rsidR="0012600F" w:rsidRPr="00DB1884">
        <w:rPr>
          <w:i/>
          <w:iCs/>
          <w:szCs w:val="22"/>
        </w:rPr>
        <w:t xml:space="preserve"> nacional</w:t>
      </w:r>
      <w:r w:rsidR="008E4628">
        <w:rPr>
          <w:i/>
          <w:iCs/>
          <w:szCs w:val="22"/>
        </w:rPr>
        <w:t>es</w:t>
      </w:r>
      <w:r w:rsidR="00582D98">
        <w:rPr>
          <w:i/>
          <w:iCs/>
          <w:szCs w:val="22"/>
        </w:rPr>
        <w:t xml:space="preserve"> e internacional</w:t>
      </w:r>
      <w:r w:rsidR="008E4628">
        <w:rPr>
          <w:i/>
          <w:iCs/>
          <w:szCs w:val="22"/>
        </w:rPr>
        <w:t>es</w:t>
      </w:r>
      <w:r w:rsidR="00582D98">
        <w:rPr>
          <w:i/>
          <w:iCs/>
          <w:szCs w:val="22"/>
        </w:rPr>
        <w:t xml:space="preserve"> </w:t>
      </w:r>
      <w:r w:rsidR="0012600F" w:rsidRPr="00DB1884">
        <w:rPr>
          <w:i/>
          <w:iCs/>
          <w:szCs w:val="22"/>
        </w:rPr>
        <w:t>de la siguiente forma:</w:t>
      </w:r>
      <w:r w:rsidR="0012600F">
        <w:rPr>
          <w:szCs w:val="22"/>
        </w:rPr>
        <w:t>”</w:t>
      </w:r>
      <w:r w:rsidR="003052DF">
        <w:rPr>
          <w:szCs w:val="22"/>
        </w:rPr>
        <w:t xml:space="preserve"> del anexo 4 de la Resolución CREG 024 de 1995</w:t>
      </w:r>
      <w:r w:rsidR="00DB1884">
        <w:rPr>
          <w:szCs w:val="22"/>
        </w:rPr>
        <w:t>,</w:t>
      </w:r>
      <w:r w:rsidR="004B3D53">
        <w:rPr>
          <w:szCs w:val="22"/>
        </w:rPr>
        <w:t xml:space="preserve"> </w:t>
      </w:r>
      <w:r w:rsidR="00810827">
        <w:rPr>
          <w:szCs w:val="22"/>
        </w:rPr>
        <w:t xml:space="preserve">se encuentra </w:t>
      </w:r>
      <w:r w:rsidR="00FD0525">
        <w:rPr>
          <w:szCs w:val="22"/>
        </w:rPr>
        <w:t>descrit</w:t>
      </w:r>
      <w:r w:rsidR="001805A9">
        <w:rPr>
          <w:szCs w:val="22"/>
        </w:rPr>
        <w:t>o</w:t>
      </w:r>
      <w:r w:rsidR="00FD0525">
        <w:rPr>
          <w:szCs w:val="22"/>
        </w:rPr>
        <w:t xml:space="preserve"> en los siguientes términos:</w:t>
      </w:r>
    </w:p>
    <w:p w14:paraId="1FA1A989" w14:textId="77777777" w:rsidR="00DB1884" w:rsidRDefault="00DB1884" w:rsidP="003A03FF">
      <w:pPr>
        <w:rPr>
          <w:szCs w:val="22"/>
        </w:rPr>
      </w:pPr>
    </w:p>
    <w:tbl>
      <w:tblPr>
        <w:tblStyle w:val="Tablaconcuadrcula"/>
        <w:tblW w:w="0" w:type="auto"/>
        <w:tblLook w:val="04A0" w:firstRow="1" w:lastRow="0" w:firstColumn="1" w:lastColumn="0" w:noHBand="0" w:noVBand="1"/>
      </w:tblPr>
      <w:tblGrid>
        <w:gridCol w:w="1555"/>
        <w:gridCol w:w="7796"/>
      </w:tblGrid>
      <w:tr w:rsidR="00DB1884" w14:paraId="4AE13727" w14:textId="77777777" w:rsidTr="00B17AC2">
        <w:tc>
          <w:tcPr>
            <w:tcW w:w="1555" w:type="dxa"/>
          </w:tcPr>
          <w:p w14:paraId="781E3392" w14:textId="5B3BADCD" w:rsidR="00DB1884" w:rsidRPr="00584142" w:rsidRDefault="00DB1884" w:rsidP="00B17AC2">
            <w:pPr>
              <w:rPr>
                <w:i/>
                <w:iCs/>
                <w:szCs w:val="22"/>
                <w:lang w:val="es-CO"/>
              </w:rPr>
            </w:pPr>
            <w:proofErr w:type="spellStart"/>
            <w:r w:rsidRPr="00584142">
              <w:rPr>
                <w:i/>
                <w:iCs/>
                <w:szCs w:val="22"/>
                <w:lang w:val="es-CO"/>
              </w:rPr>
              <w:t>Par</w:t>
            </w:r>
            <w:r w:rsidR="00763D9D" w:rsidRPr="00763D9D">
              <w:rPr>
                <w:i/>
                <w:iCs/>
                <w:szCs w:val="22"/>
                <w:vertAlign w:val="subscript"/>
                <w:lang w:val="es-CO"/>
              </w:rPr>
              <w:t>j,z</w:t>
            </w:r>
            <w:proofErr w:type="spellEnd"/>
            <w:r w:rsidRPr="00584142">
              <w:rPr>
                <w:i/>
                <w:iCs/>
                <w:szCs w:val="22"/>
                <w:lang w:val="es-CO"/>
              </w:rPr>
              <w:t>:</w:t>
            </w:r>
          </w:p>
        </w:tc>
        <w:tc>
          <w:tcPr>
            <w:tcW w:w="7796" w:type="dxa"/>
          </w:tcPr>
          <w:p w14:paraId="39AD5D4D" w14:textId="26AC6216" w:rsidR="00DB1884" w:rsidRDefault="00DB1884" w:rsidP="00B17AC2">
            <w:pPr>
              <w:rPr>
                <w:szCs w:val="22"/>
                <w:lang w:val="es-CO"/>
              </w:rPr>
            </w:pPr>
            <w:r>
              <w:rPr>
                <w:szCs w:val="22"/>
                <w:lang w:val="es-CO"/>
              </w:rPr>
              <w:t xml:space="preserve">Precios de </w:t>
            </w:r>
            <w:r w:rsidR="00763D9D">
              <w:rPr>
                <w:szCs w:val="22"/>
                <w:lang w:val="es-CO"/>
              </w:rPr>
              <w:t xml:space="preserve">oferta de arranque – parada z </w:t>
            </w:r>
            <w:r w:rsidR="00A62932">
              <w:rPr>
                <w:szCs w:val="22"/>
                <w:lang w:val="es-CO"/>
              </w:rPr>
              <w:t>de la planta j. En caso de presentarse transición entre configuraciones de una planta de ciclo combi</w:t>
            </w:r>
            <w:r w:rsidR="00E07D23">
              <w:rPr>
                <w:szCs w:val="22"/>
                <w:lang w:val="es-CO"/>
              </w:rPr>
              <w:t xml:space="preserve">nado, el arranque – parada de la nueva configuración será valorado como la suma de los precios de arranque – parada, según estado, de unidades adicionales entre la configuración del período t y la configuración </w:t>
            </w:r>
            <w:r w:rsidR="00F46425">
              <w:rPr>
                <w:szCs w:val="22"/>
                <w:lang w:val="es-CO"/>
              </w:rPr>
              <w:t>del período t-1.</w:t>
            </w:r>
          </w:p>
        </w:tc>
      </w:tr>
    </w:tbl>
    <w:p w14:paraId="2B52A5EC" w14:textId="06C13E19" w:rsidR="00DB1884" w:rsidRPr="00A01C5A" w:rsidRDefault="00585B2C" w:rsidP="00A01C5A">
      <w:pPr>
        <w:pStyle w:val="Descripcin"/>
        <w:jc w:val="center"/>
        <w:rPr>
          <w:sz w:val="20"/>
          <w:szCs w:val="24"/>
          <w:lang w:val="es-CO"/>
        </w:rPr>
      </w:pPr>
      <w:bookmarkStart w:id="29" w:name="_Toc168493583"/>
      <w:r w:rsidRPr="00A01C5A">
        <w:rPr>
          <w:sz w:val="20"/>
          <w:szCs w:val="20"/>
        </w:rPr>
        <w:t xml:space="preserve">Tabla </w:t>
      </w:r>
      <w:r w:rsidRPr="00A01C5A">
        <w:rPr>
          <w:sz w:val="20"/>
          <w:szCs w:val="20"/>
        </w:rPr>
        <w:fldChar w:fldCharType="begin"/>
      </w:r>
      <w:r w:rsidRPr="00A01C5A">
        <w:rPr>
          <w:sz w:val="20"/>
          <w:szCs w:val="20"/>
        </w:rPr>
        <w:instrText xml:space="preserve"> SEQ Tabla \* ARABIC </w:instrText>
      </w:r>
      <w:r w:rsidRPr="00A01C5A">
        <w:rPr>
          <w:sz w:val="20"/>
          <w:szCs w:val="20"/>
        </w:rPr>
        <w:fldChar w:fldCharType="separate"/>
      </w:r>
      <w:r w:rsidR="00CB0CB3">
        <w:rPr>
          <w:noProof/>
          <w:sz w:val="20"/>
          <w:szCs w:val="20"/>
        </w:rPr>
        <w:t>2</w:t>
      </w:r>
      <w:r w:rsidRPr="00A01C5A">
        <w:rPr>
          <w:sz w:val="20"/>
          <w:szCs w:val="20"/>
        </w:rPr>
        <w:fldChar w:fldCharType="end"/>
      </w:r>
      <w:r w:rsidRPr="00A01C5A">
        <w:rPr>
          <w:sz w:val="20"/>
          <w:szCs w:val="20"/>
        </w:rPr>
        <w:t xml:space="preserve">. Descripción variable </w:t>
      </w:r>
      <w:r w:rsidR="00A01C5A" w:rsidRPr="00A01C5A">
        <w:rPr>
          <w:sz w:val="20"/>
          <w:szCs w:val="20"/>
        </w:rPr>
        <w:t xml:space="preserve">arranque – parada para la determinación de </w:t>
      </w:r>
      <w:r w:rsidR="00A01C5A" w:rsidRPr="00A01C5A">
        <w:rPr>
          <w:rFonts w:cs="Arial"/>
          <w:sz w:val="20"/>
          <w:szCs w:val="20"/>
        </w:rPr>
        <w:t>∆</w:t>
      </w:r>
      <w:r w:rsidR="00A01C5A" w:rsidRPr="00A01C5A">
        <w:rPr>
          <w:sz w:val="20"/>
          <w:szCs w:val="20"/>
        </w:rPr>
        <w:t>I</w:t>
      </w:r>
      <w:bookmarkEnd w:id="29"/>
    </w:p>
    <w:p w14:paraId="173CC345" w14:textId="77777777" w:rsidR="00FD0525" w:rsidRDefault="00FD0525" w:rsidP="003A03FF">
      <w:pPr>
        <w:rPr>
          <w:szCs w:val="22"/>
        </w:rPr>
      </w:pPr>
    </w:p>
    <w:p w14:paraId="44195FF2" w14:textId="62EDEAE0" w:rsidR="006A2BD2" w:rsidRDefault="002D3374" w:rsidP="0038050C">
      <w:pPr>
        <w:rPr>
          <w:szCs w:val="21"/>
        </w:rPr>
      </w:pPr>
      <w:r>
        <w:rPr>
          <w:szCs w:val="21"/>
        </w:rPr>
        <w:t>De acuerdo con lo anterior, e</w:t>
      </w:r>
      <w:r w:rsidR="002F6D39">
        <w:rPr>
          <w:szCs w:val="21"/>
        </w:rPr>
        <w:t xml:space="preserve">l esquema actual de </w:t>
      </w:r>
      <w:r w:rsidR="00C706F4">
        <w:rPr>
          <w:szCs w:val="21"/>
        </w:rPr>
        <w:t xml:space="preserve">liquidación de los CAP para la reconciliación positiva no </w:t>
      </w:r>
      <w:r w:rsidR="000720F4">
        <w:rPr>
          <w:szCs w:val="21"/>
        </w:rPr>
        <w:t>recoge la información de los costos por unidad y estado térmico</w:t>
      </w:r>
      <w:r w:rsidR="00B748C9">
        <w:rPr>
          <w:szCs w:val="21"/>
        </w:rPr>
        <w:t xml:space="preserve">, </w:t>
      </w:r>
      <w:r w:rsidR="00954AC4">
        <w:rPr>
          <w:szCs w:val="21"/>
        </w:rPr>
        <w:t>dejando por fuera los nuevos desa</w:t>
      </w:r>
      <w:r w:rsidR="000C09B9">
        <w:rPr>
          <w:szCs w:val="21"/>
        </w:rPr>
        <w:t>rrollos que permiten mejorar el proceso de optimización de los costos qu</w:t>
      </w:r>
      <w:r w:rsidR="00081F0C">
        <w:rPr>
          <w:szCs w:val="21"/>
        </w:rPr>
        <w:t xml:space="preserve">e se incurren en el sistema. En ese sentido, </w:t>
      </w:r>
      <w:r w:rsidR="006227C8">
        <w:rPr>
          <w:szCs w:val="21"/>
        </w:rPr>
        <w:t>mantener la</w:t>
      </w:r>
      <w:r w:rsidR="006A2BD2">
        <w:rPr>
          <w:szCs w:val="21"/>
        </w:rPr>
        <w:t>s</w:t>
      </w:r>
      <w:r w:rsidR="006227C8">
        <w:rPr>
          <w:szCs w:val="21"/>
        </w:rPr>
        <w:t xml:space="preserve"> reglas vigentes </w:t>
      </w:r>
      <w:r w:rsidR="001D0D31">
        <w:rPr>
          <w:szCs w:val="21"/>
        </w:rPr>
        <w:t>genera</w:t>
      </w:r>
      <w:r w:rsidR="005E09C2">
        <w:rPr>
          <w:szCs w:val="21"/>
        </w:rPr>
        <w:t xml:space="preserve"> que los</w:t>
      </w:r>
      <w:r w:rsidR="004850E4">
        <w:rPr>
          <w:szCs w:val="21"/>
        </w:rPr>
        <w:t xml:space="preserve"> </w:t>
      </w:r>
      <w:r w:rsidR="00E95BFC">
        <w:rPr>
          <w:szCs w:val="21"/>
        </w:rPr>
        <w:t>problemas de falta de armonización entre la remuneración de los CAP por costos y</w:t>
      </w:r>
      <w:r w:rsidR="00262FF9">
        <w:rPr>
          <w:szCs w:val="21"/>
        </w:rPr>
        <w:t xml:space="preserve"> </w:t>
      </w:r>
      <w:r w:rsidR="00E95BFC">
        <w:rPr>
          <w:szCs w:val="21"/>
        </w:rPr>
        <w:t xml:space="preserve">los CAP ofertados se sigan manteniendo, conllevando a </w:t>
      </w:r>
      <w:r w:rsidR="00DA1FF3">
        <w:rPr>
          <w:szCs w:val="21"/>
        </w:rPr>
        <w:t xml:space="preserve">una posible remuneración ineficiente </w:t>
      </w:r>
      <w:r w:rsidR="00F86276">
        <w:rPr>
          <w:szCs w:val="21"/>
        </w:rPr>
        <w:t xml:space="preserve">por no considerar la información más detallada que se utiliza para el </w:t>
      </w:r>
      <w:r w:rsidR="00CF7431">
        <w:rPr>
          <w:szCs w:val="21"/>
        </w:rPr>
        <w:t>despacho: información por unidad y estado térmico</w:t>
      </w:r>
      <w:r w:rsidR="007C7D42">
        <w:rPr>
          <w:szCs w:val="21"/>
        </w:rPr>
        <w:t>.</w:t>
      </w:r>
    </w:p>
    <w:p w14:paraId="5BC52D9E" w14:textId="77777777" w:rsidR="006A2BD2" w:rsidRDefault="006A2BD2" w:rsidP="0038050C">
      <w:pPr>
        <w:rPr>
          <w:szCs w:val="21"/>
        </w:rPr>
      </w:pPr>
    </w:p>
    <w:p w14:paraId="37839B48" w14:textId="1F443FE8" w:rsidR="00D579A2" w:rsidRPr="00C562ED" w:rsidRDefault="006A2BD2" w:rsidP="0038050C">
      <w:pPr>
        <w:rPr>
          <w:szCs w:val="21"/>
        </w:rPr>
      </w:pPr>
      <w:r>
        <w:rPr>
          <w:szCs w:val="21"/>
        </w:rPr>
        <w:t xml:space="preserve">Por otro lado, en lo que respecta a la directriz del </w:t>
      </w:r>
      <w:r w:rsidR="00D54253">
        <w:rPr>
          <w:szCs w:val="21"/>
        </w:rPr>
        <w:t xml:space="preserve">literal a) artículo 8 del </w:t>
      </w:r>
      <w:r>
        <w:rPr>
          <w:szCs w:val="21"/>
        </w:rPr>
        <w:t xml:space="preserve">Decreto 929 de 2023, </w:t>
      </w:r>
      <w:r w:rsidR="00CA3486">
        <w:rPr>
          <w:szCs w:val="21"/>
        </w:rPr>
        <w:t xml:space="preserve">en cuanto a </w:t>
      </w:r>
      <w:r w:rsidR="00901CA1">
        <w:rPr>
          <w:szCs w:val="21"/>
        </w:rPr>
        <w:t xml:space="preserve">remunerar los CAP cuando se hayan dado en la operación real, </w:t>
      </w:r>
      <w:r>
        <w:rPr>
          <w:szCs w:val="21"/>
        </w:rPr>
        <w:t>s</w:t>
      </w:r>
      <w:r w:rsidR="00667DEE">
        <w:rPr>
          <w:szCs w:val="21"/>
        </w:rPr>
        <w:t>í</w:t>
      </w:r>
      <w:r>
        <w:rPr>
          <w:szCs w:val="21"/>
        </w:rPr>
        <w:t xml:space="preserve"> se mantienen las reglas actuales</w:t>
      </w:r>
      <w:r w:rsidR="002A5C22">
        <w:rPr>
          <w:szCs w:val="21"/>
        </w:rPr>
        <w:t xml:space="preserve"> de liquidación en bolsa,</w:t>
      </w:r>
      <w:r>
        <w:rPr>
          <w:szCs w:val="21"/>
        </w:rPr>
        <w:t xml:space="preserve"> no se estaría </w:t>
      </w:r>
      <w:r w:rsidR="00901CA1">
        <w:rPr>
          <w:szCs w:val="21"/>
        </w:rPr>
        <w:t>dando cumplimiento</w:t>
      </w:r>
      <w:r w:rsidR="00E6771C">
        <w:rPr>
          <w:szCs w:val="21"/>
        </w:rPr>
        <w:t xml:space="preserve"> a dicho lineamiento.</w:t>
      </w:r>
    </w:p>
    <w:p w14:paraId="00F41E3D" w14:textId="3038BFE3" w:rsidR="005712D5" w:rsidRDefault="005712D5" w:rsidP="0038050C">
      <w:pPr>
        <w:rPr>
          <w:sz w:val="22"/>
        </w:rPr>
      </w:pPr>
    </w:p>
    <w:p w14:paraId="7DD03577" w14:textId="178E3E5A" w:rsidR="00397B78" w:rsidRPr="00C562ED" w:rsidRDefault="001901EF" w:rsidP="00397B78">
      <w:pPr>
        <w:pStyle w:val="Ttulo2"/>
        <w:numPr>
          <w:ilvl w:val="1"/>
          <w:numId w:val="1"/>
        </w:numPr>
        <w:rPr>
          <w:szCs w:val="28"/>
        </w:rPr>
      </w:pPr>
      <w:bookmarkStart w:id="30" w:name="_Toc168493563"/>
      <w:r>
        <w:rPr>
          <w:szCs w:val="28"/>
        </w:rPr>
        <w:t>Ajuste costos de arranque parada</w:t>
      </w:r>
      <w:bookmarkEnd w:id="30"/>
    </w:p>
    <w:p w14:paraId="05BB7872" w14:textId="6BFEC43A" w:rsidR="00737AEA" w:rsidRDefault="00737AEA" w:rsidP="0038050C">
      <w:pPr>
        <w:rPr>
          <w:szCs w:val="22"/>
        </w:rPr>
      </w:pPr>
      <w:r>
        <w:rPr>
          <w:rFonts w:cs="Arial"/>
          <w:szCs w:val="24"/>
        </w:rPr>
        <w:t xml:space="preserve">Para hacer una propuesta de ajuste </w:t>
      </w:r>
      <w:r w:rsidR="008C72F4">
        <w:rPr>
          <w:rFonts w:cs="Arial"/>
          <w:szCs w:val="24"/>
        </w:rPr>
        <w:t xml:space="preserve">a la forma de considerar los CAP en la liquidación de la reconciliación positiva y en el cálculo del </w:t>
      </w:r>
      <w:r w:rsidR="00304B3A">
        <w:rPr>
          <w:rFonts w:cs="Arial"/>
          <w:szCs w:val="22"/>
        </w:rPr>
        <w:t>Δ</w:t>
      </w:r>
      <w:r w:rsidR="00304B3A">
        <w:rPr>
          <w:szCs w:val="22"/>
        </w:rPr>
        <w:t xml:space="preserve">I que hace parte del precio de bolsa, </w:t>
      </w:r>
      <w:r w:rsidR="008A45A6">
        <w:rPr>
          <w:szCs w:val="22"/>
        </w:rPr>
        <w:t>vamos a</w:t>
      </w:r>
      <w:r w:rsidR="00304B3A">
        <w:rPr>
          <w:szCs w:val="22"/>
        </w:rPr>
        <w:t xml:space="preserve"> revisar los siguientes temas: i) la experiencia </w:t>
      </w:r>
      <w:r w:rsidR="002E312F">
        <w:rPr>
          <w:szCs w:val="22"/>
        </w:rPr>
        <w:t xml:space="preserve">en </w:t>
      </w:r>
      <w:r w:rsidR="00304B3A">
        <w:rPr>
          <w:szCs w:val="22"/>
        </w:rPr>
        <w:t xml:space="preserve">la aplicación del PCAP y Par en la liquidación de la reconciliación positiva, y </w:t>
      </w:r>
      <w:proofErr w:type="spellStart"/>
      <w:r w:rsidR="00304B3A">
        <w:rPr>
          <w:szCs w:val="22"/>
        </w:rPr>
        <w:t>ii</w:t>
      </w:r>
      <w:proofErr w:type="spellEnd"/>
      <w:r w:rsidR="00304B3A">
        <w:rPr>
          <w:szCs w:val="22"/>
        </w:rPr>
        <w:t xml:space="preserve">) </w:t>
      </w:r>
      <w:r w:rsidR="00974C91">
        <w:rPr>
          <w:szCs w:val="22"/>
        </w:rPr>
        <w:t xml:space="preserve">aplicación de la regla de remuneración </w:t>
      </w:r>
      <w:r w:rsidR="0052183D">
        <w:rPr>
          <w:szCs w:val="22"/>
        </w:rPr>
        <w:t xml:space="preserve">de los costos de arranque – parada efectivamente incurridos. </w:t>
      </w:r>
    </w:p>
    <w:p w14:paraId="7401E9D9" w14:textId="77777777" w:rsidR="008A45A6" w:rsidRDefault="008A45A6" w:rsidP="0038050C">
      <w:pPr>
        <w:rPr>
          <w:szCs w:val="22"/>
        </w:rPr>
      </w:pPr>
    </w:p>
    <w:p w14:paraId="189AAADD" w14:textId="2280FA88" w:rsidR="009A23E3" w:rsidRDefault="00021706" w:rsidP="009A23E3">
      <w:pPr>
        <w:pStyle w:val="Ttulo3"/>
      </w:pPr>
      <w:bookmarkStart w:id="31" w:name="_Ref142573183"/>
      <w:bookmarkStart w:id="32" w:name="_Ref142573421"/>
      <w:bookmarkStart w:id="33" w:name="_Toc168493564"/>
      <w:r>
        <w:t>Experiencia en la</w:t>
      </w:r>
      <w:r w:rsidR="002E312F">
        <w:t xml:space="preserve"> aplicación del PCAP y Par</w:t>
      </w:r>
      <w:bookmarkEnd w:id="31"/>
      <w:bookmarkEnd w:id="32"/>
      <w:bookmarkEnd w:id="33"/>
    </w:p>
    <w:p w14:paraId="3773E195" w14:textId="75BCFE14" w:rsidR="002E312F" w:rsidRDefault="002E312F" w:rsidP="002E312F">
      <w:pPr>
        <w:rPr>
          <w:lang w:val="es-ES"/>
        </w:rPr>
      </w:pPr>
      <w:r>
        <w:rPr>
          <w:lang w:val="es-ES"/>
        </w:rPr>
        <w:t xml:space="preserve">Para hacer la comparación del PCAP y Par </w:t>
      </w:r>
      <w:r w:rsidR="002014E5">
        <w:rPr>
          <w:lang w:val="es-ES"/>
        </w:rPr>
        <w:t>se solicitó la información de dichas variables a XM</w:t>
      </w:r>
      <w:r w:rsidR="001A1CEC">
        <w:rPr>
          <w:lang w:val="es-ES"/>
        </w:rPr>
        <w:t xml:space="preserve"> SA ESP (en adelante XM)</w:t>
      </w:r>
      <w:r w:rsidR="002014E5">
        <w:rPr>
          <w:lang w:val="es-ES"/>
        </w:rPr>
        <w:t>. Ahora bien, para hacer comparables</w:t>
      </w:r>
      <w:r w:rsidR="00F91A98">
        <w:rPr>
          <w:lang w:val="es-ES"/>
        </w:rPr>
        <w:t xml:space="preserve"> las cifras, para el caso de PCAP se pasaron los dólares de la fecha en que se hizo la primera declaración</w:t>
      </w:r>
      <w:r w:rsidR="005212A2">
        <w:rPr>
          <w:lang w:val="es-ES"/>
        </w:rPr>
        <w:t xml:space="preserve"> </w:t>
      </w:r>
      <w:r w:rsidR="005212A2">
        <w:rPr>
          <w:lang w:val="es-ES"/>
        </w:rPr>
        <w:lastRenderedPageBreak/>
        <w:t>a</w:t>
      </w:r>
      <w:r w:rsidR="00001136">
        <w:rPr>
          <w:lang w:val="es-ES"/>
        </w:rPr>
        <w:t xml:space="preserve"> USD de</w:t>
      </w:r>
      <w:r w:rsidR="005212A2">
        <w:rPr>
          <w:lang w:val="es-ES"/>
        </w:rPr>
        <w:t xml:space="preserve"> diciembre de 2022</w:t>
      </w:r>
      <w:r w:rsidR="00F91A98">
        <w:rPr>
          <w:lang w:val="es-ES"/>
        </w:rPr>
        <w:t xml:space="preserve"> con el IPP</w:t>
      </w:r>
      <w:r w:rsidR="005212A2">
        <w:rPr>
          <w:lang w:val="es-ES"/>
        </w:rPr>
        <w:t>.</w:t>
      </w:r>
      <w:r w:rsidR="004248A0">
        <w:rPr>
          <w:lang w:val="es-ES"/>
        </w:rPr>
        <w:t xml:space="preserve"> </w:t>
      </w:r>
      <w:r w:rsidR="0012009E">
        <w:rPr>
          <w:lang w:val="es-ES"/>
        </w:rPr>
        <w:t>Par</w:t>
      </w:r>
      <w:r w:rsidR="006F46BA">
        <w:rPr>
          <w:lang w:val="es-ES"/>
        </w:rPr>
        <w:t xml:space="preserve">a </w:t>
      </w:r>
      <w:r w:rsidR="004248A0">
        <w:rPr>
          <w:lang w:val="es-ES"/>
        </w:rPr>
        <w:t>el caso de Par</w:t>
      </w:r>
      <w:r w:rsidR="00E31109">
        <w:rPr>
          <w:rStyle w:val="Refdenotaalpie"/>
          <w:lang w:val="es-ES"/>
        </w:rPr>
        <w:footnoteReference w:id="5"/>
      </w:r>
      <w:r w:rsidR="004248A0">
        <w:rPr>
          <w:lang w:val="es-ES"/>
        </w:rPr>
        <w:t xml:space="preserve"> se tomó la declaración del primer trimestre de 2023.</w:t>
      </w:r>
    </w:p>
    <w:p w14:paraId="0ED37521" w14:textId="77777777" w:rsidR="00762879" w:rsidRDefault="00762879" w:rsidP="002E312F">
      <w:pPr>
        <w:rPr>
          <w:lang w:val="es-ES"/>
        </w:rPr>
      </w:pPr>
    </w:p>
    <w:p w14:paraId="1C536A8F" w14:textId="0D4E0865" w:rsidR="00762879" w:rsidRPr="002E312F" w:rsidRDefault="00762879" w:rsidP="002E312F">
      <w:pPr>
        <w:rPr>
          <w:lang w:val="es-ES"/>
        </w:rPr>
      </w:pPr>
      <w:r>
        <w:rPr>
          <w:lang w:val="es-ES"/>
        </w:rPr>
        <w:t xml:space="preserve">Para </w:t>
      </w:r>
      <w:r w:rsidR="00D156F4">
        <w:rPr>
          <w:lang w:val="es-ES"/>
        </w:rPr>
        <w:t xml:space="preserve">mostrar </w:t>
      </w:r>
      <w:r>
        <w:rPr>
          <w:lang w:val="es-ES"/>
        </w:rPr>
        <w:t xml:space="preserve">gráficamente los resultados, se </w:t>
      </w:r>
      <w:r w:rsidR="00B35B48">
        <w:rPr>
          <w:lang w:val="es-ES"/>
        </w:rPr>
        <w:t xml:space="preserve">agregaron </w:t>
      </w:r>
      <w:r>
        <w:rPr>
          <w:lang w:val="es-ES"/>
        </w:rPr>
        <w:t xml:space="preserve">por tres </w:t>
      </w:r>
      <w:r w:rsidR="00F87BB7">
        <w:rPr>
          <w:lang w:val="es-ES"/>
        </w:rPr>
        <w:t xml:space="preserve">grupos </w:t>
      </w:r>
      <w:r w:rsidR="00371617">
        <w:rPr>
          <w:lang w:val="es-ES"/>
        </w:rPr>
        <w:t xml:space="preserve">de tecnologías: </w:t>
      </w:r>
      <w:r w:rsidR="001071FD">
        <w:rPr>
          <w:lang w:val="es-ES"/>
        </w:rPr>
        <w:fldChar w:fldCharType="begin"/>
      </w:r>
      <w:r w:rsidR="001071FD">
        <w:rPr>
          <w:lang w:val="es-ES"/>
        </w:rPr>
        <w:instrText xml:space="preserve"> REF _Ref142572962 \h  \* MERGEFORMAT </w:instrText>
      </w:r>
      <w:r w:rsidR="001071FD">
        <w:rPr>
          <w:lang w:val="es-ES"/>
        </w:rPr>
      </w:r>
      <w:r w:rsidR="001071FD">
        <w:rPr>
          <w:lang w:val="es-ES"/>
        </w:rPr>
        <w:fldChar w:fldCharType="separate"/>
      </w:r>
      <w:r w:rsidR="00CB0CB3" w:rsidRPr="00CB0CB3">
        <w:rPr>
          <w:lang w:val="es-ES"/>
        </w:rPr>
        <w:t>Ilustración 4</w:t>
      </w:r>
      <w:r w:rsidR="001071FD">
        <w:rPr>
          <w:lang w:val="es-ES"/>
        </w:rPr>
        <w:fldChar w:fldCharType="end"/>
      </w:r>
      <w:r w:rsidR="00921DC8">
        <w:rPr>
          <w:lang w:val="es-ES"/>
        </w:rPr>
        <w:t xml:space="preserve">– plantas </w:t>
      </w:r>
      <w:r w:rsidR="00371617">
        <w:rPr>
          <w:lang w:val="es-ES"/>
        </w:rPr>
        <w:t>ciclo</w:t>
      </w:r>
      <w:r w:rsidR="00DA4E16">
        <w:rPr>
          <w:lang w:val="es-ES"/>
        </w:rPr>
        <w:t>s</w:t>
      </w:r>
      <w:r w:rsidR="00371617">
        <w:rPr>
          <w:lang w:val="es-ES"/>
        </w:rPr>
        <w:t xml:space="preserve"> combinados, </w:t>
      </w:r>
      <w:r w:rsidR="001071FD">
        <w:rPr>
          <w:lang w:val="es-ES"/>
        </w:rPr>
        <w:fldChar w:fldCharType="begin"/>
      </w:r>
      <w:r w:rsidR="001071FD">
        <w:rPr>
          <w:lang w:val="es-ES"/>
        </w:rPr>
        <w:instrText xml:space="preserve"> REF _Ref142572982 \h  \* MERGEFORMAT </w:instrText>
      </w:r>
      <w:r w:rsidR="001071FD">
        <w:rPr>
          <w:lang w:val="es-ES"/>
        </w:rPr>
      </w:r>
      <w:r w:rsidR="001071FD">
        <w:rPr>
          <w:lang w:val="es-ES"/>
        </w:rPr>
        <w:fldChar w:fldCharType="separate"/>
      </w:r>
      <w:r w:rsidR="00CB0CB3" w:rsidRPr="00CB0CB3">
        <w:rPr>
          <w:lang w:val="es-ES"/>
        </w:rPr>
        <w:t>Ilustración 5</w:t>
      </w:r>
      <w:r w:rsidR="001071FD">
        <w:rPr>
          <w:lang w:val="es-ES"/>
        </w:rPr>
        <w:fldChar w:fldCharType="end"/>
      </w:r>
      <w:r w:rsidR="009F0FD0">
        <w:rPr>
          <w:lang w:val="es-ES"/>
        </w:rPr>
        <w:t xml:space="preserve">– plantas </w:t>
      </w:r>
      <w:r w:rsidR="00371617">
        <w:rPr>
          <w:lang w:val="es-ES"/>
        </w:rPr>
        <w:t>ciclos simples ca</w:t>
      </w:r>
      <w:r w:rsidR="00227411">
        <w:rPr>
          <w:lang w:val="es-ES"/>
        </w:rPr>
        <w:t>r</w:t>
      </w:r>
      <w:r w:rsidR="00371617">
        <w:rPr>
          <w:lang w:val="es-ES"/>
        </w:rPr>
        <w:t xml:space="preserve">bón </w:t>
      </w:r>
      <w:r w:rsidR="009F0FD0">
        <w:rPr>
          <w:lang w:val="es-ES"/>
        </w:rPr>
        <w:t xml:space="preserve">e </w:t>
      </w:r>
      <w:r w:rsidR="001071FD">
        <w:rPr>
          <w:lang w:val="es-ES"/>
        </w:rPr>
        <w:fldChar w:fldCharType="begin"/>
      </w:r>
      <w:r w:rsidR="001071FD">
        <w:rPr>
          <w:lang w:val="es-ES"/>
        </w:rPr>
        <w:instrText xml:space="preserve"> REF _Ref142572990 \h  \* MERGEFORMAT </w:instrText>
      </w:r>
      <w:r w:rsidR="001071FD">
        <w:rPr>
          <w:lang w:val="es-ES"/>
        </w:rPr>
      </w:r>
      <w:r w:rsidR="001071FD">
        <w:rPr>
          <w:lang w:val="es-ES"/>
        </w:rPr>
        <w:fldChar w:fldCharType="separate"/>
      </w:r>
      <w:r w:rsidR="00CB0CB3" w:rsidRPr="00CB0CB3">
        <w:rPr>
          <w:lang w:val="es-ES"/>
        </w:rPr>
        <w:t>Ilustración 6</w:t>
      </w:r>
      <w:r w:rsidR="001071FD">
        <w:rPr>
          <w:lang w:val="es-ES"/>
        </w:rPr>
        <w:fldChar w:fldCharType="end"/>
      </w:r>
      <w:r w:rsidR="001071FD">
        <w:rPr>
          <w:lang w:val="es-ES"/>
        </w:rPr>
        <w:t>–</w:t>
      </w:r>
      <w:r w:rsidR="009F0FD0">
        <w:rPr>
          <w:lang w:val="es-ES"/>
        </w:rPr>
        <w:t xml:space="preserve"> plantas</w:t>
      </w:r>
      <w:r w:rsidR="00371617">
        <w:rPr>
          <w:lang w:val="es-ES"/>
        </w:rPr>
        <w:t xml:space="preserve"> </w:t>
      </w:r>
      <w:r w:rsidR="00227411">
        <w:rPr>
          <w:lang w:val="es-ES"/>
        </w:rPr>
        <w:t xml:space="preserve">ciclos simples restantes. </w:t>
      </w:r>
      <w:r>
        <w:rPr>
          <w:lang w:val="es-ES"/>
        </w:rPr>
        <w:t xml:space="preserve"> </w:t>
      </w:r>
    </w:p>
    <w:p w14:paraId="2925034D" w14:textId="77777777" w:rsidR="009A23E3" w:rsidRDefault="009A23E3" w:rsidP="0038050C">
      <w:pPr>
        <w:rPr>
          <w:szCs w:val="22"/>
        </w:rPr>
      </w:pPr>
    </w:p>
    <w:p w14:paraId="123948AD" w14:textId="429E85D0" w:rsidR="008A45A6" w:rsidRDefault="001B18C4" w:rsidP="0038050C">
      <w:pPr>
        <w:rPr>
          <w:rFonts w:cs="Arial"/>
          <w:szCs w:val="24"/>
        </w:rPr>
      </w:pPr>
      <w:r w:rsidRPr="001B18C4">
        <w:rPr>
          <w:rFonts w:cs="Arial"/>
          <w:noProof/>
          <w:szCs w:val="24"/>
        </w:rPr>
        <w:drawing>
          <wp:inline distT="0" distB="0" distL="0" distR="0" wp14:anchorId="56804431" wp14:editId="0728DA59">
            <wp:extent cx="5972810" cy="2028190"/>
            <wp:effectExtent l="0" t="0" r="8890" b="0"/>
            <wp:docPr id="373275236" name="Graphic 373275236">
              <a:extLst xmlns:a="http://schemas.openxmlformats.org/drawingml/2006/main">
                <a:ext uri="{FF2B5EF4-FFF2-40B4-BE49-F238E27FC236}">
                  <a16:creationId xmlns:a16="http://schemas.microsoft.com/office/drawing/2014/main" id="{3F619542-B43F-0A8B-0C79-2693BE56DD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áfico 2">
                      <a:extLst>
                        <a:ext uri="{FF2B5EF4-FFF2-40B4-BE49-F238E27FC236}">
                          <a16:creationId xmlns:a16="http://schemas.microsoft.com/office/drawing/2014/main" id="{3F619542-B43F-0A8B-0C79-2693BE56DDBA}"/>
                        </a:ext>
                      </a:extLst>
                    </pic:cNvPr>
                    <pic:cNvPicPr>
                      <a:picLocks noChangeAspect="1"/>
                    </pic:cNvPicPr>
                  </pic:nvPicPr>
                  <pic:blipFill>
                    <a:blip r:embed="rId21">
                      <a:extLst>
                        <a:ext uri="{96DAC541-7B7A-43D3-8B79-37D633B846F1}">
                          <asvg:svgBlip xmlns:asvg="http://schemas.microsoft.com/office/drawing/2016/SVG/main" r:embed="rId22"/>
                        </a:ext>
                      </a:extLst>
                    </a:blip>
                    <a:stretch>
                      <a:fillRect/>
                    </a:stretch>
                  </pic:blipFill>
                  <pic:spPr>
                    <a:xfrm>
                      <a:off x="0" y="0"/>
                      <a:ext cx="5972810" cy="2028190"/>
                    </a:xfrm>
                    <a:prstGeom prst="rect">
                      <a:avLst/>
                    </a:prstGeom>
                  </pic:spPr>
                </pic:pic>
              </a:graphicData>
            </a:graphic>
          </wp:inline>
        </w:drawing>
      </w:r>
    </w:p>
    <w:p w14:paraId="0D09EF8C" w14:textId="77777777" w:rsidR="006C0CA7" w:rsidRDefault="006C0CA7" w:rsidP="0038050C">
      <w:pPr>
        <w:rPr>
          <w:rFonts w:cs="Arial"/>
          <w:szCs w:val="24"/>
        </w:rPr>
      </w:pPr>
    </w:p>
    <w:p w14:paraId="1B4B3A85" w14:textId="67760A82" w:rsidR="006C0CA7" w:rsidRPr="00E50F6A" w:rsidRDefault="006C0CA7" w:rsidP="00E50F6A">
      <w:pPr>
        <w:pStyle w:val="Descripcin"/>
        <w:jc w:val="center"/>
        <w:rPr>
          <w:rFonts w:cs="Arial"/>
          <w:sz w:val="20"/>
          <w:szCs w:val="28"/>
        </w:rPr>
      </w:pPr>
      <w:bookmarkStart w:id="34" w:name="_Ref142572962"/>
      <w:bookmarkStart w:id="35" w:name="_Toc168493578"/>
      <w:r w:rsidRPr="00E50F6A">
        <w:rPr>
          <w:sz w:val="20"/>
          <w:szCs w:val="20"/>
        </w:rPr>
        <w:t xml:space="preserve">Ilustración </w:t>
      </w:r>
      <w:r w:rsidRPr="00E50F6A">
        <w:rPr>
          <w:sz w:val="20"/>
          <w:szCs w:val="20"/>
        </w:rPr>
        <w:fldChar w:fldCharType="begin"/>
      </w:r>
      <w:r w:rsidRPr="00E50F6A">
        <w:rPr>
          <w:sz w:val="20"/>
          <w:szCs w:val="20"/>
        </w:rPr>
        <w:instrText xml:space="preserve"> SEQ Ilustración \* ARABIC </w:instrText>
      </w:r>
      <w:r w:rsidRPr="00E50F6A">
        <w:rPr>
          <w:sz w:val="20"/>
          <w:szCs w:val="20"/>
        </w:rPr>
        <w:fldChar w:fldCharType="separate"/>
      </w:r>
      <w:r w:rsidR="00CB0CB3">
        <w:rPr>
          <w:noProof/>
          <w:sz w:val="20"/>
          <w:szCs w:val="20"/>
        </w:rPr>
        <w:t>4</w:t>
      </w:r>
      <w:r w:rsidRPr="00E50F6A">
        <w:rPr>
          <w:sz w:val="20"/>
          <w:szCs w:val="20"/>
        </w:rPr>
        <w:fldChar w:fldCharType="end"/>
      </w:r>
      <w:bookmarkEnd w:id="34"/>
      <w:r w:rsidRPr="00E50F6A">
        <w:rPr>
          <w:sz w:val="20"/>
          <w:szCs w:val="20"/>
        </w:rPr>
        <w:t>. Comparación PCAP y Par plantas ciclo combinado con</w:t>
      </w:r>
      <w:r w:rsidR="00E50F6A" w:rsidRPr="00E50F6A">
        <w:rPr>
          <w:sz w:val="20"/>
          <w:szCs w:val="20"/>
        </w:rPr>
        <w:t>figuración 1</w:t>
      </w:r>
      <w:bookmarkEnd w:id="35"/>
    </w:p>
    <w:p w14:paraId="527C655A" w14:textId="77777777" w:rsidR="00737AEA" w:rsidRDefault="00737AEA" w:rsidP="0038050C">
      <w:pPr>
        <w:rPr>
          <w:rFonts w:cs="Arial"/>
          <w:szCs w:val="24"/>
        </w:rPr>
      </w:pPr>
    </w:p>
    <w:p w14:paraId="50515459" w14:textId="3373C65E" w:rsidR="00737AEA" w:rsidRDefault="001B18C4" w:rsidP="0038050C">
      <w:pPr>
        <w:rPr>
          <w:rFonts w:cs="Arial"/>
          <w:szCs w:val="24"/>
        </w:rPr>
      </w:pPr>
      <w:r w:rsidRPr="001B18C4">
        <w:rPr>
          <w:rFonts w:cs="Arial"/>
          <w:noProof/>
          <w:szCs w:val="24"/>
        </w:rPr>
        <w:drawing>
          <wp:inline distT="0" distB="0" distL="0" distR="0" wp14:anchorId="7B8DCBA0" wp14:editId="63DE714F">
            <wp:extent cx="5972810" cy="2027555"/>
            <wp:effectExtent l="0" t="0" r="8890" b="0"/>
            <wp:docPr id="1923360626" name="Graphic 1923360626">
              <a:extLst xmlns:a="http://schemas.openxmlformats.org/drawingml/2006/main">
                <a:ext uri="{FF2B5EF4-FFF2-40B4-BE49-F238E27FC236}">
                  <a16:creationId xmlns:a16="http://schemas.microsoft.com/office/drawing/2014/main" id="{6BC3AE60-09D0-F4DD-03DF-0090528090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áfico 2">
                      <a:extLst>
                        <a:ext uri="{FF2B5EF4-FFF2-40B4-BE49-F238E27FC236}">
                          <a16:creationId xmlns:a16="http://schemas.microsoft.com/office/drawing/2014/main" id="{6BC3AE60-09D0-F4DD-03DF-00905280900E}"/>
                        </a:ext>
                      </a:extLst>
                    </pic:cNvPr>
                    <pic:cNvPicPr>
                      <a:picLocks noChangeAspect="1"/>
                    </pic:cNvPicPr>
                  </pic:nvPicPr>
                  <pic:blipFill>
                    <a:blip r:embed="rId23">
                      <a:extLst>
                        <a:ext uri="{96DAC541-7B7A-43D3-8B79-37D633B846F1}">
                          <asvg:svgBlip xmlns:asvg="http://schemas.microsoft.com/office/drawing/2016/SVG/main" r:embed="rId24"/>
                        </a:ext>
                      </a:extLst>
                    </a:blip>
                    <a:stretch>
                      <a:fillRect/>
                    </a:stretch>
                  </pic:blipFill>
                  <pic:spPr>
                    <a:xfrm>
                      <a:off x="0" y="0"/>
                      <a:ext cx="5972810" cy="2027555"/>
                    </a:xfrm>
                    <a:prstGeom prst="rect">
                      <a:avLst/>
                    </a:prstGeom>
                  </pic:spPr>
                </pic:pic>
              </a:graphicData>
            </a:graphic>
          </wp:inline>
        </w:drawing>
      </w:r>
    </w:p>
    <w:p w14:paraId="16EA4581" w14:textId="77777777" w:rsidR="00E50F6A" w:rsidRDefault="00E50F6A" w:rsidP="0038050C">
      <w:pPr>
        <w:rPr>
          <w:rFonts w:cs="Arial"/>
          <w:szCs w:val="24"/>
        </w:rPr>
      </w:pPr>
    </w:p>
    <w:p w14:paraId="2826A0BE" w14:textId="0737017D" w:rsidR="00E50F6A" w:rsidRDefault="001B18C4" w:rsidP="001B18C4">
      <w:pPr>
        <w:pStyle w:val="Descripcin"/>
        <w:jc w:val="center"/>
        <w:rPr>
          <w:sz w:val="20"/>
          <w:szCs w:val="20"/>
        </w:rPr>
      </w:pPr>
      <w:bookmarkStart w:id="36" w:name="_Ref142572982"/>
      <w:bookmarkStart w:id="37" w:name="_Toc168493579"/>
      <w:r w:rsidRPr="001B18C4">
        <w:rPr>
          <w:sz w:val="20"/>
          <w:szCs w:val="20"/>
        </w:rPr>
        <w:t xml:space="preserve">Ilustración </w:t>
      </w:r>
      <w:r w:rsidRPr="001B18C4">
        <w:rPr>
          <w:sz w:val="20"/>
          <w:szCs w:val="20"/>
        </w:rPr>
        <w:fldChar w:fldCharType="begin"/>
      </w:r>
      <w:r w:rsidRPr="001B18C4">
        <w:rPr>
          <w:sz w:val="20"/>
          <w:szCs w:val="20"/>
        </w:rPr>
        <w:instrText xml:space="preserve"> SEQ Ilustración \* ARABIC </w:instrText>
      </w:r>
      <w:r w:rsidRPr="001B18C4">
        <w:rPr>
          <w:sz w:val="20"/>
          <w:szCs w:val="20"/>
        </w:rPr>
        <w:fldChar w:fldCharType="separate"/>
      </w:r>
      <w:r w:rsidR="00CB0CB3">
        <w:rPr>
          <w:noProof/>
          <w:sz w:val="20"/>
          <w:szCs w:val="20"/>
        </w:rPr>
        <w:t>5</w:t>
      </w:r>
      <w:r w:rsidRPr="001B18C4">
        <w:rPr>
          <w:sz w:val="20"/>
          <w:szCs w:val="20"/>
        </w:rPr>
        <w:fldChar w:fldCharType="end"/>
      </w:r>
      <w:bookmarkEnd w:id="36"/>
      <w:r w:rsidRPr="001B18C4">
        <w:rPr>
          <w:sz w:val="20"/>
          <w:szCs w:val="20"/>
        </w:rPr>
        <w:t>. Comparación PCAP y Par plantas de ciclo simple carbón</w:t>
      </w:r>
      <w:bookmarkEnd w:id="37"/>
    </w:p>
    <w:p w14:paraId="4BE7C9AB" w14:textId="77777777" w:rsidR="001B18C4" w:rsidRDefault="001B18C4" w:rsidP="001B18C4"/>
    <w:p w14:paraId="5F71DECB" w14:textId="77777777" w:rsidR="001B18C4" w:rsidRDefault="001B18C4" w:rsidP="001B18C4"/>
    <w:p w14:paraId="0C57C949" w14:textId="6158939F" w:rsidR="001B18C4" w:rsidRDefault="00E66C0C" w:rsidP="001B18C4">
      <w:r w:rsidRPr="00E66C0C">
        <w:rPr>
          <w:noProof/>
        </w:rPr>
        <w:lastRenderedPageBreak/>
        <w:drawing>
          <wp:inline distT="0" distB="0" distL="0" distR="0" wp14:anchorId="1E243652" wp14:editId="42618EB2">
            <wp:extent cx="5972810" cy="2027555"/>
            <wp:effectExtent l="0" t="0" r="8890" b="0"/>
            <wp:docPr id="6" name="Graphic 6">
              <a:extLst xmlns:a="http://schemas.openxmlformats.org/drawingml/2006/main">
                <a:ext uri="{FF2B5EF4-FFF2-40B4-BE49-F238E27FC236}">
                  <a16:creationId xmlns:a16="http://schemas.microsoft.com/office/drawing/2014/main" id="{90052E1E-0845-8ABC-E098-2FE7965D69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áfico 5">
                      <a:extLst>
                        <a:ext uri="{FF2B5EF4-FFF2-40B4-BE49-F238E27FC236}">
                          <a16:creationId xmlns:a16="http://schemas.microsoft.com/office/drawing/2014/main" id="{90052E1E-0845-8ABC-E098-2FE7965D690D}"/>
                        </a:ext>
                      </a:extLst>
                    </pic:cNvPr>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a:off x="0" y="0"/>
                      <a:ext cx="5972810" cy="2027555"/>
                    </a:xfrm>
                    <a:prstGeom prst="rect">
                      <a:avLst/>
                    </a:prstGeom>
                  </pic:spPr>
                </pic:pic>
              </a:graphicData>
            </a:graphic>
          </wp:inline>
        </w:drawing>
      </w:r>
    </w:p>
    <w:p w14:paraId="5AF10DE3" w14:textId="77777777" w:rsidR="00E66C0C" w:rsidRDefault="00E66C0C" w:rsidP="001B18C4"/>
    <w:p w14:paraId="5D9DFF87" w14:textId="60C8EC6F" w:rsidR="00E66C0C" w:rsidRPr="0075118C" w:rsidRDefault="00E66C0C" w:rsidP="0075118C">
      <w:pPr>
        <w:pStyle w:val="Descripcin"/>
        <w:jc w:val="center"/>
        <w:rPr>
          <w:sz w:val="20"/>
          <w:szCs w:val="20"/>
        </w:rPr>
      </w:pPr>
      <w:bookmarkStart w:id="38" w:name="_Ref142572990"/>
      <w:bookmarkStart w:id="39" w:name="_Toc168493580"/>
      <w:r w:rsidRPr="0075118C">
        <w:rPr>
          <w:sz w:val="20"/>
          <w:szCs w:val="20"/>
        </w:rPr>
        <w:t xml:space="preserve">Ilustración </w:t>
      </w:r>
      <w:r w:rsidRPr="0075118C">
        <w:rPr>
          <w:sz w:val="20"/>
          <w:szCs w:val="20"/>
        </w:rPr>
        <w:fldChar w:fldCharType="begin"/>
      </w:r>
      <w:r w:rsidRPr="0075118C">
        <w:rPr>
          <w:sz w:val="20"/>
          <w:szCs w:val="20"/>
        </w:rPr>
        <w:instrText xml:space="preserve"> SEQ Ilustración \* ARABIC </w:instrText>
      </w:r>
      <w:r w:rsidRPr="0075118C">
        <w:rPr>
          <w:sz w:val="20"/>
          <w:szCs w:val="20"/>
        </w:rPr>
        <w:fldChar w:fldCharType="separate"/>
      </w:r>
      <w:r w:rsidR="00CB0CB3">
        <w:rPr>
          <w:noProof/>
          <w:sz w:val="20"/>
          <w:szCs w:val="20"/>
        </w:rPr>
        <w:t>6</w:t>
      </w:r>
      <w:r w:rsidRPr="0075118C">
        <w:rPr>
          <w:sz w:val="20"/>
          <w:szCs w:val="20"/>
        </w:rPr>
        <w:fldChar w:fldCharType="end"/>
      </w:r>
      <w:bookmarkEnd w:id="38"/>
      <w:r w:rsidRPr="0075118C">
        <w:rPr>
          <w:sz w:val="20"/>
          <w:szCs w:val="20"/>
        </w:rPr>
        <w:t xml:space="preserve">. Plantas </w:t>
      </w:r>
      <w:r w:rsidR="0075118C" w:rsidRPr="0075118C">
        <w:rPr>
          <w:sz w:val="20"/>
          <w:szCs w:val="20"/>
        </w:rPr>
        <w:t>ciclo simple restantes</w:t>
      </w:r>
      <w:bookmarkEnd w:id="39"/>
    </w:p>
    <w:p w14:paraId="6B671AA7" w14:textId="77777777" w:rsidR="001B18C4" w:rsidRDefault="001B18C4" w:rsidP="001B18C4"/>
    <w:p w14:paraId="72A0B06E" w14:textId="5B25C4DA" w:rsidR="001B18C4" w:rsidRDefault="006439D6" w:rsidP="001B18C4">
      <w:r>
        <w:t xml:space="preserve">De acuerdo con las ilustraciones anteriores podemos resumir </w:t>
      </w:r>
      <w:r w:rsidR="006A3E04">
        <w:t>los resultados en lo siguiente:</w:t>
      </w:r>
    </w:p>
    <w:p w14:paraId="6F818875" w14:textId="77777777" w:rsidR="006A3E04" w:rsidRDefault="006A3E04" w:rsidP="001B18C4"/>
    <w:p w14:paraId="22FE47EA" w14:textId="47BF402C" w:rsidR="006A3E04" w:rsidRDefault="006A3E04" w:rsidP="006A3E04">
      <w:pPr>
        <w:pStyle w:val="Prrafodelista"/>
        <w:numPr>
          <w:ilvl w:val="0"/>
          <w:numId w:val="34"/>
        </w:numPr>
      </w:pPr>
      <w:r>
        <w:t>Plantas de ciclo combinado. De las 7 plantas analizadas</w:t>
      </w:r>
      <w:r w:rsidR="00AD6F5E">
        <w:t>, en 5 plantas el PCAP es mayor que el Par</w:t>
      </w:r>
      <w:r w:rsidR="00537A07">
        <w:t>. S</w:t>
      </w:r>
      <w:r w:rsidR="00A552A7">
        <w:t>e desta</w:t>
      </w:r>
      <w:r w:rsidR="009C0C39">
        <w:t xml:space="preserve">ca </w:t>
      </w:r>
      <w:r w:rsidR="00537A07">
        <w:t xml:space="preserve">la diferencia en </w:t>
      </w:r>
      <w:r w:rsidR="00252950">
        <w:t xml:space="preserve">los casos de </w:t>
      </w:r>
      <w:r w:rsidR="00537A07">
        <w:t>3 plantas.</w:t>
      </w:r>
    </w:p>
    <w:p w14:paraId="2175DBA8" w14:textId="77777777" w:rsidR="00537A07" w:rsidRDefault="00537A07" w:rsidP="00537A07"/>
    <w:p w14:paraId="47CB7DAB" w14:textId="14ADC225" w:rsidR="00537A07" w:rsidRDefault="00FD1C46" w:rsidP="006A3E04">
      <w:pPr>
        <w:pStyle w:val="Prrafodelista"/>
        <w:numPr>
          <w:ilvl w:val="0"/>
          <w:numId w:val="34"/>
        </w:numPr>
      </w:pPr>
      <w:r>
        <w:t xml:space="preserve">Plantas de ciclo simple carbón. </w:t>
      </w:r>
      <w:r w:rsidR="00E411C6">
        <w:t xml:space="preserve">En todas las 14 plantas </w:t>
      </w:r>
      <w:r w:rsidR="00E20B55">
        <w:t>analizadas el PCAP es mayor que el Par</w:t>
      </w:r>
      <w:r w:rsidR="00803E16">
        <w:t>. S</w:t>
      </w:r>
      <w:r w:rsidR="00B532AD">
        <w:t>in embargo</w:t>
      </w:r>
      <w:r w:rsidR="009A4AB3">
        <w:t>,</w:t>
      </w:r>
      <w:r w:rsidR="00B532AD">
        <w:t xml:space="preserve"> los valores son comparables en 8 plantas y </w:t>
      </w:r>
      <w:r w:rsidR="00803E16">
        <w:t>en 6 plantas</w:t>
      </w:r>
      <w:r w:rsidR="00484581">
        <w:t xml:space="preserve"> </w:t>
      </w:r>
      <w:r w:rsidR="005B12AD">
        <w:t xml:space="preserve">se destaca </w:t>
      </w:r>
      <w:r w:rsidR="003F488B">
        <w:t>la diferencia</w:t>
      </w:r>
      <w:r w:rsidR="00803E16">
        <w:t>.</w:t>
      </w:r>
    </w:p>
    <w:p w14:paraId="7549C94C" w14:textId="77777777" w:rsidR="00803E16" w:rsidRDefault="00803E16" w:rsidP="00803E16">
      <w:pPr>
        <w:pStyle w:val="Prrafodelista"/>
      </w:pPr>
    </w:p>
    <w:p w14:paraId="192681AF" w14:textId="6827A6FD" w:rsidR="00803E16" w:rsidRDefault="009A4AB3" w:rsidP="006A3E04">
      <w:pPr>
        <w:pStyle w:val="Prrafodelista"/>
        <w:numPr>
          <w:ilvl w:val="0"/>
          <w:numId w:val="34"/>
        </w:numPr>
      </w:pPr>
      <w:r>
        <w:t xml:space="preserve">Plantas de ciclo simple restantes. En las 10 plantas </w:t>
      </w:r>
      <w:r w:rsidR="00D54B87">
        <w:t>analizadas los valores de PCAP y Par son similares</w:t>
      </w:r>
      <w:r w:rsidR="007303C2">
        <w:t xml:space="preserve">, excepto en una planta en donde el Par es </w:t>
      </w:r>
      <w:r w:rsidR="00882D96">
        <w:t xml:space="preserve">mayor que el </w:t>
      </w:r>
      <w:r w:rsidR="0013643F">
        <w:t>PCAP</w:t>
      </w:r>
      <w:r w:rsidR="007303C2">
        <w:t>.</w:t>
      </w:r>
    </w:p>
    <w:p w14:paraId="52805B5F" w14:textId="77777777" w:rsidR="007303C2" w:rsidRDefault="007303C2" w:rsidP="007303C2">
      <w:pPr>
        <w:pStyle w:val="Prrafodelista"/>
      </w:pPr>
    </w:p>
    <w:p w14:paraId="307A72CD" w14:textId="77777777" w:rsidR="00D346C6" w:rsidRDefault="00D346C6" w:rsidP="007303C2">
      <w:pPr>
        <w:pStyle w:val="Prrafodelista"/>
      </w:pPr>
    </w:p>
    <w:p w14:paraId="7B3C81E6" w14:textId="7833274B" w:rsidR="0013643F" w:rsidRDefault="0013643F" w:rsidP="0013643F">
      <w:pPr>
        <w:pStyle w:val="Ttulo3"/>
      </w:pPr>
      <w:bookmarkStart w:id="40" w:name="_Ref142573185"/>
      <w:bookmarkStart w:id="41" w:name="_Toc168493565"/>
      <w:r>
        <w:t xml:space="preserve">Aplicación de </w:t>
      </w:r>
      <w:r w:rsidR="00577A5C">
        <w:t>pago de CAP efectivamente incurridos</w:t>
      </w:r>
      <w:bookmarkEnd w:id="40"/>
      <w:bookmarkEnd w:id="41"/>
    </w:p>
    <w:p w14:paraId="4046E952" w14:textId="748EFE3D" w:rsidR="00E36607" w:rsidRDefault="00AB165E" w:rsidP="0038050C">
      <w:pPr>
        <w:rPr>
          <w:rFonts w:cs="Arial"/>
          <w:szCs w:val="24"/>
        </w:rPr>
      </w:pPr>
      <w:r>
        <w:rPr>
          <w:rFonts w:cs="Arial"/>
          <w:szCs w:val="24"/>
        </w:rPr>
        <w:t xml:space="preserve">Teniendo en cuenta el </w:t>
      </w:r>
      <w:r w:rsidR="006859BF">
        <w:rPr>
          <w:rFonts w:cs="Arial"/>
          <w:szCs w:val="24"/>
        </w:rPr>
        <w:t xml:space="preserve">lineamiento dado por el </w:t>
      </w:r>
      <w:r w:rsidR="00BC7D1B">
        <w:rPr>
          <w:rFonts w:cs="Arial"/>
          <w:szCs w:val="24"/>
        </w:rPr>
        <w:t xml:space="preserve">literal a) artículo 8 del </w:t>
      </w:r>
      <w:r w:rsidR="006859BF">
        <w:rPr>
          <w:rFonts w:cs="Arial"/>
          <w:szCs w:val="24"/>
        </w:rPr>
        <w:t xml:space="preserve">Decreto 929 de 2023, sobre solo remunerar los arranques – parada que se hayan dado en la operación real, </w:t>
      </w:r>
      <w:r w:rsidR="00577A5C">
        <w:rPr>
          <w:rFonts w:cs="Arial"/>
          <w:szCs w:val="24"/>
        </w:rPr>
        <w:t xml:space="preserve">en la </w:t>
      </w:r>
      <w:r w:rsidR="009F4874">
        <w:rPr>
          <w:rFonts w:cs="Arial"/>
          <w:szCs w:val="24"/>
        </w:rPr>
        <w:fldChar w:fldCharType="begin"/>
      </w:r>
      <w:r w:rsidR="009F4874">
        <w:rPr>
          <w:rFonts w:cs="Arial"/>
          <w:szCs w:val="24"/>
        </w:rPr>
        <w:instrText xml:space="preserve"> REF _Ref142573105 \h  \* MERGEFORMAT </w:instrText>
      </w:r>
      <w:r w:rsidR="009F4874">
        <w:rPr>
          <w:rFonts w:cs="Arial"/>
          <w:szCs w:val="24"/>
        </w:rPr>
      </w:r>
      <w:r w:rsidR="009F4874">
        <w:rPr>
          <w:rFonts w:cs="Arial"/>
          <w:szCs w:val="24"/>
        </w:rPr>
        <w:fldChar w:fldCharType="separate"/>
      </w:r>
      <w:r w:rsidR="00CB0CB3" w:rsidRPr="00CB0CB3">
        <w:rPr>
          <w:rFonts w:cs="Arial"/>
          <w:szCs w:val="24"/>
        </w:rPr>
        <w:t>Tabla 3</w:t>
      </w:r>
      <w:r w:rsidR="009F4874">
        <w:rPr>
          <w:rFonts w:cs="Arial"/>
          <w:szCs w:val="24"/>
        </w:rPr>
        <w:fldChar w:fldCharType="end"/>
      </w:r>
      <w:r w:rsidR="00A242AF">
        <w:rPr>
          <w:rFonts w:cs="Arial"/>
          <w:szCs w:val="24"/>
        </w:rPr>
        <w:t xml:space="preserve"> </w:t>
      </w:r>
      <w:r w:rsidR="00577A5C">
        <w:rPr>
          <w:rFonts w:cs="Arial"/>
          <w:szCs w:val="24"/>
        </w:rPr>
        <w:t xml:space="preserve">se hace un análisis de las situaciones que se pueden presentar </w:t>
      </w:r>
      <w:r w:rsidR="00013173">
        <w:rPr>
          <w:rFonts w:cs="Arial"/>
          <w:szCs w:val="24"/>
        </w:rPr>
        <w:t xml:space="preserve">en </w:t>
      </w:r>
      <w:r w:rsidR="00DB4F19">
        <w:rPr>
          <w:rFonts w:cs="Arial"/>
          <w:szCs w:val="24"/>
        </w:rPr>
        <w:t>una</w:t>
      </w:r>
      <w:r w:rsidR="00013173">
        <w:rPr>
          <w:rFonts w:cs="Arial"/>
          <w:szCs w:val="24"/>
        </w:rPr>
        <w:t xml:space="preserve"> </w:t>
      </w:r>
      <w:r w:rsidR="00722ACE">
        <w:rPr>
          <w:rFonts w:cs="Arial"/>
          <w:szCs w:val="24"/>
        </w:rPr>
        <w:t>planta que sale en despacho real y/o despacho ideal</w:t>
      </w:r>
      <w:r w:rsidR="00565B15">
        <w:rPr>
          <w:rFonts w:cs="Arial"/>
          <w:szCs w:val="24"/>
        </w:rPr>
        <w:t>. Además, aplicando la directriz del decreto se define el mecanismo de remuneración.</w:t>
      </w:r>
    </w:p>
    <w:p w14:paraId="075DA6AC" w14:textId="77777777" w:rsidR="00107A15" w:rsidRDefault="00107A15" w:rsidP="0038050C">
      <w:pPr>
        <w:rPr>
          <w:rFonts w:cs="Arial"/>
          <w:szCs w:val="24"/>
        </w:rPr>
      </w:pPr>
    </w:p>
    <w:p w14:paraId="74119BB8" w14:textId="35195672" w:rsidR="00107A15" w:rsidRDefault="00107A15" w:rsidP="0038050C">
      <w:pPr>
        <w:rPr>
          <w:rFonts w:cs="Arial"/>
          <w:szCs w:val="24"/>
        </w:rPr>
      </w:pPr>
      <w:r>
        <w:rPr>
          <w:rFonts w:cs="Arial"/>
          <w:szCs w:val="24"/>
        </w:rPr>
        <w:t xml:space="preserve">Para tener los casos posibles, se hace la evaluación para una planta térmica que </w:t>
      </w:r>
      <w:r w:rsidR="0081024B">
        <w:rPr>
          <w:rFonts w:cs="Arial"/>
          <w:szCs w:val="24"/>
        </w:rPr>
        <w:t>es requerida bien sea en el período de la mañana y/o en el período de la tarde</w:t>
      </w:r>
      <w:r w:rsidR="006C15E6">
        <w:rPr>
          <w:rFonts w:cs="Arial"/>
          <w:szCs w:val="24"/>
        </w:rPr>
        <w:t xml:space="preserve">, tal como se presenta en la </w:t>
      </w:r>
      <w:r w:rsidR="001071FD">
        <w:rPr>
          <w:rFonts w:cs="Arial"/>
          <w:szCs w:val="24"/>
        </w:rPr>
        <w:fldChar w:fldCharType="begin"/>
      </w:r>
      <w:r w:rsidR="001071FD">
        <w:rPr>
          <w:rFonts w:cs="Arial"/>
          <w:szCs w:val="24"/>
        </w:rPr>
        <w:instrText xml:space="preserve"> REF _Ref142573049 \h  \* MERGEFORMAT </w:instrText>
      </w:r>
      <w:r w:rsidR="001071FD">
        <w:rPr>
          <w:rFonts w:cs="Arial"/>
          <w:szCs w:val="24"/>
        </w:rPr>
      </w:r>
      <w:r w:rsidR="001071FD">
        <w:rPr>
          <w:rFonts w:cs="Arial"/>
          <w:szCs w:val="24"/>
        </w:rPr>
        <w:fldChar w:fldCharType="separate"/>
      </w:r>
      <w:r w:rsidR="00CB0CB3" w:rsidRPr="00CB0CB3">
        <w:rPr>
          <w:rFonts w:cs="Arial"/>
          <w:szCs w:val="24"/>
        </w:rPr>
        <w:t>Ilustración 7</w:t>
      </w:r>
      <w:r w:rsidR="001071FD">
        <w:rPr>
          <w:rFonts w:cs="Arial"/>
          <w:szCs w:val="24"/>
        </w:rPr>
        <w:fldChar w:fldCharType="end"/>
      </w:r>
      <w:r w:rsidR="006C15E6">
        <w:rPr>
          <w:rFonts w:cs="Arial"/>
          <w:szCs w:val="24"/>
        </w:rPr>
        <w:t>.</w:t>
      </w:r>
    </w:p>
    <w:p w14:paraId="2B8E57DF" w14:textId="77777777" w:rsidR="0019207F" w:rsidRDefault="0019207F" w:rsidP="0038050C">
      <w:pPr>
        <w:rPr>
          <w:rFonts w:cs="Arial"/>
          <w:szCs w:val="24"/>
        </w:rPr>
      </w:pPr>
    </w:p>
    <w:p w14:paraId="05FE3A54" w14:textId="77777777" w:rsidR="0019207F" w:rsidRDefault="0019207F" w:rsidP="0038050C">
      <w:pPr>
        <w:rPr>
          <w:rFonts w:cs="Arial"/>
          <w:szCs w:val="24"/>
        </w:rPr>
      </w:pPr>
    </w:p>
    <w:p w14:paraId="410D384B" w14:textId="77777777" w:rsidR="006C15E6" w:rsidRDefault="006C15E6" w:rsidP="0038050C">
      <w:pPr>
        <w:rPr>
          <w:rFonts w:cs="Arial"/>
          <w:szCs w:val="24"/>
        </w:rPr>
      </w:pPr>
    </w:p>
    <w:p w14:paraId="23A5D428" w14:textId="59842BF7" w:rsidR="006C15E6" w:rsidRPr="00C562ED" w:rsidRDefault="00547F13" w:rsidP="00547F13">
      <w:pPr>
        <w:jc w:val="center"/>
        <w:rPr>
          <w:rFonts w:cs="Arial"/>
          <w:szCs w:val="24"/>
        </w:rPr>
      </w:pPr>
      <w:r w:rsidRPr="00547F13">
        <w:rPr>
          <w:rFonts w:cs="Arial"/>
          <w:noProof/>
          <w:szCs w:val="24"/>
        </w:rPr>
        <w:lastRenderedPageBreak/>
        <w:drawing>
          <wp:inline distT="0" distB="0" distL="0" distR="0" wp14:anchorId="3E979B4A" wp14:editId="2F5BB3ED">
            <wp:extent cx="4084320" cy="1694346"/>
            <wp:effectExtent l="0" t="0" r="0" b="1270"/>
            <wp:docPr id="1618601346" name="Graphic 161860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601346"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4095429" cy="1698954"/>
                    </a:xfrm>
                    <a:prstGeom prst="rect">
                      <a:avLst/>
                    </a:prstGeom>
                  </pic:spPr>
                </pic:pic>
              </a:graphicData>
            </a:graphic>
          </wp:inline>
        </w:drawing>
      </w:r>
    </w:p>
    <w:p w14:paraId="7C73EFBF" w14:textId="77777777" w:rsidR="003B21DC" w:rsidRPr="00C562ED" w:rsidRDefault="003B21DC" w:rsidP="003B21DC">
      <w:pPr>
        <w:rPr>
          <w:rFonts w:cs="Arial"/>
          <w:szCs w:val="24"/>
        </w:rPr>
      </w:pPr>
    </w:p>
    <w:p w14:paraId="01104DE0" w14:textId="13E6D45F" w:rsidR="006C7AE5" w:rsidRPr="002B1360" w:rsidRDefault="00547F13" w:rsidP="002B1360">
      <w:pPr>
        <w:pStyle w:val="Descripcin"/>
        <w:jc w:val="center"/>
        <w:rPr>
          <w:rFonts w:cs="Arial"/>
          <w:sz w:val="20"/>
          <w:szCs w:val="28"/>
        </w:rPr>
      </w:pPr>
      <w:bookmarkStart w:id="42" w:name="_Ref142573049"/>
      <w:bookmarkStart w:id="43" w:name="_Toc168493581"/>
      <w:r w:rsidRPr="002B1360">
        <w:rPr>
          <w:sz w:val="20"/>
          <w:szCs w:val="20"/>
        </w:rPr>
        <w:t xml:space="preserve">Ilustración </w:t>
      </w:r>
      <w:r w:rsidRPr="002B1360">
        <w:rPr>
          <w:sz w:val="20"/>
          <w:szCs w:val="20"/>
        </w:rPr>
        <w:fldChar w:fldCharType="begin"/>
      </w:r>
      <w:r w:rsidRPr="002B1360">
        <w:rPr>
          <w:sz w:val="20"/>
          <w:szCs w:val="20"/>
        </w:rPr>
        <w:instrText xml:space="preserve"> SEQ Ilustración \* ARABIC </w:instrText>
      </w:r>
      <w:r w:rsidRPr="002B1360">
        <w:rPr>
          <w:sz w:val="20"/>
          <w:szCs w:val="20"/>
        </w:rPr>
        <w:fldChar w:fldCharType="separate"/>
      </w:r>
      <w:r w:rsidR="00CB0CB3">
        <w:rPr>
          <w:noProof/>
          <w:sz w:val="20"/>
          <w:szCs w:val="20"/>
        </w:rPr>
        <w:t>7</w:t>
      </w:r>
      <w:r w:rsidRPr="002B1360">
        <w:rPr>
          <w:sz w:val="20"/>
          <w:szCs w:val="20"/>
        </w:rPr>
        <w:fldChar w:fldCharType="end"/>
      </w:r>
      <w:bookmarkEnd w:id="42"/>
      <w:r w:rsidRPr="002B1360">
        <w:rPr>
          <w:sz w:val="20"/>
          <w:szCs w:val="20"/>
        </w:rPr>
        <w:t>. Períodos de análisis</w:t>
      </w:r>
      <w:r w:rsidR="002B1360" w:rsidRPr="002B1360">
        <w:rPr>
          <w:sz w:val="20"/>
          <w:szCs w:val="20"/>
        </w:rPr>
        <w:t>: mañana y tarde</w:t>
      </w:r>
      <w:bookmarkEnd w:id="43"/>
    </w:p>
    <w:p w14:paraId="04397FA2" w14:textId="77777777" w:rsidR="00B70E48" w:rsidRDefault="00B70E48" w:rsidP="002B1360">
      <w:pPr>
        <w:rPr>
          <w:rFonts w:cs="Arial"/>
          <w:szCs w:val="24"/>
        </w:rPr>
      </w:pPr>
    </w:p>
    <w:p w14:paraId="521B316E" w14:textId="2D8A1E1A" w:rsidR="002B1360" w:rsidRDefault="00FF4B4E" w:rsidP="002B1360">
      <w:pPr>
        <w:rPr>
          <w:rFonts w:cs="Arial"/>
          <w:szCs w:val="24"/>
        </w:rPr>
      </w:pPr>
      <w:r>
        <w:rPr>
          <w:rFonts w:cs="Arial"/>
          <w:szCs w:val="24"/>
        </w:rPr>
        <w:t xml:space="preserve">En la </w:t>
      </w:r>
      <w:r w:rsidR="0086598F">
        <w:rPr>
          <w:rFonts w:cs="Arial"/>
          <w:szCs w:val="24"/>
        </w:rPr>
        <w:fldChar w:fldCharType="begin"/>
      </w:r>
      <w:r w:rsidR="0086598F">
        <w:rPr>
          <w:rFonts w:cs="Arial"/>
          <w:szCs w:val="24"/>
        </w:rPr>
        <w:instrText xml:space="preserve"> REF _Ref142573105 \h  \* MERGEFORMAT </w:instrText>
      </w:r>
      <w:r w:rsidR="0086598F">
        <w:rPr>
          <w:rFonts w:cs="Arial"/>
          <w:szCs w:val="24"/>
        </w:rPr>
      </w:r>
      <w:r w:rsidR="0086598F">
        <w:rPr>
          <w:rFonts w:cs="Arial"/>
          <w:szCs w:val="24"/>
        </w:rPr>
        <w:fldChar w:fldCharType="separate"/>
      </w:r>
      <w:r w:rsidR="00CB0CB3" w:rsidRPr="00CB0CB3">
        <w:rPr>
          <w:rFonts w:cs="Arial"/>
          <w:szCs w:val="24"/>
        </w:rPr>
        <w:t>Tabla 3</w:t>
      </w:r>
      <w:r w:rsidR="0086598F">
        <w:rPr>
          <w:rFonts w:cs="Arial"/>
          <w:szCs w:val="24"/>
        </w:rPr>
        <w:fldChar w:fldCharType="end"/>
      </w:r>
      <w:r>
        <w:rPr>
          <w:rFonts w:cs="Arial"/>
          <w:szCs w:val="24"/>
        </w:rPr>
        <w:t xml:space="preserve">, se presenta el mecanismo </w:t>
      </w:r>
      <w:r w:rsidR="00AF6CC8">
        <w:rPr>
          <w:rFonts w:cs="Arial"/>
          <w:szCs w:val="24"/>
        </w:rPr>
        <w:t xml:space="preserve">propuesto </w:t>
      </w:r>
      <w:r>
        <w:rPr>
          <w:rFonts w:cs="Arial"/>
          <w:szCs w:val="24"/>
        </w:rPr>
        <w:t>de remuneración para cada uno de los seis casos identificados para dar cumplimiento al decreto</w:t>
      </w:r>
      <w:r w:rsidR="00AF6CC8">
        <w:rPr>
          <w:rFonts w:cs="Arial"/>
          <w:szCs w:val="24"/>
        </w:rPr>
        <w:t xml:space="preserve">, comparando lo que aplica actualmente </w:t>
      </w:r>
      <w:r w:rsidR="006F22ED">
        <w:rPr>
          <w:rFonts w:cs="Arial"/>
          <w:szCs w:val="24"/>
        </w:rPr>
        <w:t xml:space="preserve">contra lo que se </w:t>
      </w:r>
      <w:r w:rsidR="004713C7">
        <w:rPr>
          <w:rFonts w:cs="Arial"/>
          <w:szCs w:val="24"/>
        </w:rPr>
        <w:t>propondría debe operar</w:t>
      </w:r>
      <w:r>
        <w:rPr>
          <w:rFonts w:cs="Arial"/>
          <w:szCs w:val="24"/>
        </w:rPr>
        <w:t>.</w:t>
      </w:r>
      <w:r w:rsidR="004F7154">
        <w:rPr>
          <w:rFonts w:cs="Arial"/>
          <w:szCs w:val="24"/>
        </w:rPr>
        <w:t xml:space="preserve"> Para entendimiento del cuadro el color </w:t>
      </w:r>
      <w:r w:rsidR="007135C6">
        <w:rPr>
          <w:rFonts w:cs="Arial"/>
          <w:szCs w:val="24"/>
        </w:rPr>
        <w:t xml:space="preserve">rojo sígnica que no se </w:t>
      </w:r>
      <w:r w:rsidR="006C0E45">
        <w:rPr>
          <w:rFonts w:cs="Arial"/>
          <w:szCs w:val="24"/>
        </w:rPr>
        <w:t xml:space="preserve">debe </w:t>
      </w:r>
      <w:r w:rsidR="007135C6">
        <w:rPr>
          <w:rFonts w:cs="Arial"/>
          <w:szCs w:val="24"/>
        </w:rPr>
        <w:t>remunera</w:t>
      </w:r>
      <w:r w:rsidR="006C0E45">
        <w:rPr>
          <w:rFonts w:cs="Arial"/>
          <w:szCs w:val="24"/>
        </w:rPr>
        <w:t>r</w:t>
      </w:r>
      <w:r w:rsidR="007135C6">
        <w:rPr>
          <w:rFonts w:cs="Arial"/>
          <w:szCs w:val="24"/>
        </w:rPr>
        <w:t xml:space="preserve"> y el color verde significa que se remunera.</w:t>
      </w:r>
    </w:p>
    <w:p w14:paraId="575AE85A" w14:textId="77777777" w:rsidR="0019207F" w:rsidRDefault="0019207F" w:rsidP="002B1360">
      <w:pPr>
        <w:rPr>
          <w:rFonts w:cs="Arial"/>
          <w:szCs w:val="24"/>
        </w:rPr>
      </w:pPr>
    </w:p>
    <w:p w14:paraId="59BD0FD7" w14:textId="543AD415" w:rsidR="00FF4B4E" w:rsidRDefault="00AF6CC8" w:rsidP="001944FF">
      <w:pPr>
        <w:jc w:val="center"/>
        <w:rPr>
          <w:rFonts w:cs="Arial"/>
          <w:szCs w:val="24"/>
        </w:rPr>
      </w:pPr>
      <w:r w:rsidRPr="00AF6CC8">
        <w:rPr>
          <w:rFonts w:cs="Arial"/>
          <w:noProof/>
          <w:szCs w:val="24"/>
        </w:rPr>
        <w:drawing>
          <wp:inline distT="0" distB="0" distL="0" distR="0" wp14:anchorId="2A5E5EC9" wp14:editId="0166FF78">
            <wp:extent cx="5358390" cy="3388513"/>
            <wp:effectExtent l="0" t="0" r="0" b="2540"/>
            <wp:docPr id="1202438370" name="Picture 1202438370">
              <a:extLst xmlns:a="http://schemas.openxmlformats.org/drawingml/2006/main">
                <a:ext uri="{FF2B5EF4-FFF2-40B4-BE49-F238E27FC236}">
                  <a16:creationId xmlns:a16="http://schemas.microsoft.com/office/drawing/2014/main" id="{FC1E0C9B-33C4-DA7E-521E-34723947D7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FC1E0C9B-33C4-DA7E-521E-34723947D7D1}"/>
                        </a:ext>
                      </a:extLst>
                    </pic:cNvPr>
                    <pic:cNvPicPr>
                      <a:picLocks noChangeAspect="1"/>
                    </pic:cNvPicPr>
                  </pic:nvPicPr>
                  <pic:blipFill>
                    <a:blip r:embed="rId29"/>
                    <a:stretch>
                      <a:fillRect/>
                    </a:stretch>
                  </pic:blipFill>
                  <pic:spPr>
                    <a:xfrm>
                      <a:off x="0" y="0"/>
                      <a:ext cx="5358390" cy="3388513"/>
                    </a:xfrm>
                    <a:prstGeom prst="rect">
                      <a:avLst/>
                    </a:prstGeom>
                  </pic:spPr>
                </pic:pic>
              </a:graphicData>
            </a:graphic>
          </wp:inline>
        </w:drawing>
      </w:r>
    </w:p>
    <w:p w14:paraId="285CE6A2" w14:textId="77777777" w:rsidR="001944FF" w:rsidRDefault="001944FF" w:rsidP="001944FF">
      <w:pPr>
        <w:jc w:val="center"/>
        <w:rPr>
          <w:rFonts w:cs="Arial"/>
          <w:szCs w:val="24"/>
        </w:rPr>
      </w:pPr>
    </w:p>
    <w:p w14:paraId="590A7617" w14:textId="1A0C01CD" w:rsidR="001944FF" w:rsidRPr="001944FF" w:rsidRDefault="001944FF" w:rsidP="001944FF">
      <w:pPr>
        <w:pStyle w:val="Descripcin"/>
        <w:jc w:val="center"/>
        <w:rPr>
          <w:rFonts w:cs="Arial"/>
          <w:sz w:val="20"/>
          <w:szCs w:val="28"/>
        </w:rPr>
      </w:pPr>
      <w:bookmarkStart w:id="44" w:name="_Ref142573105"/>
      <w:bookmarkStart w:id="45" w:name="_Toc168493584"/>
      <w:r w:rsidRPr="001944FF">
        <w:rPr>
          <w:sz w:val="20"/>
          <w:szCs w:val="20"/>
        </w:rPr>
        <w:t xml:space="preserve">Tabla </w:t>
      </w:r>
      <w:r w:rsidRPr="001944FF">
        <w:rPr>
          <w:sz w:val="20"/>
          <w:szCs w:val="20"/>
        </w:rPr>
        <w:fldChar w:fldCharType="begin"/>
      </w:r>
      <w:r w:rsidRPr="001944FF">
        <w:rPr>
          <w:sz w:val="20"/>
          <w:szCs w:val="20"/>
        </w:rPr>
        <w:instrText xml:space="preserve"> SEQ Tabla \* ARABIC </w:instrText>
      </w:r>
      <w:r w:rsidRPr="001944FF">
        <w:rPr>
          <w:sz w:val="20"/>
          <w:szCs w:val="20"/>
        </w:rPr>
        <w:fldChar w:fldCharType="separate"/>
      </w:r>
      <w:r w:rsidR="00CB0CB3">
        <w:rPr>
          <w:noProof/>
          <w:sz w:val="20"/>
          <w:szCs w:val="20"/>
        </w:rPr>
        <w:t>3</w:t>
      </w:r>
      <w:r w:rsidRPr="001944FF">
        <w:rPr>
          <w:sz w:val="20"/>
          <w:szCs w:val="20"/>
        </w:rPr>
        <w:fldChar w:fldCharType="end"/>
      </w:r>
      <w:bookmarkEnd w:id="44"/>
      <w:r w:rsidRPr="001944FF">
        <w:rPr>
          <w:sz w:val="20"/>
          <w:szCs w:val="20"/>
        </w:rPr>
        <w:t>. Esquema de remuneración para dar cumplimiento al decreto</w:t>
      </w:r>
      <w:bookmarkEnd w:id="45"/>
    </w:p>
    <w:p w14:paraId="42BA3A86" w14:textId="77777777" w:rsidR="004C02DA" w:rsidRDefault="004C02DA" w:rsidP="001944FF">
      <w:pPr>
        <w:rPr>
          <w:rFonts w:cs="Arial"/>
          <w:szCs w:val="24"/>
        </w:rPr>
      </w:pPr>
    </w:p>
    <w:p w14:paraId="252DC171" w14:textId="3A4D4E1B" w:rsidR="000956A0" w:rsidRDefault="000956A0" w:rsidP="001944FF">
      <w:pPr>
        <w:rPr>
          <w:rFonts w:cs="Arial"/>
          <w:szCs w:val="24"/>
        </w:rPr>
      </w:pPr>
      <w:r>
        <w:rPr>
          <w:rFonts w:cs="Arial"/>
          <w:szCs w:val="24"/>
        </w:rPr>
        <w:t>De acuerdo con lo anterior, podemos concluir lo siguiente:</w:t>
      </w:r>
    </w:p>
    <w:p w14:paraId="7C338BC0" w14:textId="77777777" w:rsidR="000956A0" w:rsidRDefault="000956A0" w:rsidP="001944FF">
      <w:pPr>
        <w:rPr>
          <w:rFonts w:cs="Arial"/>
          <w:szCs w:val="24"/>
        </w:rPr>
      </w:pPr>
    </w:p>
    <w:p w14:paraId="754B4405" w14:textId="59B96BC2" w:rsidR="000956A0" w:rsidRDefault="00ED5F75" w:rsidP="000956A0">
      <w:pPr>
        <w:pStyle w:val="Prrafodelista"/>
        <w:numPr>
          <w:ilvl w:val="0"/>
          <w:numId w:val="34"/>
        </w:numPr>
        <w:rPr>
          <w:rFonts w:cs="Arial"/>
          <w:szCs w:val="24"/>
        </w:rPr>
      </w:pPr>
      <w:r>
        <w:rPr>
          <w:rFonts w:cs="Arial"/>
          <w:szCs w:val="24"/>
        </w:rPr>
        <w:t xml:space="preserve">Por reconciliación positiva se deben pagar todos aquellos arranques-paradas que se den en </w:t>
      </w:r>
      <w:r w:rsidR="009E7F1A">
        <w:rPr>
          <w:rFonts w:cs="Arial"/>
          <w:szCs w:val="24"/>
        </w:rPr>
        <w:t>el despacho real</w:t>
      </w:r>
      <w:r w:rsidR="00E20EA9">
        <w:rPr>
          <w:rFonts w:cs="Arial"/>
          <w:szCs w:val="24"/>
        </w:rPr>
        <w:t xml:space="preserve">, con excepción del arranque-parada que se de en el </w:t>
      </w:r>
      <w:r w:rsidR="00E20EA9">
        <w:rPr>
          <w:rFonts w:cs="Arial"/>
          <w:szCs w:val="24"/>
        </w:rPr>
        <w:lastRenderedPageBreak/>
        <w:t>despacho ideal y el despacho real</w:t>
      </w:r>
      <w:r w:rsidR="00E9033B">
        <w:rPr>
          <w:rFonts w:cs="Arial"/>
          <w:szCs w:val="24"/>
        </w:rPr>
        <w:t xml:space="preserve">, </w:t>
      </w:r>
      <w:r w:rsidR="00EC4441">
        <w:rPr>
          <w:rFonts w:cs="Arial"/>
          <w:szCs w:val="24"/>
        </w:rPr>
        <w:t xml:space="preserve">el cual </w:t>
      </w:r>
      <w:r w:rsidR="00E9033B">
        <w:rPr>
          <w:rFonts w:cs="Arial"/>
          <w:szCs w:val="24"/>
        </w:rPr>
        <w:t xml:space="preserve">quedará remunerado </w:t>
      </w:r>
      <w:r w:rsidR="001650C8">
        <w:rPr>
          <w:rFonts w:cs="Arial"/>
          <w:szCs w:val="24"/>
        </w:rPr>
        <w:t xml:space="preserve">en la liquidación del precio de bolsa, </w:t>
      </w:r>
      <w:r w:rsidR="008A626C">
        <w:rPr>
          <w:rFonts w:cs="Arial"/>
          <w:szCs w:val="24"/>
        </w:rPr>
        <w:t xml:space="preserve">con el </w:t>
      </w:r>
      <w:r w:rsidR="00DD4D0B">
        <w:rPr>
          <w:rFonts w:cs="Arial"/>
          <w:szCs w:val="24"/>
        </w:rPr>
        <w:t>∆I cuando se cumpla la regla de dicha variable.</w:t>
      </w:r>
    </w:p>
    <w:p w14:paraId="3B234CF1" w14:textId="77777777" w:rsidR="00DD4D0B" w:rsidRPr="00DD4D0B" w:rsidRDefault="00DD4D0B" w:rsidP="00DD4D0B">
      <w:pPr>
        <w:rPr>
          <w:rFonts w:cs="Arial"/>
          <w:szCs w:val="24"/>
        </w:rPr>
      </w:pPr>
    </w:p>
    <w:p w14:paraId="63D3F08C" w14:textId="211F33B4" w:rsidR="005213B0" w:rsidRPr="000956A0" w:rsidRDefault="005213B0" w:rsidP="000956A0">
      <w:pPr>
        <w:pStyle w:val="Prrafodelista"/>
        <w:numPr>
          <w:ilvl w:val="0"/>
          <w:numId w:val="34"/>
        </w:numPr>
        <w:rPr>
          <w:rFonts w:cs="Arial"/>
          <w:szCs w:val="24"/>
        </w:rPr>
      </w:pPr>
      <w:r>
        <w:rPr>
          <w:rFonts w:cs="Arial"/>
          <w:szCs w:val="24"/>
        </w:rPr>
        <w:t xml:space="preserve">Si el arranque-parada solo </w:t>
      </w:r>
      <w:r w:rsidR="009B1CAD">
        <w:rPr>
          <w:rFonts w:cs="Arial"/>
          <w:szCs w:val="24"/>
        </w:rPr>
        <w:t>se da en</w:t>
      </w:r>
      <w:r w:rsidR="003D2D7D">
        <w:rPr>
          <w:rFonts w:cs="Arial"/>
          <w:szCs w:val="24"/>
        </w:rPr>
        <w:t xml:space="preserve"> el despacho ideal</w:t>
      </w:r>
      <w:r w:rsidR="009B1CAD">
        <w:rPr>
          <w:rFonts w:cs="Arial"/>
          <w:szCs w:val="24"/>
        </w:rPr>
        <w:t>, entonces</w:t>
      </w:r>
      <w:r w:rsidR="003D2D7D">
        <w:rPr>
          <w:rFonts w:cs="Arial"/>
          <w:szCs w:val="24"/>
        </w:rPr>
        <w:t xml:space="preserve"> no se incluirá en la estimación del ∆I.</w:t>
      </w:r>
    </w:p>
    <w:p w14:paraId="0FDE0389" w14:textId="77777777" w:rsidR="001944FF" w:rsidRPr="00C562ED" w:rsidRDefault="001944FF" w:rsidP="001944FF">
      <w:pPr>
        <w:rPr>
          <w:rFonts w:cs="Arial"/>
          <w:szCs w:val="24"/>
        </w:rPr>
      </w:pPr>
    </w:p>
    <w:p w14:paraId="3EE8C7C0" w14:textId="1A18B252" w:rsidR="004F54DE" w:rsidRDefault="004F54DE" w:rsidP="0038050C">
      <w:pPr>
        <w:rPr>
          <w:szCs w:val="21"/>
        </w:rPr>
      </w:pPr>
    </w:p>
    <w:p w14:paraId="4375621A" w14:textId="54F07B51" w:rsidR="00F945EE" w:rsidRDefault="00F945EE" w:rsidP="00F945EE">
      <w:pPr>
        <w:pStyle w:val="Ttulo3"/>
      </w:pPr>
      <w:bookmarkStart w:id="46" w:name="_Toc168493566"/>
      <w:r>
        <w:t>Propuesta</w:t>
      </w:r>
      <w:bookmarkEnd w:id="46"/>
    </w:p>
    <w:p w14:paraId="2B27251E" w14:textId="76959CDA" w:rsidR="004D3383" w:rsidRDefault="00F945EE" w:rsidP="0038050C">
      <w:pPr>
        <w:rPr>
          <w:szCs w:val="21"/>
          <w:lang w:val="es-ES"/>
        </w:rPr>
      </w:pPr>
      <w:r>
        <w:rPr>
          <w:szCs w:val="21"/>
          <w:lang w:val="es-ES"/>
        </w:rPr>
        <w:t xml:space="preserve">Teniendo en cuenta </w:t>
      </w:r>
      <w:r w:rsidR="009A0974">
        <w:rPr>
          <w:szCs w:val="21"/>
          <w:lang w:val="es-ES"/>
        </w:rPr>
        <w:t xml:space="preserve">los análisis de los numerales </w:t>
      </w:r>
      <w:r w:rsidR="004369E4">
        <w:rPr>
          <w:szCs w:val="21"/>
          <w:lang w:val="es-ES"/>
        </w:rPr>
        <w:fldChar w:fldCharType="begin"/>
      </w:r>
      <w:r w:rsidR="004369E4">
        <w:rPr>
          <w:szCs w:val="21"/>
          <w:lang w:val="es-ES"/>
        </w:rPr>
        <w:instrText xml:space="preserve"> REF _Ref142573173 \r \h </w:instrText>
      </w:r>
      <w:r w:rsidR="004369E4">
        <w:rPr>
          <w:szCs w:val="21"/>
          <w:lang w:val="es-ES"/>
        </w:rPr>
      </w:r>
      <w:r w:rsidR="004369E4">
        <w:rPr>
          <w:szCs w:val="21"/>
          <w:lang w:val="es-ES"/>
        </w:rPr>
        <w:fldChar w:fldCharType="separate"/>
      </w:r>
      <w:r w:rsidR="00CB0CB3">
        <w:rPr>
          <w:szCs w:val="21"/>
          <w:lang w:val="es-ES"/>
        </w:rPr>
        <w:t>2.1</w:t>
      </w:r>
      <w:r w:rsidR="004369E4">
        <w:rPr>
          <w:szCs w:val="21"/>
          <w:lang w:val="es-ES"/>
        </w:rPr>
        <w:fldChar w:fldCharType="end"/>
      </w:r>
      <w:r w:rsidR="0022064B">
        <w:rPr>
          <w:szCs w:val="21"/>
          <w:lang w:val="es-ES"/>
        </w:rPr>
        <w:t xml:space="preserve">, </w:t>
      </w:r>
      <w:r w:rsidR="004369E4">
        <w:rPr>
          <w:szCs w:val="21"/>
          <w:lang w:val="es-ES"/>
        </w:rPr>
        <w:fldChar w:fldCharType="begin"/>
      </w:r>
      <w:r w:rsidR="004369E4">
        <w:rPr>
          <w:szCs w:val="21"/>
          <w:lang w:val="es-ES"/>
        </w:rPr>
        <w:instrText xml:space="preserve"> REF _Ref142573176 \r \h </w:instrText>
      </w:r>
      <w:r w:rsidR="004369E4">
        <w:rPr>
          <w:szCs w:val="21"/>
          <w:lang w:val="es-ES"/>
        </w:rPr>
      </w:r>
      <w:r w:rsidR="004369E4">
        <w:rPr>
          <w:szCs w:val="21"/>
          <w:lang w:val="es-ES"/>
        </w:rPr>
        <w:fldChar w:fldCharType="separate"/>
      </w:r>
      <w:r w:rsidR="00CB0CB3">
        <w:rPr>
          <w:szCs w:val="21"/>
          <w:lang w:val="es-ES"/>
        </w:rPr>
        <w:t>2.2</w:t>
      </w:r>
      <w:r w:rsidR="004369E4">
        <w:rPr>
          <w:szCs w:val="21"/>
          <w:lang w:val="es-ES"/>
        </w:rPr>
        <w:fldChar w:fldCharType="end"/>
      </w:r>
      <w:r w:rsidR="0022064B">
        <w:rPr>
          <w:szCs w:val="21"/>
          <w:lang w:val="es-ES"/>
        </w:rPr>
        <w:t xml:space="preserve">, </w:t>
      </w:r>
      <w:r w:rsidR="004369E4">
        <w:rPr>
          <w:szCs w:val="21"/>
          <w:lang w:val="es-ES"/>
        </w:rPr>
        <w:fldChar w:fldCharType="begin"/>
      </w:r>
      <w:r w:rsidR="004369E4">
        <w:rPr>
          <w:szCs w:val="21"/>
          <w:lang w:val="es-ES"/>
        </w:rPr>
        <w:instrText xml:space="preserve"> REF _Ref142573183 \r \h </w:instrText>
      </w:r>
      <w:r w:rsidR="004369E4">
        <w:rPr>
          <w:szCs w:val="21"/>
          <w:lang w:val="es-ES"/>
        </w:rPr>
      </w:r>
      <w:r w:rsidR="004369E4">
        <w:rPr>
          <w:szCs w:val="21"/>
          <w:lang w:val="es-ES"/>
        </w:rPr>
        <w:fldChar w:fldCharType="separate"/>
      </w:r>
      <w:r w:rsidR="00CB0CB3">
        <w:rPr>
          <w:szCs w:val="21"/>
          <w:lang w:val="es-ES"/>
        </w:rPr>
        <w:t>5.2.1</w:t>
      </w:r>
      <w:r w:rsidR="004369E4">
        <w:rPr>
          <w:szCs w:val="21"/>
          <w:lang w:val="es-ES"/>
        </w:rPr>
        <w:fldChar w:fldCharType="end"/>
      </w:r>
      <w:r w:rsidR="0022064B">
        <w:rPr>
          <w:szCs w:val="21"/>
          <w:lang w:val="es-ES"/>
        </w:rPr>
        <w:t xml:space="preserve"> y </w:t>
      </w:r>
      <w:r w:rsidR="004369E4">
        <w:rPr>
          <w:szCs w:val="21"/>
          <w:lang w:val="es-ES"/>
        </w:rPr>
        <w:fldChar w:fldCharType="begin"/>
      </w:r>
      <w:r w:rsidR="004369E4">
        <w:rPr>
          <w:szCs w:val="21"/>
          <w:lang w:val="es-ES"/>
        </w:rPr>
        <w:instrText xml:space="preserve"> REF _Ref142573185 \r \h </w:instrText>
      </w:r>
      <w:r w:rsidR="004369E4">
        <w:rPr>
          <w:szCs w:val="21"/>
          <w:lang w:val="es-ES"/>
        </w:rPr>
      </w:r>
      <w:r w:rsidR="004369E4">
        <w:rPr>
          <w:szCs w:val="21"/>
          <w:lang w:val="es-ES"/>
        </w:rPr>
        <w:fldChar w:fldCharType="separate"/>
      </w:r>
      <w:r w:rsidR="00CB0CB3">
        <w:rPr>
          <w:szCs w:val="21"/>
          <w:lang w:val="es-ES"/>
        </w:rPr>
        <w:t>5.2.2</w:t>
      </w:r>
      <w:r w:rsidR="004369E4">
        <w:rPr>
          <w:szCs w:val="21"/>
          <w:lang w:val="es-ES"/>
        </w:rPr>
        <w:fldChar w:fldCharType="end"/>
      </w:r>
      <w:r w:rsidR="004369E4">
        <w:rPr>
          <w:szCs w:val="21"/>
          <w:lang w:val="es-ES"/>
        </w:rPr>
        <w:t xml:space="preserve"> </w:t>
      </w:r>
      <w:r w:rsidR="009A0974">
        <w:rPr>
          <w:szCs w:val="21"/>
          <w:lang w:val="es-ES"/>
        </w:rPr>
        <w:t>se recomienda</w:t>
      </w:r>
      <w:r w:rsidR="0022064B">
        <w:rPr>
          <w:szCs w:val="21"/>
          <w:lang w:val="es-ES"/>
        </w:rPr>
        <w:t>n</w:t>
      </w:r>
      <w:r w:rsidR="009A0974">
        <w:rPr>
          <w:szCs w:val="21"/>
          <w:lang w:val="es-ES"/>
        </w:rPr>
        <w:t xml:space="preserve"> los siguientes ajustes:</w:t>
      </w:r>
    </w:p>
    <w:p w14:paraId="1E34AFA7" w14:textId="77777777" w:rsidR="009A0974" w:rsidRDefault="009A0974" w:rsidP="0038050C">
      <w:pPr>
        <w:rPr>
          <w:szCs w:val="21"/>
          <w:lang w:val="es-ES"/>
        </w:rPr>
      </w:pPr>
    </w:p>
    <w:p w14:paraId="42F867D1" w14:textId="6215163E" w:rsidR="009A0974" w:rsidRDefault="005401D6" w:rsidP="005401D6">
      <w:pPr>
        <w:pStyle w:val="Prrafodelista"/>
        <w:numPr>
          <w:ilvl w:val="0"/>
          <w:numId w:val="35"/>
        </w:numPr>
        <w:rPr>
          <w:szCs w:val="21"/>
          <w:lang w:val="es-ES"/>
        </w:rPr>
      </w:pPr>
      <w:r>
        <w:rPr>
          <w:szCs w:val="21"/>
          <w:lang w:val="es-ES"/>
        </w:rPr>
        <w:t xml:space="preserve">Los CAP que se deben considerar en la reconciliación positiva </w:t>
      </w:r>
      <w:r w:rsidR="0056291F">
        <w:rPr>
          <w:szCs w:val="21"/>
          <w:lang w:val="es-ES"/>
        </w:rPr>
        <w:t xml:space="preserve">deben corresponder a la configuración utilizada, </w:t>
      </w:r>
      <w:r w:rsidR="00863907">
        <w:rPr>
          <w:szCs w:val="21"/>
          <w:lang w:val="es-ES"/>
        </w:rPr>
        <w:t>para lo cual se deberá considerar las unidades que aplican y su estado térmico</w:t>
      </w:r>
      <w:r w:rsidR="00294D5D">
        <w:rPr>
          <w:szCs w:val="21"/>
          <w:lang w:val="es-ES"/>
        </w:rPr>
        <w:t xml:space="preserve">. En ese sentido, PCAP debe corresponder a la sumatoria de los CAP de </w:t>
      </w:r>
      <w:r w:rsidR="00A9622A">
        <w:rPr>
          <w:szCs w:val="21"/>
          <w:lang w:val="es-ES"/>
        </w:rPr>
        <w:t>las unidades</w:t>
      </w:r>
      <w:r w:rsidR="00294D5D">
        <w:rPr>
          <w:szCs w:val="21"/>
          <w:lang w:val="es-ES"/>
        </w:rPr>
        <w:t xml:space="preserve"> según su estado térmico</w:t>
      </w:r>
      <w:r w:rsidR="00A04D39">
        <w:rPr>
          <w:szCs w:val="21"/>
          <w:lang w:val="es-ES"/>
        </w:rPr>
        <w:t>, con lo cual se armoniza el concepto con el despacho que se hace según las reglas de la Resolución CREG 101 028 de 2022.</w:t>
      </w:r>
    </w:p>
    <w:p w14:paraId="3CE4D1F2" w14:textId="77777777" w:rsidR="00A9622A" w:rsidRPr="00A9622A" w:rsidRDefault="00A9622A" w:rsidP="00A9622A">
      <w:pPr>
        <w:rPr>
          <w:szCs w:val="21"/>
          <w:lang w:val="es-ES"/>
        </w:rPr>
      </w:pPr>
    </w:p>
    <w:p w14:paraId="487DC967" w14:textId="0E68567E" w:rsidR="00A04D39" w:rsidRDefault="00EF4F7C" w:rsidP="005401D6">
      <w:pPr>
        <w:pStyle w:val="Prrafodelista"/>
        <w:numPr>
          <w:ilvl w:val="0"/>
          <w:numId w:val="35"/>
        </w:numPr>
        <w:rPr>
          <w:szCs w:val="21"/>
          <w:lang w:val="es-ES"/>
        </w:rPr>
      </w:pPr>
      <w:r>
        <w:rPr>
          <w:szCs w:val="21"/>
          <w:lang w:val="es-ES"/>
        </w:rPr>
        <w:t>Una de las razones para explicar las diferencias del PCAP y P</w:t>
      </w:r>
      <w:r w:rsidR="0061508E">
        <w:rPr>
          <w:szCs w:val="21"/>
          <w:lang w:val="es-ES"/>
        </w:rPr>
        <w:t>AR</w:t>
      </w:r>
      <w:r>
        <w:rPr>
          <w:szCs w:val="21"/>
          <w:lang w:val="es-ES"/>
        </w:rPr>
        <w:t xml:space="preserve"> </w:t>
      </w:r>
      <w:r w:rsidR="00AE6458">
        <w:rPr>
          <w:szCs w:val="21"/>
          <w:lang w:val="es-ES"/>
        </w:rPr>
        <w:t>es que corresponden</w:t>
      </w:r>
      <w:r w:rsidR="000F168A">
        <w:rPr>
          <w:szCs w:val="21"/>
          <w:lang w:val="es-ES"/>
        </w:rPr>
        <w:t xml:space="preserve"> a declaraciones </w:t>
      </w:r>
      <w:r w:rsidR="00093292">
        <w:rPr>
          <w:szCs w:val="21"/>
          <w:lang w:val="es-ES"/>
        </w:rPr>
        <w:t>di</w:t>
      </w:r>
      <w:r w:rsidR="007B747B">
        <w:rPr>
          <w:szCs w:val="21"/>
          <w:lang w:val="es-ES"/>
        </w:rPr>
        <w:t xml:space="preserve">símiles </w:t>
      </w:r>
      <w:r w:rsidR="00575A4E">
        <w:rPr>
          <w:szCs w:val="21"/>
          <w:lang w:val="es-ES"/>
        </w:rPr>
        <w:t>en el tiempo que reflejan condiciones diferentes en la estructura de costos</w:t>
      </w:r>
      <w:r w:rsidR="002E5EF8">
        <w:rPr>
          <w:szCs w:val="21"/>
          <w:lang w:val="es-ES"/>
        </w:rPr>
        <w:t xml:space="preserve">. Ese sentido, es </w:t>
      </w:r>
      <w:r w:rsidR="006675DA">
        <w:rPr>
          <w:szCs w:val="21"/>
          <w:lang w:val="es-ES"/>
        </w:rPr>
        <w:t>recomendable</w:t>
      </w:r>
      <w:r w:rsidR="00AE1239">
        <w:rPr>
          <w:szCs w:val="21"/>
          <w:lang w:val="es-ES"/>
        </w:rPr>
        <w:t xml:space="preserve"> migrar a que solo se utilice el P</w:t>
      </w:r>
      <w:r w:rsidR="00164C54">
        <w:rPr>
          <w:szCs w:val="21"/>
          <w:lang w:val="es-ES"/>
        </w:rPr>
        <w:t>AR</w:t>
      </w:r>
      <w:r w:rsidR="00AE1239">
        <w:rPr>
          <w:szCs w:val="21"/>
          <w:lang w:val="es-ES"/>
        </w:rPr>
        <w:t xml:space="preserve"> en la liquidación de la reconciliación positiva</w:t>
      </w:r>
      <w:r w:rsidR="00C90BD7">
        <w:rPr>
          <w:szCs w:val="21"/>
          <w:lang w:val="es-ES"/>
        </w:rPr>
        <w:t xml:space="preserve">, dado </w:t>
      </w:r>
      <w:r w:rsidR="00932031">
        <w:rPr>
          <w:szCs w:val="21"/>
          <w:lang w:val="es-ES"/>
        </w:rPr>
        <w:t xml:space="preserve">que </w:t>
      </w:r>
      <w:r w:rsidR="00C90BD7">
        <w:rPr>
          <w:szCs w:val="21"/>
          <w:lang w:val="es-ES"/>
        </w:rPr>
        <w:t xml:space="preserve">son los datos </w:t>
      </w:r>
      <w:r w:rsidR="00585E8F">
        <w:rPr>
          <w:szCs w:val="21"/>
          <w:lang w:val="es-ES"/>
        </w:rPr>
        <w:t xml:space="preserve">que reflejan la estructura de costos </w:t>
      </w:r>
      <w:r w:rsidR="00932031">
        <w:rPr>
          <w:szCs w:val="21"/>
          <w:lang w:val="es-ES"/>
        </w:rPr>
        <w:t>actualizad</w:t>
      </w:r>
      <w:r w:rsidR="00585E8F">
        <w:rPr>
          <w:szCs w:val="21"/>
          <w:lang w:val="es-ES"/>
        </w:rPr>
        <w:t>a</w:t>
      </w:r>
      <w:r w:rsidR="00B00752">
        <w:rPr>
          <w:szCs w:val="21"/>
          <w:lang w:val="es-ES"/>
        </w:rPr>
        <w:t>.</w:t>
      </w:r>
    </w:p>
    <w:p w14:paraId="785DE5B8" w14:textId="77777777" w:rsidR="001B47BD" w:rsidRPr="001B47BD" w:rsidRDefault="001B47BD" w:rsidP="001B47BD">
      <w:pPr>
        <w:pStyle w:val="Prrafodelista"/>
        <w:rPr>
          <w:szCs w:val="21"/>
          <w:lang w:val="es-ES"/>
        </w:rPr>
      </w:pPr>
    </w:p>
    <w:p w14:paraId="21E3E577" w14:textId="77777777" w:rsidR="003028E5" w:rsidRDefault="00DF6CC8" w:rsidP="005401D6">
      <w:pPr>
        <w:pStyle w:val="Prrafodelista"/>
        <w:numPr>
          <w:ilvl w:val="0"/>
          <w:numId w:val="35"/>
        </w:numPr>
        <w:rPr>
          <w:szCs w:val="21"/>
          <w:lang w:val="es-ES"/>
        </w:rPr>
      </w:pPr>
      <w:r>
        <w:rPr>
          <w:szCs w:val="21"/>
          <w:lang w:val="es-ES"/>
        </w:rPr>
        <w:t xml:space="preserve">Dado </w:t>
      </w:r>
      <w:r w:rsidR="001B47BD">
        <w:rPr>
          <w:szCs w:val="21"/>
          <w:lang w:val="es-ES"/>
        </w:rPr>
        <w:t xml:space="preserve">que uno de los problemas que se pueden presentar para la declaración del </w:t>
      </w:r>
      <w:r w:rsidR="005C7866">
        <w:rPr>
          <w:szCs w:val="21"/>
          <w:lang w:val="es-ES"/>
        </w:rPr>
        <w:t xml:space="preserve">PAR </w:t>
      </w:r>
      <w:r w:rsidR="0069340A">
        <w:rPr>
          <w:szCs w:val="21"/>
          <w:lang w:val="es-ES"/>
        </w:rPr>
        <w:t xml:space="preserve">son los </w:t>
      </w:r>
      <w:r w:rsidR="009F57D9">
        <w:rPr>
          <w:szCs w:val="21"/>
          <w:lang w:val="es-ES"/>
        </w:rPr>
        <w:t xml:space="preserve">problemas de riesgo moral, </w:t>
      </w:r>
      <w:r w:rsidR="00326118">
        <w:rPr>
          <w:szCs w:val="21"/>
          <w:lang w:val="es-ES"/>
        </w:rPr>
        <w:t xml:space="preserve">los cuales </w:t>
      </w:r>
      <w:r w:rsidR="009F57D9">
        <w:rPr>
          <w:szCs w:val="21"/>
          <w:lang w:val="es-ES"/>
        </w:rPr>
        <w:t>se podrían mitigar con</w:t>
      </w:r>
      <w:r w:rsidR="003028E5">
        <w:rPr>
          <w:szCs w:val="21"/>
          <w:lang w:val="es-ES"/>
        </w:rPr>
        <w:t>:</w:t>
      </w:r>
    </w:p>
    <w:p w14:paraId="3EE6DA13" w14:textId="77777777" w:rsidR="003028E5" w:rsidRPr="003028E5" w:rsidRDefault="003028E5" w:rsidP="003028E5">
      <w:pPr>
        <w:pStyle w:val="Prrafodelista"/>
        <w:rPr>
          <w:szCs w:val="21"/>
          <w:lang w:val="es-ES"/>
        </w:rPr>
      </w:pPr>
    </w:p>
    <w:p w14:paraId="6B495C11" w14:textId="162646D1" w:rsidR="001B47BD" w:rsidRDefault="003028E5" w:rsidP="00837CCD">
      <w:pPr>
        <w:pStyle w:val="Prrafodelista"/>
        <w:numPr>
          <w:ilvl w:val="1"/>
          <w:numId w:val="35"/>
        </w:numPr>
        <w:ind w:left="993" w:hanging="284"/>
        <w:rPr>
          <w:szCs w:val="21"/>
          <w:lang w:val="es-ES"/>
        </w:rPr>
      </w:pPr>
      <w:r>
        <w:rPr>
          <w:szCs w:val="21"/>
          <w:lang w:val="es-ES"/>
        </w:rPr>
        <w:t>P</w:t>
      </w:r>
      <w:r w:rsidR="009F57D9">
        <w:rPr>
          <w:szCs w:val="21"/>
          <w:lang w:val="es-ES"/>
        </w:rPr>
        <w:t>rocesos de auditoría</w:t>
      </w:r>
      <w:r w:rsidR="00944D95">
        <w:rPr>
          <w:szCs w:val="21"/>
          <w:lang w:val="es-ES"/>
        </w:rPr>
        <w:t>. En ese sentido, la Resolución CREG 101 028 de 2022 ya había propuesto adelantar auditoría a los Par.</w:t>
      </w:r>
    </w:p>
    <w:p w14:paraId="58A8D4C5" w14:textId="77777777" w:rsidR="00944D95" w:rsidRPr="00944D95" w:rsidRDefault="00944D95" w:rsidP="00944D95">
      <w:pPr>
        <w:pStyle w:val="Prrafodelista"/>
        <w:rPr>
          <w:szCs w:val="21"/>
          <w:lang w:val="es-ES"/>
        </w:rPr>
      </w:pPr>
    </w:p>
    <w:p w14:paraId="573CF5A6" w14:textId="102DF89E" w:rsidR="00944D95" w:rsidRDefault="003028E5" w:rsidP="00837CCD">
      <w:pPr>
        <w:pStyle w:val="Prrafodelista"/>
        <w:numPr>
          <w:ilvl w:val="1"/>
          <w:numId w:val="35"/>
        </w:numPr>
        <w:ind w:left="993" w:hanging="284"/>
        <w:rPr>
          <w:szCs w:val="21"/>
          <w:lang w:val="es-ES"/>
        </w:rPr>
      </w:pPr>
      <w:r>
        <w:rPr>
          <w:szCs w:val="21"/>
          <w:lang w:val="es-ES"/>
        </w:rPr>
        <w:t>A</w:t>
      </w:r>
      <w:r w:rsidR="00D83122">
        <w:rPr>
          <w:szCs w:val="21"/>
          <w:lang w:val="es-ES"/>
        </w:rPr>
        <w:t xml:space="preserve">nte </w:t>
      </w:r>
      <w:r w:rsidR="00877053">
        <w:rPr>
          <w:szCs w:val="21"/>
          <w:lang w:val="es-ES"/>
        </w:rPr>
        <w:t>cambios positivos significativos en los precios declarados</w:t>
      </w:r>
      <w:r w:rsidR="00564428">
        <w:rPr>
          <w:szCs w:val="21"/>
          <w:lang w:val="es-ES"/>
        </w:rPr>
        <w:t xml:space="preserve"> de Par</w:t>
      </w:r>
      <w:r w:rsidR="00CB4D2D">
        <w:rPr>
          <w:rStyle w:val="Refdenotaalpie"/>
          <w:szCs w:val="21"/>
          <w:lang w:val="es-ES"/>
        </w:rPr>
        <w:footnoteReference w:id="6"/>
      </w:r>
      <w:r w:rsidR="00564428">
        <w:rPr>
          <w:szCs w:val="21"/>
          <w:lang w:val="es-ES"/>
        </w:rPr>
        <w:t xml:space="preserve">, mayores al </w:t>
      </w:r>
      <w:r w:rsidR="00E65527">
        <w:rPr>
          <w:szCs w:val="21"/>
          <w:lang w:val="es-ES"/>
        </w:rPr>
        <w:t>2</w:t>
      </w:r>
      <w:r w:rsidR="00564428">
        <w:rPr>
          <w:szCs w:val="21"/>
          <w:lang w:val="es-ES"/>
        </w:rPr>
        <w:t xml:space="preserve">0%, </w:t>
      </w:r>
      <w:r w:rsidR="00961982">
        <w:rPr>
          <w:szCs w:val="21"/>
          <w:lang w:val="es-ES"/>
        </w:rPr>
        <w:t xml:space="preserve">se </w:t>
      </w:r>
      <w:r w:rsidR="00564428">
        <w:rPr>
          <w:szCs w:val="21"/>
          <w:lang w:val="es-ES"/>
        </w:rPr>
        <w:t>remita</w:t>
      </w:r>
      <w:r w:rsidR="00961982">
        <w:rPr>
          <w:szCs w:val="21"/>
          <w:lang w:val="es-ES"/>
        </w:rPr>
        <w:t xml:space="preserve"> </w:t>
      </w:r>
      <w:r w:rsidR="00564428">
        <w:rPr>
          <w:szCs w:val="21"/>
          <w:lang w:val="es-ES"/>
        </w:rPr>
        <w:t xml:space="preserve">justificación a la SSPD, </w:t>
      </w:r>
      <w:r w:rsidR="00055371">
        <w:rPr>
          <w:szCs w:val="21"/>
          <w:lang w:val="es-ES"/>
        </w:rPr>
        <w:t>para que dicha entidad haga las averiguaciones pertinentes si lo considera.</w:t>
      </w:r>
      <w:r w:rsidR="003F134B">
        <w:rPr>
          <w:szCs w:val="21"/>
          <w:lang w:val="es-ES"/>
        </w:rPr>
        <w:t xml:space="preserve"> El CND deberá informar </w:t>
      </w:r>
      <w:r w:rsidR="003F5B2D">
        <w:rPr>
          <w:szCs w:val="21"/>
          <w:lang w:val="es-ES"/>
        </w:rPr>
        <w:t xml:space="preserve">a la SSPD </w:t>
      </w:r>
      <w:r w:rsidR="003F134B">
        <w:rPr>
          <w:szCs w:val="21"/>
          <w:lang w:val="es-ES"/>
        </w:rPr>
        <w:t>cuando se presente dicha situación.</w:t>
      </w:r>
    </w:p>
    <w:p w14:paraId="795DC683" w14:textId="77777777" w:rsidR="00824B6C" w:rsidRPr="00824B6C" w:rsidRDefault="00824B6C" w:rsidP="00422F6C">
      <w:pPr>
        <w:pStyle w:val="Prrafodelista"/>
        <w:rPr>
          <w:szCs w:val="21"/>
          <w:lang w:val="es-ES"/>
        </w:rPr>
      </w:pPr>
    </w:p>
    <w:p w14:paraId="6A8B342E" w14:textId="0EAF2166" w:rsidR="00824B6C" w:rsidRPr="00961982" w:rsidRDefault="003F5B2D" w:rsidP="00837CCD">
      <w:pPr>
        <w:ind w:left="993"/>
        <w:rPr>
          <w:szCs w:val="21"/>
          <w:lang w:val="es-ES"/>
        </w:rPr>
      </w:pPr>
      <w:r>
        <w:rPr>
          <w:szCs w:val="21"/>
          <w:lang w:val="es-ES"/>
        </w:rPr>
        <w:t>En ese sentido</w:t>
      </w:r>
      <w:r w:rsidR="00552B31">
        <w:rPr>
          <w:szCs w:val="21"/>
          <w:lang w:val="es-ES"/>
        </w:rPr>
        <w:t>, e</w:t>
      </w:r>
      <w:r w:rsidR="007073F2" w:rsidRPr="00961982">
        <w:rPr>
          <w:szCs w:val="21"/>
          <w:lang w:val="es-ES"/>
        </w:rPr>
        <w:t xml:space="preserve">l PAR </w:t>
      </w:r>
      <w:r w:rsidR="002638CF" w:rsidRPr="00961982">
        <w:rPr>
          <w:szCs w:val="21"/>
          <w:lang w:val="es-ES"/>
        </w:rPr>
        <w:t xml:space="preserve">será </w:t>
      </w:r>
      <w:r w:rsidR="008C7BB2" w:rsidRPr="00961982">
        <w:rPr>
          <w:szCs w:val="21"/>
          <w:lang w:val="es-ES"/>
        </w:rPr>
        <w:t>un esquema que estará a cargo de revisión, vigilancia y control de la SSPD</w:t>
      </w:r>
      <w:r w:rsidR="006271D7" w:rsidRPr="00961982">
        <w:rPr>
          <w:szCs w:val="21"/>
          <w:lang w:val="es-ES"/>
        </w:rPr>
        <w:t xml:space="preserve"> y en caso de que sea requerido</w:t>
      </w:r>
      <w:r w:rsidR="00A00932">
        <w:rPr>
          <w:szCs w:val="21"/>
          <w:lang w:val="es-ES"/>
        </w:rPr>
        <w:t>. Además,</w:t>
      </w:r>
      <w:r w:rsidR="00402C47" w:rsidRPr="00961982">
        <w:rPr>
          <w:szCs w:val="21"/>
          <w:lang w:val="es-ES"/>
        </w:rPr>
        <w:t xml:space="preserve"> el agente tiene la obligación de j</w:t>
      </w:r>
      <w:r w:rsidR="00870B1A" w:rsidRPr="00961982">
        <w:rPr>
          <w:szCs w:val="21"/>
          <w:lang w:val="es-ES"/>
        </w:rPr>
        <w:t xml:space="preserve">ustificar el estudio </w:t>
      </w:r>
      <w:r w:rsidR="00C5346F" w:rsidRPr="00961982">
        <w:rPr>
          <w:szCs w:val="21"/>
          <w:lang w:val="es-ES"/>
        </w:rPr>
        <w:t xml:space="preserve">y la metodología de costos que utilizaron para llegar a los valores declarados. </w:t>
      </w:r>
      <w:r w:rsidR="00F40258" w:rsidRPr="00961982">
        <w:rPr>
          <w:szCs w:val="21"/>
          <w:lang w:val="es-ES"/>
        </w:rPr>
        <w:t>La metodología tiene que ser replicable.</w:t>
      </w:r>
    </w:p>
    <w:p w14:paraId="65A1B432" w14:textId="77777777" w:rsidR="004D3383" w:rsidRDefault="004D3383" w:rsidP="0038050C">
      <w:pPr>
        <w:rPr>
          <w:szCs w:val="21"/>
        </w:rPr>
      </w:pPr>
    </w:p>
    <w:p w14:paraId="382FC750" w14:textId="7BAAC9A9" w:rsidR="00FE7BC1" w:rsidRDefault="00606D80" w:rsidP="0038050C">
      <w:pPr>
        <w:rPr>
          <w:szCs w:val="21"/>
        </w:rPr>
      </w:pPr>
      <w:r>
        <w:rPr>
          <w:szCs w:val="21"/>
        </w:rPr>
        <w:lastRenderedPageBreak/>
        <w:t xml:space="preserve">Teniendo en cuenta lo anterior, </w:t>
      </w:r>
      <w:r w:rsidR="00C9065F">
        <w:rPr>
          <w:szCs w:val="21"/>
        </w:rPr>
        <w:t xml:space="preserve">la </w:t>
      </w:r>
      <w:r w:rsidR="00FE7BC1">
        <w:rPr>
          <w:szCs w:val="21"/>
        </w:rPr>
        <w:t>fórmula</w:t>
      </w:r>
      <w:r w:rsidR="00C9065F">
        <w:rPr>
          <w:szCs w:val="21"/>
        </w:rPr>
        <w:t xml:space="preserve"> de reconciliación positiva </w:t>
      </w:r>
      <w:r w:rsidR="00FE7BC1">
        <w:rPr>
          <w:szCs w:val="21"/>
        </w:rPr>
        <w:t xml:space="preserve">y </w:t>
      </w:r>
      <w:r w:rsidR="00C9065F">
        <w:rPr>
          <w:szCs w:val="21"/>
        </w:rPr>
        <w:t xml:space="preserve">la descripción de la </w:t>
      </w:r>
      <w:r w:rsidR="007B34E0">
        <w:rPr>
          <w:szCs w:val="21"/>
        </w:rPr>
        <w:t xml:space="preserve">variable </w:t>
      </w:r>
      <w:r w:rsidR="00C9065F">
        <w:rPr>
          <w:szCs w:val="21"/>
        </w:rPr>
        <w:t>P</w:t>
      </w:r>
      <w:r w:rsidR="00A91283">
        <w:rPr>
          <w:szCs w:val="21"/>
        </w:rPr>
        <w:t>AR</w:t>
      </w:r>
      <w:r w:rsidR="00C9065F">
        <w:rPr>
          <w:szCs w:val="21"/>
        </w:rPr>
        <w:t xml:space="preserve"> en la determinación del </w:t>
      </w:r>
      <w:r w:rsidR="00C9065F">
        <w:rPr>
          <w:rFonts w:cs="Arial"/>
          <w:szCs w:val="21"/>
        </w:rPr>
        <w:t>∆</w:t>
      </w:r>
      <w:r w:rsidR="00FE7BC1">
        <w:rPr>
          <w:szCs w:val="21"/>
        </w:rPr>
        <w:t>I serán las siguientes:</w:t>
      </w:r>
    </w:p>
    <w:p w14:paraId="01319E8D" w14:textId="77777777" w:rsidR="00A31A92" w:rsidRDefault="00A31A92" w:rsidP="0038050C">
      <w:pPr>
        <w:rPr>
          <w:szCs w:val="21"/>
        </w:rPr>
      </w:pPr>
    </w:p>
    <w:p w14:paraId="76CA57A5" w14:textId="0EB099BA" w:rsidR="00FE7BC1" w:rsidRPr="006C6C88" w:rsidRDefault="007A322D" w:rsidP="007A322D">
      <w:pPr>
        <w:pStyle w:val="Prrafodelista"/>
        <w:numPr>
          <w:ilvl w:val="0"/>
          <w:numId w:val="34"/>
        </w:numPr>
        <w:rPr>
          <w:b/>
          <w:bCs/>
          <w:szCs w:val="21"/>
        </w:rPr>
      </w:pPr>
      <w:r w:rsidRPr="006C6C88">
        <w:rPr>
          <w:b/>
          <w:bCs/>
          <w:szCs w:val="21"/>
        </w:rPr>
        <w:t>Formula reconciliación positiva para plantas térmicas:</w:t>
      </w:r>
    </w:p>
    <w:p w14:paraId="124902DC" w14:textId="77777777" w:rsidR="007A322D" w:rsidRDefault="007A322D" w:rsidP="007A322D">
      <w:pPr>
        <w:rPr>
          <w:szCs w:val="21"/>
        </w:rPr>
      </w:pPr>
    </w:p>
    <w:p w14:paraId="64EFF024" w14:textId="5177C424" w:rsidR="007A322D" w:rsidRDefault="00284925" w:rsidP="007A322D">
      <w:pPr>
        <w:rPr>
          <w:szCs w:val="21"/>
        </w:rPr>
      </w:pPr>
      <w:r w:rsidRPr="00284925">
        <w:rPr>
          <w:noProof/>
          <w:szCs w:val="21"/>
        </w:rPr>
        <w:drawing>
          <wp:inline distT="0" distB="0" distL="0" distR="0" wp14:anchorId="7AAC83D9" wp14:editId="189607E9">
            <wp:extent cx="5966983" cy="2399030"/>
            <wp:effectExtent l="0" t="0" r="0" b="1270"/>
            <wp:docPr id="1364446641" name="Picture 1364446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446641" name="Graphic 136444664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66983" cy="2399030"/>
                    </a:xfrm>
                    <a:prstGeom prst="rect">
                      <a:avLst/>
                    </a:prstGeom>
                  </pic:spPr>
                </pic:pic>
              </a:graphicData>
            </a:graphic>
          </wp:inline>
        </w:drawing>
      </w:r>
    </w:p>
    <w:p w14:paraId="7CB7EC6D" w14:textId="34BEBFC0" w:rsidR="004C02DA" w:rsidRPr="004C02DA" w:rsidRDefault="004C02DA" w:rsidP="004C02DA">
      <w:pPr>
        <w:pStyle w:val="Descripcin"/>
        <w:jc w:val="center"/>
        <w:rPr>
          <w:sz w:val="20"/>
          <w:szCs w:val="22"/>
        </w:rPr>
      </w:pPr>
      <w:bookmarkStart w:id="47" w:name="_Toc168493574"/>
      <w:r w:rsidRPr="004C02DA">
        <w:rPr>
          <w:sz w:val="20"/>
          <w:szCs w:val="20"/>
        </w:rPr>
        <w:t xml:space="preserve">Ecuación </w:t>
      </w:r>
      <w:r w:rsidRPr="004C02DA">
        <w:rPr>
          <w:sz w:val="20"/>
          <w:szCs w:val="20"/>
        </w:rPr>
        <w:fldChar w:fldCharType="begin"/>
      </w:r>
      <w:r w:rsidRPr="004C02DA">
        <w:rPr>
          <w:sz w:val="20"/>
          <w:szCs w:val="20"/>
        </w:rPr>
        <w:instrText xml:space="preserve"> SEQ Ecuación \* ARABIC </w:instrText>
      </w:r>
      <w:r w:rsidRPr="004C02DA">
        <w:rPr>
          <w:sz w:val="20"/>
          <w:szCs w:val="20"/>
        </w:rPr>
        <w:fldChar w:fldCharType="separate"/>
      </w:r>
      <w:r w:rsidR="00CB0CB3">
        <w:rPr>
          <w:noProof/>
          <w:sz w:val="20"/>
          <w:szCs w:val="20"/>
        </w:rPr>
        <w:t>4</w:t>
      </w:r>
      <w:r w:rsidRPr="004C02DA">
        <w:rPr>
          <w:sz w:val="20"/>
          <w:szCs w:val="20"/>
        </w:rPr>
        <w:fldChar w:fldCharType="end"/>
      </w:r>
      <w:r w:rsidRPr="004C02DA">
        <w:rPr>
          <w:sz w:val="20"/>
          <w:szCs w:val="20"/>
        </w:rPr>
        <w:t>. Nueva fórmula reconciliación positiva plantas térmicas</w:t>
      </w:r>
      <w:bookmarkEnd w:id="47"/>
    </w:p>
    <w:p w14:paraId="2C61CE4D" w14:textId="77777777" w:rsidR="00284925" w:rsidRDefault="00284925" w:rsidP="007A322D">
      <w:pPr>
        <w:rPr>
          <w:szCs w:val="21"/>
        </w:rPr>
      </w:pPr>
    </w:p>
    <w:p w14:paraId="36A0CA34" w14:textId="7EDF0E36" w:rsidR="00FB04DD" w:rsidRDefault="00EB648B" w:rsidP="007A322D">
      <w:pPr>
        <w:rPr>
          <w:szCs w:val="21"/>
        </w:rPr>
      </w:pPr>
      <w:r>
        <w:rPr>
          <w:szCs w:val="21"/>
        </w:rPr>
        <w:t xml:space="preserve">El </w:t>
      </w:r>
      <m:oMath>
        <m:r>
          <w:rPr>
            <w:rFonts w:ascii="Cambria Math" w:hAnsi="Cambria Math"/>
            <w:szCs w:val="21"/>
          </w:rPr>
          <m:t>Par</m:t>
        </m:r>
      </m:oMath>
      <w:r>
        <w:rPr>
          <w:szCs w:val="21"/>
        </w:rPr>
        <w:t xml:space="preserve"> </w:t>
      </w:r>
      <w:r w:rsidR="000E298B">
        <w:rPr>
          <w:szCs w:val="21"/>
        </w:rPr>
        <w:t xml:space="preserve">será el ofertado en USD para las unidades y estado térmico </w:t>
      </w:r>
      <w:r w:rsidR="003845BC">
        <w:rPr>
          <w:szCs w:val="21"/>
        </w:rPr>
        <w:t xml:space="preserve">con el que se le considera para el despacho. </w:t>
      </w:r>
      <w:r w:rsidR="00164038">
        <w:rPr>
          <w:szCs w:val="21"/>
        </w:rPr>
        <w:t xml:space="preserve">Corresponde a los valores declarados trimestralmente. </w:t>
      </w:r>
      <w:r w:rsidR="00FB04DD">
        <w:rPr>
          <w:szCs w:val="21"/>
        </w:rPr>
        <w:t>Será igual a cero si arrancó desde un día anterior y continúa generado.</w:t>
      </w:r>
      <w:r w:rsidR="0048014A">
        <w:rPr>
          <w:szCs w:val="21"/>
        </w:rPr>
        <w:t xml:space="preserve"> Si el Par </w:t>
      </w:r>
      <w:r w:rsidR="003E318D">
        <w:rPr>
          <w:szCs w:val="21"/>
        </w:rPr>
        <w:t xml:space="preserve">se considera en el </w:t>
      </w:r>
      <w:r w:rsidR="003E318D">
        <w:rPr>
          <w:rFonts w:cs="Arial"/>
          <w:szCs w:val="21"/>
        </w:rPr>
        <w:t>∆</w:t>
      </w:r>
      <w:r w:rsidR="003E318D">
        <w:rPr>
          <w:szCs w:val="21"/>
        </w:rPr>
        <w:t>I</w:t>
      </w:r>
      <w:r w:rsidR="007B434C">
        <w:rPr>
          <w:szCs w:val="21"/>
        </w:rPr>
        <w:t>, no se incluye en la</w:t>
      </w:r>
      <w:r w:rsidR="009F7652">
        <w:rPr>
          <w:szCs w:val="21"/>
        </w:rPr>
        <w:t xml:space="preserve"> fórmula de </w:t>
      </w:r>
      <w:r w:rsidR="007B434C">
        <w:rPr>
          <w:szCs w:val="21"/>
        </w:rPr>
        <w:t>reconciliación positiva</w:t>
      </w:r>
      <w:r w:rsidR="009F7652">
        <w:rPr>
          <w:szCs w:val="21"/>
        </w:rPr>
        <w:t>, o lo que es lo mismo tendrá un valor de cero</w:t>
      </w:r>
      <w:r w:rsidR="0034502C">
        <w:rPr>
          <w:szCs w:val="21"/>
        </w:rPr>
        <w:t>.</w:t>
      </w:r>
    </w:p>
    <w:p w14:paraId="4D30D5D8" w14:textId="77777777" w:rsidR="00FB04DD" w:rsidRDefault="00FB04DD" w:rsidP="007A322D">
      <w:pPr>
        <w:rPr>
          <w:szCs w:val="21"/>
        </w:rPr>
      </w:pPr>
    </w:p>
    <w:p w14:paraId="23DEB57A" w14:textId="2825EE5E" w:rsidR="0087282C" w:rsidRDefault="000720AC" w:rsidP="007A322D">
      <w:pPr>
        <w:rPr>
          <w:szCs w:val="21"/>
        </w:rPr>
      </w:pPr>
      <w:r>
        <w:rPr>
          <w:szCs w:val="21"/>
        </w:rPr>
        <w:t>Ahora bien, teniendo en cuenta que el concepto de PCA</w:t>
      </w:r>
      <w:r w:rsidR="002F36B9">
        <w:rPr>
          <w:szCs w:val="21"/>
        </w:rPr>
        <w:t xml:space="preserve">P no será aplicado en la nueva propuesta y que dicho concepto </w:t>
      </w:r>
      <w:r w:rsidR="0028163A">
        <w:rPr>
          <w:szCs w:val="21"/>
        </w:rPr>
        <w:t xml:space="preserve">fue utilizado </w:t>
      </w:r>
      <w:r w:rsidR="001778B2">
        <w:rPr>
          <w:szCs w:val="21"/>
        </w:rPr>
        <w:t>en la Resolución CREG 101 028 de 2022 para establecer una referencia de los CAP para la declaración de</w:t>
      </w:r>
      <w:r w:rsidR="00A15C76">
        <w:rPr>
          <w:szCs w:val="21"/>
        </w:rPr>
        <w:t xml:space="preserve"> la primera vez de Par por unidad y estado térmico, es necesario ajustar dicha referencia.</w:t>
      </w:r>
      <w:r w:rsidR="00A726BE">
        <w:rPr>
          <w:szCs w:val="21"/>
        </w:rPr>
        <w:t xml:space="preserve"> Similarmente ocurre en la Resolución CREG 034 de 2001, es decir, no debe usarse la referencia del</w:t>
      </w:r>
      <w:r w:rsidR="005219BD">
        <w:rPr>
          <w:szCs w:val="21"/>
        </w:rPr>
        <w:t xml:space="preserve"> PCAP</w:t>
      </w:r>
      <w:r w:rsidR="00A726BE">
        <w:rPr>
          <w:szCs w:val="21"/>
        </w:rPr>
        <w:t xml:space="preserve">. </w:t>
      </w:r>
    </w:p>
    <w:p w14:paraId="28089CF4" w14:textId="77777777" w:rsidR="00A15C76" w:rsidRDefault="00A15C76" w:rsidP="007A322D">
      <w:pPr>
        <w:rPr>
          <w:szCs w:val="21"/>
        </w:rPr>
      </w:pPr>
    </w:p>
    <w:p w14:paraId="4041FF1E" w14:textId="2F4CED3F" w:rsidR="008E0A9F" w:rsidRDefault="00A15C76" w:rsidP="007A322D">
      <w:pPr>
        <w:rPr>
          <w:szCs w:val="21"/>
        </w:rPr>
      </w:pPr>
      <w:r>
        <w:rPr>
          <w:szCs w:val="21"/>
        </w:rPr>
        <w:t xml:space="preserve">Así las cosas, </w:t>
      </w:r>
      <w:r w:rsidR="00D655F5">
        <w:rPr>
          <w:szCs w:val="21"/>
        </w:rPr>
        <w:t>teniendo en cuenta que la referenci</w:t>
      </w:r>
      <w:r w:rsidR="00555249">
        <w:rPr>
          <w:szCs w:val="21"/>
        </w:rPr>
        <w:t xml:space="preserve">a fue utilizada en el proceso de transición de la declaración por configuración a una declaración </w:t>
      </w:r>
      <w:r w:rsidR="00F22A99">
        <w:rPr>
          <w:szCs w:val="21"/>
        </w:rPr>
        <w:t xml:space="preserve">por </w:t>
      </w:r>
      <w:r w:rsidR="00555249">
        <w:rPr>
          <w:szCs w:val="21"/>
        </w:rPr>
        <w:t>unidad y estado térmico</w:t>
      </w:r>
      <w:r w:rsidR="00F22A99">
        <w:rPr>
          <w:szCs w:val="21"/>
        </w:rPr>
        <w:t>,</w:t>
      </w:r>
      <w:r w:rsidR="005343DA">
        <w:rPr>
          <w:szCs w:val="21"/>
        </w:rPr>
        <w:t xml:space="preserve"> lo cual ya paso</w:t>
      </w:r>
      <w:r w:rsidR="00BA7279">
        <w:rPr>
          <w:szCs w:val="21"/>
        </w:rPr>
        <w:t>, l</w:t>
      </w:r>
      <w:r w:rsidR="005343DA">
        <w:rPr>
          <w:szCs w:val="21"/>
        </w:rPr>
        <w:t>a nueva referencia aplicar</w:t>
      </w:r>
      <w:r w:rsidR="008E0A9F">
        <w:rPr>
          <w:szCs w:val="21"/>
        </w:rPr>
        <w:t xml:space="preserve">á </w:t>
      </w:r>
      <w:r w:rsidR="005343DA">
        <w:rPr>
          <w:szCs w:val="21"/>
        </w:rPr>
        <w:t>solamente al nuevo parque de generación térmico que entre al sistema y aquellos que hagan cambios de las unidades.</w:t>
      </w:r>
    </w:p>
    <w:p w14:paraId="7A380EC9" w14:textId="77777777" w:rsidR="008E0A9F" w:rsidRDefault="008E0A9F" w:rsidP="007A322D">
      <w:pPr>
        <w:rPr>
          <w:szCs w:val="21"/>
        </w:rPr>
      </w:pPr>
    </w:p>
    <w:p w14:paraId="2A5A235A" w14:textId="6E92363F" w:rsidR="00A15C76" w:rsidRDefault="00FD3AC0" w:rsidP="007A322D">
      <w:pPr>
        <w:rPr>
          <w:szCs w:val="21"/>
        </w:rPr>
      </w:pPr>
      <w:r>
        <w:rPr>
          <w:szCs w:val="21"/>
        </w:rPr>
        <w:t xml:space="preserve">Ese sentido, </w:t>
      </w:r>
      <w:r w:rsidR="00B4045E">
        <w:rPr>
          <w:szCs w:val="21"/>
        </w:rPr>
        <w:t>se</w:t>
      </w:r>
      <w:r>
        <w:rPr>
          <w:szCs w:val="21"/>
        </w:rPr>
        <w:t xml:space="preserve"> encuentra conveniente definir una regla que de incentivos a los agentes para que cumplan con el de</w:t>
      </w:r>
      <w:r w:rsidR="00073A45">
        <w:rPr>
          <w:szCs w:val="21"/>
        </w:rPr>
        <w:t xml:space="preserve">ber de hacer la declaración respectiva. Por lo cual, se propone que </w:t>
      </w:r>
      <w:r w:rsidR="00AC1722">
        <w:rPr>
          <w:szCs w:val="21"/>
        </w:rPr>
        <w:t xml:space="preserve">para el caso de que no se cumpla con la declaración </w:t>
      </w:r>
      <w:r w:rsidR="00F432B1">
        <w:rPr>
          <w:szCs w:val="21"/>
        </w:rPr>
        <w:t>por primera vez</w:t>
      </w:r>
      <w:r w:rsidR="00476623">
        <w:rPr>
          <w:szCs w:val="21"/>
        </w:rPr>
        <w:t>, al momento de la entrada en operación comercial,</w:t>
      </w:r>
      <w:r w:rsidR="00F432B1">
        <w:rPr>
          <w:szCs w:val="21"/>
        </w:rPr>
        <w:t xml:space="preserve"> se asuma </w:t>
      </w:r>
      <w:r w:rsidR="000F780A">
        <w:rPr>
          <w:szCs w:val="21"/>
        </w:rPr>
        <w:t xml:space="preserve">un </w:t>
      </w:r>
      <w:r w:rsidR="00F432B1">
        <w:rPr>
          <w:szCs w:val="21"/>
        </w:rPr>
        <w:t xml:space="preserve">valor </w:t>
      </w:r>
      <w:r w:rsidR="000F780A">
        <w:rPr>
          <w:szCs w:val="21"/>
        </w:rPr>
        <w:t xml:space="preserve">igual a </w:t>
      </w:r>
      <w:r w:rsidR="00F432B1">
        <w:rPr>
          <w:szCs w:val="21"/>
        </w:rPr>
        <w:t>cero</w:t>
      </w:r>
      <w:r w:rsidR="000F780A">
        <w:rPr>
          <w:szCs w:val="21"/>
        </w:rPr>
        <w:t xml:space="preserve">, </w:t>
      </w:r>
      <w:r w:rsidR="008B1B33">
        <w:rPr>
          <w:szCs w:val="21"/>
        </w:rPr>
        <w:t xml:space="preserve">para </w:t>
      </w:r>
      <w:r w:rsidR="000F780A">
        <w:rPr>
          <w:szCs w:val="21"/>
        </w:rPr>
        <w:t xml:space="preserve">la unidad y estado </w:t>
      </w:r>
      <w:r w:rsidR="003D0F43">
        <w:rPr>
          <w:szCs w:val="21"/>
        </w:rPr>
        <w:t>térmico, hasta</w:t>
      </w:r>
      <w:r w:rsidR="00447828">
        <w:rPr>
          <w:szCs w:val="21"/>
        </w:rPr>
        <w:t xml:space="preserve"> cuando el agente </w:t>
      </w:r>
      <w:r w:rsidR="00476623">
        <w:rPr>
          <w:szCs w:val="21"/>
        </w:rPr>
        <w:t xml:space="preserve">cumpla con </w:t>
      </w:r>
      <w:r w:rsidR="00447828">
        <w:rPr>
          <w:szCs w:val="21"/>
        </w:rPr>
        <w:t>la declaración respectiva</w:t>
      </w:r>
      <w:r w:rsidR="00476623">
        <w:rPr>
          <w:szCs w:val="21"/>
        </w:rPr>
        <w:t xml:space="preserve">. Después continuará </w:t>
      </w:r>
      <w:r w:rsidR="00437624">
        <w:rPr>
          <w:szCs w:val="21"/>
        </w:rPr>
        <w:t>declarando según las reglas de declaración trimestral.</w:t>
      </w:r>
    </w:p>
    <w:p w14:paraId="47BC9D81" w14:textId="77777777" w:rsidR="00A15C76" w:rsidRDefault="00A15C76" w:rsidP="007A322D">
      <w:pPr>
        <w:rPr>
          <w:szCs w:val="21"/>
        </w:rPr>
      </w:pPr>
    </w:p>
    <w:p w14:paraId="06B95DD2" w14:textId="77777777" w:rsidR="0087282C" w:rsidRDefault="0087282C" w:rsidP="007A322D">
      <w:pPr>
        <w:rPr>
          <w:szCs w:val="21"/>
        </w:rPr>
      </w:pPr>
    </w:p>
    <w:p w14:paraId="771837AA" w14:textId="77777777" w:rsidR="00E61748" w:rsidRPr="006C6C88" w:rsidRDefault="00664236" w:rsidP="00B4045E">
      <w:pPr>
        <w:pStyle w:val="Prrafodelista"/>
        <w:numPr>
          <w:ilvl w:val="0"/>
          <w:numId w:val="34"/>
        </w:numPr>
        <w:rPr>
          <w:b/>
          <w:bCs/>
          <w:szCs w:val="21"/>
        </w:rPr>
      </w:pPr>
      <w:r w:rsidRPr="006C6C88">
        <w:rPr>
          <w:b/>
          <w:bCs/>
          <w:szCs w:val="21"/>
        </w:rPr>
        <w:t xml:space="preserve">Descripción de Par </w:t>
      </w:r>
      <w:r w:rsidR="00E61748" w:rsidRPr="006C6C88">
        <w:rPr>
          <w:b/>
          <w:bCs/>
          <w:szCs w:val="21"/>
        </w:rPr>
        <w:t xml:space="preserve">utilizado en la determinación del </w:t>
      </w:r>
      <w:r w:rsidR="00E61748" w:rsidRPr="006C6C88">
        <w:rPr>
          <w:rFonts w:cs="Arial"/>
          <w:b/>
          <w:bCs/>
          <w:szCs w:val="21"/>
        </w:rPr>
        <w:t>∆</w:t>
      </w:r>
      <w:r w:rsidR="00E61748" w:rsidRPr="006C6C88">
        <w:rPr>
          <w:b/>
          <w:bCs/>
          <w:szCs w:val="21"/>
        </w:rPr>
        <w:t>I</w:t>
      </w:r>
    </w:p>
    <w:p w14:paraId="69FB135C" w14:textId="77777777" w:rsidR="00E61748" w:rsidRDefault="00E61748" w:rsidP="00E61748">
      <w:pPr>
        <w:rPr>
          <w:szCs w:val="21"/>
        </w:rPr>
      </w:pPr>
    </w:p>
    <w:p w14:paraId="67436C65" w14:textId="794A02E8" w:rsidR="006C6C88" w:rsidRDefault="00CB5C97" w:rsidP="00E61748">
      <w:pPr>
        <w:rPr>
          <w:rFonts w:cs="Arial"/>
          <w:szCs w:val="24"/>
        </w:rPr>
      </w:pPr>
      <w:r>
        <w:rPr>
          <w:szCs w:val="21"/>
        </w:rPr>
        <w:t xml:space="preserve">Respecto del caso </w:t>
      </w:r>
      <w:r w:rsidR="009B1CAD">
        <w:rPr>
          <w:szCs w:val="21"/>
        </w:rPr>
        <w:t>de que no se incluya en la estimación del</w:t>
      </w:r>
      <w:r>
        <w:rPr>
          <w:szCs w:val="21"/>
        </w:rPr>
        <w:t xml:space="preserve"> </w:t>
      </w:r>
      <w:r w:rsidR="009B1CAD">
        <w:rPr>
          <w:rFonts w:cs="Arial"/>
          <w:szCs w:val="24"/>
        </w:rPr>
        <w:t>∆I</w:t>
      </w:r>
      <w:r w:rsidR="009B1CAD">
        <w:rPr>
          <w:szCs w:val="21"/>
        </w:rPr>
        <w:t xml:space="preserve"> </w:t>
      </w:r>
      <w:r>
        <w:rPr>
          <w:rFonts w:cs="Arial"/>
          <w:szCs w:val="24"/>
        </w:rPr>
        <w:t>el arranque-parada</w:t>
      </w:r>
      <w:r w:rsidR="004D0817">
        <w:rPr>
          <w:rFonts w:cs="Arial"/>
          <w:szCs w:val="24"/>
        </w:rPr>
        <w:t xml:space="preserve">, esto cuando </w:t>
      </w:r>
      <w:r>
        <w:rPr>
          <w:rFonts w:cs="Arial"/>
          <w:szCs w:val="24"/>
        </w:rPr>
        <w:t xml:space="preserve">solo </w:t>
      </w:r>
      <w:r w:rsidR="009B1CAD">
        <w:rPr>
          <w:rFonts w:cs="Arial"/>
          <w:szCs w:val="24"/>
        </w:rPr>
        <w:t xml:space="preserve">se </w:t>
      </w:r>
      <w:r w:rsidR="000A32A1">
        <w:rPr>
          <w:rFonts w:cs="Arial"/>
          <w:szCs w:val="24"/>
        </w:rPr>
        <w:t>dé</w:t>
      </w:r>
      <w:r w:rsidR="004D0817">
        <w:rPr>
          <w:rFonts w:cs="Arial"/>
          <w:szCs w:val="24"/>
        </w:rPr>
        <w:t xml:space="preserve"> el arranque-parada</w:t>
      </w:r>
      <w:r w:rsidR="009B1CAD">
        <w:rPr>
          <w:rFonts w:cs="Arial"/>
          <w:szCs w:val="24"/>
        </w:rPr>
        <w:t xml:space="preserve"> en</w:t>
      </w:r>
      <w:r>
        <w:rPr>
          <w:rFonts w:cs="Arial"/>
          <w:szCs w:val="24"/>
        </w:rPr>
        <w:t xml:space="preserve"> el despacho ideal</w:t>
      </w:r>
      <w:r w:rsidR="004D0817">
        <w:rPr>
          <w:rFonts w:cs="Arial"/>
          <w:szCs w:val="24"/>
        </w:rPr>
        <w:t xml:space="preserve">, la propuesta </w:t>
      </w:r>
      <w:r w:rsidR="00BC101A">
        <w:rPr>
          <w:rFonts w:cs="Arial"/>
          <w:szCs w:val="24"/>
        </w:rPr>
        <w:t>es modificar</w:t>
      </w:r>
      <w:r w:rsidR="004D0817">
        <w:rPr>
          <w:rFonts w:cs="Arial"/>
          <w:szCs w:val="24"/>
        </w:rPr>
        <w:t xml:space="preserve"> la definición de </w:t>
      </w:r>
      <w:r w:rsidR="004D0817" w:rsidRPr="00422F6C">
        <w:rPr>
          <w:rFonts w:cs="Arial"/>
          <w:i/>
          <w:iCs/>
          <w:szCs w:val="24"/>
        </w:rPr>
        <w:t>Par</w:t>
      </w:r>
      <w:r w:rsidR="004D0817">
        <w:rPr>
          <w:rFonts w:cs="Arial"/>
          <w:szCs w:val="24"/>
        </w:rPr>
        <w:t xml:space="preserve"> de que trata</w:t>
      </w:r>
      <w:r w:rsidR="00BC101A">
        <w:rPr>
          <w:rFonts w:cs="Arial"/>
          <w:szCs w:val="24"/>
        </w:rPr>
        <w:t xml:space="preserve"> el l</w:t>
      </w:r>
      <w:r w:rsidR="00BC101A" w:rsidRPr="00BC101A">
        <w:rPr>
          <w:rFonts w:cs="Arial"/>
          <w:szCs w:val="24"/>
        </w:rPr>
        <w:t>iteral d del Anexo A-4 “Función Precio en la Bolsa de Energía” de la Resolución CREG-024 de 1995</w:t>
      </w:r>
      <w:r w:rsidR="00BC101A">
        <w:rPr>
          <w:rFonts w:cs="Arial"/>
          <w:szCs w:val="24"/>
        </w:rPr>
        <w:t>, así:</w:t>
      </w:r>
    </w:p>
    <w:p w14:paraId="2695E9B8" w14:textId="77777777" w:rsidR="00BC101A" w:rsidRDefault="00BC101A" w:rsidP="00E61748">
      <w:pPr>
        <w:rPr>
          <w:rFonts w:cs="Arial"/>
          <w:szCs w:val="24"/>
        </w:rPr>
      </w:pPr>
    </w:p>
    <w:p w14:paraId="06621E11" w14:textId="77777777" w:rsidR="00CB5C97" w:rsidRPr="00E61748" w:rsidRDefault="00CB5C97" w:rsidP="00E61748">
      <w:pPr>
        <w:rPr>
          <w:szCs w:val="21"/>
        </w:rPr>
      </w:pPr>
    </w:p>
    <w:tbl>
      <w:tblPr>
        <w:tblStyle w:val="Tablaconcuadrcula"/>
        <w:tblW w:w="0" w:type="auto"/>
        <w:tblLook w:val="04A0" w:firstRow="1" w:lastRow="0" w:firstColumn="1" w:lastColumn="0" w:noHBand="0" w:noVBand="1"/>
      </w:tblPr>
      <w:tblGrid>
        <w:gridCol w:w="1555"/>
        <w:gridCol w:w="7796"/>
      </w:tblGrid>
      <w:tr w:rsidR="006C6C88" w14:paraId="68145E84" w14:textId="77777777" w:rsidTr="00B17AC2">
        <w:tc>
          <w:tcPr>
            <w:tcW w:w="1555" w:type="dxa"/>
          </w:tcPr>
          <w:p w14:paraId="20A25CF3" w14:textId="77777777" w:rsidR="006C6C88" w:rsidRPr="00584142" w:rsidRDefault="006C6C88" w:rsidP="00B17AC2">
            <w:pPr>
              <w:rPr>
                <w:i/>
                <w:iCs/>
                <w:szCs w:val="22"/>
                <w:lang w:val="es-CO"/>
              </w:rPr>
            </w:pPr>
            <w:proofErr w:type="spellStart"/>
            <w:r w:rsidRPr="00584142">
              <w:rPr>
                <w:i/>
                <w:iCs/>
                <w:szCs w:val="22"/>
                <w:lang w:val="es-CO"/>
              </w:rPr>
              <w:t>Par</w:t>
            </w:r>
            <w:r w:rsidRPr="00763D9D">
              <w:rPr>
                <w:i/>
                <w:iCs/>
                <w:szCs w:val="22"/>
                <w:vertAlign w:val="subscript"/>
                <w:lang w:val="es-CO"/>
              </w:rPr>
              <w:t>j,z</w:t>
            </w:r>
            <w:proofErr w:type="spellEnd"/>
            <w:r w:rsidRPr="00584142">
              <w:rPr>
                <w:i/>
                <w:iCs/>
                <w:szCs w:val="22"/>
                <w:lang w:val="es-CO"/>
              </w:rPr>
              <w:t>:</w:t>
            </w:r>
          </w:p>
        </w:tc>
        <w:tc>
          <w:tcPr>
            <w:tcW w:w="7796" w:type="dxa"/>
          </w:tcPr>
          <w:p w14:paraId="0FD48C3B" w14:textId="1855E883" w:rsidR="00121490" w:rsidRPr="00121490" w:rsidRDefault="006C6C88" w:rsidP="00396511">
            <w:pPr>
              <w:rPr>
                <w:szCs w:val="22"/>
                <w:lang w:val="es-CO"/>
              </w:rPr>
            </w:pPr>
            <w:r w:rsidRPr="00396511">
              <w:rPr>
                <w:szCs w:val="22"/>
                <w:lang w:val="es-CO"/>
              </w:rPr>
              <w:t>Precios de oferta de arranque – parada z de la planta j. En caso de presentarse transición entre configuraciones de una planta de ciclo combinado, el arranque – parada de la nueva configuración será valorado como la suma de los precios de arranque – parada, según estado, de unidades adicionales entre la configuración del período t y la configuración del período t-1.</w:t>
            </w:r>
            <w:r w:rsidR="00433CC0" w:rsidRPr="00396511">
              <w:rPr>
                <w:szCs w:val="22"/>
                <w:lang w:val="es-CO"/>
              </w:rPr>
              <w:t xml:space="preserve"> Aplica para las plantas que salen en el despacho ideal y real.</w:t>
            </w:r>
            <w:r w:rsidR="00396511">
              <w:rPr>
                <w:szCs w:val="22"/>
                <w:lang w:val="es-CO"/>
              </w:rPr>
              <w:t xml:space="preserve"> </w:t>
            </w:r>
            <w:r w:rsidR="00C472F4">
              <w:rPr>
                <w:szCs w:val="22"/>
                <w:lang w:val="es-CO"/>
              </w:rPr>
              <w:t>Será cero si la planta solo opera en el despacho ideal.</w:t>
            </w:r>
          </w:p>
        </w:tc>
      </w:tr>
    </w:tbl>
    <w:p w14:paraId="1BFCEC53" w14:textId="380BD7BD" w:rsidR="00A01C5A" w:rsidRPr="00A01C5A" w:rsidRDefault="00A01C5A" w:rsidP="00A01C5A">
      <w:pPr>
        <w:pStyle w:val="Descripcin"/>
        <w:jc w:val="center"/>
        <w:rPr>
          <w:sz w:val="20"/>
          <w:szCs w:val="24"/>
          <w:lang w:val="es-CO"/>
        </w:rPr>
      </w:pPr>
      <w:bookmarkStart w:id="48" w:name="_Toc168493585"/>
      <w:r w:rsidRPr="00A01C5A">
        <w:rPr>
          <w:sz w:val="20"/>
          <w:szCs w:val="20"/>
        </w:rPr>
        <w:t xml:space="preserve">Tabla </w:t>
      </w:r>
      <w:r w:rsidRPr="00A01C5A">
        <w:rPr>
          <w:sz w:val="20"/>
          <w:szCs w:val="20"/>
        </w:rPr>
        <w:fldChar w:fldCharType="begin"/>
      </w:r>
      <w:r w:rsidRPr="00A01C5A">
        <w:rPr>
          <w:sz w:val="20"/>
          <w:szCs w:val="20"/>
        </w:rPr>
        <w:instrText xml:space="preserve"> SEQ Tabla \* ARABIC </w:instrText>
      </w:r>
      <w:r w:rsidRPr="00A01C5A">
        <w:rPr>
          <w:sz w:val="20"/>
          <w:szCs w:val="20"/>
        </w:rPr>
        <w:fldChar w:fldCharType="separate"/>
      </w:r>
      <w:r w:rsidR="00CB0CB3">
        <w:rPr>
          <w:noProof/>
          <w:sz w:val="20"/>
          <w:szCs w:val="20"/>
        </w:rPr>
        <w:t>4</w:t>
      </w:r>
      <w:r w:rsidRPr="00A01C5A">
        <w:rPr>
          <w:sz w:val="20"/>
          <w:szCs w:val="20"/>
        </w:rPr>
        <w:fldChar w:fldCharType="end"/>
      </w:r>
      <w:r w:rsidRPr="00A01C5A">
        <w:rPr>
          <w:sz w:val="20"/>
          <w:szCs w:val="20"/>
        </w:rPr>
        <w:t xml:space="preserve">. </w:t>
      </w:r>
      <w:r>
        <w:rPr>
          <w:sz w:val="20"/>
          <w:szCs w:val="20"/>
        </w:rPr>
        <w:t>Nueva d</w:t>
      </w:r>
      <w:r w:rsidRPr="00A01C5A">
        <w:rPr>
          <w:sz w:val="20"/>
          <w:szCs w:val="20"/>
        </w:rPr>
        <w:t xml:space="preserve">escripción variable arranque – parada para la determinación de </w:t>
      </w:r>
      <w:r w:rsidRPr="00A01C5A">
        <w:rPr>
          <w:rFonts w:cs="Arial"/>
          <w:sz w:val="20"/>
          <w:szCs w:val="20"/>
        </w:rPr>
        <w:t>∆</w:t>
      </w:r>
      <w:r w:rsidRPr="00A01C5A">
        <w:rPr>
          <w:sz w:val="20"/>
          <w:szCs w:val="20"/>
        </w:rPr>
        <w:t>I</w:t>
      </w:r>
      <w:bookmarkEnd w:id="48"/>
    </w:p>
    <w:p w14:paraId="22F112EA" w14:textId="2007D357" w:rsidR="00284925" w:rsidRDefault="00284925" w:rsidP="00E61748">
      <w:pPr>
        <w:rPr>
          <w:szCs w:val="21"/>
          <w:lang w:val="es-CO"/>
        </w:rPr>
      </w:pPr>
    </w:p>
    <w:p w14:paraId="4F104AFD" w14:textId="423FC6F9" w:rsidR="00EF11FE" w:rsidRPr="004B43C5" w:rsidRDefault="00EF11FE">
      <w:pPr>
        <w:pStyle w:val="Ttulo1"/>
        <w:numPr>
          <w:ilvl w:val="0"/>
          <w:numId w:val="7"/>
        </w:numPr>
        <w:spacing w:after="0"/>
        <w:ind w:left="431" w:hanging="431"/>
      </w:pPr>
      <w:bookmarkStart w:id="49" w:name="_Toc168493567"/>
      <w:r w:rsidRPr="004B43C5">
        <w:t>ANÁLISIS DE IMPACTO</w:t>
      </w:r>
      <w:bookmarkEnd w:id="49"/>
    </w:p>
    <w:p w14:paraId="09E3C466" w14:textId="01F2351B" w:rsidR="00EF11FE" w:rsidRDefault="00EF11FE" w:rsidP="0038050C">
      <w:pPr>
        <w:rPr>
          <w:szCs w:val="21"/>
        </w:rPr>
      </w:pPr>
    </w:p>
    <w:p w14:paraId="768516FD" w14:textId="2062FB8F" w:rsidR="007436B3" w:rsidRDefault="00820E85" w:rsidP="0038050C">
      <w:pPr>
        <w:rPr>
          <w:szCs w:val="21"/>
        </w:rPr>
      </w:pPr>
      <w:r>
        <w:rPr>
          <w:szCs w:val="21"/>
        </w:rPr>
        <w:t xml:space="preserve">Teniendo en cuenta </w:t>
      </w:r>
      <w:r w:rsidR="001431EB">
        <w:rPr>
          <w:szCs w:val="21"/>
        </w:rPr>
        <w:t>las propuestas de ajustes</w:t>
      </w:r>
      <w:r w:rsidR="003D0908">
        <w:rPr>
          <w:szCs w:val="21"/>
        </w:rPr>
        <w:t>,</w:t>
      </w:r>
      <w:r w:rsidR="001431EB">
        <w:rPr>
          <w:szCs w:val="21"/>
        </w:rPr>
        <w:t xml:space="preserve"> </w:t>
      </w:r>
      <w:r w:rsidR="00014053">
        <w:rPr>
          <w:szCs w:val="21"/>
        </w:rPr>
        <w:t>se han identificado lo siguientes efectos:</w:t>
      </w:r>
    </w:p>
    <w:p w14:paraId="43825AB7" w14:textId="77777777" w:rsidR="00014053" w:rsidRDefault="00014053" w:rsidP="0038050C">
      <w:pPr>
        <w:rPr>
          <w:szCs w:val="21"/>
        </w:rPr>
      </w:pPr>
    </w:p>
    <w:p w14:paraId="5553E5B2" w14:textId="11571CB5" w:rsidR="00014053" w:rsidRPr="00C857DC" w:rsidRDefault="00014053" w:rsidP="00C857DC">
      <w:pPr>
        <w:pStyle w:val="Prrafodelista"/>
        <w:numPr>
          <w:ilvl w:val="0"/>
          <w:numId w:val="34"/>
        </w:numPr>
        <w:rPr>
          <w:szCs w:val="21"/>
        </w:rPr>
      </w:pPr>
      <w:r w:rsidRPr="00C857DC">
        <w:rPr>
          <w:szCs w:val="21"/>
        </w:rPr>
        <w:t>Costos de reconciliación positiva</w:t>
      </w:r>
      <w:r w:rsidR="00C857DC" w:rsidRPr="00C857DC">
        <w:rPr>
          <w:szCs w:val="21"/>
        </w:rPr>
        <w:t>,</w:t>
      </w:r>
      <w:r w:rsidR="00C857DC">
        <w:rPr>
          <w:szCs w:val="21"/>
        </w:rPr>
        <w:t xml:space="preserve"> s</w:t>
      </w:r>
      <w:r w:rsidRPr="00C857DC">
        <w:rPr>
          <w:szCs w:val="21"/>
        </w:rPr>
        <w:t>i se mantienen la tendencia en los precio</w:t>
      </w:r>
      <w:r w:rsidR="00D421BA" w:rsidRPr="00C857DC">
        <w:rPr>
          <w:szCs w:val="21"/>
        </w:rPr>
        <w:t>s</w:t>
      </w:r>
      <w:r w:rsidRPr="00C857DC">
        <w:rPr>
          <w:szCs w:val="21"/>
        </w:rPr>
        <w:t xml:space="preserve"> presentados en </w:t>
      </w:r>
      <w:r w:rsidR="00052D8C" w:rsidRPr="00C857DC">
        <w:rPr>
          <w:szCs w:val="21"/>
        </w:rPr>
        <w:t xml:space="preserve">el numeral </w:t>
      </w:r>
      <w:r w:rsidR="008566B7" w:rsidRPr="00C857DC">
        <w:rPr>
          <w:szCs w:val="21"/>
        </w:rPr>
        <w:fldChar w:fldCharType="begin"/>
      </w:r>
      <w:r w:rsidR="008566B7" w:rsidRPr="00C857DC">
        <w:rPr>
          <w:szCs w:val="21"/>
        </w:rPr>
        <w:instrText xml:space="preserve"> REF _Ref142573421 \r \h </w:instrText>
      </w:r>
      <w:r w:rsidR="008566B7" w:rsidRPr="00C857DC">
        <w:rPr>
          <w:szCs w:val="21"/>
        </w:rPr>
      </w:r>
      <w:r w:rsidR="008566B7" w:rsidRPr="00C857DC">
        <w:rPr>
          <w:szCs w:val="21"/>
        </w:rPr>
        <w:fldChar w:fldCharType="separate"/>
      </w:r>
      <w:r w:rsidR="00CB0CB3">
        <w:rPr>
          <w:szCs w:val="21"/>
        </w:rPr>
        <w:t>5.2.1</w:t>
      </w:r>
      <w:r w:rsidR="008566B7" w:rsidRPr="00C857DC">
        <w:rPr>
          <w:szCs w:val="21"/>
        </w:rPr>
        <w:fldChar w:fldCharType="end"/>
      </w:r>
      <w:r w:rsidR="00052D8C" w:rsidRPr="00C857DC">
        <w:rPr>
          <w:szCs w:val="21"/>
        </w:rPr>
        <w:t xml:space="preserve"> puede </w:t>
      </w:r>
      <w:r w:rsidR="00440B7A" w:rsidRPr="00C857DC">
        <w:rPr>
          <w:szCs w:val="21"/>
        </w:rPr>
        <w:t>haber una posible tendencia a la baja de los costos unitarios</w:t>
      </w:r>
      <w:r w:rsidR="00BF6B36" w:rsidRPr="00C857DC">
        <w:rPr>
          <w:szCs w:val="21"/>
        </w:rPr>
        <w:t xml:space="preserve"> reconocidos</w:t>
      </w:r>
      <w:r w:rsidR="00186D75" w:rsidRPr="00C857DC">
        <w:rPr>
          <w:szCs w:val="21"/>
        </w:rPr>
        <w:t>,</w:t>
      </w:r>
      <w:r w:rsidR="00BC0AC2" w:rsidRPr="00C857DC">
        <w:rPr>
          <w:szCs w:val="21"/>
        </w:rPr>
        <w:t xml:space="preserve"> en valores </w:t>
      </w:r>
      <w:r w:rsidR="00A402A0" w:rsidRPr="00C857DC">
        <w:rPr>
          <w:szCs w:val="21"/>
        </w:rPr>
        <w:t xml:space="preserve">que podrán llegar </w:t>
      </w:r>
      <w:r w:rsidR="00EB0E3A" w:rsidRPr="00C857DC">
        <w:rPr>
          <w:szCs w:val="21"/>
        </w:rPr>
        <w:t xml:space="preserve">hasta </w:t>
      </w:r>
      <w:r w:rsidR="00BC0AC2" w:rsidRPr="00C857DC">
        <w:rPr>
          <w:szCs w:val="21"/>
        </w:rPr>
        <w:t>del orden del 4</w:t>
      </w:r>
      <w:r w:rsidR="00913BB3">
        <w:rPr>
          <w:szCs w:val="21"/>
        </w:rPr>
        <w:t>.</w:t>
      </w:r>
      <w:r w:rsidR="0036759A">
        <w:rPr>
          <w:szCs w:val="21"/>
        </w:rPr>
        <w:t>6</w:t>
      </w:r>
      <w:r w:rsidR="00BC0AC2" w:rsidRPr="00C857DC">
        <w:rPr>
          <w:szCs w:val="21"/>
        </w:rPr>
        <w:t>%</w:t>
      </w:r>
      <w:r w:rsidR="00E148ED">
        <w:rPr>
          <w:rStyle w:val="Refdenotaalpie"/>
          <w:szCs w:val="21"/>
        </w:rPr>
        <w:footnoteReference w:id="7"/>
      </w:r>
      <w:r w:rsidR="00916FE8" w:rsidRPr="00C857DC">
        <w:rPr>
          <w:szCs w:val="21"/>
        </w:rPr>
        <w:t xml:space="preserve"> si consideramos que la componente de arranque – parada e</w:t>
      </w:r>
      <w:r w:rsidR="005B6E4E" w:rsidRPr="00C857DC">
        <w:rPr>
          <w:szCs w:val="21"/>
        </w:rPr>
        <w:t>s</w:t>
      </w:r>
      <w:r w:rsidR="00916FE8" w:rsidRPr="00C857DC">
        <w:rPr>
          <w:szCs w:val="21"/>
        </w:rPr>
        <w:t xml:space="preserve"> el </w:t>
      </w:r>
      <w:r w:rsidR="00201CDF" w:rsidRPr="00C857DC">
        <w:rPr>
          <w:szCs w:val="21"/>
        </w:rPr>
        <w:t>9</w:t>
      </w:r>
      <w:r w:rsidR="00916FE8" w:rsidRPr="00C857DC">
        <w:rPr>
          <w:szCs w:val="21"/>
        </w:rPr>
        <w:t>%</w:t>
      </w:r>
      <w:r w:rsidR="001A54C0">
        <w:rPr>
          <w:rStyle w:val="Refdenotaalpie"/>
          <w:szCs w:val="21"/>
        </w:rPr>
        <w:footnoteReference w:id="8"/>
      </w:r>
      <w:r w:rsidR="00916FE8" w:rsidRPr="00C857DC">
        <w:rPr>
          <w:szCs w:val="21"/>
        </w:rPr>
        <w:t xml:space="preserve"> de los costos unitario</w:t>
      </w:r>
      <w:r w:rsidR="005B6E4E" w:rsidRPr="00C857DC">
        <w:rPr>
          <w:szCs w:val="21"/>
        </w:rPr>
        <w:t xml:space="preserve"> de la </w:t>
      </w:r>
      <w:r w:rsidR="00652FAA" w:rsidRPr="00C857DC">
        <w:rPr>
          <w:szCs w:val="21"/>
        </w:rPr>
        <w:t>planta</w:t>
      </w:r>
      <w:r w:rsidR="00622311" w:rsidRPr="00C857DC">
        <w:rPr>
          <w:szCs w:val="21"/>
        </w:rPr>
        <w:t xml:space="preserve"> para el caso del gas</w:t>
      </w:r>
      <w:r w:rsidR="00652FAA" w:rsidRPr="00C857DC">
        <w:rPr>
          <w:szCs w:val="21"/>
        </w:rPr>
        <w:t>, por</w:t>
      </w:r>
      <w:r w:rsidR="00434648" w:rsidRPr="00C857DC">
        <w:rPr>
          <w:szCs w:val="21"/>
        </w:rPr>
        <w:t xml:space="preserve"> la </w:t>
      </w:r>
      <w:r w:rsidR="00687CB2" w:rsidRPr="00C857DC">
        <w:rPr>
          <w:szCs w:val="21"/>
        </w:rPr>
        <w:t xml:space="preserve">posible disminución en los valores </w:t>
      </w:r>
      <w:r w:rsidR="00AC4DE1" w:rsidRPr="00C857DC">
        <w:rPr>
          <w:szCs w:val="21"/>
        </w:rPr>
        <w:t xml:space="preserve">de los costos de arranque </w:t>
      </w:r>
      <w:r w:rsidR="0012312B">
        <w:rPr>
          <w:szCs w:val="21"/>
        </w:rPr>
        <w:t>–</w:t>
      </w:r>
      <w:r w:rsidR="00AC4DE1" w:rsidRPr="00C857DC">
        <w:rPr>
          <w:szCs w:val="21"/>
        </w:rPr>
        <w:t xml:space="preserve"> parada</w:t>
      </w:r>
      <w:r w:rsidR="0012312B">
        <w:rPr>
          <w:szCs w:val="21"/>
        </w:rPr>
        <w:t xml:space="preserve"> para las plant</w:t>
      </w:r>
      <w:r w:rsidR="00EC5F17">
        <w:rPr>
          <w:szCs w:val="21"/>
        </w:rPr>
        <w:t>a</w:t>
      </w:r>
      <w:r w:rsidR="0012312B">
        <w:rPr>
          <w:szCs w:val="21"/>
        </w:rPr>
        <w:t>s donde hoy se presenta diferencia relevante entre el PCAP y Par</w:t>
      </w:r>
      <w:r w:rsidR="00C31CFA" w:rsidRPr="00C857DC">
        <w:rPr>
          <w:szCs w:val="21"/>
        </w:rPr>
        <w:t xml:space="preserve">. </w:t>
      </w:r>
    </w:p>
    <w:p w14:paraId="678BE7E6" w14:textId="77777777" w:rsidR="00652FAA" w:rsidRPr="00652FAA" w:rsidRDefault="00652FAA" w:rsidP="00652FAA">
      <w:pPr>
        <w:rPr>
          <w:szCs w:val="21"/>
        </w:rPr>
      </w:pPr>
    </w:p>
    <w:p w14:paraId="5A9180B3" w14:textId="0A483F39" w:rsidR="00652FAA" w:rsidRDefault="00652FAA" w:rsidP="00014053">
      <w:pPr>
        <w:pStyle w:val="Prrafodelista"/>
        <w:numPr>
          <w:ilvl w:val="0"/>
          <w:numId w:val="34"/>
        </w:numPr>
        <w:rPr>
          <w:szCs w:val="21"/>
        </w:rPr>
      </w:pPr>
      <w:r>
        <w:rPr>
          <w:szCs w:val="21"/>
        </w:rPr>
        <w:t>En lo que respecta a los procesos de</w:t>
      </w:r>
      <w:r w:rsidR="0029743A">
        <w:rPr>
          <w:szCs w:val="21"/>
        </w:rPr>
        <w:t xml:space="preserve"> liquidación</w:t>
      </w:r>
      <w:r>
        <w:rPr>
          <w:szCs w:val="21"/>
        </w:rPr>
        <w:t xml:space="preserve">, con la propuesta de </w:t>
      </w:r>
      <w:r w:rsidR="0029743A">
        <w:rPr>
          <w:szCs w:val="21"/>
        </w:rPr>
        <w:t xml:space="preserve">manejar un </w:t>
      </w:r>
      <w:r>
        <w:rPr>
          <w:szCs w:val="21"/>
        </w:rPr>
        <w:t>solo precio de arranque – parada para todos los procesos de liquidación</w:t>
      </w:r>
      <w:r w:rsidR="0029743A">
        <w:rPr>
          <w:szCs w:val="21"/>
        </w:rPr>
        <w:t xml:space="preserve">, se tendrá </w:t>
      </w:r>
      <w:r w:rsidR="00C6565C">
        <w:rPr>
          <w:szCs w:val="21"/>
        </w:rPr>
        <w:t>una simplificación en dichos procesos.</w:t>
      </w:r>
      <w:r>
        <w:rPr>
          <w:szCs w:val="21"/>
        </w:rPr>
        <w:t xml:space="preserve"> </w:t>
      </w:r>
      <w:r w:rsidR="008108FD">
        <w:rPr>
          <w:szCs w:val="21"/>
        </w:rPr>
        <w:t>Además de que se armoniza el conce</w:t>
      </w:r>
      <w:r w:rsidR="00AD6420">
        <w:rPr>
          <w:szCs w:val="21"/>
        </w:rPr>
        <w:t>p</w:t>
      </w:r>
      <w:r w:rsidR="008108FD">
        <w:rPr>
          <w:szCs w:val="21"/>
        </w:rPr>
        <w:t>to de arranque</w:t>
      </w:r>
      <w:r w:rsidR="00B60240">
        <w:rPr>
          <w:szCs w:val="21"/>
        </w:rPr>
        <w:t>-para</w:t>
      </w:r>
      <w:r w:rsidR="00AD6420">
        <w:rPr>
          <w:szCs w:val="21"/>
        </w:rPr>
        <w:t>da</w:t>
      </w:r>
      <w:r w:rsidR="00B60240">
        <w:rPr>
          <w:szCs w:val="21"/>
        </w:rPr>
        <w:t xml:space="preserve"> en la liquidación de la reconciliación positiva de las plantas térmicas y </w:t>
      </w:r>
      <w:r w:rsidR="00AD6420">
        <w:rPr>
          <w:szCs w:val="21"/>
        </w:rPr>
        <w:t>en la liquidación en la bolsa.</w:t>
      </w:r>
    </w:p>
    <w:p w14:paraId="0801449F" w14:textId="77777777" w:rsidR="00AF0714" w:rsidRPr="00AF0714" w:rsidRDefault="00AF0714" w:rsidP="00AF0714">
      <w:pPr>
        <w:rPr>
          <w:szCs w:val="21"/>
        </w:rPr>
      </w:pPr>
    </w:p>
    <w:p w14:paraId="410A5D04" w14:textId="2600E439" w:rsidR="00AF0714" w:rsidRDefault="00D75081" w:rsidP="00014053">
      <w:pPr>
        <w:pStyle w:val="Prrafodelista"/>
        <w:numPr>
          <w:ilvl w:val="0"/>
          <w:numId w:val="34"/>
        </w:numPr>
        <w:rPr>
          <w:szCs w:val="21"/>
        </w:rPr>
      </w:pPr>
      <w:r>
        <w:rPr>
          <w:szCs w:val="21"/>
        </w:rPr>
        <w:t>Finalmente, respecto de p</w:t>
      </w:r>
      <w:r w:rsidR="00AF0714">
        <w:rPr>
          <w:szCs w:val="21"/>
        </w:rPr>
        <w:t>recios en bolsa</w:t>
      </w:r>
      <w:r w:rsidR="00484D1D">
        <w:rPr>
          <w:szCs w:val="21"/>
        </w:rPr>
        <w:t xml:space="preserve"> podría haber una</w:t>
      </w:r>
      <w:r>
        <w:rPr>
          <w:szCs w:val="21"/>
        </w:rPr>
        <w:t xml:space="preserve"> </w:t>
      </w:r>
      <w:r w:rsidR="0098189F">
        <w:rPr>
          <w:szCs w:val="21"/>
        </w:rPr>
        <w:t xml:space="preserve">posible disminución en la componente </w:t>
      </w:r>
      <w:r w:rsidR="0098189F">
        <w:rPr>
          <w:rFonts w:cs="Arial"/>
          <w:szCs w:val="21"/>
        </w:rPr>
        <w:t>∆</w:t>
      </w:r>
      <w:r w:rsidR="0098189F">
        <w:rPr>
          <w:szCs w:val="21"/>
        </w:rPr>
        <w:t>I</w:t>
      </w:r>
      <w:r w:rsidR="007B4B1B">
        <w:rPr>
          <w:szCs w:val="21"/>
        </w:rPr>
        <w:t>, al reconocer</w:t>
      </w:r>
      <w:r>
        <w:rPr>
          <w:szCs w:val="21"/>
        </w:rPr>
        <w:t xml:space="preserve"> únicamente </w:t>
      </w:r>
      <w:r w:rsidR="007B4B1B">
        <w:rPr>
          <w:szCs w:val="21"/>
        </w:rPr>
        <w:t xml:space="preserve">los </w:t>
      </w:r>
      <w:r w:rsidR="005B6E4E">
        <w:rPr>
          <w:szCs w:val="21"/>
        </w:rPr>
        <w:t xml:space="preserve">costos de </w:t>
      </w:r>
      <w:r w:rsidR="007B4B1B">
        <w:rPr>
          <w:szCs w:val="21"/>
        </w:rPr>
        <w:t xml:space="preserve">arranque – parada </w:t>
      </w:r>
      <w:r w:rsidR="00291A8F">
        <w:rPr>
          <w:szCs w:val="21"/>
        </w:rPr>
        <w:t>que</w:t>
      </w:r>
      <w:r>
        <w:rPr>
          <w:szCs w:val="21"/>
        </w:rPr>
        <w:t xml:space="preserve"> se</w:t>
      </w:r>
      <w:r w:rsidR="00291A8F">
        <w:rPr>
          <w:szCs w:val="21"/>
        </w:rPr>
        <w:t xml:space="preserve"> </w:t>
      </w:r>
      <w:r w:rsidR="007B041E">
        <w:rPr>
          <w:szCs w:val="21"/>
        </w:rPr>
        <w:t>hayan dado en la operación real y en despacho ideal</w:t>
      </w:r>
      <w:r w:rsidR="004D7E2A">
        <w:rPr>
          <w:szCs w:val="21"/>
        </w:rPr>
        <w:t xml:space="preserve">. Sin embargo, en ningún caso </w:t>
      </w:r>
      <w:r w:rsidR="004D7E2A">
        <w:rPr>
          <w:szCs w:val="21"/>
        </w:rPr>
        <w:lastRenderedPageBreak/>
        <w:t xml:space="preserve">esto podría ser mayor al 1% </w:t>
      </w:r>
      <w:r w:rsidR="00DF4497">
        <w:rPr>
          <w:szCs w:val="21"/>
        </w:rPr>
        <w:t xml:space="preserve">de los precios </w:t>
      </w:r>
      <w:r w:rsidR="00A97709">
        <w:rPr>
          <w:szCs w:val="21"/>
        </w:rPr>
        <w:t xml:space="preserve">promedio </w:t>
      </w:r>
      <w:r w:rsidR="00DF4497">
        <w:rPr>
          <w:szCs w:val="21"/>
        </w:rPr>
        <w:t>en bolsa</w:t>
      </w:r>
      <w:r w:rsidR="00291A8F">
        <w:rPr>
          <w:szCs w:val="21"/>
        </w:rPr>
        <w:t xml:space="preserve">, </w:t>
      </w:r>
      <w:r w:rsidR="00DF4497">
        <w:rPr>
          <w:szCs w:val="21"/>
        </w:rPr>
        <w:t xml:space="preserve">dado que dicho valor </w:t>
      </w:r>
      <w:r w:rsidR="002B6649">
        <w:rPr>
          <w:szCs w:val="21"/>
        </w:rPr>
        <w:t xml:space="preserve">en promedio </w:t>
      </w:r>
      <w:r w:rsidR="003F0D31">
        <w:rPr>
          <w:szCs w:val="21"/>
        </w:rPr>
        <w:t xml:space="preserve">no ha superado el </w:t>
      </w:r>
      <w:r w:rsidR="00E07E7E">
        <w:rPr>
          <w:szCs w:val="21"/>
        </w:rPr>
        <w:t xml:space="preserve">1% del precio de bolsa, </w:t>
      </w:r>
      <w:r w:rsidR="00652FAA">
        <w:rPr>
          <w:szCs w:val="21"/>
        </w:rPr>
        <w:t xml:space="preserve">si consideramos </w:t>
      </w:r>
      <w:r w:rsidR="0002339A">
        <w:rPr>
          <w:szCs w:val="21"/>
        </w:rPr>
        <w:t xml:space="preserve">la participación promedio del </w:t>
      </w:r>
      <w:r w:rsidR="00D5301E">
        <w:rPr>
          <w:rFonts w:cs="Arial"/>
          <w:szCs w:val="21"/>
        </w:rPr>
        <w:t>∆</w:t>
      </w:r>
      <w:r w:rsidR="00D5301E">
        <w:rPr>
          <w:szCs w:val="21"/>
        </w:rPr>
        <w:t>I en el año 2022.</w:t>
      </w:r>
    </w:p>
    <w:p w14:paraId="09750AE5" w14:textId="77777777" w:rsidR="003A760F" w:rsidRDefault="003A760F" w:rsidP="003A760F">
      <w:pPr>
        <w:pStyle w:val="Prrafodelista"/>
        <w:rPr>
          <w:szCs w:val="21"/>
        </w:rPr>
      </w:pPr>
    </w:p>
    <w:p w14:paraId="4BC28EC0" w14:textId="77777777" w:rsidR="005C2570" w:rsidRPr="003A760F" w:rsidRDefault="005C2570" w:rsidP="003A760F">
      <w:pPr>
        <w:pStyle w:val="Prrafodelista"/>
        <w:rPr>
          <w:szCs w:val="21"/>
        </w:rPr>
      </w:pPr>
    </w:p>
    <w:p w14:paraId="1FEF8704" w14:textId="41CDE7DF" w:rsidR="007C7C09" w:rsidRPr="004B43C5" w:rsidRDefault="007C7C09">
      <w:pPr>
        <w:pStyle w:val="Ttulo1"/>
        <w:numPr>
          <w:ilvl w:val="0"/>
          <w:numId w:val="7"/>
        </w:numPr>
        <w:spacing w:after="0"/>
        <w:ind w:left="431" w:hanging="431"/>
      </w:pPr>
      <w:bookmarkStart w:id="50" w:name="_Toc168493568"/>
      <w:r w:rsidRPr="004B43C5">
        <w:t>CONSULTA PÚBL</w:t>
      </w:r>
      <w:r w:rsidR="00DD4DF1" w:rsidRPr="004B43C5">
        <w:t>ICA</w:t>
      </w:r>
      <w:bookmarkEnd w:id="50"/>
    </w:p>
    <w:p w14:paraId="13452271" w14:textId="5E470704" w:rsidR="00DD4DF1" w:rsidRDefault="00DD4DF1" w:rsidP="00DD4DF1"/>
    <w:p w14:paraId="7F1AF662" w14:textId="0A5AC9C9" w:rsidR="00BA3585" w:rsidRDefault="00394D55" w:rsidP="00DD4DF1">
      <w:pPr>
        <w:rPr>
          <w:lang w:val="es-CO"/>
        </w:rPr>
      </w:pPr>
      <w:r w:rsidRPr="00394D55">
        <w:rPr>
          <w:lang w:val="es-CO"/>
        </w:rPr>
        <w:t xml:space="preserve">Teniendo en cuenta </w:t>
      </w:r>
      <w:r w:rsidR="00CF3E36">
        <w:rPr>
          <w:lang w:val="es-CO"/>
        </w:rPr>
        <w:t xml:space="preserve">los análisis adelantados en el presente documento, </w:t>
      </w:r>
      <w:r w:rsidR="00E94183">
        <w:rPr>
          <w:lang w:val="es-CO"/>
        </w:rPr>
        <w:t xml:space="preserve">en cuanto a los ajustes a la </w:t>
      </w:r>
      <w:r w:rsidR="00E13EBE">
        <w:rPr>
          <w:lang w:val="es-CO"/>
        </w:rPr>
        <w:t>remuneración de la reconciliación positiva de las plantas térmicas</w:t>
      </w:r>
      <w:r w:rsidR="008A5625">
        <w:rPr>
          <w:lang w:val="es-CO"/>
        </w:rPr>
        <w:t xml:space="preserve"> (Resolución CREG 034 de 2001)</w:t>
      </w:r>
      <w:r w:rsidR="00E13EBE">
        <w:rPr>
          <w:lang w:val="es-CO"/>
        </w:rPr>
        <w:t xml:space="preserve"> y la liquidación de valor </w:t>
      </w:r>
      <w:r w:rsidR="00E13EBE">
        <w:rPr>
          <w:rFonts w:cs="Arial"/>
          <w:lang w:val="es-CO"/>
        </w:rPr>
        <w:t>∆</w:t>
      </w:r>
      <w:r w:rsidR="005B6627">
        <w:rPr>
          <w:rFonts w:cs="Arial"/>
          <w:lang w:val="es-CO"/>
        </w:rPr>
        <w:t>I</w:t>
      </w:r>
      <w:r w:rsidR="00E13EBE">
        <w:rPr>
          <w:lang w:val="es-CO"/>
        </w:rPr>
        <w:t xml:space="preserve"> que hace parte del precio de bolsa</w:t>
      </w:r>
      <w:r w:rsidR="008A5625">
        <w:rPr>
          <w:lang w:val="es-CO"/>
        </w:rPr>
        <w:t xml:space="preserve"> (</w:t>
      </w:r>
      <w:r w:rsidR="003B7D9A">
        <w:rPr>
          <w:lang w:val="es-CO"/>
        </w:rPr>
        <w:t xml:space="preserve">literal d del </w:t>
      </w:r>
      <w:r w:rsidR="008A5625">
        <w:rPr>
          <w:lang w:val="es-CO"/>
        </w:rPr>
        <w:t>Anexo 4 de la Resolución CREG 024 de 1995)</w:t>
      </w:r>
      <w:r w:rsidR="00E13EBE">
        <w:rPr>
          <w:lang w:val="es-CO"/>
        </w:rPr>
        <w:t xml:space="preserve">, </w:t>
      </w:r>
      <w:r w:rsidR="00CF3E36">
        <w:rPr>
          <w:lang w:val="es-CO"/>
        </w:rPr>
        <w:t xml:space="preserve">se recomienda que el proyecto de resolución que acompaña a </w:t>
      </w:r>
      <w:r w:rsidR="005B6627">
        <w:rPr>
          <w:lang w:val="es-CO"/>
        </w:rPr>
        <w:t>e</w:t>
      </w:r>
      <w:r w:rsidR="00CF3E36">
        <w:rPr>
          <w:lang w:val="es-CO"/>
        </w:rPr>
        <w:t xml:space="preserve">sta </w:t>
      </w:r>
      <w:r w:rsidR="007436B3">
        <w:rPr>
          <w:lang w:val="es-CO"/>
        </w:rPr>
        <w:t>propuesta</w:t>
      </w:r>
      <w:r w:rsidR="00CF3E36">
        <w:rPr>
          <w:lang w:val="es-CO"/>
        </w:rPr>
        <w:t xml:space="preserve"> se publique </w:t>
      </w:r>
      <w:r w:rsidR="004D4FAD">
        <w:rPr>
          <w:lang w:val="es-CO"/>
        </w:rPr>
        <w:t>para comentarios de los agentes generadores y terceros interesados.</w:t>
      </w:r>
    </w:p>
    <w:p w14:paraId="47915211" w14:textId="77777777" w:rsidR="00C167C5" w:rsidRDefault="00C167C5" w:rsidP="00DD4DF1">
      <w:pPr>
        <w:rPr>
          <w:lang w:val="es-CO"/>
        </w:rPr>
      </w:pPr>
    </w:p>
    <w:p w14:paraId="4135633D" w14:textId="77777777" w:rsidR="00394D55" w:rsidRPr="00394D55" w:rsidRDefault="00394D55" w:rsidP="00DD4DF1">
      <w:pPr>
        <w:rPr>
          <w:lang w:val="es-CO"/>
        </w:rPr>
      </w:pPr>
    </w:p>
    <w:p w14:paraId="4C85F21F" w14:textId="72177C14" w:rsidR="00836932" w:rsidRPr="004B43C5" w:rsidRDefault="00836932">
      <w:pPr>
        <w:pStyle w:val="Ttulo1"/>
        <w:numPr>
          <w:ilvl w:val="0"/>
          <w:numId w:val="7"/>
        </w:numPr>
        <w:spacing w:after="0"/>
        <w:ind w:left="431" w:hanging="431"/>
      </w:pPr>
      <w:bookmarkStart w:id="51" w:name="_Toc168493569"/>
      <w:r w:rsidRPr="004B43C5">
        <w:t>CONCLUSIONES</w:t>
      </w:r>
      <w:bookmarkEnd w:id="51"/>
    </w:p>
    <w:p w14:paraId="09FFF9CA" w14:textId="08F7AEFC" w:rsidR="00433A35" w:rsidRDefault="00433A35" w:rsidP="00433A35"/>
    <w:p w14:paraId="43897AA2" w14:textId="088FF072" w:rsidR="006E02BB" w:rsidRDefault="00C16AF0" w:rsidP="00FF5E55">
      <w:r w:rsidRPr="00422F6C">
        <w:t xml:space="preserve">Con la expedición de la </w:t>
      </w:r>
      <w:r w:rsidR="00FD6271">
        <w:t>Resolución CREG 101 028 de 2022, se</w:t>
      </w:r>
      <w:r w:rsidR="00535FC9">
        <w:t xml:space="preserve"> hizo un ajuste en la forma de declarar los costos de arranque – parada </w:t>
      </w:r>
      <w:r w:rsidR="003E1692">
        <w:t xml:space="preserve">(CAP) </w:t>
      </w:r>
      <w:r w:rsidR="00535FC9">
        <w:t xml:space="preserve">pasando de </w:t>
      </w:r>
      <w:r w:rsidR="00CC718B">
        <w:t xml:space="preserve">un esquema por configuración y combustible </w:t>
      </w:r>
      <w:r w:rsidR="00D806DA">
        <w:t>a una declaración por combustible, unidad y estado térmico</w:t>
      </w:r>
      <w:r w:rsidR="00A12B80">
        <w:t xml:space="preserve"> (</w:t>
      </w:r>
      <w:r w:rsidR="00D806DA">
        <w:t>frío tibio, caliente</w:t>
      </w:r>
      <w:r w:rsidR="00A12B80">
        <w:t>)</w:t>
      </w:r>
      <w:r w:rsidR="00D806DA">
        <w:t>, con el fin de lograr mejo</w:t>
      </w:r>
      <w:r w:rsidR="002966CE">
        <w:t xml:space="preserve">ra en </w:t>
      </w:r>
      <w:r w:rsidR="00625931">
        <w:t>la optimización d</w:t>
      </w:r>
      <w:r w:rsidR="002966CE">
        <w:t>el proceso de despacho de tal forma que</w:t>
      </w:r>
      <w:r w:rsidR="00FE26CE">
        <w:t xml:space="preserve"> la selección de la configuración </w:t>
      </w:r>
      <w:r w:rsidR="006A27B6">
        <w:t xml:space="preserve">se diera </w:t>
      </w:r>
      <w:r w:rsidR="00B10979">
        <w:t>en el mismo proceso de despacho</w:t>
      </w:r>
      <w:r w:rsidR="006A27B6">
        <w:t>, para el caso de las plantas de ciclo combinado.</w:t>
      </w:r>
    </w:p>
    <w:p w14:paraId="00CDCEF0" w14:textId="77777777" w:rsidR="006A27B6" w:rsidRDefault="006A27B6" w:rsidP="00FF5E55"/>
    <w:p w14:paraId="25051971" w14:textId="6DECB41C" w:rsidR="00CB6217" w:rsidRDefault="006A27B6" w:rsidP="00FF5E55">
      <w:r>
        <w:t xml:space="preserve">Sin embargo, </w:t>
      </w:r>
      <w:r w:rsidR="0039595B">
        <w:t>la reglamentación de la reconciliación positiva de las plantas térmicas, definida en la Resolución CREG 034 de 20</w:t>
      </w:r>
      <w:r w:rsidR="00A12B80">
        <w:t>01</w:t>
      </w:r>
      <w:r w:rsidR="0039595B">
        <w:t>, modificada por la Resolución CREG 044 de 2020, manten</w:t>
      </w:r>
      <w:r w:rsidR="00B92565">
        <w:t xml:space="preserve">ía el concepto de CAP atado </w:t>
      </w:r>
      <w:r w:rsidR="00A12B80">
        <w:t xml:space="preserve">al </w:t>
      </w:r>
      <w:r w:rsidR="00F262AB">
        <w:t>concepto de combu</w:t>
      </w:r>
      <w:r w:rsidR="00326B02">
        <w:t>s</w:t>
      </w:r>
      <w:r w:rsidR="00F262AB">
        <w:t>tible y configuración</w:t>
      </w:r>
      <w:r w:rsidR="00326B02">
        <w:t xml:space="preserve">. Razón por la cual, se requería revisar dicha reglamentación para </w:t>
      </w:r>
      <w:r w:rsidR="005A22FA">
        <w:t xml:space="preserve">armonizar el concepto de CAP con el desarrollo de la Resolución CREG 101 028 </w:t>
      </w:r>
      <w:r w:rsidR="00FF42A6">
        <w:t>de</w:t>
      </w:r>
      <w:r w:rsidR="005A22FA">
        <w:t xml:space="preserve"> 2022. </w:t>
      </w:r>
    </w:p>
    <w:p w14:paraId="7B33AA68" w14:textId="77777777" w:rsidR="00CB6217" w:rsidRDefault="00CB6217" w:rsidP="00FF5E55"/>
    <w:p w14:paraId="13371D13" w14:textId="7F36058D" w:rsidR="000C5814" w:rsidRDefault="00CB6217" w:rsidP="00FF5E55">
      <w:r>
        <w:t>Por otra parte</w:t>
      </w:r>
      <w:r w:rsidR="00915B52">
        <w:t xml:space="preserve">, la reglamentación de la reconciliación positiva maneja </w:t>
      </w:r>
      <w:r w:rsidR="00E6173A">
        <w:t>dos concepto</w:t>
      </w:r>
      <w:r w:rsidR="00B44749">
        <w:t>s</w:t>
      </w:r>
      <w:r w:rsidR="00E6173A">
        <w:t xml:space="preserve"> de CAP, </w:t>
      </w:r>
      <w:r w:rsidR="00381211">
        <w:t xml:space="preserve">i) </w:t>
      </w:r>
      <w:r w:rsidR="00855FBC">
        <w:t>p</w:t>
      </w:r>
      <w:r w:rsidR="00E6173A">
        <w:t>ara el tema de la remuneración por costos</w:t>
      </w:r>
      <w:r w:rsidR="00D521E4">
        <w:t xml:space="preserve"> </w:t>
      </w:r>
      <w:r w:rsidR="002E280C">
        <w:t xml:space="preserve">que se denomina PCAP y </w:t>
      </w:r>
      <w:r w:rsidR="00FD5558">
        <w:t xml:space="preserve">corresponde a la </w:t>
      </w:r>
      <w:r w:rsidR="00E6173A">
        <w:t xml:space="preserve">primera declaración de </w:t>
      </w:r>
      <w:r w:rsidR="00FD5558">
        <w:t xml:space="preserve">los precios de arranque – parada, </w:t>
      </w:r>
      <w:r w:rsidR="00E6173A">
        <w:t>Par</w:t>
      </w:r>
      <w:r w:rsidR="00CA1F33">
        <w:t>, la cual s</w:t>
      </w:r>
      <w:r w:rsidR="00E6173A">
        <w:t>e actualiza con</w:t>
      </w:r>
      <w:r w:rsidR="00CA1F33">
        <w:t xml:space="preserve"> el IPP de los EUA, y </w:t>
      </w:r>
      <w:proofErr w:type="spellStart"/>
      <w:r w:rsidR="00855FBC">
        <w:t>ii</w:t>
      </w:r>
      <w:proofErr w:type="spellEnd"/>
      <w:r w:rsidR="00855FBC">
        <w:t xml:space="preserve">) </w:t>
      </w:r>
      <w:r w:rsidR="00CA1F33">
        <w:t>la declaración de Par que se actualiza trimestralmente.</w:t>
      </w:r>
      <w:r w:rsidR="00E6173A">
        <w:t xml:space="preserve"> </w:t>
      </w:r>
      <w:r w:rsidR="00326B02">
        <w:t xml:space="preserve"> </w:t>
      </w:r>
      <w:r w:rsidR="00F72764">
        <w:t xml:space="preserve">Sin embargo, </w:t>
      </w:r>
      <w:r w:rsidR="008D656A">
        <w:t xml:space="preserve">revisando los dos </w:t>
      </w:r>
      <w:r w:rsidR="00061AB6">
        <w:t>conceptos</w:t>
      </w:r>
      <w:r w:rsidR="00631D89">
        <w:t xml:space="preserve">, </w:t>
      </w:r>
      <w:r w:rsidR="00BD1102">
        <w:t xml:space="preserve">en valores </w:t>
      </w:r>
      <w:r w:rsidR="00631D89">
        <w:t>de</w:t>
      </w:r>
      <w:r w:rsidR="006F526A">
        <w:t xml:space="preserve"> diciembre de 2022</w:t>
      </w:r>
      <w:r w:rsidR="00631D89">
        <w:t>,</w:t>
      </w:r>
      <w:r w:rsidR="006F526A">
        <w:t xml:space="preserve"> </w:t>
      </w:r>
      <w:r w:rsidR="00061AB6">
        <w:t xml:space="preserve">se </w:t>
      </w:r>
      <w:r w:rsidR="001E23D3">
        <w:t xml:space="preserve">encuentra que presentan </w:t>
      </w:r>
      <w:r w:rsidR="00061AB6">
        <w:t xml:space="preserve">valores </w:t>
      </w:r>
      <w:r w:rsidR="001E23D3">
        <w:t xml:space="preserve">con </w:t>
      </w:r>
      <w:r w:rsidR="00061AB6">
        <w:t>diferen</w:t>
      </w:r>
      <w:r w:rsidR="001E23D3">
        <w:t>cias relevantes</w:t>
      </w:r>
      <w:r w:rsidR="002F161C">
        <w:t xml:space="preserve">. </w:t>
      </w:r>
      <w:r w:rsidR="00A64F26">
        <w:t>Ahora bien, dado que la diferencias se pueden explicar por la diferencia en el tiempo de la estructura de costos</w:t>
      </w:r>
      <w:r w:rsidR="006F526A">
        <w:t xml:space="preserve">, los cuales solamente deberían explicar </w:t>
      </w:r>
      <w:r w:rsidR="009C03BC">
        <w:t>porque son declaraciones en diferentes momentos del tiempo</w:t>
      </w:r>
      <w:r w:rsidR="0060113B">
        <w:t xml:space="preserve"> que reflejan condiciones </w:t>
      </w:r>
      <w:r w:rsidR="00585E8F">
        <w:t>disímiles</w:t>
      </w:r>
      <w:r w:rsidR="00DD11B3">
        <w:t xml:space="preserve"> </w:t>
      </w:r>
      <w:r w:rsidR="003436B3">
        <w:t>en el tiempo que reflejan condiciones diferentes en l</w:t>
      </w:r>
      <w:r w:rsidR="00D70D95">
        <w:t xml:space="preserve">a estructura de costos, se ha encontrado </w:t>
      </w:r>
      <w:r w:rsidR="00321BCE">
        <w:t xml:space="preserve">conveniente utilizar un solo concepto de </w:t>
      </w:r>
      <w:r w:rsidR="000C5814">
        <w:t>CAP, adoptando el correspondiente al Par que se actualiza trimestralmente</w:t>
      </w:r>
      <w:r w:rsidR="00585E8F">
        <w:t>, dado que son los datos que reflejan la estructura de costos actualizada.</w:t>
      </w:r>
    </w:p>
    <w:p w14:paraId="1A02F260" w14:textId="77777777" w:rsidR="000C5814" w:rsidRDefault="000C5814" w:rsidP="00FF5E55"/>
    <w:p w14:paraId="47F55E8A" w14:textId="0D47017F" w:rsidR="00BE6EE4" w:rsidRDefault="007B71AA" w:rsidP="00FF5E55">
      <w:r>
        <w:t>Ahora bien, para evitar problemas de riesgo moral y los precios de Par sean explicados por los fundamentales de</w:t>
      </w:r>
      <w:r w:rsidR="00F459DE">
        <w:t xml:space="preserve"> los costos de dicha componente, se propone </w:t>
      </w:r>
      <w:r w:rsidR="00E26A8B">
        <w:t>el</w:t>
      </w:r>
      <w:r w:rsidR="00F459DE">
        <w:t xml:space="preserve"> </w:t>
      </w:r>
      <w:r w:rsidR="0067335F">
        <w:t xml:space="preserve">seguimiento a dichos valores con medida como auditorías, la cual ya se tiene prevista en la Resolución </w:t>
      </w:r>
      <w:r w:rsidR="0067335F">
        <w:lastRenderedPageBreak/>
        <w:t xml:space="preserve">CREG 101 028 de 2022, </w:t>
      </w:r>
      <w:r w:rsidR="0023755E">
        <w:t xml:space="preserve">reporte a la Superintendencia de Servicios </w:t>
      </w:r>
      <w:r w:rsidR="005E582B">
        <w:t xml:space="preserve">Públicos </w:t>
      </w:r>
      <w:r w:rsidR="0023755E">
        <w:t>Domiciliarios</w:t>
      </w:r>
      <w:r w:rsidR="005E582B">
        <w:t xml:space="preserve"> (SSPD) de cambios </w:t>
      </w:r>
      <w:r w:rsidR="00C10ECA">
        <w:t xml:space="preserve">mayores al 20% entre reportes y que se tengan metodologías </w:t>
      </w:r>
      <w:r w:rsidR="000122A9">
        <w:t>de costeo que se puedan sustentar ante la SSPD cuando lo requiera.</w:t>
      </w:r>
    </w:p>
    <w:p w14:paraId="35913536" w14:textId="77777777" w:rsidR="00BE6EE4" w:rsidRDefault="00BE6EE4" w:rsidP="00FF5E55"/>
    <w:p w14:paraId="24F44934" w14:textId="78112533" w:rsidR="006A27B6" w:rsidRPr="00422F6C" w:rsidRDefault="00BE6EE4" w:rsidP="00FF5E55">
      <w:r>
        <w:t>En lo respecta al cumplimiento del</w:t>
      </w:r>
      <w:r w:rsidR="00E26A8B">
        <w:t xml:space="preserve"> literal a) artículo 8 del</w:t>
      </w:r>
      <w:r>
        <w:t xml:space="preserve"> Decreto 926 de 2023</w:t>
      </w:r>
      <w:r w:rsidR="006E3F3B">
        <w:t xml:space="preserve">, en donde señala que solo se debe </w:t>
      </w:r>
      <w:r w:rsidR="00F96E0B">
        <w:t xml:space="preserve">remunerar los CAP efectivamente incurridos durante la operación real, además de la revisión de la </w:t>
      </w:r>
      <w:r w:rsidR="006D21A7">
        <w:t>reconciliación positiva señala</w:t>
      </w:r>
      <w:r w:rsidR="00E26A8B">
        <w:t>da</w:t>
      </w:r>
      <w:r w:rsidR="006D21A7">
        <w:t xml:space="preserve"> anteriormente, se </w:t>
      </w:r>
      <w:r w:rsidR="00D95A8B">
        <w:t>revisó</w:t>
      </w:r>
      <w:r w:rsidR="006D21A7">
        <w:t xml:space="preserve"> </w:t>
      </w:r>
      <w:r w:rsidR="000C693C">
        <w:t xml:space="preserve">la forma en que se determina el precio de bolsa, </w:t>
      </w:r>
      <w:r w:rsidR="007A2461">
        <w:t xml:space="preserve">Resolución CREG 024 de 1994 modificada </w:t>
      </w:r>
      <w:r w:rsidR="00B83677">
        <w:t xml:space="preserve">por la Resolución CREG 101 028 de 2022, </w:t>
      </w:r>
      <w:r w:rsidR="000C693C">
        <w:t xml:space="preserve">en específico </w:t>
      </w:r>
      <w:r w:rsidR="00DB4824">
        <w:t xml:space="preserve">el concepto denominado </w:t>
      </w:r>
      <w:r w:rsidR="00DB4824">
        <w:rPr>
          <w:rFonts w:cs="Arial"/>
        </w:rPr>
        <w:t>∆</w:t>
      </w:r>
      <w:r w:rsidR="00DB4824">
        <w:t xml:space="preserve">I mediante el cual se recauda </w:t>
      </w:r>
      <w:r w:rsidR="00B318D7">
        <w:t>l</w:t>
      </w:r>
      <w:r w:rsidR="008470B7">
        <w:t>os costos operativos</w:t>
      </w:r>
      <w:r w:rsidR="00B47413">
        <w:t>, entre los cuales están los CAP</w:t>
      </w:r>
      <w:r w:rsidR="008470B7">
        <w:t xml:space="preserve"> no cubiertos de las plantas térmicas que salen en el despacho ideal, encontrando que se </w:t>
      </w:r>
      <w:r w:rsidR="00B47413">
        <w:t>debía ajus</w:t>
      </w:r>
      <w:r w:rsidR="007345C9">
        <w:t xml:space="preserve">tar la fórmula del </w:t>
      </w:r>
      <w:r w:rsidR="007345C9">
        <w:rPr>
          <w:rFonts w:cs="Arial"/>
        </w:rPr>
        <w:t>∆</w:t>
      </w:r>
      <w:r w:rsidR="00C350EF">
        <w:t xml:space="preserve">I para que solo </w:t>
      </w:r>
      <w:r w:rsidR="00B64645">
        <w:t>se incluyera</w:t>
      </w:r>
      <w:r w:rsidR="00631DDC">
        <w:t xml:space="preserve"> </w:t>
      </w:r>
      <w:r w:rsidR="00046987">
        <w:t xml:space="preserve">el </w:t>
      </w:r>
      <w:r w:rsidR="00631DDC">
        <w:t xml:space="preserve">CAP </w:t>
      </w:r>
      <w:r w:rsidR="00B64645">
        <w:t xml:space="preserve">si la planta sale </w:t>
      </w:r>
      <w:r w:rsidR="00736E1D">
        <w:t>simultáneamente en el despacho ideal y en el desp</w:t>
      </w:r>
      <w:r w:rsidR="00134F4C">
        <w:t>a</w:t>
      </w:r>
      <w:r w:rsidR="00736E1D">
        <w:t xml:space="preserve">cho real. </w:t>
      </w:r>
      <w:r w:rsidR="00134F4C">
        <w:t xml:space="preserve">En </w:t>
      </w:r>
      <w:r w:rsidR="00D95A8B">
        <w:t>el caso en que la</w:t>
      </w:r>
      <w:r w:rsidR="00046987">
        <w:t>s</w:t>
      </w:r>
      <w:r w:rsidR="00D95A8B">
        <w:t xml:space="preserve"> plantas solo salga</w:t>
      </w:r>
      <w:r w:rsidR="00046987">
        <w:t>n</w:t>
      </w:r>
      <w:r w:rsidR="00D95A8B">
        <w:t xml:space="preserve"> en el despacho ideal, no se </w:t>
      </w:r>
      <w:r w:rsidR="004D52F5">
        <w:t xml:space="preserve">deben </w:t>
      </w:r>
      <w:r w:rsidR="00D95A8B">
        <w:t>considera</w:t>
      </w:r>
      <w:r w:rsidR="004D52F5">
        <w:t>r</w:t>
      </w:r>
      <w:r w:rsidR="00D95A8B">
        <w:t xml:space="preserve"> los CAP </w:t>
      </w:r>
      <w:r w:rsidR="004D52F5">
        <w:t xml:space="preserve">en el </w:t>
      </w:r>
      <w:r w:rsidR="004D52F5">
        <w:rPr>
          <w:rFonts w:cs="Arial"/>
        </w:rPr>
        <w:t>∆</w:t>
      </w:r>
      <w:r w:rsidR="004D52F5">
        <w:t xml:space="preserve">I </w:t>
      </w:r>
      <w:r w:rsidR="00D95A8B">
        <w:t>y si solo sale en el despacho real, los CAP se pagan en la reconciliación positiva.</w:t>
      </w:r>
    </w:p>
    <w:p w14:paraId="67EE8EFB" w14:textId="77777777" w:rsidR="002F7EB0" w:rsidRDefault="002F7EB0" w:rsidP="00FF5E55">
      <w:pPr>
        <w:rPr>
          <w:sz w:val="22"/>
          <w:szCs w:val="18"/>
        </w:rPr>
      </w:pPr>
    </w:p>
    <w:p w14:paraId="299FDDC5" w14:textId="77777777" w:rsidR="002F7EB0" w:rsidRDefault="002F7EB0" w:rsidP="00FF5E55">
      <w:pPr>
        <w:rPr>
          <w:sz w:val="22"/>
          <w:szCs w:val="18"/>
        </w:rPr>
      </w:pPr>
    </w:p>
    <w:p w14:paraId="58BBECCF" w14:textId="77777777" w:rsidR="002F7EB0" w:rsidRDefault="002F7EB0" w:rsidP="00FF5E55">
      <w:pPr>
        <w:rPr>
          <w:sz w:val="22"/>
          <w:szCs w:val="18"/>
        </w:rPr>
      </w:pPr>
    </w:p>
    <w:p w14:paraId="065E225D" w14:textId="77777777" w:rsidR="006E02BB" w:rsidRDefault="006E02BB" w:rsidP="00FF5E55">
      <w:pPr>
        <w:rPr>
          <w:sz w:val="22"/>
          <w:szCs w:val="18"/>
        </w:rPr>
      </w:pPr>
    </w:p>
    <w:p w14:paraId="46C1D073" w14:textId="77777777" w:rsidR="006E02BB" w:rsidRDefault="006E02BB" w:rsidP="00FF5E55">
      <w:pPr>
        <w:rPr>
          <w:sz w:val="22"/>
          <w:szCs w:val="18"/>
        </w:rPr>
      </w:pPr>
    </w:p>
    <w:p w14:paraId="40655626" w14:textId="77777777" w:rsidR="006E02BB" w:rsidRDefault="006E02BB" w:rsidP="00FF5E55">
      <w:pPr>
        <w:rPr>
          <w:sz w:val="22"/>
          <w:szCs w:val="18"/>
        </w:rPr>
      </w:pPr>
    </w:p>
    <w:p w14:paraId="3BC92E28" w14:textId="50678699" w:rsidR="000B0E5B" w:rsidRDefault="000B0E5B" w:rsidP="00FF5E55">
      <w:pPr>
        <w:rPr>
          <w:sz w:val="22"/>
          <w:szCs w:val="18"/>
        </w:rPr>
      </w:pPr>
      <w:r>
        <w:rPr>
          <w:sz w:val="22"/>
          <w:szCs w:val="18"/>
        </w:rPr>
        <w:br w:type="page"/>
      </w:r>
    </w:p>
    <w:p w14:paraId="2EA37413" w14:textId="77777777" w:rsidR="006E02BB" w:rsidRDefault="006E02BB" w:rsidP="00FF5E55">
      <w:pPr>
        <w:rPr>
          <w:sz w:val="22"/>
          <w:szCs w:val="18"/>
        </w:rPr>
      </w:pPr>
    </w:p>
    <w:p w14:paraId="6390E6A0" w14:textId="4801BDF5" w:rsidR="009E6412" w:rsidRPr="004B43C5" w:rsidRDefault="009E6412" w:rsidP="009E6412">
      <w:pPr>
        <w:pStyle w:val="Ttulo1"/>
        <w:numPr>
          <w:ilvl w:val="0"/>
          <w:numId w:val="0"/>
        </w:numPr>
        <w:spacing w:after="0"/>
      </w:pPr>
      <w:bookmarkStart w:id="52" w:name="_Toc168493570"/>
      <w:r>
        <w:t xml:space="preserve">ANEXO. </w:t>
      </w:r>
      <w:r w:rsidR="00774D6B">
        <w:t>PRECIOS</w:t>
      </w:r>
      <w:r w:rsidR="00CD2EDC">
        <w:t xml:space="preserve"> DE ARRANQUE </w:t>
      </w:r>
      <w:r w:rsidR="00774D6B">
        <w:t xml:space="preserve">– PARADA </w:t>
      </w:r>
      <w:r>
        <w:t>DECLARADOS</w:t>
      </w:r>
      <w:bookmarkEnd w:id="52"/>
    </w:p>
    <w:p w14:paraId="06A107AE" w14:textId="77777777" w:rsidR="006E02BB" w:rsidRDefault="006E02BB" w:rsidP="00FF5E55">
      <w:pPr>
        <w:rPr>
          <w:sz w:val="22"/>
          <w:szCs w:val="18"/>
        </w:rPr>
      </w:pPr>
    </w:p>
    <w:p w14:paraId="5CD4D965" w14:textId="10ED9C6C" w:rsidR="00514E75" w:rsidRPr="002E312F" w:rsidRDefault="00514E75" w:rsidP="00514E75">
      <w:pPr>
        <w:rPr>
          <w:lang w:val="es-ES"/>
        </w:rPr>
      </w:pPr>
      <w:r>
        <w:rPr>
          <w:lang w:val="es-ES"/>
        </w:rPr>
        <w:t xml:space="preserve">Para ver gráficamente los </w:t>
      </w:r>
      <w:r w:rsidR="00774D6B">
        <w:rPr>
          <w:lang w:val="es-ES"/>
        </w:rPr>
        <w:t>Precios de Arranque – Parada declarados (Par)</w:t>
      </w:r>
      <w:r>
        <w:rPr>
          <w:lang w:val="es-ES"/>
        </w:rPr>
        <w:t xml:space="preserve">, se agruparon por tres tipos de tecnologías: plantas ciclos combinados, plantas ciclos simples carbón </w:t>
      </w:r>
      <w:r w:rsidR="00CD2EDC">
        <w:rPr>
          <w:lang w:val="es-ES"/>
        </w:rPr>
        <w:t xml:space="preserve">y </w:t>
      </w:r>
      <w:r>
        <w:rPr>
          <w:lang w:val="es-ES"/>
        </w:rPr>
        <w:t xml:space="preserve">plantas ciclos simples restantes.  </w:t>
      </w:r>
    </w:p>
    <w:p w14:paraId="092FAF5E" w14:textId="77777777" w:rsidR="009E6412" w:rsidRDefault="009E6412" w:rsidP="00FF5E55">
      <w:pPr>
        <w:rPr>
          <w:sz w:val="22"/>
          <w:szCs w:val="18"/>
          <w:lang w:val="es-ES"/>
        </w:rPr>
      </w:pPr>
    </w:p>
    <w:p w14:paraId="03AB3FED" w14:textId="77777777" w:rsidR="00CD2EDC" w:rsidRDefault="00CD2EDC" w:rsidP="00FF5E55">
      <w:pPr>
        <w:rPr>
          <w:sz w:val="22"/>
          <w:szCs w:val="18"/>
          <w:lang w:val="es-ES"/>
        </w:rPr>
      </w:pPr>
    </w:p>
    <w:p w14:paraId="5AB0F97C" w14:textId="20F01570" w:rsidR="00774D6B" w:rsidRDefault="00240D19" w:rsidP="00B35FF2">
      <w:pPr>
        <w:jc w:val="center"/>
        <w:rPr>
          <w:sz w:val="22"/>
          <w:szCs w:val="18"/>
          <w:lang w:val="es-ES"/>
        </w:rPr>
      </w:pPr>
      <w:r w:rsidRPr="00240D19">
        <w:rPr>
          <w:noProof/>
          <w:sz w:val="22"/>
          <w:szCs w:val="18"/>
        </w:rPr>
        <w:drawing>
          <wp:inline distT="0" distB="0" distL="0" distR="0" wp14:anchorId="35732D0D" wp14:editId="7CE96582">
            <wp:extent cx="5557158" cy="3024947"/>
            <wp:effectExtent l="0" t="0" r="5715" b="4445"/>
            <wp:docPr id="25" name="Graphic 25">
              <a:extLst xmlns:a="http://schemas.openxmlformats.org/drawingml/2006/main">
                <a:ext uri="{FF2B5EF4-FFF2-40B4-BE49-F238E27FC236}">
                  <a16:creationId xmlns:a16="http://schemas.microsoft.com/office/drawing/2014/main" id="{F9E45465-A934-0F1F-B616-AE3153C00C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áfico 24">
                      <a:extLst>
                        <a:ext uri="{FF2B5EF4-FFF2-40B4-BE49-F238E27FC236}">
                          <a16:creationId xmlns:a16="http://schemas.microsoft.com/office/drawing/2014/main" id="{F9E45465-A934-0F1F-B616-AE3153C00C19}"/>
                        </a:ext>
                      </a:extLst>
                    </pic:cNvPr>
                    <pic:cNvPicPr>
                      <a:picLocks noChangeAspect="1"/>
                    </pic:cNvPicPr>
                  </pic:nvPicPr>
                  <pic:blipFill>
                    <a:blip r:embed="rId31">
                      <a:extLst>
                        <a:ext uri="{96DAC541-7B7A-43D3-8B79-37D633B846F1}">
                          <asvg:svgBlip xmlns:asvg="http://schemas.microsoft.com/office/drawing/2016/SVG/main" r:embed="rId32"/>
                        </a:ext>
                      </a:extLst>
                    </a:blip>
                    <a:stretch>
                      <a:fillRect/>
                    </a:stretch>
                  </pic:blipFill>
                  <pic:spPr>
                    <a:xfrm>
                      <a:off x="0" y="0"/>
                      <a:ext cx="5558701" cy="3025787"/>
                    </a:xfrm>
                    <a:prstGeom prst="rect">
                      <a:avLst/>
                    </a:prstGeom>
                  </pic:spPr>
                </pic:pic>
              </a:graphicData>
            </a:graphic>
          </wp:inline>
        </w:drawing>
      </w:r>
    </w:p>
    <w:p w14:paraId="6B0B2A41" w14:textId="79CF36FB" w:rsidR="00737792" w:rsidRDefault="00737792" w:rsidP="00FF5E55">
      <w:pPr>
        <w:rPr>
          <w:sz w:val="22"/>
          <w:szCs w:val="18"/>
          <w:lang w:val="es-ES"/>
        </w:rPr>
      </w:pPr>
      <w:r w:rsidRPr="00B35FF2">
        <w:rPr>
          <w:sz w:val="18"/>
          <w:szCs w:val="14"/>
          <w:lang w:val="es-ES"/>
        </w:rPr>
        <w:t>Fuente: XM, elaboración CREG</w:t>
      </w:r>
    </w:p>
    <w:p w14:paraId="3623251F" w14:textId="77777777" w:rsidR="00240D19" w:rsidRDefault="00240D19" w:rsidP="00FF5E55">
      <w:pPr>
        <w:rPr>
          <w:sz w:val="22"/>
          <w:szCs w:val="18"/>
          <w:lang w:val="es-ES"/>
        </w:rPr>
      </w:pPr>
    </w:p>
    <w:p w14:paraId="5E993F7C" w14:textId="6166FDB8" w:rsidR="00240D19" w:rsidRDefault="00240D19" w:rsidP="00B35FF2">
      <w:pPr>
        <w:jc w:val="center"/>
        <w:rPr>
          <w:sz w:val="22"/>
          <w:szCs w:val="18"/>
          <w:lang w:val="es-ES"/>
        </w:rPr>
      </w:pPr>
      <w:r w:rsidRPr="00240D19">
        <w:rPr>
          <w:noProof/>
          <w:sz w:val="22"/>
          <w:szCs w:val="18"/>
        </w:rPr>
        <w:drawing>
          <wp:inline distT="0" distB="0" distL="0" distR="0" wp14:anchorId="4720657E" wp14:editId="7F036841">
            <wp:extent cx="5589815" cy="2850176"/>
            <wp:effectExtent l="0" t="0" r="0" b="7620"/>
            <wp:docPr id="580792717" name="Graphic 580792717">
              <a:extLst xmlns:a="http://schemas.openxmlformats.org/drawingml/2006/main">
                <a:ext uri="{FF2B5EF4-FFF2-40B4-BE49-F238E27FC236}">
                  <a16:creationId xmlns:a16="http://schemas.microsoft.com/office/drawing/2014/main" id="{6771048D-C208-A497-695C-7A223ACBA5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áfico 2">
                      <a:extLst>
                        <a:ext uri="{FF2B5EF4-FFF2-40B4-BE49-F238E27FC236}">
                          <a16:creationId xmlns:a16="http://schemas.microsoft.com/office/drawing/2014/main" id="{6771048D-C208-A497-695C-7A223ACBA546}"/>
                        </a:ext>
                      </a:extLst>
                    </pic:cNvPr>
                    <pic:cNvPicPr>
                      <a:picLocks noChangeAspect="1"/>
                    </pic:cNvPicPr>
                  </pic:nvPicPr>
                  <pic:blipFill>
                    <a:blip r:embed="rId33">
                      <a:extLst>
                        <a:ext uri="{96DAC541-7B7A-43D3-8B79-37D633B846F1}">
                          <asvg:svgBlip xmlns:asvg="http://schemas.microsoft.com/office/drawing/2016/SVG/main" r:embed="rId34"/>
                        </a:ext>
                      </a:extLst>
                    </a:blip>
                    <a:stretch>
                      <a:fillRect/>
                    </a:stretch>
                  </pic:blipFill>
                  <pic:spPr>
                    <a:xfrm>
                      <a:off x="0" y="0"/>
                      <a:ext cx="5595236" cy="2852940"/>
                    </a:xfrm>
                    <a:prstGeom prst="rect">
                      <a:avLst/>
                    </a:prstGeom>
                  </pic:spPr>
                </pic:pic>
              </a:graphicData>
            </a:graphic>
          </wp:inline>
        </w:drawing>
      </w:r>
    </w:p>
    <w:p w14:paraId="4FA110E4" w14:textId="7111E539" w:rsidR="00B35FF2" w:rsidRDefault="00B35FF2" w:rsidP="00FF5E55">
      <w:pPr>
        <w:rPr>
          <w:sz w:val="22"/>
          <w:szCs w:val="18"/>
          <w:lang w:val="es-ES"/>
        </w:rPr>
      </w:pPr>
      <w:r w:rsidRPr="00B35FF2">
        <w:rPr>
          <w:sz w:val="18"/>
          <w:szCs w:val="14"/>
          <w:lang w:val="es-ES"/>
        </w:rPr>
        <w:t>Fuente: XM, elaboración CREG</w:t>
      </w:r>
    </w:p>
    <w:p w14:paraId="156C8851" w14:textId="77777777" w:rsidR="00240D19" w:rsidRDefault="00240D19" w:rsidP="00FF5E55">
      <w:pPr>
        <w:rPr>
          <w:sz w:val="22"/>
          <w:szCs w:val="18"/>
          <w:lang w:val="es-ES"/>
        </w:rPr>
      </w:pPr>
    </w:p>
    <w:p w14:paraId="70FF82CC" w14:textId="78AC3D59" w:rsidR="00240D19" w:rsidRDefault="00240D19" w:rsidP="00B35FF2">
      <w:pPr>
        <w:jc w:val="center"/>
        <w:rPr>
          <w:sz w:val="22"/>
          <w:szCs w:val="18"/>
          <w:lang w:val="es-ES"/>
        </w:rPr>
      </w:pPr>
      <w:r w:rsidRPr="00240D19">
        <w:rPr>
          <w:noProof/>
          <w:sz w:val="22"/>
          <w:szCs w:val="18"/>
        </w:rPr>
        <w:lastRenderedPageBreak/>
        <w:drawing>
          <wp:inline distT="0" distB="0" distL="0" distR="0" wp14:anchorId="02BA6B62" wp14:editId="60EDF1FA">
            <wp:extent cx="5578929" cy="1809030"/>
            <wp:effectExtent l="0" t="0" r="3175" b="1270"/>
            <wp:docPr id="1332788457" name="Graphic 1332788457">
              <a:extLst xmlns:a="http://schemas.openxmlformats.org/drawingml/2006/main">
                <a:ext uri="{FF2B5EF4-FFF2-40B4-BE49-F238E27FC236}">
                  <a16:creationId xmlns:a16="http://schemas.microsoft.com/office/drawing/2014/main" id="{D39E65BE-76C2-EA4E-DB79-7723B361CF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áfico 2">
                      <a:extLst>
                        <a:ext uri="{FF2B5EF4-FFF2-40B4-BE49-F238E27FC236}">
                          <a16:creationId xmlns:a16="http://schemas.microsoft.com/office/drawing/2014/main" id="{D39E65BE-76C2-EA4E-DB79-7723B361CF5B}"/>
                        </a:ext>
                      </a:extLst>
                    </pic:cNvPr>
                    <pic:cNvPicPr>
                      <a:picLocks noChangeAspect="1"/>
                    </pic:cNvPicPr>
                  </pic:nvPicPr>
                  <pic:blipFill>
                    <a:blip r:embed="rId35">
                      <a:extLst>
                        <a:ext uri="{96DAC541-7B7A-43D3-8B79-37D633B846F1}">
                          <asvg:svgBlip xmlns:asvg="http://schemas.microsoft.com/office/drawing/2016/SVG/main" r:embed="rId36"/>
                        </a:ext>
                      </a:extLst>
                    </a:blip>
                    <a:stretch>
                      <a:fillRect/>
                    </a:stretch>
                  </pic:blipFill>
                  <pic:spPr>
                    <a:xfrm>
                      <a:off x="0" y="0"/>
                      <a:ext cx="5583183" cy="1810409"/>
                    </a:xfrm>
                    <a:prstGeom prst="rect">
                      <a:avLst/>
                    </a:prstGeom>
                  </pic:spPr>
                </pic:pic>
              </a:graphicData>
            </a:graphic>
          </wp:inline>
        </w:drawing>
      </w:r>
    </w:p>
    <w:p w14:paraId="7C35300B" w14:textId="1F8117A0" w:rsidR="00B35FF2" w:rsidRPr="00514E75" w:rsidRDefault="00B35FF2" w:rsidP="00FF5E55">
      <w:pPr>
        <w:rPr>
          <w:sz w:val="22"/>
          <w:szCs w:val="18"/>
          <w:lang w:val="es-ES"/>
        </w:rPr>
      </w:pPr>
      <w:r w:rsidRPr="00B35FF2">
        <w:rPr>
          <w:sz w:val="18"/>
          <w:szCs w:val="14"/>
          <w:lang w:val="es-ES"/>
        </w:rPr>
        <w:t xml:space="preserve">Fuente: </w:t>
      </w:r>
      <w:proofErr w:type="spellStart"/>
      <w:r w:rsidRPr="00B35FF2">
        <w:rPr>
          <w:sz w:val="18"/>
          <w:szCs w:val="14"/>
          <w:lang w:val="es-ES"/>
        </w:rPr>
        <w:t>XM</w:t>
      </w:r>
      <w:proofErr w:type="spellEnd"/>
      <w:r w:rsidRPr="00B35FF2">
        <w:rPr>
          <w:sz w:val="18"/>
          <w:szCs w:val="14"/>
          <w:lang w:val="es-ES"/>
        </w:rPr>
        <w:t>, elaboración CREG</w:t>
      </w:r>
    </w:p>
    <w:sectPr w:rsidR="00B35FF2" w:rsidRPr="00514E75" w:rsidSect="00DD7346">
      <w:headerReference w:type="default" r:id="rId37"/>
      <w:footerReference w:type="default" r:id="rId38"/>
      <w:pgSz w:w="12242" w:h="15842" w:code="1"/>
      <w:pgMar w:top="1418" w:right="1418" w:bottom="1418" w:left="1418" w:header="851" w:footer="56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2FC84F" w14:textId="77777777" w:rsidR="0033503D" w:rsidRDefault="0033503D">
      <w:r>
        <w:separator/>
      </w:r>
    </w:p>
  </w:endnote>
  <w:endnote w:type="continuationSeparator" w:id="0">
    <w:p w14:paraId="027402AC" w14:textId="77777777" w:rsidR="0033503D" w:rsidRDefault="0033503D">
      <w:r>
        <w:continuationSeparator/>
      </w:r>
    </w:p>
  </w:endnote>
  <w:endnote w:type="continuationNotice" w:id="1">
    <w:p w14:paraId="3EC83502" w14:textId="77777777" w:rsidR="0033503D" w:rsidRDefault="003350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68D5B8" w14:textId="5CDE0382" w:rsidR="001700C2" w:rsidRDefault="00041181" w:rsidP="0077100C">
    <w:pPr>
      <w:pStyle w:val="Piedepgina"/>
      <w:rPr>
        <w:b/>
        <w:sz w:val="16"/>
        <w:lang w:val="es-CO"/>
      </w:rPr>
    </w:pPr>
    <w:r>
      <w:rPr>
        <w:sz w:val="16"/>
        <w:lang w:val="es-CO"/>
      </w:rPr>
      <w:t xml:space="preserve">D – </w:t>
    </w:r>
    <w:r w:rsidRPr="00041181">
      <w:rPr>
        <w:sz w:val="16"/>
        <w:lang w:val="es-CO"/>
      </w:rPr>
      <w:t>901</w:t>
    </w:r>
    <w:r>
      <w:rPr>
        <w:sz w:val="16"/>
        <w:lang w:val="es-CO"/>
      </w:rPr>
      <w:t xml:space="preserve"> </w:t>
    </w:r>
    <w:r w:rsidRPr="00041181">
      <w:rPr>
        <w:sz w:val="16"/>
        <w:lang w:val="es-CO"/>
      </w:rPr>
      <w:t>096</w:t>
    </w:r>
    <w:r>
      <w:rPr>
        <w:sz w:val="16"/>
        <w:lang w:val="es-CO"/>
      </w:rPr>
      <w:t xml:space="preserve"> DE 2024 </w:t>
    </w:r>
    <w:r w:rsidRPr="00041181">
      <w:rPr>
        <w:sz w:val="16"/>
        <w:lang w:val="es-CO"/>
      </w:rPr>
      <w:t>REMUNERACIÓN DE COSTOS DE ARRANQUE Y PARADA DE PLANTAS TÉRMICAS - PROPUESTAS DE AJUSTE</w:t>
    </w:r>
  </w:p>
  <w:tbl>
    <w:tblPr>
      <w:tblW w:w="53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73"/>
      <w:gridCol w:w="2791"/>
      <w:gridCol w:w="2633"/>
    </w:tblGrid>
    <w:tr w:rsidR="00456730" w:rsidRPr="00456730" w14:paraId="05505BB1" w14:textId="77777777" w:rsidTr="008E4B18">
      <w:trPr>
        <w:cantSplit/>
        <w:trHeight w:val="254"/>
        <w:jc w:val="center"/>
      </w:trPr>
      <w:tc>
        <w:tcPr>
          <w:tcW w:w="2314" w:type="pct"/>
          <w:vAlign w:val="center"/>
        </w:tcPr>
        <w:p w14:paraId="4BDBD4F3" w14:textId="77777777" w:rsidR="00456730" w:rsidRPr="00456730" w:rsidRDefault="00456730" w:rsidP="00456730">
          <w:pPr>
            <w:contextualSpacing/>
            <w:rPr>
              <w:iCs/>
              <w:sz w:val="14"/>
            </w:rPr>
          </w:pPr>
          <w:r w:rsidRPr="00456730">
            <w:rPr>
              <w:rFonts w:cs="Arial"/>
              <w:iCs/>
              <w:sz w:val="14"/>
            </w:rPr>
            <w:t xml:space="preserve">Proceso        </w:t>
          </w:r>
          <w:r w:rsidRPr="00456730">
            <w:rPr>
              <w:rFonts w:cs="Arial"/>
              <w:b/>
              <w:iCs/>
              <w:sz w:val="14"/>
            </w:rPr>
            <w:t>REGULACIÓN</w:t>
          </w:r>
        </w:p>
      </w:tc>
      <w:tc>
        <w:tcPr>
          <w:tcW w:w="1382" w:type="pct"/>
          <w:vAlign w:val="center"/>
        </w:tcPr>
        <w:p w14:paraId="4B8557B3" w14:textId="77777777" w:rsidR="00456730" w:rsidRPr="00456730" w:rsidRDefault="00456730" w:rsidP="00456730">
          <w:pPr>
            <w:contextualSpacing/>
            <w:rPr>
              <w:rFonts w:cs="Arial"/>
              <w:iCs/>
              <w:sz w:val="14"/>
            </w:rPr>
          </w:pPr>
          <w:r w:rsidRPr="00456730">
            <w:rPr>
              <w:rFonts w:cs="Arial"/>
              <w:b/>
              <w:iCs/>
              <w:sz w:val="14"/>
            </w:rPr>
            <w:t xml:space="preserve">Código: </w:t>
          </w:r>
          <w:r w:rsidRPr="00456730">
            <w:rPr>
              <w:rFonts w:cs="Arial"/>
              <w:iCs/>
              <w:sz w:val="14"/>
            </w:rPr>
            <w:t>RG-FT-005</w:t>
          </w:r>
        </w:p>
      </w:tc>
      <w:tc>
        <w:tcPr>
          <w:tcW w:w="1304" w:type="pct"/>
          <w:vAlign w:val="center"/>
        </w:tcPr>
        <w:p w14:paraId="55825DAB" w14:textId="77777777" w:rsidR="00456730" w:rsidRPr="00456730" w:rsidRDefault="00456730" w:rsidP="00456730">
          <w:pPr>
            <w:contextualSpacing/>
            <w:rPr>
              <w:rFonts w:cs="Arial"/>
              <w:iCs/>
              <w:sz w:val="14"/>
            </w:rPr>
          </w:pPr>
          <w:r w:rsidRPr="00456730">
            <w:rPr>
              <w:rFonts w:cs="Arial"/>
              <w:b/>
              <w:iCs/>
              <w:sz w:val="14"/>
            </w:rPr>
            <w:t xml:space="preserve">Versión: </w:t>
          </w:r>
          <w:r w:rsidR="008B734F">
            <w:rPr>
              <w:rFonts w:cs="Arial"/>
              <w:iCs/>
              <w:sz w:val="14"/>
            </w:rPr>
            <w:t>1</w:t>
          </w:r>
        </w:p>
      </w:tc>
    </w:tr>
    <w:tr w:rsidR="00456730" w:rsidRPr="00456730" w14:paraId="36E4732D" w14:textId="77777777" w:rsidTr="008E4B18">
      <w:trPr>
        <w:cantSplit/>
        <w:trHeight w:val="261"/>
        <w:jc w:val="center"/>
      </w:trPr>
      <w:tc>
        <w:tcPr>
          <w:tcW w:w="2314" w:type="pct"/>
          <w:vAlign w:val="center"/>
        </w:tcPr>
        <w:p w14:paraId="76DA3E5C" w14:textId="77777777" w:rsidR="00456730" w:rsidRPr="00456730" w:rsidRDefault="00456730" w:rsidP="00456730">
          <w:pPr>
            <w:ind w:left="923" w:hanging="923"/>
            <w:contextualSpacing/>
            <w:rPr>
              <w:rFonts w:cs="Arial"/>
              <w:bCs/>
              <w:iCs/>
              <w:sz w:val="14"/>
            </w:rPr>
          </w:pPr>
          <w:r w:rsidRPr="00456730">
            <w:rPr>
              <w:rFonts w:cs="Arial"/>
              <w:iCs/>
              <w:sz w:val="14"/>
            </w:rPr>
            <w:t xml:space="preserve">Documento   </w:t>
          </w:r>
          <w:proofErr w:type="spellStart"/>
          <w:r w:rsidRPr="00456730">
            <w:rPr>
              <w:rFonts w:cs="Arial"/>
              <w:b/>
              <w:iCs/>
              <w:sz w:val="14"/>
            </w:rPr>
            <w:t>DOCUMENTO</w:t>
          </w:r>
          <w:proofErr w:type="spellEnd"/>
          <w:r w:rsidRPr="00456730">
            <w:rPr>
              <w:rFonts w:cs="Arial"/>
              <w:b/>
              <w:iCs/>
              <w:sz w:val="14"/>
            </w:rPr>
            <w:t xml:space="preserve"> CREG</w:t>
          </w:r>
        </w:p>
      </w:tc>
      <w:tc>
        <w:tcPr>
          <w:tcW w:w="1382" w:type="pct"/>
          <w:vAlign w:val="center"/>
        </w:tcPr>
        <w:p w14:paraId="2D973DF1" w14:textId="77777777" w:rsidR="00456730" w:rsidRPr="00456730" w:rsidRDefault="00456730" w:rsidP="008B734F">
          <w:pPr>
            <w:contextualSpacing/>
            <w:rPr>
              <w:rFonts w:cs="Arial"/>
              <w:iCs/>
              <w:sz w:val="14"/>
            </w:rPr>
          </w:pPr>
          <w:r w:rsidRPr="00456730">
            <w:rPr>
              <w:rFonts w:cs="Arial"/>
              <w:b/>
              <w:iCs/>
              <w:sz w:val="14"/>
            </w:rPr>
            <w:t xml:space="preserve">Fecha última revisión: </w:t>
          </w:r>
          <w:r w:rsidR="008B734F">
            <w:rPr>
              <w:rFonts w:cs="Arial"/>
              <w:b/>
              <w:iCs/>
              <w:sz w:val="14"/>
            </w:rPr>
            <w:t>14/11/2017</w:t>
          </w:r>
        </w:p>
      </w:tc>
      <w:tc>
        <w:tcPr>
          <w:tcW w:w="1304" w:type="pct"/>
          <w:vAlign w:val="center"/>
        </w:tcPr>
        <w:p w14:paraId="1E301D65" w14:textId="77777777" w:rsidR="00456730" w:rsidRPr="00456730" w:rsidRDefault="00456730" w:rsidP="00B60742">
          <w:pPr>
            <w:contextualSpacing/>
            <w:rPr>
              <w:rFonts w:cs="Arial"/>
              <w:iCs/>
              <w:sz w:val="14"/>
            </w:rPr>
          </w:pPr>
          <w:r w:rsidRPr="00456730">
            <w:rPr>
              <w:rFonts w:cs="Arial"/>
              <w:b/>
              <w:iCs/>
              <w:sz w:val="14"/>
            </w:rPr>
            <w:t>Página:</w:t>
          </w:r>
          <w:r w:rsidRPr="00456730">
            <w:rPr>
              <w:rFonts w:cs="Arial"/>
              <w:iCs/>
              <w:sz w:val="14"/>
            </w:rPr>
            <w:t xml:space="preserve"> </w:t>
          </w:r>
          <w:r w:rsidRPr="00456730">
            <w:rPr>
              <w:rFonts w:cs="Arial"/>
              <w:iCs/>
              <w:sz w:val="14"/>
            </w:rPr>
            <w:fldChar w:fldCharType="begin"/>
          </w:r>
          <w:r w:rsidRPr="00456730">
            <w:rPr>
              <w:rFonts w:cs="Arial"/>
              <w:iCs/>
              <w:sz w:val="14"/>
            </w:rPr>
            <w:instrText xml:space="preserve"> PAGE </w:instrText>
          </w:r>
          <w:r w:rsidRPr="00456730">
            <w:rPr>
              <w:rFonts w:cs="Arial"/>
              <w:iCs/>
              <w:sz w:val="14"/>
            </w:rPr>
            <w:fldChar w:fldCharType="separate"/>
          </w:r>
          <w:r w:rsidR="0003193D">
            <w:rPr>
              <w:rFonts w:cs="Arial"/>
              <w:iCs/>
              <w:noProof/>
              <w:sz w:val="14"/>
            </w:rPr>
            <w:t>6</w:t>
          </w:r>
          <w:r w:rsidRPr="00456730">
            <w:rPr>
              <w:rFonts w:cs="Arial"/>
              <w:iCs/>
              <w:sz w:val="14"/>
            </w:rPr>
            <w:fldChar w:fldCharType="end"/>
          </w:r>
          <w:r w:rsidR="0054039F">
            <w:rPr>
              <w:rFonts w:cs="Arial"/>
              <w:iCs/>
              <w:sz w:val="14"/>
            </w:rPr>
            <w:t xml:space="preserve"> </w:t>
          </w:r>
        </w:p>
      </w:tc>
    </w:tr>
  </w:tbl>
  <w:p w14:paraId="752343C3" w14:textId="77777777" w:rsidR="00456730" w:rsidRPr="00BE2C84" w:rsidRDefault="00456730" w:rsidP="00DD7346">
    <w:pPr>
      <w:ind w:right="-449"/>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4005AC" w14:textId="77777777" w:rsidR="0033503D" w:rsidRDefault="0033503D">
      <w:r>
        <w:separator/>
      </w:r>
    </w:p>
  </w:footnote>
  <w:footnote w:type="continuationSeparator" w:id="0">
    <w:p w14:paraId="3403CA60" w14:textId="77777777" w:rsidR="0033503D" w:rsidRDefault="0033503D">
      <w:r>
        <w:continuationSeparator/>
      </w:r>
    </w:p>
  </w:footnote>
  <w:footnote w:type="continuationNotice" w:id="1">
    <w:p w14:paraId="57CBA741" w14:textId="77777777" w:rsidR="0033503D" w:rsidRDefault="0033503D"/>
  </w:footnote>
  <w:footnote w:id="2">
    <w:p w14:paraId="0B1AA9D9" w14:textId="3A6D02A0" w:rsidR="00CB126A" w:rsidRPr="00422F6C" w:rsidRDefault="00CB126A">
      <w:pPr>
        <w:pStyle w:val="Textonotapie"/>
        <w:rPr>
          <w:lang w:val="es-CO"/>
        </w:rPr>
      </w:pPr>
      <w:r>
        <w:rPr>
          <w:rStyle w:val="Refdenotaalpie"/>
        </w:rPr>
        <w:footnoteRef/>
      </w:r>
      <w:r>
        <w:t xml:space="preserve"> </w:t>
      </w:r>
      <w:r w:rsidR="00526DAE">
        <w:rPr>
          <w:sz w:val="18"/>
          <w:szCs w:val="18"/>
        </w:rPr>
        <w:t>i</w:t>
      </w:r>
      <w:r w:rsidR="0037606C" w:rsidRPr="00422F6C">
        <w:rPr>
          <w:sz w:val="18"/>
          <w:szCs w:val="18"/>
        </w:rPr>
        <w:t xml:space="preserve">) </w:t>
      </w:r>
      <w:r w:rsidR="0037606C" w:rsidRPr="00422F6C">
        <w:rPr>
          <w:sz w:val="18"/>
          <w:szCs w:val="18"/>
          <w:lang w:val="es-CO"/>
        </w:rPr>
        <w:t>CEE o CERE, según el caso, ii) FAZNI, iii) Aportes Ley 99 de 1993, y iv) El Costo Unitario por Servicio de AGC proporcional a la Generación Programada del agente (estimado y luego corregido con asignación real).</w:t>
      </w:r>
    </w:p>
  </w:footnote>
  <w:footnote w:id="3">
    <w:p w14:paraId="112A5A83" w14:textId="6AE84C88" w:rsidR="00FD34CB" w:rsidRPr="00FD34CB" w:rsidRDefault="00FD34CB">
      <w:pPr>
        <w:pStyle w:val="Textonotapie"/>
      </w:pPr>
      <w:r>
        <w:rPr>
          <w:rStyle w:val="Refdenotaalpie"/>
        </w:rPr>
        <w:footnoteRef/>
      </w:r>
      <w:r>
        <w:t xml:space="preserve"> Concepto que se introdujo </w:t>
      </w:r>
      <w:r w:rsidR="008F5AA3">
        <w:t xml:space="preserve">en la reglamentación </w:t>
      </w:r>
      <w:r>
        <w:t>con la Resolución CREG 051 de 2009.</w:t>
      </w:r>
    </w:p>
  </w:footnote>
  <w:footnote w:id="4">
    <w:p w14:paraId="4F86CBC9" w14:textId="77777777" w:rsidR="000E70AA" w:rsidRPr="005E1F29" w:rsidRDefault="000E70AA" w:rsidP="000E70AA">
      <w:pPr>
        <w:pStyle w:val="Textonotapie"/>
        <w:rPr>
          <w:lang w:val="es-CO"/>
        </w:rPr>
      </w:pPr>
      <w:r>
        <w:rPr>
          <w:rStyle w:val="Refdenotaalpie"/>
        </w:rPr>
        <w:footnoteRef/>
      </w:r>
      <w:r>
        <w:t xml:space="preserve"> </w:t>
      </w:r>
      <w:r>
        <w:rPr>
          <w:sz w:val="18"/>
          <w:szCs w:val="18"/>
        </w:rPr>
        <w:t>i</w:t>
      </w:r>
      <w:r w:rsidRPr="005E1F29">
        <w:rPr>
          <w:sz w:val="18"/>
          <w:szCs w:val="18"/>
        </w:rPr>
        <w:t xml:space="preserve">) </w:t>
      </w:r>
      <w:r w:rsidRPr="005E1F29">
        <w:rPr>
          <w:sz w:val="18"/>
          <w:szCs w:val="18"/>
          <w:lang w:val="es-CO"/>
        </w:rPr>
        <w:t xml:space="preserve">CEE o CERE, según el caso, </w:t>
      </w:r>
      <w:r w:rsidRPr="005E1F29">
        <w:rPr>
          <w:sz w:val="18"/>
          <w:szCs w:val="18"/>
          <w:lang w:val="es-CO"/>
        </w:rPr>
        <w:t>ii) FAZNI, iii) Aportes Ley 99 de 1993, y iv) El Costo Unitario por Servicio de AGC proporcional a la Generación Programada del agente (estimado y luego corregido con asignación real).</w:t>
      </w:r>
    </w:p>
  </w:footnote>
  <w:footnote w:id="5">
    <w:p w14:paraId="064328D4" w14:textId="19D0747F" w:rsidR="00E31109" w:rsidRPr="00E31109" w:rsidRDefault="00E31109">
      <w:pPr>
        <w:pStyle w:val="Textonotapie"/>
        <w:rPr>
          <w:lang w:val="es-CO"/>
        </w:rPr>
      </w:pPr>
      <w:r>
        <w:rPr>
          <w:rStyle w:val="Refdenotaalpie"/>
        </w:rPr>
        <w:footnoteRef/>
      </w:r>
      <w:r>
        <w:t xml:space="preserve"> </w:t>
      </w:r>
      <w:r>
        <w:rPr>
          <w:lang w:val="es-CO"/>
        </w:rPr>
        <w:t>En el anexo 1 se tienen l</w:t>
      </w:r>
      <w:r w:rsidR="00CB12B8">
        <w:rPr>
          <w:lang w:val="es-CO"/>
        </w:rPr>
        <w:t>os Par declarados en los últimos 5 años para los tres tipos de tecnología</w:t>
      </w:r>
      <w:r w:rsidR="009E6412">
        <w:rPr>
          <w:lang w:val="es-CO"/>
        </w:rPr>
        <w:t xml:space="preserve"> en análisis.</w:t>
      </w:r>
    </w:p>
  </w:footnote>
  <w:footnote w:id="6">
    <w:p w14:paraId="7C9F73E0" w14:textId="7801F68D" w:rsidR="00CB4D2D" w:rsidRPr="00CB4D2D" w:rsidRDefault="00CB4D2D">
      <w:pPr>
        <w:pStyle w:val="Textonotapie"/>
        <w:rPr>
          <w:lang w:val="es-CO"/>
        </w:rPr>
      </w:pPr>
      <w:r>
        <w:rPr>
          <w:rStyle w:val="Refdenotaalpie"/>
        </w:rPr>
        <w:footnoteRef/>
      </w:r>
      <w:r>
        <w:t xml:space="preserve"> </w:t>
      </w:r>
      <w:r>
        <w:rPr>
          <w:lang w:val="es-CO"/>
        </w:rPr>
        <w:t xml:space="preserve">En el anexo se puede ver que </w:t>
      </w:r>
      <w:r w:rsidR="00BB37F9">
        <w:rPr>
          <w:lang w:val="es-CO"/>
        </w:rPr>
        <w:t xml:space="preserve">muchas de </w:t>
      </w:r>
      <w:r>
        <w:rPr>
          <w:lang w:val="es-CO"/>
        </w:rPr>
        <w:t xml:space="preserve">las declaraciones de Par </w:t>
      </w:r>
      <w:r w:rsidR="00023E6B">
        <w:rPr>
          <w:lang w:val="es-CO"/>
        </w:rPr>
        <w:t xml:space="preserve">por lo </w:t>
      </w:r>
      <w:r>
        <w:rPr>
          <w:lang w:val="es-CO"/>
        </w:rPr>
        <w:t>gener</w:t>
      </w:r>
      <w:r w:rsidR="00D3083E">
        <w:rPr>
          <w:lang w:val="es-CO"/>
        </w:rPr>
        <w:t>al son estables en el tiempo</w:t>
      </w:r>
      <w:r w:rsidR="00023E6B">
        <w:rPr>
          <w:lang w:val="es-CO"/>
        </w:rPr>
        <w:t>.</w:t>
      </w:r>
    </w:p>
  </w:footnote>
  <w:footnote w:id="7">
    <w:p w14:paraId="647765B6" w14:textId="4440404B" w:rsidR="00E148ED" w:rsidRPr="00E148ED" w:rsidRDefault="00E148ED">
      <w:pPr>
        <w:pStyle w:val="Textonotapie"/>
      </w:pPr>
      <w:r>
        <w:rPr>
          <w:rStyle w:val="Refdenotaalpie"/>
        </w:rPr>
        <w:footnoteRef/>
      </w:r>
      <w:r>
        <w:t xml:space="preserve"> Suponiendo una disminución de los CAP del 50%, de acuerdo con las ilustraciones del </w:t>
      </w:r>
      <w:r w:rsidR="00297768">
        <w:t>numeral 5.2.1 del presente documento.</w:t>
      </w:r>
      <w:r>
        <w:t xml:space="preserve"> </w:t>
      </w:r>
    </w:p>
  </w:footnote>
  <w:footnote w:id="8">
    <w:p w14:paraId="3D98204A" w14:textId="1A9844FF" w:rsidR="001A54C0" w:rsidRPr="00422F6C" w:rsidRDefault="001A54C0">
      <w:pPr>
        <w:pStyle w:val="Textonotapie"/>
        <w:rPr>
          <w:lang w:val="es-CO"/>
        </w:rPr>
      </w:pPr>
      <w:r>
        <w:rPr>
          <w:rStyle w:val="Refdenotaalpie"/>
        </w:rPr>
        <w:footnoteRef/>
      </w:r>
      <w:r>
        <w:t xml:space="preserve"> </w:t>
      </w:r>
      <w:r w:rsidR="00503B65">
        <w:rPr>
          <w:lang w:val="es-CO"/>
        </w:rPr>
        <w:t xml:space="preserve">El 9% corresponden a los costos </w:t>
      </w:r>
      <w:r w:rsidR="00503B65">
        <w:rPr>
          <w:lang w:val="es-CO"/>
        </w:rPr>
        <w:t>variabilizados de una planta térmica a gas</w:t>
      </w:r>
      <w:r w:rsidR="00CC39AF">
        <w:rPr>
          <w:lang w:val="es-CO"/>
        </w:rPr>
        <w:t xml:space="preserve"> que presta </w:t>
      </w:r>
      <w:r w:rsidR="00145AF9">
        <w:rPr>
          <w:lang w:val="es-CO"/>
        </w:rPr>
        <w:t xml:space="preserve">el servicio de </w:t>
      </w:r>
      <w:r w:rsidR="00CC39AF">
        <w:rPr>
          <w:lang w:val="es-CO"/>
        </w:rPr>
        <w:t xml:space="preserve">generación de seguridad </w:t>
      </w:r>
      <w:r w:rsidR="007A5ABE">
        <w:rPr>
          <w:lang w:val="es-CO"/>
        </w:rPr>
        <w:t xml:space="preserve">con </w:t>
      </w:r>
      <w:r w:rsidR="00CC39AF">
        <w:rPr>
          <w:lang w:val="es-CO"/>
        </w:rPr>
        <w:t>una capacidad de 500 MW durante 12 horas y unos CAP de 70.000 USD.</w:t>
      </w:r>
      <w:r w:rsidR="00A245D0">
        <w:rPr>
          <w:lang w:val="es-CO"/>
        </w:rPr>
        <w:t xml:space="preserve"> Los otros costos de la planta son </w:t>
      </w:r>
      <w:r w:rsidR="00821D49">
        <w:rPr>
          <w:lang w:val="es-CO"/>
        </w:rPr>
        <w:t xml:space="preserve">69% por CSC+CTC, 3% COM y </w:t>
      </w:r>
      <w:r w:rsidR="00145AF9">
        <w:rPr>
          <w:lang w:val="es-CO"/>
        </w:rPr>
        <w:t>19% OCV</w:t>
      </w:r>
      <w:r w:rsidR="007A5ABE">
        <w:rPr>
          <w:lang w:val="es-CO"/>
        </w:rPr>
        <w:t>, datos de junio de 2</w:t>
      </w:r>
      <w:r w:rsidR="003E3E4E">
        <w:rPr>
          <w:lang w:val="es-CO"/>
        </w:rPr>
        <w:t>023</w:t>
      </w:r>
      <w:r w:rsidR="00145AF9">
        <w:rPr>
          <w:lang w:val="es-CO"/>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71FE13" w14:textId="053C1180" w:rsidR="00020441" w:rsidRDefault="00020441">
    <w:pPr>
      <w:pStyle w:val="Encabezado"/>
    </w:pPr>
    <w:r>
      <w:rPr>
        <w:rFonts w:cs="Arial"/>
        <w:b/>
        <w:i/>
        <w:color w:val="808080"/>
        <w:sz w:val="16"/>
      </w:rPr>
      <w:t>Sesión No.</w:t>
    </w:r>
    <w:r w:rsidR="00041181">
      <w:rPr>
        <w:rFonts w:cs="Arial"/>
        <w:b/>
        <w:i/>
        <w:color w:val="808080"/>
        <w:sz w:val="16"/>
      </w:rPr>
      <w:t xml:space="preserve"> 1319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F749DD"/>
    <w:multiLevelType w:val="hybridMultilevel"/>
    <w:tmpl w:val="EB1ADF62"/>
    <w:lvl w:ilvl="0" w:tplc="240A001B">
      <w:start w:val="1"/>
      <w:numFmt w:val="lowerRoman"/>
      <w:lvlText w:val="%1."/>
      <w:lvlJc w:val="righ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B532AFA"/>
    <w:multiLevelType w:val="hybridMultilevel"/>
    <w:tmpl w:val="C472051C"/>
    <w:lvl w:ilvl="0" w:tplc="240A001B">
      <w:start w:val="1"/>
      <w:numFmt w:val="lowerRoman"/>
      <w:lvlText w:val="%1."/>
      <w:lvlJc w:val="right"/>
      <w:pPr>
        <w:ind w:left="900" w:hanging="360"/>
      </w:pPr>
    </w:lvl>
    <w:lvl w:ilvl="1" w:tplc="240A0019" w:tentative="1">
      <w:start w:val="1"/>
      <w:numFmt w:val="lowerLetter"/>
      <w:lvlText w:val="%2."/>
      <w:lvlJc w:val="left"/>
      <w:pPr>
        <w:ind w:left="1620" w:hanging="360"/>
      </w:pPr>
    </w:lvl>
    <w:lvl w:ilvl="2" w:tplc="240A001B" w:tentative="1">
      <w:start w:val="1"/>
      <w:numFmt w:val="lowerRoman"/>
      <w:lvlText w:val="%3."/>
      <w:lvlJc w:val="right"/>
      <w:pPr>
        <w:ind w:left="2340" w:hanging="180"/>
      </w:pPr>
    </w:lvl>
    <w:lvl w:ilvl="3" w:tplc="240A000F" w:tentative="1">
      <w:start w:val="1"/>
      <w:numFmt w:val="decimal"/>
      <w:lvlText w:val="%4."/>
      <w:lvlJc w:val="left"/>
      <w:pPr>
        <w:ind w:left="3060" w:hanging="360"/>
      </w:pPr>
    </w:lvl>
    <w:lvl w:ilvl="4" w:tplc="240A0019" w:tentative="1">
      <w:start w:val="1"/>
      <w:numFmt w:val="lowerLetter"/>
      <w:lvlText w:val="%5."/>
      <w:lvlJc w:val="left"/>
      <w:pPr>
        <w:ind w:left="3780" w:hanging="360"/>
      </w:pPr>
    </w:lvl>
    <w:lvl w:ilvl="5" w:tplc="240A001B" w:tentative="1">
      <w:start w:val="1"/>
      <w:numFmt w:val="lowerRoman"/>
      <w:lvlText w:val="%6."/>
      <w:lvlJc w:val="right"/>
      <w:pPr>
        <w:ind w:left="4500" w:hanging="180"/>
      </w:pPr>
    </w:lvl>
    <w:lvl w:ilvl="6" w:tplc="240A000F" w:tentative="1">
      <w:start w:val="1"/>
      <w:numFmt w:val="decimal"/>
      <w:lvlText w:val="%7."/>
      <w:lvlJc w:val="left"/>
      <w:pPr>
        <w:ind w:left="5220" w:hanging="360"/>
      </w:pPr>
    </w:lvl>
    <w:lvl w:ilvl="7" w:tplc="240A0019" w:tentative="1">
      <w:start w:val="1"/>
      <w:numFmt w:val="lowerLetter"/>
      <w:lvlText w:val="%8."/>
      <w:lvlJc w:val="left"/>
      <w:pPr>
        <w:ind w:left="5940" w:hanging="360"/>
      </w:pPr>
    </w:lvl>
    <w:lvl w:ilvl="8" w:tplc="240A001B" w:tentative="1">
      <w:start w:val="1"/>
      <w:numFmt w:val="lowerRoman"/>
      <w:lvlText w:val="%9."/>
      <w:lvlJc w:val="right"/>
      <w:pPr>
        <w:ind w:left="6660" w:hanging="180"/>
      </w:pPr>
    </w:lvl>
  </w:abstractNum>
  <w:abstractNum w:abstractNumId="2" w15:restartNumberingAfterBreak="0">
    <w:nsid w:val="0E7E1C12"/>
    <w:multiLevelType w:val="hybridMultilevel"/>
    <w:tmpl w:val="7590A7FC"/>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2F44159"/>
    <w:multiLevelType w:val="multilevel"/>
    <w:tmpl w:val="4C667D84"/>
    <w:lvl w:ilvl="0">
      <w:start w:val="1"/>
      <w:numFmt w:val="decimal"/>
      <w:pStyle w:val="Ttulo1"/>
      <w:lvlText w:val="%1."/>
      <w:lvlJc w:val="left"/>
      <w:pPr>
        <w:tabs>
          <w:tab w:val="num" w:pos="432"/>
        </w:tabs>
        <w:ind w:left="432" w:hanging="432"/>
      </w:pPr>
    </w:lvl>
    <w:lvl w:ilvl="1">
      <w:start w:val="1"/>
      <w:numFmt w:val="decimal"/>
      <w:pStyle w:val="Ttulo2"/>
      <w:lvlText w:val="%1.%2"/>
      <w:lvlJc w:val="left"/>
      <w:pPr>
        <w:tabs>
          <w:tab w:val="num" w:pos="576"/>
        </w:tabs>
        <w:ind w:left="576" w:hanging="576"/>
      </w:pPr>
    </w:lvl>
    <w:lvl w:ilvl="2">
      <w:start w:val="1"/>
      <w:numFmt w:val="decimal"/>
      <w:pStyle w:val="Ttulo3"/>
      <w:lvlText w:val="%1.%2.%3"/>
      <w:lvlJc w:val="left"/>
      <w:pPr>
        <w:tabs>
          <w:tab w:val="num" w:pos="720"/>
        </w:tabs>
        <w:ind w:left="720" w:hanging="720"/>
      </w:pPr>
    </w:lvl>
    <w:lvl w:ilvl="3">
      <w:start w:val="1"/>
      <w:numFmt w:val="decimal"/>
      <w:pStyle w:val="Ttulo4"/>
      <w:lvlText w:val="%1.%2.%3.%4"/>
      <w:lvlJc w:val="left"/>
      <w:pPr>
        <w:tabs>
          <w:tab w:val="num" w:pos="864"/>
        </w:tabs>
        <w:ind w:left="864" w:hanging="864"/>
      </w:pPr>
    </w:lvl>
    <w:lvl w:ilvl="4">
      <w:start w:val="1"/>
      <w:numFmt w:val="decimal"/>
      <w:pStyle w:val="Ttulo5"/>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4" w15:restartNumberingAfterBreak="0">
    <w:nsid w:val="153832CD"/>
    <w:multiLevelType w:val="hybridMultilevel"/>
    <w:tmpl w:val="64F2FB52"/>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FEC6040"/>
    <w:multiLevelType w:val="hybridMultilevel"/>
    <w:tmpl w:val="8F46F6D6"/>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3B62EF7"/>
    <w:multiLevelType w:val="hybridMultilevel"/>
    <w:tmpl w:val="F768DFA2"/>
    <w:lvl w:ilvl="0" w:tplc="A23453AA">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95D0CCE"/>
    <w:multiLevelType w:val="hybridMultilevel"/>
    <w:tmpl w:val="D4B01D50"/>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9C65DED"/>
    <w:multiLevelType w:val="hybridMultilevel"/>
    <w:tmpl w:val="21F0566A"/>
    <w:lvl w:ilvl="0" w:tplc="240A001B">
      <w:start w:val="1"/>
      <w:numFmt w:val="lowerRoman"/>
      <w:lvlText w:val="%1."/>
      <w:lvlJc w:val="righ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A332079"/>
    <w:multiLevelType w:val="hybridMultilevel"/>
    <w:tmpl w:val="AA64634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BD126E6"/>
    <w:multiLevelType w:val="hybridMultilevel"/>
    <w:tmpl w:val="0ECE752E"/>
    <w:lvl w:ilvl="0" w:tplc="C2281EC0">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F4A540E"/>
    <w:multiLevelType w:val="hybridMultilevel"/>
    <w:tmpl w:val="12C0BE62"/>
    <w:lvl w:ilvl="0" w:tplc="9E221822">
      <w:start w:val="1"/>
      <w:numFmt w:val="lowerRoman"/>
      <w:lvlText w:val="%1)"/>
      <w:lvlJc w:val="left"/>
      <w:pPr>
        <w:ind w:left="720" w:hanging="72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2" w15:restartNumberingAfterBreak="0">
    <w:nsid w:val="340430D1"/>
    <w:multiLevelType w:val="hybridMultilevel"/>
    <w:tmpl w:val="AD54FF6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68F4AE0"/>
    <w:multiLevelType w:val="hybridMultilevel"/>
    <w:tmpl w:val="4D5E8F5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A520BCC"/>
    <w:multiLevelType w:val="hybridMultilevel"/>
    <w:tmpl w:val="6EE22DC6"/>
    <w:lvl w:ilvl="0" w:tplc="614E7E3E">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43BC50EA"/>
    <w:multiLevelType w:val="hybridMultilevel"/>
    <w:tmpl w:val="6996029E"/>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45535606"/>
    <w:multiLevelType w:val="hybridMultilevel"/>
    <w:tmpl w:val="0332EB92"/>
    <w:lvl w:ilvl="0" w:tplc="240A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00D3C24"/>
    <w:multiLevelType w:val="hybridMultilevel"/>
    <w:tmpl w:val="7F3CBA9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50E35903"/>
    <w:multiLevelType w:val="hybridMultilevel"/>
    <w:tmpl w:val="138E94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2C639AA"/>
    <w:multiLevelType w:val="hybridMultilevel"/>
    <w:tmpl w:val="D1CC12CC"/>
    <w:lvl w:ilvl="0" w:tplc="79F2B0F8">
      <w:start w:val="3"/>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41146B4"/>
    <w:multiLevelType w:val="hybridMultilevel"/>
    <w:tmpl w:val="6F80E2D0"/>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585D3D82"/>
    <w:multiLevelType w:val="hybridMultilevel"/>
    <w:tmpl w:val="7590A7FC"/>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B940CA5"/>
    <w:multiLevelType w:val="hybridMultilevel"/>
    <w:tmpl w:val="69A09E82"/>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63A458B1"/>
    <w:multiLevelType w:val="hybridMultilevel"/>
    <w:tmpl w:val="A25AC78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68AD7ED3"/>
    <w:multiLevelType w:val="hybridMultilevel"/>
    <w:tmpl w:val="22B00044"/>
    <w:lvl w:ilvl="0" w:tplc="813AEEF6">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5" w15:restartNumberingAfterBreak="0">
    <w:nsid w:val="6F364C73"/>
    <w:multiLevelType w:val="hybridMultilevel"/>
    <w:tmpl w:val="B6F6888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73A852A2"/>
    <w:multiLevelType w:val="hybridMultilevel"/>
    <w:tmpl w:val="7590A7FC"/>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4B342D9"/>
    <w:multiLevelType w:val="hybridMultilevel"/>
    <w:tmpl w:val="7590A7FC"/>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680593260">
    <w:abstractNumId w:val="3"/>
  </w:num>
  <w:num w:numId="2" w16cid:durableId="261307563">
    <w:abstractNumId w:val="3"/>
  </w:num>
  <w:num w:numId="3" w16cid:durableId="681902922">
    <w:abstractNumId w:val="3"/>
  </w:num>
  <w:num w:numId="4" w16cid:durableId="811672608">
    <w:abstractNumId w:val="3"/>
  </w:num>
  <w:num w:numId="5" w16cid:durableId="1053693681">
    <w:abstractNumId w:val="3"/>
  </w:num>
  <w:num w:numId="6" w16cid:durableId="1949854634">
    <w:abstractNumId w:val="3"/>
  </w:num>
  <w:num w:numId="7" w16cid:durableId="14785693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29215739">
    <w:abstractNumId w:val="9"/>
  </w:num>
  <w:num w:numId="9" w16cid:durableId="889070795">
    <w:abstractNumId w:val="11"/>
  </w:num>
  <w:num w:numId="10" w16cid:durableId="2081323540">
    <w:abstractNumId w:val="10"/>
  </w:num>
  <w:num w:numId="11" w16cid:durableId="399251241">
    <w:abstractNumId w:val="8"/>
  </w:num>
  <w:num w:numId="12" w16cid:durableId="1302730622">
    <w:abstractNumId w:val="15"/>
  </w:num>
  <w:num w:numId="13" w16cid:durableId="191964069">
    <w:abstractNumId w:val="4"/>
  </w:num>
  <w:num w:numId="14" w16cid:durableId="589312740">
    <w:abstractNumId w:val="5"/>
  </w:num>
  <w:num w:numId="15" w16cid:durableId="281347600">
    <w:abstractNumId w:val="6"/>
  </w:num>
  <w:num w:numId="16" w16cid:durableId="514538451">
    <w:abstractNumId w:val="19"/>
  </w:num>
  <w:num w:numId="17" w16cid:durableId="505360355">
    <w:abstractNumId w:val="18"/>
  </w:num>
  <w:num w:numId="18" w16cid:durableId="631714711">
    <w:abstractNumId w:val="22"/>
  </w:num>
  <w:num w:numId="19" w16cid:durableId="1519811994">
    <w:abstractNumId w:val="17"/>
  </w:num>
  <w:num w:numId="20" w16cid:durableId="796030975">
    <w:abstractNumId w:val="20"/>
  </w:num>
  <w:num w:numId="21" w16cid:durableId="3560296">
    <w:abstractNumId w:val="1"/>
  </w:num>
  <w:num w:numId="22" w16cid:durableId="1226768581">
    <w:abstractNumId w:val="3"/>
  </w:num>
  <w:num w:numId="23" w16cid:durableId="593442176">
    <w:abstractNumId w:val="7"/>
  </w:num>
  <w:num w:numId="24" w16cid:durableId="1793666750">
    <w:abstractNumId w:val="27"/>
  </w:num>
  <w:num w:numId="25" w16cid:durableId="633288633">
    <w:abstractNumId w:val="2"/>
  </w:num>
  <w:num w:numId="26" w16cid:durableId="6828464">
    <w:abstractNumId w:val="13"/>
  </w:num>
  <w:num w:numId="27" w16cid:durableId="2008710263">
    <w:abstractNumId w:val="16"/>
  </w:num>
  <w:num w:numId="28" w16cid:durableId="499079789">
    <w:abstractNumId w:val="23"/>
  </w:num>
  <w:num w:numId="29" w16cid:durableId="1325890289">
    <w:abstractNumId w:val="14"/>
  </w:num>
  <w:num w:numId="30" w16cid:durableId="1017848479">
    <w:abstractNumId w:val="12"/>
  </w:num>
  <w:num w:numId="31" w16cid:durableId="293681571">
    <w:abstractNumId w:val="25"/>
  </w:num>
  <w:num w:numId="32" w16cid:durableId="1737163059">
    <w:abstractNumId w:val="26"/>
  </w:num>
  <w:num w:numId="33" w16cid:durableId="1695761685">
    <w:abstractNumId w:val="21"/>
  </w:num>
  <w:num w:numId="34" w16cid:durableId="1815677606">
    <w:abstractNumId w:val="24"/>
  </w:num>
  <w:num w:numId="35" w16cid:durableId="393162254">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3"/>
  <w:proofState w:spelling="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5852"/>
    <w:rsid w:val="00000080"/>
    <w:rsid w:val="00000520"/>
    <w:rsid w:val="0000066E"/>
    <w:rsid w:val="00000962"/>
    <w:rsid w:val="00000C89"/>
    <w:rsid w:val="00001136"/>
    <w:rsid w:val="00001D18"/>
    <w:rsid w:val="00001FD9"/>
    <w:rsid w:val="00002488"/>
    <w:rsid w:val="000024B6"/>
    <w:rsid w:val="00002C68"/>
    <w:rsid w:val="00002DF3"/>
    <w:rsid w:val="00003965"/>
    <w:rsid w:val="00003CE0"/>
    <w:rsid w:val="000042F5"/>
    <w:rsid w:val="000049E6"/>
    <w:rsid w:val="00004F77"/>
    <w:rsid w:val="00006576"/>
    <w:rsid w:val="00006C8E"/>
    <w:rsid w:val="0000780B"/>
    <w:rsid w:val="000101C0"/>
    <w:rsid w:val="00011328"/>
    <w:rsid w:val="00011D75"/>
    <w:rsid w:val="0001226C"/>
    <w:rsid w:val="000122A9"/>
    <w:rsid w:val="00012511"/>
    <w:rsid w:val="00012AEE"/>
    <w:rsid w:val="00013173"/>
    <w:rsid w:val="00013203"/>
    <w:rsid w:val="000135AE"/>
    <w:rsid w:val="00013A04"/>
    <w:rsid w:val="00014053"/>
    <w:rsid w:val="0001423B"/>
    <w:rsid w:val="00014635"/>
    <w:rsid w:val="00014DA2"/>
    <w:rsid w:val="00016588"/>
    <w:rsid w:val="00017594"/>
    <w:rsid w:val="0001761E"/>
    <w:rsid w:val="0001791A"/>
    <w:rsid w:val="00017C31"/>
    <w:rsid w:val="00020221"/>
    <w:rsid w:val="00020441"/>
    <w:rsid w:val="00021312"/>
    <w:rsid w:val="00021706"/>
    <w:rsid w:val="000219EC"/>
    <w:rsid w:val="00021DC3"/>
    <w:rsid w:val="00022110"/>
    <w:rsid w:val="000226A3"/>
    <w:rsid w:val="0002274C"/>
    <w:rsid w:val="0002339A"/>
    <w:rsid w:val="00023E6B"/>
    <w:rsid w:val="000248BE"/>
    <w:rsid w:val="00025101"/>
    <w:rsid w:val="000260AC"/>
    <w:rsid w:val="00026D93"/>
    <w:rsid w:val="00026FB9"/>
    <w:rsid w:val="00027EA9"/>
    <w:rsid w:val="00030188"/>
    <w:rsid w:val="0003019E"/>
    <w:rsid w:val="000313AE"/>
    <w:rsid w:val="0003157A"/>
    <w:rsid w:val="0003193D"/>
    <w:rsid w:val="00031C08"/>
    <w:rsid w:val="00031EA9"/>
    <w:rsid w:val="00032835"/>
    <w:rsid w:val="000333AD"/>
    <w:rsid w:val="000333C0"/>
    <w:rsid w:val="0003382F"/>
    <w:rsid w:val="00033CCB"/>
    <w:rsid w:val="0003411B"/>
    <w:rsid w:val="00034F71"/>
    <w:rsid w:val="000352C8"/>
    <w:rsid w:val="00035DD5"/>
    <w:rsid w:val="00036207"/>
    <w:rsid w:val="00036797"/>
    <w:rsid w:val="000379D2"/>
    <w:rsid w:val="00037ABF"/>
    <w:rsid w:val="00040185"/>
    <w:rsid w:val="00040737"/>
    <w:rsid w:val="0004078F"/>
    <w:rsid w:val="00041181"/>
    <w:rsid w:val="00041BD8"/>
    <w:rsid w:val="00042378"/>
    <w:rsid w:val="00042923"/>
    <w:rsid w:val="00042973"/>
    <w:rsid w:val="00042B37"/>
    <w:rsid w:val="000432F2"/>
    <w:rsid w:val="00043826"/>
    <w:rsid w:val="00043EFD"/>
    <w:rsid w:val="0004420D"/>
    <w:rsid w:val="000455BD"/>
    <w:rsid w:val="00045973"/>
    <w:rsid w:val="00045AA0"/>
    <w:rsid w:val="000466A1"/>
    <w:rsid w:val="00046987"/>
    <w:rsid w:val="00050F8C"/>
    <w:rsid w:val="000511B3"/>
    <w:rsid w:val="000515DC"/>
    <w:rsid w:val="000517D4"/>
    <w:rsid w:val="00051C06"/>
    <w:rsid w:val="0005224D"/>
    <w:rsid w:val="00052517"/>
    <w:rsid w:val="00052C88"/>
    <w:rsid w:val="00052D8C"/>
    <w:rsid w:val="00053157"/>
    <w:rsid w:val="00053499"/>
    <w:rsid w:val="00053FC5"/>
    <w:rsid w:val="00055191"/>
    <w:rsid w:val="000552C9"/>
    <w:rsid w:val="00055371"/>
    <w:rsid w:val="00055C9A"/>
    <w:rsid w:val="00055D27"/>
    <w:rsid w:val="00055D8A"/>
    <w:rsid w:val="00055E38"/>
    <w:rsid w:val="00056024"/>
    <w:rsid w:val="00056858"/>
    <w:rsid w:val="00056B18"/>
    <w:rsid w:val="00056DFC"/>
    <w:rsid w:val="000605D9"/>
    <w:rsid w:val="000607A0"/>
    <w:rsid w:val="00060C1B"/>
    <w:rsid w:val="00060EC7"/>
    <w:rsid w:val="00061306"/>
    <w:rsid w:val="0006145D"/>
    <w:rsid w:val="000619C6"/>
    <w:rsid w:val="00061AB6"/>
    <w:rsid w:val="000620B6"/>
    <w:rsid w:val="000628C9"/>
    <w:rsid w:val="00062C2B"/>
    <w:rsid w:val="00063362"/>
    <w:rsid w:val="00064B0F"/>
    <w:rsid w:val="00064EA7"/>
    <w:rsid w:val="0006544D"/>
    <w:rsid w:val="00067056"/>
    <w:rsid w:val="00067143"/>
    <w:rsid w:val="00070172"/>
    <w:rsid w:val="00070585"/>
    <w:rsid w:val="000709CC"/>
    <w:rsid w:val="00071856"/>
    <w:rsid w:val="00071E47"/>
    <w:rsid w:val="000720AC"/>
    <w:rsid w:val="000720F4"/>
    <w:rsid w:val="000726A6"/>
    <w:rsid w:val="00072992"/>
    <w:rsid w:val="00073824"/>
    <w:rsid w:val="00073A45"/>
    <w:rsid w:val="00074031"/>
    <w:rsid w:val="0007449C"/>
    <w:rsid w:val="000757FB"/>
    <w:rsid w:val="0007610E"/>
    <w:rsid w:val="0007656B"/>
    <w:rsid w:val="000765F7"/>
    <w:rsid w:val="00076C1E"/>
    <w:rsid w:val="00077A6B"/>
    <w:rsid w:val="000802D4"/>
    <w:rsid w:val="00080C21"/>
    <w:rsid w:val="0008129A"/>
    <w:rsid w:val="000818D9"/>
    <w:rsid w:val="00081A35"/>
    <w:rsid w:val="00081D02"/>
    <w:rsid w:val="00081F0C"/>
    <w:rsid w:val="000820FD"/>
    <w:rsid w:val="000836EB"/>
    <w:rsid w:val="00084081"/>
    <w:rsid w:val="000840BD"/>
    <w:rsid w:val="00084749"/>
    <w:rsid w:val="000847CE"/>
    <w:rsid w:val="00084A8B"/>
    <w:rsid w:val="00085113"/>
    <w:rsid w:val="000852AA"/>
    <w:rsid w:val="00085CC6"/>
    <w:rsid w:val="0008642A"/>
    <w:rsid w:val="00087E48"/>
    <w:rsid w:val="000903E2"/>
    <w:rsid w:val="00090B46"/>
    <w:rsid w:val="00090EC1"/>
    <w:rsid w:val="00091D75"/>
    <w:rsid w:val="0009223B"/>
    <w:rsid w:val="00092B28"/>
    <w:rsid w:val="000930FE"/>
    <w:rsid w:val="00093282"/>
    <w:rsid w:val="00093292"/>
    <w:rsid w:val="00093A53"/>
    <w:rsid w:val="0009428E"/>
    <w:rsid w:val="000944B0"/>
    <w:rsid w:val="000944FC"/>
    <w:rsid w:val="0009491A"/>
    <w:rsid w:val="00094E94"/>
    <w:rsid w:val="0009506E"/>
    <w:rsid w:val="000956A0"/>
    <w:rsid w:val="00095828"/>
    <w:rsid w:val="000966CE"/>
    <w:rsid w:val="0009692F"/>
    <w:rsid w:val="00097576"/>
    <w:rsid w:val="00097A71"/>
    <w:rsid w:val="00097BEF"/>
    <w:rsid w:val="00097BFB"/>
    <w:rsid w:val="00097D3F"/>
    <w:rsid w:val="000A047E"/>
    <w:rsid w:val="000A063E"/>
    <w:rsid w:val="000A0C30"/>
    <w:rsid w:val="000A105B"/>
    <w:rsid w:val="000A132F"/>
    <w:rsid w:val="000A2163"/>
    <w:rsid w:val="000A2532"/>
    <w:rsid w:val="000A32A1"/>
    <w:rsid w:val="000A3599"/>
    <w:rsid w:val="000A3C65"/>
    <w:rsid w:val="000A3F9B"/>
    <w:rsid w:val="000A417B"/>
    <w:rsid w:val="000A4257"/>
    <w:rsid w:val="000A51D6"/>
    <w:rsid w:val="000A5551"/>
    <w:rsid w:val="000A629A"/>
    <w:rsid w:val="000A7930"/>
    <w:rsid w:val="000A7EE0"/>
    <w:rsid w:val="000B08D4"/>
    <w:rsid w:val="000B0E5B"/>
    <w:rsid w:val="000B1BE9"/>
    <w:rsid w:val="000B2A07"/>
    <w:rsid w:val="000B3700"/>
    <w:rsid w:val="000B3BAE"/>
    <w:rsid w:val="000B3F06"/>
    <w:rsid w:val="000B63B8"/>
    <w:rsid w:val="000B69DD"/>
    <w:rsid w:val="000B7351"/>
    <w:rsid w:val="000C003F"/>
    <w:rsid w:val="000C0287"/>
    <w:rsid w:val="000C04F8"/>
    <w:rsid w:val="000C0769"/>
    <w:rsid w:val="000C09B9"/>
    <w:rsid w:val="000C0E9E"/>
    <w:rsid w:val="000C32BF"/>
    <w:rsid w:val="000C4CAF"/>
    <w:rsid w:val="000C4F08"/>
    <w:rsid w:val="000C5350"/>
    <w:rsid w:val="000C5814"/>
    <w:rsid w:val="000C693C"/>
    <w:rsid w:val="000C70D1"/>
    <w:rsid w:val="000C7B67"/>
    <w:rsid w:val="000D08DB"/>
    <w:rsid w:val="000D0C02"/>
    <w:rsid w:val="000D1065"/>
    <w:rsid w:val="000D1B67"/>
    <w:rsid w:val="000D21EF"/>
    <w:rsid w:val="000D2DD1"/>
    <w:rsid w:val="000D2E4B"/>
    <w:rsid w:val="000D3C7F"/>
    <w:rsid w:val="000D3ED7"/>
    <w:rsid w:val="000D4930"/>
    <w:rsid w:val="000D4994"/>
    <w:rsid w:val="000D5E82"/>
    <w:rsid w:val="000D6268"/>
    <w:rsid w:val="000D64B9"/>
    <w:rsid w:val="000D696D"/>
    <w:rsid w:val="000D7107"/>
    <w:rsid w:val="000D7F58"/>
    <w:rsid w:val="000E0C1B"/>
    <w:rsid w:val="000E0E02"/>
    <w:rsid w:val="000E26D6"/>
    <w:rsid w:val="000E298B"/>
    <w:rsid w:val="000E2D4A"/>
    <w:rsid w:val="000E3C9D"/>
    <w:rsid w:val="000E4488"/>
    <w:rsid w:val="000E4CBD"/>
    <w:rsid w:val="000E5008"/>
    <w:rsid w:val="000E5379"/>
    <w:rsid w:val="000E6727"/>
    <w:rsid w:val="000E6782"/>
    <w:rsid w:val="000E6A9D"/>
    <w:rsid w:val="000E70AA"/>
    <w:rsid w:val="000E74F8"/>
    <w:rsid w:val="000F0938"/>
    <w:rsid w:val="000F0F5E"/>
    <w:rsid w:val="000F168A"/>
    <w:rsid w:val="000F16C0"/>
    <w:rsid w:val="000F21E0"/>
    <w:rsid w:val="000F23A0"/>
    <w:rsid w:val="000F23F1"/>
    <w:rsid w:val="000F4120"/>
    <w:rsid w:val="000F4A50"/>
    <w:rsid w:val="000F4C39"/>
    <w:rsid w:val="000F4F1B"/>
    <w:rsid w:val="000F50FC"/>
    <w:rsid w:val="000F5B29"/>
    <w:rsid w:val="000F5BEC"/>
    <w:rsid w:val="000F66F0"/>
    <w:rsid w:val="000F6A02"/>
    <w:rsid w:val="000F6E03"/>
    <w:rsid w:val="000F77E0"/>
    <w:rsid w:val="000F780A"/>
    <w:rsid w:val="000F7811"/>
    <w:rsid w:val="000F7B4A"/>
    <w:rsid w:val="000F7FCF"/>
    <w:rsid w:val="001000A7"/>
    <w:rsid w:val="00100C46"/>
    <w:rsid w:val="001010AE"/>
    <w:rsid w:val="00101121"/>
    <w:rsid w:val="001017B9"/>
    <w:rsid w:val="0010189D"/>
    <w:rsid w:val="0010192A"/>
    <w:rsid w:val="00102223"/>
    <w:rsid w:val="00103084"/>
    <w:rsid w:val="00103BE1"/>
    <w:rsid w:val="00103F6A"/>
    <w:rsid w:val="00104723"/>
    <w:rsid w:val="00104A6A"/>
    <w:rsid w:val="001051C7"/>
    <w:rsid w:val="00105769"/>
    <w:rsid w:val="0010616F"/>
    <w:rsid w:val="00106209"/>
    <w:rsid w:val="0010628B"/>
    <w:rsid w:val="001062DF"/>
    <w:rsid w:val="001071FD"/>
    <w:rsid w:val="00107472"/>
    <w:rsid w:val="00107A15"/>
    <w:rsid w:val="00110A1C"/>
    <w:rsid w:val="00110A66"/>
    <w:rsid w:val="00110B81"/>
    <w:rsid w:val="00110D42"/>
    <w:rsid w:val="0011104F"/>
    <w:rsid w:val="00111937"/>
    <w:rsid w:val="00111A48"/>
    <w:rsid w:val="001137F9"/>
    <w:rsid w:val="00114B29"/>
    <w:rsid w:val="00115378"/>
    <w:rsid w:val="00115A1B"/>
    <w:rsid w:val="00116437"/>
    <w:rsid w:val="001173AB"/>
    <w:rsid w:val="00117497"/>
    <w:rsid w:val="00117D0B"/>
    <w:rsid w:val="0012009E"/>
    <w:rsid w:val="00121490"/>
    <w:rsid w:val="0012158A"/>
    <w:rsid w:val="00121DBE"/>
    <w:rsid w:val="00122843"/>
    <w:rsid w:val="00122915"/>
    <w:rsid w:val="0012312B"/>
    <w:rsid w:val="001235D1"/>
    <w:rsid w:val="001238C4"/>
    <w:rsid w:val="00123C1C"/>
    <w:rsid w:val="0012439D"/>
    <w:rsid w:val="0012456F"/>
    <w:rsid w:val="00124EA2"/>
    <w:rsid w:val="00124EC5"/>
    <w:rsid w:val="00125401"/>
    <w:rsid w:val="0012565B"/>
    <w:rsid w:val="00125843"/>
    <w:rsid w:val="0012600F"/>
    <w:rsid w:val="00126086"/>
    <w:rsid w:val="00126DD9"/>
    <w:rsid w:val="001316EC"/>
    <w:rsid w:val="0013185C"/>
    <w:rsid w:val="001318CA"/>
    <w:rsid w:val="0013224B"/>
    <w:rsid w:val="00132406"/>
    <w:rsid w:val="00132E40"/>
    <w:rsid w:val="001332F2"/>
    <w:rsid w:val="00133375"/>
    <w:rsid w:val="00134042"/>
    <w:rsid w:val="001348E7"/>
    <w:rsid w:val="00134F4C"/>
    <w:rsid w:val="00136086"/>
    <w:rsid w:val="00136254"/>
    <w:rsid w:val="0013643F"/>
    <w:rsid w:val="00136963"/>
    <w:rsid w:val="0013718E"/>
    <w:rsid w:val="0014062E"/>
    <w:rsid w:val="0014134B"/>
    <w:rsid w:val="00141FCE"/>
    <w:rsid w:val="0014206C"/>
    <w:rsid w:val="0014229C"/>
    <w:rsid w:val="00142E2C"/>
    <w:rsid w:val="001431EB"/>
    <w:rsid w:val="00143953"/>
    <w:rsid w:val="00143E42"/>
    <w:rsid w:val="001440BF"/>
    <w:rsid w:val="00144B4D"/>
    <w:rsid w:val="00145316"/>
    <w:rsid w:val="00145630"/>
    <w:rsid w:val="00145AF9"/>
    <w:rsid w:val="001469C8"/>
    <w:rsid w:val="0014702B"/>
    <w:rsid w:val="00147513"/>
    <w:rsid w:val="00147D42"/>
    <w:rsid w:val="001511AA"/>
    <w:rsid w:val="001512E1"/>
    <w:rsid w:val="00151606"/>
    <w:rsid w:val="0015231C"/>
    <w:rsid w:val="001525C7"/>
    <w:rsid w:val="00152C95"/>
    <w:rsid w:val="00152CA7"/>
    <w:rsid w:val="001532C9"/>
    <w:rsid w:val="00153C2B"/>
    <w:rsid w:val="0015450E"/>
    <w:rsid w:val="00154FB9"/>
    <w:rsid w:val="0015529B"/>
    <w:rsid w:val="00155845"/>
    <w:rsid w:val="00155BCB"/>
    <w:rsid w:val="0015688C"/>
    <w:rsid w:val="00157F6C"/>
    <w:rsid w:val="00160ACD"/>
    <w:rsid w:val="00161975"/>
    <w:rsid w:val="00161C13"/>
    <w:rsid w:val="00161D2F"/>
    <w:rsid w:val="0016280B"/>
    <w:rsid w:val="001638E5"/>
    <w:rsid w:val="00163C60"/>
    <w:rsid w:val="00164038"/>
    <w:rsid w:val="0016482B"/>
    <w:rsid w:val="00164C54"/>
    <w:rsid w:val="001650C8"/>
    <w:rsid w:val="0016516F"/>
    <w:rsid w:val="00166363"/>
    <w:rsid w:val="00166B0C"/>
    <w:rsid w:val="00166D66"/>
    <w:rsid w:val="001675DF"/>
    <w:rsid w:val="00167C25"/>
    <w:rsid w:val="001700C2"/>
    <w:rsid w:val="00171884"/>
    <w:rsid w:val="001725F6"/>
    <w:rsid w:val="00172DD4"/>
    <w:rsid w:val="0017324C"/>
    <w:rsid w:val="00174671"/>
    <w:rsid w:val="001749B2"/>
    <w:rsid w:val="00174F0F"/>
    <w:rsid w:val="001752FB"/>
    <w:rsid w:val="00175334"/>
    <w:rsid w:val="001754ED"/>
    <w:rsid w:val="0017559D"/>
    <w:rsid w:val="00175D3A"/>
    <w:rsid w:val="001765CB"/>
    <w:rsid w:val="00177433"/>
    <w:rsid w:val="00177435"/>
    <w:rsid w:val="001778B2"/>
    <w:rsid w:val="00180162"/>
    <w:rsid w:val="001805A9"/>
    <w:rsid w:val="0018060B"/>
    <w:rsid w:val="00181660"/>
    <w:rsid w:val="00181AD1"/>
    <w:rsid w:val="00182428"/>
    <w:rsid w:val="001826B6"/>
    <w:rsid w:val="00182EE2"/>
    <w:rsid w:val="001831BE"/>
    <w:rsid w:val="001833EE"/>
    <w:rsid w:val="00183578"/>
    <w:rsid w:val="001835E3"/>
    <w:rsid w:val="0018422F"/>
    <w:rsid w:val="00184628"/>
    <w:rsid w:val="00184CA2"/>
    <w:rsid w:val="00185009"/>
    <w:rsid w:val="00185B93"/>
    <w:rsid w:val="00186477"/>
    <w:rsid w:val="00186D75"/>
    <w:rsid w:val="0018780A"/>
    <w:rsid w:val="001901EF"/>
    <w:rsid w:val="00190327"/>
    <w:rsid w:val="00191355"/>
    <w:rsid w:val="00191A42"/>
    <w:rsid w:val="0019207F"/>
    <w:rsid w:val="001930A5"/>
    <w:rsid w:val="00193193"/>
    <w:rsid w:val="00193CF7"/>
    <w:rsid w:val="00194190"/>
    <w:rsid w:val="001944FF"/>
    <w:rsid w:val="00194D43"/>
    <w:rsid w:val="001951A2"/>
    <w:rsid w:val="00195915"/>
    <w:rsid w:val="00196026"/>
    <w:rsid w:val="0019781E"/>
    <w:rsid w:val="001A0260"/>
    <w:rsid w:val="001A0C55"/>
    <w:rsid w:val="001A14A2"/>
    <w:rsid w:val="001A1CEC"/>
    <w:rsid w:val="001A288A"/>
    <w:rsid w:val="001A4576"/>
    <w:rsid w:val="001A4A8F"/>
    <w:rsid w:val="001A54C0"/>
    <w:rsid w:val="001A5827"/>
    <w:rsid w:val="001A6D8A"/>
    <w:rsid w:val="001A7CDA"/>
    <w:rsid w:val="001B06C3"/>
    <w:rsid w:val="001B09C7"/>
    <w:rsid w:val="001B0D50"/>
    <w:rsid w:val="001B18C4"/>
    <w:rsid w:val="001B19A8"/>
    <w:rsid w:val="001B19E1"/>
    <w:rsid w:val="001B1AE8"/>
    <w:rsid w:val="001B261F"/>
    <w:rsid w:val="001B27E9"/>
    <w:rsid w:val="001B2DE3"/>
    <w:rsid w:val="001B3065"/>
    <w:rsid w:val="001B32E0"/>
    <w:rsid w:val="001B338F"/>
    <w:rsid w:val="001B373C"/>
    <w:rsid w:val="001B3E38"/>
    <w:rsid w:val="001B42B9"/>
    <w:rsid w:val="001B47BD"/>
    <w:rsid w:val="001B582C"/>
    <w:rsid w:val="001B5996"/>
    <w:rsid w:val="001B5A36"/>
    <w:rsid w:val="001B5B29"/>
    <w:rsid w:val="001B5B80"/>
    <w:rsid w:val="001B5CDD"/>
    <w:rsid w:val="001B62F6"/>
    <w:rsid w:val="001B67C9"/>
    <w:rsid w:val="001B681C"/>
    <w:rsid w:val="001B7036"/>
    <w:rsid w:val="001B7E3B"/>
    <w:rsid w:val="001C03A3"/>
    <w:rsid w:val="001C044A"/>
    <w:rsid w:val="001C051B"/>
    <w:rsid w:val="001C139A"/>
    <w:rsid w:val="001C148C"/>
    <w:rsid w:val="001C16D5"/>
    <w:rsid w:val="001C187B"/>
    <w:rsid w:val="001C1CB9"/>
    <w:rsid w:val="001C2A99"/>
    <w:rsid w:val="001C3421"/>
    <w:rsid w:val="001C3A04"/>
    <w:rsid w:val="001C4B2F"/>
    <w:rsid w:val="001C5098"/>
    <w:rsid w:val="001C50B0"/>
    <w:rsid w:val="001C5128"/>
    <w:rsid w:val="001C554F"/>
    <w:rsid w:val="001C5A1F"/>
    <w:rsid w:val="001C5CD7"/>
    <w:rsid w:val="001C6012"/>
    <w:rsid w:val="001C6748"/>
    <w:rsid w:val="001C6A11"/>
    <w:rsid w:val="001C749E"/>
    <w:rsid w:val="001C7DDC"/>
    <w:rsid w:val="001D08B9"/>
    <w:rsid w:val="001D0D31"/>
    <w:rsid w:val="001D127D"/>
    <w:rsid w:val="001D171D"/>
    <w:rsid w:val="001D185F"/>
    <w:rsid w:val="001D1F7C"/>
    <w:rsid w:val="001D222D"/>
    <w:rsid w:val="001D37DD"/>
    <w:rsid w:val="001D42B4"/>
    <w:rsid w:val="001D454D"/>
    <w:rsid w:val="001D49FD"/>
    <w:rsid w:val="001D4D05"/>
    <w:rsid w:val="001D4D11"/>
    <w:rsid w:val="001D61E8"/>
    <w:rsid w:val="001E12A4"/>
    <w:rsid w:val="001E16BF"/>
    <w:rsid w:val="001E16E5"/>
    <w:rsid w:val="001E2105"/>
    <w:rsid w:val="001E23D3"/>
    <w:rsid w:val="001E42FC"/>
    <w:rsid w:val="001E534C"/>
    <w:rsid w:val="001E57BF"/>
    <w:rsid w:val="001E5D97"/>
    <w:rsid w:val="001E6E22"/>
    <w:rsid w:val="001E7C5A"/>
    <w:rsid w:val="001F047E"/>
    <w:rsid w:val="001F06A8"/>
    <w:rsid w:val="001F0FE6"/>
    <w:rsid w:val="001F215B"/>
    <w:rsid w:val="001F2737"/>
    <w:rsid w:val="001F3023"/>
    <w:rsid w:val="001F377E"/>
    <w:rsid w:val="001F37CC"/>
    <w:rsid w:val="001F3A7B"/>
    <w:rsid w:val="001F3FCC"/>
    <w:rsid w:val="001F431F"/>
    <w:rsid w:val="001F5D10"/>
    <w:rsid w:val="001F66A3"/>
    <w:rsid w:val="001F695B"/>
    <w:rsid w:val="001F6EEE"/>
    <w:rsid w:val="001F7C00"/>
    <w:rsid w:val="0020048F"/>
    <w:rsid w:val="00200B51"/>
    <w:rsid w:val="002013DA"/>
    <w:rsid w:val="002014E5"/>
    <w:rsid w:val="002015B5"/>
    <w:rsid w:val="00201CDF"/>
    <w:rsid w:val="00202031"/>
    <w:rsid w:val="002022CA"/>
    <w:rsid w:val="002026FC"/>
    <w:rsid w:val="00203131"/>
    <w:rsid w:val="00203B89"/>
    <w:rsid w:val="00203F39"/>
    <w:rsid w:val="0020506C"/>
    <w:rsid w:val="00205332"/>
    <w:rsid w:val="00206693"/>
    <w:rsid w:val="00207255"/>
    <w:rsid w:val="0020742A"/>
    <w:rsid w:val="00207458"/>
    <w:rsid w:val="00207F64"/>
    <w:rsid w:val="00210CD5"/>
    <w:rsid w:val="00210E49"/>
    <w:rsid w:val="00210F5C"/>
    <w:rsid w:val="002111F7"/>
    <w:rsid w:val="0021166F"/>
    <w:rsid w:val="00211C01"/>
    <w:rsid w:val="00212007"/>
    <w:rsid w:val="002121DB"/>
    <w:rsid w:val="00212843"/>
    <w:rsid w:val="00213213"/>
    <w:rsid w:val="002145A2"/>
    <w:rsid w:val="00214BBC"/>
    <w:rsid w:val="00214E83"/>
    <w:rsid w:val="00215176"/>
    <w:rsid w:val="00215630"/>
    <w:rsid w:val="0021568E"/>
    <w:rsid w:val="00215BF2"/>
    <w:rsid w:val="00215D27"/>
    <w:rsid w:val="0021697A"/>
    <w:rsid w:val="00217954"/>
    <w:rsid w:val="0022028B"/>
    <w:rsid w:val="0022064B"/>
    <w:rsid w:val="00220877"/>
    <w:rsid w:val="00220A93"/>
    <w:rsid w:val="00220D0D"/>
    <w:rsid w:val="00221F28"/>
    <w:rsid w:val="0022267E"/>
    <w:rsid w:val="00223336"/>
    <w:rsid w:val="002246DD"/>
    <w:rsid w:val="00226195"/>
    <w:rsid w:val="00226FA8"/>
    <w:rsid w:val="00227411"/>
    <w:rsid w:val="00230404"/>
    <w:rsid w:val="002308C1"/>
    <w:rsid w:val="00230BFB"/>
    <w:rsid w:val="00232E0D"/>
    <w:rsid w:val="002330C1"/>
    <w:rsid w:val="00233475"/>
    <w:rsid w:val="00233D80"/>
    <w:rsid w:val="00233F1E"/>
    <w:rsid w:val="00234D7A"/>
    <w:rsid w:val="0023592C"/>
    <w:rsid w:val="00235D08"/>
    <w:rsid w:val="00236873"/>
    <w:rsid w:val="0023755E"/>
    <w:rsid w:val="00237697"/>
    <w:rsid w:val="002376E3"/>
    <w:rsid w:val="00237F49"/>
    <w:rsid w:val="00240630"/>
    <w:rsid w:val="00240D19"/>
    <w:rsid w:val="002412F4"/>
    <w:rsid w:val="0024199A"/>
    <w:rsid w:val="00241C10"/>
    <w:rsid w:val="00242106"/>
    <w:rsid w:val="00242BC3"/>
    <w:rsid w:val="00242C3D"/>
    <w:rsid w:val="002435D6"/>
    <w:rsid w:val="002435D8"/>
    <w:rsid w:val="002445BA"/>
    <w:rsid w:val="00244B15"/>
    <w:rsid w:val="00244BBB"/>
    <w:rsid w:val="00244EA5"/>
    <w:rsid w:val="00245047"/>
    <w:rsid w:val="002455E7"/>
    <w:rsid w:val="00245C93"/>
    <w:rsid w:val="00246166"/>
    <w:rsid w:val="00246485"/>
    <w:rsid w:val="0024682F"/>
    <w:rsid w:val="00246A25"/>
    <w:rsid w:val="00247409"/>
    <w:rsid w:val="00247A07"/>
    <w:rsid w:val="00250390"/>
    <w:rsid w:val="00250653"/>
    <w:rsid w:val="002509B8"/>
    <w:rsid w:val="00250DB7"/>
    <w:rsid w:val="0025193D"/>
    <w:rsid w:val="00252518"/>
    <w:rsid w:val="00252950"/>
    <w:rsid w:val="00252C26"/>
    <w:rsid w:val="00252E9F"/>
    <w:rsid w:val="00253F05"/>
    <w:rsid w:val="00253F1B"/>
    <w:rsid w:val="00254BA5"/>
    <w:rsid w:val="00254E10"/>
    <w:rsid w:val="00254E51"/>
    <w:rsid w:val="00255558"/>
    <w:rsid w:val="00255873"/>
    <w:rsid w:val="002569CA"/>
    <w:rsid w:val="00256DED"/>
    <w:rsid w:val="00257B03"/>
    <w:rsid w:val="00257C6A"/>
    <w:rsid w:val="00260146"/>
    <w:rsid w:val="002603E7"/>
    <w:rsid w:val="00260748"/>
    <w:rsid w:val="00262138"/>
    <w:rsid w:val="00262476"/>
    <w:rsid w:val="00262FF9"/>
    <w:rsid w:val="002638CF"/>
    <w:rsid w:val="002639FD"/>
    <w:rsid w:val="00263FBE"/>
    <w:rsid w:val="00264844"/>
    <w:rsid w:val="00264909"/>
    <w:rsid w:val="00264A45"/>
    <w:rsid w:val="002653AF"/>
    <w:rsid w:val="002663ED"/>
    <w:rsid w:val="00267328"/>
    <w:rsid w:val="00267620"/>
    <w:rsid w:val="00267E2B"/>
    <w:rsid w:val="00270F78"/>
    <w:rsid w:val="00271D14"/>
    <w:rsid w:val="00271D9C"/>
    <w:rsid w:val="00273160"/>
    <w:rsid w:val="00273AA8"/>
    <w:rsid w:val="00273E3D"/>
    <w:rsid w:val="00274A85"/>
    <w:rsid w:val="00274CE7"/>
    <w:rsid w:val="00274F77"/>
    <w:rsid w:val="00275015"/>
    <w:rsid w:val="00275885"/>
    <w:rsid w:val="002759C1"/>
    <w:rsid w:val="00276023"/>
    <w:rsid w:val="0027653C"/>
    <w:rsid w:val="00276D79"/>
    <w:rsid w:val="00276EC3"/>
    <w:rsid w:val="00277440"/>
    <w:rsid w:val="002776AD"/>
    <w:rsid w:val="002779EC"/>
    <w:rsid w:val="00277DD8"/>
    <w:rsid w:val="00280E44"/>
    <w:rsid w:val="00281475"/>
    <w:rsid w:val="0028163A"/>
    <w:rsid w:val="002819FF"/>
    <w:rsid w:val="00281A5F"/>
    <w:rsid w:val="00281F35"/>
    <w:rsid w:val="00282547"/>
    <w:rsid w:val="00282964"/>
    <w:rsid w:val="002836FA"/>
    <w:rsid w:val="00283841"/>
    <w:rsid w:val="00283EED"/>
    <w:rsid w:val="00284875"/>
    <w:rsid w:val="00284925"/>
    <w:rsid w:val="00284B18"/>
    <w:rsid w:val="00285139"/>
    <w:rsid w:val="00285244"/>
    <w:rsid w:val="002879B3"/>
    <w:rsid w:val="00287B56"/>
    <w:rsid w:val="00291381"/>
    <w:rsid w:val="00291540"/>
    <w:rsid w:val="00291A8F"/>
    <w:rsid w:val="00291B3C"/>
    <w:rsid w:val="00291B53"/>
    <w:rsid w:val="002926DE"/>
    <w:rsid w:val="002929ED"/>
    <w:rsid w:val="00292B9D"/>
    <w:rsid w:val="00293C96"/>
    <w:rsid w:val="00293E8F"/>
    <w:rsid w:val="002946FF"/>
    <w:rsid w:val="00294D5D"/>
    <w:rsid w:val="00294EC5"/>
    <w:rsid w:val="00295385"/>
    <w:rsid w:val="00295C6B"/>
    <w:rsid w:val="00295EE7"/>
    <w:rsid w:val="002966CE"/>
    <w:rsid w:val="00296C7C"/>
    <w:rsid w:val="002971ED"/>
    <w:rsid w:val="0029743A"/>
    <w:rsid w:val="00297768"/>
    <w:rsid w:val="00297A3B"/>
    <w:rsid w:val="002A0510"/>
    <w:rsid w:val="002A11F8"/>
    <w:rsid w:val="002A181E"/>
    <w:rsid w:val="002A3328"/>
    <w:rsid w:val="002A3EE0"/>
    <w:rsid w:val="002A4343"/>
    <w:rsid w:val="002A4599"/>
    <w:rsid w:val="002A4FAE"/>
    <w:rsid w:val="002A55C2"/>
    <w:rsid w:val="002A5C22"/>
    <w:rsid w:val="002A5C33"/>
    <w:rsid w:val="002A6BDD"/>
    <w:rsid w:val="002A73C1"/>
    <w:rsid w:val="002A7869"/>
    <w:rsid w:val="002A7A1E"/>
    <w:rsid w:val="002B08FA"/>
    <w:rsid w:val="002B1360"/>
    <w:rsid w:val="002B242B"/>
    <w:rsid w:val="002B2586"/>
    <w:rsid w:val="002B3A82"/>
    <w:rsid w:val="002B45D7"/>
    <w:rsid w:val="002B4778"/>
    <w:rsid w:val="002B49A7"/>
    <w:rsid w:val="002B4EAB"/>
    <w:rsid w:val="002B5A9E"/>
    <w:rsid w:val="002B5D13"/>
    <w:rsid w:val="002B6649"/>
    <w:rsid w:val="002B678C"/>
    <w:rsid w:val="002B74E9"/>
    <w:rsid w:val="002C070B"/>
    <w:rsid w:val="002C0B4B"/>
    <w:rsid w:val="002C0CCB"/>
    <w:rsid w:val="002C1150"/>
    <w:rsid w:val="002C174B"/>
    <w:rsid w:val="002C2173"/>
    <w:rsid w:val="002C28F4"/>
    <w:rsid w:val="002C3D09"/>
    <w:rsid w:val="002C446C"/>
    <w:rsid w:val="002C4522"/>
    <w:rsid w:val="002C4994"/>
    <w:rsid w:val="002C4E3B"/>
    <w:rsid w:val="002C5119"/>
    <w:rsid w:val="002C7052"/>
    <w:rsid w:val="002C75C2"/>
    <w:rsid w:val="002C7A6A"/>
    <w:rsid w:val="002C7F90"/>
    <w:rsid w:val="002D0162"/>
    <w:rsid w:val="002D080C"/>
    <w:rsid w:val="002D0FF4"/>
    <w:rsid w:val="002D100E"/>
    <w:rsid w:val="002D2958"/>
    <w:rsid w:val="002D2D3A"/>
    <w:rsid w:val="002D2E00"/>
    <w:rsid w:val="002D3374"/>
    <w:rsid w:val="002D3E13"/>
    <w:rsid w:val="002D4A34"/>
    <w:rsid w:val="002D4C58"/>
    <w:rsid w:val="002D51C8"/>
    <w:rsid w:val="002D543A"/>
    <w:rsid w:val="002D5620"/>
    <w:rsid w:val="002D5B8D"/>
    <w:rsid w:val="002D5D1B"/>
    <w:rsid w:val="002D5D70"/>
    <w:rsid w:val="002D658E"/>
    <w:rsid w:val="002D6D4B"/>
    <w:rsid w:val="002D6F9F"/>
    <w:rsid w:val="002D719F"/>
    <w:rsid w:val="002D7950"/>
    <w:rsid w:val="002D7F93"/>
    <w:rsid w:val="002E0E18"/>
    <w:rsid w:val="002E19C4"/>
    <w:rsid w:val="002E24CF"/>
    <w:rsid w:val="002E26F4"/>
    <w:rsid w:val="002E280C"/>
    <w:rsid w:val="002E312F"/>
    <w:rsid w:val="002E361C"/>
    <w:rsid w:val="002E40B1"/>
    <w:rsid w:val="002E4797"/>
    <w:rsid w:val="002E4D5F"/>
    <w:rsid w:val="002E5093"/>
    <w:rsid w:val="002E5238"/>
    <w:rsid w:val="002E57D0"/>
    <w:rsid w:val="002E5EF8"/>
    <w:rsid w:val="002E696C"/>
    <w:rsid w:val="002E7656"/>
    <w:rsid w:val="002E7A29"/>
    <w:rsid w:val="002F043D"/>
    <w:rsid w:val="002F050A"/>
    <w:rsid w:val="002F161C"/>
    <w:rsid w:val="002F1FE9"/>
    <w:rsid w:val="002F24C2"/>
    <w:rsid w:val="002F2D86"/>
    <w:rsid w:val="002F351A"/>
    <w:rsid w:val="002F36B9"/>
    <w:rsid w:val="002F3BCE"/>
    <w:rsid w:val="002F3C3B"/>
    <w:rsid w:val="002F3CFD"/>
    <w:rsid w:val="002F48D7"/>
    <w:rsid w:val="002F4AB2"/>
    <w:rsid w:val="002F5204"/>
    <w:rsid w:val="002F622E"/>
    <w:rsid w:val="002F65F4"/>
    <w:rsid w:val="002F6D39"/>
    <w:rsid w:val="002F7541"/>
    <w:rsid w:val="002F7748"/>
    <w:rsid w:val="002F7769"/>
    <w:rsid w:val="002F7EB0"/>
    <w:rsid w:val="00300D19"/>
    <w:rsid w:val="00301359"/>
    <w:rsid w:val="00301A03"/>
    <w:rsid w:val="00301D33"/>
    <w:rsid w:val="00301F87"/>
    <w:rsid w:val="00302724"/>
    <w:rsid w:val="003028E5"/>
    <w:rsid w:val="00302A6B"/>
    <w:rsid w:val="00302B06"/>
    <w:rsid w:val="0030326B"/>
    <w:rsid w:val="00303930"/>
    <w:rsid w:val="003040FD"/>
    <w:rsid w:val="003044DF"/>
    <w:rsid w:val="0030452F"/>
    <w:rsid w:val="00304B3A"/>
    <w:rsid w:val="00304CC8"/>
    <w:rsid w:val="00304E53"/>
    <w:rsid w:val="003050AD"/>
    <w:rsid w:val="00305140"/>
    <w:rsid w:val="003052CD"/>
    <w:rsid w:val="003052DF"/>
    <w:rsid w:val="00305344"/>
    <w:rsid w:val="00305820"/>
    <w:rsid w:val="00305A15"/>
    <w:rsid w:val="003065C9"/>
    <w:rsid w:val="00306E1E"/>
    <w:rsid w:val="00306EB3"/>
    <w:rsid w:val="00307608"/>
    <w:rsid w:val="0031011E"/>
    <w:rsid w:val="00310243"/>
    <w:rsid w:val="003103ED"/>
    <w:rsid w:val="00311322"/>
    <w:rsid w:val="003125C4"/>
    <w:rsid w:val="00312656"/>
    <w:rsid w:val="00312766"/>
    <w:rsid w:val="00312DE3"/>
    <w:rsid w:val="0031340D"/>
    <w:rsid w:val="00313EF6"/>
    <w:rsid w:val="00313F98"/>
    <w:rsid w:val="00314A87"/>
    <w:rsid w:val="00315140"/>
    <w:rsid w:val="0031529F"/>
    <w:rsid w:val="00315985"/>
    <w:rsid w:val="00315C8D"/>
    <w:rsid w:val="003167FD"/>
    <w:rsid w:val="00316F09"/>
    <w:rsid w:val="00317895"/>
    <w:rsid w:val="003178D5"/>
    <w:rsid w:val="00317D72"/>
    <w:rsid w:val="00317E61"/>
    <w:rsid w:val="003203C8"/>
    <w:rsid w:val="003205B5"/>
    <w:rsid w:val="0032122A"/>
    <w:rsid w:val="0032124D"/>
    <w:rsid w:val="0032161D"/>
    <w:rsid w:val="00321BCE"/>
    <w:rsid w:val="0032232C"/>
    <w:rsid w:val="003234D2"/>
    <w:rsid w:val="0032463E"/>
    <w:rsid w:val="003248D1"/>
    <w:rsid w:val="003252C6"/>
    <w:rsid w:val="00326118"/>
    <w:rsid w:val="003266F1"/>
    <w:rsid w:val="00326985"/>
    <w:rsid w:val="0032699C"/>
    <w:rsid w:val="00326B02"/>
    <w:rsid w:val="00327295"/>
    <w:rsid w:val="0032755C"/>
    <w:rsid w:val="00327A7F"/>
    <w:rsid w:val="00330063"/>
    <w:rsid w:val="00330105"/>
    <w:rsid w:val="0033023A"/>
    <w:rsid w:val="003304BD"/>
    <w:rsid w:val="0033066C"/>
    <w:rsid w:val="00330A0A"/>
    <w:rsid w:val="00330E5D"/>
    <w:rsid w:val="003310FA"/>
    <w:rsid w:val="0033111C"/>
    <w:rsid w:val="00331328"/>
    <w:rsid w:val="0033310F"/>
    <w:rsid w:val="0033503D"/>
    <w:rsid w:val="003357D8"/>
    <w:rsid w:val="003358BF"/>
    <w:rsid w:val="00335B04"/>
    <w:rsid w:val="0033644E"/>
    <w:rsid w:val="003366FA"/>
    <w:rsid w:val="00340B7A"/>
    <w:rsid w:val="00341EDE"/>
    <w:rsid w:val="00342D19"/>
    <w:rsid w:val="003436B3"/>
    <w:rsid w:val="0034477A"/>
    <w:rsid w:val="0034502C"/>
    <w:rsid w:val="00345FCE"/>
    <w:rsid w:val="003469A8"/>
    <w:rsid w:val="00346BC3"/>
    <w:rsid w:val="00346E37"/>
    <w:rsid w:val="003477B1"/>
    <w:rsid w:val="00347C32"/>
    <w:rsid w:val="003501DA"/>
    <w:rsid w:val="0035033F"/>
    <w:rsid w:val="00351240"/>
    <w:rsid w:val="003519E9"/>
    <w:rsid w:val="00351A66"/>
    <w:rsid w:val="0035268F"/>
    <w:rsid w:val="0035275B"/>
    <w:rsid w:val="00352CAC"/>
    <w:rsid w:val="00352D74"/>
    <w:rsid w:val="003530F1"/>
    <w:rsid w:val="003543A1"/>
    <w:rsid w:val="00354562"/>
    <w:rsid w:val="00355605"/>
    <w:rsid w:val="0035584C"/>
    <w:rsid w:val="00355954"/>
    <w:rsid w:val="00355A0F"/>
    <w:rsid w:val="00355BD6"/>
    <w:rsid w:val="003561C1"/>
    <w:rsid w:val="00356244"/>
    <w:rsid w:val="0035670A"/>
    <w:rsid w:val="00356E46"/>
    <w:rsid w:val="003576D0"/>
    <w:rsid w:val="003577C9"/>
    <w:rsid w:val="00360317"/>
    <w:rsid w:val="0036117E"/>
    <w:rsid w:val="00361D0D"/>
    <w:rsid w:val="00362402"/>
    <w:rsid w:val="003628B1"/>
    <w:rsid w:val="003628DE"/>
    <w:rsid w:val="0036299E"/>
    <w:rsid w:val="00362DB4"/>
    <w:rsid w:val="00363311"/>
    <w:rsid w:val="003635DD"/>
    <w:rsid w:val="0036421F"/>
    <w:rsid w:val="003642B0"/>
    <w:rsid w:val="00364368"/>
    <w:rsid w:val="003646C0"/>
    <w:rsid w:val="003646D0"/>
    <w:rsid w:val="00364774"/>
    <w:rsid w:val="00364D16"/>
    <w:rsid w:val="00365D91"/>
    <w:rsid w:val="003669B8"/>
    <w:rsid w:val="0036759A"/>
    <w:rsid w:val="00367EF5"/>
    <w:rsid w:val="0037126D"/>
    <w:rsid w:val="003712F9"/>
    <w:rsid w:val="00371617"/>
    <w:rsid w:val="00373764"/>
    <w:rsid w:val="00374924"/>
    <w:rsid w:val="0037494E"/>
    <w:rsid w:val="00374D7D"/>
    <w:rsid w:val="00375425"/>
    <w:rsid w:val="003755EA"/>
    <w:rsid w:val="00375B48"/>
    <w:rsid w:val="0037606C"/>
    <w:rsid w:val="00376750"/>
    <w:rsid w:val="00376BB6"/>
    <w:rsid w:val="00377796"/>
    <w:rsid w:val="00377968"/>
    <w:rsid w:val="0038050C"/>
    <w:rsid w:val="003809E9"/>
    <w:rsid w:val="00380EBE"/>
    <w:rsid w:val="00381211"/>
    <w:rsid w:val="0038192B"/>
    <w:rsid w:val="00382585"/>
    <w:rsid w:val="0038280D"/>
    <w:rsid w:val="003829B4"/>
    <w:rsid w:val="00382A3F"/>
    <w:rsid w:val="00383565"/>
    <w:rsid w:val="003839BC"/>
    <w:rsid w:val="00384469"/>
    <w:rsid w:val="003845BC"/>
    <w:rsid w:val="003853AF"/>
    <w:rsid w:val="003855F3"/>
    <w:rsid w:val="00385EB5"/>
    <w:rsid w:val="00386724"/>
    <w:rsid w:val="003877E8"/>
    <w:rsid w:val="00390B17"/>
    <w:rsid w:val="00390C70"/>
    <w:rsid w:val="003915F8"/>
    <w:rsid w:val="00391970"/>
    <w:rsid w:val="00391C34"/>
    <w:rsid w:val="00392795"/>
    <w:rsid w:val="0039341F"/>
    <w:rsid w:val="00393CF0"/>
    <w:rsid w:val="0039401C"/>
    <w:rsid w:val="00394396"/>
    <w:rsid w:val="003945D8"/>
    <w:rsid w:val="00394B78"/>
    <w:rsid w:val="00394C8B"/>
    <w:rsid w:val="00394D55"/>
    <w:rsid w:val="0039540D"/>
    <w:rsid w:val="0039595B"/>
    <w:rsid w:val="003961D6"/>
    <w:rsid w:val="003964A9"/>
    <w:rsid w:val="00396511"/>
    <w:rsid w:val="00397361"/>
    <w:rsid w:val="00397B78"/>
    <w:rsid w:val="00397E73"/>
    <w:rsid w:val="003A01F7"/>
    <w:rsid w:val="003A026F"/>
    <w:rsid w:val="003A02A4"/>
    <w:rsid w:val="003A03FF"/>
    <w:rsid w:val="003A07F9"/>
    <w:rsid w:val="003A0A4E"/>
    <w:rsid w:val="003A10B0"/>
    <w:rsid w:val="003A2315"/>
    <w:rsid w:val="003A23B0"/>
    <w:rsid w:val="003A281C"/>
    <w:rsid w:val="003A2947"/>
    <w:rsid w:val="003A331B"/>
    <w:rsid w:val="003A35C2"/>
    <w:rsid w:val="003A4045"/>
    <w:rsid w:val="003A483C"/>
    <w:rsid w:val="003A556C"/>
    <w:rsid w:val="003A58E9"/>
    <w:rsid w:val="003A5E52"/>
    <w:rsid w:val="003A66FD"/>
    <w:rsid w:val="003A6F0F"/>
    <w:rsid w:val="003A705C"/>
    <w:rsid w:val="003A760F"/>
    <w:rsid w:val="003A7646"/>
    <w:rsid w:val="003A7957"/>
    <w:rsid w:val="003B05D5"/>
    <w:rsid w:val="003B085F"/>
    <w:rsid w:val="003B1171"/>
    <w:rsid w:val="003B1F75"/>
    <w:rsid w:val="003B21DC"/>
    <w:rsid w:val="003B237F"/>
    <w:rsid w:val="003B2EA1"/>
    <w:rsid w:val="003B3181"/>
    <w:rsid w:val="003B3287"/>
    <w:rsid w:val="003B3EE4"/>
    <w:rsid w:val="003B4A4C"/>
    <w:rsid w:val="003B53C8"/>
    <w:rsid w:val="003B5D80"/>
    <w:rsid w:val="003B73BF"/>
    <w:rsid w:val="003B7D9A"/>
    <w:rsid w:val="003C037C"/>
    <w:rsid w:val="003C1D62"/>
    <w:rsid w:val="003C2594"/>
    <w:rsid w:val="003C2C8E"/>
    <w:rsid w:val="003C2EF5"/>
    <w:rsid w:val="003C397F"/>
    <w:rsid w:val="003C4896"/>
    <w:rsid w:val="003C55ED"/>
    <w:rsid w:val="003C5B1F"/>
    <w:rsid w:val="003C7083"/>
    <w:rsid w:val="003C747A"/>
    <w:rsid w:val="003C75F8"/>
    <w:rsid w:val="003C7629"/>
    <w:rsid w:val="003D0908"/>
    <w:rsid w:val="003D0A2F"/>
    <w:rsid w:val="003D0BF9"/>
    <w:rsid w:val="003D0D0D"/>
    <w:rsid w:val="003D0F43"/>
    <w:rsid w:val="003D159A"/>
    <w:rsid w:val="003D168A"/>
    <w:rsid w:val="003D2D7D"/>
    <w:rsid w:val="003D3D7A"/>
    <w:rsid w:val="003D401A"/>
    <w:rsid w:val="003D43FD"/>
    <w:rsid w:val="003D46F8"/>
    <w:rsid w:val="003D4E5E"/>
    <w:rsid w:val="003D4FE3"/>
    <w:rsid w:val="003D5FA5"/>
    <w:rsid w:val="003D72B9"/>
    <w:rsid w:val="003E0836"/>
    <w:rsid w:val="003E0874"/>
    <w:rsid w:val="003E14AE"/>
    <w:rsid w:val="003E1692"/>
    <w:rsid w:val="003E179D"/>
    <w:rsid w:val="003E1F8D"/>
    <w:rsid w:val="003E318D"/>
    <w:rsid w:val="003E3279"/>
    <w:rsid w:val="003E39BA"/>
    <w:rsid w:val="003E3B02"/>
    <w:rsid w:val="003E3CA0"/>
    <w:rsid w:val="003E3E4E"/>
    <w:rsid w:val="003E4520"/>
    <w:rsid w:val="003E4858"/>
    <w:rsid w:val="003E4CD9"/>
    <w:rsid w:val="003E5073"/>
    <w:rsid w:val="003E5CA6"/>
    <w:rsid w:val="003E681D"/>
    <w:rsid w:val="003E699D"/>
    <w:rsid w:val="003E6C7E"/>
    <w:rsid w:val="003E75B6"/>
    <w:rsid w:val="003E7DCD"/>
    <w:rsid w:val="003F010F"/>
    <w:rsid w:val="003F0D31"/>
    <w:rsid w:val="003F0DA5"/>
    <w:rsid w:val="003F134B"/>
    <w:rsid w:val="003F139F"/>
    <w:rsid w:val="003F1A77"/>
    <w:rsid w:val="003F4179"/>
    <w:rsid w:val="003F488B"/>
    <w:rsid w:val="003F5320"/>
    <w:rsid w:val="003F5592"/>
    <w:rsid w:val="003F5711"/>
    <w:rsid w:val="003F5B2D"/>
    <w:rsid w:val="003F6151"/>
    <w:rsid w:val="003F655E"/>
    <w:rsid w:val="003F6B26"/>
    <w:rsid w:val="003F7188"/>
    <w:rsid w:val="003F7860"/>
    <w:rsid w:val="003F7EBA"/>
    <w:rsid w:val="00400077"/>
    <w:rsid w:val="0040037F"/>
    <w:rsid w:val="00400A98"/>
    <w:rsid w:val="00400D21"/>
    <w:rsid w:val="004019B1"/>
    <w:rsid w:val="00401D47"/>
    <w:rsid w:val="00402A7B"/>
    <w:rsid w:val="00402C47"/>
    <w:rsid w:val="00403531"/>
    <w:rsid w:val="00403A26"/>
    <w:rsid w:val="00403B24"/>
    <w:rsid w:val="00403C44"/>
    <w:rsid w:val="00403EF3"/>
    <w:rsid w:val="0040480E"/>
    <w:rsid w:val="0040539F"/>
    <w:rsid w:val="00405617"/>
    <w:rsid w:val="00405DA3"/>
    <w:rsid w:val="00405E59"/>
    <w:rsid w:val="00405FE0"/>
    <w:rsid w:val="0040753A"/>
    <w:rsid w:val="00407790"/>
    <w:rsid w:val="00407C98"/>
    <w:rsid w:val="00407CBE"/>
    <w:rsid w:val="00410169"/>
    <w:rsid w:val="0041091C"/>
    <w:rsid w:val="00411115"/>
    <w:rsid w:val="00412C1E"/>
    <w:rsid w:val="00413F00"/>
    <w:rsid w:val="00414530"/>
    <w:rsid w:val="00414582"/>
    <w:rsid w:val="00414EEE"/>
    <w:rsid w:val="00415A9B"/>
    <w:rsid w:val="00415FE0"/>
    <w:rsid w:val="00416644"/>
    <w:rsid w:val="00416918"/>
    <w:rsid w:val="00416C90"/>
    <w:rsid w:val="004173C2"/>
    <w:rsid w:val="004174CB"/>
    <w:rsid w:val="004177B2"/>
    <w:rsid w:val="004179CF"/>
    <w:rsid w:val="00417B65"/>
    <w:rsid w:val="00420698"/>
    <w:rsid w:val="00420769"/>
    <w:rsid w:val="00420F87"/>
    <w:rsid w:val="00421560"/>
    <w:rsid w:val="00421956"/>
    <w:rsid w:val="004219EB"/>
    <w:rsid w:val="00422F6C"/>
    <w:rsid w:val="004236B2"/>
    <w:rsid w:val="00423BC5"/>
    <w:rsid w:val="00423C86"/>
    <w:rsid w:val="00423D5E"/>
    <w:rsid w:val="004244B8"/>
    <w:rsid w:val="00424661"/>
    <w:rsid w:val="004248A0"/>
    <w:rsid w:val="00424DAB"/>
    <w:rsid w:val="004256C8"/>
    <w:rsid w:val="0042571F"/>
    <w:rsid w:val="004261F7"/>
    <w:rsid w:val="00427C0C"/>
    <w:rsid w:val="00430046"/>
    <w:rsid w:val="004303CC"/>
    <w:rsid w:val="004308AA"/>
    <w:rsid w:val="00430B0C"/>
    <w:rsid w:val="00430CD6"/>
    <w:rsid w:val="0043165D"/>
    <w:rsid w:val="00431FD6"/>
    <w:rsid w:val="004323B5"/>
    <w:rsid w:val="004329ED"/>
    <w:rsid w:val="00432FCE"/>
    <w:rsid w:val="00433418"/>
    <w:rsid w:val="00433503"/>
    <w:rsid w:val="0043399F"/>
    <w:rsid w:val="00433A35"/>
    <w:rsid w:val="00433CC0"/>
    <w:rsid w:val="004343D4"/>
    <w:rsid w:val="004345B9"/>
    <w:rsid w:val="00434648"/>
    <w:rsid w:val="004348BC"/>
    <w:rsid w:val="00434CB8"/>
    <w:rsid w:val="0043500B"/>
    <w:rsid w:val="0043527F"/>
    <w:rsid w:val="0043539C"/>
    <w:rsid w:val="0043566E"/>
    <w:rsid w:val="00435829"/>
    <w:rsid w:val="00435AC5"/>
    <w:rsid w:val="00436590"/>
    <w:rsid w:val="0043677F"/>
    <w:rsid w:val="00436948"/>
    <w:rsid w:val="004369E4"/>
    <w:rsid w:val="00436C2F"/>
    <w:rsid w:val="00437560"/>
    <w:rsid w:val="00437624"/>
    <w:rsid w:val="00440647"/>
    <w:rsid w:val="004407B5"/>
    <w:rsid w:val="00440A3F"/>
    <w:rsid w:val="00440B0F"/>
    <w:rsid w:val="00440B7A"/>
    <w:rsid w:val="00442303"/>
    <w:rsid w:val="00442974"/>
    <w:rsid w:val="00442E65"/>
    <w:rsid w:val="00442FED"/>
    <w:rsid w:val="00443847"/>
    <w:rsid w:val="00443901"/>
    <w:rsid w:val="00444470"/>
    <w:rsid w:val="00444EA5"/>
    <w:rsid w:val="00446305"/>
    <w:rsid w:val="00446983"/>
    <w:rsid w:val="0044704E"/>
    <w:rsid w:val="0044759E"/>
    <w:rsid w:val="00447828"/>
    <w:rsid w:val="00447DE7"/>
    <w:rsid w:val="00447E97"/>
    <w:rsid w:val="00447F39"/>
    <w:rsid w:val="00450388"/>
    <w:rsid w:val="00450471"/>
    <w:rsid w:val="00450D11"/>
    <w:rsid w:val="004519E1"/>
    <w:rsid w:val="00451E7A"/>
    <w:rsid w:val="00452EA9"/>
    <w:rsid w:val="00452EC2"/>
    <w:rsid w:val="00454218"/>
    <w:rsid w:val="00454256"/>
    <w:rsid w:val="00454B35"/>
    <w:rsid w:val="00454C2C"/>
    <w:rsid w:val="00454D01"/>
    <w:rsid w:val="00455156"/>
    <w:rsid w:val="00456141"/>
    <w:rsid w:val="0045627A"/>
    <w:rsid w:val="00456437"/>
    <w:rsid w:val="00456730"/>
    <w:rsid w:val="00456C95"/>
    <w:rsid w:val="00456FF3"/>
    <w:rsid w:val="004571E2"/>
    <w:rsid w:val="004573F8"/>
    <w:rsid w:val="00457657"/>
    <w:rsid w:val="0045765A"/>
    <w:rsid w:val="004606E4"/>
    <w:rsid w:val="004611B2"/>
    <w:rsid w:val="0046160D"/>
    <w:rsid w:val="004621E8"/>
    <w:rsid w:val="00462AA4"/>
    <w:rsid w:val="0046377C"/>
    <w:rsid w:val="004639D0"/>
    <w:rsid w:val="00463A74"/>
    <w:rsid w:val="00463CBF"/>
    <w:rsid w:val="00463FAD"/>
    <w:rsid w:val="00464260"/>
    <w:rsid w:val="00464263"/>
    <w:rsid w:val="00465395"/>
    <w:rsid w:val="004653D4"/>
    <w:rsid w:val="0046547B"/>
    <w:rsid w:val="004658BC"/>
    <w:rsid w:val="00465BA9"/>
    <w:rsid w:val="00465C06"/>
    <w:rsid w:val="00465E20"/>
    <w:rsid w:val="0046670E"/>
    <w:rsid w:val="00466FEE"/>
    <w:rsid w:val="00467926"/>
    <w:rsid w:val="004702A0"/>
    <w:rsid w:val="004702CA"/>
    <w:rsid w:val="0047053A"/>
    <w:rsid w:val="004713C7"/>
    <w:rsid w:val="00471B5B"/>
    <w:rsid w:val="004726EC"/>
    <w:rsid w:val="00472E69"/>
    <w:rsid w:val="004733FC"/>
    <w:rsid w:val="004742EA"/>
    <w:rsid w:val="004746A2"/>
    <w:rsid w:val="00474C53"/>
    <w:rsid w:val="00474E61"/>
    <w:rsid w:val="004755E1"/>
    <w:rsid w:val="00475CE7"/>
    <w:rsid w:val="0047615E"/>
    <w:rsid w:val="00476208"/>
    <w:rsid w:val="00476623"/>
    <w:rsid w:val="00476B4B"/>
    <w:rsid w:val="0047736E"/>
    <w:rsid w:val="004776C5"/>
    <w:rsid w:val="004777BD"/>
    <w:rsid w:val="00477E5B"/>
    <w:rsid w:val="00477E6A"/>
    <w:rsid w:val="0048009C"/>
    <w:rsid w:val="0048014A"/>
    <w:rsid w:val="00480425"/>
    <w:rsid w:val="00480DD9"/>
    <w:rsid w:val="00481634"/>
    <w:rsid w:val="004821A7"/>
    <w:rsid w:val="00482276"/>
    <w:rsid w:val="00484581"/>
    <w:rsid w:val="0048479F"/>
    <w:rsid w:val="00484A75"/>
    <w:rsid w:val="00484D1D"/>
    <w:rsid w:val="004850E4"/>
    <w:rsid w:val="0048514D"/>
    <w:rsid w:val="00486747"/>
    <w:rsid w:val="00486925"/>
    <w:rsid w:val="004879F8"/>
    <w:rsid w:val="004908E4"/>
    <w:rsid w:val="004914A6"/>
    <w:rsid w:val="004914CA"/>
    <w:rsid w:val="00493098"/>
    <w:rsid w:val="00493874"/>
    <w:rsid w:val="00494081"/>
    <w:rsid w:val="004944BF"/>
    <w:rsid w:val="00494917"/>
    <w:rsid w:val="004949E8"/>
    <w:rsid w:val="00495101"/>
    <w:rsid w:val="00495171"/>
    <w:rsid w:val="00496685"/>
    <w:rsid w:val="004971C2"/>
    <w:rsid w:val="00497CB3"/>
    <w:rsid w:val="004A0378"/>
    <w:rsid w:val="004A1D84"/>
    <w:rsid w:val="004A1F6F"/>
    <w:rsid w:val="004A25F4"/>
    <w:rsid w:val="004A2BA5"/>
    <w:rsid w:val="004A2FAC"/>
    <w:rsid w:val="004A370C"/>
    <w:rsid w:val="004A3DD5"/>
    <w:rsid w:val="004A4825"/>
    <w:rsid w:val="004A54E9"/>
    <w:rsid w:val="004A5656"/>
    <w:rsid w:val="004A579C"/>
    <w:rsid w:val="004A5BB9"/>
    <w:rsid w:val="004A6723"/>
    <w:rsid w:val="004A6793"/>
    <w:rsid w:val="004A67A6"/>
    <w:rsid w:val="004A6A9C"/>
    <w:rsid w:val="004A6E58"/>
    <w:rsid w:val="004A734E"/>
    <w:rsid w:val="004A7752"/>
    <w:rsid w:val="004B0959"/>
    <w:rsid w:val="004B0A24"/>
    <w:rsid w:val="004B0F92"/>
    <w:rsid w:val="004B10D9"/>
    <w:rsid w:val="004B13AD"/>
    <w:rsid w:val="004B1AFA"/>
    <w:rsid w:val="004B2DFF"/>
    <w:rsid w:val="004B314F"/>
    <w:rsid w:val="004B3637"/>
    <w:rsid w:val="004B3A0E"/>
    <w:rsid w:val="004B3C36"/>
    <w:rsid w:val="004B3D53"/>
    <w:rsid w:val="004B43C5"/>
    <w:rsid w:val="004B4690"/>
    <w:rsid w:val="004B5340"/>
    <w:rsid w:val="004B54C7"/>
    <w:rsid w:val="004B54D9"/>
    <w:rsid w:val="004B588D"/>
    <w:rsid w:val="004B5F48"/>
    <w:rsid w:val="004B62ED"/>
    <w:rsid w:val="004B6FBA"/>
    <w:rsid w:val="004B7340"/>
    <w:rsid w:val="004B798B"/>
    <w:rsid w:val="004B7BDA"/>
    <w:rsid w:val="004B7FF7"/>
    <w:rsid w:val="004C02DA"/>
    <w:rsid w:val="004C07CB"/>
    <w:rsid w:val="004C0D75"/>
    <w:rsid w:val="004C197C"/>
    <w:rsid w:val="004C1B1C"/>
    <w:rsid w:val="004C1C7C"/>
    <w:rsid w:val="004C324F"/>
    <w:rsid w:val="004C360C"/>
    <w:rsid w:val="004C3B0E"/>
    <w:rsid w:val="004C3BB3"/>
    <w:rsid w:val="004C48F0"/>
    <w:rsid w:val="004C4CAE"/>
    <w:rsid w:val="004C4DED"/>
    <w:rsid w:val="004C7F8B"/>
    <w:rsid w:val="004D061F"/>
    <w:rsid w:val="004D0817"/>
    <w:rsid w:val="004D0C9C"/>
    <w:rsid w:val="004D12A7"/>
    <w:rsid w:val="004D1CE1"/>
    <w:rsid w:val="004D266F"/>
    <w:rsid w:val="004D3383"/>
    <w:rsid w:val="004D35C6"/>
    <w:rsid w:val="004D36FE"/>
    <w:rsid w:val="004D3B44"/>
    <w:rsid w:val="004D3F38"/>
    <w:rsid w:val="004D40F9"/>
    <w:rsid w:val="004D4270"/>
    <w:rsid w:val="004D4FAD"/>
    <w:rsid w:val="004D52F5"/>
    <w:rsid w:val="004D5584"/>
    <w:rsid w:val="004D5DE3"/>
    <w:rsid w:val="004D5F39"/>
    <w:rsid w:val="004D5F85"/>
    <w:rsid w:val="004D7E2A"/>
    <w:rsid w:val="004E02B4"/>
    <w:rsid w:val="004E08CF"/>
    <w:rsid w:val="004E1060"/>
    <w:rsid w:val="004E1363"/>
    <w:rsid w:val="004E20AB"/>
    <w:rsid w:val="004E2177"/>
    <w:rsid w:val="004E2279"/>
    <w:rsid w:val="004E2300"/>
    <w:rsid w:val="004E334A"/>
    <w:rsid w:val="004E3965"/>
    <w:rsid w:val="004E3F33"/>
    <w:rsid w:val="004E4022"/>
    <w:rsid w:val="004E4D27"/>
    <w:rsid w:val="004E51C6"/>
    <w:rsid w:val="004E5A25"/>
    <w:rsid w:val="004E60F7"/>
    <w:rsid w:val="004E6202"/>
    <w:rsid w:val="004E6458"/>
    <w:rsid w:val="004E6AE7"/>
    <w:rsid w:val="004E6E5E"/>
    <w:rsid w:val="004E727C"/>
    <w:rsid w:val="004E780C"/>
    <w:rsid w:val="004F01B2"/>
    <w:rsid w:val="004F0E6A"/>
    <w:rsid w:val="004F11F3"/>
    <w:rsid w:val="004F1A7F"/>
    <w:rsid w:val="004F2486"/>
    <w:rsid w:val="004F252D"/>
    <w:rsid w:val="004F2B58"/>
    <w:rsid w:val="004F2BB9"/>
    <w:rsid w:val="004F3645"/>
    <w:rsid w:val="004F3A88"/>
    <w:rsid w:val="004F41A9"/>
    <w:rsid w:val="004F4C2A"/>
    <w:rsid w:val="004F4CF9"/>
    <w:rsid w:val="004F50BD"/>
    <w:rsid w:val="004F51BD"/>
    <w:rsid w:val="004F5225"/>
    <w:rsid w:val="004F53D3"/>
    <w:rsid w:val="004F54DE"/>
    <w:rsid w:val="004F67DF"/>
    <w:rsid w:val="004F7154"/>
    <w:rsid w:val="004F768F"/>
    <w:rsid w:val="00500403"/>
    <w:rsid w:val="0050041F"/>
    <w:rsid w:val="00500F01"/>
    <w:rsid w:val="00501214"/>
    <w:rsid w:val="00501803"/>
    <w:rsid w:val="00502136"/>
    <w:rsid w:val="00502EE4"/>
    <w:rsid w:val="005037AC"/>
    <w:rsid w:val="00503B65"/>
    <w:rsid w:val="00503EFE"/>
    <w:rsid w:val="00503FE3"/>
    <w:rsid w:val="005042D3"/>
    <w:rsid w:val="005052EE"/>
    <w:rsid w:val="00506EEF"/>
    <w:rsid w:val="00507371"/>
    <w:rsid w:val="005074C3"/>
    <w:rsid w:val="0051020C"/>
    <w:rsid w:val="00511021"/>
    <w:rsid w:val="0051130D"/>
    <w:rsid w:val="0051134A"/>
    <w:rsid w:val="00511BFD"/>
    <w:rsid w:val="00511E67"/>
    <w:rsid w:val="00513741"/>
    <w:rsid w:val="00513E5C"/>
    <w:rsid w:val="00514E75"/>
    <w:rsid w:val="00514FB5"/>
    <w:rsid w:val="005151F6"/>
    <w:rsid w:val="005157AF"/>
    <w:rsid w:val="005163D7"/>
    <w:rsid w:val="00516BDF"/>
    <w:rsid w:val="00516C0C"/>
    <w:rsid w:val="00517002"/>
    <w:rsid w:val="0051719E"/>
    <w:rsid w:val="005172D9"/>
    <w:rsid w:val="0051782C"/>
    <w:rsid w:val="0052087C"/>
    <w:rsid w:val="00520BB3"/>
    <w:rsid w:val="00520DAC"/>
    <w:rsid w:val="005212A2"/>
    <w:rsid w:val="005213B0"/>
    <w:rsid w:val="0052183D"/>
    <w:rsid w:val="005218D0"/>
    <w:rsid w:val="005219BD"/>
    <w:rsid w:val="00521F8E"/>
    <w:rsid w:val="0052292D"/>
    <w:rsid w:val="00523830"/>
    <w:rsid w:val="00523B97"/>
    <w:rsid w:val="00524A15"/>
    <w:rsid w:val="00524AEB"/>
    <w:rsid w:val="00525247"/>
    <w:rsid w:val="0052569A"/>
    <w:rsid w:val="0052610C"/>
    <w:rsid w:val="00526DAE"/>
    <w:rsid w:val="005273B2"/>
    <w:rsid w:val="0052785A"/>
    <w:rsid w:val="00530493"/>
    <w:rsid w:val="005307B8"/>
    <w:rsid w:val="00530B80"/>
    <w:rsid w:val="00530BD8"/>
    <w:rsid w:val="00531C55"/>
    <w:rsid w:val="00531DEF"/>
    <w:rsid w:val="005330D5"/>
    <w:rsid w:val="00533720"/>
    <w:rsid w:val="00533CDE"/>
    <w:rsid w:val="005343DA"/>
    <w:rsid w:val="00534594"/>
    <w:rsid w:val="00534826"/>
    <w:rsid w:val="00534FB6"/>
    <w:rsid w:val="0053535B"/>
    <w:rsid w:val="005354BD"/>
    <w:rsid w:val="00535B92"/>
    <w:rsid w:val="00535D16"/>
    <w:rsid w:val="00535FC9"/>
    <w:rsid w:val="005366A6"/>
    <w:rsid w:val="00536B80"/>
    <w:rsid w:val="00536E2A"/>
    <w:rsid w:val="005373B2"/>
    <w:rsid w:val="00537832"/>
    <w:rsid w:val="00537A07"/>
    <w:rsid w:val="00537FCA"/>
    <w:rsid w:val="005401D6"/>
    <w:rsid w:val="0054039F"/>
    <w:rsid w:val="0054042C"/>
    <w:rsid w:val="005408B3"/>
    <w:rsid w:val="00540FD3"/>
    <w:rsid w:val="0054216F"/>
    <w:rsid w:val="005426CF"/>
    <w:rsid w:val="00542755"/>
    <w:rsid w:val="00542ED5"/>
    <w:rsid w:val="0054381C"/>
    <w:rsid w:val="00543C77"/>
    <w:rsid w:val="00543C86"/>
    <w:rsid w:val="00543F79"/>
    <w:rsid w:val="00544855"/>
    <w:rsid w:val="00544C0C"/>
    <w:rsid w:val="0054581E"/>
    <w:rsid w:val="00545BE6"/>
    <w:rsid w:val="00545E28"/>
    <w:rsid w:val="00546358"/>
    <w:rsid w:val="0054645B"/>
    <w:rsid w:val="00546907"/>
    <w:rsid w:val="005469D0"/>
    <w:rsid w:val="00546FAE"/>
    <w:rsid w:val="00547360"/>
    <w:rsid w:val="00547F13"/>
    <w:rsid w:val="00550477"/>
    <w:rsid w:val="0055050D"/>
    <w:rsid w:val="0055095E"/>
    <w:rsid w:val="005515D7"/>
    <w:rsid w:val="00551C02"/>
    <w:rsid w:val="005522C4"/>
    <w:rsid w:val="00552365"/>
    <w:rsid w:val="00552B31"/>
    <w:rsid w:val="00553931"/>
    <w:rsid w:val="005539D1"/>
    <w:rsid w:val="0055433B"/>
    <w:rsid w:val="00554501"/>
    <w:rsid w:val="005549EC"/>
    <w:rsid w:val="00555249"/>
    <w:rsid w:val="005552AB"/>
    <w:rsid w:val="005558E7"/>
    <w:rsid w:val="00555DCE"/>
    <w:rsid w:val="005566C9"/>
    <w:rsid w:val="00556CAA"/>
    <w:rsid w:val="00557D77"/>
    <w:rsid w:val="005600DD"/>
    <w:rsid w:val="00561072"/>
    <w:rsid w:val="00561E8F"/>
    <w:rsid w:val="00561FAC"/>
    <w:rsid w:val="005626F8"/>
    <w:rsid w:val="0056291F"/>
    <w:rsid w:val="0056295C"/>
    <w:rsid w:val="00562E08"/>
    <w:rsid w:val="00563000"/>
    <w:rsid w:val="00563579"/>
    <w:rsid w:val="00563AE3"/>
    <w:rsid w:val="00563DC9"/>
    <w:rsid w:val="0056411F"/>
    <w:rsid w:val="00564317"/>
    <w:rsid w:val="00564428"/>
    <w:rsid w:val="005644CE"/>
    <w:rsid w:val="00564B69"/>
    <w:rsid w:val="00564B9E"/>
    <w:rsid w:val="00565865"/>
    <w:rsid w:val="00565B15"/>
    <w:rsid w:val="00565BCA"/>
    <w:rsid w:val="00565F62"/>
    <w:rsid w:val="00566D36"/>
    <w:rsid w:val="00567642"/>
    <w:rsid w:val="00567DF9"/>
    <w:rsid w:val="00570066"/>
    <w:rsid w:val="00570A61"/>
    <w:rsid w:val="00570B4C"/>
    <w:rsid w:val="005712D5"/>
    <w:rsid w:val="00571E94"/>
    <w:rsid w:val="00572367"/>
    <w:rsid w:val="005726B2"/>
    <w:rsid w:val="0057312E"/>
    <w:rsid w:val="0057405D"/>
    <w:rsid w:val="005744CD"/>
    <w:rsid w:val="005747FD"/>
    <w:rsid w:val="00574B83"/>
    <w:rsid w:val="00575A4E"/>
    <w:rsid w:val="00575BD9"/>
    <w:rsid w:val="00575BF6"/>
    <w:rsid w:val="005760B9"/>
    <w:rsid w:val="005775FD"/>
    <w:rsid w:val="0057781A"/>
    <w:rsid w:val="005778CB"/>
    <w:rsid w:val="00577A5C"/>
    <w:rsid w:val="005801BD"/>
    <w:rsid w:val="0058146E"/>
    <w:rsid w:val="00582201"/>
    <w:rsid w:val="005824A7"/>
    <w:rsid w:val="00582D98"/>
    <w:rsid w:val="00583C93"/>
    <w:rsid w:val="00584142"/>
    <w:rsid w:val="00584383"/>
    <w:rsid w:val="00584BED"/>
    <w:rsid w:val="00584F25"/>
    <w:rsid w:val="005850A7"/>
    <w:rsid w:val="00585632"/>
    <w:rsid w:val="00585B2C"/>
    <w:rsid w:val="00585E8F"/>
    <w:rsid w:val="0058603A"/>
    <w:rsid w:val="00586181"/>
    <w:rsid w:val="005864EA"/>
    <w:rsid w:val="00586A29"/>
    <w:rsid w:val="00586A7C"/>
    <w:rsid w:val="0058702A"/>
    <w:rsid w:val="00587047"/>
    <w:rsid w:val="00587630"/>
    <w:rsid w:val="005879B6"/>
    <w:rsid w:val="00587C09"/>
    <w:rsid w:val="00587FDD"/>
    <w:rsid w:val="00590007"/>
    <w:rsid w:val="0059020C"/>
    <w:rsid w:val="00590F79"/>
    <w:rsid w:val="005928FC"/>
    <w:rsid w:val="00593487"/>
    <w:rsid w:val="00593FA5"/>
    <w:rsid w:val="0059472D"/>
    <w:rsid w:val="005948F8"/>
    <w:rsid w:val="0059513F"/>
    <w:rsid w:val="0059515D"/>
    <w:rsid w:val="0059579F"/>
    <w:rsid w:val="00596706"/>
    <w:rsid w:val="0059676E"/>
    <w:rsid w:val="00596B80"/>
    <w:rsid w:val="0059760A"/>
    <w:rsid w:val="00597CF6"/>
    <w:rsid w:val="005A07F3"/>
    <w:rsid w:val="005A0894"/>
    <w:rsid w:val="005A0A67"/>
    <w:rsid w:val="005A0E9F"/>
    <w:rsid w:val="005A0FC7"/>
    <w:rsid w:val="005A1499"/>
    <w:rsid w:val="005A1EE8"/>
    <w:rsid w:val="005A22FA"/>
    <w:rsid w:val="005A2AD8"/>
    <w:rsid w:val="005A31A6"/>
    <w:rsid w:val="005A369B"/>
    <w:rsid w:val="005A3C2C"/>
    <w:rsid w:val="005A3EDF"/>
    <w:rsid w:val="005A4808"/>
    <w:rsid w:val="005A4DF6"/>
    <w:rsid w:val="005A4F26"/>
    <w:rsid w:val="005A5050"/>
    <w:rsid w:val="005A59C3"/>
    <w:rsid w:val="005A6081"/>
    <w:rsid w:val="005A7079"/>
    <w:rsid w:val="005A7D2E"/>
    <w:rsid w:val="005A7FB3"/>
    <w:rsid w:val="005B0785"/>
    <w:rsid w:val="005B1194"/>
    <w:rsid w:val="005B12AD"/>
    <w:rsid w:val="005B1D45"/>
    <w:rsid w:val="005B1D75"/>
    <w:rsid w:val="005B25C6"/>
    <w:rsid w:val="005B2E54"/>
    <w:rsid w:val="005B2F8F"/>
    <w:rsid w:val="005B37D6"/>
    <w:rsid w:val="005B3A42"/>
    <w:rsid w:val="005B3BB2"/>
    <w:rsid w:val="005B412A"/>
    <w:rsid w:val="005B4618"/>
    <w:rsid w:val="005B567C"/>
    <w:rsid w:val="005B5B56"/>
    <w:rsid w:val="005B648C"/>
    <w:rsid w:val="005B6627"/>
    <w:rsid w:val="005B6818"/>
    <w:rsid w:val="005B688C"/>
    <w:rsid w:val="005B6E4E"/>
    <w:rsid w:val="005C0396"/>
    <w:rsid w:val="005C065E"/>
    <w:rsid w:val="005C0695"/>
    <w:rsid w:val="005C09BD"/>
    <w:rsid w:val="005C0F6B"/>
    <w:rsid w:val="005C1137"/>
    <w:rsid w:val="005C1D46"/>
    <w:rsid w:val="005C2417"/>
    <w:rsid w:val="005C2570"/>
    <w:rsid w:val="005C259C"/>
    <w:rsid w:val="005C3445"/>
    <w:rsid w:val="005C50EA"/>
    <w:rsid w:val="005C5266"/>
    <w:rsid w:val="005C71CC"/>
    <w:rsid w:val="005C7277"/>
    <w:rsid w:val="005C77A0"/>
    <w:rsid w:val="005C7866"/>
    <w:rsid w:val="005C7C48"/>
    <w:rsid w:val="005C7E5F"/>
    <w:rsid w:val="005C7FC8"/>
    <w:rsid w:val="005D02B7"/>
    <w:rsid w:val="005D060A"/>
    <w:rsid w:val="005D1034"/>
    <w:rsid w:val="005D1B2D"/>
    <w:rsid w:val="005D20D1"/>
    <w:rsid w:val="005D26BC"/>
    <w:rsid w:val="005D3888"/>
    <w:rsid w:val="005D4156"/>
    <w:rsid w:val="005D57EA"/>
    <w:rsid w:val="005D5C2F"/>
    <w:rsid w:val="005D6363"/>
    <w:rsid w:val="005D6EF7"/>
    <w:rsid w:val="005D7CBA"/>
    <w:rsid w:val="005E09C2"/>
    <w:rsid w:val="005E0D5F"/>
    <w:rsid w:val="005E11A7"/>
    <w:rsid w:val="005E185E"/>
    <w:rsid w:val="005E21FD"/>
    <w:rsid w:val="005E2DD4"/>
    <w:rsid w:val="005E452B"/>
    <w:rsid w:val="005E51FD"/>
    <w:rsid w:val="005E52D7"/>
    <w:rsid w:val="005E582B"/>
    <w:rsid w:val="005E5DEF"/>
    <w:rsid w:val="005E6381"/>
    <w:rsid w:val="005E642A"/>
    <w:rsid w:val="005E6540"/>
    <w:rsid w:val="005E667E"/>
    <w:rsid w:val="005E68C5"/>
    <w:rsid w:val="005E6D0A"/>
    <w:rsid w:val="005E74C4"/>
    <w:rsid w:val="005E7716"/>
    <w:rsid w:val="005F043E"/>
    <w:rsid w:val="005F0DCF"/>
    <w:rsid w:val="005F279B"/>
    <w:rsid w:val="005F2F19"/>
    <w:rsid w:val="005F35A5"/>
    <w:rsid w:val="005F3885"/>
    <w:rsid w:val="005F390F"/>
    <w:rsid w:val="005F46E6"/>
    <w:rsid w:val="005F47A1"/>
    <w:rsid w:val="005F4C37"/>
    <w:rsid w:val="005F4CF0"/>
    <w:rsid w:val="005F4E2E"/>
    <w:rsid w:val="005F4EC5"/>
    <w:rsid w:val="005F56BF"/>
    <w:rsid w:val="005F57B0"/>
    <w:rsid w:val="005F58A1"/>
    <w:rsid w:val="005F5AA7"/>
    <w:rsid w:val="005F6BCD"/>
    <w:rsid w:val="005F6BDF"/>
    <w:rsid w:val="005F7C2D"/>
    <w:rsid w:val="00600028"/>
    <w:rsid w:val="0060113B"/>
    <w:rsid w:val="00601BE5"/>
    <w:rsid w:val="00601F17"/>
    <w:rsid w:val="0060207B"/>
    <w:rsid w:val="0060266E"/>
    <w:rsid w:val="00603221"/>
    <w:rsid w:val="006037CF"/>
    <w:rsid w:val="00603C9E"/>
    <w:rsid w:val="006045C5"/>
    <w:rsid w:val="00605396"/>
    <w:rsid w:val="00605671"/>
    <w:rsid w:val="00605F6D"/>
    <w:rsid w:val="00606592"/>
    <w:rsid w:val="00606D80"/>
    <w:rsid w:val="00606E21"/>
    <w:rsid w:val="00606F98"/>
    <w:rsid w:val="006070C4"/>
    <w:rsid w:val="00607B3D"/>
    <w:rsid w:val="00607BE7"/>
    <w:rsid w:val="00610026"/>
    <w:rsid w:val="00610777"/>
    <w:rsid w:val="00610C9A"/>
    <w:rsid w:val="006110AB"/>
    <w:rsid w:val="006112E7"/>
    <w:rsid w:val="006119A2"/>
    <w:rsid w:val="00611A64"/>
    <w:rsid w:val="00612D6A"/>
    <w:rsid w:val="00612E5D"/>
    <w:rsid w:val="006132FC"/>
    <w:rsid w:val="006134D5"/>
    <w:rsid w:val="006139C9"/>
    <w:rsid w:val="00613EA3"/>
    <w:rsid w:val="00614247"/>
    <w:rsid w:val="00614585"/>
    <w:rsid w:val="006148F3"/>
    <w:rsid w:val="00614DD2"/>
    <w:rsid w:val="0061508E"/>
    <w:rsid w:val="006157E3"/>
    <w:rsid w:val="006162E5"/>
    <w:rsid w:val="006165DF"/>
    <w:rsid w:val="0061722E"/>
    <w:rsid w:val="0061769D"/>
    <w:rsid w:val="00617A1F"/>
    <w:rsid w:val="00617B6E"/>
    <w:rsid w:val="00617D43"/>
    <w:rsid w:val="00617E22"/>
    <w:rsid w:val="006207A6"/>
    <w:rsid w:val="006216BE"/>
    <w:rsid w:val="00621736"/>
    <w:rsid w:val="006221D3"/>
    <w:rsid w:val="006222D1"/>
    <w:rsid w:val="00622311"/>
    <w:rsid w:val="006227C8"/>
    <w:rsid w:val="0062286A"/>
    <w:rsid w:val="00622913"/>
    <w:rsid w:val="00622A34"/>
    <w:rsid w:val="00622CB9"/>
    <w:rsid w:val="00624E88"/>
    <w:rsid w:val="006258AB"/>
    <w:rsid w:val="00625931"/>
    <w:rsid w:val="00626017"/>
    <w:rsid w:val="00626583"/>
    <w:rsid w:val="00626653"/>
    <w:rsid w:val="00626848"/>
    <w:rsid w:val="00626C3D"/>
    <w:rsid w:val="006271D7"/>
    <w:rsid w:val="0062756F"/>
    <w:rsid w:val="00627C36"/>
    <w:rsid w:val="0063062C"/>
    <w:rsid w:val="00630871"/>
    <w:rsid w:val="006308D0"/>
    <w:rsid w:val="00630BC7"/>
    <w:rsid w:val="00630DDE"/>
    <w:rsid w:val="00630E10"/>
    <w:rsid w:val="00631C29"/>
    <w:rsid w:val="00631D89"/>
    <w:rsid w:val="00631DDC"/>
    <w:rsid w:val="00631E09"/>
    <w:rsid w:val="006323D3"/>
    <w:rsid w:val="00632453"/>
    <w:rsid w:val="00632BC4"/>
    <w:rsid w:val="00635214"/>
    <w:rsid w:val="00635A71"/>
    <w:rsid w:val="0063688F"/>
    <w:rsid w:val="00636C78"/>
    <w:rsid w:val="00637321"/>
    <w:rsid w:val="00637465"/>
    <w:rsid w:val="00637572"/>
    <w:rsid w:val="00637656"/>
    <w:rsid w:val="00637AA5"/>
    <w:rsid w:val="00637E30"/>
    <w:rsid w:val="00640187"/>
    <w:rsid w:val="00640243"/>
    <w:rsid w:val="0064038A"/>
    <w:rsid w:val="00640798"/>
    <w:rsid w:val="00640BB1"/>
    <w:rsid w:val="00640CE0"/>
    <w:rsid w:val="00641464"/>
    <w:rsid w:val="00641806"/>
    <w:rsid w:val="0064224B"/>
    <w:rsid w:val="00642813"/>
    <w:rsid w:val="00642D2F"/>
    <w:rsid w:val="00642E4F"/>
    <w:rsid w:val="00642FAB"/>
    <w:rsid w:val="006436C7"/>
    <w:rsid w:val="006439D6"/>
    <w:rsid w:val="00643A83"/>
    <w:rsid w:val="006441FB"/>
    <w:rsid w:val="00644D78"/>
    <w:rsid w:val="00646297"/>
    <w:rsid w:val="00646A8A"/>
    <w:rsid w:val="0064722A"/>
    <w:rsid w:val="00650214"/>
    <w:rsid w:val="00650478"/>
    <w:rsid w:val="00650563"/>
    <w:rsid w:val="00650B03"/>
    <w:rsid w:val="00651075"/>
    <w:rsid w:val="00651489"/>
    <w:rsid w:val="00651804"/>
    <w:rsid w:val="00652010"/>
    <w:rsid w:val="00652049"/>
    <w:rsid w:val="0065292E"/>
    <w:rsid w:val="00652996"/>
    <w:rsid w:val="00652B84"/>
    <w:rsid w:val="00652F2D"/>
    <w:rsid w:val="00652FAA"/>
    <w:rsid w:val="006530BF"/>
    <w:rsid w:val="0065357F"/>
    <w:rsid w:val="00653616"/>
    <w:rsid w:val="00653BCF"/>
    <w:rsid w:val="00653D54"/>
    <w:rsid w:val="00654A2A"/>
    <w:rsid w:val="006550BE"/>
    <w:rsid w:val="00656345"/>
    <w:rsid w:val="006575F5"/>
    <w:rsid w:val="00660384"/>
    <w:rsid w:val="0066080E"/>
    <w:rsid w:val="00660A9E"/>
    <w:rsid w:val="00660FF2"/>
    <w:rsid w:val="006618AC"/>
    <w:rsid w:val="00661BD3"/>
    <w:rsid w:val="00661D6A"/>
    <w:rsid w:val="00661E2C"/>
    <w:rsid w:val="00661E9F"/>
    <w:rsid w:val="00662E77"/>
    <w:rsid w:val="00662E7F"/>
    <w:rsid w:val="006630B9"/>
    <w:rsid w:val="00663191"/>
    <w:rsid w:val="0066356F"/>
    <w:rsid w:val="00663C6B"/>
    <w:rsid w:val="00664236"/>
    <w:rsid w:val="006642BE"/>
    <w:rsid w:val="0066453F"/>
    <w:rsid w:val="00664A70"/>
    <w:rsid w:val="006653F2"/>
    <w:rsid w:val="00665A51"/>
    <w:rsid w:val="006675DA"/>
    <w:rsid w:val="00667DEE"/>
    <w:rsid w:val="00671CD5"/>
    <w:rsid w:val="00671EC5"/>
    <w:rsid w:val="00671FD9"/>
    <w:rsid w:val="006722F0"/>
    <w:rsid w:val="006723E0"/>
    <w:rsid w:val="00672BF6"/>
    <w:rsid w:val="006731C6"/>
    <w:rsid w:val="0067335F"/>
    <w:rsid w:val="00674A2D"/>
    <w:rsid w:val="00675259"/>
    <w:rsid w:val="0067759F"/>
    <w:rsid w:val="00677891"/>
    <w:rsid w:val="00680891"/>
    <w:rsid w:val="006808F7"/>
    <w:rsid w:val="0068200D"/>
    <w:rsid w:val="006820CE"/>
    <w:rsid w:val="00682283"/>
    <w:rsid w:val="00682851"/>
    <w:rsid w:val="00682B01"/>
    <w:rsid w:val="00682CB0"/>
    <w:rsid w:val="0068312E"/>
    <w:rsid w:val="0068375F"/>
    <w:rsid w:val="006853A5"/>
    <w:rsid w:val="006855A6"/>
    <w:rsid w:val="006859BF"/>
    <w:rsid w:val="00685DF8"/>
    <w:rsid w:val="006867FA"/>
    <w:rsid w:val="00686ACE"/>
    <w:rsid w:val="00686AE3"/>
    <w:rsid w:val="00687466"/>
    <w:rsid w:val="00687CB2"/>
    <w:rsid w:val="00690906"/>
    <w:rsid w:val="00691050"/>
    <w:rsid w:val="00691469"/>
    <w:rsid w:val="00691759"/>
    <w:rsid w:val="0069195D"/>
    <w:rsid w:val="00691FD7"/>
    <w:rsid w:val="0069249E"/>
    <w:rsid w:val="00692D3C"/>
    <w:rsid w:val="00692E01"/>
    <w:rsid w:val="006931B3"/>
    <w:rsid w:val="0069340A"/>
    <w:rsid w:val="0069377F"/>
    <w:rsid w:val="00693E4C"/>
    <w:rsid w:val="00694065"/>
    <w:rsid w:val="006940BD"/>
    <w:rsid w:val="00694403"/>
    <w:rsid w:val="006949C1"/>
    <w:rsid w:val="00694CBC"/>
    <w:rsid w:val="00695151"/>
    <w:rsid w:val="006951D1"/>
    <w:rsid w:val="00695351"/>
    <w:rsid w:val="00696A18"/>
    <w:rsid w:val="006976D5"/>
    <w:rsid w:val="00697C18"/>
    <w:rsid w:val="00697EFD"/>
    <w:rsid w:val="006A06B8"/>
    <w:rsid w:val="006A0905"/>
    <w:rsid w:val="006A1004"/>
    <w:rsid w:val="006A17D4"/>
    <w:rsid w:val="006A1A0A"/>
    <w:rsid w:val="006A21CC"/>
    <w:rsid w:val="006A27B6"/>
    <w:rsid w:val="006A2BD2"/>
    <w:rsid w:val="006A2C71"/>
    <w:rsid w:val="006A2DA1"/>
    <w:rsid w:val="006A32FB"/>
    <w:rsid w:val="006A3316"/>
    <w:rsid w:val="006A34E3"/>
    <w:rsid w:val="006A3E04"/>
    <w:rsid w:val="006A42AE"/>
    <w:rsid w:val="006A560D"/>
    <w:rsid w:val="006A5F4A"/>
    <w:rsid w:val="006A5F6F"/>
    <w:rsid w:val="006A617C"/>
    <w:rsid w:val="006A6A8B"/>
    <w:rsid w:val="006A6EE9"/>
    <w:rsid w:val="006A6FF0"/>
    <w:rsid w:val="006A777E"/>
    <w:rsid w:val="006B072C"/>
    <w:rsid w:val="006B0D66"/>
    <w:rsid w:val="006B1136"/>
    <w:rsid w:val="006B1476"/>
    <w:rsid w:val="006B15C1"/>
    <w:rsid w:val="006B1DC0"/>
    <w:rsid w:val="006B2D42"/>
    <w:rsid w:val="006B3246"/>
    <w:rsid w:val="006B38F0"/>
    <w:rsid w:val="006B45FF"/>
    <w:rsid w:val="006B4900"/>
    <w:rsid w:val="006B4CCE"/>
    <w:rsid w:val="006B5480"/>
    <w:rsid w:val="006B5D35"/>
    <w:rsid w:val="006B5D6A"/>
    <w:rsid w:val="006B64E9"/>
    <w:rsid w:val="006B6742"/>
    <w:rsid w:val="006C0CA7"/>
    <w:rsid w:val="006C0E45"/>
    <w:rsid w:val="006C0ED9"/>
    <w:rsid w:val="006C15E6"/>
    <w:rsid w:val="006C1702"/>
    <w:rsid w:val="006C2EB7"/>
    <w:rsid w:val="006C33D9"/>
    <w:rsid w:val="006C38F1"/>
    <w:rsid w:val="006C3C2B"/>
    <w:rsid w:val="006C4752"/>
    <w:rsid w:val="006C4F30"/>
    <w:rsid w:val="006C5708"/>
    <w:rsid w:val="006C5A7E"/>
    <w:rsid w:val="006C6AA5"/>
    <w:rsid w:val="006C6C88"/>
    <w:rsid w:val="006C6DE7"/>
    <w:rsid w:val="006C7AE5"/>
    <w:rsid w:val="006D0B86"/>
    <w:rsid w:val="006D109F"/>
    <w:rsid w:val="006D1BC6"/>
    <w:rsid w:val="006D1F26"/>
    <w:rsid w:val="006D21A7"/>
    <w:rsid w:val="006D21E3"/>
    <w:rsid w:val="006D2DDF"/>
    <w:rsid w:val="006D3094"/>
    <w:rsid w:val="006D31DB"/>
    <w:rsid w:val="006D3847"/>
    <w:rsid w:val="006D3B41"/>
    <w:rsid w:val="006D4A27"/>
    <w:rsid w:val="006D517D"/>
    <w:rsid w:val="006D5365"/>
    <w:rsid w:val="006D5566"/>
    <w:rsid w:val="006D6A5B"/>
    <w:rsid w:val="006D7BEF"/>
    <w:rsid w:val="006E0069"/>
    <w:rsid w:val="006E02BB"/>
    <w:rsid w:val="006E09BE"/>
    <w:rsid w:val="006E1029"/>
    <w:rsid w:val="006E169F"/>
    <w:rsid w:val="006E1910"/>
    <w:rsid w:val="006E1AB3"/>
    <w:rsid w:val="006E1CE6"/>
    <w:rsid w:val="006E1D7D"/>
    <w:rsid w:val="006E266B"/>
    <w:rsid w:val="006E30E9"/>
    <w:rsid w:val="006E3E96"/>
    <w:rsid w:val="006E3EFA"/>
    <w:rsid w:val="006E3F3B"/>
    <w:rsid w:val="006E402D"/>
    <w:rsid w:val="006E4821"/>
    <w:rsid w:val="006E4D12"/>
    <w:rsid w:val="006E4E89"/>
    <w:rsid w:val="006E5C9D"/>
    <w:rsid w:val="006E62BD"/>
    <w:rsid w:val="006E7689"/>
    <w:rsid w:val="006E7A30"/>
    <w:rsid w:val="006F01C6"/>
    <w:rsid w:val="006F03D3"/>
    <w:rsid w:val="006F0945"/>
    <w:rsid w:val="006F10F2"/>
    <w:rsid w:val="006F12AE"/>
    <w:rsid w:val="006F2194"/>
    <w:rsid w:val="006F22ED"/>
    <w:rsid w:val="006F325A"/>
    <w:rsid w:val="006F399D"/>
    <w:rsid w:val="006F3C33"/>
    <w:rsid w:val="006F44FF"/>
    <w:rsid w:val="006F46BA"/>
    <w:rsid w:val="006F4A51"/>
    <w:rsid w:val="006F526A"/>
    <w:rsid w:val="006F5773"/>
    <w:rsid w:val="006F6017"/>
    <w:rsid w:val="006F62C8"/>
    <w:rsid w:val="006F63F0"/>
    <w:rsid w:val="006F6C61"/>
    <w:rsid w:val="006F761C"/>
    <w:rsid w:val="006F7DD1"/>
    <w:rsid w:val="006F7DE0"/>
    <w:rsid w:val="006F7F47"/>
    <w:rsid w:val="007014E3"/>
    <w:rsid w:val="00702AF9"/>
    <w:rsid w:val="00702DF0"/>
    <w:rsid w:val="0070349E"/>
    <w:rsid w:val="007034C4"/>
    <w:rsid w:val="0070375F"/>
    <w:rsid w:val="00703D85"/>
    <w:rsid w:val="00704473"/>
    <w:rsid w:val="00705ED3"/>
    <w:rsid w:val="007060A4"/>
    <w:rsid w:val="00706CEA"/>
    <w:rsid w:val="007073F2"/>
    <w:rsid w:val="007078DA"/>
    <w:rsid w:val="007110D8"/>
    <w:rsid w:val="00711405"/>
    <w:rsid w:val="007115A9"/>
    <w:rsid w:val="00711990"/>
    <w:rsid w:val="00711A4D"/>
    <w:rsid w:val="00711B47"/>
    <w:rsid w:val="007132DB"/>
    <w:rsid w:val="007135C6"/>
    <w:rsid w:val="00713B38"/>
    <w:rsid w:val="00714218"/>
    <w:rsid w:val="00714DD7"/>
    <w:rsid w:val="00715042"/>
    <w:rsid w:val="00715056"/>
    <w:rsid w:val="007169FB"/>
    <w:rsid w:val="00717541"/>
    <w:rsid w:val="00717554"/>
    <w:rsid w:val="00717861"/>
    <w:rsid w:val="00717865"/>
    <w:rsid w:val="00717CB8"/>
    <w:rsid w:val="007207EA"/>
    <w:rsid w:val="00721076"/>
    <w:rsid w:val="0072138B"/>
    <w:rsid w:val="00722827"/>
    <w:rsid w:val="00722ACE"/>
    <w:rsid w:val="007234BB"/>
    <w:rsid w:val="00723883"/>
    <w:rsid w:val="00723BF5"/>
    <w:rsid w:val="00723FA3"/>
    <w:rsid w:val="007242A4"/>
    <w:rsid w:val="00724563"/>
    <w:rsid w:val="00725D42"/>
    <w:rsid w:val="00725E31"/>
    <w:rsid w:val="007262AB"/>
    <w:rsid w:val="00726707"/>
    <w:rsid w:val="0072693D"/>
    <w:rsid w:val="00726D2C"/>
    <w:rsid w:val="00727257"/>
    <w:rsid w:val="007272A6"/>
    <w:rsid w:val="007276F7"/>
    <w:rsid w:val="00727BBE"/>
    <w:rsid w:val="0073009F"/>
    <w:rsid w:val="007303C2"/>
    <w:rsid w:val="00730444"/>
    <w:rsid w:val="00730C70"/>
    <w:rsid w:val="00731002"/>
    <w:rsid w:val="00731578"/>
    <w:rsid w:val="007319DB"/>
    <w:rsid w:val="0073231F"/>
    <w:rsid w:val="0073249F"/>
    <w:rsid w:val="00732549"/>
    <w:rsid w:val="00732A82"/>
    <w:rsid w:val="00732D25"/>
    <w:rsid w:val="007338E8"/>
    <w:rsid w:val="00733C19"/>
    <w:rsid w:val="00733E11"/>
    <w:rsid w:val="007345C9"/>
    <w:rsid w:val="00735A90"/>
    <w:rsid w:val="00735B15"/>
    <w:rsid w:val="00735E17"/>
    <w:rsid w:val="00735F62"/>
    <w:rsid w:val="007360A2"/>
    <w:rsid w:val="007362A2"/>
    <w:rsid w:val="0073634F"/>
    <w:rsid w:val="00736B7D"/>
    <w:rsid w:val="00736E1D"/>
    <w:rsid w:val="00736E94"/>
    <w:rsid w:val="00736F87"/>
    <w:rsid w:val="00737792"/>
    <w:rsid w:val="00737AEA"/>
    <w:rsid w:val="00740090"/>
    <w:rsid w:val="007407F5"/>
    <w:rsid w:val="00740941"/>
    <w:rsid w:val="007410A8"/>
    <w:rsid w:val="00742407"/>
    <w:rsid w:val="007436B3"/>
    <w:rsid w:val="0074376E"/>
    <w:rsid w:val="00743B33"/>
    <w:rsid w:val="00744028"/>
    <w:rsid w:val="00744BE8"/>
    <w:rsid w:val="00744C7E"/>
    <w:rsid w:val="00744D6A"/>
    <w:rsid w:val="00746449"/>
    <w:rsid w:val="0074683C"/>
    <w:rsid w:val="00746A4B"/>
    <w:rsid w:val="00746C69"/>
    <w:rsid w:val="007474B0"/>
    <w:rsid w:val="00747F73"/>
    <w:rsid w:val="007502C0"/>
    <w:rsid w:val="007504CA"/>
    <w:rsid w:val="0075095C"/>
    <w:rsid w:val="00750E8E"/>
    <w:rsid w:val="0075118C"/>
    <w:rsid w:val="00751364"/>
    <w:rsid w:val="00751923"/>
    <w:rsid w:val="00751A3B"/>
    <w:rsid w:val="00751B90"/>
    <w:rsid w:val="00752FB4"/>
    <w:rsid w:val="00753441"/>
    <w:rsid w:val="0075444B"/>
    <w:rsid w:val="007546C9"/>
    <w:rsid w:val="00756555"/>
    <w:rsid w:val="0075665B"/>
    <w:rsid w:val="00756E47"/>
    <w:rsid w:val="00757D00"/>
    <w:rsid w:val="00760C24"/>
    <w:rsid w:val="00762420"/>
    <w:rsid w:val="00762423"/>
    <w:rsid w:val="00762879"/>
    <w:rsid w:val="00762EA6"/>
    <w:rsid w:val="0076362D"/>
    <w:rsid w:val="00763C3D"/>
    <w:rsid w:val="00763D9D"/>
    <w:rsid w:val="007640D8"/>
    <w:rsid w:val="00764318"/>
    <w:rsid w:val="00764E82"/>
    <w:rsid w:val="0076598D"/>
    <w:rsid w:val="00765B90"/>
    <w:rsid w:val="0076663A"/>
    <w:rsid w:val="00766A5F"/>
    <w:rsid w:val="00766DB9"/>
    <w:rsid w:val="0076705B"/>
    <w:rsid w:val="00767749"/>
    <w:rsid w:val="00770028"/>
    <w:rsid w:val="007708B8"/>
    <w:rsid w:val="0077100C"/>
    <w:rsid w:val="007718F0"/>
    <w:rsid w:val="00772294"/>
    <w:rsid w:val="00772E01"/>
    <w:rsid w:val="007731F6"/>
    <w:rsid w:val="007737BC"/>
    <w:rsid w:val="00773FF7"/>
    <w:rsid w:val="0077419B"/>
    <w:rsid w:val="00774D6B"/>
    <w:rsid w:val="00774FD1"/>
    <w:rsid w:val="00775A44"/>
    <w:rsid w:val="00775A7D"/>
    <w:rsid w:val="007763CD"/>
    <w:rsid w:val="00780009"/>
    <w:rsid w:val="00780C4B"/>
    <w:rsid w:val="00780ED9"/>
    <w:rsid w:val="007810D1"/>
    <w:rsid w:val="007813B3"/>
    <w:rsid w:val="00782C11"/>
    <w:rsid w:val="007837DC"/>
    <w:rsid w:val="00783ED6"/>
    <w:rsid w:val="00784BAC"/>
    <w:rsid w:val="00785716"/>
    <w:rsid w:val="0078589A"/>
    <w:rsid w:val="00785BC3"/>
    <w:rsid w:val="00785DE2"/>
    <w:rsid w:val="007868A0"/>
    <w:rsid w:val="00787A2F"/>
    <w:rsid w:val="00787C58"/>
    <w:rsid w:val="0079072D"/>
    <w:rsid w:val="00790D41"/>
    <w:rsid w:val="00791461"/>
    <w:rsid w:val="00791672"/>
    <w:rsid w:val="00791794"/>
    <w:rsid w:val="00791DDB"/>
    <w:rsid w:val="007928BA"/>
    <w:rsid w:val="0079369F"/>
    <w:rsid w:val="00793B11"/>
    <w:rsid w:val="00793CA7"/>
    <w:rsid w:val="00793EEA"/>
    <w:rsid w:val="00794184"/>
    <w:rsid w:val="00794266"/>
    <w:rsid w:val="00794632"/>
    <w:rsid w:val="00794727"/>
    <w:rsid w:val="007956AF"/>
    <w:rsid w:val="00795C01"/>
    <w:rsid w:val="007961C6"/>
    <w:rsid w:val="007963CB"/>
    <w:rsid w:val="007963FB"/>
    <w:rsid w:val="00796B34"/>
    <w:rsid w:val="00797119"/>
    <w:rsid w:val="00797619"/>
    <w:rsid w:val="00797676"/>
    <w:rsid w:val="00797E1F"/>
    <w:rsid w:val="007A0152"/>
    <w:rsid w:val="007A0A0F"/>
    <w:rsid w:val="007A1591"/>
    <w:rsid w:val="007A1820"/>
    <w:rsid w:val="007A1DF7"/>
    <w:rsid w:val="007A2461"/>
    <w:rsid w:val="007A322D"/>
    <w:rsid w:val="007A34F0"/>
    <w:rsid w:val="007A4ACD"/>
    <w:rsid w:val="007A4E20"/>
    <w:rsid w:val="007A5ABE"/>
    <w:rsid w:val="007A603D"/>
    <w:rsid w:val="007A62EF"/>
    <w:rsid w:val="007A6925"/>
    <w:rsid w:val="007A74F2"/>
    <w:rsid w:val="007A7BFF"/>
    <w:rsid w:val="007B00A7"/>
    <w:rsid w:val="007B041E"/>
    <w:rsid w:val="007B1671"/>
    <w:rsid w:val="007B1819"/>
    <w:rsid w:val="007B21FE"/>
    <w:rsid w:val="007B2285"/>
    <w:rsid w:val="007B2646"/>
    <w:rsid w:val="007B27EC"/>
    <w:rsid w:val="007B2CB0"/>
    <w:rsid w:val="007B34E0"/>
    <w:rsid w:val="007B434C"/>
    <w:rsid w:val="007B45B8"/>
    <w:rsid w:val="007B4B1B"/>
    <w:rsid w:val="007B512A"/>
    <w:rsid w:val="007B5411"/>
    <w:rsid w:val="007B5A7A"/>
    <w:rsid w:val="007B5F58"/>
    <w:rsid w:val="007B6237"/>
    <w:rsid w:val="007B6B36"/>
    <w:rsid w:val="007B6DF3"/>
    <w:rsid w:val="007B71AA"/>
    <w:rsid w:val="007B747B"/>
    <w:rsid w:val="007B7A30"/>
    <w:rsid w:val="007B7AC5"/>
    <w:rsid w:val="007C1148"/>
    <w:rsid w:val="007C1463"/>
    <w:rsid w:val="007C1C39"/>
    <w:rsid w:val="007C2225"/>
    <w:rsid w:val="007C2406"/>
    <w:rsid w:val="007C24A3"/>
    <w:rsid w:val="007C2CD2"/>
    <w:rsid w:val="007C399A"/>
    <w:rsid w:val="007C4775"/>
    <w:rsid w:val="007C568C"/>
    <w:rsid w:val="007C5862"/>
    <w:rsid w:val="007C65E4"/>
    <w:rsid w:val="007C66EB"/>
    <w:rsid w:val="007C68A2"/>
    <w:rsid w:val="007C6A7D"/>
    <w:rsid w:val="007C6C61"/>
    <w:rsid w:val="007C6E77"/>
    <w:rsid w:val="007C7987"/>
    <w:rsid w:val="007C7C09"/>
    <w:rsid w:val="007C7D42"/>
    <w:rsid w:val="007D00AB"/>
    <w:rsid w:val="007D0A84"/>
    <w:rsid w:val="007D0A9E"/>
    <w:rsid w:val="007D0BCA"/>
    <w:rsid w:val="007D188A"/>
    <w:rsid w:val="007D1C63"/>
    <w:rsid w:val="007D2373"/>
    <w:rsid w:val="007D2658"/>
    <w:rsid w:val="007D2BE3"/>
    <w:rsid w:val="007D2DB7"/>
    <w:rsid w:val="007D3282"/>
    <w:rsid w:val="007D3A8F"/>
    <w:rsid w:val="007D4351"/>
    <w:rsid w:val="007D45D2"/>
    <w:rsid w:val="007D4650"/>
    <w:rsid w:val="007D493A"/>
    <w:rsid w:val="007D4DFF"/>
    <w:rsid w:val="007D64F0"/>
    <w:rsid w:val="007D6839"/>
    <w:rsid w:val="007D6C4E"/>
    <w:rsid w:val="007D6EB7"/>
    <w:rsid w:val="007D74F8"/>
    <w:rsid w:val="007D76A7"/>
    <w:rsid w:val="007D76AD"/>
    <w:rsid w:val="007D7A0B"/>
    <w:rsid w:val="007D7B85"/>
    <w:rsid w:val="007D7D0E"/>
    <w:rsid w:val="007D7D10"/>
    <w:rsid w:val="007E04E3"/>
    <w:rsid w:val="007E04E7"/>
    <w:rsid w:val="007E0711"/>
    <w:rsid w:val="007E08E4"/>
    <w:rsid w:val="007E0C92"/>
    <w:rsid w:val="007E13BF"/>
    <w:rsid w:val="007E1BEA"/>
    <w:rsid w:val="007E27A7"/>
    <w:rsid w:val="007E27C4"/>
    <w:rsid w:val="007E3E22"/>
    <w:rsid w:val="007E4D9A"/>
    <w:rsid w:val="007E563B"/>
    <w:rsid w:val="007E6A79"/>
    <w:rsid w:val="007E7123"/>
    <w:rsid w:val="007E7C80"/>
    <w:rsid w:val="007E7D2A"/>
    <w:rsid w:val="007F0046"/>
    <w:rsid w:val="007F0B5F"/>
    <w:rsid w:val="007F0CE8"/>
    <w:rsid w:val="007F0D2A"/>
    <w:rsid w:val="007F0FB6"/>
    <w:rsid w:val="007F0FC2"/>
    <w:rsid w:val="007F1018"/>
    <w:rsid w:val="007F4265"/>
    <w:rsid w:val="007F473D"/>
    <w:rsid w:val="007F47BE"/>
    <w:rsid w:val="007F5226"/>
    <w:rsid w:val="007F532A"/>
    <w:rsid w:val="007F58AF"/>
    <w:rsid w:val="007F6011"/>
    <w:rsid w:val="007F673D"/>
    <w:rsid w:val="007F6C68"/>
    <w:rsid w:val="007F72D4"/>
    <w:rsid w:val="00800AEA"/>
    <w:rsid w:val="00800D61"/>
    <w:rsid w:val="008013FE"/>
    <w:rsid w:val="00801467"/>
    <w:rsid w:val="00801C94"/>
    <w:rsid w:val="00802C73"/>
    <w:rsid w:val="0080398A"/>
    <w:rsid w:val="00803C4C"/>
    <w:rsid w:val="00803E16"/>
    <w:rsid w:val="00804508"/>
    <w:rsid w:val="00804F3B"/>
    <w:rsid w:val="0080581F"/>
    <w:rsid w:val="0080612F"/>
    <w:rsid w:val="00806519"/>
    <w:rsid w:val="0080688C"/>
    <w:rsid w:val="00806D23"/>
    <w:rsid w:val="00807D01"/>
    <w:rsid w:val="0081024B"/>
    <w:rsid w:val="008106E3"/>
    <w:rsid w:val="00810827"/>
    <w:rsid w:val="008108FD"/>
    <w:rsid w:val="00810A54"/>
    <w:rsid w:val="0081137D"/>
    <w:rsid w:val="00811F2F"/>
    <w:rsid w:val="00812222"/>
    <w:rsid w:val="0081231C"/>
    <w:rsid w:val="00812DC4"/>
    <w:rsid w:val="0081350E"/>
    <w:rsid w:val="0081351C"/>
    <w:rsid w:val="00813FF4"/>
    <w:rsid w:val="00814D37"/>
    <w:rsid w:val="00814F12"/>
    <w:rsid w:val="0081618C"/>
    <w:rsid w:val="00816DF2"/>
    <w:rsid w:val="008170C0"/>
    <w:rsid w:val="00820794"/>
    <w:rsid w:val="00820E85"/>
    <w:rsid w:val="008214BA"/>
    <w:rsid w:val="0082185F"/>
    <w:rsid w:val="00821D1A"/>
    <w:rsid w:val="00821D49"/>
    <w:rsid w:val="008225B1"/>
    <w:rsid w:val="0082341E"/>
    <w:rsid w:val="0082362C"/>
    <w:rsid w:val="0082390B"/>
    <w:rsid w:val="008248BC"/>
    <w:rsid w:val="00824B6C"/>
    <w:rsid w:val="00824D9F"/>
    <w:rsid w:val="00825148"/>
    <w:rsid w:val="00825154"/>
    <w:rsid w:val="00825378"/>
    <w:rsid w:val="00825BB2"/>
    <w:rsid w:val="00825CBF"/>
    <w:rsid w:val="008262BB"/>
    <w:rsid w:val="00826D11"/>
    <w:rsid w:val="008277E2"/>
    <w:rsid w:val="00830636"/>
    <w:rsid w:val="00830903"/>
    <w:rsid w:val="00830C43"/>
    <w:rsid w:val="00830DA0"/>
    <w:rsid w:val="0083123A"/>
    <w:rsid w:val="008318C4"/>
    <w:rsid w:val="0083222F"/>
    <w:rsid w:val="008325CC"/>
    <w:rsid w:val="00832B8C"/>
    <w:rsid w:val="008334CB"/>
    <w:rsid w:val="008337D6"/>
    <w:rsid w:val="008339F7"/>
    <w:rsid w:val="00833E72"/>
    <w:rsid w:val="00833ED8"/>
    <w:rsid w:val="00833F24"/>
    <w:rsid w:val="0083476B"/>
    <w:rsid w:val="00834EF9"/>
    <w:rsid w:val="0083654A"/>
    <w:rsid w:val="00836932"/>
    <w:rsid w:val="00836DB7"/>
    <w:rsid w:val="00836F8C"/>
    <w:rsid w:val="0083764E"/>
    <w:rsid w:val="00837C15"/>
    <w:rsid w:val="00837CCD"/>
    <w:rsid w:val="00840019"/>
    <w:rsid w:val="008400F4"/>
    <w:rsid w:val="00840E3B"/>
    <w:rsid w:val="00841606"/>
    <w:rsid w:val="00841EAF"/>
    <w:rsid w:val="00841F2F"/>
    <w:rsid w:val="00842099"/>
    <w:rsid w:val="00842447"/>
    <w:rsid w:val="00842BF9"/>
    <w:rsid w:val="00842EFD"/>
    <w:rsid w:val="00842F15"/>
    <w:rsid w:val="00843138"/>
    <w:rsid w:val="00843BFA"/>
    <w:rsid w:val="00844067"/>
    <w:rsid w:val="008445A6"/>
    <w:rsid w:val="00844796"/>
    <w:rsid w:val="00845E6F"/>
    <w:rsid w:val="00846359"/>
    <w:rsid w:val="008469DC"/>
    <w:rsid w:val="00846DAB"/>
    <w:rsid w:val="008470B7"/>
    <w:rsid w:val="00847862"/>
    <w:rsid w:val="00847A86"/>
    <w:rsid w:val="00847ABC"/>
    <w:rsid w:val="008510B8"/>
    <w:rsid w:val="00851EF7"/>
    <w:rsid w:val="00852A65"/>
    <w:rsid w:val="00852ADB"/>
    <w:rsid w:val="00853070"/>
    <w:rsid w:val="0085374F"/>
    <w:rsid w:val="008537FE"/>
    <w:rsid w:val="00853FE0"/>
    <w:rsid w:val="00853FE5"/>
    <w:rsid w:val="00854584"/>
    <w:rsid w:val="00855FBC"/>
    <w:rsid w:val="0085664D"/>
    <w:rsid w:val="008566B7"/>
    <w:rsid w:val="008568BE"/>
    <w:rsid w:val="00856C22"/>
    <w:rsid w:val="00857104"/>
    <w:rsid w:val="00857FED"/>
    <w:rsid w:val="00860678"/>
    <w:rsid w:val="008606D2"/>
    <w:rsid w:val="00860B0C"/>
    <w:rsid w:val="00860BE3"/>
    <w:rsid w:val="00860FA3"/>
    <w:rsid w:val="0086188E"/>
    <w:rsid w:val="00861AB8"/>
    <w:rsid w:val="00861AE2"/>
    <w:rsid w:val="00861DC3"/>
    <w:rsid w:val="0086232B"/>
    <w:rsid w:val="00862CF4"/>
    <w:rsid w:val="00862EBF"/>
    <w:rsid w:val="00862F29"/>
    <w:rsid w:val="008637B7"/>
    <w:rsid w:val="008638F2"/>
    <w:rsid w:val="00863907"/>
    <w:rsid w:val="00863A52"/>
    <w:rsid w:val="00863F6E"/>
    <w:rsid w:val="00864329"/>
    <w:rsid w:val="008649B1"/>
    <w:rsid w:val="008649C6"/>
    <w:rsid w:val="00864DD2"/>
    <w:rsid w:val="0086598F"/>
    <w:rsid w:val="00866CB0"/>
    <w:rsid w:val="008676DF"/>
    <w:rsid w:val="008677A6"/>
    <w:rsid w:val="008709B9"/>
    <w:rsid w:val="00870B1A"/>
    <w:rsid w:val="00871B99"/>
    <w:rsid w:val="0087282C"/>
    <w:rsid w:val="00873111"/>
    <w:rsid w:val="00873167"/>
    <w:rsid w:val="00874A81"/>
    <w:rsid w:val="00874ECB"/>
    <w:rsid w:val="00875268"/>
    <w:rsid w:val="00875924"/>
    <w:rsid w:val="0087621D"/>
    <w:rsid w:val="00877053"/>
    <w:rsid w:val="00880568"/>
    <w:rsid w:val="00880642"/>
    <w:rsid w:val="00880B5F"/>
    <w:rsid w:val="00881549"/>
    <w:rsid w:val="00881667"/>
    <w:rsid w:val="008817CF"/>
    <w:rsid w:val="00881F9F"/>
    <w:rsid w:val="00882D96"/>
    <w:rsid w:val="008835A5"/>
    <w:rsid w:val="00883A59"/>
    <w:rsid w:val="00884335"/>
    <w:rsid w:val="00884D05"/>
    <w:rsid w:val="00885175"/>
    <w:rsid w:val="008856AD"/>
    <w:rsid w:val="0088592B"/>
    <w:rsid w:val="00885AC9"/>
    <w:rsid w:val="00885AED"/>
    <w:rsid w:val="00885B77"/>
    <w:rsid w:val="00885F4F"/>
    <w:rsid w:val="00886124"/>
    <w:rsid w:val="008865C0"/>
    <w:rsid w:val="00886658"/>
    <w:rsid w:val="008875CC"/>
    <w:rsid w:val="00887756"/>
    <w:rsid w:val="00887A75"/>
    <w:rsid w:val="0089076A"/>
    <w:rsid w:val="00890770"/>
    <w:rsid w:val="0089134B"/>
    <w:rsid w:val="00891865"/>
    <w:rsid w:val="00892AD7"/>
    <w:rsid w:val="00892C65"/>
    <w:rsid w:val="00892D29"/>
    <w:rsid w:val="00893B7D"/>
    <w:rsid w:val="00893DF7"/>
    <w:rsid w:val="008941C8"/>
    <w:rsid w:val="008944ED"/>
    <w:rsid w:val="00894862"/>
    <w:rsid w:val="00895D4F"/>
    <w:rsid w:val="00896714"/>
    <w:rsid w:val="00897298"/>
    <w:rsid w:val="008978BA"/>
    <w:rsid w:val="008979AB"/>
    <w:rsid w:val="008A003F"/>
    <w:rsid w:val="008A03FB"/>
    <w:rsid w:val="008A0D80"/>
    <w:rsid w:val="008A1FDD"/>
    <w:rsid w:val="008A3936"/>
    <w:rsid w:val="008A45A6"/>
    <w:rsid w:val="008A4750"/>
    <w:rsid w:val="008A4CAD"/>
    <w:rsid w:val="008A5625"/>
    <w:rsid w:val="008A61F2"/>
    <w:rsid w:val="008A626C"/>
    <w:rsid w:val="008A66E7"/>
    <w:rsid w:val="008A720A"/>
    <w:rsid w:val="008A74A9"/>
    <w:rsid w:val="008A76E1"/>
    <w:rsid w:val="008B08E0"/>
    <w:rsid w:val="008B0A60"/>
    <w:rsid w:val="008B14A7"/>
    <w:rsid w:val="008B1B33"/>
    <w:rsid w:val="008B2B91"/>
    <w:rsid w:val="008B2CDB"/>
    <w:rsid w:val="008B3C33"/>
    <w:rsid w:val="008B3CFC"/>
    <w:rsid w:val="008B45B4"/>
    <w:rsid w:val="008B4D0F"/>
    <w:rsid w:val="008B54CE"/>
    <w:rsid w:val="008B5580"/>
    <w:rsid w:val="008B5903"/>
    <w:rsid w:val="008B5CF5"/>
    <w:rsid w:val="008B5D91"/>
    <w:rsid w:val="008B65DD"/>
    <w:rsid w:val="008B734F"/>
    <w:rsid w:val="008B7544"/>
    <w:rsid w:val="008C0239"/>
    <w:rsid w:val="008C0AFB"/>
    <w:rsid w:val="008C1A35"/>
    <w:rsid w:val="008C1C23"/>
    <w:rsid w:val="008C256C"/>
    <w:rsid w:val="008C2BA0"/>
    <w:rsid w:val="008C307B"/>
    <w:rsid w:val="008C389E"/>
    <w:rsid w:val="008C3DAC"/>
    <w:rsid w:val="008C451E"/>
    <w:rsid w:val="008C4E63"/>
    <w:rsid w:val="008C5C3E"/>
    <w:rsid w:val="008C5DC7"/>
    <w:rsid w:val="008C613C"/>
    <w:rsid w:val="008C68DA"/>
    <w:rsid w:val="008C7053"/>
    <w:rsid w:val="008C72F4"/>
    <w:rsid w:val="008C75C1"/>
    <w:rsid w:val="008C79D5"/>
    <w:rsid w:val="008C7BB2"/>
    <w:rsid w:val="008C7C82"/>
    <w:rsid w:val="008C7DED"/>
    <w:rsid w:val="008C7EB8"/>
    <w:rsid w:val="008D0873"/>
    <w:rsid w:val="008D0A5B"/>
    <w:rsid w:val="008D0C51"/>
    <w:rsid w:val="008D10D1"/>
    <w:rsid w:val="008D1137"/>
    <w:rsid w:val="008D1379"/>
    <w:rsid w:val="008D1572"/>
    <w:rsid w:val="008D15F5"/>
    <w:rsid w:val="008D1971"/>
    <w:rsid w:val="008D1AC9"/>
    <w:rsid w:val="008D1C73"/>
    <w:rsid w:val="008D2350"/>
    <w:rsid w:val="008D25D0"/>
    <w:rsid w:val="008D28E0"/>
    <w:rsid w:val="008D2C1A"/>
    <w:rsid w:val="008D47A3"/>
    <w:rsid w:val="008D4C00"/>
    <w:rsid w:val="008D573A"/>
    <w:rsid w:val="008D5770"/>
    <w:rsid w:val="008D5EAA"/>
    <w:rsid w:val="008D61D0"/>
    <w:rsid w:val="008D656A"/>
    <w:rsid w:val="008D6A4B"/>
    <w:rsid w:val="008D7038"/>
    <w:rsid w:val="008D779C"/>
    <w:rsid w:val="008D7DB5"/>
    <w:rsid w:val="008D7DE4"/>
    <w:rsid w:val="008E0A9F"/>
    <w:rsid w:val="008E1AC7"/>
    <w:rsid w:val="008E3D67"/>
    <w:rsid w:val="008E43E8"/>
    <w:rsid w:val="008E4628"/>
    <w:rsid w:val="008E4B18"/>
    <w:rsid w:val="008E4D7D"/>
    <w:rsid w:val="008E4F3D"/>
    <w:rsid w:val="008E503B"/>
    <w:rsid w:val="008E5310"/>
    <w:rsid w:val="008E546E"/>
    <w:rsid w:val="008E63F2"/>
    <w:rsid w:val="008E6B32"/>
    <w:rsid w:val="008E6D7F"/>
    <w:rsid w:val="008E7084"/>
    <w:rsid w:val="008E708B"/>
    <w:rsid w:val="008F05C7"/>
    <w:rsid w:val="008F0AB6"/>
    <w:rsid w:val="008F0C42"/>
    <w:rsid w:val="008F0C43"/>
    <w:rsid w:val="008F1227"/>
    <w:rsid w:val="008F1367"/>
    <w:rsid w:val="008F24A6"/>
    <w:rsid w:val="008F27FE"/>
    <w:rsid w:val="008F3988"/>
    <w:rsid w:val="008F509A"/>
    <w:rsid w:val="008F5669"/>
    <w:rsid w:val="008F574C"/>
    <w:rsid w:val="008F5AA3"/>
    <w:rsid w:val="008F6018"/>
    <w:rsid w:val="008F64A2"/>
    <w:rsid w:val="008F78DA"/>
    <w:rsid w:val="008F7D49"/>
    <w:rsid w:val="009003E1"/>
    <w:rsid w:val="009009F4"/>
    <w:rsid w:val="00901058"/>
    <w:rsid w:val="0090182C"/>
    <w:rsid w:val="00901CA1"/>
    <w:rsid w:val="00902A57"/>
    <w:rsid w:val="00903906"/>
    <w:rsid w:val="00904700"/>
    <w:rsid w:val="0090482D"/>
    <w:rsid w:val="00904B64"/>
    <w:rsid w:val="00905491"/>
    <w:rsid w:val="0090585F"/>
    <w:rsid w:val="00905C45"/>
    <w:rsid w:val="00905C84"/>
    <w:rsid w:val="00905E6C"/>
    <w:rsid w:val="00906A85"/>
    <w:rsid w:val="00906A9D"/>
    <w:rsid w:val="00907157"/>
    <w:rsid w:val="0090732B"/>
    <w:rsid w:val="00907345"/>
    <w:rsid w:val="009079E7"/>
    <w:rsid w:val="00907DC4"/>
    <w:rsid w:val="009100FC"/>
    <w:rsid w:val="00910774"/>
    <w:rsid w:val="00910B8D"/>
    <w:rsid w:val="009110BF"/>
    <w:rsid w:val="00911172"/>
    <w:rsid w:val="00911182"/>
    <w:rsid w:val="009112E5"/>
    <w:rsid w:val="009113BC"/>
    <w:rsid w:val="00911964"/>
    <w:rsid w:val="00911A0D"/>
    <w:rsid w:val="00911A90"/>
    <w:rsid w:val="009126FF"/>
    <w:rsid w:val="009139A5"/>
    <w:rsid w:val="00913BA0"/>
    <w:rsid w:val="00913BB3"/>
    <w:rsid w:val="0091564B"/>
    <w:rsid w:val="00915B52"/>
    <w:rsid w:val="00916FE8"/>
    <w:rsid w:val="0091720E"/>
    <w:rsid w:val="009173A2"/>
    <w:rsid w:val="0091765F"/>
    <w:rsid w:val="00917A1A"/>
    <w:rsid w:val="009206E0"/>
    <w:rsid w:val="009219EB"/>
    <w:rsid w:val="00921DC8"/>
    <w:rsid w:val="009224A0"/>
    <w:rsid w:val="00922B66"/>
    <w:rsid w:val="00922EDC"/>
    <w:rsid w:val="0092312E"/>
    <w:rsid w:val="0092399B"/>
    <w:rsid w:val="0092450A"/>
    <w:rsid w:val="009251A6"/>
    <w:rsid w:val="00925200"/>
    <w:rsid w:val="009257E6"/>
    <w:rsid w:val="00926603"/>
    <w:rsid w:val="00926A13"/>
    <w:rsid w:val="00926E2D"/>
    <w:rsid w:val="0092768A"/>
    <w:rsid w:val="009279A9"/>
    <w:rsid w:val="00930828"/>
    <w:rsid w:val="00930924"/>
    <w:rsid w:val="00930A2F"/>
    <w:rsid w:val="00930BD2"/>
    <w:rsid w:val="0093191E"/>
    <w:rsid w:val="0093193C"/>
    <w:rsid w:val="00932031"/>
    <w:rsid w:val="00933069"/>
    <w:rsid w:val="009335C5"/>
    <w:rsid w:val="00934210"/>
    <w:rsid w:val="00935637"/>
    <w:rsid w:val="00935D8A"/>
    <w:rsid w:val="00936769"/>
    <w:rsid w:val="0093676B"/>
    <w:rsid w:val="009368C1"/>
    <w:rsid w:val="00936DD0"/>
    <w:rsid w:val="00937DB6"/>
    <w:rsid w:val="00940834"/>
    <w:rsid w:val="0094090E"/>
    <w:rsid w:val="00940E85"/>
    <w:rsid w:val="00941364"/>
    <w:rsid w:val="00941C9C"/>
    <w:rsid w:val="00942309"/>
    <w:rsid w:val="0094280D"/>
    <w:rsid w:val="00943248"/>
    <w:rsid w:val="009439E0"/>
    <w:rsid w:val="00943C76"/>
    <w:rsid w:val="00943E34"/>
    <w:rsid w:val="00943F54"/>
    <w:rsid w:val="00944D95"/>
    <w:rsid w:val="00945452"/>
    <w:rsid w:val="0094671F"/>
    <w:rsid w:val="00946923"/>
    <w:rsid w:val="00946ADE"/>
    <w:rsid w:val="00946FF7"/>
    <w:rsid w:val="0094752C"/>
    <w:rsid w:val="00947E73"/>
    <w:rsid w:val="00947F10"/>
    <w:rsid w:val="0095024E"/>
    <w:rsid w:val="00950415"/>
    <w:rsid w:val="00950D64"/>
    <w:rsid w:val="00950D79"/>
    <w:rsid w:val="0095105D"/>
    <w:rsid w:val="009511EF"/>
    <w:rsid w:val="00951B60"/>
    <w:rsid w:val="009520FD"/>
    <w:rsid w:val="00952841"/>
    <w:rsid w:val="00953252"/>
    <w:rsid w:val="00953985"/>
    <w:rsid w:val="009549A9"/>
    <w:rsid w:val="00954AC4"/>
    <w:rsid w:val="00954B4E"/>
    <w:rsid w:val="00954E80"/>
    <w:rsid w:val="00955A63"/>
    <w:rsid w:val="00955B41"/>
    <w:rsid w:val="00956538"/>
    <w:rsid w:val="00956B0F"/>
    <w:rsid w:val="00956F71"/>
    <w:rsid w:val="00957570"/>
    <w:rsid w:val="0096085B"/>
    <w:rsid w:val="009608AA"/>
    <w:rsid w:val="009614C5"/>
    <w:rsid w:val="00961982"/>
    <w:rsid w:val="00961DDB"/>
    <w:rsid w:val="00962138"/>
    <w:rsid w:val="009628ED"/>
    <w:rsid w:val="00963242"/>
    <w:rsid w:val="0096328E"/>
    <w:rsid w:val="00964731"/>
    <w:rsid w:val="009659B8"/>
    <w:rsid w:val="00965DB4"/>
    <w:rsid w:val="00965E11"/>
    <w:rsid w:val="00965E30"/>
    <w:rsid w:val="00966DBC"/>
    <w:rsid w:val="00966F30"/>
    <w:rsid w:val="00967D98"/>
    <w:rsid w:val="0097026F"/>
    <w:rsid w:val="00970FA3"/>
    <w:rsid w:val="00971A56"/>
    <w:rsid w:val="00971DD9"/>
    <w:rsid w:val="00972755"/>
    <w:rsid w:val="00972BDB"/>
    <w:rsid w:val="009734AA"/>
    <w:rsid w:val="009749E9"/>
    <w:rsid w:val="00974A07"/>
    <w:rsid w:val="00974C91"/>
    <w:rsid w:val="009764A3"/>
    <w:rsid w:val="00976567"/>
    <w:rsid w:val="00977931"/>
    <w:rsid w:val="00977F4A"/>
    <w:rsid w:val="00980671"/>
    <w:rsid w:val="0098131D"/>
    <w:rsid w:val="0098175C"/>
    <w:rsid w:val="009817F4"/>
    <w:rsid w:val="00981832"/>
    <w:rsid w:val="0098189F"/>
    <w:rsid w:val="0098215B"/>
    <w:rsid w:val="009830E8"/>
    <w:rsid w:val="0098320F"/>
    <w:rsid w:val="00983352"/>
    <w:rsid w:val="00983E01"/>
    <w:rsid w:val="00984A8D"/>
    <w:rsid w:val="00984C85"/>
    <w:rsid w:val="009852F3"/>
    <w:rsid w:val="00985948"/>
    <w:rsid w:val="00985A11"/>
    <w:rsid w:val="00986101"/>
    <w:rsid w:val="009868FD"/>
    <w:rsid w:val="0098698E"/>
    <w:rsid w:val="00986F68"/>
    <w:rsid w:val="00987095"/>
    <w:rsid w:val="00987313"/>
    <w:rsid w:val="00990038"/>
    <w:rsid w:val="0099047E"/>
    <w:rsid w:val="00991263"/>
    <w:rsid w:val="009912E5"/>
    <w:rsid w:val="009923FD"/>
    <w:rsid w:val="009924F3"/>
    <w:rsid w:val="0099292C"/>
    <w:rsid w:val="00992A1D"/>
    <w:rsid w:val="00992CDE"/>
    <w:rsid w:val="00992EF8"/>
    <w:rsid w:val="009934B8"/>
    <w:rsid w:val="00994797"/>
    <w:rsid w:val="0099495D"/>
    <w:rsid w:val="0099569E"/>
    <w:rsid w:val="009957C6"/>
    <w:rsid w:val="00995903"/>
    <w:rsid w:val="00995EE1"/>
    <w:rsid w:val="00996377"/>
    <w:rsid w:val="009967B7"/>
    <w:rsid w:val="00997273"/>
    <w:rsid w:val="00997A1D"/>
    <w:rsid w:val="00997E63"/>
    <w:rsid w:val="009A0974"/>
    <w:rsid w:val="009A0E17"/>
    <w:rsid w:val="009A0F3E"/>
    <w:rsid w:val="009A0F94"/>
    <w:rsid w:val="009A1176"/>
    <w:rsid w:val="009A14DB"/>
    <w:rsid w:val="009A15CA"/>
    <w:rsid w:val="009A17B2"/>
    <w:rsid w:val="009A23E3"/>
    <w:rsid w:val="009A2622"/>
    <w:rsid w:val="009A3D0E"/>
    <w:rsid w:val="009A3D78"/>
    <w:rsid w:val="009A4AB3"/>
    <w:rsid w:val="009A4ECE"/>
    <w:rsid w:val="009A5492"/>
    <w:rsid w:val="009A5571"/>
    <w:rsid w:val="009A5CBA"/>
    <w:rsid w:val="009A6765"/>
    <w:rsid w:val="009A7916"/>
    <w:rsid w:val="009B0FD7"/>
    <w:rsid w:val="009B17B5"/>
    <w:rsid w:val="009B1BB2"/>
    <w:rsid w:val="009B1CAD"/>
    <w:rsid w:val="009B2A80"/>
    <w:rsid w:val="009B2FDF"/>
    <w:rsid w:val="009B3234"/>
    <w:rsid w:val="009B4475"/>
    <w:rsid w:val="009B4ADB"/>
    <w:rsid w:val="009B5781"/>
    <w:rsid w:val="009B6380"/>
    <w:rsid w:val="009B65DC"/>
    <w:rsid w:val="009B68DE"/>
    <w:rsid w:val="009B6B29"/>
    <w:rsid w:val="009B6FF0"/>
    <w:rsid w:val="009B7076"/>
    <w:rsid w:val="009B71B7"/>
    <w:rsid w:val="009B776F"/>
    <w:rsid w:val="009B77A7"/>
    <w:rsid w:val="009C0154"/>
    <w:rsid w:val="009C03BC"/>
    <w:rsid w:val="009C0421"/>
    <w:rsid w:val="009C0C39"/>
    <w:rsid w:val="009C150E"/>
    <w:rsid w:val="009C18AF"/>
    <w:rsid w:val="009C1E1D"/>
    <w:rsid w:val="009C2A0B"/>
    <w:rsid w:val="009C2CFC"/>
    <w:rsid w:val="009C3173"/>
    <w:rsid w:val="009C3248"/>
    <w:rsid w:val="009C334B"/>
    <w:rsid w:val="009C3E22"/>
    <w:rsid w:val="009C3FB1"/>
    <w:rsid w:val="009C41CA"/>
    <w:rsid w:val="009C49E3"/>
    <w:rsid w:val="009C5F54"/>
    <w:rsid w:val="009C6711"/>
    <w:rsid w:val="009C67F0"/>
    <w:rsid w:val="009C686C"/>
    <w:rsid w:val="009C6A63"/>
    <w:rsid w:val="009C746F"/>
    <w:rsid w:val="009C7970"/>
    <w:rsid w:val="009C7C18"/>
    <w:rsid w:val="009D0F40"/>
    <w:rsid w:val="009D0F9C"/>
    <w:rsid w:val="009D10DE"/>
    <w:rsid w:val="009D161D"/>
    <w:rsid w:val="009D1789"/>
    <w:rsid w:val="009D3ADF"/>
    <w:rsid w:val="009D3F98"/>
    <w:rsid w:val="009D42B8"/>
    <w:rsid w:val="009D4CE0"/>
    <w:rsid w:val="009D5416"/>
    <w:rsid w:val="009D777C"/>
    <w:rsid w:val="009D77B3"/>
    <w:rsid w:val="009D7A71"/>
    <w:rsid w:val="009D7F6A"/>
    <w:rsid w:val="009E03C6"/>
    <w:rsid w:val="009E0CE8"/>
    <w:rsid w:val="009E13AD"/>
    <w:rsid w:val="009E143B"/>
    <w:rsid w:val="009E21CA"/>
    <w:rsid w:val="009E21CE"/>
    <w:rsid w:val="009E2B0E"/>
    <w:rsid w:val="009E348E"/>
    <w:rsid w:val="009E34B9"/>
    <w:rsid w:val="009E35A5"/>
    <w:rsid w:val="009E3825"/>
    <w:rsid w:val="009E3BAA"/>
    <w:rsid w:val="009E4351"/>
    <w:rsid w:val="009E5337"/>
    <w:rsid w:val="009E6412"/>
    <w:rsid w:val="009E6BF4"/>
    <w:rsid w:val="009E7F1A"/>
    <w:rsid w:val="009F07AE"/>
    <w:rsid w:val="009F0811"/>
    <w:rsid w:val="009F0A11"/>
    <w:rsid w:val="009F0FD0"/>
    <w:rsid w:val="009F11EE"/>
    <w:rsid w:val="009F14FE"/>
    <w:rsid w:val="009F1F25"/>
    <w:rsid w:val="009F230E"/>
    <w:rsid w:val="009F2494"/>
    <w:rsid w:val="009F28CE"/>
    <w:rsid w:val="009F2D0B"/>
    <w:rsid w:val="009F2E8E"/>
    <w:rsid w:val="009F355D"/>
    <w:rsid w:val="009F386D"/>
    <w:rsid w:val="009F4130"/>
    <w:rsid w:val="009F4192"/>
    <w:rsid w:val="009F44D1"/>
    <w:rsid w:val="009F4874"/>
    <w:rsid w:val="009F4922"/>
    <w:rsid w:val="009F5539"/>
    <w:rsid w:val="009F55D8"/>
    <w:rsid w:val="009F57D9"/>
    <w:rsid w:val="009F68D3"/>
    <w:rsid w:val="009F7652"/>
    <w:rsid w:val="009F79DB"/>
    <w:rsid w:val="009F7D54"/>
    <w:rsid w:val="00A00639"/>
    <w:rsid w:val="00A008CF"/>
    <w:rsid w:val="00A00932"/>
    <w:rsid w:val="00A00939"/>
    <w:rsid w:val="00A00E3C"/>
    <w:rsid w:val="00A0103E"/>
    <w:rsid w:val="00A011B6"/>
    <w:rsid w:val="00A014E3"/>
    <w:rsid w:val="00A015CF"/>
    <w:rsid w:val="00A01C5A"/>
    <w:rsid w:val="00A0268C"/>
    <w:rsid w:val="00A03C8C"/>
    <w:rsid w:val="00A03EA8"/>
    <w:rsid w:val="00A04CDF"/>
    <w:rsid w:val="00A04D39"/>
    <w:rsid w:val="00A04FFD"/>
    <w:rsid w:val="00A0563E"/>
    <w:rsid w:val="00A0636E"/>
    <w:rsid w:val="00A0692C"/>
    <w:rsid w:val="00A06A95"/>
    <w:rsid w:val="00A0731B"/>
    <w:rsid w:val="00A10028"/>
    <w:rsid w:val="00A10B47"/>
    <w:rsid w:val="00A10C21"/>
    <w:rsid w:val="00A111E4"/>
    <w:rsid w:val="00A1131F"/>
    <w:rsid w:val="00A1193A"/>
    <w:rsid w:val="00A120DA"/>
    <w:rsid w:val="00A1292B"/>
    <w:rsid w:val="00A12B80"/>
    <w:rsid w:val="00A13DFA"/>
    <w:rsid w:val="00A1433F"/>
    <w:rsid w:val="00A14D7A"/>
    <w:rsid w:val="00A15852"/>
    <w:rsid w:val="00A15B2F"/>
    <w:rsid w:val="00A15C76"/>
    <w:rsid w:val="00A1647B"/>
    <w:rsid w:val="00A1651B"/>
    <w:rsid w:val="00A1676A"/>
    <w:rsid w:val="00A177D7"/>
    <w:rsid w:val="00A202A9"/>
    <w:rsid w:val="00A202D2"/>
    <w:rsid w:val="00A208DB"/>
    <w:rsid w:val="00A2170A"/>
    <w:rsid w:val="00A21831"/>
    <w:rsid w:val="00A21DC0"/>
    <w:rsid w:val="00A21E7B"/>
    <w:rsid w:val="00A2276C"/>
    <w:rsid w:val="00A22898"/>
    <w:rsid w:val="00A22BB6"/>
    <w:rsid w:val="00A237DB"/>
    <w:rsid w:val="00A23CCE"/>
    <w:rsid w:val="00A242AF"/>
    <w:rsid w:val="00A245D0"/>
    <w:rsid w:val="00A251E5"/>
    <w:rsid w:val="00A2588D"/>
    <w:rsid w:val="00A25E90"/>
    <w:rsid w:val="00A26767"/>
    <w:rsid w:val="00A26945"/>
    <w:rsid w:val="00A27460"/>
    <w:rsid w:val="00A276ED"/>
    <w:rsid w:val="00A27D05"/>
    <w:rsid w:val="00A27D10"/>
    <w:rsid w:val="00A27D93"/>
    <w:rsid w:val="00A30280"/>
    <w:rsid w:val="00A308B7"/>
    <w:rsid w:val="00A30D43"/>
    <w:rsid w:val="00A31A92"/>
    <w:rsid w:val="00A31C51"/>
    <w:rsid w:val="00A3293C"/>
    <w:rsid w:val="00A33264"/>
    <w:rsid w:val="00A33D56"/>
    <w:rsid w:val="00A33E81"/>
    <w:rsid w:val="00A34ECB"/>
    <w:rsid w:val="00A35F0E"/>
    <w:rsid w:val="00A363C7"/>
    <w:rsid w:val="00A363ED"/>
    <w:rsid w:val="00A36553"/>
    <w:rsid w:val="00A366F4"/>
    <w:rsid w:val="00A3719C"/>
    <w:rsid w:val="00A37B7C"/>
    <w:rsid w:val="00A402A0"/>
    <w:rsid w:val="00A40DA5"/>
    <w:rsid w:val="00A41AD9"/>
    <w:rsid w:val="00A41BAE"/>
    <w:rsid w:val="00A41DC3"/>
    <w:rsid w:val="00A425EA"/>
    <w:rsid w:val="00A4293E"/>
    <w:rsid w:val="00A44610"/>
    <w:rsid w:val="00A44765"/>
    <w:rsid w:val="00A45AE8"/>
    <w:rsid w:val="00A45F83"/>
    <w:rsid w:val="00A505B2"/>
    <w:rsid w:val="00A507FE"/>
    <w:rsid w:val="00A51290"/>
    <w:rsid w:val="00A51C90"/>
    <w:rsid w:val="00A525C2"/>
    <w:rsid w:val="00A5375F"/>
    <w:rsid w:val="00A538AB"/>
    <w:rsid w:val="00A5396D"/>
    <w:rsid w:val="00A53A4C"/>
    <w:rsid w:val="00A53BF7"/>
    <w:rsid w:val="00A54256"/>
    <w:rsid w:val="00A547D5"/>
    <w:rsid w:val="00A54BD3"/>
    <w:rsid w:val="00A54C0F"/>
    <w:rsid w:val="00A54C24"/>
    <w:rsid w:val="00A552A7"/>
    <w:rsid w:val="00A554A2"/>
    <w:rsid w:val="00A5658C"/>
    <w:rsid w:val="00A566C6"/>
    <w:rsid w:val="00A570F0"/>
    <w:rsid w:val="00A577F9"/>
    <w:rsid w:val="00A57907"/>
    <w:rsid w:val="00A57A38"/>
    <w:rsid w:val="00A6107B"/>
    <w:rsid w:val="00A623B9"/>
    <w:rsid w:val="00A62932"/>
    <w:rsid w:val="00A629BD"/>
    <w:rsid w:val="00A62B08"/>
    <w:rsid w:val="00A639A7"/>
    <w:rsid w:val="00A63F02"/>
    <w:rsid w:val="00A64046"/>
    <w:rsid w:val="00A643E1"/>
    <w:rsid w:val="00A64D9A"/>
    <w:rsid w:val="00A64DB8"/>
    <w:rsid w:val="00A64F26"/>
    <w:rsid w:val="00A6600C"/>
    <w:rsid w:val="00A6781A"/>
    <w:rsid w:val="00A679A5"/>
    <w:rsid w:val="00A67E7A"/>
    <w:rsid w:val="00A70644"/>
    <w:rsid w:val="00A726BE"/>
    <w:rsid w:val="00A72E75"/>
    <w:rsid w:val="00A7342D"/>
    <w:rsid w:val="00A7396F"/>
    <w:rsid w:val="00A740E2"/>
    <w:rsid w:val="00A75117"/>
    <w:rsid w:val="00A754C2"/>
    <w:rsid w:val="00A75B0A"/>
    <w:rsid w:val="00A75B11"/>
    <w:rsid w:val="00A77584"/>
    <w:rsid w:val="00A77B06"/>
    <w:rsid w:val="00A77DAC"/>
    <w:rsid w:val="00A801F4"/>
    <w:rsid w:val="00A8076C"/>
    <w:rsid w:val="00A81524"/>
    <w:rsid w:val="00A81729"/>
    <w:rsid w:val="00A81B99"/>
    <w:rsid w:val="00A82F56"/>
    <w:rsid w:val="00A84CA2"/>
    <w:rsid w:val="00A85247"/>
    <w:rsid w:val="00A85250"/>
    <w:rsid w:val="00A85293"/>
    <w:rsid w:val="00A8590C"/>
    <w:rsid w:val="00A85D82"/>
    <w:rsid w:val="00A86F9A"/>
    <w:rsid w:val="00A90119"/>
    <w:rsid w:val="00A91283"/>
    <w:rsid w:val="00A91367"/>
    <w:rsid w:val="00A92455"/>
    <w:rsid w:val="00A9246A"/>
    <w:rsid w:val="00A92EBD"/>
    <w:rsid w:val="00A933AB"/>
    <w:rsid w:val="00A944D9"/>
    <w:rsid w:val="00A94958"/>
    <w:rsid w:val="00A949E5"/>
    <w:rsid w:val="00A94E40"/>
    <w:rsid w:val="00A95319"/>
    <w:rsid w:val="00A95CE1"/>
    <w:rsid w:val="00A9622A"/>
    <w:rsid w:val="00A9659E"/>
    <w:rsid w:val="00A967CC"/>
    <w:rsid w:val="00A972CC"/>
    <w:rsid w:val="00A9749E"/>
    <w:rsid w:val="00A975AA"/>
    <w:rsid w:val="00A97709"/>
    <w:rsid w:val="00A97B2A"/>
    <w:rsid w:val="00AA00E2"/>
    <w:rsid w:val="00AA087B"/>
    <w:rsid w:val="00AA1B17"/>
    <w:rsid w:val="00AA1C50"/>
    <w:rsid w:val="00AA2989"/>
    <w:rsid w:val="00AA2D6C"/>
    <w:rsid w:val="00AA3561"/>
    <w:rsid w:val="00AA3A7B"/>
    <w:rsid w:val="00AA427C"/>
    <w:rsid w:val="00AA44D3"/>
    <w:rsid w:val="00AA4CBE"/>
    <w:rsid w:val="00AA586F"/>
    <w:rsid w:val="00AA5CEB"/>
    <w:rsid w:val="00AA6B7C"/>
    <w:rsid w:val="00AA6E8B"/>
    <w:rsid w:val="00AA6FE2"/>
    <w:rsid w:val="00AA72BE"/>
    <w:rsid w:val="00AA7D14"/>
    <w:rsid w:val="00AA7F89"/>
    <w:rsid w:val="00AB00DE"/>
    <w:rsid w:val="00AB0330"/>
    <w:rsid w:val="00AB0993"/>
    <w:rsid w:val="00AB13EB"/>
    <w:rsid w:val="00AB1430"/>
    <w:rsid w:val="00AB1510"/>
    <w:rsid w:val="00AB154D"/>
    <w:rsid w:val="00AB165E"/>
    <w:rsid w:val="00AB1CF7"/>
    <w:rsid w:val="00AB23B8"/>
    <w:rsid w:val="00AB5CA2"/>
    <w:rsid w:val="00AB629D"/>
    <w:rsid w:val="00AB6B8D"/>
    <w:rsid w:val="00AB76F4"/>
    <w:rsid w:val="00AC0724"/>
    <w:rsid w:val="00AC0920"/>
    <w:rsid w:val="00AC0CE5"/>
    <w:rsid w:val="00AC0D11"/>
    <w:rsid w:val="00AC142A"/>
    <w:rsid w:val="00AC14A2"/>
    <w:rsid w:val="00AC1722"/>
    <w:rsid w:val="00AC27B5"/>
    <w:rsid w:val="00AC2805"/>
    <w:rsid w:val="00AC311C"/>
    <w:rsid w:val="00AC4700"/>
    <w:rsid w:val="00AC4919"/>
    <w:rsid w:val="00AC4A27"/>
    <w:rsid w:val="00AC4DE1"/>
    <w:rsid w:val="00AC4E18"/>
    <w:rsid w:val="00AC4FBF"/>
    <w:rsid w:val="00AC54E4"/>
    <w:rsid w:val="00AC59D2"/>
    <w:rsid w:val="00AC6264"/>
    <w:rsid w:val="00AC6545"/>
    <w:rsid w:val="00AC6BAE"/>
    <w:rsid w:val="00AC6D05"/>
    <w:rsid w:val="00AC720F"/>
    <w:rsid w:val="00AC77C3"/>
    <w:rsid w:val="00AC7DB3"/>
    <w:rsid w:val="00AC7EDA"/>
    <w:rsid w:val="00AD0205"/>
    <w:rsid w:val="00AD0485"/>
    <w:rsid w:val="00AD0780"/>
    <w:rsid w:val="00AD15FA"/>
    <w:rsid w:val="00AD1976"/>
    <w:rsid w:val="00AD2DA4"/>
    <w:rsid w:val="00AD359F"/>
    <w:rsid w:val="00AD3625"/>
    <w:rsid w:val="00AD41A0"/>
    <w:rsid w:val="00AD4247"/>
    <w:rsid w:val="00AD4ACF"/>
    <w:rsid w:val="00AD4E9E"/>
    <w:rsid w:val="00AD5332"/>
    <w:rsid w:val="00AD5384"/>
    <w:rsid w:val="00AD6420"/>
    <w:rsid w:val="00AD6F5E"/>
    <w:rsid w:val="00AD76A2"/>
    <w:rsid w:val="00AD7A02"/>
    <w:rsid w:val="00AD7A64"/>
    <w:rsid w:val="00AE0133"/>
    <w:rsid w:val="00AE01FE"/>
    <w:rsid w:val="00AE05AB"/>
    <w:rsid w:val="00AE0860"/>
    <w:rsid w:val="00AE0D41"/>
    <w:rsid w:val="00AE1204"/>
    <w:rsid w:val="00AE1239"/>
    <w:rsid w:val="00AE2084"/>
    <w:rsid w:val="00AE2284"/>
    <w:rsid w:val="00AE2971"/>
    <w:rsid w:val="00AE2E04"/>
    <w:rsid w:val="00AE3597"/>
    <w:rsid w:val="00AE38E0"/>
    <w:rsid w:val="00AE3AC6"/>
    <w:rsid w:val="00AE4538"/>
    <w:rsid w:val="00AE4628"/>
    <w:rsid w:val="00AE473B"/>
    <w:rsid w:val="00AE4C8B"/>
    <w:rsid w:val="00AE4DA0"/>
    <w:rsid w:val="00AE6458"/>
    <w:rsid w:val="00AE6A99"/>
    <w:rsid w:val="00AE6C69"/>
    <w:rsid w:val="00AE6DE2"/>
    <w:rsid w:val="00AE6F02"/>
    <w:rsid w:val="00AF0714"/>
    <w:rsid w:val="00AF16F7"/>
    <w:rsid w:val="00AF1A65"/>
    <w:rsid w:val="00AF2843"/>
    <w:rsid w:val="00AF2C7B"/>
    <w:rsid w:val="00AF3254"/>
    <w:rsid w:val="00AF3502"/>
    <w:rsid w:val="00AF4249"/>
    <w:rsid w:val="00AF432A"/>
    <w:rsid w:val="00AF4AA3"/>
    <w:rsid w:val="00AF4D83"/>
    <w:rsid w:val="00AF5830"/>
    <w:rsid w:val="00AF5CF1"/>
    <w:rsid w:val="00AF5D2B"/>
    <w:rsid w:val="00AF67B8"/>
    <w:rsid w:val="00AF6C52"/>
    <w:rsid w:val="00AF6CC8"/>
    <w:rsid w:val="00AF6D94"/>
    <w:rsid w:val="00AF73B4"/>
    <w:rsid w:val="00AF7923"/>
    <w:rsid w:val="00AF7ACC"/>
    <w:rsid w:val="00AF7C2F"/>
    <w:rsid w:val="00B00752"/>
    <w:rsid w:val="00B00D65"/>
    <w:rsid w:val="00B01227"/>
    <w:rsid w:val="00B012A5"/>
    <w:rsid w:val="00B012C1"/>
    <w:rsid w:val="00B01AA7"/>
    <w:rsid w:val="00B02D1C"/>
    <w:rsid w:val="00B02E3E"/>
    <w:rsid w:val="00B02F8D"/>
    <w:rsid w:val="00B03BAF"/>
    <w:rsid w:val="00B05911"/>
    <w:rsid w:val="00B05A97"/>
    <w:rsid w:val="00B05CDA"/>
    <w:rsid w:val="00B06154"/>
    <w:rsid w:val="00B062C1"/>
    <w:rsid w:val="00B0671B"/>
    <w:rsid w:val="00B06E77"/>
    <w:rsid w:val="00B074E0"/>
    <w:rsid w:val="00B10979"/>
    <w:rsid w:val="00B11239"/>
    <w:rsid w:val="00B125DF"/>
    <w:rsid w:val="00B12900"/>
    <w:rsid w:val="00B12940"/>
    <w:rsid w:val="00B142DC"/>
    <w:rsid w:val="00B143D7"/>
    <w:rsid w:val="00B146E6"/>
    <w:rsid w:val="00B14B58"/>
    <w:rsid w:val="00B14EE6"/>
    <w:rsid w:val="00B167C2"/>
    <w:rsid w:val="00B1789B"/>
    <w:rsid w:val="00B17AC2"/>
    <w:rsid w:val="00B17C67"/>
    <w:rsid w:val="00B17DB7"/>
    <w:rsid w:val="00B17E81"/>
    <w:rsid w:val="00B2072C"/>
    <w:rsid w:val="00B21314"/>
    <w:rsid w:val="00B22CE7"/>
    <w:rsid w:val="00B23007"/>
    <w:rsid w:val="00B2306B"/>
    <w:rsid w:val="00B231A9"/>
    <w:rsid w:val="00B237AA"/>
    <w:rsid w:val="00B26D87"/>
    <w:rsid w:val="00B27181"/>
    <w:rsid w:val="00B30367"/>
    <w:rsid w:val="00B305F7"/>
    <w:rsid w:val="00B30697"/>
    <w:rsid w:val="00B30984"/>
    <w:rsid w:val="00B310CD"/>
    <w:rsid w:val="00B31461"/>
    <w:rsid w:val="00B314F0"/>
    <w:rsid w:val="00B315EB"/>
    <w:rsid w:val="00B318D7"/>
    <w:rsid w:val="00B32A95"/>
    <w:rsid w:val="00B32AB4"/>
    <w:rsid w:val="00B32E90"/>
    <w:rsid w:val="00B33250"/>
    <w:rsid w:val="00B334CA"/>
    <w:rsid w:val="00B33866"/>
    <w:rsid w:val="00B339CC"/>
    <w:rsid w:val="00B33A7D"/>
    <w:rsid w:val="00B34231"/>
    <w:rsid w:val="00B34466"/>
    <w:rsid w:val="00B3472F"/>
    <w:rsid w:val="00B3499D"/>
    <w:rsid w:val="00B358CE"/>
    <w:rsid w:val="00B35AB9"/>
    <w:rsid w:val="00B35B48"/>
    <w:rsid w:val="00B35D70"/>
    <w:rsid w:val="00B35E3C"/>
    <w:rsid w:val="00B35FF2"/>
    <w:rsid w:val="00B361E8"/>
    <w:rsid w:val="00B3648F"/>
    <w:rsid w:val="00B36635"/>
    <w:rsid w:val="00B3710E"/>
    <w:rsid w:val="00B37935"/>
    <w:rsid w:val="00B37F0C"/>
    <w:rsid w:val="00B4045E"/>
    <w:rsid w:val="00B407E2"/>
    <w:rsid w:val="00B41C42"/>
    <w:rsid w:val="00B42A51"/>
    <w:rsid w:val="00B42DBD"/>
    <w:rsid w:val="00B43592"/>
    <w:rsid w:val="00B437B6"/>
    <w:rsid w:val="00B43BF2"/>
    <w:rsid w:val="00B4408B"/>
    <w:rsid w:val="00B44749"/>
    <w:rsid w:val="00B44B6E"/>
    <w:rsid w:val="00B44BE9"/>
    <w:rsid w:val="00B465B5"/>
    <w:rsid w:val="00B46FBC"/>
    <w:rsid w:val="00B47413"/>
    <w:rsid w:val="00B47C9A"/>
    <w:rsid w:val="00B51DBC"/>
    <w:rsid w:val="00B52192"/>
    <w:rsid w:val="00B521AF"/>
    <w:rsid w:val="00B52864"/>
    <w:rsid w:val="00B52EFE"/>
    <w:rsid w:val="00B532AD"/>
    <w:rsid w:val="00B53459"/>
    <w:rsid w:val="00B53D79"/>
    <w:rsid w:val="00B54456"/>
    <w:rsid w:val="00B55529"/>
    <w:rsid w:val="00B5554F"/>
    <w:rsid w:val="00B5595A"/>
    <w:rsid w:val="00B56153"/>
    <w:rsid w:val="00B56279"/>
    <w:rsid w:val="00B56484"/>
    <w:rsid w:val="00B565CD"/>
    <w:rsid w:val="00B565E9"/>
    <w:rsid w:val="00B56DBC"/>
    <w:rsid w:val="00B600E8"/>
    <w:rsid w:val="00B60240"/>
    <w:rsid w:val="00B60482"/>
    <w:rsid w:val="00B60742"/>
    <w:rsid w:val="00B607B0"/>
    <w:rsid w:val="00B607BD"/>
    <w:rsid w:val="00B60C56"/>
    <w:rsid w:val="00B6141E"/>
    <w:rsid w:val="00B617FF"/>
    <w:rsid w:val="00B61F25"/>
    <w:rsid w:val="00B63382"/>
    <w:rsid w:val="00B6346D"/>
    <w:rsid w:val="00B6361F"/>
    <w:rsid w:val="00B63628"/>
    <w:rsid w:val="00B63A61"/>
    <w:rsid w:val="00B64645"/>
    <w:rsid w:val="00B64A65"/>
    <w:rsid w:val="00B64E62"/>
    <w:rsid w:val="00B65074"/>
    <w:rsid w:val="00B6513D"/>
    <w:rsid w:val="00B65722"/>
    <w:rsid w:val="00B65A34"/>
    <w:rsid w:val="00B65AD6"/>
    <w:rsid w:val="00B66B8E"/>
    <w:rsid w:val="00B66ECC"/>
    <w:rsid w:val="00B6754A"/>
    <w:rsid w:val="00B70A4B"/>
    <w:rsid w:val="00B70CBC"/>
    <w:rsid w:val="00B70E48"/>
    <w:rsid w:val="00B710C8"/>
    <w:rsid w:val="00B71A93"/>
    <w:rsid w:val="00B72B0C"/>
    <w:rsid w:val="00B72B5C"/>
    <w:rsid w:val="00B72EAA"/>
    <w:rsid w:val="00B7377C"/>
    <w:rsid w:val="00B73DD2"/>
    <w:rsid w:val="00B73E75"/>
    <w:rsid w:val="00B748C9"/>
    <w:rsid w:val="00B750B5"/>
    <w:rsid w:val="00B755C9"/>
    <w:rsid w:val="00B75A5F"/>
    <w:rsid w:val="00B75AD5"/>
    <w:rsid w:val="00B75FDA"/>
    <w:rsid w:val="00B763BD"/>
    <w:rsid w:val="00B76802"/>
    <w:rsid w:val="00B77AAB"/>
    <w:rsid w:val="00B77CAC"/>
    <w:rsid w:val="00B80440"/>
    <w:rsid w:val="00B8094C"/>
    <w:rsid w:val="00B80D60"/>
    <w:rsid w:val="00B8145E"/>
    <w:rsid w:val="00B81BF9"/>
    <w:rsid w:val="00B824DF"/>
    <w:rsid w:val="00B82EE9"/>
    <w:rsid w:val="00B831F1"/>
    <w:rsid w:val="00B833CE"/>
    <w:rsid w:val="00B83677"/>
    <w:rsid w:val="00B83E0C"/>
    <w:rsid w:val="00B84EE9"/>
    <w:rsid w:val="00B85726"/>
    <w:rsid w:val="00B8672C"/>
    <w:rsid w:val="00B876CB"/>
    <w:rsid w:val="00B87BF6"/>
    <w:rsid w:val="00B87EC2"/>
    <w:rsid w:val="00B87F0D"/>
    <w:rsid w:val="00B90142"/>
    <w:rsid w:val="00B90179"/>
    <w:rsid w:val="00B91D70"/>
    <w:rsid w:val="00B921E2"/>
    <w:rsid w:val="00B92565"/>
    <w:rsid w:val="00B927E9"/>
    <w:rsid w:val="00B93295"/>
    <w:rsid w:val="00B94CF0"/>
    <w:rsid w:val="00B94F7A"/>
    <w:rsid w:val="00B95AFB"/>
    <w:rsid w:val="00B95FBD"/>
    <w:rsid w:val="00B96229"/>
    <w:rsid w:val="00B96276"/>
    <w:rsid w:val="00B96719"/>
    <w:rsid w:val="00B976FE"/>
    <w:rsid w:val="00B97D6B"/>
    <w:rsid w:val="00BA0FF1"/>
    <w:rsid w:val="00BA1835"/>
    <w:rsid w:val="00BA1CA1"/>
    <w:rsid w:val="00BA1DE1"/>
    <w:rsid w:val="00BA1FB9"/>
    <w:rsid w:val="00BA2E50"/>
    <w:rsid w:val="00BA3585"/>
    <w:rsid w:val="00BA3702"/>
    <w:rsid w:val="00BA3C5A"/>
    <w:rsid w:val="00BA4C8F"/>
    <w:rsid w:val="00BA5084"/>
    <w:rsid w:val="00BA51CF"/>
    <w:rsid w:val="00BA541E"/>
    <w:rsid w:val="00BA55E0"/>
    <w:rsid w:val="00BA5BAE"/>
    <w:rsid w:val="00BA61AD"/>
    <w:rsid w:val="00BA6A02"/>
    <w:rsid w:val="00BA6DE4"/>
    <w:rsid w:val="00BA7279"/>
    <w:rsid w:val="00BA72B9"/>
    <w:rsid w:val="00BA79B2"/>
    <w:rsid w:val="00BA7C14"/>
    <w:rsid w:val="00BB0111"/>
    <w:rsid w:val="00BB0675"/>
    <w:rsid w:val="00BB0866"/>
    <w:rsid w:val="00BB0D6F"/>
    <w:rsid w:val="00BB1535"/>
    <w:rsid w:val="00BB1700"/>
    <w:rsid w:val="00BB18EC"/>
    <w:rsid w:val="00BB1E0A"/>
    <w:rsid w:val="00BB2231"/>
    <w:rsid w:val="00BB237D"/>
    <w:rsid w:val="00BB27C2"/>
    <w:rsid w:val="00BB30E5"/>
    <w:rsid w:val="00BB37F9"/>
    <w:rsid w:val="00BB390F"/>
    <w:rsid w:val="00BB3B51"/>
    <w:rsid w:val="00BB44A2"/>
    <w:rsid w:val="00BB4AC5"/>
    <w:rsid w:val="00BB4CF5"/>
    <w:rsid w:val="00BB521F"/>
    <w:rsid w:val="00BB6184"/>
    <w:rsid w:val="00BB690E"/>
    <w:rsid w:val="00BB6989"/>
    <w:rsid w:val="00BB7410"/>
    <w:rsid w:val="00BC09E9"/>
    <w:rsid w:val="00BC0ABF"/>
    <w:rsid w:val="00BC0AC2"/>
    <w:rsid w:val="00BC101A"/>
    <w:rsid w:val="00BC1551"/>
    <w:rsid w:val="00BC16DD"/>
    <w:rsid w:val="00BC2364"/>
    <w:rsid w:val="00BC2C9F"/>
    <w:rsid w:val="00BC337D"/>
    <w:rsid w:val="00BC392F"/>
    <w:rsid w:val="00BC39E3"/>
    <w:rsid w:val="00BC4315"/>
    <w:rsid w:val="00BC576F"/>
    <w:rsid w:val="00BC58BE"/>
    <w:rsid w:val="00BC59B2"/>
    <w:rsid w:val="00BC6082"/>
    <w:rsid w:val="00BC6938"/>
    <w:rsid w:val="00BC75D2"/>
    <w:rsid w:val="00BC79CD"/>
    <w:rsid w:val="00BC7A42"/>
    <w:rsid w:val="00BC7CAD"/>
    <w:rsid w:val="00BC7D1B"/>
    <w:rsid w:val="00BD1074"/>
    <w:rsid w:val="00BD1102"/>
    <w:rsid w:val="00BD171A"/>
    <w:rsid w:val="00BD197D"/>
    <w:rsid w:val="00BD1C7E"/>
    <w:rsid w:val="00BD1E37"/>
    <w:rsid w:val="00BD1FF8"/>
    <w:rsid w:val="00BD2241"/>
    <w:rsid w:val="00BD287A"/>
    <w:rsid w:val="00BD2D87"/>
    <w:rsid w:val="00BD2F55"/>
    <w:rsid w:val="00BD3A9B"/>
    <w:rsid w:val="00BD463A"/>
    <w:rsid w:val="00BD46F7"/>
    <w:rsid w:val="00BD4A72"/>
    <w:rsid w:val="00BD4B64"/>
    <w:rsid w:val="00BD5011"/>
    <w:rsid w:val="00BD5E1A"/>
    <w:rsid w:val="00BD627D"/>
    <w:rsid w:val="00BD69A7"/>
    <w:rsid w:val="00BE0199"/>
    <w:rsid w:val="00BE02A3"/>
    <w:rsid w:val="00BE0410"/>
    <w:rsid w:val="00BE08CC"/>
    <w:rsid w:val="00BE1712"/>
    <w:rsid w:val="00BE1900"/>
    <w:rsid w:val="00BE1D5F"/>
    <w:rsid w:val="00BE21EA"/>
    <w:rsid w:val="00BE29D3"/>
    <w:rsid w:val="00BE2C84"/>
    <w:rsid w:val="00BE2ED0"/>
    <w:rsid w:val="00BE336B"/>
    <w:rsid w:val="00BE420C"/>
    <w:rsid w:val="00BE4B44"/>
    <w:rsid w:val="00BE4B5D"/>
    <w:rsid w:val="00BE4BE6"/>
    <w:rsid w:val="00BE5298"/>
    <w:rsid w:val="00BE57C1"/>
    <w:rsid w:val="00BE5B14"/>
    <w:rsid w:val="00BE5D5C"/>
    <w:rsid w:val="00BE5F54"/>
    <w:rsid w:val="00BE6EE4"/>
    <w:rsid w:val="00BE727C"/>
    <w:rsid w:val="00BF1560"/>
    <w:rsid w:val="00BF354A"/>
    <w:rsid w:val="00BF4532"/>
    <w:rsid w:val="00BF4B8A"/>
    <w:rsid w:val="00BF5682"/>
    <w:rsid w:val="00BF5758"/>
    <w:rsid w:val="00BF5AFF"/>
    <w:rsid w:val="00BF5DE4"/>
    <w:rsid w:val="00BF669E"/>
    <w:rsid w:val="00BF697C"/>
    <w:rsid w:val="00BF6B36"/>
    <w:rsid w:val="00BF6BA8"/>
    <w:rsid w:val="00BF6D73"/>
    <w:rsid w:val="00BF795B"/>
    <w:rsid w:val="00BF7962"/>
    <w:rsid w:val="00C00148"/>
    <w:rsid w:val="00C00BB7"/>
    <w:rsid w:val="00C00D31"/>
    <w:rsid w:val="00C011C9"/>
    <w:rsid w:val="00C01CF9"/>
    <w:rsid w:val="00C01EAA"/>
    <w:rsid w:val="00C021F8"/>
    <w:rsid w:val="00C02F8C"/>
    <w:rsid w:val="00C035BD"/>
    <w:rsid w:val="00C04CD9"/>
    <w:rsid w:val="00C04D2E"/>
    <w:rsid w:val="00C04F1C"/>
    <w:rsid w:val="00C05011"/>
    <w:rsid w:val="00C053E2"/>
    <w:rsid w:val="00C05EA2"/>
    <w:rsid w:val="00C064A2"/>
    <w:rsid w:val="00C06D3A"/>
    <w:rsid w:val="00C104B5"/>
    <w:rsid w:val="00C1066E"/>
    <w:rsid w:val="00C10793"/>
    <w:rsid w:val="00C10E3D"/>
    <w:rsid w:val="00C10ECA"/>
    <w:rsid w:val="00C111B0"/>
    <w:rsid w:val="00C11383"/>
    <w:rsid w:val="00C115A2"/>
    <w:rsid w:val="00C11C0F"/>
    <w:rsid w:val="00C11FAA"/>
    <w:rsid w:val="00C122E0"/>
    <w:rsid w:val="00C12515"/>
    <w:rsid w:val="00C128DD"/>
    <w:rsid w:val="00C12B4E"/>
    <w:rsid w:val="00C12E23"/>
    <w:rsid w:val="00C12E7B"/>
    <w:rsid w:val="00C13544"/>
    <w:rsid w:val="00C13C9D"/>
    <w:rsid w:val="00C14341"/>
    <w:rsid w:val="00C143EA"/>
    <w:rsid w:val="00C14CF6"/>
    <w:rsid w:val="00C15CA0"/>
    <w:rsid w:val="00C15F85"/>
    <w:rsid w:val="00C16143"/>
    <w:rsid w:val="00C167C5"/>
    <w:rsid w:val="00C16A4F"/>
    <w:rsid w:val="00C16AF0"/>
    <w:rsid w:val="00C172A8"/>
    <w:rsid w:val="00C17428"/>
    <w:rsid w:val="00C174C1"/>
    <w:rsid w:val="00C1761C"/>
    <w:rsid w:val="00C17D05"/>
    <w:rsid w:val="00C2094D"/>
    <w:rsid w:val="00C20C29"/>
    <w:rsid w:val="00C2396B"/>
    <w:rsid w:val="00C249C7"/>
    <w:rsid w:val="00C2563A"/>
    <w:rsid w:val="00C25A39"/>
    <w:rsid w:val="00C25BD6"/>
    <w:rsid w:val="00C26249"/>
    <w:rsid w:val="00C263EC"/>
    <w:rsid w:val="00C26F4E"/>
    <w:rsid w:val="00C2725E"/>
    <w:rsid w:val="00C27370"/>
    <w:rsid w:val="00C30C60"/>
    <w:rsid w:val="00C30ED2"/>
    <w:rsid w:val="00C3135E"/>
    <w:rsid w:val="00C31CBC"/>
    <w:rsid w:val="00C31CFA"/>
    <w:rsid w:val="00C31EDE"/>
    <w:rsid w:val="00C321A1"/>
    <w:rsid w:val="00C321D9"/>
    <w:rsid w:val="00C32356"/>
    <w:rsid w:val="00C32956"/>
    <w:rsid w:val="00C33879"/>
    <w:rsid w:val="00C339EE"/>
    <w:rsid w:val="00C34AFB"/>
    <w:rsid w:val="00C34CD9"/>
    <w:rsid w:val="00C34D22"/>
    <w:rsid w:val="00C350EF"/>
    <w:rsid w:val="00C35A5E"/>
    <w:rsid w:val="00C36112"/>
    <w:rsid w:val="00C36CD8"/>
    <w:rsid w:val="00C373F8"/>
    <w:rsid w:val="00C37410"/>
    <w:rsid w:val="00C37DEF"/>
    <w:rsid w:val="00C402BA"/>
    <w:rsid w:val="00C40736"/>
    <w:rsid w:val="00C415F8"/>
    <w:rsid w:val="00C42BE9"/>
    <w:rsid w:val="00C43E47"/>
    <w:rsid w:val="00C453D1"/>
    <w:rsid w:val="00C45D06"/>
    <w:rsid w:val="00C45D2D"/>
    <w:rsid w:val="00C462B6"/>
    <w:rsid w:val="00C46539"/>
    <w:rsid w:val="00C46821"/>
    <w:rsid w:val="00C472F4"/>
    <w:rsid w:val="00C4737C"/>
    <w:rsid w:val="00C476E9"/>
    <w:rsid w:val="00C479D0"/>
    <w:rsid w:val="00C47BC4"/>
    <w:rsid w:val="00C47E44"/>
    <w:rsid w:val="00C5001C"/>
    <w:rsid w:val="00C50023"/>
    <w:rsid w:val="00C50033"/>
    <w:rsid w:val="00C501D3"/>
    <w:rsid w:val="00C50472"/>
    <w:rsid w:val="00C50874"/>
    <w:rsid w:val="00C50B14"/>
    <w:rsid w:val="00C51F77"/>
    <w:rsid w:val="00C53399"/>
    <w:rsid w:val="00C5346F"/>
    <w:rsid w:val="00C53AC2"/>
    <w:rsid w:val="00C5424D"/>
    <w:rsid w:val="00C54581"/>
    <w:rsid w:val="00C547E1"/>
    <w:rsid w:val="00C548B7"/>
    <w:rsid w:val="00C54CF0"/>
    <w:rsid w:val="00C54D6F"/>
    <w:rsid w:val="00C554F7"/>
    <w:rsid w:val="00C55830"/>
    <w:rsid w:val="00C558E1"/>
    <w:rsid w:val="00C562ED"/>
    <w:rsid w:val="00C565E7"/>
    <w:rsid w:val="00C56606"/>
    <w:rsid w:val="00C5679A"/>
    <w:rsid w:val="00C60D41"/>
    <w:rsid w:val="00C61B80"/>
    <w:rsid w:val="00C61BF6"/>
    <w:rsid w:val="00C628E0"/>
    <w:rsid w:val="00C63596"/>
    <w:rsid w:val="00C637CC"/>
    <w:rsid w:val="00C63D4B"/>
    <w:rsid w:val="00C64279"/>
    <w:rsid w:val="00C644B3"/>
    <w:rsid w:val="00C645F4"/>
    <w:rsid w:val="00C64FAC"/>
    <w:rsid w:val="00C6539A"/>
    <w:rsid w:val="00C6565C"/>
    <w:rsid w:val="00C656FF"/>
    <w:rsid w:val="00C657CA"/>
    <w:rsid w:val="00C6621A"/>
    <w:rsid w:val="00C6662A"/>
    <w:rsid w:val="00C667D4"/>
    <w:rsid w:val="00C66F75"/>
    <w:rsid w:val="00C677D1"/>
    <w:rsid w:val="00C67ECB"/>
    <w:rsid w:val="00C706F4"/>
    <w:rsid w:val="00C707A7"/>
    <w:rsid w:val="00C70834"/>
    <w:rsid w:val="00C71B9E"/>
    <w:rsid w:val="00C7263F"/>
    <w:rsid w:val="00C735B9"/>
    <w:rsid w:val="00C73E6E"/>
    <w:rsid w:val="00C742D8"/>
    <w:rsid w:val="00C74F07"/>
    <w:rsid w:val="00C7529D"/>
    <w:rsid w:val="00C75857"/>
    <w:rsid w:val="00C75AC5"/>
    <w:rsid w:val="00C768F7"/>
    <w:rsid w:val="00C76938"/>
    <w:rsid w:val="00C76A3D"/>
    <w:rsid w:val="00C77540"/>
    <w:rsid w:val="00C77957"/>
    <w:rsid w:val="00C801B0"/>
    <w:rsid w:val="00C805C4"/>
    <w:rsid w:val="00C80AE7"/>
    <w:rsid w:val="00C80C04"/>
    <w:rsid w:val="00C80DCB"/>
    <w:rsid w:val="00C81213"/>
    <w:rsid w:val="00C8150D"/>
    <w:rsid w:val="00C82055"/>
    <w:rsid w:val="00C8208F"/>
    <w:rsid w:val="00C826F4"/>
    <w:rsid w:val="00C8271B"/>
    <w:rsid w:val="00C82E5E"/>
    <w:rsid w:val="00C837CA"/>
    <w:rsid w:val="00C846B8"/>
    <w:rsid w:val="00C84DA2"/>
    <w:rsid w:val="00C84E8A"/>
    <w:rsid w:val="00C85174"/>
    <w:rsid w:val="00C8522F"/>
    <w:rsid w:val="00C85721"/>
    <w:rsid w:val="00C857DC"/>
    <w:rsid w:val="00C85C01"/>
    <w:rsid w:val="00C8611A"/>
    <w:rsid w:val="00C868F9"/>
    <w:rsid w:val="00C86C16"/>
    <w:rsid w:val="00C86EA0"/>
    <w:rsid w:val="00C9065F"/>
    <w:rsid w:val="00C90BD7"/>
    <w:rsid w:val="00C90EEB"/>
    <w:rsid w:val="00C9115D"/>
    <w:rsid w:val="00C92E8C"/>
    <w:rsid w:val="00C9317A"/>
    <w:rsid w:val="00C93E70"/>
    <w:rsid w:val="00C93EC7"/>
    <w:rsid w:val="00C943F8"/>
    <w:rsid w:val="00C94416"/>
    <w:rsid w:val="00C94555"/>
    <w:rsid w:val="00C94844"/>
    <w:rsid w:val="00C94BF6"/>
    <w:rsid w:val="00C961BD"/>
    <w:rsid w:val="00C96438"/>
    <w:rsid w:val="00C977F9"/>
    <w:rsid w:val="00CA0878"/>
    <w:rsid w:val="00CA095E"/>
    <w:rsid w:val="00CA0A27"/>
    <w:rsid w:val="00CA0C96"/>
    <w:rsid w:val="00CA1E8C"/>
    <w:rsid w:val="00CA1F33"/>
    <w:rsid w:val="00CA242C"/>
    <w:rsid w:val="00CA259A"/>
    <w:rsid w:val="00CA2D58"/>
    <w:rsid w:val="00CA2E72"/>
    <w:rsid w:val="00CA31C1"/>
    <w:rsid w:val="00CA3486"/>
    <w:rsid w:val="00CA3E48"/>
    <w:rsid w:val="00CA40B1"/>
    <w:rsid w:val="00CA43C6"/>
    <w:rsid w:val="00CA55C3"/>
    <w:rsid w:val="00CA5CE2"/>
    <w:rsid w:val="00CA5D92"/>
    <w:rsid w:val="00CA5F21"/>
    <w:rsid w:val="00CA6221"/>
    <w:rsid w:val="00CA6598"/>
    <w:rsid w:val="00CA65FE"/>
    <w:rsid w:val="00CA6727"/>
    <w:rsid w:val="00CA6DF8"/>
    <w:rsid w:val="00CB0000"/>
    <w:rsid w:val="00CB0CB3"/>
    <w:rsid w:val="00CB126A"/>
    <w:rsid w:val="00CB12B8"/>
    <w:rsid w:val="00CB23C2"/>
    <w:rsid w:val="00CB29C1"/>
    <w:rsid w:val="00CB3767"/>
    <w:rsid w:val="00CB4006"/>
    <w:rsid w:val="00CB4865"/>
    <w:rsid w:val="00CB4B33"/>
    <w:rsid w:val="00CB4D2D"/>
    <w:rsid w:val="00CB4E0A"/>
    <w:rsid w:val="00CB4EB4"/>
    <w:rsid w:val="00CB5C97"/>
    <w:rsid w:val="00CB60BA"/>
    <w:rsid w:val="00CB6217"/>
    <w:rsid w:val="00CB6258"/>
    <w:rsid w:val="00CB6277"/>
    <w:rsid w:val="00CB655D"/>
    <w:rsid w:val="00CB67B8"/>
    <w:rsid w:val="00CB7081"/>
    <w:rsid w:val="00CB7291"/>
    <w:rsid w:val="00CB76C7"/>
    <w:rsid w:val="00CB7AD8"/>
    <w:rsid w:val="00CC0117"/>
    <w:rsid w:val="00CC01EF"/>
    <w:rsid w:val="00CC037C"/>
    <w:rsid w:val="00CC07BC"/>
    <w:rsid w:val="00CC0C35"/>
    <w:rsid w:val="00CC142E"/>
    <w:rsid w:val="00CC1C6C"/>
    <w:rsid w:val="00CC1D34"/>
    <w:rsid w:val="00CC20E5"/>
    <w:rsid w:val="00CC39AF"/>
    <w:rsid w:val="00CC3B65"/>
    <w:rsid w:val="00CC43AC"/>
    <w:rsid w:val="00CC490E"/>
    <w:rsid w:val="00CC51A2"/>
    <w:rsid w:val="00CC5497"/>
    <w:rsid w:val="00CC70C4"/>
    <w:rsid w:val="00CC718B"/>
    <w:rsid w:val="00CC7E1C"/>
    <w:rsid w:val="00CD036B"/>
    <w:rsid w:val="00CD0401"/>
    <w:rsid w:val="00CD0CF7"/>
    <w:rsid w:val="00CD1794"/>
    <w:rsid w:val="00CD1CD1"/>
    <w:rsid w:val="00CD21A4"/>
    <w:rsid w:val="00CD2467"/>
    <w:rsid w:val="00CD249E"/>
    <w:rsid w:val="00CD2A39"/>
    <w:rsid w:val="00CD2EDC"/>
    <w:rsid w:val="00CD3398"/>
    <w:rsid w:val="00CD3AA7"/>
    <w:rsid w:val="00CD3E0C"/>
    <w:rsid w:val="00CD3E97"/>
    <w:rsid w:val="00CD4DAB"/>
    <w:rsid w:val="00CD5572"/>
    <w:rsid w:val="00CD77B6"/>
    <w:rsid w:val="00CD790B"/>
    <w:rsid w:val="00CD7A67"/>
    <w:rsid w:val="00CD7F47"/>
    <w:rsid w:val="00CE05A7"/>
    <w:rsid w:val="00CE1540"/>
    <w:rsid w:val="00CE2449"/>
    <w:rsid w:val="00CE2512"/>
    <w:rsid w:val="00CE38D6"/>
    <w:rsid w:val="00CE43C1"/>
    <w:rsid w:val="00CE4CD1"/>
    <w:rsid w:val="00CE4D13"/>
    <w:rsid w:val="00CE4E4D"/>
    <w:rsid w:val="00CE4E94"/>
    <w:rsid w:val="00CE50DB"/>
    <w:rsid w:val="00CE51B1"/>
    <w:rsid w:val="00CE5575"/>
    <w:rsid w:val="00CE6C94"/>
    <w:rsid w:val="00CE6D0E"/>
    <w:rsid w:val="00CE78F8"/>
    <w:rsid w:val="00CE7922"/>
    <w:rsid w:val="00CF02DF"/>
    <w:rsid w:val="00CF067F"/>
    <w:rsid w:val="00CF0871"/>
    <w:rsid w:val="00CF0CF9"/>
    <w:rsid w:val="00CF1012"/>
    <w:rsid w:val="00CF14DD"/>
    <w:rsid w:val="00CF1917"/>
    <w:rsid w:val="00CF21D2"/>
    <w:rsid w:val="00CF2404"/>
    <w:rsid w:val="00CF2441"/>
    <w:rsid w:val="00CF2574"/>
    <w:rsid w:val="00CF2D4F"/>
    <w:rsid w:val="00CF3D94"/>
    <w:rsid w:val="00CF3E36"/>
    <w:rsid w:val="00CF5111"/>
    <w:rsid w:val="00CF69ED"/>
    <w:rsid w:val="00CF6CBA"/>
    <w:rsid w:val="00CF6D25"/>
    <w:rsid w:val="00CF6D85"/>
    <w:rsid w:val="00CF73E7"/>
    <w:rsid w:val="00CF7431"/>
    <w:rsid w:val="00CF7438"/>
    <w:rsid w:val="00CF7A3B"/>
    <w:rsid w:val="00D004CE"/>
    <w:rsid w:val="00D00883"/>
    <w:rsid w:val="00D00A2A"/>
    <w:rsid w:val="00D00FAA"/>
    <w:rsid w:val="00D0138D"/>
    <w:rsid w:val="00D0155D"/>
    <w:rsid w:val="00D0208B"/>
    <w:rsid w:val="00D02469"/>
    <w:rsid w:val="00D02A6C"/>
    <w:rsid w:val="00D02E7D"/>
    <w:rsid w:val="00D03876"/>
    <w:rsid w:val="00D03BF9"/>
    <w:rsid w:val="00D049C6"/>
    <w:rsid w:val="00D05A21"/>
    <w:rsid w:val="00D05C67"/>
    <w:rsid w:val="00D05EC3"/>
    <w:rsid w:val="00D064A0"/>
    <w:rsid w:val="00D066DF"/>
    <w:rsid w:val="00D0798C"/>
    <w:rsid w:val="00D107C1"/>
    <w:rsid w:val="00D1080F"/>
    <w:rsid w:val="00D10A64"/>
    <w:rsid w:val="00D10BC9"/>
    <w:rsid w:val="00D12860"/>
    <w:rsid w:val="00D141F7"/>
    <w:rsid w:val="00D1473F"/>
    <w:rsid w:val="00D14FFE"/>
    <w:rsid w:val="00D153E3"/>
    <w:rsid w:val="00D15535"/>
    <w:rsid w:val="00D156F4"/>
    <w:rsid w:val="00D1579C"/>
    <w:rsid w:val="00D15887"/>
    <w:rsid w:val="00D15CD1"/>
    <w:rsid w:val="00D1614D"/>
    <w:rsid w:val="00D163B4"/>
    <w:rsid w:val="00D1684E"/>
    <w:rsid w:val="00D16868"/>
    <w:rsid w:val="00D16B4C"/>
    <w:rsid w:val="00D16BB1"/>
    <w:rsid w:val="00D16CD3"/>
    <w:rsid w:val="00D16F03"/>
    <w:rsid w:val="00D170FB"/>
    <w:rsid w:val="00D17F81"/>
    <w:rsid w:val="00D2039B"/>
    <w:rsid w:val="00D20CE5"/>
    <w:rsid w:val="00D216B2"/>
    <w:rsid w:val="00D21CFE"/>
    <w:rsid w:val="00D21F5A"/>
    <w:rsid w:val="00D24025"/>
    <w:rsid w:val="00D2406F"/>
    <w:rsid w:val="00D25593"/>
    <w:rsid w:val="00D255EE"/>
    <w:rsid w:val="00D25CE8"/>
    <w:rsid w:val="00D25D2A"/>
    <w:rsid w:val="00D26554"/>
    <w:rsid w:val="00D26B11"/>
    <w:rsid w:val="00D26B33"/>
    <w:rsid w:val="00D27191"/>
    <w:rsid w:val="00D27425"/>
    <w:rsid w:val="00D275DF"/>
    <w:rsid w:val="00D27966"/>
    <w:rsid w:val="00D27DEE"/>
    <w:rsid w:val="00D30169"/>
    <w:rsid w:val="00D3052B"/>
    <w:rsid w:val="00D3083E"/>
    <w:rsid w:val="00D310DA"/>
    <w:rsid w:val="00D3123C"/>
    <w:rsid w:val="00D314A3"/>
    <w:rsid w:val="00D3165B"/>
    <w:rsid w:val="00D31E3F"/>
    <w:rsid w:val="00D31F04"/>
    <w:rsid w:val="00D321CF"/>
    <w:rsid w:val="00D3288B"/>
    <w:rsid w:val="00D32B72"/>
    <w:rsid w:val="00D3467B"/>
    <w:rsid w:val="00D346C6"/>
    <w:rsid w:val="00D34C3A"/>
    <w:rsid w:val="00D356C7"/>
    <w:rsid w:val="00D35784"/>
    <w:rsid w:val="00D35A28"/>
    <w:rsid w:val="00D35ADD"/>
    <w:rsid w:val="00D35E65"/>
    <w:rsid w:val="00D372B8"/>
    <w:rsid w:val="00D37E91"/>
    <w:rsid w:val="00D40178"/>
    <w:rsid w:val="00D40D4F"/>
    <w:rsid w:val="00D419E7"/>
    <w:rsid w:val="00D41A9F"/>
    <w:rsid w:val="00D421BA"/>
    <w:rsid w:val="00D437E3"/>
    <w:rsid w:val="00D44341"/>
    <w:rsid w:val="00D44ED3"/>
    <w:rsid w:val="00D45984"/>
    <w:rsid w:val="00D45A36"/>
    <w:rsid w:val="00D45D8A"/>
    <w:rsid w:val="00D46953"/>
    <w:rsid w:val="00D469F8"/>
    <w:rsid w:val="00D46CA8"/>
    <w:rsid w:val="00D46FB4"/>
    <w:rsid w:val="00D47584"/>
    <w:rsid w:val="00D4782C"/>
    <w:rsid w:val="00D479CA"/>
    <w:rsid w:val="00D5039D"/>
    <w:rsid w:val="00D5099A"/>
    <w:rsid w:val="00D50C5F"/>
    <w:rsid w:val="00D50DE8"/>
    <w:rsid w:val="00D5106C"/>
    <w:rsid w:val="00D51725"/>
    <w:rsid w:val="00D51763"/>
    <w:rsid w:val="00D51AA9"/>
    <w:rsid w:val="00D51ACD"/>
    <w:rsid w:val="00D51E83"/>
    <w:rsid w:val="00D521E4"/>
    <w:rsid w:val="00D526F2"/>
    <w:rsid w:val="00D52B28"/>
    <w:rsid w:val="00D5301E"/>
    <w:rsid w:val="00D53480"/>
    <w:rsid w:val="00D53511"/>
    <w:rsid w:val="00D54195"/>
    <w:rsid w:val="00D54253"/>
    <w:rsid w:val="00D54425"/>
    <w:rsid w:val="00D54B87"/>
    <w:rsid w:val="00D55ECC"/>
    <w:rsid w:val="00D56131"/>
    <w:rsid w:val="00D564F5"/>
    <w:rsid w:val="00D56F0B"/>
    <w:rsid w:val="00D57349"/>
    <w:rsid w:val="00D57383"/>
    <w:rsid w:val="00D57463"/>
    <w:rsid w:val="00D579A2"/>
    <w:rsid w:val="00D60C18"/>
    <w:rsid w:val="00D60C5B"/>
    <w:rsid w:val="00D611B7"/>
    <w:rsid w:val="00D62071"/>
    <w:rsid w:val="00D62279"/>
    <w:rsid w:val="00D62748"/>
    <w:rsid w:val="00D62AF3"/>
    <w:rsid w:val="00D6367A"/>
    <w:rsid w:val="00D63BD5"/>
    <w:rsid w:val="00D64FEF"/>
    <w:rsid w:val="00D655F5"/>
    <w:rsid w:val="00D6576A"/>
    <w:rsid w:val="00D65924"/>
    <w:rsid w:val="00D65CB8"/>
    <w:rsid w:val="00D66CEA"/>
    <w:rsid w:val="00D66D20"/>
    <w:rsid w:val="00D66D69"/>
    <w:rsid w:val="00D67AB6"/>
    <w:rsid w:val="00D70D6E"/>
    <w:rsid w:val="00D70D95"/>
    <w:rsid w:val="00D70E20"/>
    <w:rsid w:val="00D714D9"/>
    <w:rsid w:val="00D720A6"/>
    <w:rsid w:val="00D72619"/>
    <w:rsid w:val="00D7275E"/>
    <w:rsid w:val="00D74186"/>
    <w:rsid w:val="00D75081"/>
    <w:rsid w:val="00D75FC9"/>
    <w:rsid w:val="00D763D3"/>
    <w:rsid w:val="00D76AC8"/>
    <w:rsid w:val="00D76DF7"/>
    <w:rsid w:val="00D7749C"/>
    <w:rsid w:val="00D77656"/>
    <w:rsid w:val="00D7B8F2"/>
    <w:rsid w:val="00D806DA"/>
    <w:rsid w:val="00D80B82"/>
    <w:rsid w:val="00D80DB8"/>
    <w:rsid w:val="00D80E0B"/>
    <w:rsid w:val="00D81EE6"/>
    <w:rsid w:val="00D822B2"/>
    <w:rsid w:val="00D83085"/>
    <w:rsid w:val="00D83122"/>
    <w:rsid w:val="00D8332B"/>
    <w:rsid w:val="00D84381"/>
    <w:rsid w:val="00D84717"/>
    <w:rsid w:val="00D85EBA"/>
    <w:rsid w:val="00D86FB6"/>
    <w:rsid w:val="00D87639"/>
    <w:rsid w:val="00D901AB"/>
    <w:rsid w:val="00D901E5"/>
    <w:rsid w:val="00D90EE6"/>
    <w:rsid w:val="00D9100A"/>
    <w:rsid w:val="00D912DD"/>
    <w:rsid w:val="00D91A2B"/>
    <w:rsid w:val="00D92521"/>
    <w:rsid w:val="00D932A2"/>
    <w:rsid w:val="00D93513"/>
    <w:rsid w:val="00D9355D"/>
    <w:rsid w:val="00D944D9"/>
    <w:rsid w:val="00D94D40"/>
    <w:rsid w:val="00D955A3"/>
    <w:rsid w:val="00D959EC"/>
    <w:rsid w:val="00D95A8B"/>
    <w:rsid w:val="00D95B0E"/>
    <w:rsid w:val="00D95E77"/>
    <w:rsid w:val="00D96540"/>
    <w:rsid w:val="00D97577"/>
    <w:rsid w:val="00D9771A"/>
    <w:rsid w:val="00D97CA2"/>
    <w:rsid w:val="00DA0396"/>
    <w:rsid w:val="00DA0E40"/>
    <w:rsid w:val="00DA19A9"/>
    <w:rsid w:val="00DA1FF3"/>
    <w:rsid w:val="00DA22A4"/>
    <w:rsid w:val="00DA27CE"/>
    <w:rsid w:val="00DA3640"/>
    <w:rsid w:val="00DA3A02"/>
    <w:rsid w:val="00DA4E16"/>
    <w:rsid w:val="00DA5D91"/>
    <w:rsid w:val="00DA5F7D"/>
    <w:rsid w:val="00DA5F91"/>
    <w:rsid w:val="00DA6137"/>
    <w:rsid w:val="00DA6584"/>
    <w:rsid w:val="00DA6EDD"/>
    <w:rsid w:val="00DA7503"/>
    <w:rsid w:val="00DB0250"/>
    <w:rsid w:val="00DB0658"/>
    <w:rsid w:val="00DB089A"/>
    <w:rsid w:val="00DB0ABB"/>
    <w:rsid w:val="00DB1884"/>
    <w:rsid w:val="00DB1902"/>
    <w:rsid w:val="00DB3270"/>
    <w:rsid w:val="00DB33BC"/>
    <w:rsid w:val="00DB39A3"/>
    <w:rsid w:val="00DB39C8"/>
    <w:rsid w:val="00DB4824"/>
    <w:rsid w:val="00DB4B04"/>
    <w:rsid w:val="00DB4F19"/>
    <w:rsid w:val="00DB5916"/>
    <w:rsid w:val="00DB5C42"/>
    <w:rsid w:val="00DB5EA0"/>
    <w:rsid w:val="00DB5FB9"/>
    <w:rsid w:val="00DB6372"/>
    <w:rsid w:val="00DB63A0"/>
    <w:rsid w:val="00DB7AA9"/>
    <w:rsid w:val="00DC078B"/>
    <w:rsid w:val="00DC087D"/>
    <w:rsid w:val="00DC13F3"/>
    <w:rsid w:val="00DC201A"/>
    <w:rsid w:val="00DC2AE6"/>
    <w:rsid w:val="00DC3417"/>
    <w:rsid w:val="00DC3715"/>
    <w:rsid w:val="00DC44BA"/>
    <w:rsid w:val="00DC4BEB"/>
    <w:rsid w:val="00DC4ECB"/>
    <w:rsid w:val="00DC5766"/>
    <w:rsid w:val="00DC5F91"/>
    <w:rsid w:val="00DC6870"/>
    <w:rsid w:val="00DC6963"/>
    <w:rsid w:val="00DC6B04"/>
    <w:rsid w:val="00DD0A3A"/>
    <w:rsid w:val="00DD0F35"/>
    <w:rsid w:val="00DD11B3"/>
    <w:rsid w:val="00DD12AF"/>
    <w:rsid w:val="00DD19AB"/>
    <w:rsid w:val="00DD2291"/>
    <w:rsid w:val="00DD2A3E"/>
    <w:rsid w:val="00DD4790"/>
    <w:rsid w:val="00DD48DE"/>
    <w:rsid w:val="00DD4A93"/>
    <w:rsid w:val="00DD4D0B"/>
    <w:rsid w:val="00DD4DF1"/>
    <w:rsid w:val="00DD56B5"/>
    <w:rsid w:val="00DD64DF"/>
    <w:rsid w:val="00DD6C59"/>
    <w:rsid w:val="00DD7346"/>
    <w:rsid w:val="00DE0208"/>
    <w:rsid w:val="00DE0FF5"/>
    <w:rsid w:val="00DE132E"/>
    <w:rsid w:val="00DE143F"/>
    <w:rsid w:val="00DE1D6E"/>
    <w:rsid w:val="00DE2BAD"/>
    <w:rsid w:val="00DE346E"/>
    <w:rsid w:val="00DE3852"/>
    <w:rsid w:val="00DE402F"/>
    <w:rsid w:val="00DE477E"/>
    <w:rsid w:val="00DE49DF"/>
    <w:rsid w:val="00DE4B18"/>
    <w:rsid w:val="00DE4C97"/>
    <w:rsid w:val="00DE4DC5"/>
    <w:rsid w:val="00DE569C"/>
    <w:rsid w:val="00DE6BC2"/>
    <w:rsid w:val="00DE6EE6"/>
    <w:rsid w:val="00DF0C44"/>
    <w:rsid w:val="00DF2223"/>
    <w:rsid w:val="00DF23A9"/>
    <w:rsid w:val="00DF25B4"/>
    <w:rsid w:val="00DF2D15"/>
    <w:rsid w:val="00DF30D5"/>
    <w:rsid w:val="00DF3103"/>
    <w:rsid w:val="00DF3763"/>
    <w:rsid w:val="00DF3B49"/>
    <w:rsid w:val="00DF42A0"/>
    <w:rsid w:val="00DF4489"/>
    <w:rsid w:val="00DF4497"/>
    <w:rsid w:val="00DF45A6"/>
    <w:rsid w:val="00DF4B85"/>
    <w:rsid w:val="00DF573C"/>
    <w:rsid w:val="00DF58AB"/>
    <w:rsid w:val="00DF5F3C"/>
    <w:rsid w:val="00DF5F64"/>
    <w:rsid w:val="00DF634C"/>
    <w:rsid w:val="00DF6778"/>
    <w:rsid w:val="00DF699E"/>
    <w:rsid w:val="00DF6CC8"/>
    <w:rsid w:val="00DF7479"/>
    <w:rsid w:val="00DF7733"/>
    <w:rsid w:val="00DF7892"/>
    <w:rsid w:val="00E000AC"/>
    <w:rsid w:val="00E00998"/>
    <w:rsid w:val="00E012DF"/>
    <w:rsid w:val="00E0144C"/>
    <w:rsid w:val="00E0165C"/>
    <w:rsid w:val="00E01837"/>
    <w:rsid w:val="00E02463"/>
    <w:rsid w:val="00E02E13"/>
    <w:rsid w:val="00E04A62"/>
    <w:rsid w:val="00E04BF0"/>
    <w:rsid w:val="00E05BE4"/>
    <w:rsid w:val="00E05CCD"/>
    <w:rsid w:val="00E05ED6"/>
    <w:rsid w:val="00E0678E"/>
    <w:rsid w:val="00E06E21"/>
    <w:rsid w:val="00E06FBA"/>
    <w:rsid w:val="00E07AC2"/>
    <w:rsid w:val="00E07D23"/>
    <w:rsid w:val="00E07D6B"/>
    <w:rsid w:val="00E07E7E"/>
    <w:rsid w:val="00E07FCB"/>
    <w:rsid w:val="00E100C1"/>
    <w:rsid w:val="00E10C47"/>
    <w:rsid w:val="00E11706"/>
    <w:rsid w:val="00E11797"/>
    <w:rsid w:val="00E11945"/>
    <w:rsid w:val="00E11CD1"/>
    <w:rsid w:val="00E11E42"/>
    <w:rsid w:val="00E12614"/>
    <w:rsid w:val="00E13EBE"/>
    <w:rsid w:val="00E14177"/>
    <w:rsid w:val="00E148ED"/>
    <w:rsid w:val="00E14F2E"/>
    <w:rsid w:val="00E150FB"/>
    <w:rsid w:val="00E152FA"/>
    <w:rsid w:val="00E1575B"/>
    <w:rsid w:val="00E15AC2"/>
    <w:rsid w:val="00E16155"/>
    <w:rsid w:val="00E1648A"/>
    <w:rsid w:val="00E16C29"/>
    <w:rsid w:val="00E16F24"/>
    <w:rsid w:val="00E176AD"/>
    <w:rsid w:val="00E176BA"/>
    <w:rsid w:val="00E17723"/>
    <w:rsid w:val="00E178C5"/>
    <w:rsid w:val="00E17DF0"/>
    <w:rsid w:val="00E201AC"/>
    <w:rsid w:val="00E20446"/>
    <w:rsid w:val="00E20727"/>
    <w:rsid w:val="00E20B55"/>
    <w:rsid w:val="00E20EA9"/>
    <w:rsid w:val="00E21539"/>
    <w:rsid w:val="00E2164C"/>
    <w:rsid w:val="00E21A87"/>
    <w:rsid w:val="00E21B82"/>
    <w:rsid w:val="00E21D90"/>
    <w:rsid w:val="00E225BA"/>
    <w:rsid w:val="00E23519"/>
    <w:rsid w:val="00E235AA"/>
    <w:rsid w:val="00E23B96"/>
    <w:rsid w:val="00E23BBC"/>
    <w:rsid w:val="00E2416E"/>
    <w:rsid w:val="00E2560A"/>
    <w:rsid w:val="00E260C3"/>
    <w:rsid w:val="00E2611C"/>
    <w:rsid w:val="00E26613"/>
    <w:rsid w:val="00E2671F"/>
    <w:rsid w:val="00E26A8B"/>
    <w:rsid w:val="00E303EE"/>
    <w:rsid w:val="00E30AA4"/>
    <w:rsid w:val="00E31109"/>
    <w:rsid w:val="00E313AA"/>
    <w:rsid w:val="00E3182B"/>
    <w:rsid w:val="00E325AC"/>
    <w:rsid w:val="00E32BCC"/>
    <w:rsid w:val="00E34E15"/>
    <w:rsid w:val="00E359DC"/>
    <w:rsid w:val="00E36601"/>
    <w:rsid w:val="00E36607"/>
    <w:rsid w:val="00E37800"/>
    <w:rsid w:val="00E4040A"/>
    <w:rsid w:val="00E40D45"/>
    <w:rsid w:val="00E411C6"/>
    <w:rsid w:val="00E41228"/>
    <w:rsid w:val="00E41F74"/>
    <w:rsid w:val="00E42DE3"/>
    <w:rsid w:val="00E447E5"/>
    <w:rsid w:val="00E4495B"/>
    <w:rsid w:val="00E44AE5"/>
    <w:rsid w:val="00E44C31"/>
    <w:rsid w:val="00E45A54"/>
    <w:rsid w:val="00E4602C"/>
    <w:rsid w:val="00E4655A"/>
    <w:rsid w:val="00E4661D"/>
    <w:rsid w:val="00E46A39"/>
    <w:rsid w:val="00E46DCF"/>
    <w:rsid w:val="00E47A91"/>
    <w:rsid w:val="00E47C56"/>
    <w:rsid w:val="00E47DD4"/>
    <w:rsid w:val="00E50192"/>
    <w:rsid w:val="00E50F6A"/>
    <w:rsid w:val="00E51258"/>
    <w:rsid w:val="00E51BC0"/>
    <w:rsid w:val="00E527FA"/>
    <w:rsid w:val="00E528E4"/>
    <w:rsid w:val="00E52AF5"/>
    <w:rsid w:val="00E52D2E"/>
    <w:rsid w:val="00E52FC2"/>
    <w:rsid w:val="00E53D51"/>
    <w:rsid w:val="00E5451A"/>
    <w:rsid w:val="00E54752"/>
    <w:rsid w:val="00E5490F"/>
    <w:rsid w:val="00E55465"/>
    <w:rsid w:val="00E55874"/>
    <w:rsid w:val="00E572AE"/>
    <w:rsid w:val="00E57696"/>
    <w:rsid w:val="00E57F7B"/>
    <w:rsid w:val="00E600E0"/>
    <w:rsid w:val="00E6173A"/>
    <w:rsid w:val="00E61748"/>
    <w:rsid w:val="00E61E05"/>
    <w:rsid w:val="00E623EC"/>
    <w:rsid w:val="00E628DF"/>
    <w:rsid w:val="00E63154"/>
    <w:rsid w:val="00E6362F"/>
    <w:rsid w:val="00E63813"/>
    <w:rsid w:val="00E63870"/>
    <w:rsid w:val="00E64088"/>
    <w:rsid w:val="00E64DD9"/>
    <w:rsid w:val="00E65527"/>
    <w:rsid w:val="00E65EF6"/>
    <w:rsid w:val="00E66039"/>
    <w:rsid w:val="00E665D6"/>
    <w:rsid w:val="00E66A11"/>
    <w:rsid w:val="00E66C0C"/>
    <w:rsid w:val="00E66D02"/>
    <w:rsid w:val="00E66D1C"/>
    <w:rsid w:val="00E66DB1"/>
    <w:rsid w:val="00E6771C"/>
    <w:rsid w:val="00E67729"/>
    <w:rsid w:val="00E67B6E"/>
    <w:rsid w:val="00E70C41"/>
    <w:rsid w:val="00E70D5C"/>
    <w:rsid w:val="00E71011"/>
    <w:rsid w:val="00E71127"/>
    <w:rsid w:val="00E7209B"/>
    <w:rsid w:val="00E72158"/>
    <w:rsid w:val="00E722A7"/>
    <w:rsid w:val="00E73A8A"/>
    <w:rsid w:val="00E73B8D"/>
    <w:rsid w:val="00E74816"/>
    <w:rsid w:val="00E74A7E"/>
    <w:rsid w:val="00E751DF"/>
    <w:rsid w:val="00E769AB"/>
    <w:rsid w:val="00E76BB1"/>
    <w:rsid w:val="00E7726C"/>
    <w:rsid w:val="00E774C2"/>
    <w:rsid w:val="00E775A0"/>
    <w:rsid w:val="00E77A20"/>
    <w:rsid w:val="00E77A62"/>
    <w:rsid w:val="00E805BF"/>
    <w:rsid w:val="00E80772"/>
    <w:rsid w:val="00E8279D"/>
    <w:rsid w:val="00E827CD"/>
    <w:rsid w:val="00E82AAA"/>
    <w:rsid w:val="00E82E0B"/>
    <w:rsid w:val="00E83C44"/>
    <w:rsid w:val="00E83F6D"/>
    <w:rsid w:val="00E84247"/>
    <w:rsid w:val="00E84298"/>
    <w:rsid w:val="00E846F9"/>
    <w:rsid w:val="00E84DBE"/>
    <w:rsid w:val="00E84F69"/>
    <w:rsid w:val="00E86321"/>
    <w:rsid w:val="00E864ED"/>
    <w:rsid w:val="00E86AE2"/>
    <w:rsid w:val="00E86F00"/>
    <w:rsid w:val="00E871A8"/>
    <w:rsid w:val="00E87324"/>
    <w:rsid w:val="00E87A16"/>
    <w:rsid w:val="00E9033B"/>
    <w:rsid w:val="00E90458"/>
    <w:rsid w:val="00E9085B"/>
    <w:rsid w:val="00E91CBF"/>
    <w:rsid w:val="00E920B0"/>
    <w:rsid w:val="00E9223D"/>
    <w:rsid w:val="00E92919"/>
    <w:rsid w:val="00E93FE4"/>
    <w:rsid w:val="00E94047"/>
    <w:rsid w:val="00E94183"/>
    <w:rsid w:val="00E94BAE"/>
    <w:rsid w:val="00E94CAA"/>
    <w:rsid w:val="00E9571C"/>
    <w:rsid w:val="00E95B74"/>
    <w:rsid w:val="00E95BFC"/>
    <w:rsid w:val="00E96ED9"/>
    <w:rsid w:val="00E9781A"/>
    <w:rsid w:val="00E97FB7"/>
    <w:rsid w:val="00EA1777"/>
    <w:rsid w:val="00EA2099"/>
    <w:rsid w:val="00EA3178"/>
    <w:rsid w:val="00EA3201"/>
    <w:rsid w:val="00EA3397"/>
    <w:rsid w:val="00EA424C"/>
    <w:rsid w:val="00EA4904"/>
    <w:rsid w:val="00EA50A0"/>
    <w:rsid w:val="00EA596B"/>
    <w:rsid w:val="00EA6A61"/>
    <w:rsid w:val="00EA7729"/>
    <w:rsid w:val="00EA7AFB"/>
    <w:rsid w:val="00EA7FA6"/>
    <w:rsid w:val="00EB0538"/>
    <w:rsid w:val="00EB0926"/>
    <w:rsid w:val="00EB0A97"/>
    <w:rsid w:val="00EB0DFF"/>
    <w:rsid w:val="00EB0E3A"/>
    <w:rsid w:val="00EB17BB"/>
    <w:rsid w:val="00EB17DD"/>
    <w:rsid w:val="00EB1A85"/>
    <w:rsid w:val="00EB1FF7"/>
    <w:rsid w:val="00EB20B7"/>
    <w:rsid w:val="00EB2223"/>
    <w:rsid w:val="00EB26DC"/>
    <w:rsid w:val="00EB466D"/>
    <w:rsid w:val="00EB480B"/>
    <w:rsid w:val="00EB49BF"/>
    <w:rsid w:val="00EB4C62"/>
    <w:rsid w:val="00EB5365"/>
    <w:rsid w:val="00EB5413"/>
    <w:rsid w:val="00EB5F20"/>
    <w:rsid w:val="00EB625A"/>
    <w:rsid w:val="00EB648B"/>
    <w:rsid w:val="00EB64DA"/>
    <w:rsid w:val="00EB6DFA"/>
    <w:rsid w:val="00EB7285"/>
    <w:rsid w:val="00EB7A32"/>
    <w:rsid w:val="00EB7E10"/>
    <w:rsid w:val="00EC03A2"/>
    <w:rsid w:val="00EC046F"/>
    <w:rsid w:val="00EC0612"/>
    <w:rsid w:val="00EC0AA5"/>
    <w:rsid w:val="00EC0BE4"/>
    <w:rsid w:val="00EC0C75"/>
    <w:rsid w:val="00EC0D2B"/>
    <w:rsid w:val="00EC1774"/>
    <w:rsid w:val="00EC1816"/>
    <w:rsid w:val="00EC18DF"/>
    <w:rsid w:val="00EC4441"/>
    <w:rsid w:val="00EC54E6"/>
    <w:rsid w:val="00EC5A53"/>
    <w:rsid w:val="00EC5F17"/>
    <w:rsid w:val="00EC6136"/>
    <w:rsid w:val="00EC6210"/>
    <w:rsid w:val="00EC65D5"/>
    <w:rsid w:val="00EC7C10"/>
    <w:rsid w:val="00ED0A1F"/>
    <w:rsid w:val="00ED120B"/>
    <w:rsid w:val="00ED158D"/>
    <w:rsid w:val="00ED2593"/>
    <w:rsid w:val="00ED2E8E"/>
    <w:rsid w:val="00ED30C8"/>
    <w:rsid w:val="00ED32D8"/>
    <w:rsid w:val="00ED3785"/>
    <w:rsid w:val="00ED3A07"/>
    <w:rsid w:val="00ED4341"/>
    <w:rsid w:val="00ED4A40"/>
    <w:rsid w:val="00ED4D3E"/>
    <w:rsid w:val="00ED4E4F"/>
    <w:rsid w:val="00ED5F75"/>
    <w:rsid w:val="00ED601A"/>
    <w:rsid w:val="00EE031D"/>
    <w:rsid w:val="00EE0E92"/>
    <w:rsid w:val="00EE19AC"/>
    <w:rsid w:val="00EE1D1D"/>
    <w:rsid w:val="00EE342B"/>
    <w:rsid w:val="00EE3BB4"/>
    <w:rsid w:val="00EE7395"/>
    <w:rsid w:val="00EE739B"/>
    <w:rsid w:val="00EE7A2C"/>
    <w:rsid w:val="00EF0AD3"/>
    <w:rsid w:val="00EF0B19"/>
    <w:rsid w:val="00EF0DBF"/>
    <w:rsid w:val="00EF0F87"/>
    <w:rsid w:val="00EF11FE"/>
    <w:rsid w:val="00EF1408"/>
    <w:rsid w:val="00EF1439"/>
    <w:rsid w:val="00EF146A"/>
    <w:rsid w:val="00EF3D4B"/>
    <w:rsid w:val="00EF4136"/>
    <w:rsid w:val="00EF417F"/>
    <w:rsid w:val="00EF4193"/>
    <w:rsid w:val="00EF47E6"/>
    <w:rsid w:val="00EF49CD"/>
    <w:rsid w:val="00EF4C46"/>
    <w:rsid w:val="00EF4F7C"/>
    <w:rsid w:val="00EF52AF"/>
    <w:rsid w:val="00EF5947"/>
    <w:rsid w:val="00EF6506"/>
    <w:rsid w:val="00EF6809"/>
    <w:rsid w:val="00EF6835"/>
    <w:rsid w:val="00EF7184"/>
    <w:rsid w:val="00EF7497"/>
    <w:rsid w:val="00EF7B32"/>
    <w:rsid w:val="00EF7BC7"/>
    <w:rsid w:val="00F0058B"/>
    <w:rsid w:val="00F00E1A"/>
    <w:rsid w:val="00F00ECE"/>
    <w:rsid w:val="00F00FD7"/>
    <w:rsid w:val="00F01343"/>
    <w:rsid w:val="00F013F4"/>
    <w:rsid w:val="00F01A94"/>
    <w:rsid w:val="00F01FC6"/>
    <w:rsid w:val="00F0257B"/>
    <w:rsid w:val="00F02659"/>
    <w:rsid w:val="00F03A5A"/>
    <w:rsid w:val="00F03B24"/>
    <w:rsid w:val="00F03FEA"/>
    <w:rsid w:val="00F04B23"/>
    <w:rsid w:val="00F04B84"/>
    <w:rsid w:val="00F05E62"/>
    <w:rsid w:val="00F06AC8"/>
    <w:rsid w:val="00F06D7A"/>
    <w:rsid w:val="00F071BE"/>
    <w:rsid w:val="00F10093"/>
    <w:rsid w:val="00F10437"/>
    <w:rsid w:val="00F10638"/>
    <w:rsid w:val="00F10E67"/>
    <w:rsid w:val="00F10E68"/>
    <w:rsid w:val="00F113B1"/>
    <w:rsid w:val="00F1162B"/>
    <w:rsid w:val="00F11B9A"/>
    <w:rsid w:val="00F11C28"/>
    <w:rsid w:val="00F12950"/>
    <w:rsid w:val="00F129E3"/>
    <w:rsid w:val="00F12D6B"/>
    <w:rsid w:val="00F130A3"/>
    <w:rsid w:val="00F13910"/>
    <w:rsid w:val="00F13DCE"/>
    <w:rsid w:val="00F152C5"/>
    <w:rsid w:val="00F15539"/>
    <w:rsid w:val="00F155EF"/>
    <w:rsid w:val="00F15C2E"/>
    <w:rsid w:val="00F161EC"/>
    <w:rsid w:val="00F179B9"/>
    <w:rsid w:val="00F17EC9"/>
    <w:rsid w:val="00F2027B"/>
    <w:rsid w:val="00F2086C"/>
    <w:rsid w:val="00F20A35"/>
    <w:rsid w:val="00F20DBC"/>
    <w:rsid w:val="00F21AA9"/>
    <w:rsid w:val="00F22080"/>
    <w:rsid w:val="00F22A99"/>
    <w:rsid w:val="00F22FED"/>
    <w:rsid w:val="00F23E85"/>
    <w:rsid w:val="00F24455"/>
    <w:rsid w:val="00F24FD1"/>
    <w:rsid w:val="00F251EC"/>
    <w:rsid w:val="00F262AB"/>
    <w:rsid w:val="00F2644E"/>
    <w:rsid w:val="00F26606"/>
    <w:rsid w:val="00F26DA8"/>
    <w:rsid w:val="00F2720D"/>
    <w:rsid w:val="00F2749B"/>
    <w:rsid w:val="00F309F3"/>
    <w:rsid w:val="00F31200"/>
    <w:rsid w:val="00F31B0D"/>
    <w:rsid w:val="00F325F5"/>
    <w:rsid w:val="00F32DC3"/>
    <w:rsid w:val="00F33A73"/>
    <w:rsid w:val="00F33E1F"/>
    <w:rsid w:val="00F34045"/>
    <w:rsid w:val="00F34249"/>
    <w:rsid w:val="00F3444F"/>
    <w:rsid w:val="00F352A4"/>
    <w:rsid w:val="00F36157"/>
    <w:rsid w:val="00F37220"/>
    <w:rsid w:val="00F3767F"/>
    <w:rsid w:val="00F37A67"/>
    <w:rsid w:val="00F401A3"/>
    <w:rsid w:val="00F40258"/>
    <w:rsid w:val="00F40597"/>
    <w:rsid w:val="00F40E43"/>
    <w:rsid w:val="00F414B8"/>
    <w:rsid w:val="00F4233F"/>
    <w:rsid w:val="00F432B1"/>
    <w:rsid w:val="00F44542"/>
    <w:rsid w:val="00F44784"/>
    <w:rsid w:val="00F44E0A"/>
    <w:rsid w:val="00F45872"/>
    <w:rsid w:val="00F459DE"/>
    <w:rsid w:val="00F45BC9"/>
    <w:rsid w:val="00F45E87"/>
    <w:rsid w:val="00F46425"/>
    <w:rsid w:val="00F4699E"/>
    <w:rsid w:val="00F47033"/>
    <w:rsid w:val="00F47E89"/>
    <w:rsid w:val="00F50449"/>
    <w:rsid w:val="00F505CA"/>
    <w:rsid w:val="00F50D1D"/>
    <w:rsid w:val="00F50EC4"/>
    <w:rsid w:val="00F51917"/>
    <w:rsid w:val="00F51CD7"/>
    <w:rsid w:val="00F5362D"/>
    <w:rsid w:val="00F53D34"/>
    <w:rsid w:val="00F54DC1"/>
    <w:rsid w:val="00F551F5"/>
    <w:rsid w:val="00F553CF"/>
    <w:rsid w:val="00F55A08"/>
    <w:rsid w:val="00F56D1A"/>
    <w:rsid w:val="00F5743D"/>
    <w:rsid w:val="00F57497"/>
    <w:rsid w:val="00F57719"/>
    <w:rsid w:val="00F60621"/>
    <w:rsid w:val="00F6126D"/>
    <w:rsid w:val="00F61C16"/>
    <w:rsid w:val="00F6339D"/>
    <w:rsid w:val="00F634B7"/>
    <w:rsid w:val="00F6397F"/>
    <w:rsid w:val="00F63C97"/>
    <w:rsid w:val="00F6440F"/>
    <w:rsid w:val="00F6521F"/>
    <w:rsid w:val="00F654F2"/>
    <w:rsid w:val="00F65987"/>
    <w:rsid w:val="00F662E9"/>
    <w:rsid w:val="00F70413"/>
    <w:rsid w:val="00F70646"/>
    <w:rsid w:val="00F7119A"/>
    <w:rsid w:val="00F71B5A"/>
    <w:rsid w:val="00F72125"/>
    <w:rsid w:val="00F72702"/>
    <w:rsid w:val="00F72764"/>
    <w:rsid w:val="00F7282B"/>
    <w:rsid w:val="00F72D3D"/>
    <w:rsid w:val="00F734DC"/>
    <w:rsid w:val="00F74608"/>
    <w:rsid w:val="00F74667"/>
    <w:rsid w:val="00F749CD"/>
    <w:rsid w:val="00F75172"/>
    <w:rsid w:val="00F7536D"/>
    <w:rsid w:val="00F76095"/>
    <w:rsid w:val="00F7709C"/>
    <w:rsid w:val="00F77AC2"/>
    <w:rsid w:val="00F80456"/>
    <w:rsid w:val="00F80D30"/>
    <w:rsid w:val="00F813EB"/>
    <w:rsid w:val="00F81FED"/>
    <w:rsid w:val="00F825FE"/>
    <w:rsid w:val="00F82DEA"/>
    <w:rsid w:val="00F82E7C"/>
    <w:rsid w:val="00F835C6"/>
    <w:rsid w:val="00F83A30"/>
    <w:rsid w:val="00F83DE5"/>
    <w:rsid w:val="00F849A0"/>
    <w:rsid w:val="00F84AD9"/>
    <w:rsid w:val="00F8514F"/>
    <w:rsid w:val="00F85246"/>
    <w:rsid w:val="00F852E3"/>
    <w:rsid w:val="00F8534B"/>
    <w:rsid w:val="00F85553"/>
    <w:rsid w:val="00F861A7"/>
    <w:rsid w:val="00F86276"/>
    <w:rsid w:val="00F8672A"/>
    <w:rsid w:val="00F86B36"/>
    <w:rsid w:val="00F87BB7"/>
    <w:rsid w:val="00F90194"/>
    <w:rsid w:val="00F9034B"/>
    <w:rsid w:val="00F91A98"/>
    <w:rsid w:val="00F920C7"/>
    <w:rsid w:val="00F924C2"/>
    <w:rsid w:val="00F92926"/>
    <w:rsid w:val="00F9395D"/>
    <w:rsid w:val="00F945EE"/>
    <w:rsid w:val="00F94C41"/>
    <w:rsid w:val="00F959AB"/>
    <w:rsid w:val="00F95CE6"/>
    <w:rsid w:val="00F967DF"/>
    <w:rsid w:val="00F96C16"/>
    <w:rsid w:val="00F96E0B"/>
    <w:rsid w:val="00FA03F0"/>
    <w:rsid w:val="00FA2136"/>
    <w:rsid w:val="00FA25BD"/>
    <w:rsid w:val="00FA2D2F"/>
    <w:rsid w:val="00FA2DE8"/>
    <w:rsid w:val="00FA2EE8"/>
    <w:rsid w:val="00FA3125"/>
    <w:rsid w:val="00FA36F8"/>
    <w:rsid w:val="00FA378D"/>
    <w:rsid w:val="00FA3DAF"/>
    <w:rsid w:val="00FA496D"/>
    <w:rsid w:val="00FA5459"/>
    <w:rsid w:val="00FA5DF2"/>
    <w:rsid w:val="00FA613B"/>
    <w:rsid w:val="00FA61B5"/>
    <w:rsid w:val="00FA640D"/>
    <w:rsid w:val="00FA6501"/>
    <w:rsid w:val="00FA676C"/>
    <w:rsid w:val="00FA6971"/>
    <w:rsid w:val="00FA6E36"/>
    <w:rsid w:val="00FB00C9"/>
    <w:rsid w:val="00FB04DD"/>
    <w:rsid w:val="00FB1945"/>
    <w:rsid w:val="00FB1CC8"/>
    <w:rsid w:val="00FB247F"/>
    <w:rsid w:val="00FB2481"/>
    <w:rsid w:val="00FB2792"/>
    <w:rsid w:val="00FB2A04"/>
    <w:rsid w:val="00FB3971"/>
    <w:rsid w:val="00FB39AD"/>
    <w:rsid w:val="00FB3A37"/>
    <w:rsid w:val="00FB3BC8"/>
    <w:rsid w:val="00FB3DB3"/>
    <w:rsid w:val="00FB4035"/>
    <w:rsid w:val="00FB4EEE"/>
    <w:rsid w:val="00FB658D"/>
    <w:rsid w:val="00FB7808"/>
    <w:rsid w:val="00FB7A3E"/>
    <w:rsid w:val="00FB7D67"/>
    <w:rsid w:val="00FB7DB1"/>
    <w:rsid w:val="00FC0445"/>
    <w:rsid w:val="00FC0563"/>
    <w:rsid w:val="00FC05DD"/>
    <w:rsid w:val="00FC06DC"/>
    <w:rsid w:val="00FC0A49"/>
    <w:rsid w:val="00FC0E0B"/>
    <w:rsid w:val="00FC0E13"/>
    <w:rsid w:val="00FC14C9"/>
    <w:rsid w:val="00FC18BE"/>
    <w:rsid w:val="00FC1E3D"/>
    <w:rsid w:val="00FC1FF6"/>
    <w:rsid w:val="00FC2C8F"/>
    <w:rsid w:val="00FC32A7"/>
    <w:rsid w:val="00FC388B"/>
    <w:rsid w:val="00FC3925"/>
    <w:rsid w:val="00FC3C2D"/>
    <w:rsid w:val="00FC4247"/>
    <w:rsid w:val="00FC4659"/>
    <w:rsid w:val="00FC4AEA"/>
    <w:rsid w:val="00FC4F08"/>
    <w:rsid w:val="00FC574A"/>
    <w:rsid w:val="00FC6266"/>
    <w:rsid w:val="00FC6A90"/>
    <w:rsid w:val="00FC6EC5"/>
    <w:rsid w:val="00FC7C59"/>
    <w:rsid w:val="00FC7F34"/>
    <w:rsid w:val="00FD0525"/>
    <w:rsid w:val="00FD0B30"/>
    <w:rsid w:val="00FD0E3D"/>
    <w:rsid w:val="00FD15A6"/>
    <w:rsid w:val="00FD1C46"/>
    <w:rsid w:val="00FD2889"/>
    <w:rsid w:val="00FD2B07"/>
    <w:rsid w:val="00FD34CB"/>
    <w:rsid w:val="00FD3AC0"/>
    <w:rsid w:val="00FD3EE6"/>
    <w:rsid w:val="00FD3F57"/>
    <w:rsid w:val="00FD3FEE"/>
    <w:rsid w:val="00FD4F28"/>
    <w:rsid w:val="00FD5250"/>
    <w:rsid w:val="00FD5558"/>
    <w:rsid w:val="00FD5852"/>
    <w:rsid w:val="00FD5C75"/>
    <w:rsid w:val="00FD6271"/>
    <w:rsid w:val="00FD6495"/>
    <w:rsid w:val="00FD6B48"/>
    <w:rsid w:val="00FD6DB0"/>
    <w:rsid w:val="00FD729B"/>
    <w:rsid w:val="00FD775C"/>
    <w:rsid w:val="00FD7802"/>
    <w:rsid w:val="00FE010C"/>
    <w:rsid w:val="00FE05EE"/>
    <w:rsid w:val="00FE079B"/>
    <w:rsid w:val="00FE1B29"/>
    <w:rsid w:val="00FE26CE"/>
    <w:rsid w:val="00FE285B"/>
    <w:rsid w:val="00FE28F5"/>
    <w:rsid w:val="00FE491E"/>
    <w:rsid w:val="00FE4E1B"/>
    <w:rsid w:val="00FE4EC4"/>
    <w:rsid w:val="00FE4F3B"/>
    <w:rsid w:val="00FE53CC"/>
    <w:rsid w:val="00FE54F5"/>
    <w:rsid w:val="00FE56CC"/>
    <w:rsid w:val="00FE5B68"/>
    <w:rsid w:val="00FE5F6A"/>
    <w:rsid w:val="00FE6793"/>
    <w:rsid w:val="00FE6FE1"/>
    <w:rsid w:val="00FE7038"/>
    <w:rsid w:val="00FE71E5"/>
    <w:rsid w:val="00FE74B9"/>
    <w:rsid w:val="00FE7B92"/>
    <w:rsid w:val="00FE7BC1"/>
    <w:rsid w:val="00FF082F"/>
    <w:rsid w:val="00FF08F2"/>
    <w:rsid w:val="00FF11C9"/>
    <w:rsid w:val="00FF1247"/>
    <w:rsid w:val="00FF1EB9"/>
    <w:rsid w:val="00FF2138"/>
    <w:rsid w:val="00FF2E4B"/>
    <w:rsid w:val="00FF33FB"/>
    <w:rsid w:val="00FF3E2D"/>
    <w:rsid w:val="00FF42A6"/>
    <w:rsid w:val="00FF42FE"/>
    <w:rsid w:val="00FF448A"/>
    <w:rsid w:val="00FF450E"/>
    <w:rsid w:val="00FF4AAF"/>
    <w:rsid w:val="00FF4B4E"/>
    <w:rsid w:val="00FF5E55"/>
    <w:rsid w:val="00FF5FB0"/>
    <w:rsid w:val="00FF608A"/>
    <w:rsid w:val="00FF6641"/>
    <w:rsid w:val="00FF6756"/>
    <w:rsid w:val="00FF6851"/>
    <w:rsid w:val="00FF6C07"/>
    <w:rsid w:val="00FF71F3"/>
    <w:rsid w:val="00FF7BF6"/>
    <w:rsid w:val="0290154C"/>
    <w:rsid w:val="04A906B4"/>
    <w:rsid w:val="05F91446"/>
    <w:rsid w:val="0EDC2C95"/>
    <w:rsid w:val="1260E6D5"/>
    <w:rsid w:val="140F2240"/>
    <w:rsid w:val="18902856"/>
    <w:rsid w:val="1A121B9C"/>
    <w:rsid w:val="1D0B9A03"/>
    <w:rsid w:val="1F750867"/>
    <w:rsid w:val="202C1269"/>
    <w:rsid w:val="207D1544"/>
    <w:rsid w:val="22A8C429"/>
    <w:rsid w:val="22FC6639"/>
    <w:rsid w:val="24F1CDDF"/>
    <w:rsid w:val="27E07BB6"/>
    <w:rsid w:val="27E444E1"/>
    <w:rsid w:val="2834B443"/>
    <w:rsid w:val="292622E1"/>
    <w:rsid w:val="2B313B09"/>
    <w:rsid w:val="3417276D"/>
    <w:rsid w:val="390B4F0F"/>
    <w:rsid w:val="3AEC054C"/>
    <w:rsid w:val="3B4E5382"/>
    <w:rsid w:val="3D42C2AF"/>
    <w:rsid w:val="400767D1"/>
    <w:rsid w:val="44E31085"/>
    <w:rsid w:val="46B3F09F"/>
    <w:rsid w:val="47085CF8"/>
    <w:rsid w:val="47CA0202"/>
    <w:rsid w:val="49210C5E"/>
    <w:rsid w:val="54281F52"/>
    <w:rsid w:val="58D3E8BF"/>
    <w:rsid w:val="5A229807"/>
    <w:rsid w:val="5A336DB4"/>
    <w:rsid w:val="5C508B03"/>
    <w:rsid w:val="5E8CED23"/>
    <w:rsid w:val="62080970"/>
    <w:rsid w:val="63312AEE"/>
    <w:rsid w:val="63B97921"/>
    <w:rsid w:val="67EA6DB2"/>
    <w:rsid w:val="6849B8D5"/>
    <w:rsid w:val="6B815997"/>
    <w:rsid w:val="6CC987E8"/>
    <w:rsid w:val="6CE37BB5"/>
    <w:rsid w:val="70FC5682"/>
    <w:rsid w:val="72327338"/>
    <w:rsid w:val="7753251B"/>
    <w:rsid w:val="7814D77A"/>
    <w:rsid w:val="7821A446"/>
    <w:rsid w:val="78D395A4"/>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5F0116"/>
  <w15:chartTrackingRefBased/>
  <w15:docId w15:val="{AB9B4D31-5A26-4519-842B-BD09D68FB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rFonts w:ascii="Arial" w:hAnsi="Arial"/>
      <w:sz w:val="24"/>
      <w:lang w:val="es-ES_tradnl" w:eastAsia="es-ES"/>
    </w:rPr>
  </w:style>
  <w:style w:type="paragraph" w:styleId="Ttulo1">
    <w:name w:val="heading 1"/>
    <w:basedOn w:val="Normal"/>
    <w:next w:val="Normal"/>
    <w:link w:val="Ttulo1Car"/>
    <w:qFormat/>
    <w:pPr>
      <w:keepNext/>
      <w:numPr>
        <w:numId w:val="3"/>
      </w:numPr>
      <w:suppressAutoHyphens/>
      <w:spacing w:after="240"/>
      <w:outlineLvl w:val="0"/>
    </w:pPr>
    <w:rPr>
      <w:b/>
    </w:rPr>
  </w:style>
  <w:style w:type="paragraph" w:styleId="Ttulo2">
    <w:name w:val="heading 2"/>
    <w:basedOn w:val="Normal"/>
    <w:next w:val="Normal"/>
    <w:link w:val="Ttulo2Car"/>
    <w:qFormat/>
    <w:pPr>
      <w:keepNext/>
      <w:numPr>
        <w:ilvl w:val="1"/>
        <w:numId w:val="2"/>
      </w:numPr>
      <w:spacing w:after="240"/>
      <w:outlineLvl w:val="1"/>
    </w:pPr>
    <w:rPr>
      <w:b/>
      <w:szCs w:val="24"/>
    </w:rPr>
  </w:style>
  <w:style w:type="paragraph" w:styleId="Ttulo3">
    <w:name w:val="heading 3"/>
    <w:basedOn w:val="Normal"/>
    <w:next w:val="Normal"/>
    <w:qFormat/>
    <w:pPr>
      <w:keepNext/>
      <w:numPr>
        <w:ilvl w:val="2"/>
        <w:numId w:val="4"/>
      </w:numPr>
      <w:tabs>
        <w:tab w:val="left" w:pos="0"/>
      </w:tabs>
      <w:suppressAutoHyphens/>
      <w:spacing w:after="240"/>
      <w:outlineLvl w:val="2"/>
    </w:pPr>
    <w:rPr>
      <w:b/>
      <w:lang w:val="es-ES"/>
    </w:rPr>
  </w:style>
  <w:style w:type="paragraph" w:styleId="Ttulo4">
    <w:name w:val="heading 4"/>
    <w:basedOn w:val="Normal"/>
    <w:next w:val="Normal"/>
    <w:qFormat/>
    <w:pPr>
      <w:keepNext/>
      <w:numPr>
        <w:ilvl w:val="3"/>
        <w:numId w:val="5"/>
      </w:numPr>
      <w:spacing w:after="240"/>
      <w:outlineLvl w:val="3"/>
    </w:pPr>
    <w:rPr>
      <w:b/>
    </w:rPr>
  </w:style>
  <w:style w:type="paragraph" w:styleId="Ttulo5">
    <w:name w:val="heading 5"/>
    <w:basedOn w:val="Normal"/>
    <w:next w:val="Normal"/>
    <w:qFormat/>
    <w:pPr>
      <w:keepNext/>
      <w:numPr>
        <w:ilvl w:val="4"/>
        <w:numId w:val="6"/>
      </w:numPr>
      <w:spacing w:after="240"/>
      <w:ind w:left="1009" w:hanging="1009"/>
      <w:outlineLvl w:val="4"/>
    </w:pPr>
    <w:rPr>
      <w:sz w:val="22"/>
    </w:rPr>
  </w:style>
  <w:style w:type="paragraph" w:styleId="Ttulo6">
    <w:name w:val="heading 6"/>
    <w:basedOn w:val="Normal"/>
    <w:next w:val="Normal"/>
    <w:qFormat/>
    <w:pPr>
      <w:numPr>
        <w:ilvl w:val="5"/>
        <w:numId w:val="1"/>
      </w:numPr>
      <w:spacing w:before="240" w:after="60"/>
      <w:outlineLvl w:val="5"/>
    </w:pPr>
    <w:rPr>
      <w:rFonts w:ascii="Times New Roman" w:hAnsi="Times New Roman"/>
      <w:i/>
      <w:sz w:val="22"/>
    </w:rPr>
  </w:style>
  <w:style w:type="paragraph" w:styleId="Ttulo7">
    <w:name w:val="heading 7"/>
    <w:basedOn w:val="Normal"/>
    <w:next w:val="Normal"/>
    <w:qFormat/>
    <w:pPr>
      <w:numPr>
        <w:ilvl w:val="6"/>
        <w:numId w:val="1"/>
      </w:numPr>
      <w:spacing w:before="240" w:after="60"/>
      <w:outlineLvl w:val="6"/>
    </w:pPr>
    <w:rPr>
      <w:sz w:val="20"/>
    </w:rPr>
  </w:style>
  <w:style w:type="paragraph" w:styleId="Ttulo8">
    <w:name w:val="heading 8"/>
    <w:basedOn w:val="Normal"/>
    <w:next w:val="Normal"/>
    <w:qFormat/>
    <w:pPr>
      <w:numPr>
        <w:ilvl w:val="7"/>
        <w:numId w:val="1"/>
      </w:numPr>
      <w:spacing w:before="240" w:after="60"/>
      <w:outlineLvl w:val="7"/>
    </w:pPr>
    <w:rPr>
      <w:i/>
      <w:sz w:val="20"/>
    </w:rPr>
  </w:style>
  <w:style w:type="paragraph" w:styleId="Ttulo9">
    <w:name w:val="heading 9"/>
    <w:basedOn w:val="Normal"/>
    <w:next w:val="Normal"/>
    <w:qFormat/>
    <w:pPr>
      <w:numPr>
        <w:ilvl w:val="8"/>
        <w:numId w:val="1"/>
      </w:numPr>
      <w:spacing w:before="240" w:after="60"/>
      <w:outlineLvl w:val="8"/>
    </w:pPr>
    <w:rPr>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pPr>
      <w:jc w:val="center"/>
    </w:pPr>
    <w:rPr>
      <w:b/>
    </w:rPr>
  </w:style>
  <w:style w:type="paragraph" w:styleId="TDC1">
    <w:name w:val="toc 1"/>
    <w:basedOn w:val="Normal"/>
    <w:next w:val="Normal"/>
    <w:autoRedefine/>
    <w:uiPriority w:val="39"/>
    <w:rsid w:val="00A64046"/>
    <w:pPr>
      <w:tabs>
        <w:tab w:val="left" w:pos="480"/>
        <w:tab w:val="right" w:leader="dot" w:pos="9356"/>
      </w:tabs>
      <w:spacing w:before="120"/>
    </w:pPr>
    <w:rPr>
      <w:noProof/>
      <w:szCs w:val="24"/>
      <w:lang w:val="es-ES"/>
    </w:rPr>
  </w:style>
  <w:style w:type="paragraph" w:styleId="TDC2">
    <w:name w:val="toc 2"/>
    <w:basedOn w:val="Normal"/>
    <w:next w:val="Normal"/>
    <w:autoRedefine/>
    <w:uiPriority w:val="39"/>
    <w:pPr>
      <w:tabs>
        <w:tab w:val="left" w:pos="960"/>
        <w:tab w:val="right" w:leader="dot" w:pos="8820"/>
      </w:tabs>
      <w:ind w:left="960" w:right="378" w:hanging="720"/>
      <w:jc w:val="left"/>
    </w:pPr>
    <w:rPr>
      <w:noProof/>
      <w:szCs w:val="24"/>
      <w:lang w:val="es-ES"/>
    </w:rPr>
  </w:style>
  <w:style w:type="paragraph" w:styleId="TDC3">
    <w:name w:val="toc 3"/>
    <w:basedOn w:val="Normal"/>
    <w:next w:val="Normal"/>
    <w:autoRedefine/>
    <w:uiPriority w:val="39"/>
    <w:rsid w:val="00A64046"/>
    <w:pPr>
      <w:tabs>
        <w:tab w:val="left" w:pos="1440"/>
        <w:tab w:val="left" w:pos="8647"/>
      </w:tabs>
      <w:ind w:left="480" w:right="50"/>
    </w:pPr>
    <w:rPr>
      <w:szCs w:val="24"/>
      <w:lang w:val="es-ES"/>
    </w:rPr>
  </w:style>
  <w:style w:type="paragraph" w:customStyle="1" w:styleId="Citas">
    <w:name w:val="Citas"/>
    <w:basedOn w:val="Normal"/>
    <w:next w:val="Normal"/>
    <w:pPr>
      <w:ind w:left="708" w:right="476"/>
    </w:pPr>
    <w:rPr>
      <w:rFonts w:ascii="Times New Roman" w:hAnsi="Times New Roman"/>
      <w:i/>
      <w:iCs/>
    </w:rPr>
  </w:style>
  <w:style w:type="paragraph" w:styleId="Piedepgina">
    <w:name w:val="footer"/>
    <w:basedOn w:val="Normal"/>
    <w:link w:val="PiedepginaCar"/>
    <w:uiPriority w:val="99"/>
    <w:pPr>
      <w:tabs>
        <w:tab w:val="center" w:pos="4252"/>
        <w:tab w:val="right" w:pos="8504"/>
      </w:tabs>
    </w:pPr>
  </w:style>
  <w:style w:type="paragraph" w:styleId="Textonotapie">
    <w:name w:val="footnote text"/>
    <w:basedOn w:val="Normal"/>
    <w:link w:val="TextonotapieCar"/>
    <w:semiHidden/>
    <w:rPr>
      <w:sz w:val="20"/>
    </w:rPr>
  </w:style>
  <w:style w:type="paragraph" w:customStyle="1" w:styleId="Epgrafe">
    <w:name w:val="Epígrafe"/>
    <w:basedOn w:val="Normal"/>
    <w:next w:val="Normal"/>
    <w:qFormat/>
    <w:pPr>
      <w:spacing w:before="120" w:after="120"/>
    </w:pPr>
    <w:rPr>
      <w:b/>
    </w:rPr>
  </w:style>
  <w:style w:type="paragraph" w:styleId="Sangra2detindependiente">
    <w:name w:val="Body Text Indent 2"/>
    <w:basedOn w:val="Normal"/>
    <w:semiHidden/>
    <w:pPr>
      <w:ind w:left="567" w:hanging="567"/>
      <w:outlineLvl w:val="0"/>
    </w:pPr>
    <w:rPr>
      <w:b/>
      <w:sz w:val="20"/>
      <w:szCs w:val="24"/>
      <w:lang w:val="es-CO"/>
    </w:rPr>
  </w:style>
  <w:style w:type="paragraph" w:styleId="Textoindependiente">
    <w:name w:val="Body Text"/>
    <w:basedOn w:val="Normal"/>
    <w:semiHidden/>
    <w:pPr>
      <w:jc w:val="center"/>
    </w:pPr>
    <w:rPr>
      <w:b/>
      <w:sz w:val="48"/>
    </w:rPr>
  </w:style>
  <w:style w:type="paragraph" w:styleId="TDC4">
    <w:name w:val="toc 4"/>
    <w:basedOn w:val="Normal"/>
    <w:next w:val="Normal"/>
    <w:autoRedefine/>
    <w:semiHidden/>
    <w:pPr>
      <w:ind w:left="720"/>
    </w:pPr>
  </w:style>
  <w:style w:type="paragraph" w:styleId="TDC5">
    <w:name w:val="toc 5"/>
    <w:basedOn w:val="Normal"/>
    <w:next w:val="Normal"/>
    <w:autoRedefine/>
    <w:semiHidden/>
    <w:pPr>
      <w:ind w:left="960"/>
    </w:pPr>
  </w:style>
  <w:style w:type="paragraph" w:styleId="TDC6">
    <w:name w:val="toc 6"/>
    <w:basedOn w:val="Normal"/>
    <w:next w:val="Normal"/>
    <w:autoRedefine/>
    <w:semiHidden/>
    <w:pPr>
      <w:ind w:left="1200"/>
    </w:pPr>
  </w:style>
  <w:style w:type="paragraph" w:styleId="TDC7">
    <w:name w:val="toc 7"/>
    <w:basedOn w:val="Normal"/>
    <w:next w:val="Normal"/>
    <w:autoRedefine/>
    <w:semiHidden/>
    <w:pPr>
      <w:ind w:left="1440"/>
    </w:pPr>
  </w:style>
  <w:style w:type="paragraph" w:styleId="TDC8">
    <w:name w:val="toc 8"/>
    <w:basedOn w:val="Normal"/>
    <w:next w:val="Normal"/>
    <w:autoRedefine/>
    <w:semiHidden/>
    <w:pPr>
      <w:ind w:left="1680"/>
    </w:pPr>
  </w:style>
  <w:style w:type="paragraph" w:styleId="TDC9">
    <w:name w:val="toc 9"/>
    <w:basedOn w:val="Normal"/>
    <w:next w:val="Normal"/>
    <w:autoRedefine/>
    <w:semiHidden/>
    <w:pPr>
      <w:ind w:left="1920"/>
    </w:pPr>
  </w:style>
  <w:style w:type="character" w:styleId="Hipervnculo">
    <w:name w:val="Hyperlink"/>
    <w:uiPriority w:val="99"/>
    <w:rPr>
      <w:color w:val="0000FF"/>
      <w:u w:val="single"/>
    </w:rPr>
  </w:style>
  <w:style w:type="character" w:styleId="Nmerodepgina">
    <w:name w:val="page number"/>
    <w:basedOn w:val="Fuentedeprrafopredeter"/>
    <w:semiHidden/>
  </w:style>
  <w:style w:type="paragraph" w:styleId="Encabezado">
    <w:name w:val="header"/>
    <w:basedOn w:val="Normal"/>
    <w:semiHidden/>
    <w:pPr>
      <w:tabs>
        <w:tab w:val="center" w:pos="4252"/>
        <w:tab w:val="right" w:pos="8504"/>
      </w:tabs>
    </w:pPr>
  </w:style>
  <w:style w:type="character" w:styleId="Refdenotaalpie">
    <w:name w:val="footnote reference"/>
    <w:semiHidden/>
    <w:rPr>
      <w:vertAlign w:val="superscript"/>
    </w:rPr>
  </w:style>
  <w:style w:type="paragraph" w:styleId="Textoindependiente2">
    <w:name w:val="Body Text 2"/>
    <w:basedOn w:val="Normal"/>
    <w:link w:val="Textoindependiente2Car"/>
    <w:semiHidden/>
    <w:pPr>
      <w:tabs>
        <w:tab w:val="left" w:pos="-720"/>
        <w:tab w:val="left" w:pos="0"/>
      </w:tabs>
      <w:suppressAutoHyphens/>
    </w:pPr>
    <w:rPr>
      <w:color w:val="000000"/>
      <w:spacing w:val="-3"/>
    </w:rPr>
  </w:style>
  <w:style w:type="paragraph" w:styleId="Textoindependiente3">
    <w:name w:val="Body Text 3"/>
    <w:basedOn w:val="Normal"/>
    <w:semiHidden/>
    <w:pPr>
      <w:jc w:val="center"/>
    </w:pPr>
    <w:rPr>
      <w:b/>
      <w:bCs/>
      <w:sz w:val="22"/>
    </w:rPr>
  </w:style>
  <w:style w:type="paragraph" w:styleId="Textodebloque">
    <w:name w:val="Block Text"/>
    <w:basedOn w:val="Normal"/>
    <w:semiHidden/>
    <w:pPr>
      <w:ind w:left="709" w:right="901"/>
      <w:jc w:val="center"/>
    </w:pPr>
    <w:rPr>
      <w:rFonts w:ascii="Bookman Old Style" w:hAnsi="Bookman Old Style"/>
      <w:sz w:val="22"/>
      <w:szCs w:val="24"/>
    </w:rPr>
  </w:style>
  <w:style w:type="paragraph" w:styleId="Tabladeilustraciones">
    <w:name w:val="table of figures"/>
    <w:basedOn w:val="Normal"/>
    <w:next w:val="Normal"/>
    <w:uiPriority w:val="99"/>
    <w:pPr>
      <w:tabs>
        <w:tab w:val="right" w:leader="dot" w:pos="8828"/>
      </w:tabs>
      <w:ind w:left="480" w:hanging="480"/>
    </w:pPr>
    <w:rPr>
      <w:noProof/>
    </w:rPr>
  </w:style>
  <w:style w:type="character" w:styleId="Refdecomentario">
    <w:name w:val="annotation reference"/>
    <w:semiHidden/>
    <w:rPr>
      <w:sz w:val="16"/>
      <w:szCs w:val="16"/>
    </w:rPr>
  </w:style>
  <w:style w:type="paragraph" w:styleId="Textocomentario">
    <w:name w:val="annotation text"/>
    <w:basedOn w:val="Normal"/>
    <w:link w:val="TextocomentarioCar"/>
    <w:uiPriority w:val="99"/>
    <w:rPr>
      <w:sz w:val="20"/>
    </w:rPr>
  </w:style>
  <w:style w:type="paragraph" w:styleId="Mapadeldocumento">
    <w:name w:val="Document Map"/>
    <w:basedOn w:val="Normal"/>
    <w:semiHidden/>
    <w:pPr>
      <w:shd w:val="clear" w:color="auto" w:fill="000080"/>
    </w:pPr>
    <w:rPr>
      <w:rFonts w:ascii="Tahoma" w:hAnsi="Tahoma" w:cs="Tahoma"/>
    </w:rPr>
  </w:style>
  <w:style w:type="character" w:customStyle="1" w:styleId="eacep1">
    <w:name w:val="eacep1"/>
    <w:rPr>
      <w:color w:val="000000"/>
    </w:rPr>
  </w:style>
  <w:style w:type="character" w:customStyle="1" w:styleId="PiedepginaCar">
    <w:name w:val="Pie de página Car"/>
    <w:link w:val="Piedepgina"/>
    <w:uiPriority w:val="99"/>
    <w:rsid w:val="0077100C"/>
    <w:rPr>
      <w:rFonts w:ascii="Arial" w:hAnsi="Arial"/>
      <w:sz w:val="24"/>
      <w:lang w:val="es-ES_tradnl" w:eastAsia="es-ES"/>
    </w:rPr>
  </w:style>
  <w:style w:type="character" w:customStyle="1" w:styleId="TextocomentarioCar">
    <w:name w:val="Texto comentario Car"/>
    <w:link w:val="Textocomentario"/>
    <w:uiPriority w:val="99"/>
    <w:rsid w:val="004E3965"/>
    <w:rPr>
      <w:rFonts w:ascii="Arial" w:hAnsi="Arial"/>
      <w:lang w:val="es-ES_tradnl" w:eastAsia="es-ES"/>
    </w:rPr>
  </w:style>
  <w:style w:type="paragraph" w:styleId="Prrafodelista">
    <w:name w:val="List Paragraph"/>
    <w:basedOn w:val="Normal"/>
    <w:link w:val="PrrafodelistaCar"/>
    <w:uiPriority w:val="34"/>
    <w:qFormat/>
    <w:rsid w:val="003C55ED"/>
    <w:pPr>
      <w:ind w:left="708"/>
    </w:pPr>
  </w:style>
  <w:style w:type="paragraph" w:styleId="NormalWeb">
    <w:name w:val="Normal (Web)"/>
    <w:basedOn w:val="Normal"/>
    <w:uiPriority w:val="99"/>
    <w:semiHidden/>
    <w:unhideWhenUsed/>
    <w:rsid w:val="00DB6372"/>
    <w:pPr>
      <w:spacing w:before="100" w:beforeAutospacing="1" w:after="100" w:afterAutospacing="1"/>
      <w:jc w:val="left"/>
    </w:pPr>
    <w:rPr>
      <w:rFonts w:ascii="Times New Roman" w:hAnsi="Times New Roman"/>
      <w:szCs w:val="24"/>
      <w:lang w:val="es-CO" w:eastAsia="es-CO"/>
    </w:rPr>
  </w:style>
  <w:style w:type="character" w:customStyle="1" w:styleId="Ttulo1Car">
    <w:name w:val="Título 1 Car"/>
    <w:basedOn w:val="Fuentedeprrafopredeter"/>
    <w:link w:val="Ttulo1"/>
    <w:rsid w:val="00E7209B"/>
    <w:rPr>
      <w:rFonts w:ascii="Arial" w:hAnsi="Arial"/>
      <w:b/>
      <w:sz w:val="24"/>
      <w:lang w:val="es-ES_tradnl" w:eastAsia="es-ES"/>
    </w:rPr>
  </w:style>
  <w:style w:type="character" w:customStyle="1" w:styleId="Ttulo2Car">
    <w:name w:val="Título 2 Car"/>
    <w:basedOn w:val="Fuentedeprrafopredeter"/>
    <w:link w:val="Ttulo2"/>
    <w:rsid w:val="00E7209B"/>
    <w:rPr>
      <w:rFonts w:ascii="Arial" w:hAnsi="Arial"/>
      <w:b/>
      <w:sz w:val="24"/>
      <w:szCs w:val="24"/>
      <w:lang w:val="es-ES_tradnl" w:eastAsia="es-ES"/>
    </w:rPr>
  </w:style>
  <w:style w:type="character" w:customStyle="1" w:styleId="TextonotapieCar">
    <w:name w:val="Texto nota pie Car"/>
    <w:basedOn w:val="Fuentedeprrafopredeter"/>
    <w:link w:val="Textonotapie"/>
    <w:uiPriority w:val="99"/>
    <w:semiHidden/>
    <w:rsid w:val="00E7209B"/>
    <w:rPr>
      <w:rFonts w:ascii="Arial" w:hAnsi="Arial"/>
      <w:lang w:val="es-ES_tradnl" w:eastAsia="es-ES"/>
    </w:rPr>
  </w:style>
  <w:style w:type="character" w:customStyle="1" w:styleId="TtuloCar">
    <w:name w:val="Título Car"/>
    <w:basedOn w:val="Fuentedeprrafopredeter"/>
    <w:link w:val="Ttulo"/>
    <w:rsid w:val="00E7209B"/>
    <w:rPr>
      <w:rFonts w:ascii="Arial" w:hAnsi="Arial"/>
      <w:b/>
      <w:sz w:val="24"/>
      <w:lang w:val="es-ES_tradnl" w:eastAsia="es-ES"/>
    </w:rPr>
  </w:style>
  <w:style w:type="character" w:customStyle="1" w:styleId="Textoindependiente2Car">
    <w:name w:val="Texto independiente 2 Car"/>
    <w:basedOn w:val="Fuentedeprrafopredeter"/>
    <w:link w:val="Textoindependiente2"/>
    <w:semiHidden/>
    <w:rsid w:val="00E7209B"/>
    <w:rPr>
      <w:rFonts w:ascii="Arial" w:hAnsi="Arial"/>
      <w:color w:val="000000"/>
      <w:spacing w:val="-3"/>
      <w:sz w:val="24"/>
      <w:lang w:val="es-ES_tradnl" w:eastAsia="es-ES"/>
    </w:rPr>
  </w:style>
  <w:style w:type="character" w:customStyle="1" w:styleId="PrrafodelistaCar">
    <w:name w:val="Párrafo de lista Car"/>
    <w:link w:val="Prrafodelista"/>
    <w:uiPriority w:val="34"/>
    <w:rsid w:val="003D43FD"/>
    <w:rPr>
      <w:rFonts w:ascii="Arial" w:hAnsi="Arial"/>
      <w:sz w:val="24"/>
      <w:lang w:val="es-ES_tradnl" w:eastAsia="es-ES"/>
    </w:rPr>
  </w:style>
  <w:style w:type="paragraph" w:styleId="Descripcin">
    <w:name w:val="caption"/>
    <w:basedOn w:val="Normal"/>
    <w:next w:val="Normal"/>
    <w:uiPriority w:val="35"/>
    <w:qFormat/>
    <w:rsid w:val="00885175"/>
    <w:pPr>
      <w:spacing w:after="200"/>
    </w:pPr>
    <w:rPr>
      <w:i/>
      <w:iCs/>
      <w:color w:val="44546A" w:themeColor="text2"/>
      <w:sz w:val="18"/>
      <w:szCs w:val="18"/>
    </w:rPr>
  </w:style>
  <w:style w:type="table" w:styleId="Tablaconcuadrcula">
    <w:name w:val="Table Grid"/>
    <w:basedOn w:val="Tablanormal"/>
    <w:uiPriority w:val="59"/>
    <w:rsid w:val="00986F68"/>
    <w:rPr>
      <w:rFonts w:ascii="Arial" w:eastAsiaTheme="minorHAnsi" w:hAnsi="Arial" w:cs="Arial"/>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DE477E"/>
    <w:pPr>
      <w:keepLines/>
      <w:numPr>
        <w:numId w:val="0"/>
      </w:numPr>
      <w:suppressAutoHyphens w:val="0"/>
      <w:spacing w:before="240" w:after="0" w:line="259" w:lineRule="auto"/>
      <w:jc w:val="left"/>
      <w:outlineLvl w:val="9"/>
    </w:pPr>
    <w:rPr>
      <w:rFonts w:asciiTheme="majorHAnsi" w:eastAsiaTheme="majorEastAsia" w:hAnsiTheme="majorHAnsi" w:cstheme="majorBidi"/>
      <w:b w:val="0"/>
      <w:color w:val="2E74B5" w:themeColor="accent1" w:themeShade="BF"/>
      <w:sz w:val="32"/>
      <w:szCs w:val="32"/>
      <w:lang w:val="es-CO" w:eastAsia="es-CO"/>
    </w:rPr>
  </w:style>
  <w:style w:type="character" w:styleId="Mencinsinresolver">
    <w:name w:val="Unresolved Mention"/>
    <w:basedOn w:val="Fuentedeprrafopredeter"/>
    <w:uiPriority w:val="99"/>
    <w:semiHidden/>
    <w:unhideWhenUsed/>
    <w:rsid w:val="00E572AE"/>
    <w:rPr>
      <w:color w:val="605E5C"/>
      <w:shd w:val="clear" w:color="auto" w:fill="E1DFDD"/>
    </w:rPr>
  </w:style>
  <w:style w:type="paragraph" w:styleId="Asuntodelcomentario">
    <w:name w:val="annotation subject"/>
    <w:basedOn w:val="Textocomentario"/>
    <w:next w:val="Textocomentario"/>
    <w:link w:val="AsuntodelcomentarioCar"/>
    <w:uiPriority w:val="99"/>
    <w:semiHidden/>
    <w:unhideWhenUsed/>
    <w:rsid w:val="00EC18DF"/>
    <w:rPr>
      <w:b/>
      <w:bCs/>
    </w:rPr>
  </w:style>
  <w:style w:type="character" w:customStyle="1" w:styleId="AsuntodelcomentarioCar">
    <w:name w:val="Asunto del comentario Car"/>
    <w:basedOn w:val="TextocomentarioCar"/>
    <w:link w:val="Asuntodelcomentario"/>
    <w:uiPriority w:val="99"/>
    <w:semiHidden/>
    <w:rsid w:val="00EC18DF"/>
    <w:rPr>
      <w:rFonts w:ascii="Arial" w:hAnsi="Arial"/>
      <w:b/>
      <w:bCs/>
      <w:lang w:val="es-ES_tradnl" w:eastAsia="es-ES"/>
    </w:rPr>
  </w:style>
  <w:style w:type="paragraph" w:styleId="Revisin">
    <w:name w:val="Revision"/>
    <w:hidden/>
    <w:uiPriority w:val="99"/>
    <w:semiHidden/>
    <w:rsid w:val="00722827"/>
    <w:rPr>
      <w:rFonts w:ascii="Arial" w:hAnsi="Arial"/>
      <w:sz w:val="24"/>
      <w:lang w:val="es-ES_tradnl" w:eastAsia="es-ES"/>
    </w:rPr>
  </w:style>
  <w:style w:type="character" w:customStyle="1" w:styleId="busq">
    <w:name w:val="busq"/>
    <w:basedOn w:val="Fuentedeprrafopredeter"/>
    <w:rsid w:val="000F0938"/>
  </w:style>
  <w:style w:type="character" w:styleId="Textodelmarcadordeposicin">
    <w:name w:val="Placeholder Text"/>
    <w:basedOn w:val="Fuentedeprrafopredeter"/>
    <w:uiPriority w:val="99"/>
    <w:semiHidden/>
    <w:rsid w:val="005F6BC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0258614">
      <w:bodyDiv w:val="1"/>
      <w:marLeft w:val="0"/>
      <w:marRight w:val="0"/>
      <w:marTop w:val="0"/>
      <w:marBottom w:val="0"/>
      <w:divBdr>
        <w:top w:val="none" w:sz="0" w:space="0" w:color="auto"/>
        <w:left w:val="none" w:sz="0" w:space="0" w:color="auto"/>
        <w:bottom w:val="none" w:sz="0" w:space="0" w:color="auto"/>
        <w:right w:val="none" w:sz="0" w:space="0" w:color="auto"/>
      </w:divBdr>
    </w:div>
    <w:div w:id="331833526">
      <w:bodyDiv w:val="1"/>
      <w:marLeft w:val="0"/>
      <w:marRight w:val="0"/>
      <w:marTop w:val="0"/>
      <w:marBottom w:val="0"/>
      <w:divBdr>
        <w:top w:val="none" w:sz="0" w:space="0" w:color="auto"/>
        <w:left w:val="none" w:sz="0" w:space="0" w:color="auto"/>
        <w:bottom w:val="none" w:sz="0" w:space="0" w:color="auto"/>
        <w:right w:val="none" w:sz="0" w:space="0" w:color="auto"/>
      </w:divBdr>
    </w:div>
    <w:div w:id="384380247">
      <w:bodyDiv w:val="1"/>
      <w:marLeft w:val="0"/>
      <w:marRight w:val="0"/>
      <w:marTop w:val="0"/>
      <w:marBottom w:val="0"/>
      <w:divBdr>
        <w:top w:val="none" w:sz="0" w:space="0" w:color="auto"/>
        <w:left w:val="none" w:sz="0" w:space="0" w:color="auto"/>
        <w:bottom w:val="none" w:sz="0" w:space="0" w:color="auto"/>
        <w:right w:val="none" w:sz="0" w:space="0" w:color="auto"/>
      </w:divBdr>
    </w:div>
    <w:div w:id="419328459">
      <w:bodyDiv w:val="1"/>
      <w:marLeft w:val="0"/>
      <w:marRight w:val="0"/>
      <w:marTop w:val="0"/>
      <w:marBottom w:val="0"/>
      <w:divBdr>
        <w:top w:val="none" w:sz="0" w:space="0" w:color="auto"/>
        <w:left w:val="none" w:sz="0" w:space="0" w:color="auto"/>
        <w:bottom w:val="none" w:sz="0" w:space="0" w:color="auto"/>
        <w:right w:val="none" w:sz="0" w:space="0" w:color="auto"/>
      </w:divBdr>
      <w:divsChild>
        <w:div w:id="669262">
          <w:marLeft w:val="547"/>
          <w:marRight w:val="0"/>
          <w:marTop w:val="0"/>
          <w:marBottom w:val="120"/>
          <w:divBdr>
            <w:top w:val="none" w:sz="0" w:space="0" w:color="auto"/>
            <w:left w:val="none" w:sz="0" w:space="0" w:color="auto"/>
            <w:bottom w:val="none" w:sz="0" w:space="0" w:color="auto"/>
            <w:right w:val="none" w:sz="0" w:space="0" w:color="auto"/>
          </w:divBdr>
        </w:div>
        <w:div w:id="119686830">
          <w:marLeft w:val="547"/>
          <w:marRight w:val="0"/>
          <w:marTop w:val="0"/>
          <w:marBottom w:val="120"/>
          <w:divBdr>
            <w:top w:val="none" w:sz="0" w:space="0" w:color="auto"/>
            <w:left w:val="none" w:sz="0" w:space="0" w:color="auto"/>
            <w:bottom w:val="none" w:sz="0" w:space="0" w:color="auto"/>
            <w:right w:val="none" w:sz="0" w:space="0" w:color="auto"/>
          </w:divBdr>
        </w:div>
        <w:div w:id="165436976">
          <w:marLeft w:val="547"/>
          <w:marRight w:val="0"/>
          <w:marTop w:val="0"/>
          <w:marBottom w:val="120"/>
          <w:divBdr>
            <w:top w:val="none" w:sz="0" w:space="0" w:color="auto"/>
            <w:left w:val="none" w:sz="0" w:space="0" w:color="auto"/>
            <w:bottom w:val="none" w:sz="0" w:space="0" w:color="auto"/>
            <w:right w:val="none" w:sz="0" w:space="0" w:color="auto"/>
          </w:divBdr>
        </w:div>
        <w:div w:id="554587136">
          <w:marLeft w:val="547"/>
          <w:marRight w:val="0"/>
          <w:marTop w:val="0"/>
          <w:marBottom w:val="120"/>
          <w:divBdr>
            <w:top w:val="none" w:sz="0" w:space="0" w:color="auto"/>
            <w:left w:val="none" w:sz="0" w:space="0" w:color="auto"/>
            <w:bottom w:val="none" w:sz="0" w:space="0" w:color="auto"/>
            <w:right w:val="none" w:sz="0" w:space="0" w:color="auto"/>
          </w:divBdr>
        </w:div>
        <w:div w:id="1006980489">
          <w:marLeft w:val="547"/>
          <w:marRight w:val="0"/>
          <w:marTop w:val="0"/>
          <w:marBottom w:val="120"/>
          <w:divBdr>
            <w:top w:val="none" w:sz="0" w:space="0" w:color="auto"/>
            <w:left w:val="none" w:sz="0" w:space="0" w:color="auto"/>
            <w:bottom w:val="none" w:sz="0" w:space="0" w:color="auto"/>
            <w:right w:val="none" w:sz="0" w:space="0" w:color="auto"/>
          </w:divBdr>
        </w:div>
        <w:div w:id="1128936521">
          <w:marLeft w:val="547"/>
          <w:marRight w:val="0"/>
          <w:marTop w:val="0"/>
          <w:marBottom w:val="120"/>
          <w:divBdr>
            <w:top w:val="none" w:sz="0" w:space="0" w:color="auto"/>
            <w:left w:val="none" w:sz="0" w:space="0" w:color="auto"/>
            <w:bottom w:val="none" w:sz="0" w:space="0" w:color="auto"/>
            <w:right w:val="none" w:sz="0" w:space="0" w:color="auto"/>
          </w:divBdr>
        </w:div>
        <w:div w:id="1602296581">
          <w:marLeft w:val="547"/>
          <w:marRight w:val="0"/>
          <w:marTop w:val="0"/>
          <w:marBottom w:val="120"/>
          <w:divBdr>
            <w:top w:val="none" w:sz="0" w:space="0" w:color="auto"/>
            <w:left w:val="none" w:sz="0" w:space="0" w:color="auto"/>
            <w:bottom w:val="none" w:sz="0" w:space="0" w:color="auto"/>
            <w:right w:val="none" w:sz="0" w:space="0" w:color="auto"/>
          </w:divBdr>
        </w:div>
      </w:divsChild>
    </w:div>
    <w:div w:id="554313772">
      <w:bodyDiv w:val="1"/>
      <w:marLeft w:val="0"/>
      <w:marRight w:val="0"/>
      <w:marTop w:val="0"/>
      <w:marBottom w:val="0"/>
      <w:divBdr>
        <w:top w:val="none" w:sz="0" w:space="0" w:color="auto"/>
        <w:left w:val="none" w:sz="0" w:space="0" w:color="auto"/>
        <w:bottom w:val="none" w:sz="0" w:space="0" w:color="auto"/>
        <w:right w:val="none" w:sz="0" w:space="0" w:color="auto"/>
      </w:divBdr>
    </w:div>
    <w:div w:id="615723121">
      <w:bodyDiv w:val="1"/>
      <w:marLeft w:val="0"/>
      <w:marRight w:val="0"/>
      <w:marTop w:val="0"/>
      <w:marBottom w:val="0"/>
      <w:divBdr>
        <w:top w:val="none" w:sz="0" w:space="0" w:color="auto"/>
        <w:left w:val="none" w:sz="0" w:space="0" w:color="auto"/>
        <w:bottom w:val="none" w:sz="0" w:space="0" w:color="auto"/>
        <w:right w:val="none" w:sz="0" w:space="0" w:color="auto"/>
      </w:divBdr>
    </w:div>
    <w:div w:id="773553795">
      <w:bodyDiv w:val="1"/>
      <w:marLeft w:val="0"/>
      <w:marRight w:val="0"/>
      <w:marTop w:val="0"/>
      <w:marBottom w:val="0"/>
      <w:divBdr>
        <w:top w:val="none" w:sz="0" w:space="0" w:color="auto"/>
        <w:left w:val="none" w:sz="0" w:space="0" w:color="auto"/>
        <w:bottom w:val="none" w:sz="0" w:space="0" w:color="auto"/>
        <w:right w:val="none" w:sz="0" w:space="0" w:color="auto"/>
      </w:divBdr>
    </w:div>
    <w:div w:id="832835729">
      <w:bodyDiv w:val="1"/>
      <w:marLeft w:val="0"/>
      <w:marRight w:val="0"/>
      <w:marTop w:val="0"/>
      <w:marBottom w:val="0"/>
      <w:divBdr>
        <w:top w:val="none" w:sz="0" w:space="0" w:color="auto"/>
        <w:left w:val="none" w:sz="0" w:space="0" w:color="auto"/>
        <w:bottom w:val="none" w:sz="0" w:space="0" w:color="auto"/>
        <w:right w:val="none" w:sz="0" w:space="0" w:color="auto"/>
      </w:divBdr>
    </w:div>
    <w:div w:id="915431638">
      <w:bodyDiv w:val="1"/>
      <w:marLeft w:val="0"/>
      <w:marRight w:val="0"/>
      <w:marTop w:val="0"/>
      <w:marBottom w:val="0"/>
      <w:divBdr>
        <w:top w:val="none" w:sz="0" w:space="0" w:color="auto"/>
        <w:left w:val="none" w:sz="0" w:space="0" w:color="auto"/>
        <w:bottom w:val="none" w:sz="0" w:space="0" w:color="auto"/>
        <w:right w:val="none" w:sz="0" w:space="0" w:color="auto"/>
      </w:divBdr>
    </w:div>
    <w:div w:id="918904202">
      <w:bodyDiv w:val="1"/>
      <w:marLeft w:val="0"/>
      <w:marRight w:val="0"/>
      <w:marTop w:val="0"/>
      <w:marBottom w:val="0"/>
      <w:divBdr>
        <w:top w:val="none" w:sz="0" w:space="0" w:color="auto"/>
        <w:left w:val="none" w:sz="0" w:space="0" w:color="auto"/>
        <w:bottom w:val="none" w:sz="0" w:space="0" w:color="auto"/>
        <w:right w:val="none" w:sz="0" w:space="0" w:color="auto"/>
      </w:divBdr>
    </w:div>
    <w:div w:id="941838314">
      <w:bodyDiv w:val="1"/>
      <w:marLeft w:val="0"/>
      <w:marRight w:val="0"/>
      <w:marTop w:val="0"/>
      <w:marBottom w:val="0"/>
      <w:divBdr>
        <w:top w:val="none" w:sz="0" w:space="0" w:color="auto"/>
        <w:left w:val="none" w:sz="0" w:space="0" w:color="auto"/>
        <w:bottom w:val="none" w:sz="0" w:space="0" w:color="auto"/>
        <w:right w:val="none" w:sz="0" w:space="0" w:color="auto"/>
      </w:divBdr>
    </w:div>
    <w:div w:id="958878885">
      <w:bodyDiv w:val="1"/>
      <w:marLeft w:val="0"/>
      <w:marRight w:val="0"/>
      <w:marTop w:val="0"/>
      <w:marBottom w:val="0"/>
      <w:divBdr>
        <w:top w:val="none" w:sz="0" w:space="0" w:color="auto"/>
        <w:left w:val="none" w:sz="0" w:space="0" w:color="auto"/>
        <w:bottom w:val="none" w:sz="0" w:space="0" w:color="auto"/>
        <w:right w:val="none" w:sz="0" w:space="0" w:color="auto"/>
      </w:divBdr>
    </w:div>
    <w:div w:id="976564814">
      <w:bodyDiv w:val="1"/>
      <w:marLeft w:val="0"/>
      <w:marRight w:val="0"/>
      <w:marTop w:val="0"/>
      <w:marBottom w:val="0"/>
      <w:divBdr>
        <w:top w:val="none" w:sz="0" w:space="0" w:color="auto"/>
        <w:left w:val="none" w:sz="0" w:space="0" w:color="auto"/>
        <w:bottom w:val="none" w:sz="0" w:space="0" w:color="auto"/>
        <w:right w:val="none" w:sz="0" w:space="0" w:color="auto"/>
      </w:divBdr>
    </w:div>
    <w:div w:id="1122190863">
      <w:bodyDiv w:val="1"/>
      <w:marLeft w:val="0"/>
      <w:marRight w:val="0"/>
      <w:marTop w:val="0"/>
      <w:marBottom w:val="0"/>
      <w:divBdr>
        <w:top w:val="none" w:sz="0" w:space="0" w:color="auto"/>
        <w:left w:val="none" w:sz="0" w:space="0" w:color="auto"/>
        <w:bottom w:val="none" w:sz="0" w:space="0" w:color="auto"/>
        <w:right w:val="none" w:sz="0" w:space="0" w:color="auto"/>
      </w:divBdr>
    </w:div>
    <w:div w:id="1207598807">
      <w:bodyDiv w:val="1"/>
      <w:marLeft w:val="0"/>
      <w:marRight w:val="0"/>
      <w:marTop w:val="0"/>
      <w:marBottom w:val="0"/>
      <w:divBdr>
        <w:top w:val="none" w:sz="0" w:space="0" w:color="auto"/>
        <w:left w:val="none" w:sz="0" w:space="0" w:color="auto"/>
        <w:bottom w:val="none" w:sz="0" w:space="0" w:color="auto"/>
        <w:right w:val="none" w:sz="0" w:space="0" w:color="auto"/>
      </w:divBdr>
    </w:div>
    <w:div w:id="1221743098">
      <w:bodyDiv w:val="1"/>
      <w:marLeft w:val="0"/>
      <w:marRight w:val="0"/>
      <w:marTop w:val="0"/>
      <w:marBottom w:val="0"/>
      <w:divBdr>
        <w:top w:val="none" w:sz="0" w:space="0" w:color="auto"/>
        <w:left w:val="none" w:sz="0" w:space="0" w:color="auto"/>
        <w:bottom w:val="none" w:sz="0" w:space="0" w:color="auto"/>
        <w:right w:val="none" w:sz="0" w:space="0" w:color="auto"/>
      </w:divBdr>
    </w:div>
    <w:div w:id="1263881320">
      <w:bodyDiv w:val="1"/>
      <w:marLeft w:val="0"/>
      <w:marRight w:val="0"/>
      <w:marTop w:val="0"/>
      <w:marBottom w:val="0"/>
      <w:divBdr>
        <w:top w:val="none" w:sz="0" w:space="0" w:color="auto"/>
        <w:left w:val="none" w:sz="0" w:space="0" w:color="auto"/>
        <w:bottom w:val="none" w:sz="0" w:space="0" w:color="auto"/>
        <w:right w:val="none" w:sz="0" w:space="0" w:color="auto"/>
      </w:divBdr>
    </w:div>
    <w:div w:id="1299535181">
      <w:bodyDiv w:val="1"/>
      <w:marLeft w:val="0"/>
      <w:marRight w:val="0"/>
      <w:marTop w:val="0"/>
      <w:marBottom w:val="0"/>
      <w:divBdr>
        <w:top w:val="none" w:sz="0" w:space="0" w:color="auto"/>
        <w:left w:val="none" w:sz="0" w:space="0" w:color="auto"/>
        <w:bottom w:val="none" w:sz="0" w:space="0" w:color="auto"/>
        <w:right w:val="none" w:sz="0" w:space="0" w:color="auto"/>
      </w:divBdr>
    </w:div>
    <w:div w:id="1367632235">
      <w:bodyDiv w:val="1"/>
      <w:marLeft w:val="0"/>
      <w:marRight w:val="0"/>
      <w:marTop w:val="0"/>
      <w:marBottom w:val="0"/>
      <w:divBdr>
        <w:top w:val="none" w:sz="0" w:space="0" w:color="auto"/>
        <w:left w:val="none" w:sz="0" w:space="0" w:color="auto"/>
        <w:bottom w:val="none" w:sz="0" w:space="0" w:color="auto"/>
        <w:right w:val="none" w:sz="0" w:space="0" w:color="auto"/>
      </w:divBdr>
    </w:div>
    <w:div w:id="1384527270">
      <w:bodyDiv w:val="1"/>
      <w:marLeft w:val="0"/>
      <w:marRight w:val="0"/>
      <w:marTop w:val="0"/>
      <w:marBottom w:val="0"/>
      <w:divBdr>
        <w:top w:val="none" w:sz="0" w:space="0" w:color="auto"/>
        <w:left w:val="none" w:sz="0" w:space="0" w:color="auto"/>
        <w:bottom w:val="none" w:sz="0" w:space="0" w:color="auto"/>
        <w:right w:val="none" w:sz="0" w:space="0" w:color="auto"/>
      </w:divBdr>
    </w:div>
    <w:div w:id="1442603951">
      <w:bodyDiv w:val="1"/>
      <w:marLeft w:val="0"/>
      <w:marRight w:val="0"/>
      <w:marTop w:val="0"/>
      <w:marBottom w:val="0"/>
      <w:divBdr>
        <w:top w:val="none" w:sz="0" w:space="0" w:color="auto"/>
        <w:left w:val="none" w:sz="0" w:space="0" w:color="auto"/>
        <w:bottom w:val="none" w:sz="0" w:space="0" w:color="auto"/>
        <w:right w:val="none" w:sz="0" w:space="0" w:color="auto"/>
      </w:divBdr>
    </w:div>
    <w:div w:id="1606158492">
      <w:bodyDiv w:val="1"/>
      <w:marLeft w:val="0"/>
      <w:marRight w:val="0"/>
      <w:marTop w:val="0"/>
      <w:marBottom w:val="0"/>
      <w:divBdr>
        <w:top w:val="none" w:sz="0" w:space="0" w:color="auto"/>
        <w:left w:val="none" w:sz="0" w:space="0" w:color="auto"/>
        <w:bottom w:val="none" w:sz="0" w:space="0" w:color="auto"/>
        <w:right w:val="none" w:sz="0" w:space="0" w:color="auto"/>
      </w:divBdr>
    </w:div>
    <w:div w:id="1637027963">
      <w:bodyDiv w:val="1"/>
      <w:marLeft w:val="0"/>
      <w:marRight w:val="0"/>
      <w:marTop w:val="0"/>
      <w:marBottom w:val="0"/>
      <w:divBdr>
        <w:top w:val="none" w:sz="0" w:space="0" w:color="auto"/>
        <w:left w:val="none" w:sz="0" w:space="0" w:color="auto"/>
        <w:bottom w:val="none" w:sz="0" w:space="0" w:color="auto"/>
        <w:right w:val="none" w:sz="0" w:space="0" w:color="auto"/>
      </w:divBdr>
    </w:div>
    <w:div w:id="1680280072">
      <w:bodyDiv w:val="1"/>
      <w:marLeft w:val="0"/>
      <w:marRight w:val="0"/>
      <w:marTop w:val="0"/>
      <w:marBottom w:val="0"/>
      <w:divBdr>
        <w:top w:val="none" w:sz="0" w:space="0" w:color="auto"/>
        <w:left w:val="none" w:sz="0" w:space="0" w:color="auto"/>
        <w:bottom w:val="none" w:sz="0" w:space="0" w:color="auto"/>
        <w:right w:val="none" w:sz="0" w:space="0" w:color="auto"/>
      </w:divBdr>
    </w:div>
    <w:div w:id="1810130442">
      <w:bodyDiv w:val="1"/>
      <w:marLeft w:val="0"/>
      <w:marRight w:val="0"/>
      <w:marTop w:val="0"/>
      <w:marBottom w:val="0"/>
      <w:divBdr>
        <w:top w:val="none" w:sz="0" w:space="0" w:color="auto"/>
        <w:left w:val="none" w:sz="0" w:space="0" w:color="auto"/>
        <w:bottom w:val="none" w:sz="0" w:space="0" w:color="auto"/>
        <w:right w:val="none" w:sz="0" w:space="0" w:color="auto"/>
      </w:divBdr>
    </w:div>
    <w:div w:id="1859192746">
      <w:bodyDiv w:val="1"/>
      <w:marLeft w:val="0"/>
      <w:marRight w:val="0"/>
      <w:marTop w:val="0"/>
      <w:marBottom w:val="0"/>
      <w:divBdr>
        <w:top w:val="none" w:sz="0" w:space="0" w:color="auto"/>
        <w:left w:val="none" w:sz="0" w:space="0" w:color="auto"/>
        <w:bottom w:val="none" w:sz="0" w:space="0" w:color="auto"/>
        <w:right w:val="none" w:sz="0" w:space="0" w:color="auto"/>
      </w:divBdr>
    </w:div>
    <w:div w:id="1860898503">
      <w:bodyDiv w:val="1"/>
      <w:marLeft w:val="0"/>
      <w:marRight w:val="0"/>
      <w:marTop w:val="0"/>
      <w:marBottom w:val="0"/>
      <w:divBdr>
        <w:top w:val="none" w:sz="0" w:space="0" w:color="auto"/>
        <w:left w:val="none" w:sz="0" w:space="0" w:color="auto"/>
        <w:bottom w:val="none" w:sz="0" w:space="0" w:color="auto"/>
        <w:right w:val="none" w:sz="0" w:space="0" w:color="auto"/>
      </w:divBdr>
      <w:divsChild>
        <w:div w:id="102726170">
          <w:marLeft w:val="547"/>
          <w:marRight w:val="0"/>
          <w:marTop w:val="0"/>
          <w:marBottom w:val="120"/>
          <w:divBdr>
            <w:top w:val="none" w:sz="0" w:space="0" w:color="auto"/>
            <w:left w:val="none" w:sz="0" w:space="0" w:color="auto"/>
            <w:bottom w:val="none" w:sz="0" w:space="0" w:color="auto"/>
            <w:right w:val="none" w:sz="0" w:space="0" w:color="auto"/>
          </w:divBdr>
        </w:div>
        <w:div w:id="337195752">
          <w:marLeft w:val="547"/>
          <w:marRight w:val="0"/>
          <w:marTop w:val="0"/>
          <w:marBottom w:val="120"/>
          <w:divBdr>
            <w:top w:val="none" w:sz="0" w:space="0" w:color="auto"/>
            <w:left w:val="none" w:sz="0" w:space="0" w:color="auto"/>
            <w:bottom w:val="none" w:sz="0" w:space="0" w:color="auto"/>
            <w:right w:val="none" w:sz="0" w:space="0" w:color="auto"/>
          </w:divBdr>
        </w:div>
        <w:div w:id="482352555">
          <w:marLeft w:val="547"/>
          <w:marRight w:val="0"/>
          <w:marTop w:val="0"/>
          <w:marBottom w:val="120"/>
          <w:divBdr>
            <w:top w:val="none" w:sz="0" w:space="0" w:color="auto"/>
            <w:left w:val="none" w:sz="0" w:space="0" w:color="auto"/>
            <w:bottom w:val="none" w:sz="0" w:space="0" w:color="auto"/>
            <w:right w:val="none" w:sz="0" w:space="0" w:color="auto"/>
          </w:divBdr>
        </w:div>
        <w:div w:id="922228390">
          <w:marLeft w:val="547"/>
          <w:marRight w:val="0"/>
          <w:marTop w:val="0"/>
          <w:marBottom w:val="120"/>
          <w:divBdr>
            <w:top w:val="none" w:sz="0" w:space="0" w:color="auto"/>
            <w:left w:val="none" w:sz="0" w:space="0" w:color="auto"/>
            <w:bottom w:val="none" w:sz="0" w:space="0" w:color="auto"/>
            <w:right w:val="none" w:sz="0" w:space="0" w:color="auto"/>
          </w:divBdr>
        </w:div>
        <w:div w:id="1118791200">
          <w:marLeft w:val="547"/>
          <w:marRight w:val="0"/>
          <w:marTop w:val="0"/>
          <w:marBottom w:val="120"/>
          <w:divBdr>
            <w:top w:val="none" w:sz="0" w:space="0" w:color="auto"/>
            <w:left w:val="none" w:sz="0" w:space="0" w:color="auto"/>
            <w:bottom w:val="none" w:sz="0" w:space="0" w:color="auto"/>
            <w:right w:val="none" w:sz="0" w:space="0" w:color="auto"/>
          </w:divBdr>
        </w:div>
        <w:div w:id="1355421258">
          <w:marLeft w:val="547"/>
          <w:marRight w:val="0"/>
          <w:marTop w:val="0"/>
          <w:marBottom w:val="120"/>
          <w:divBdr>
            <w:top w:val="none" w:sz="0" w:space="0" w:color="auto"/>
            <w:left w:val="none" w:sz="0" w:space="0" w:color="auto"/>
            <w:bottom w:val="none" w:sz="0" w:space="0" w:color="auto"/>
            <w:right w:val="none" w:sz="0" w:space="0" w:color="auto"/>
          </w:divBdr>
        </w:div>
        <w:div w:id="1496145297">
          <w:marLeft w:val="547"/>
          <w:marRight w:val="0"/>
          <w:marTop w:val="0"/>
          <w:marBottom w:val="120"/>
          <w:divBdr>
            <w:top w:val="none" w:sz="0" w:space="0" w:color="auto"/>
            <w:left w:val="none" w:sz="0" w:space="0" w:color="auto"/>
            <w:bottom w:val="none" w:sz="0" w:space="0" w:color="auto"/>
            <w:right w:val="none" w:sz="0" w:space="0" w:color="auto"/>
          </w:divBdr>
        </w:div>
        <w:div w:id="1677533075">
          <w:marLeft w:val="547"/>
          <w:marRight w:val="0"/>
          <w:marTop w:val="0"/>
          <w:marBottom w:val="120"/>
          <w:divBdr>
            <w:top w:val="none" w:sz="0" w:space="0" w:color="auto"/>
            <w:left w:val="none" w:sz="0" w:space="0" w:color="auto"/>
            <w:bottom w:val="none" w:sz="0" w:space="0" w:color="auto"/>
            <w:right w:val="none" w:sz="0" w:space="0" w:color="auto"/>
          </w:divBdr>
        </w:div>
      </w:divsChild>
    </w:div>
    <w:div w:id="1868787871">
      <w:bodyDiv w:val="1"/>
      <w:marLeft w:val="0"/>
      <w:marRight w:val="0"/>
      <w:marTop w:val="0"/>
      <w:marBottom w:val="0"/>
      <w:divBdr>
        <w:top w:val="none" w:sz="0" w:space="0" w:color="auto"/>
        <w:left w:val="none" w:sz="0" w:space="0" w:color="auto"/>
        <w:bottom w:val="none" w:sz="0" w:space="0" w:color="auto"/>
        <w:right w:val="none" w:sz="0" w:space="0" w:color="auto"/>
      </w:divBdr>
    </w:div>
    <w:div w:id="1926572258">
      <w:bodyDiv w:val="1"/>
      <w:marLeft w:val="0"/>
      <w:marRight w:val="0"/>
      <w:marTop w:val="0"/>
      <w:marBottom w:val="0"/>
      <w:divBdr>
        <w:top w:val="none" w:sz="0" w:space="0" w:color="auto"/>
        <w:left w:val="none" w:sz="0" w:space="0" w:color="auto"/>
        <w:bottom w:val="none" w:sz="0" w:space="0" w:color="auto"/>
        <w:right w:val="none" w:sz="0" w:space="0" w:color="auto"/>
      </w:divBdr>
    </w:div>
    <w:div w:id="1957372893">
      <w:bodyDiv w:val="1"/>
      <w:marLeft w:val="0"/>
      <w:marRight w:val="0"/>
      <w:marTop w:val="0"/>
      <w:marBottom w:val="0"/>
      <w:divBdr>
        <w:top w:val="none" w:sz="0" w:space="0" w:color="auto"/>
        <w:left w:val="none" w:sz="0" w:space="0" w:color="auto"/>
        <w:bottom w:val="none" w:sz="0" w:space="0" w:color="auto"/>
        <w:right w:val="none" w:sz="0" w:space="0" w:color="auto"/>
      </w:divBdr>
    </w:div>
    <w:div w:id="2036880221">
      <w:bodyDiv w:val="1"/>
      <w:marLeft w:val="0"/>
      <w:marRight w:val="0"/>
      <w:marTop w:val="0"/>
      <w:marBottom w:val="0"/>
      <w:divBdr>
        <w:top w:val="none" w:sz="0" w:space="0" w:color="auto"/>
        <w:left w:val="none" w:sz="0" w:space="0" w:color="auto"/>
        <w:bottom w:val="none" w:sz="0" w:space="0" w:color="auto"/>
        <w:right w:val="none" w:sz="0" w:space="0" w:color="auto"/>
      </w:divBdr>
    </w:div>
    <w:div w:id="2045134746">
      <w:bodyDiv w:val="1"/>
      <w:marLeft w:val="0"/>
      <w:marRight w:val="0"/>
      <w:marTop w:val="0"/>
      <w:marBottom w:val="0"/>
      <w:divBdr>
        <w:top w:val="none" w:sz="0" w:space="0" w:color="auto"/>
        <w:left w:val="none" w:sz="0" w:space="0" w:color="auto"/>
        <w:bottom w:val="none" w:sz="0" w:space="0" w:color="auto"/>
        <w:right w:val="none" w:sz="0" w:space="0" w:color="auto"/>
      </w:divBdr>
    </w:div>
    <w:div w:id="2058386849">
      <w:bodyDiv w:val="1"/>
      <w:marLeft w:val="0"/>
      <w:marRight w:val="0"/>
      <w:marTop w:val="0"/>
      <w:marBottom w:val="0"/>
      <w:divBdr>
        <w:top w:val="none" w:sz="0" w:space="0" w:color="auto"/>
        <w:left w:val="none" w:sz="0" w:space="0" w:color="auto"/>
        <w:bottom w:val="none" w:sz="0" w:space="0" w:color="auto"/>
        <w:right w:val="none" w:sz="0" w:space="0" w:color="auto"/>
      </w:divBdr>
    </w:div>
    <w:div w:id="2083213230">
      <w:bodyDiv w:val="1"/>
      <w:marLeft w:val="0"/>
      <w:marRight w:val="0"/>
      <w:marTop w:val="0"/>
      <w:marBottom w:val="0"/>
      <w:divBdr>
        <w:top w:val="none" w:sz="0" w:space="0" w:color="auto"/>
        <w:left w:val="none" w:sz="0" w:space="0" w:color="auto"/>
        <w:bottom w:val="none" w:sz="0" w:space="0" w:color="auto"/>
        <w:right w:val="none" w:sz="0" w:space="0" w:color="auto"/>
      </w:divBdr>
    </w:div>
    <w:div w:id="2131122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image" Target="media/image8.png"/><Relationship Id="rId26" Type="http://schemas.openxmlformats.org/officeDocument/2006/relationships/image" Target="media/image15.svg"/><Relationship Id="rId39" Type="http://schemas.openxmlformats.org/officeDocument/2006/relationships/fontTable" Target="fontTable.xml"/><Relationship Id="rId21" Type="http://schemas.openxmlformats.org/officeDocument/2006/relationships/image" Target="media/image10.png"/><Relationship Id="rId34" Type="http://schemas.openxmlformats.org/officeDocument/2006/relationships/image" Target="media/image23.sv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sv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chart" Target="charts/chart1.xml"/><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svg"/><Relationship Id="rId32" Type="http://schemas.openxmlformats.org/officeDocument/2006/relationships/image" Target="media/image21.sv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svg"/><Relationship Id="rId23" Type="http://schemas.openxmlformats.org/officeDocument/2006/relationships/image" Target="media/image12.png"/><Relationship Id="rId28" Type="http://schemas.openxmlformats.org/officeDocument/2006/relationships/image" Target="media/image17.svg"/><Relationship Id="rId36" Type="http://schemas.openxmlformats.org/officeDocument/2006/relationships/image" Target="media/image25.svg"/><Relationship Id="rId10" Type="http://schemas.openxmlformats.org/officeDocument/2006/relationships/endnotes" Target="endnotes.xml"/><Relationship Id="rId19" Type="http://schemas.openxmlformats.org/officeDocument/2006/relationships/image" Target="media/image9.sv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sv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webSettings" Target="webSettings.xml"/><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3" Type="http://schemas.openxmlformats.org/officeDocument/2006/relationships/oleObject" Target="https://creggov.sharepoint.com/sites/Regulacin-Energa-EE-Mercado-corto-plazo-CxC/Documentos%20compartidos/EE-Mercado-corto-plazo-CxC/Restricciones/ArranqueParada/Delta%20ingresos%20CAP%20y%20precio%20de%20Bolsa%20($_kWh)%20-%20Resoluci&#243;n_%20Diari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[Delta ingresos CAP y precio de Bolsa ($_kWh) - Resolución_ Diaria.xlsx]Hoja3!TablaDinámica2</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 Nacional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Hoja3!$B$1</c:f>
              <c:strCache>
                <c:ptCount val="1"/>
                <c:pt idx="0">
                  <c:v>Total</c:v>
                </c:pt>
              </c:strCache>
            </c:strRef>
          </c:tx>
          <c:spPr>
            <a:solidFill>
              <a:schemeClr val="accent1"/>
            </a:solidFill>
            <a:ln>
              <a:noFill/>
            </a:ln>
            <a:effectLst/>
          </c:spPr>
          <c:invertIfNegative val="0"/>
          <c:cat>
            <c:multiLvlStrRef>
              <c:f>Hoja3!$A$2:$A$758</c:f>
              <c:multiLvlStrCache>
                <c:ptCount val="730"/>
                <c:lvl>
                  <c:pt idx="0">
                    <c:v>1</c:v>
                  </c:pt>
                  <c:pt idx="1">
                    <c:v>3</c:v>
                  </c:pt>
                  <c:pt idx="2">
                    <c:v>4</c:v>
                  </c:pt>
                  <c:pt idx="3">
                    <c:v>5</c:v>
                  </c:pt>
                  <c:pt idx="4">
                    <c:v>6</c:v>
                  </c:pt>
                  <c:pt idx="5">
                    <c:v>7</c:v>
                  </c:pt>
                  <c:pt idx="6">
                    <c:v>8</c:v>
                  </c:pt>
                  <c:pt idx="7">
                    <c:v>9</c:v>
                  </c:pt>
                  <c:pt idx="8">
                    <c:v>10</c:v>
                  </c:pt>
                  <c:pt idx="9">
                    <c:v>11</c:v>
                  </c:pt>
                  <c:pt idx="10">
                    <c:v>12</c:v>
                  </c:pt>
                  <c:pt idx="11">
                    <c:v>13</c:v>
                  </c:pt>
                  <c:pt idx="12">
                    <c:v>14</c:v>
                  </c:pt>
                  <c:pt idx="13">
                    <c:v>15</c:v>
                  </c:pt>
                  <c:pt idx="14">
                    <c:v>16</c:v>
                  </c:pt>
                  <c:pt idx="15">
                    <c:v>17</c:v>
                  </c:pt>
                  <c:pt idx="16">
                    <c:v>18</c:v>
                  </c:pt>
                  <c:pt idx="17">
                    <c:v>19</c:v>
                  </c:pt>
                  <c:pt idx="18">
                    <c:v>20</c:v>
                  </c:pt>
                  <c:pt idx="19">
                    <c:v>21</c:v>
                  </c:pt>
                  <c:pt idx="20">
                    <c:v>22</c:v>
                  </c:pt>
                  <c:pt idx="21">
                    <c:v>23</c:v>
                  </c:pt>
                  <c:pt idx="22">
                    <c:v>24</c:v>
                  </c:pt>
                  <c:pt idx="23">
                    <c:v>25</c:v>
                  </c:pt>
                  <c:pt idx="24">
                    <c:v>26</c:v>
                  </c:pt>
                  <c:pt idx="25">
                    <c:v>27</c:v>
                  </c:pt>
                  <c:pt idx="26">
                    <c:v>28</c:v>
                  </c:pt>
                  <c:pt idx="27">
                    <c:v>29</c:v>
                  </c:pt>
                  <c:pt idx="28">
                    <c:v>30</c:v>
                  </c:pt>
                  <c:pt idx="29">
                    <c:v>31</c:v>
                  </c:pt>
                  <c:pt idx="30">
                    <c:v>2</c:v>
                  </c:pt>
                  <c:pt idx="31">
                    <c:v>1</c:v>
                  </c:pt>
                  <c:pt idx="32">
                    <c:v>2</c:v>
                  </c:pt>
                  <c:pt idx="33">
                    <c:v>3</c:v>
                  </c:pt>
                  <c:pt idx="34">
                    <c:v>4</c:v>
                  </c:pt>
                  <c:pt idx="35">
                    <c:v>5</c:v>
                  </c:pt>
                  <c:pt idx="36">
                    <c:v>6</c:v>
                  </c:pt>
                  <c:pt idx="37">
                    <c:v>7</c:v>
                  </c:pt>
                  <c:pt idx="38">
                    <c:v>8</c:v>
                  </c:pt>
                  <c:pt idx="39">
                    <c:v>9</c:v>
                  </c:pt>
                  <c:pt idx="40">
                    <c:v>10</c:v>
                  </c:pt>
                  <c:pt idx="41">
                    <c:v>11</c:v>
                  </c:pt>
                  <c:pt idx="42">
                    <c:v>12</c:v>
                  </c:pt>
                  <c:pt idx="43">
                    <c:v>13</c:v>
                  </c:pt>
                  <c:pt idx="44">
                    <c:v>14</c:v>
                  </c:pt>
                  <c:pt idx="45">
                    <c:v>15</c:v>
                  </c:pt>
                  <c:pt idx="46">
                    <c:v>16</c:v>
                  </c:pt>
                  <c:pt idx="47">
                    <c:v>17</c:v>
                  </c:pt>
                  <c:pt idx="48">
                    <c:v>18</c:v>
                  </c:pt>
                  <c:pt idx="49">
                    <c:v>19</c:v>
                  </c:pt>
                  <c:pt idx="50">
                    <c:v>20</c:v>
                  </c:pt>
                  <c:pt idx="51">
                    <c:v>21</c:v>
                  </c:pt>
                  <c:pt idx="52">
                    <c:v>22</c:v>
                  </c:pt>
                  <c:pt idx="53">
                    <c:v>23</c:v>
                  </c:pt>
                  <c:pt idx="54">
                    <c:v>24</c:v>
                  </c:pt>
                  <c:pt idx="55">
                    <c:v>25</c:v>
                  </c:pt>
                  <c:pt idx="56">
                    <c:v>26</c:v>
                  </c:pt>
                  <c:pt idx="57">
                    <c:v>27</c:v>
                  </c:pt>
                  <c:pt idx="58">
                    <c:v>28</c:v>
                  </c:pt>
                  <c:pt idx="59">
                    <c:v>1</c:v>
                  </c:pt>
                  <c:pt idx="60">
                    <c:v>2</c:v>
                  </c:pt>
                  <c:pt idx="61">
                    <c:v>3</c:v>
                  </c:pt>
                  <c:pt idx="62">
                    <c:v>4</c:v>
                  </c:pt>
                  <c:pt idx="63">
                    <c:v>5</c:v>
                  </c:pt>
                  <c:pt idx="64">
                    <c:v>6</c:v>
                  </c:pt>
                  <c:pt idx="65">
                    <c:v>7</c:v>
                  </c:pt>
                  <c:pt idx="66">
                    <c:v>8</c:v>
                  </c:pt>
                  <c:pt idx="67">
                    <c:v>9</c:v>
                  </c:pt>
                  <c:pt idx="68">
                    <c:v>10</c:v>
                  </c:pt>
                  <c:pt idx="69">
                    <c:v>11</c:v>
                  </c:pt>
                  <c:pt idx="70">
                    <c:v>12</c:v>
                  </c:pt>
                  <c:pt idx="71">
                    <c:v>13</c:v>
                  </c:pt>
                  <c:pt idx="72">
                    <c:v>14</c:v>
                  </c:pt>
                  <c:pt idx="73">
                    <c:v>15</c:v>
                  </c:pt>
                  <c:pt idx="74">
                    <c:v>16</c:v>
                  </c:pt>
                  <c:pt idx="75">
                    <c:v>17</c:v>
                  </c:pt>
                  <c:pt idx="76">
                    <c:v>18</c:v>
                  </c:pt>
                  <c:pt idx="77">
                    <c:v>19</c:v>
                  </c:pt>
                  <c:pt idx="78">
                    <c:v>20</c:v>
                  </c:pt>
                  <c:pt idx="79">
                    <c:v>21</c:v>
                  </c:pt>
                  <c:pt idx="80">
                    <c:v>22</c:v>
                  </c:pt>
                  <c:pt idx="81">
                    <c:v>23</c:v>
                  </c:pt>
                  <c:pt idx="82">
                    <c:v>24</c:v>
                  </c:pt>
                  <c:pt idx="83">
                    <c:v>25</c:v>
                  </c:pt>
                  <c:pt idx="84">
                    <c:v>26</c:v>
                  </c:pt>
                  <c:pt idx="85">
                    <c:v>27</c:v>
                  </c:pt>
                  <c:pt idx="86">
                    <c:v>28</c:v>
                  </c:pt>
                  <c:pt idx="87">
                    <c:v>29</c:v>
                  </c:pt>
                  <c:pt idx="88">
                    <c:v>30</c:v>
                  </c:pt>
                  <c:pt idx="89">
                    <c:v>31</c:v>
                  </c:pt>
                  <c:pt idx="90">
                    <c:v>1</c:v>
                  </c:pt>
                  <c:pt idx="91">
                    <c:v>2</c:v>
                  </c:pt>
                  <c:pt idx="92">
                    <c:v>3</c:v>
                  </c:pt>
                  <c:pt idx="93">
                    <c:v>4</c:v>
                  </c:pt>
                  <c:pt idx="94">
                    <c:v>5</c:v>
                  </c:pt>
                  <c:pt idx="95">
                    <c:v>6</c:v>
                  </c:pt>
                  <c:pt idx="96">
                    <c:v>7</c:v>
                  </c:pt>
                  <c:pt idx="97">
                    <c:v>8</c:v>
                  </c:pt>
                  <c:pt idx="98">
                    <c:v>9</c:v>
                  </c:pt>
                  <c:pt idx="99">
                    <c:v>10</c:v>
                  </c:pt>
                  <c:pt idx="100">
                    <c:v>11</c:v>
                  </c:pt>
                  <c:pt idx="101">
                    <c:v>12</c:v>
                  </c:pt>
                  <c:pt idx="102">
                    <c:v>13</c:v>
                  </c:pt>
                  <c:pt idx="103">
                    <c:v>14</c:v>
                  </c:pt>
                  <c:pt idx="104">
                    <c:v>15</c:v>
                  </c:pt>
                  <c:pt idx="105">
                    <c:v>16</c:v>
                  </c:pt>
                  <c:pt idx="106">
                    <c:v>17</c:v>
                  </c:pt>
                  <c:pt idx="107">
                    <c:v>18</c:v>
                  </c:pt>
                  <c:pt idx="108">
                    <c:v>19</c:v>
                  </c:pt>
                  <c:pt idx="109">
                    <c:v>20</c:v>
                  </c:pt>
                  <c:pt idx="110">
                    <c:v>21</c:v>
                  </c:pt>
                  <c:pt idx="111">
                    <c:v>22</c:v>
                  </c:pt>
                  <c:pt idx="112">
                    <c:v>23</c:v>
                  </c:pt>
                  <c:pt idx="113">
                    <c:v>24</c:v>
                  </c:pt>
                  <c:pt idx="114">
                    <c:v>25</c:v>
                  </c:pt>
                  <c:pt idx="115">
                    <c:v>26</c:v>
                  </c:pt>
                  <c:pt idx="116">
                    <c:v>27</c:v>
                  </c:pt>
                  <c:pt idx="117">
                    <c:v>28</c:v>
                  </c:pt>
                  <c:pt idx="118">
                    <c:v>29</c:v>
                  </c:pt>
                  <c:pt idx="119">
                    <c:v>30</c:v>
                  </c:pt>
                  <c:pt idx="120">
                    <c:v>1</c:v>
                  </c:pt>
                  <c:pt idx="121">
                    <c:v>2</c:v>
                  </c:pt>
                  <c:pt idx="122">
                    <c:v>3</c:v>
                  </c:pt>
                  <c:pt idx="123">
                    <c:v>4</c:v>
                  </c:pt>
                  <c:pt idx="124">
                    <c:v>5</c:v>
                  </c:pt>
                  <c:pt idx="125">
                    <c:v>6</c:v>
                  </c:pt>
                  <c:pt idx="126">
                    <c:v>7</c:v>
                  </c:pt>
                  <c:pt idx="127">
                    <c:v>8</c:v>
                  </c:pt>
                  <c:pt idx="128">
                    <c:v>9</c:v>
                  </c:pt>
                  <c:pt idx="129">
                    <c:v>10</c:v>
                  </c:pt>
                  <c:pt idx="130">
                    <c:v>11</c:v>
                  </c:pt>
                  <c:pt idx="131">
                    <c:v>12</c:v>
                  </c:pt>
                  <c:pt idx="132">
                    <c:v>13</c:v>
                  </c:pt>
                  <c:pt idx="133">
                    <c:v>14</c:v>
                  </c:pt>
                  <c:pt idx="134">
                    <c:v>15</c:v>
                  </c:pt>
                  <c:pt idx="135">
                    <c:v>16</c:v>
                  </c:pt>
                  <c:pt idx="136">
                    <c:v>17</c:v>
                  </c:pt>
                  <c:pt idx="137">
                    <c:v>18</c:v>
                  </c:pt>
                  <c:pt idx="138">
                    <c:v>19</c:v>
                  </c:pt>
                  <c:pt idx="139">
                    <c:v>20</c:v>
                  </c:pt>
                  <c:pt idx="140">
                    <c:v>21</c:v>
                  </c:pt>
                  <c:pt idx="141">
                    <c:v>22</c:v>
                  </c:pt>
                  <c:pt idx="142">
                    <c:v>23</c:v>
                  </c:pt>
                  <c:pt idx="143">
                    <c:v>24</c:v>
                  </c:pt>
                  <c:pt idx="144">
                    <c:v>25</c:v>
                  </c:pt>
                  <c:pt idx="145">
                    <c:v>26</c:v>
                  </c:pt>
                  <c:pt idx="146">
                    <c:v>27</c:v>
                  </c:pt>
                  <c:pt idx="147">
                    <c:v>28</c:v>
                  </c:pt>
                  <c:pt idx="148">
                    <c:v>29</c:v>
                  </c:pt>
                  <c:pt idx="149">
                    <c:v>30</c:v>
                  </c:pt>
                  <c:pt idx="150">
                    <c:v>31</c:v>
                  </c:pt>
                  <c:pt idx="151">
                    <c:v>1</c:v>
                  </c:pt>
                  <c:pt idx="152">
                    <c:v>2</c:v>
                  </c:pt>
                  <c:pt idx="153">
                    <c:v>3</c:v>
                  </c:pt>
                  <c:pt idx="154">
                    <c:v>4</c:v>
                  </c:pt>
                  <c:pt idx="155">
                    <c:v>5</c:v>
                  </c:pt>
                  <c:pt idx="156">
                    <c:v>6</c:v>
                  </c:pt>
                  <c:pt idx="157">
                    <c:v>7</c:v>
                  </c:pt>
                  <c:pt idx="158">
                    <c:v>8</c:v>
                  </c:pt>
                  <c:pt idx="159">
                    <c:v>9</c:v>
                  </c:pt>
                  <c:pt idx="160">
                    <c:v>10</c:v>
                  </c:pt>
                  <c:pt idx="161">
                    <c:v>11</c:v>
                  </c:pt>
                  <c:pt idx="162">
                    <c:v>12</c:v>
                  </c:pt>
                  <c:pt idx="163">
                    <c:v>13</c:v>
                  </c:pt>
                  <c:pt idx="164">
                    <c:v>14</c:v>
                  </c:pt>
                  <c:pt idx="165">
                    <c:v>15</c:v>
                  </c:pt>
                  <c:pt idx="166">
                    <c:v>16</c:v>
                  </c:pt>
                  <c:pt idx="167">
                    <c:v>17</c:v>
                  </c:pt>
                  <c:pt idx="168">
                    <c:v>18</c:v>
                  </c:pt>
                  <c:pt idx="169">
                    <c:v>19</c:v>
                  </c:pt>
                  <c:pt idx="170">
                    <c:v>20</c:v>
                  </c:pt>
                  <c:pt idx="171">
                    <c:v>21</c:v>
                  </c:pt>
                  <c:pt idx="172">
                    <c:v>22</c:v>
                  </c:pt>
                  <c:pt idx="173">
                    <c:v>23</c:v>
                  </c:pt>
                  <c:pt idx="174">
                    <c:v>24</c:v>
                  </c:pt>
                  <c:pt idx="175">
                    <c:v>25</c:v>
                  </c:pt>
                  <c:pt idx="176">
                    <c:v>26</c:v>
                  </c:pt>
                  <c:pt idx="177">
                    <c:v>27</c:v>
                  </c:pt>
                  <c:pt idx="178">
                    <c:v>28</c:v>
                  </c:pt>
                  <c:pt idx="179">
                    <c:v>29</c:v>
                  </c:pt>
                  <c:pt idx="180">
                    <c:v>30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1</c:v>
                  </c:pt>
                  <c:pt idx="213">
                    <c:v>2</c:v>
                  </c:pt>
                  <c:pt idx="214">
                    <c:v>3</c:v>
                  </c:pt>
                  <c:pt idx="215">
                    <c:v>4</c:v>
                  </c:pt>
                  <c:pt idx="216">
                    <c:v>5</c:v>
                  </c:pt>
                  <c:pt idx="217">
                    <c:v>6</c:v>
                  </c:pt>
                  <c:pt idx="218">
                    <c:v>7</c:v>
                  </c:pt>
                  <c:pt idx="219">
                    <c:v>8</c:v>
                  </c:pt>
                  <c:pt idx="220">
                    <c:v>9</c:v>
                  </c:pt>
                  <c:pt idx="221">
                    <c:v>10</c:v>
                  </c:pt>
                  <c:pt idx="222">
                    <c:v>11</c:v>
                  </c:pt>
                  <c:pt idx="223">
                    <c:v>12</c:v>
                  </c:pt>
                  <c:pt idx="224">
                    <c:v>13</c:v>
                  </c:pt>
                  <c:pt idx="225">
                    <c:v>14</c:v>
                  </c:pt>
                  <c:pt idx="226">
                    <c:v>15</c:v>
                  </c:pt>
                  <c:pt idx="227">
                    <c:v>16</c:v>
                  </c:pt>
                  <c:pt idx="228">
                    <c:v>17</c:v>
                  </c:pt>
                  <c:pt idx="229">
                    <c:v>18</c:v>
                  </c:pt>
                  <c:pt idx="230">
                    <c:v>19</c:v>
                  </c:pt>
                  <c:pt idx="231">
                    <c:v>20</c:v>
                  </c:pt>
                  <c:pt idx="232">
                    <c:v>21</c:v>
                  </c:pt>
                  <c:pt idx="233">
                    <c:v>22</c:v>
                  </c:pt>
                  <c:pt idx="234">
                    <c:v>23</c:v>
                  </c:pt>
                  <c:pt idx="235">
                    <c:v>24</c:v>
                  </c:pt>
                  <c:pt idx="236">
                    <c:v>25</c:v>
                  </c:pt>
                  <c:pt idx="237">
                    <c:v>26</c:v>
                  </c:pt>
                  <c:pt idx="238">
                    <c:v>27</c:v>
                  </c:pt>
                  <c:pt idx="239">
                    <c:v>28</c:v>
                  </c:pt>
                  <c:pt idx="240">
                    <c:v>29</c:v>
                  </c:pt>
                  <c:pt idx="241">
                    <c:v>30</c:v>
                  </c:pt>
                  <c:pt idx="242">
                    <c:v>31</c:v>
                  </c:pt>
                  <c:pt idx="243">
                    <c:v>1</c:v>
                  </c:pt>
                  <c:pt idx="244">
                    <c:v>2</c:v>
                  </c:pt>
                  <c:pt idx="245">
                    <c:v>3</c:v>
                  </c:pt>
                  <c:pt idx="246">
                    <c:v>4</c:v>
                  </c:pt>
                  <c:pt idx="247">
                    <c:v>5</c:v>
                  </c:pt>
                  <c:pt idx="248">
                    <c:v>6</c:v>
                  </c:pt>
                  <c:pt idx="249">
                    <c:v>7</c:v>
                  </c:pt>
                  <c:pt idx="250">
                    <c:v>8</c:v>
                  </c:pt>
                  <c:pt idx="251">
                    <c:v>9</c:v>
                  </c:pt>
                  <c:pt idx="252">
                    <c:v>10</c:v>
                  </c:pt>
                  <c:pt idx="253">
                    <c:v>11</c:v>
                  </c:pt>
                  <c:pt idx="254">
                    <c:v>12</c:v>
                  </c:pt>
                  <c:pt idx="255">
                    <c:v>13</c:v>
                  </c:pt>
                  <c:pt idx="256">
                    <c:v>14</c:v>
                  </c:pt>
                  <c:pt idx="257">
                    <c:v>15</c:v>
                  </c:pt>
                  <c:pt idx="258">
                    <c:v>16</c:v>
                  </c:pt>
                  <c:pt idx="259">
                    <c:v>17</c:v>
                  </c:pt>
                  <c:pt idx="260">
                    <c:v>18</c:v>
                  </c:pt>
                  <c:pt idx="261">
                    <c:v>19</c:v>
                  </c:pt>
                  <c:pt idx="262">
                    <c:v>20</c:v>
                  </c:pt>
                  <c:pt idx="263">
                    <c:v>21</c:v>
                  </c:pt>
                  <c:pt idx="264">
                    <c:v>22</c:v>
                  </c:pt>
                  <c:pt idx="265">
                    <c:v>23</c:v>
                  </c:pt>
                  <c:pt idx="266">
                    <c:v>24</c:v>
                  </c:pt>
                  <c:pt idx="267">
                    <c:v>25</c:v>
                  </c:pt>
                  <c:pt idx="268">
                    <c:v>26</c:v>
                  </c:pt>
                  <c:pt idx="269">
                    <c:v>27</c:v>
                  </c:pt>
                  <c:pt idx="270">
                    <c:v>28</c:v>
                  </c:pt>
                  <c:pt idx="271">
                    <c:v>29</c:v>
                  </c:pt>
                  <c:pt idx="272">
                    <c:v>30</c:v>
                  </c:pt>
                  <c:pt idx="273">
                    <c:v>1</c:v>
                  </c:pt>
                  <c:pt idx="274">
                    <c:v>2</c:v>
                  </c:pt>
                  <c:pt idx="275">
                    <c:v>3</c:v>
                  </c:pt>
                  <c:pt idx="276">
                    <c:v>4</c:v>
                  </c:pt>
                  <c:pt idx="277">
                    <c:v>5</c:v>
                  </c:pt>
                  <c:pt idx="278">
                    <c:v>6</c:v>
                  </c:pt>
                  <c:pt idx="279">
                    <c:v>7</c:v>
                  </c:pt>
                  <c:pt idx="280">
                    <c:v>8</c:v>
                  </c:pt>
                  <c:pt idx="281">
                    <c:v>9</c:v>
                  </c:pt>
                  <c:pt idx="282">
                    <c:v>10</c:v>
                  </c:pt>
                  <c:pt idx="283">
                    <c:v>11</c:v>
                  </c:pt>
                  <c:pt idx="284">
                    <c:v>12</c:v>
                  </c:pt>
                  <c:pt idx="285">
                    <c:v>13</c:v>
                  </c:pt>
                  <c:pt idx="286">
                    <c:v>14</c:v>
                  </c:pt>
                  <c:pt idx="287">
                    <c:v>15</c:v>
                  </c:pt>
                  <c:pt idx="288">
                    <c:v>16</c:v>
                  </c:pt>
                  <c:pt idx="289">
                    <c:v>17</c:v>
                  </c:pt>
                  <c:pt idx="290">
                    <c:v>18</c:v>
                  </c:pt>
                  <c:pt idx="291">
                    <c:v>19</c:v>
                  </c:pt>
                  <c:pt idx="292">
                    <c:v>20</c:v>
                  </c:pt>
                  <c:pt idx="293">
                    <c:v>21</c:v>
                  </c:pt>
                  <c:pt idx="294">
                    <c:v>22</c:v>
                  </c:pt>
                  <c:pt idx="295">
                    <c:v>23</c:v>
                  </c:pt>
                  <c:pt idx="296">
                    <c:v>24</c:v>
                  </c:pt>
                  <c:pt idx="297">
                    <c:v>25</c:v>
                  </c:pt>
                  <c:pt idx="298">
                    <c:v>26</c:v>
                  </c:pt>
                  <c:pt idx="299">
                    <c:v>27</c:v>
                  </c:pt>
                  <c:pt idx="300">
                    <c:v>28</c:v>
                  </c:pt>
                  <c:pt idx="301">
                    <c:v>29</c:v>
                  </c:pt>
                  <c:pt idx="302">
                    <c:v>30</c:v>
                  </c:pt>
                  <c:pt idx="303">
                    <c:v>31</c:v>
                  </c:pt>
                  <c:pt idx="304">
                    <c:v>1</c:v>
                  </c:pt>
                  <c:pt idx="305">
                    <c:v>2</c:v>
                  </c:pt>
                  <c:pt idx="306">
                    <c:v>3</c:v>
                  </c:pt>
                  <c:pt idx="307">
                    <c:v>4</c:v>
                  </c:pt>
                  <c:pt idx="308">
                    <c:v>5</c:v>
                  </c:pt>
                  <c:pt idx="309">
                    <c:v>6</c:v>
                  </c:pt>
                  <c:pt idx="310">
                    <c:v>7</c:v>
                  </c:pt>
                  <c:pt idx="311">
                    <c:v>8</c:v>
                  </c:pt>
                  <c:pt idx="312">
                    <c:v>9</c:v>
                  </c:pt>
                  <c:pt idx="313">
                    <c:v>10</c:v>
                  </c:pt>
                  <c:pt idx="314">
                    <c:v>11</c:v>
                  </c:pt>
                  <c:pt idx="315">
                    <c:v>12</c:v>
                  </c:pt>
                  <c:pt idx="316">
                    <c:v>13</c:v>
                  </c:pt>
                  <c:pt idx="317">
                    <c:v>14</c:v>
                  </c:pt>
                  <c:pt idx="318">
                    <c:v>15</c:v>
                  </c:pt>
                  <c:pt idx="319">
                    <c:v>16</c:v>
                  </c:pt>
                  <c:pt idx="320">
                    <c:v>17</c:v>
                  </c:pt>
                  <c:pt idx="321">
                    <c:v>18</c:v>
                  </c:pt>
                  <c:pt idx="322">
                    <c:v>19</c:v>
                  </c:pt>
                  <c:pt idx="323">
                    <c:v>20</c:v>
                  </c:pt>
                  <c:pt idx="324">
                    <c:v>21</c:v>
                  </c:pt>
                  <c:pt idx="325">
                    <c:v>22</c:v>
                  </c:pt>
                  <c:pt idx="326">
                    <c:v>23</c:v>
                  </c:pt>
                  <c:pt idx="327">
                    <c:v>24</c:v>
                  </c:pt>
                  <c:pt idx="328">
                    <c:v>25</c:v>
                  </c:pt>
                  <c:pt idx="329">
                    <c:v>26</c:v>
                  </c:pt>
                  <c:pt idx="330">
                    <c:v>27</c:v>
                  </c:pt>
                  <c:pt idx="331">
                    <c:v>28</c:v>
                  </c:pt>
                  <c:pt idx="332">
                    <c:v>29</c:v>
                  </c:pt>
                  <c:pt idx="333">
                    <c:v>30</c:v>
                  </c:pt>
                  <c:pt idx="334">
                    <c:v>1</c:v>
                  </c:pt>
                  <c:pt idx="335">
                    <c:v>2</c:v>
                  </c:pt>
                  <c:pt idx="336">
                    <c:v>3</c:v>
                  </c:pt>
                  <c:pt idx="337">
                    <c:v>4</c:v>
                  </c:pt>
                  <c:pt idx="338">
                    <c:v>5</c:v>
                  </c:pt>
                  <c:pt idx="339">
                    <c:v>6</c:v>
                  </c:pt>
                  <c:pt idx="340">
                    <c:v>7</c:v>
                  </c:pt>
                  <c:pt idx="341">
                    <c:v>8</c:v>
                  </c:pt>
                  <c:pt idx="342">
                    <c:v>9</c:v>
                  </c:pt>
                  <c:pt idx="343">
                    <c:v>10</c:v>
                  </c:pt>
                  <c:pt idx="344">
                    <c:v>11</c:v>
                  </c:pt>
                  <c:pt idx="345">
                    <c:v>12</c:v>
                  </c:pt>
                  <c:pt idx="346">
                    <c:v>13</c:v>
                  </c:pt>
                  <c:pt idx="347">
                    <c:v>14</c:v>
                  </c:pt>
                  <c:pt idx="348">
                    <c:v>15</c:v>
                  </c:pt>
                  <c:pt idx="349">
                    <c:v>16</c:v>
                  </c:pt>
                  <c:pt idx="350">
                    <c:v>17</c:v>
                  </c:pt>
                  <c:pt idx="351">
                    <c:v>18</c:v>
                  </c:pt>
                  <c:pt idx="352">
                    <c:v>19</c:v>
                  </c:pt>
                  <c:pt idx="353">
                    <c:v>20</c:v>
                  </c:pt>
                  <c:pt idx="354">
                    <c:v>21</c:v>
                  </c:pt>
                  <c:pt idx="355">
                    <c:v>22</c:v>
                  </c:pt>
                  <c:pt idx="356">
                    <c:v>23</c:v>
                  </c:pt>
                  <c:pt idx="357">
                    <c:v>24</c:v>
                  </c:pt>
                  <c:pt idx="358">
                    <c:v>25</c:v>
                  </c:pt>
                  <c:pt idx="359">
                    <c:v>26</c:v>
                  </c:pt>
                  <c:pt idx="360">
                    <c:v>27</c:v>
                  </c:pt>
                  <c:pt idx="361">
                    <c:v>28</c:v>
                  </c:pt>
                  <c:pt idx="362">
                    <c:v>29</c:v>
                  </c:pt>
                  <c:pt idx="363">
                    <c:v>30</c:v>
                  </c:pt>
                  <c:pt idx="364">
                    <c:v>31</c:v>
                  </c:pt>
                  <c:pt idx="365">
                    <c:v>1</c:v>
                  </c:pt>
                  <c:pt idx="366">
                    <c:v>2</c:v>
                  </c:pt>
                  <c:pt idx="367">
                    <c:v>3</c:v>
                  </c:pt>
                  <c:pt idx="368">
                    <c:v>4</c:v>
                  </c:pt>
                  <c:pt idx="369">
                    <c:v>5</c:v>
                  </c:pt>
                  <c:pt idx="370">
                    <c:v>6</c:v>
                  </c:pt>
                  <c:pt idx="371">
                    <c:v>7</c:v>
                  </c:pt>
                  <c:pt idx="372">
                    <c:v>8</c:v>
                  </c:pt>
                  <c:pt idx="373">
                    <c:v>9</c:v>
                  </c:pt>
                  <c:pt idx="374">
                    <c:v>10</c:v>
                  </c:pt>
                  <c:pt idx="375">
                    <c:v>11</c:v>
                  </c:pt>
                  <c:pt idx="376">
                    <c:v>12</c:v>
                  </c:pt>
                  <c:pt idx="377">
                    <c:v>13</c:v>
                  </c:pt>
                  <c:pt idx="378">
                    <c:v>14</c:v>
                  </c:pt>
                  <c:pt idx="379">
                    <c:v>15</c:v>
                  </c:pt>
                  <c:pt idx="380">
                    <c:v>16</c:v>
                  </c:pt>
                  <c:pt idx="381">
                    <c:v>17</c:v>
                  </c:pt>
                  <c:pt idx="382">
                    <c:v>18</c:v>
                  </c:pt>
                  <c:pt idx="383">
                    <c:v>19</c:v>
                  </c:pt>
                  <c:pt idx="384">
                    <c:v>20</c:v>
                  </c:pt>
                  <c:pt idx="385">
                    <c:v>21</c:v>
                  </c:pt>
                  <c:pt idx="386">
                    <c:v>22</c:v>
                  </c:pt>
                  <c:pt idx="387">
                    <c:v>23</c:v>
                  </c:pt>
                  <c:pt idx="388">
                    <c:v>24</c:v>
                  </c:pt>
                  <c:pt idx="389">
                    <c:v>25</c:v>
                  </c:pt>
                  <c:pt idx="390">
                    <c:v>26</c:v>
                  </c:pt>
                  <c:pt idx="391">
                    <c:v>27</c:v>
                  </c:pt>
                  <c:pt idx="392">
                    <c:v>28</c:v>
                  </c:pt>
                  <c:pt idx="393">
                    <c:v>29</c:v>
                  </c:pt>
                  <c:pt idx="394">
                    <c:v>30</c:v>
                  </c:pt>
                  <c:pt idx="395">
                    <c:v>31</c:v>
                  </c:pt>
                  <c:pt idx="396">
                    <c:v>1</c:v>
                  </c:pt>
                  <c:pt idx="397">
                    <c:v>2</c:v>
                  </c:pt>
                  <c:pt idx="398">
                    <c:v>3</c:v>
                  </c:pt>
                  <c:pt idx="399">
                    <c:v>4</c:v>
                  </c:pt>
                  <c:pt idx="400">
                    <c:v>5</c:v>
                  </c:pt>
                  <c:pt idx="401">
                    <c:v>6</c:v>
                  </c:pt>
                  <c:pt idx="402">
                    <c:v>7</c:v>
                  </c:pt>
                  <c:pt idx="403">
                    <c:v>8</c:v>
                  </c:pt>
                  <c:pt idx="404">
                    <c:v>9</c:v>
                  </c:pt>
                  <c:pt idx="405">
                    <c:v>10</c:v>
                  </c:pt>
                  <c:pt idx="406">
                    <c:v>11</c:v>
                  </c:pt>
                  <c:pt idx="407">
                    <c:v>12</c:v>
                  </c:pt>
                  <c:pt idx="408">
                    <c:v>13</c:v>
                  </c:pt>
                  <c:pt idx="409">
                    <c:v>14</c:v>
                  </c:pt>
                  <c:pt idx="410">
                    <c:v>15</c:v>
                  </c:pt>
                  <c:pt idx="411">
                    <c:v>16</c:v>
                  </c:pt>
                  <c:pt idx="412">
                    <c:v>17</c:v>
                  </c:pt>
                  <c:pt idx="413">
                    <c:v>18</c:v>
                  </c:pt>
                  <c:pt idx="414">
                    <c:v>19</c:v>
                  </c:pt>
                  <c:pt idx="415">
                    <c:v>20</c:v>
                  </c:pt>
                  <c:pt idx="416">
                    <c:v>21</c:v>
                  </c:pt>
                  <c:pt idx="417">
                    <c:v>22</c:v>
                  </c:pt>
                  <c:pt idx="418">
                    <c:v>23</c:v>
                  </c:pt>
                  <c:pt idx="419">
                    <c:v>24</c:v>
                  </c:pt>
                  <c:pt idx="420">
                    <c:v>25</c:v>
                  </c:pt>
                  <c:pt idx="421">
                    <c:v>26</c:v>
                  </c:pt>
                  <c:pt idx="422">
                    <c:v>27</c:v>
                  </c:pt>
                  <c:pt idx="423">
                    <c:v>28</c:v>
                  </c:pt>
                  <c:pt idx="424">
                    <c:v>1</c:v>
                  </c:pt>
                  <c:pt idx="425">
                    <c:v>2</c:v>
                  </c:pt>
                  <c:pt idx="426">
                    <c:v>3</c:v>
                  </c:pt>
                  <c:pt idx="427">
                    <c:v>4</c:v>
                  </c:pt>
                  <c:pt idx="428">
                    <c:v>5</c:v>
                  </c:pt>
                  <c:pt idx="429">
                    <c:v>6</c:v>
                  </c:pt>
                  <c:pt idx="430">
                    <c:v>7</c:v>
                  </c:pt>
                  <c:pt idx="431">
                    <c:v>8</c:v>
                  </c:pt>
                  <c:pt idx="432">
                    <c:v>9</c:v>
                  </c:pt>
                  <c:pt idx="433">
                    <c:v>10</c:v>
                  </c:pt>
                  <c:pt idx="434">
                    <c:v>11</c:v>
                  </c:pt>
                  <c:pt idx="435">
                    <c:v>12</c:v>
                  </c:pt>
                  <c:pt idx="436">
                    <c:v>13</c:v>
                  </c:pt>
                  <c:pt idx="437">
                    <c:v>14</c:v>
                  </c:pt>
                  <c:pt idx="438">
                    <c:v>15</c:v>
                  </c:pt>
                  <c:pt idx="439">
                    <c:v>16</c:v>
                  </c:pt>
                  <c:pt idx="440">
                    <c:v>17</c:v>
                  </c:pt>
                  <c:pt idx="441">
                    <c:v>18</c:v>
                  </c:pt>
                  <c:pt idx="442">
                    <c:v>19</c:v>
                  </c:pt>
                  <c:pt idx="443">
                    <c:v>20</c:v>
                  </c:pt>
                  <c:pt idx="444">
                    <c:v>21</c:v>
                  </c:pt>
                  <c:pt idx="445">
                    <c:v>22</c:v>
                  </c:pt>
                  <c:pt idx="446">
                    <c:v>23</c:v>
                  </c:pt>
                  <c:pt idx="447">
                    <c:v>24</c:v>
                  </c:pt>
                  <c:pt idx="448">
                    <c:v>25</c:v>
                  </c:pt>
                  <c:pt idx="449">
                    <c:v>26</c:v>
                  </c:pt>
                  <c:pt idx="450">
                    <c:v>27</c:v>
                  </c:pt>
                  <c:pt idx="451">
                    <c:v>28</c:v>
                  </c:pt>
                  <c:pt idx="452">
                    <c:v>29</c:v>
                  </c:pt>
                  <c:pt idx="453">
                    <c:v>30</c:v>
                  </c:pt>
                  <c:pt idx="454">
                    <c:v>31</c:v>
                  </c:pt>
                  <c:pt idx="455">
                    <c:v>1</c:v>
                  </c:pt>
                  <c:pt idx="456">
                    <c:v>2</c:v>
                  </c:pt>
                  <c:pt idx="457">
                    <c:v>3</c:v>
                  </c:pt>
                  <c:pt idx="458">
                    <c:v>4</c:v>
                  </c:pt>
                  <c:pt idx="459">
                    <c:v>5</c:v>
                  </c:pt>
                  <c:pt idx="460">
                    <c:v>6</c:v>
                  </c:pt>
                  <c:pt idx="461">
                    <c:v>7</c:v>
                  </c:pt>
                  <c:pt idx="462">
                    <c:v>8</c:v>
                  </c:pt>
                  <c:pt idx="463">
                    <c:v>9</c:v>
                  </c:pt>
                  <c:pt idx="464">
                    <c:v>10</c:v>
                  </c:pt>
                  <c:pt idx="465">
                    <c:v>11</c:v>
                  </c:pt>
                  <c:pt idx="466">
                    <c:v>12</c:v>
                  </c:pt>
                  <c:pt idx="467">
                    <c:v>13</c:v>
                  </c:pt>
                  <c:pt idx="468">
                    <c:v>14</c:v>
                  </c:pt>
                  <c:pt idx="469">
                    <c:v>15</c:v>
                  </c:pt>
                  <c:pt idx="470">
                    <c:v>16</c:v>
                  </c:pt>
                  <c:pt idx="471">
                    <c:v>17</c:v>
                  </c:pt>
                  <c:pt idx="472">
                    <c:v>18</c:v>
                  </c:pt>
                  <c:pt idx="473">
                    <c:v>19</c:v>
                  </c:pt>
                  <c:pt idx="474">
                    <c:v>20</c:v>
                  </c:pt>
                  <c:pt idx="475">
                    <c:v>21</c:v>
                  </c:pt>
                  <c:pt idx="476">
                    <c:v>22</c:v>
                  </c:pt>
                  <c:pt idx="477">
                    <c:v>23</c:v>
                  </c:pt>
                  <c:pt idx="478">
                    <c:v>24</c:v>
                  </c:pt>
                  <c:pt idx="479">
                    <c:v>25</c:v>
                  </c:pt>
                  <c:pt idx="480">
                    <c:v>26</c:v>
                  </c:pt>
                  <c:pt idx="481">
                    <c:v>27</c:v>
                  </c:pt>
                  <c:pt idx="482">
                    <c:v>28</c:v>
                  </c:pt>
                  <c:pt idx="483">
                    <c:v>29</c:v>
                  </c:pt>
                  <c:pt idx="484">
                    <c:v>30</c:v>
                  </c:pt>
                  <c:pt idx="485">
                    <c:v>1</c:v>
                  </c:pt>
                  <c:pt idx="486">
                    <c:v>2</c:v>
                  </c:pt>
                  <c:pt idx="487">
                    <c:v>3</c:v>
                  </c:pt>
                  <c:pt idx="488">
                    <c:v>4</c:v>
                  </c:pt>
                  <c:pt idx="489">
                    <c:v>5</c:v>
                  </c:pt>
                  <c:pt idx="490">
                    <c:v>6</c:v>
                  </c:pt>
                  <c:pt idx="491">
                    <c:v>7</c:v>
                  </c:pt>
                  <c:pt idx="492">
                    <c:v>8</c:v>
                  </c:pt>
                  <c:pt idx="493">
                    <c:v>9</c:v>
                  </c:pt>
                  <c:pt idx="494">
                    <c:v>10</c:v>
                  </c:pt>
                  <c:pt idx="495">
                    <c:v>11</c:v>
                  </c:pt>
                  <c:pt idx="496">
                    <c:v>12</c:v>
                  </c:pt>
                  <c:pt idx="497">
                    <c:v>13</c:v>
                  </c:pt>
                  <c:pt idx="498">
                    <c:v>14</c:v>
                  </c:pt>
                  <c:pt idx="499">
                    <c:v>15</c:v>
                  </c:pt>
                  <c:pt idx="500">
                    <c:v>16</c:v>
                  </c:pt>
                  <c:pt idx="501">
                    <c:v>17</c:v>
                  </c:pt>
                  <c:pt idx="502">
                    <c:v>18</c:v>
                  </c:pt>
                  <c:pt idx="503">
                    <c:v>19</c:v>
                  </c:pt>
                  <c:pt idx="504">
                    <c:v>20</c:v>
                  </c:pt>
                  <c:pt idx="505">
                    <c:v>21</c:v>
                  </c:pt>
                  <c:pt idx="506">
                    <c:v>22</c:v>
                  </c:pt>
                  <c:pt idx="507">
                    <c:v>23</c:v>
                  </c:pt>
                  <c:pt idx="508">
                    <c:v>24</c:v>
                  </c:pt>
                  <c:pt idx="509">
                    <c:v>25</c:v>
                  </c:pt>
                  <c:pt idx="510">
                    <c:v>26</c:v>
                  </c:pt>
                  <c:pt idx="511">
                    <c:v>27</c:v>
                  </c:pt>
                  <c:pt idx="512">
                    <c:v>28</c:v>
                  </c:pt>
                  <c:pt idx="513">
                    <c:v>29</c:v>
                  </c:pt>
                  <c:pt idx="514">
                    <c:v>30</c:v>
                  </c:pt>
                  <c:pt idx="515">
                    <c:v>31</c:v>
                  </c:pt>
                  <c:pt idx="516">
                    <c:v>1</c:v>
                  </c:pt>
                  <c:pt idx="517">
                    <c:v>2</c:v>
                  </c:pt>
                  <c:pt idx="518">
                    <c:v>3</c:v>
                  </c:pt>
                  <c:pt idx="519">
                    <c:v>4</c:v>
                  </c:pt>
                  <c:pt idx="520">
                    <c:v>5</c:v>
                  </c:pt>
                  <c:pt idx="521">
                    <c:v>6</c:v>
                  </c:pt>
                  <c:pt idx="522">
                    <c:v>7</c:v>
                  </c:pt>
                  <c:pt idx="523">
                    <c:v>8</c:v>
                  </c:pt>
                  <c:pt idx="524">
                    <c:v>9</c:v>
                  </c:pt>
                  <c:pt idx="525">
                    <c:v>10</c:v>
                  </c:pt>
                  <c:pt idx="526">
                    <c:v>11</c:v>
                  </c:pt>
                  <c:pt idx="527">
                    <c:v>12</c:v>
                  </c:pt>
                  <c:pt idx="528">
                    <c:v>13</c:v>
                  </c:pt>
                  <c:pt idx="529">
                    <c:v>14</c:v>
                  </c:pt>
                  <c:pt idx="530">
                    <c:v>15</c:v>
                  </c:pt>
                  <c:pt idx="531">
                    <c:v>16</c:v>
                  </c:pt>
                  <c:pt idx="532">
                    <c:v>17</c:v>
                  </c:pt>
                  <c:pt idx="533">
                    <c:v>18</c:v>
                  </c:pt>
                  <c:pt idx="534">
                    <c:v>19</c:v>
                  </c:pt>
                  <c:pt idx="535">
                    <c:v>20</c:v>
                  </c:pt>
                  <c:pt idx="536">
                    <c:v>21</c:v>
                  </c:pt>
                  <c:pt idx="537">
                    <c:v>22</c:v>
                  </c:pt>
                  <c:pt idx="538">
                    <c:v>23</c:v>
                  </c:pt>
                  <c:pt idx="539">
                    <c:v>24</c:v>
                  </c:pt>
                  <c:pt idx="540">
                    <c:v>25</c:v>
                  </c:pt>
                  <c:pt idx="541">
                    <c:v>26</c:v>
                  </c:pt>
                  <c:pt idx="542">
                    <c:v>27</c:v>
                  </c:pt>
                  <c:pt idx="543">
                    <c:v>28</c:v>
                  </c:pt>
                  <c:pt idx="544">
                    <c:v>29</c:v>
                  </c:pt>
                  <c:pt idx="545">
                    <c:v>30</c:v>
                  </c:pt>
                  <c:pt idx="546">
                    <c:v>1</c:v>
                  </c:pt>
                  <c:pt idx="547">
                    <c:v>2</c:v>
                  </c:pt>
                  <c:pt idx="548">
                    <c:v>3</c:v>
                  </c:pt>
                  <c:pt idx="549">
                    <c:v>4</c:v>
                  </c:pt>
                  <c:pt idx="550">
                    <c:v>5</c:v>
                  </c:pt>
                  <c:pt idx="551">
                    <c:v>6</c:v>
                  </c:pt>
                  <c:pt idx="552">
                    <c:v>7</c:v>
                  </c:pt>
                  <c:pt idx="553">
                    <c:v>8</c:v>
                  </c:pt>
                  <c:pt idx="554">
                    <c:v>9</c:v>
                  </c:pt>
                  <c:pt idx="555">
                    <c:v>10</c:v>
                  </c:pt>
                  <c:pt idx="556">
                    <c:v>11</c:v>
                  </c:pt>
                  <c:pt idx="557">
                    <c:v>12</c:v>
                  </c:pt>
                  <c:pt idx="558">
                    <c:v>13</c:v>
                  </c:pt>
                  <c:pt idx="559">
                    <c:v>14</c:v>
                  </c:pt>
                  <c:pt idx="560">
                    <c:v>15</c:v>
                  </c:pt>
                  <c:pt idx="561">
                    <c:v>16</c:v>
                  </c:pt>
                  <c:pt idx="562">
                    <c:v>17</c:v>
                  </c:pt>
                  <c:pt idx="563">
                    <c:v>18</c:v>
                  </c:pt>
                  <c:pt idx="564">
                    <c:v>19</c:v>
                  </c:pt>
                  <c:pt idx="565">
                    <c:v>20</c:v>
                  </c:pt>
                  <c:pt idx="566">
                    <c:v>21</c:v>
                  </c:pt>
                  <c:pt idx="567">
                    <c:v>22</c:v>
                  </c:pt>
                  <c:pt idx="568">
                    <c:v>23</c:v>
                  </c:pt>
                  <c:pt idx="569">
                    <c:v>24</c:v>
                  </c:pt>
                  <c:pt idx="570">
                    <c:v>25</c:v>
                  </c:pt>
                  <c:pt idx="571">
                    <c:v>26</c:v>
                  </c:pt>
                  <c:pt idx="572">
                    <c:v>27</c:v>
                  </c:pt>
                  <c:pt idx="573">
                    <c:v>28</c:v>
                  </c:pt>
                  <c:pt idx="574">
                    <c:v>29</c:v>
                  </c:pt>
                  <c:pt idx="575">
                    <c:v>30</c:v>
                  </c:pt>
                  <c:pt idx="576">
                    <c:v>31</c:v>
                  </c:pt>
                  <c:pt idx="577">
                    <c:v>1</c:v>
                  </c:pt>
                  <c:pt idx="578">
                    <c:v>2</c:v>
                  </c:pt>
                  <c:pt idx="579">
                    <c:v>3</c:v>
                  </c:pt>
                  <c:pt idx="580">
                    <c:v>4</c:v>
                  </c:pt>
                  <c:pt idx="581">
                    <c:v>5</c:v>
                  </c:pt>
                  <c:pt idx="582">
                    <c:v>6</c:v>
                  </c:pt>
                  <c:pt idx="583">
                    <c:v>7</c:v>
                  </c:pt>
                  <c:pt idx="584">
                    <c:v>8</c:v>
                  </c:pt>
                  <c:pt idx="585">
                    <c:v>9</c:v>
                  </c:pt>
                  <c:pt idx="586">
                    <c:v>10</c:v>
                  </c:pt>
                  <c:pt idx="587">
                    <c:v>11</c:v>
                  </c:pt>
                  <c:pt idx="588">
                    <c:v>12</c:v>
                  </c:pt>
                  <c:pt idx="589">
                    <c:v>13</c:v>
                  </c:pt>
                  <c:pt idx="590">
                    <c:v>14</c:v>
                  </c:pt>
                  <c:pt idx="591">
                    <c:v>15</c:v>
                  </c:pt>
                  <c:pt idx="592">
                    <c:v>16</c:v>
                  </c:pt>
                  <c:pt idx="593">
                    <c:v>17</c:v>
                  </c:pt>
                  <c:pt idx="594">
                    <c:v>18</c:v>
                  </c:pt>
                  <c:pt idx="595">
                    <c:v>19</c:v>
                  </c:pt>
                  <c:pt idx="596">
                    <c:v>20</c:v>
                  </c:pt>
                  <c:pt idx="597">
                    <c:v>21</c:v>
                  </c:pt>
                  <c:pt idx="598">
                    <c:v>22</c:v>
                  </c:pt>
                  <c:pt idx="599">
                    <c:v>23</c:v>
                  </c:pt>
                  <c:pt idx="600">
                    <c:v>24</c:v>
                  </c:pt>
                  <c:pt idx="601">
                    <c:v>25</c:v>
                  </c:pt>
                  <c:pt idx="602">
                    <c:v>26</c:v>
                  </c:pt>
                  <c:pt idx="603">
                    <c:v>27</c:v>
                  </c:pt>
                  <c:pt idx="604">
                    <c:v>28</c:v>
                  </c:pt>
                  <c:pt idx="605">
                    <c:v>29</c:v>
                  </c:pt>
                  <c:pt idx="606">
                    <c:v>30</c:v>
                  </c:pt>
                  <c:pt idx="607">
                    <c:v>31</c:v>
                  </c:pt>
                  <c:pt idx="608">
                    <c:v>1</c:v>
                  </c:pt>
                  <c:pt idx="609">
                    <c:v>2</c:v>
                  </c:pt>
                  <c:pt idx="610">
                    <c:v>3</c:v>
                  </c:pt>
                  <c:pt idx="611">
                    <c:v>4</c:v>
                  </c:pt>
                  <c:pt idx="612">
                    <c:v>5</c:v>
                  </c:pt>
                  <c:pt idx="613">
                    <c:v>6</c:v>
                  </c:pt>
                  <c:pt idx="614">
                    <c:v>7</c:v>
                  </c:pt>
                  <c:pt idx="615">
                    <c:v>8</c:v>
                  </c:pt>
                  <c:pt idx="616">
                    <c:v>9</c:v>
                  </c:pt>
                  <c:pt idx="617">
                    <c:v>10</c:v>
                  </c:pt>
                  <c:pt idx="618">
                    <c:v>11</c:v>
                  </c:pt>
                  <c:pt idx="619">
                    <c:v>12</c:v>
                  </c:pt>
                  <c:pt idx="620">
                    <c:v>13</c:v>
                  </c:pt>
                  <c:pt idx="621">
                    <c:v>14</c:v>
                  </c:pt>
                  <c:pt idx="622">
                    <c:v>15</c:v>
                  </c:pt>
                  <c:pt idx="623">
                    <c:v>16</c:v>
                  </c:pt>
                  <c:pt idx="624">
                    <c:v>17</c:v>
                  </c:pt>
                  <c:pt idx="625">
                    <c:v>18</c:v>
                  </c:pt>
                  <c:pt idx="626">
                    <c:v>19</c:v>
                  </c:pt>
                  <c:pt idx="627">
                    <c:v>20</c:v>
                  </c:pt>
                  <c:pt idx="628">
                    <c:v>21</c:v>
                  </c:pt>
                  <c:pt idx="629">
                    <c:v>22</c:v>
                  </c:pt>
                  <c:pt idx="630">
                    <c:v>23</c:v>
                  </c:pt>
                  <c:pt idx="631">
                    <c:v>24</c:v>
                  </c:pt>
                  <c:pt idx="632">
                    <c:v>25</c:v>
                  </c:pt>
                  <c:pt idx="633">
                    <c:v>26</c:v>
                  </c:pt>
                  <c:pt idx="634">
                    <c:v>27</c:v>
                  </c:pt>
                  <c:pt idx="635">
                    <c:v>28</c:v>
                  </c:pt>
                  <c:pt idx="636">
                    <c:v>29</c:v>
                  </c:pt>
                  <c:pt idx="637">
                    <c:v>30</c:v>
                  </c:pt>
                  <c:pt idx="638">
                    <c:v>1</c:v>
                  </c:pt>
                  <c:pt idx="639">
                    <c:v>2</c:v>
                  </c:pt>
                  <c:pt idx="640">
                    <c:v>3</c:v>
                  </c:pt>
                  <c:pt idx="641">
                    <c:v>4</c:v>
                  </c:pt>
                  <c:pt idx="642">
                    <c:v>5</c:v>
                  </c:pt>
                  <c:pt idx="643">
                    <c:v>6</c:v>
                  </c:pt>
                  <c:pt idx="644">
                    <c:v>7</c:v>
                  </c:pt>
                  <c:pt idx="645">
                    <c:v>8</c:v>
                  </c:pt>
                  <c:pt idx="646">
                    <c:v>9</c:v>
                  </c:pt>
                  <c:pt idx="647">
                    <c:v>10</c:v>
                  </c:pt>
                  <c:pt idx="648">
                    <c:v>11</c:v>
                  </c:pt>
                  <c:pt idx="649">
                    <c:v>12</c:v>
                  </c:pt>
                  <c:pt idx="650">
                    <c:v>13</c:v>
                  </c:pt>
                  <c:pt idx="651">
                    <c:v>14</c:v>
                  </c:pt>
                  <c:pt idx="652">
                    <c:v>15</c:v>
                  </c:pt>
                  <c:pt idx="653">
                    <c:v>16</c:v>
                  </c:pt>
                  <c:pt idx="654">
                    <c:v>17</c:v>
                  </c:pt>
                  <c:pt idx="655">
                    <c:v>18</c:v>
                  </c:pt>
                  <c:pt idx="656">
                    <c:v>19</c:v>
                  </c:pt>
                  <c:pt idx="657">
                    <c:v>20</c:v>
                  </c:pt>
                  <c:pt idx="658">
                    <c:v>21</c:v>
                  </c:pt>
                  <c:pt idx="659">
                    <c:v>22</c:v>
                  </c:pt>
                  <c:pt idx="660">
                    <c:v>23</c:v>
                  </c:pt>
                  <c:pt idx="661">
                    <c:v>24</c:v>
                  </c:pt>
                  <c:pt idx="662">
                    <c:v>25</c:v>
                  </c:pt>
                  <c:pt idx="663">
                    <c:v>26</c:v>
                  </c:pt>
                  <c:pt idx="664">
                    <c:v>27</c:v>
                  </c:pt>
                  <c:pt idx="665">
                    <c:v>28</c:v>
                  </c:pt>
                  <c:pt idx="666">
                    <c:v>29</c:v>
                  </c:pt>
                  <c:pt idx="667">
                    <c:v>30</c:v>
                  </c:pt>
                  <c:pt idx="668">
                    <c:v>31</c:v>
                  </c:pt>
                  <c:pt idx="669">
                    <c:v>1</c:v>
                  </c:pt>
                  <c:pt idx="670">
                    <c:v>2</c:v>
                  </c:pt>
                  <c:pt idx="671">
                    <c:v>3</c:v>
                  </c:pt>
                  <c:pt idx="672">
                    <c:v>4</c:v>
                  </c:pt>
                  <c:pt idx="673">
                    <c:v>5</c:v>
                  </c:pt>
                  <c:pt idx="674">
                    <c:v>6</c:v>
                  </c:pt>
                  <c:pt idx="675">
                    <c:v>7</c:v>
                  </c:pt>
                  <c:pt idx="676">
                    <c:v>8</c:v>
                  </c:pt>
                  <c:pt idx="677">
                    <c:v>9</c:v>
                  </c:pt>
                  <c:pt idx="678">
                    <c:v>10</c:v>
                  </c:pt>
                  <c:pt idx="679">
                    <c:v>11</c:v>
                  </c:pt>
                  <c:pt idx="680">
                    <c:v>12</c:v>
                  </c:pt>
                  <c:pt idx="681">
                    <c:v>13</c:v>
                  </c:pt>
                  <c:pt idx="682">
                    <c:v>14</c:v>
                  </c:pt>
                  <c:pt idx="683">
                    <c:v>15</c:v>
                  </c:pt>
                  <c:pt idx="684">
                    <c:v>16</c:v>
                  </c:pt>
                  <c:pt idx="685">
                    <c:v>17</c:v>
                  </c:pt>
                  <c:pt idx="686">
                    <c:v>18</c:v>
                  </c:pt>
                  <c:pt idx="687">
                    <c:v>19</c:v>
                  </c:pt>
                  <c:pt idx="688">
                    <c:v>20</c:v>
                  </c:pt>
                  <c:pt idx="689">
                    <c:v>21</c:v>
                  </c:pt>
                  <c:pt idx="690">
                    <c:v>22</c:v>
                  </c:pt>
                  <c:pt idx="691">
                    <c:v>23</c:v>
                  </c:pt>
                  <c:pt idx="692">
                    <c:v>24</c:v>
                  </c:pt>
                  <c:pt idx="693">
                    <c:v>25</c:v>
                  </c:pt>
                  <c:pt idx="694">
                    <c:v>26</c:v>
                  </c:pt>
                  <c:pt idx="695">
                    <c:v>27</c:v>
                  </c:pt>
                  <c:pt idx="696">
                    <c:v>28</c:v>
                  </c:pt>
                  <c:pt idx="697">
                    <c:v>29</c:v>
                  </c:pt>
                  <c:pt idx="698">
                    <c:v>30</c:v>
                  </c:pt>
                  <c:pt idx="699">
                    <c:v>1</c:v>
                  </c:pt>
                  <c:pt idx="700">
                    <c:v>2</c:v>
                  </c:pt>
                  <c:pt idx="701">
                    <c:v>3</c:v>
                  </c:pt>
                  <c:pt idx="702">
                    <c:v>4</c:v>
                  </c:pt>
                  <c:pt idx="703">
                    <c:v>5</c:v>
                  </c:pt>
                  <c:pt idx="704">
                    <c:v>6</c:v>
                  </c:pt>
                  <c:pt idx="705">
                    <c:v>7</c:v>
                  </c:pt>
                  <c:pt idx="706">
                    <c:v>8</c:v>
                  </c:pt>
                  <c:pt idx="707">
                    <c:v>9</c:v>
                  </c:pt>
                  <c:pt idx="708">
                    <c:v>10</c:v>
                  </c:pt>
                  <c:pt idx="709">
                    <c:v>11</c:v>
                  </c:pt>
                  <c:pt idx="710">
                    <c:v>12</c:v>
                  </c:pt>
                  <c:pt idx="711">
                    <c:v>13</c:v>
                  </c:pt>
                  <c:pt idx="712">
                    <c:v>14</c:v>
                  </c:pt>
                  <c:pt idx="713">
                    <c:v>15</c:v>
                  </c:pt>
                  <c:pt idx="714">
                    <c:v>16</c:v>
                  </c:pt>
                  <c:pt idx="715">
                    <c:v>17</c:v>
                  </c:pt>
                  <c:pt idx="716">
                    <c:v>18</c:v>
                  </c:pt>
                  <c:pt idx="717">
                    <c:v>19</c:v>
                  </c:pt>
                  <c:pt idx="718">
                    <c:v>20</c:v>
                  </c:pt>
                  <c:pt idx="719">
                    <c:v>21</c:v>
                  </c:pt>
                  <c:pt idx="720">
                    <c:v>22</c:v>
                  </c:pt>
                  <c:pt idx="721">
                    <c:v>23</c:v>
                  </c:pt>
                  <c:pt idx="722">
                    <c:v>24</c:v>
                  </c:pt>
                  <c:pt idx="723">
                    <c:v>25</c:v>
                  </c:pt>
                  <c:pt idx="724">
                    <c:v>26</c:v>
                  </c:pt>
                  <c:pt idx="725">
                    <c:v>27</c:v>
                  </c:pt>
                  <c:pt idx="726">
                    <c:v>28</c:v>
                  </c:pt>
                  <c:pt idx="727">
                    <c:v>29</c:v>
                  </c:pt>
                  <c:pt idx="728">
                    <c:v>30</c:v>
                  </c:pt>
                  <c:pt idx="729">
                    <c:v>31</c:v>
                  </c:pt>
                </c:lvl>
                <c:lvl>
                  <c:pt idx="0">
                    <c:v>1</c:v>
                  </c:pt>
                  <c:pt idx="31">
                    <c:v>2</c:v>
                  </c:pt>
                  <c:pt idx="59">
                    <c:v>3</c:v>
                  </c:pt>
                  <c:pt idx="90">
                    <c:v>4</c:v>
                  </c:pt>
                  <c:pt idx="120">
                    <c:v>5</c:v>
                  </c:pt>
                  <c:pt idx="151">
                    <c:v>6</c:v>
                  </c:pt>
                  <c:pt idx="181">
                    <c:v>7</c:v>
                  </c:pt>
                  <c:pt idx="212">
                    <c:v>8</c:v>
                  </c:pt>
                  <c:pt idx="243">
                    <c:v>9</c:v>
                  </c:pt>
                  <c:pt idx="273">
                    <c:v>10</c:v>
                  </c:pt>
                  <c:pt idx="304">
                    <c:v>11</c:v>
                  </c:pt>
                  <c:pt idx="334">
                    <c:v>12</c:v>
                  </c:pt>
                  <c:pt idx="365">
                    <c:v>1</c:v>
                  </c:pt>
                  <c:pt idx="396">
                    <c:v>2</c:v>
                  </c:pt>
                  <c:pt idx="424">
                    <c:v>3</c:v>
                  </c:pt>
                  <c:pt idx="455">
                    <c:v>4</c:v>
                  </c:pt>
                  <c:pt idx="485">
                    <c:v>5</c:v>
                  </c:pt>
                  <c:pt idx="516">
                    <c:v>6</c:v>
                  </c:pt>
                  <c:pt idx="546">
                    <c:v>7</c:v>
                  </c:pt>
                  <c:pt idx="577">
                    <c:v>8</c:v>
                  </c:pt>
                  <c:pt idx="608">
                    <c:v>9</c:v>
                  </c:pt>
                  <c:pt idx="638">
                    <c:v>10</c:v>
                  </c:pt>
                  <c:pt idx="669">
                    <c:v>11</c:v>
                  </c:pt>
                  <c:pt idx="699">
                    <c:v>12</c:v>
                  </c:pt>
                </c:lvl>
                <c:lvl>
                  <c:pt idx="0">
                    <c:v>2022</c:v>
                  </c:pt>
                  <c:pt idx="365">
                    <c:v>2023</c:v>
                  </c:pt>
                </c:lvl>
              </c:multiLvlStrCache>
            </c:multiLvlStrRef>
          </c:cat>
          <c:val>
            <c:numRef>
              <c:f>Hoja3!$B$2:$B$758</c:f>
              <c:numCache>
                <c:formatCode>General</c:formatCode>
                <c:ptCount val="730"/>
                <c:pt idx="0">
                  <c:v>0.66358632610000001</c:v>
                </c:pt>
                <c:pt idx="1">
                  <c:v>1.2609418676999999</c:v>
                </c:pt>
                <c:pt idx="2">
                  <c:v>2.1439967714999999</c:v>
                </c:pt>
                <c:pt idx="3">
                  <c:v>1.2179207257</c:v>
                </c:pt>
                <c:pt idx="4">
                  <c:v>0.5916878351</c:v>
                </c:pt>
                <c:pt idx="5">
                  <c:v>0.67872446040000001</c:v>
                </c:pt>
                <c:pt idx="6">
                  <c:v>1.1788455807</c:v>
                </c:pt>
                <c:pt idx="7">
                  <c:v>1.1423598254</c:v>
                </c:pt>
                <c:pt idx="8">
                  <c:v>1.2309746167</c:v>
                </c:pt>
                <c:pt idx="9">
                  <c:v>0.50779210760000004</c:v>
                </c:pt>
                <c:pt idx="10">
                  <c:v>0.58670044710000002</c:v>
                </c:pt>
                <c:pt idx="11">
                  <c:v>0.46054099859999997</c:v>
                </c:pt>
                <c:pt idx="12">
                  <c:v>0.40943484610000003</c:v>
                </c:pt>
                <c:pt idx="13">
                  <c:v>0.43592825680000002</c:v>
                </c:pt>
                <c:pt idx="14">
                  <c:v>0.49196311739999998</c:v>
                </c:pt>
                <c:pt idx="15">
                  <c:v>0.52787714050000001</c:v>
                </c:pt>
                <c:pt idx="16">
                  <c:v>0.40243949070000001</c:v>
                </c:pt>
                <c:pt idx="17">
                  <c:v>0.45000195450000002</c:v>
                </c:pt>
                <c:pt idx="18">
                  <c:v>0.43253726040000001</c:v>
                </c:pt>
                <c:pt idx="19">
                  <c:v>1.9652134903</c:v>
                </c:pt>
                <c:pt idx="20">
                  <c:v>3.8198834816999998</c:v>
                </c:pt>
                <c:pt idx="21">
                  <c:v>1.8163356556000001</c:v>
                </c:pt>
                <c:pt idx="22">
                  <c:v>0.39907294510000002</c:v>
                </c:pt>
                <c:pt idx="23">
                  <c:v>0.42836968860000002</c:v>
                </c:pt>
                <c:pt idx="24">
                  <c:v>0.3157087516</c:v>
                </c:pt>
                <c:pt idx="25">
                  <c:v>0.68059810990000003</c:v>
                </c:pt>
                <c:pt idx="26">
                  <c:v>0.28273501699999998</c:v>
                </c:pt>
                <c:pt idx="27">
                  <c:v>0.24864199070000001</c:v>
                </c:pt>
                <c:pt idx="28">
                  <c:v>0.47720192690000002</c:v>
                </c:pt>
                <c:pt idx="29">
                  <c:v>0.31092291970000002</c:v>
                </c:pt>
                <c:pt idx="30">
                  <c:v>1.8131015841</c:v>
                </c:pt>
                <c:pt idx="31">
                  <c:v>0.14068832270000001</c:v>
                </c:pt>
                <c:pt idx="32">
                  <c:v>0.53688968790000002</c:v>
                </c:pt>
                <c:pt idx="33">
                  <c:v>0.24230621890000001</c:v>
                </c:pt>
                <c:pt idx="34">
                  <c:v>5.2445501800000002E-2</c:v>
                </c:pt>
                <c:pt idx="35">
                  <c:v>8.4052568300000005E-2</c:v>
                </c:pt>
                <c:pt idx="36">
                  <c:v>0.22814173369999999</c:v>
                </c:pt>
                <c:pt idx="37">
                  <c:v>0.60482896639999995</c:v>
                </c:pt>
                <c:pt idx="38">
                  <c:v>1.4157352295000001</c:v>
                </c:pt>
                <c:pt idx="39">
                  <c:v>0.75975848840000004</c:v>
                </c:pt>
                <c:pt idx="40">
                  <c:v>0.44787045759999999</c:v>
                </c:pt>
                <c:pt idx="41">
                  <c:v>0.48968866579999998</c:v>
                </c:pt>
                <c:pt idx="42">
                  <c:v>1.0444059912000001</c:v>
                </c:pt>
                <c:pt idx="43">
                  <c:v>2.3681036370999999</c:v>
                </c:pt>
                <c:pt idx="44">
                  <c:v>0.70285974120000005</c:v>
                </c:pt>
                <c:pt idx="45">
                  <c:v>1.0503279059999999</c:v>
                </c:pt>
                <c:pt idx="46">
                  <c:v>1.8739733868999999</c:v>
                </c:pt>
                <c:pt idx="47">
                  <c:v>0.52272034479999996</c:v>
                </c:pt>
                <c:pt idx="48">
                  <c:v>2.1240825251</c:v>
                </c:pt>
                <c:pt idx="49">
                  <c:v>3.9626423487000002</c:v>
                </c:pt>
                <c:pt idx="50">
                  <c:v>2.0060588612000001</c:v>
                </c:pt>
                <c:pt idx="51">
                  <c:v>0.70841863029999996</c:v>
                </c:pt>
                <c:pt idx="52">
                  <c:v>0.73726561180000005</c:v>
                </c:pt>
                <c:pt idx="53">
                  <c:v>0.5266917793</c:v>
                </c:pt>
                <c:pt idx="54">
                  <c:v>0.54675900889999995</c:v>
                </c:pt>
                <c:pt idx="55">
                  <c:v>0.61288553040000004</c:v>
                </c:pt>
                <c:pt idx="56">
                  <c:v>0.85622243320000002</c:v>
                </c:pt>
                <c:pt idx="57">
                  <c:v>0.81679783719999999</c:v>
                </c:pt>
                <c:pt idx="58">
                  <c:v>1.0269349643000001</c:v>
                </c:pt>
                <c:pt idx="59">
                  <c:v>0.64552030930000004</c:v>
                </c:pt>
                <c:pt idx="60">
                  <c:v>2.4048797109</c:v>
                </c:pt>
                <c:pt idx="61">
                  <c:v>3.1194118708</c:v>
                </c:pt>
                <c:pt idx="62">
                  <c:v>7.0781315675999998</c:v>
                </c:pt>
                <c:pt idx="63">
                  <c:v>5.5384226664999998</c:v>
                </c:pt>
                <c:pt idx="64">
                  <c:v>1.9282318602999999</c:v>
                </c:pt>
                <c:pt idx="65">
                  <c:v>1.3297812284999999</c:v>
                </c:pt>
                <c:pt idx="66">
                  <c:v>2.9925039428</c:v>
                </c:pt>
                <c:pt idx="67">
                  <c:v>1.8398012301</c:v>
                </c:pt>
                <c:pt idx="68">
                  <c:v>0.91584033139999999</c:v>
                </c:pt>
                <c:pt idx="69">
                  <c:v>4.2629717695</c:v>
                </c:pt>
                <c:pt idx="70">
                  <c:v>2.4003768002000001</c:v>
                </c:pt>
                <c:pt idx="71">
                  <c:v>2.3489003384</c:v>
                </c:pt>
                <c:pt idx="72">
                  <c:v>1.9386289978</c:v>
                </c:pt>
                <c:pt idx="73">
                  <c:v>3.9985320189000002</c:v>
                </c:pt>
                <c:pt idx="74">
                  <c:v>10.659328976399999</c:v>
                </c:pt>
                <c:pt idx="75">
                  <c:v>4.8014543763999997</c:v>
                </c:pt>
                <c:pt idx="76">
                  <c:v>1.7718226517</c:v>
                </c:pt>
                <c:pt idx="77">
                  <c:v>0.75192275730000002</c:v>
                </c:pt>
                <c:pt idx="78">
                  <c:v>1.663553697</c:v>
                </c:pt>
                <c:pt idx="79">
                  <c:v>1.0211897410999999</c:v>
                </c:pt>
                <c:pt idx="80">
                  <c:v>2.2584607779999999</c:v>
                </c:pt>
                <c:pt idx="81">
                  <c:v>5.3024455959000001</c:v>
                </c:pt>
                <c:pt idx="82">
                  <c:v>2.1082327759999999</c:v>
                </c:pt>
                <c:pt idx="83">
                  <c:v>2.1866463316</c:v>
                </c:pt>
                <c:pt idx="84">
                  <c:v>2.3112174314999998</c:v>
                </c:pt>
                <c:pt idx="85">
                  <c:v>3.8094634859999998</c:v>
                </c:pt>
                <c:pt idx="86">
                  <c:v>1.0595551542999999</c:v>
                </c:pt>
                <c:pt idx="87">
                  <c:v>2.1380010564999998</c:v>
                </c:pt>
                <c:pt idx="88">
                  <c:v>3.1439540065</c:v>
                </c:pt>
                <c:pt idx="89">
                  <c:v>1.7758111917999999</c:v>
                </c:pt>
                <c:pt idx="90">
                  <c:v>2.2587005695000002</c:v>
                </c:pt>
                <c:pt idx="91">
                  <c:v>1.4588027602</c:v>
                </c:pt>
                <c:pt idx="92">
                  <c:v>5.2746578670000002</c:v>
                </c:pt>
                <c:pt idx="93">
                  <c:v>1.6066846119</c:v>
                </c:pt>
                <c:pt idx="94">
                  <c:v>3.5344697756999999</c:v>
                </c:pt>
                <c:pt idx="95">
                  <c:v>1.6609652012</c:v>
                </c:pt>
                <c:pt idx="96">
                  <c:v>3.3613523249999999</c:v>
                </c:pt>
                <c:pt idx="97">
                  <c:v>2.6269443454000001</c:v>
                </c:pt>
                <c:pt idx="98">
                  <c:v>0.81355016759999998</c:v>
                </c:pt>
                <c:pt idx="99">
                  <c:v>1.6833724003999999</c:v>
                </c:pt>
                <c:pt idx="100">
                  <c:v>1.0441626634000001</c:v>
                </c:pt>
                <c:pt idx="101">
                  <c:v>1.4789067056</c:v>
                </c:pt>
                <c:pt idx="102">
                  <c:v>3.027511192</c:v>
                </c:pt>
                <c:pt idx="103">
                  <c:v>4.5531665517000004</c:v>
                </c:pt>
                <c:pt idx="104">
                  <c:v>4.8280037160999996</c:v>
                </c:pt>
                <c:pt idx="105">
                  <c:v>0.80804765349999996</c:v>
                </c:pt>
                <c:pt idx="106">
                  <c:v>0.98412407270000002</c:v>
                </c:pt>
                <c:pt idx="107">
                  <c:v>0.74459880379999999</c:v>
                </c:pt>
                <c:pt idx="108">
                  <c:v>1.0195346571999999</c:v>
                </c:pt>
                <c:pt idx="109">
                  <c:v>1.0173123877000001</c:v>
                </c:pt>
                <c:pt idx="110">
                  <c:v>0.95851944710000003</c:v>
                </c:pt>
                <c:pt idx="111">
                  <c:v>4.6971011045999997</c:v>
                </c:pt>
                <c:pt idx="112">
                  <c:v>9.1336525888000004</c:v>
                </c:pt>
                <c:pt idx="113">
                  <c:v>5.3454413586999996</c:v>
                </c:pt>
                <c:pt idx="114">
                  <c:v>0.99833614569999996</c:v>
                </c:pt>
                <c:pt idx="115">
                  <c:v>3.6255443184999998</c:v>
                </c:pt>
                <c:pt idx="116">
                  <c:v>1.5456066024999999</c:v>
                </c:pt>
                <c:pt idx="117">
                  <c:v>0.74790109309999997</c:v>
                </c:pt>
                <c:pt idx="118">
                  <c:v>2.0160672016999999</c:v>
                </c:pt>
                <c:pt idx="119">
                  <c:v>1.1004151098999999</c:v>
                </c:pt>
                <c:pt idx="120">
                  <c:v>0.88700331259999998</c:v>
                </c:pt>
                <c:pt idx="121">
                  <c:v>0.81056806739999998</c:v>
                </c:pt>
                <c:pt idx="122">
                  <c:v>1.6281630118999999</c:v>
                </c:pt>
                <c:pt idx="123">
                  <c:v>1.5248498239999999</c:v>
                </c:pt>
                <c:pt idx="124">
                  <c:v>1.446795311</c:v>
                </c:pt>
                <c:pt idx="125">
                  <c:v>5.9986630588000001</c:v>
                </c:pt>
                <c:pt idx="126">
                  <c:v>4.1639714302000002</c:v>
                </c:pt>
                <c:pt idx="127">
                  <c:v>0.85551727870000005</c:v>
                </c:pt>
                <c:pt idx="128">
                  <c:v>3.7478141272999999</c:v>
                </c:pt>
                <c:pt idx="129">
                  <c:v>3.4212413504999999</c:v>
                </c:pt>
                <c:pt idx="130">
                  <c:v>0.77551227109999998</c:v>
                </c:pt>
                <c:pt idx="131">
                  <c:v>3.8232737000000001</c:v>
                </c:pt>
                <c:pt idx="132">
                  <c:v>8.4645430578000003</c:v>
                </c:pt>
                <c:pt idx="133">
                  <c:v>3.1407055578</c:v>
                </c:pt>
                <c:pt idx="134">
                  <c:v>1.0038979954</c:v>
                </c:pt>
                <c:pt idx="135">
                  <c:v>1.7591121115999999</c:v>
                </c:pt>
                <c:pt idx="136">
                  <c:v>1.5579228308999999</c:v>
                </c:pt>
                <c:pt idx="137">
                  <c:v>0.92134905209999995</c:v>
                </c:pt>
                <c:pt idx="138">
                  <c:v>0.88146762300000003</c:v>
                </c:pt>
                <c:pt idx="139">
                  <c:v>1.9252698582000001</c:v>
                </c:pt>
                <c:pt idx="140">
                  <c:v>1.1127524624</c:v>
                </c:pt>
                <c:pt idx="141">
                  <c:v>1.1671731833000001</c:v>
                </c:pt>
                <c:pt idx="142">
                  <c:v>0.97010036749999995</c:v>
                </c:pt>
                <c:pt idx="143">
                  <c:v>11.3675342639</c:v>
                </c:pt>
                <c:pt idx="144">
                  <c:v>7.5013427890999997</c:v>
                </c:pt>
                <c:pt idx="145">
                  <c:v>5.9073433364000003</c:v>
                </c:pt>
                <c:pt idx="146">
                  <c:v>3.252481918</c:v>
                </c:pt>
                <c:pt idx="147">
                  <c:v>1.4731728924</c:v>
                </c:pt>
                <c:pt idx="148">
                  <c:v>1.380947811</c:v>
                </c:pt>
                <c:pt idx="149">
                  <c:v>1.7999474631000001</c:v>
                </c:pt>
                <c:pt idx="150">
                  <c:v>0.86117688849999996</c:v>
                </c:pt>
                <c:pt idx="151">
                  <c:v>0.88028559880000001</c:v>
                </c:pt>
                <c:pt idx="152">
                  <c:v>5.5319308498000002</c:v>
                </c:pt>
                <c:pt idx="153">
                  <c:v>9.8675052901000004</c:v>
                </c:pt>
                <c:pt idx="154">
                  <c:v>4.0038012274000003</c:v>
                </c:pt>
                <c:pt idx="155">
                  <c:v>1.1230837515000001</c:v>
                </c:pt>
                <c:pt idx="156">
                  <c:v>0.89845842139999998</c:v>
                </c:pt>
                <c:pt idx="157">
                  <c:v>2.0764114300999998</c:v>
                </c:pt>
                <c:pt idx="158">
                  <c:v>1.2400849025</c:v>
                </c:pt>
                <c:pt idx="159">
                  <c:v>0.89379480460000005</c:v>
                </c:pt>
                <c:pt idx="160">
                  <c:v>2.5460932487000001</c:v>
                </c:pt>
                <c:pt idx="161">
                  <c:v>4.1416383333000004</c:v>
                </c:pt>
                <c:pt idx="162">
                  <c:v>3.8995147392999998</c:v>
                </c:pt>
                <c:pt idx="163">
                  <c:v>1.0879347353</c:v>
                </c:pt>
                <c:pt idx="164">
                  <c:v>0.82248324439999998</c:v>
                </c:pt>
                <c:pt idx="165">
                  <c:v>1.0599531179999999</c:v>
                </c:pt>
                <c:pt idx="166">
                  <c:v>0.83946618900000003</c:v>
                </c:pt>
                <c:pt idx="167">
                  <c:v>0.88321331179999996</c:v>
                </c:pt>
                <c:pt idx="168">
                  <c:v>0.87234390029999997</c:v>
                </c:pt>
                <c:pt idx="169">
                  <c:v>4.2151055560000001</c:v>
                </c:pt>
                <c:pt idx="170">
                  <c:v>0.75731008840000003</c:v>
                </c:pt>
                <c:pt idx="171">
                  <c:v>1.4824963938</c:v>
                </c:pt>
                <c:pt idx="172">
                  <c:v>3.407598712</c:v>
                </c:pt>
                <c:pt idx="173">
                  <c:v>3.2849903409999999</c:v>
                </c:pt>
                <c:pt idx="174">
                  <c:v>2.0638368799000002</c:v>
                </c:pt>
                <c:pt idx="175">
                  <c:v>0.82711405380000003</c:v>
                </c:pt>
                <c:pt idx="176">
                  <c:v>0.91267568860000003</c:v>
                </c:pt>
                <c:pt idx="177">
                  <c:v>0.84233846810000002</c:v>
                </c:pt>
                <c:pt idx="178">
                  <c:v>2.2471216625000001</c:v>
                </c:pt>
                <c:pt idx="179">
                  <c:v>2.8235025295999998</c:v>
                </c:pt>
                <c:pt idx="180">
                  <c:v>3.0295100676</c:v>
                </c:pt>
                <c:pt idx="181">
                  <c:v>1.6435981340000001</c:v>
                </c:pt>
                <c:pt idx="182">
                  <c:v>1.0659689645999999</c:v>
                </c:pt>
                <c:pt idx="183">
                  <c:v>1.1287800647999999</c:v>
                </c:pt>
                <c:pt idx="184">
                  <c:v>1.1382823864</c:v>
                </c:pt>
                <c:pt idx="185">
                  <c:v>1.0206037183000001</c:v>
                </c:pt>
                <c:pt idx="186">
                  <c:v>4.0615373515000002</c:v>
                </c:pt>
                <c:pt idx="187">
                  <c:v>3.1155803803</c:v>
                </c:pt>
                <c:pt idx="188">
                  <c:v>3.5953006993000001</c:v>
                </c:pt>
                <c:pt idx="189">
                  <c:v>6.3224062488000001</c:v>
                </c:pt>
                <c:pt idx="190">
                  <c:v>5.3314676505999996</c:v>
                </c:pt>
                <c:pt idx="191">
                  <c:v>2.1497336176999999</c:v>
                </c:pt>
                <c:pt idx="192">
                  <c:v>5.2050977162000001</c:v>
                </c:pt>
                <c:pt idx="193">
                  <c:v>4.4277773013999999</c:v>
                </c:pt>
                <c:pt idx="194">
                  <c:v>7.4018016918000002</c:v>
                </c:pt>
                <c:pt idx="195">
                  <c:v>8.6131861132999994</c:v>
                </c:pt>
                <c:pt idx="196">
                  <c:v>4.0094944763000004</c:v>
                </c:pt>
                <c:pt idx="197">
                  <c:v>1.8626104287</c:v>
                </c:pt>
                <c:pt idx="198">
                  <c:v>0.96534096020000004</c:v>
                </c:pt>
                <c:pt idx="199">
                  <c:v>1.2046681028999999</c:v>
                </c:pt>
                <c:pt idx="200">
                  <c:v>1.9874913017</c:v>
                </c:pt>
                <c:pt idx="201">
                  <c:v>1.8325896558000001</c:v>
                </c:pt>
                <c:pt idx="202">
                  <c:v>1.1739854331999999</c:v>
                </c:pt>
                <c:pt idx="203">
                  <c:v>0.88775566539999995</c:v>
                </c:pt>
                <c:pt idx="204">
                  <c:v>8.1336857041999995</c:v>
                </c:pt>
                <c:pt idx="205">
                  <c:v>7.2457859886999998</c:v>
                </c:pt>
                <c:pt idx="206">
                  <c:v>2.5613231190999999</c:v>
                </c:pt>
                <c:pt idx="207">
                  <c:v>3.0914568204999999</c:v>
                </c:pt>
                <c:pt idx="208">
                  <c:v>1.8687534235000001</c:v>
                </c:pt>
                <c:pt idx="209">
                  <c:v>5.2638583739999998</c:v>
                </c:pt>
                <c:pt idx="210">
                  <c:v>2.5499700426</c:v>
                </c:pt>
                <c:pt idx="211">
                  <c:v>16.107815852800002</c:v>
                </c:pt>
                <c:pt idx="212">
                  <c:v>1.4275213709000001</c:v>
                </c:pt>
                <c:pt idx="213">
                  <c:v>1.3196502017</c:v>
                </c:pt>
                <c:pt idx="214">
                  <c:v>1.9092746058000001</c:v>
                </c:pt>
                <c:pt idx="215">
                  <c:v>7.0647280203999996</c:v>
                </c:pt>
                <c:pt idx="216">
                  <c:v>4.2577971708</c:v>
                </c:pt>
                <c:pt idx="217">
                  <c:v>2.7471978506000001</c:v>
                </c:pt>
                <c:pt idx="218">
                  <c:v>0.49107260409999998</c:v>
                </c:pt>
                <c:pt idx="219">
                  <c:v>0.82679375639999997</c:v>
                </c:pt>
                <c:pt idx="220">
                  <c:v>1.3448460939</c:v>
                </c:pt>
                <c:pt idx="221">
                  <c:v>1.3657270843</c:v>
                </c:pt>
                <c:pt idx="222">
                  <c:v>1.0716051718999999</c:v>
                </c:pt>
                <c:pt idx="223">
                  <c:v>0.8569984907</c:v>
                </c:pt>
                <c:pt idx="224">
                  <c:v>2.5497566841000001</c:v>
                </c:pt>
                <c:pt idx="225">
                  <c:v>2.3036055924999999</c:v>
                </c:pt>
                <c:pt idx="226">
                  <c:v>1.8265367839</c:v>
                </c:pt>
                <c:pt idx="227">
                  <c:v>0.86450925369999998</c:v>
                </c:pt>
                <c:pt idx="228">
                  <c:v>1.2514588799999999</c:v>
                </c:pt>
                <c:pt idx="229">
                  <c:v>1.2980553027999999</c:v>
                </c:pt>
                <c:pt idx="230">
                  <c:v>1.2615427095</c:v>
                </c:pt>
                <c:pt idx="231">
                  <c:v>0.99739273979999998</c:v>
                </c:pt>
                <c:pt idx="232">
                  <c:v>0.96565765250000002</c:v>
                </c:pt>
                <c:pt idx="233">
                  <c:v>6.1826017503999999</c:v>
                </c:pt>
                <c:pt idx="234">
                  <c:v>0.80057174939999998</c:v>
                </c:pt>
                <c:pt idx="235">
                  <c:v>3.0511304347000001</c:v>
                </c:pt>
                <c:pt idx="236">
                  <c:v>4.1119087278000004</c:v>
                </c:pt>
                <c:pt idx="237">
                  <c:v>4.9498263499000004</c:v>
                </c:pt>
                <c:pt idx="238">
                  <c:v>3.7208304496000002</c:v>
                </c:pt>
                <c:pt idx="239">
                  <c:v>3.7210098248999999</c:v>
                </c:pt>
                <c:pt idx="240">
                  <c:v>2.0318112207999999</c:v>
                </c:pt>
                <c:pt idx="241">
                  <c:v>2.6218741749999999</c:v>
                </c:pt>
                <c:pt idx="242">
                  <c:v>7.2176734113999998</c:v>
                </c:pt>
                <c:pt idx="243">
                  <c:v>3.4420895565</c:v>
                </c:pt>
                <c:pt idx="244">
                  <c:v>0.75214564169999998</c:v>
                </c:pt>
                <c:pt idx="245">
                  <c:v>0.81923003969999997</c:v>
                </c:pt>
                <c:pt idx="246">
                  <c:v>0.94480841120000003</c:v>
                </c:pt>
                <c:pt idx="247">
                  <c:v>20.5567195468</c:v>
                </c:pt>
                <c:pt idx="248">
                  <c:v>13.380475710700001</c:v>
                </c:pt>
                <c:pt idx="249">
                  <c:v>1.9797628875</c:v>
                </c:pt>
                <c:pt idx="250">
                  <c:v>1.7242498816</c:v>
                </c:pt>
                <c:pt idx="251">
                  <c:v>1.1792859989</c:v>
                </c:pt>
                <c:pt idx="252">
                  <c:v>4.9439185242999999</c:v>
                </c:pt>
                <c:pt idx="253">
                  <c:v>5.2725826696000002</c:v>
                </c:pt>
                <c:pt idx="254">
                  <c:v>1.1649897284999999</c:v>
                </c:pt>
                <c:pt idx="255">
                  <c:v>4.7759238402999999</c:v>
                </c:pt>
                <c:pt idx="256">
                  <c:v>12.655130823</c:v>
                </c:pt>
                <c:pt idx="257">
                  <c:v>11.182811468100001</c:v>
                </c:pt>
                <c:pt idx="258">
                  <c:v>2.2965374109000001</c:v>
                </c:pt>
                <c:pt idx="259">
                  <c:v>1.2610484201000001</c:v>
                </c:pt>
                <c:pt idx="260">
                  <c:v>0.76682994640000002</c:v>
                </c:pt>
                <c:pt idx="261">
                  <c:v>0.76421140970000001</c:v>
                </c:pt>
                <c:pt idx="262">
                  <c:v>1.2769570454000001</c:v>
                </c:pt>
                <c:pt idx="263">
                  <c:v>0.93083453959999995</c:v>
                </c:pt>
                <c:pt idx="264">
                  <c:v>2.1629968247</c:v>
                </c:pt>
                <c:pt idx="265">
                  <c:v>1.1707097664999999</c:v>
                </c:pt>
                <c:pt idx="266">
                  <c:v>0.73381256839999998</c:v>
                </c:pt>
                <c:pt idx="267">
                  <c:v>0.79125949309999999</c:v>
                </c:pt>
                <c:pt idx="268">
                  <c:v>0.67861201289999995</c:v>
                </c:pt>
                <c:pt idx="269">
                  <c:v>0.91359883959999999</c:v>
                </c:pt>
                <c:pt idx="270">
                  <c:v>1.2150751726</c:v>
                </c:pt>
                <c:pt idx="271">
                  <c:v>1.1918714129000001</c:v>
                </c:pt>
                <c:pt idx="272">
                  <c:v>2.1640388914000002</c:v>
                </c:pt>
                <c:pt idx="273">
                  <c:v>0.87089127489999996</c:v>
                </c:pt>
                <c:pt idx="274">
                  <c:v>0.91346042449999998</c:v>
                </c:pt>
                <c:pt idx="275">
                  <c:v>1.9404471804000001</c:v>
                </c:pt>
                <c:pt idx="276">
                  <c:v>1.5170879900000001</c:v>
                </c:pt>
                <c:pt idx="277">
                  <c:v>2.5636492576999999</c:v>
                </c:pt>
                <c:pt idx="278">
                  <c:v>1.5501707998000001</c:v>
                </c:pt>
                <c:pt idx="279">
                  <c:v>1.3069343272</c:v>
                </c:pt>
                <c:pt idx="280">
                  <c:v>1.2429091831000001</c:v>
                </c:pt>
                <c:pt idx="281">
                  <c:v>1.1265142883000001</c:v>
                </c:pt>
                <c:pt idx="282">
                  <c:v>13.3596531515</c:v>
                </c:pt>
                <c:pt idx="283">
                  <c:v>1.3380783932</c:v>
                </c:pt>
                <c:pt idx="284">
                  <c:v>1.8523735542999999</c:v>
                </c:pt>
                <c:pt idx="285">
                  <c:v>1.2135192934000001</c:v>
                </c:pt>
                <c:pt idx="286">
                  <c:v>1.075697803</c:v>
                </c:pt>
                <c:pt idx="287">
                  <c:v>0.80274599140000003</c:v>
                </c:pt>
                <c:pt idx="288">
                  <c:v>0.68827452759999996</c:v>
                </c:pt>
                <c:pt idx="289">
                  <c:v>0.77251492119999998</c:v>
                </c:pt>
                <c:pt idx="290">
                  <c:v>2.8758051036999999</c:v>
                </c:pt>
                <c:pt idx="291">
                  <c:v>2.9874990718999999</c:v>
                </c:pt>
                <c:pt idx="292">
                  <c:v>1.4735946571</c:v>
                </c:pt>
                <c:pt idx="293">
                  <c:v>2.5469358261999999</c:v>
                </c:pt>
                <c:pt idx="294">
                  <c:v>1.8050804635</c:v>
                </c:pt>
                <c:pt idx="295">
                  <c:v>1.0850218568000001</c:v>
                </c:pt>
                <c:pt idx="296">
                  <c:v>1.4320889781999999</c:v>
                </c:pt>
                <c:pt idx="297">
                  <c:v>1.3445915754</c:v>
                </c:pt>
                <c:pt idx="298">
                  <c:v>0.81005187670000001</c:v>
                </c:pt>
                <c:pt idx="299">
                  <c:v>0.88514898809999998</c:v>
                </c:pt>
                <c:pt idx="300">
                  <c:v>0.87254646020000004</c:v>
                </c:pt>
                <c:pt idx="301">
                  <c:v>0.81135651230000005</c:v>
                </c:pt>
                <c:pt idx="302">
                  <c:v>0.92501339159999996</c:v>
                </c:pt>
                <c:pt idx="303">
                  <c:v>1.0080011232999999</c:v>
                </c:pt>
                <c:pt idx="304">
                  <c:v>0.94291179309999995</c:v>
                </c:pt>
                <c:pt idx="305">
                  <c:v>0.83094291730000003</c:v>
                </c:pt>
                <c:pt idx="306">
                  <c:v>0.88400796469999998</c:v>
                </c:pt>
                <c:pt idx="307">
                  <c:v>3.4743665578999998</c:v>
                </c:pt>
                <c:pt idx="308">
                  <c:v>1.4949368947999999</c:v>
                </c:pt>
                <c:pt idx="309">
                  <c:v>1.8653407477999999</c:v>
                </c:pt>
                <c:pt idx="310">
                  <c:v>1.5705200361</c:v>
                </c:pt>
                <c:pt idx="311">
                  <c:v>0.97405334249999997</c:v>
                </c:pt>
                <c:pt idx="312">
                  <c:v>3.2808989046999999</c:v>
                </c:pt>
                <c:pt idx="313">
                  <c:v>1.3348086171</c:v>
                </c:pt>
                <c:pt idx="314">
                  <c:v>1.3401898671000001</c:v>
                </c:pt>
                <c:pt idx="315">
                  <c:v>0.90716211790000001</c:v>
                </c:pt>
                <c:pt idx="316">
                  <c:v>0.87840191499999998</c:v>
                </c:pt>
                <c:pt idx="317">
                  <c:v>2.3302931112</c:v>
                </c:pt>
                <c:pt idx="318">
                  <c:v>1.0014869412</c:v>
                </c:pt>
                <c:pt idx="319">
                  <c:v>1.4426104026</c:v>
                </c:pt>
                <c:pt idx="320">
                  <c:v>1.7061996403999999</c:v>
                </c:pt>
                <c:pt idx="321">
                  <c:v>1.6809974735</c:v>
                </c:pt>
                <c:pt idx="322">
                  <c:v>0.96877433099999999</c:v>
                </c:pt>
                <c:pt idx="323">
                  <c:v>0.9620851211</c:v>
                </c:pt>
                <c:pt idx="324">
                  <c:v>5.2808884614</c:v>
                </c:pt>
                <c:pt idx="325">
                  <c:v>6.3370615363000002</c:v>
                </c:pt>
                <c:pt idx="326">
                  <c:v>2.6950549368000001</c:v>
                </c:pt>
                <c:pt idx="327">
                  <c:v>0.76884037750000001</c:v>
                </c:pt>
                <c:pt idx="328">
                  <c:v>0.79315448720000004</c:v>
                </c:pt>
                <c:pt idx="329">
                  <c:v>1.0218010456</c:v>
                </c:pt>
                <c:pt idx="330">
                  <c:v>1.2385006582</c:v>
                </c:pt>
                <c:pt idx="331">
                  <c:v>0.79920865720000001</c:v>
                </c:pt>
                <c:pt idx="332">
                  <c:v>5.2009710901000004</c:v>
                </c:pt>
                <c:pt idx="333">
                  <c:v>5.0133399048999996</c:v>
                </c:pt>
                <c:pt idx="334">
                  <c:v>5.2376781035000004</c:v>
                </c:pt>
                <c:pt idx="335">
                  <c:v>2.0289159110999999</c:v>
                </c:pt>
                <c:pt idx="336">
                  <c:v>2.4898432758000002</c:v>
                </c:pt>
                <c:pt idx="337">
                  <c:v>1.0164018651</c:v>
                </c:pt>
                <c:pt idx="338">
                  <c:v>0.41631743409999999</c:v>
                </c:pt>
                <c:pt idx="339">
                  <c:v>3.0616047912000002</c:v>
                </c:pt>
                <c:pt idx="340">
                  <c:v>0.8826553278</c:v>
                </c:pt>
                <c:pt idx="341">
                  <c:v>1.8242421964</c:v>
                </c:pt>
                <c:pt idx="342">
                  <c:v>1.8431299799</c:v>
                </c:pt>
                <c:pt idx="343">
                  <c:v>0.8894396296</c:v>
                </c:pt>
                <c:pt idx="344">
                  <c:v>3.6337390083000001</c:v>
                </c:pt>
                <c:pt idx="345">
                  <c:v>0.28204189709999999</c:v>
                </c:pt>
                <c:pt idx="346">
                  <c:v>0.62090683179999995</c:v>
                </c:pt>
                <c:pt idx="347">
                  <c:v>0.68381967359999996</c:v>
                </c:pt>
                <c:pt idx="348">
                  <c:v>0.41501957919999999</c:v>
                </c:pt>
                <c:pt idx="349">
                  <c:v>1.2428759925999999</c:v>
                </c:pt>
                <c:pt idx="350">
                  <c:v>0.46279768789999998</c:v>
                </c:pt>
                <c:pt idx="351">
                  <c:v>0.38147733449999999</c:v>
                </c:pt>
                <c:pt idx="352">
                  <c:v>1.5875541352</c:v>
                </c:pt>
                <c:pt idx="353">
                  <c:v>0.51056661660000002</c:v>
                </c:pt>
                <c:pt idx="354">
                  <c:v>5.3506394122999996</c:v>
                </c:pt>
                <c:pt idx="355">
                  <c:v>2.2320719500999999</c:v>
                </c:pt>
                <c:pt idx="356">
                  <c:v>0.97656027999999995</c:v>
                </c:pt>
                <c:pt idx="357">
                  <c:v>0.43087678870000001</c:v>
                </c:pt>
                <c:pt idx="358">
                  <c:v>0.4926308371</c:v>
                </c:pt>
                <c:pt idx="359">
                  <c:v>1.8439335860999999</c:v>
                </c:pt>
                <c:pt idx="360">
                  <c:v>0.29594713849999998</c:v>
                </c:pt>
                <c:pt idx="361">
                  <c:v>0.24627379120000001</c:v>
                </c:pt>
                <c:pt idx="362">
                  <c:v>0.27217677140000002</c:v>
                </c:pt>
                <c:pt idx="363">
                  <c:v>1.9127694328</c:v>
                </c:pt>
                <c:pt idx="364">
                  <c:v>0.2743877716</c:v>
                </c:pt>
                <c:pt idx="365">
                  <c:v>0.31709999999999999</c:v>
                </c:pt>
                <c:pt idx="366">
                  <c:v>0.26269999999999999</c:v>
                </c:pt>
                <c:pt idx="367">
                  <c:v>0.38429999999999997</c:v>
                </c:pt>
                <c:pt idx="368">
                  <c:v>0.27029999999999998</c:v>
                </c:pt>
                <c:pt idx="369">
                  <c:v>0.24329999999999999</c:v>
                </c:pt>
                <c:pt idx="370">
                  <c:v>0.29799999999999999</c:v>
                </c:pt>
                <c:pt idx="371">
                  <c:v>0.27200000000000002</c:v>
                </c:pt>
                <c:pt idx="372">
                  <c:v>0.7288</c:v>
                </c:pt>
                <c:pt idx="373">
                  <c:v>0.89049999999999996</c:v>
                </c:pt>
                <c:pt idx="374">
                  <c:v>4.0254000000000003</c:v>
                </c:pt>
                <c:pt idx="375">
                  <c:v>0.47889999999999999</c:v>
                </c:pt>
                <c:pt idx="376">
                  <c:v>8.0088000000000008</c:v>
                </c:pt>
                <c:pt idx="377">
                  <c:v>0.9022</c:v>
                </c:pt>
                <c:pt idx="378">
                  <c:v>0.76939999999999997</c:v>
                </c:pt>
                <c:pt idx="379">
                  <c:v>4.8552999999999997</c:v>
                </c:pt>
                <c:pt idx="380">
                  <c:v>1.6704000000000001</c:v>
                </c:pt>
                <c:pt idx="381">
                  <c:v>1.5847</c:v>
                </c:pt>
                <c:pt idx="382">
                  <c:v>5.3727</c:v>
                </c:pt>
                <c:pt idx="383">
                  <c:v>10.349299999999999</c:v>
                </c:pt>
                <c:pt idx="384">
                  <c:v>4.032</c:v>
                </c:pt>
                <c:pt idx="385">
                  <c:v>1.5995999999999999</c:v>
                </c:pt>
                <c:pt idx="386">
                  <c:v>1.0316000000000001</c:v>
                </c:pt>
                <c:pt idx="387">
                  <c:v>1.4638</c:v>
                </c:pt>
                <c:pt idx="388">
                  <c:v>0.59819999999999995</c:v>
                </c:pt>
                <c:pt idx="389">
                  <c:v>1.2558</c:v>
                </c:pt>
                <c:pt idx="390">
                  <c:v>0.60589999999999999</c:v>
                </c:pt>
                <c:pt idx="391">
                  <c:v>1.2166999999999999</c:v>
                </c:pt>
                <c:pt idx="392">
                  <c:v>0.44080000000000003</c:v>
                </c:pt>
                <c:pt idx="393">
                  <c:v>0.45379999999999998</c:v>
                </c:pt>
                <c:pt idx="394">
                  <c:v>1.3622000000000001</c:v>
                </c:pt>
                <c:pt idx="395">
                  <c:v>0.11360000000000001</c:v>
                </c:pt>
                <c:pt idx="396">
                  <c:v>2.1671</c:v>
                </c:pt>
                <c:pt idx="397">
                  <c:v>7.4120999999999997</c:v>
                </c:pt>
                <c:pt idx="398">
                  <c:v>1.2206999999999999</c:v>
                </c:pt>
                <c:pt idx="399">
                  <c:v>3.6499999999999998E-2</c:v>
                </c:pt>
                <c:pt idx="400">
                  <c:v>2.8068</c:v>
                </c:pt>
                <c:pt idx="401">
                  <c:v>5.5980999999999996</c:v>
                </c:pt>
                <c:pt idx="402">
                  <c:v>2.5499000000000001</c:v>
                </c:pt>
                <c:pt idx="403">
                  <c:v>0.31109999999999999</c:v>
                </c:pt>
                <c:pt idx="404">
                  <c:v>0.30640000000000001</c:v>
                </c:pt>
                <c:pt idx="405">
                  <c:v>0.26740000000000003</c:v>
                </c:pt>
                <c:pt idx="406">
                  <c:v>4.5583</c:v>
                </c:pt>
                <c:pt idx="407">
                  <c:v>1.4439</c:v>
                </c:pt>
                <c:pt idx="408">
                  <c:v>0.28060000000000002</c:v>
                </c:pt>
                <c:pt idx="409">
                  <c:v>0.2893</c:v>
                </c:pt>
                <c:pt idx="410">
                  <c:v>0.31919999999999998</c:v>
                </c:pt>
                <c:pt idx="411">
                  <c:v>0.51559999999999995</c:v>
                </c:pt>
                <c:pt idx="412">
                  <c:v>0.61850000000000005</c:v>
                </c:pt>
                <c:pt idx="413">
                  <c:v>0.42580000000000001</c:v>
                </c:pt>
                <c:pt idx="414">
                  <c:v>0.56069999999999998</c:v>
                </c:pt>
                <c:pt idx="415">
                  <c:v>6.8925000000000001</c:v>
                </c:pt>
                <c:pt idx="416">
                  <c:v>0.96430000000000005</c:v>
                </c:pt>
                <c:pt idx="417">
                  <c:v>4.5861999999999998</c:v>
                </c:pt>
                <c:pt idx="418">
                  <c:v>4.0738000000000003</c:v>
                </c:pt>
                <c:pt idx="419">
                  <c:v>0.64780000000000004</c:v>
                </c:pt>
                <c:pt idx="420">
                  <c:v>1.0183</c:v>
                </c:pt>
                <c:pt idx="421">
                  <c:v>0.80149999999999999</c:v>
                </c:pt>
                <c:pt idx="422">
                  <c:v>0.68510000000000004</c:v>
                </c:pt>
                <c:pt idx="423">
                  <c:v>0.70609999999999995</c:v>
                </c:pt>
                <c:pt idx="424">
                  <c:v>0.72509999999999997</c:v>
                </c:pt>
                <c:pt idx="425">
                  <c:v>2.7309999999999999</c:v>
                </c:pt>
                <c:pt idx="426">
                  <c:v>0.71530000000000005</c:v>
                </c:pt>
                <c:pt idx="427">
                  <c:v>0.51529999999999998</c:v>
                </c:pt>
                <c:pt idx="428">
                  <c:v>0.35189999999999999</c:v>
                </c:pt>
                <c:pt idx="429">
                  <c:v>0.76649999999999996</c:v>
                </c:pt>
                <c:pt idx="430">
                  <c:v>0.64119999999999999</c:v>
                </c:pt>
                <c:pt idx="431">
                  <c:v>0.40629999999999999</c:v>
                </c:pt>
                <c:pt idx="432">
                  <c:v>1.2263999999999999</c:v>
                </c:pt>
                <c:pt idx="433">
                  <c:v>4.1266999999999996</c:v>
                </c:pt>
                <c:pt idx="434">
                  <c:v>2.1827000000000001</c:v>
                </c:pt>
                <c:pt idx="435">
                  <c:v>4.1856</c:v>
                </c:pt>
                <c:pt idx="436">
                  <c:v>0.95489999999999997</c:v>
                </c:pt>
                <c:pt idx="437">
                  <c:v>2.9272999999999998</c:v>
                </c:pt>
                <c:pt idx="438">
                  <c:v>1.087</c:v>
                </c:pt>
                <c:pt idx="439">
                  <c:v>6.7336</c:v>
                </c:pt>
                <c:pt idx="440">
                  <c:v>4.0803000000000003</c:v>
                </c:pt>
                <c:pt idx="441">
                  <c:v>2.0358999999999998</c:v>
                </c:pt>
                <c:pt idx="442">
                  <c:v>12.5402</c:v>
                </c:pt>
                <c:pt idx="443">
                  <c:v>4.2298</c:v>
                </c:pt>
                <c:pt idx="444">
                  <c:v>1.4186000000000001</c:v>
                </c:pt>
                <c:pt idx="445">
                  <c:v>2.1065</c:v>
                </c:pt>
                <c:pt idx="446">
                  <c:v>3.4977</c:v>
                </c:pt>
                <c:pt idx="447">
                  <c:v>1.2670999999999999</c:v>
                </c:pt>
                <c:pt idx="448">
                  <c:v>2.3675999999999999</c:v>
                </c:pt>
                <c:pt idx="449">
                  <c:v>1.1422000000000001</c:v>
                </c:pt>
                <c:pt idx="450">
                  <c:v>1.4021999999999999</c:v>
                </c:pt>
                <c:pt idx="451">
                  <c:v>2.1913</c:v>
                </c:pt>
                <c:pt idx="452">
                  <c:v>5.6635999999999997</c:v>
                </c:pt>
                <c:pt idx="453">
                  <c:v>5.7427000000000001</c:v>
                </c:pt>
                <c:pt idx="454">
                  <c:v>3.3940000000000001</c:v>
                </c:pt>
                <c:pt idx="455">
                  <c:v>4.5641999999999996</c:v>
                </c:pt>
                <c:pt idx="456">
                  <c:v>5.7332000000000001</c:v>
                </c:pt>
                <c:pt idx="457">
                  <c:v>3.2018</c:v>
                </c:pt>
                <c:pt idx="458">
                  <c:v>2.4476</c:v>
                </c:pt>
                <c:pt idx="459">
                  <c:v>5.84</c:v>
                </c:pt>
                <c:pt idx="460">
                  <c:v>11.419499999999999</c:v>
                </c:pt>
                <c:pt idx="461">
                  <c:v>3.6892</c:v>
                </c:pt>
                <c:pt idx="462">
                  <c:v>3.0981000000000001</c:v>
                </c:pt>
                <c:pt idx="463">
                  <c:v>1.8653</c:v>
                </c:pt>
                <c:pt idx="464">
                  <c:v>1.9911000000000001</c:v>
                </c:pt>
                <c:pt idx="465">
                  <c:v>1.5916999999999999</c:v>
                </c:pt>
                <c:pt idx="466">
                  <c:v>1.7090000000000001</c:v>
                </c:pt>
                <c:pt idx="467">
                  <c:v>2.7317999999999998</c:v>
                </c:pt>
                <c:pt idx="468">
                  <c:v>2.7997000000000001</c:v>
                </c:pt>
                <c:pt idx="469">
                  <c:v>2.3258999999999999</c:v>
                </c:pt>
                <c:pt idx="470">
                  <c:v>1.2766</c:v>
                </c:pt>
                <c:pt idx="471">
                  <c:v>5.2077999999999998</c:v>
                </c:pt>
                <c:pt idx="472">
                  <c:v>0.76429999999999998</c:v>
                </c:pt>
                <c:pt idx="473">
                  <c:v>1.0068999999999999</c:v>
                </c:pt>
                <c:pt idx="474">
                  <c:v>0.80220000000000002</c:v>
                </c:pt>
                <c:pt idx="475">
                  <c:v>1.8958999999999999</c:v>
                </c:pt>
                <c:pt idx="476">
                  <c:v>4.4954000000000001</c:v>
                </c:pt>
                <c:pt idx="477">
                  <c:v>2.9350999999999998</c:v>
                </c:pt>
                <c:pt idx="478">
                  <c:v>1.3554999999999999</c:v>
                </c:pt>
                <c:pt idx="479">
                  <c:v>4.8037000000000001</c:v>
                </c:pt>
                <c:pt idx="480">
                  <c:v>4.8867000000000003</c:v>
                </c:pt>
                <c:pt idx="481">
                  <c:v>3.9624999999999999</c:v>
                </c:pt>
                <c:pt idx="482">
                  <c:v>1.7201</c:v>
                </c:pt>
                <c:pt idx="483">
                  <c:v>3.1276999999999999</c:v>
                </c:pt>
                <c:pt idx="484">
                  <c:v>2.8553000000000002</c:v>
                </c:pt>
                <c:pt idx="485">
                  <c:v>3.2117</c:v>
                </c:pt>
                <c:pt idx="486">
                  <c:v>2.238</c:v>
                </c:pt>
                <c:pt idx="487">
                  <c:v>4.9589999999999996</c:v>
                </c:pt>
                <c:pt idx="488">
                  <c:v>8.2327999999999992</c:v>
                </c:pt>
                <c:pt idx="489">
                  <c:v>3.9235000000000002</c:v>
                </c:pt>
                <c:pt idx="490">
                  <c:v>2.1252</c:v>
                </c:pt>
                <c:pt idx="491">
                  <c:v>1.4478</c:v>
                </c:pt>
                <c:pt idx="492">
                  <c:v>1.4219999999999999</c:v>
                </c:pt>
                <c:pt idx="493">
                  <c:v>1.7345999999999999</c:v>
                </c:pt>
                <c:pt idx="494">
                  <c:v>1.5165</c:v>
                </c:pt>
                <c:pt idx="495">
                  <c:v>1.6944999999999999</c:v>
                </c:pt>
                <c:pt idx="496">
                  <c:v>3.8715000000000002</c:v>
                </c:pt>
                <c:pt idx="497">
                  <c:v>4.0960000000000001</c:v>
                </c:pt>
                <c:pt idx="498">
                  <c:v>1.0751999999999999</c:v>
                </c:pt>
                <c:pt idx="499">
                  <c:v>0.54779999999999995</c:v>
                </c:pt>
                <c:pt idx="500">
                  <c:v>1.0335000000000001</c:v>
                </c:pt>
                <c:pt idx="501">
                  <c:v>2.6859000000000002</c:v>
                </c:pt>
                <c:pt idx="502">
                  <c:v>0.75760000000000005</c:v>
                </c:pt>
                <c:pt idx="503">
                  <c:v>0.1641</c:v>
                </c:pt>
                <c:pt idx="504">
                  <c:v>0.17</c:v>
                </c:pt>
                <c:pt idx="505">
                  <c:v>2.5135999999999998</c:v>
                </c:pt>
                <c:pt idx="506">
                  <c:v>0.73519999999999996</c:v>
                </c:pt>
                <c:pt idx="507">
                  <c:v>1.863</c:v>
                </c:pt>
                <c:pt idx="508">
                  <c:v>4.2023999999999999</c:v>
                </c:pt>
                <c:pt idx="509">
                  <c:v>1.5840000000000001</c:v>
                </c:pt>
                <c:pt idx="510">
                  <c:v>1.5672999999999999</c:v>
                </c:pt>
                <c:pt idx="511">
                  <c:v>1.7433000000000001</c:v>
                </c:pt>
                <c:pt idx="512">
                  <c:v>1.7851999999999999</c:v>
                </c:pt>
                <c:pt idx="513">
                  <c:v>6.3067000000000002</c:v>
                </c:pt>
                <c:pt idx="514">
                  <c:v>1.4838</c:v>
                </c:pt>
                <c:pt idx="515">
                  <c:v>2.3279999999999998</c:v>
                </c:pt>
                <c:pt idx="516">
                  <c:v>5.2638999999999996</c:v>
                </c:pt>
                <c:pt idx="517">
                  <c:v>5.6052999999999997</c:v>
                </c:pt>
                <c:pt idx="518">
                  <c:v>5.4156000000000004</c:v>
                </c:pt>
                <c:pt idx="519">
                  <c:v>1.6579999999999999</c:v>
                </c:pt>
                <c:pt idx="520">
                  <c:v>6.8708</c:v>
                </c:pt>
                <c:pt idx="521">
                  <c:v>3.7780999999999998</c:v>
                </c:pt>
                <c:pt idx="522">
                  <c:v>4.7732999999999999</c:v>
                </c:pt>
                <c:pt idx="523">
                  <c:v>5.6749999999999998</c:v>
                </c:pt>
                <c:pt idx="524">
                  <c:v>2.1949000000000001</c:v>
                </c:pt>
                <c:pt idx="525">
                  <c:v>1.3149</c:v>
                </c:pt>
                <c:pt idx="526">
                  <c:v>4.5525000000000002</c:v>
                </c:pt>
                <c:pt idx="527">
                  <c:v>1.3617999999999999</c:v>
                </c:pt>
                <c:pt idx="528">
                  <c:v>4.0254000000000003</c:v>
                </c:pt>
                <c:pt idx="529">
                  <c:v>2.931</c:v>
                </c:pt>
                <c:pt idx="530">
                  <c:v>6.1745000000000001</c:v>
                </c:pt>
                <c:pt idx="531">
                  <c:v>3.0449999999999999</c:v>
                </c:pt>
                <c:pt idx="532">
                  <c:v>1.9813000000000001</c:v>
                </c:pt>
                <c:pt idx="533">
                  <c:v>3.3494000000000002</c:v>
                </c:pt>
                <c:pt idx="534">
                  <c:v>0.98299999999999998</c:v>
                </c:pt>
                <c:pt idx="535">
                  <c:v>0.94699999999999995</c:v>
                </c:pt>
                <c:pt idx="536">
                  <c:v>0.10009999999999999</c:v>
                </c:pt>
                <c:pt idx="537">
                  <c:v>9.5000000000000001E-2</c:v>
                </c:pt>
                <c:pt idx="538">
                  <c:v>7.9299999999999995E-2</c:v>
                </c:pt>
                <c:pt idx="539">
                  <c:v>1.4180999999999999</c:v>
                </c:pt>
                <c:pt idx="540">
                  <c:v>5.9259000000000004</c:v>
                </c:pt>
                <c:pt idx="541">
                  <c:v>5.3837000000000002</c:v>
                </c:pt>
                <c:pt idx="542">
                  <c:v>8.5707000000000004</c:v>
                </c:pt>
                <c:pt idx="543">
                  <c:v>1.0325</c:v>
                </c:pt>
                <c:pt idx="544">
                  <c:v>1.8209</c:v>
                </c:pt>
                <c:pt idx="545">
                  <c:v>0.68210000000000004</c:v>
                </c:pt>
                <c:pt idx="546">
                  <c:v>0.52339999999999998</c:v>
                </c:pt>
                <c:pt idx="547">
                  <c:v>0.51319999999999999</c:v>
                </c:pt>
                <c:pt idx="548">
                  <c:v>3.9786000000000001</c:v>
                </c:pt>
                <c:pt idx="549">
                  <c:v>1.159</c:v>
                </c:pt>
                <c:pt idx="550">
                  <c:v>4.423</c:v>
                </c:pt>
                <c:pt idx="551">
                  <c:v>0.66180000000000005</c:v>
                </c:pt>
                <c:pt idx="552">
                  <c:v>3.9950000000000001</c:v>
                </c:pt>
                <c:pt idx="553">
                  <c:v>3.6886000000000001</c:v>
                </c:pt>
                <c:pt idx="554">
                  <c:v>2.1825000000000001</c:v>
                </c:pt>
                <c:pt idx="555">
                  <c:v>1.3320000000000001</c:v>
                </c:pt>
                <c:pt idx="556">
                  <c:v>1.8925000000000001</c:v>
                </c:pt>
                <c:pt idx="557">
                  <c:v>0.66659999999999997</c:v>
                </c:pt>
                <c:pt idx="558">
                  <c:v>0.73170000000000002</c:v>
                </c:pt>
                <c:pt idx="559">
                  <c:v>0.35570000000000002</c:v>
                </c:pt>
                <c:pt idx="560">
                  <c:v>1.331</c:v>
                </c:pt>
                <c:pt idx="561">
                  <c:v>0.1293</c:v>
                </c:pt>
                <c:pt idx="562">
                  <c:v>1.3176000000000001</c:v>
                </c:pt>
                <c:pt idx="563">
                  <c:v>1.0569999999999999</c:v>
                </c:pt>
                <c:pt idx="564">
                  <c:v>3.9449000000000001</c:v>
                </c:pt>
                <c:pt idx="565">
                  <c:v>2.508</c:v>
                </c:pt>
                <c:pt idx="566">
                  <c:v>1.7323999999999999</c:v>
                </c:pt>
                <c:pt idx="567">
                  <c:v>1.4139999999999999</c:v>
                </c:pt>
                <c:pt idx="568">
                  <c:v>1.8663000000000001</c:v>
                </c:pt>
                <c:pt idx="569">
                  <c:v>1.1000000000000001</c:v>
                </c:pt>
                <c:pt idx="570">
                  <c:v>1.4792000000000001</c:v>
                </c:pt>
                <c:pt idx="571">
                  <c:v>2.6355</c:v>
                </c:pt>
                <c:pt idx="572">
                  <c:v>1.7538</c:v>
                </c:pt>
                <c:pt idx="573">
                  <c:v>1.7642</c:v>
                </c:pt>
                <c:pt idx="574">
                  <c:v>0.99050000000000005</c:v>
                </c:pt>
                <c:pt idx="575">
                  <c:v>1.9157999999999999</c:v>
                </c:pt>
                <c:pt idx="576">
                  <c:v>2.3178999999999998</c:v>
                </c:pt>
                <c:pt idx="577">
                  <c:v>4.4554</c:v>
                </c:pt>
                <c:pt idx="578">
                  <c:v>6.3808999999999996</c:v>
                </c:pt>
                <c:pt idx="579">
                  <c:v>2.6657999999999999</c:v>
                </c:pt>
                <c:pt idx="580">
                  <c:v>0.9788</c:v>
                </c:pt>
                <c:pt idx="581">
                  <c:v>0.90620000000000001</c:v>
                </c:pt>
                <c:pt idx="582">
                  <c:v>1.2278</c:v>
                </c:pt>
                <c:pt idx="583">
                  <c:v>2.8092999999999999</c:v>
                </c:pt>
                <c:pt idx="584">
                  <c:v>0.87209999999999999</c:v>
                </c:pt>
                <c:pt idx="585">
                  <c:v>0.78839999999999999</c:v>
                </c:pt>
                <c:pt idx="586">
                  <c:v>2.2698</c:v>
                </c:pt>
                <c:pt idx="587">
                  <c:v>1.8429</c:v>
                </c:pt>
                <c:pt idx="588">
                  <c:v>9.4500000000000001E-2</c:v>
                </c:pt>
                <c:pt idx="589">
                  <c:v>3.5268999999999999</c:v>
                </c:pt>
                <c:pt idx="590">
                  <c:v>4.5460000000000003</c:v>
                </c:pt>
                <c:pt idx="591">
                  <c:v>3.8782000000000001</c:v>
                </c:pt>
                <c:pt idx="592">
                  <c:v>6.1837999999999997</c:v>
                </c:pt>
                <c:pt idx="593">
                  <c:v>3.1012</c:v>
                </c:pt>
                <c:pt idx="594">
                  <c:v>1.2079</c:v>
                </c:pt>
                <c:pt idx="595">
                  <c:v>0.87549999999999994</c:v>
                </c:pt>
                <c:pt idx="596">
                  <c:v>1.5175000000000001</c:v>
                </c:pt>
                <c:pt idx="597">
                  <c:v>4.1014999999999997</c:v>
                </c:pt>
                <c:pt idx="598">
                  <c:v>5.7493999999999996</c:v>
                </c:pt>
                <c:pt idx="599">
                  <c:v>5.5750000000000002</c:v>
                </c:pt>
                <c:pt idx="600">
                  <c:v>4.2157</c:v>
                </c:pt>
                <c:pt idx="601">
                  <c:v>3.3144</c:v>
                </c:pt>
                <c:pt idx="602">
                  <c:v>1.7448999999999999</c:v>
                </c:pt>
                <c:pt idx="603">
                  <c:v>2.74</c:v>
                </c:pt>
                <c:pt idx="604">
                  <c:v>1.3811</c:v>
                </c:pt>
                <c:pt idx="605">
                  <c:v>1.1636</c:v>
                </c:pt>
                <c:pt idx="606">
                  <c:v>1.37E-2</c:v>
                </c:pt>
                <c:pt idx="607">
                  <c:v>0.29899999999999999</c:v>
                </c:pt>
                <c:pt idx="608">
                  <c:v>1.8905000000000001</c:v>
                </c:pt>
                <c:pt idx="609">
                  <c:v>0.99750000000000005</c:v>
                </c:pt>
                <c:pt idx="610">
                  <c:v>8.4199999999999997E-2</c:v>
                </c:pt>
                <c:pt idx="611">
                  <c:v>1.127</c:v>
                </c:pt>
                <c:pt idx="612">
                  <c:v>0.94579999999999997</c:v>
                </c:pt>
                <c:pt idx="613">
                  <c:v>4.6800000000000001E-2</c:v>
                </c:pt>
                <c:pt idx="623">
                  <c:v>0.33589999999999998</c:v>
                </c:pt>
                <c:pt idx="624">
                  <c:v>2.0969000000000002</c:v>
                </c:pt>
                <c:pt idx="625">
                  <c:v>1.1162000000000001</c:v>
                </c:pt>
                <c:pt idx="626">
                  <c:v>2.12E-2</c:v>
                </c:pt>
                <c:pt idx="630">
                  <c:v>0</c:v>
                </c:pt>
                <c:pt idx="631">
                  <c:v>0.90180000000000005</c:v>
                </c:pt>
                <c:pt idx="635">
                  <c:v>0.77539999999999998</c:v>
                </c:pt>
                <c:pt idx="636">
                  <c:v>1.2715000000000001</c:v>
                </c:pt>
                <c:pt idx="637">
                  <c:v>4.2799999999999998E-2</c:v>
                </c:pt>
                <c:pt idx="638">
                  <c:v>0.62190000000000001</c:v>
                </c:pt>
                <c:pt idx="640">
                  <c:v>0.31609999999999999</c:v>
                </c:pt>
                <c:pt idx="644">
                  <c:v>0.17799999999999999</c:v>
                </c:pt>
                <c:pt idx="645">
                  <c:v>0.81479999999999997</c:v>
                </c:pt>
                <c:pt idx="646">
                  <c:v>0.29149999999999998</c:v>
                </c:pt>
                <c:pt idx="647">
                  <c:v>0.1016</c:v>
                </c:pt>
                <c:pt idx="648">
                  <c:v>9.1999999999999998E-3</c:v>
                </c:pt>
                <c:pt idx="649">
                  <c:v>0.20330000000000001</c:v>
                </c:pt>
                <c:pt idx="650">
                  <c:v>0.1043</c:v>
                </c:pt>
                <c:pt idx="652">
                  <c:v>9.1499999999999998E-2</c:v>
                </c:pt>
                <c:pt idx="654">
                  <c:v>9.6500000000000002E-2</c:v>
                </c:pt>
                <c:pt idx="655">
                  <c:v>9.4999999999999998E-3</c:v>
                </c:pt>
                <c:pt idx="656">
                  <c:v>1.4E-3</c:v>
                </c:pt>
                <c:pt idx="657">
                  <c:v>4.6300000000000001E-2</c:v>
                </c:pt>
                <c:pt idx="658">
                  <c:v>0.17730000000000001</c:v>
                </c:pt>
                <c:pt idx="659">
                  <c:v>8.1500000000000003E-2</c:v>
                </c:pt>
                <c:pt idx="661">
                  <c:v>9.8000000000000004E-2</c:v>
                </c:pt>
                <c:pt idx="662">
                  <c:v>6.1456</c:v>
                </c:pt>
                <c:pt idx="663">
                  <c:v>2.8186</c:v>
                </c:pt>
                <c:pt idx="664">
                  <c:v>7.0194999999999999</c:v>
                </c:pt>
                <c:pt idx="665">
                  <c:v>11.393700000000001</c:v>
                </c:pt>
                <c:pt idx="666">
                  <c:v>6.9687999999999999</c:v>
                </c:pt>
                <c:pt idx="667">
                  <c:v>8.5424000000000007</c:v>
                </c:pt>
                <c:pt idx="668">
                  <c:v>9.8241999999999994</c:v>
                </c:pt>
                <c:pt idx="669">
                  <c:v>10.129200000000001</c:v>
                </c:pt>
                <c:pt idx="670">
                  <c:v>6.7542</c:v>
                </c:pt>
                <c:pt idx="671">
                  <c:v>5.7084000000000001</c:v>
                </c:pt>
                <c:pt idx="672">
                  <c:v>6.242</c:v>
                </c:pt>
                <c:pt idx="673">
                  <c:v>8.0526</c:v>
                </c:pt>
                <c:pt idx="674">
                  <c:v>9.9695</c:v>
                </c:pt>
                <c:pt idx="675">
                  <c:v>13.648099999999999</c:v>
                </c:pt>
                <c:pt idx="676">
                  <c:v>8.9591999999999992</c:v>
                </c:pt>
                <c:pt idx="677">
                  <c:v>3.7911999999999999</c:v>
                </c:pt>
                <c:pt idx="678">
                  <c:v>0.24079999999999999</c:v>
                </c:pt>
                <c:pt idx="679">
                  <c:v>6.5631000000000004</c:v>
                </c:pt>
                <c:pt idx="680">
                  <c:v>0.94069999999999998</c:v>
                </c:pt>
                <c:pt idx="681">
                  <c:v>0.99150000000000005</c:v>
                </c:pt>
                <c:pt idx="682">
                  <c:v>0.25240000000000001</c:v>
                </c:pt>
                <c:pt idx="683">
                  <c:v>1.4353</c:v>
                </c:pt>
                <c:pt idx="684">
                  <c:v>6.4779999999999998</c:v>
                </c:pt>
                <c:pt idx="685">
                  <c:v>3.3313999999999999</c:v>
                </c:pt>
                <c:pt idx="686">
                  <c:v>2.1518999999999999</c:v>
                </c:pt>
                <c:pt idx="687">
                  <c:v>1.9008</c:v>
                </c:pt>
                <c:pt idx="688">
                  <c:v>6.6746999999999996</c:v>
                </c:pt>
                <c:pt idx="689">
                  <c:v>11.6183</c:v>
                </c:pt>
                <c:pt idx="690">
                  <c:v>9.8899000000000008</c:v>
                </c:pt>
                <c:pt idx="691">
                  <c:v>5.1437999999999997</c:v>
                </c:pt>
                <c:pt idx="692">
                  <c:v>6.8384</c:v>
                </c:pt>
                <c:pt idx="693">
                  <c:v>6.1828000000000003</c:v>
                </c:pt>
                <c:pt idx="694">
                  <c:v>1.6294999999999999</c:v>
                </c:pt>
                <c:pt idx="695">
                  <c:v>6.5255999999999998</c:v>
                </c:pt>
                <c:pt idx="696">
                  <c:v>5.0819000000000001</c:v>
                </c:pt>
                <c:pt idx="697">
                  <c:v>3.2602000000000002</c:v>
                </c:pt>
                <c:pt idx="698">
                  <c:v>2.3254000000000001</c:v>
                </c:pt>
                <c:pt idx="699">
                  <c:v>2.3111999999999999</c:v>
                </c:pt>
                <c:pt idx="700">
                  <c:v>1.8141</c:v>
                </c:pt>
                <c:pt idx="701">
                  <c:v>3.7115</c:v>
                </c:pt>
                <c:pt idx="702">
                  <c:v>2.7174999999999998</c:v>
                </c:pt>
                <c:pt idx="703">
                  <c:v>0.72719999999999996</c:v>
                </c:pt>
                <c:pt idx="704">
                  <c:v>1.7161</c:v>
                </c:pt>
                <c:pt idx="705">
                  <c:v>0.9919</c:v>
                </c:pt>
                <c:pt idx="706">
                  <c:v>1.2075</c:v>
                </c:pt>
                <c:pt idx="707">
                  <c:v>1.0108999999999999</c:v>
                </c:pt>
                <c:pt idx="708">
                  <c:v>1.8551</c:v>
                </c:pt>
                <c:pt idx="709">
                  <c:v>0.65600000000000003</c:v>
                </c:pt>
                <c:pt idx="710">
                  <c:v>1.0222</c:v>
                </c:pt>
                <c:pt idx="711">
                  <c:v>0.89019999999999999</c:v>
                </c:pt>
                <c:pt idx="712">
                  <c:v>1.4253</c:v>
                </c:pt>
                <c:pt idx="713">
                  <c:v>1.0291999999999999</c:v>
                </c:pt>
                <c:pt idx="714">
                  <c:v>2.5543</c:v>
                </c:pt>
                <c:pt idx="715">
                  <c:v>1.8514999999999999</c:v>
                </c:pt>
                <c:pt idx="716">
                  <c:v>0.81440000000000001</c:v>
                </c:pt>
                <c:pt idx="717">
                  <c:v>0.98729999999999996</c:v>
                </c:pt>
                <c:pt idx="718">
                  <c:v>5.3846999999999996</c:v>
                </c:pt>
                <c:pt idx="719">
                  <c:v>1.5552999999999999</c:v>
                </c:pt>
                <c:pt idx="720">
                  <c:v>0.90159999999999996</c:v>
                </c:pt>
                <c:pt idx="721">
                  <c:v>0.49590000000000001</c:v>
                </c:pt>
                <c:pt idx="722">
                  <c:v>0.81510000000000005</c:v>
                </c:pt>
                <c:pt idx="723">
                  <c:v>2.4531000000000001</c:v>
                </c:pt>
                <c:pt idx="724">
                  <c:v>6.7718999999999996</c:v>
                </c:pt>
                <c:pt idx="725">
                  <c:v>1.8464</c:v>
                </c:pt>
                <c:pt idx="726">
                  <c:v>2.7416999999999998</c:v>
                </c:pt>
                <c:pt idx="727">
                  <c:v>2.1949999999999998</c:v>
                </c:pt>
                <c:pt idx="728">
                  <c:v>6.1058000000000003</c:v>
                </c:pt>
                <c:pt idx="729">
                  <c:v>0.39379999999999998</c:v>
                </c:pt>
              </c:numCache>
            </c:numRef>
          </c:val>
          <c:extLst>
            <c:ext xmlns:c16="http://schemas.microsoft.com/office/drawing/2014/chart" uri="{C3380CC4-5D6E-409C-BE32-E72D297353CC}">
              <c16:uniqueId val="{00000000-F731-46F5-A420-9478610558D6}"/>
            </c:ext>
          </c:extLst>
        </c:ser>
        <c:dLbls>
          <c:showLegendKey val="0"/>
          <c:showVal val="0"/>
          <c:showCatName val="0"/>
          <c:showSerName val="0"/>
          <c:showPercent val="0"/>
          <c:showBubbleSize val="0"/>
        </c:dLbls>
        <c:gapWidth val="219"/>
        <c:overlap val="-27"/>
        <c:axId val="1556102776"/>
        <c:axId val="1556100976"/>
      </c:barChart>
      <c:catAx>
        <c:axId val="1556102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CO"/>
          </a:p>
        </c:txPr>
        <c:crossAx val="1556100976"/>
        <c:crosses val="autoZero"/>
        <c:auto val="1"/>
        <c:lblAlgn val="ctr"/>
        <c:lblOffset val="100"/>
        <c:noMultiLvlLbl val="0"/>
      </c:catAx>
      <c:valAx>
        <c:axId val="1556100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 / kWh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5561027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A7D4FDF199FE64438732850D4FBE260F" ma:contentTypeVersion="15" ma:contentTypeDescription="Crear nuevo documento." ma:contentTypeScope="" ma:versionID="17f2a170d553fb93ad4ee4bdf6a16c42">
  <xsd:schema xmlns:xsd="http://www.w3.org/2001/XMLSchema" xmlns:xs="http://www.w3.org/2001/XMLSchema" xmlns:p="http://schemas.microsoft.com/office/2006/metadata/properties" xmlns:ns2="0f90cc45-9d06-4234-8034-eeec6c0c7cc1" xmlns:ns3="309f6219-a73f-4366-a00d-6bacb1e9f8e0" targetNamespace="http://schemas.microsoft.com/office/2006/metadata/properties" ma:root="true" ma:fieldsID="b59e0bb1a8da7664ae293ee389bee3f9" ns2:_="" ns3:_="">
    <xsd:import namespace="0f90cc45-9d06-4234-8034-eeec6c0c7cc1"/>
    <xsd:import namespace="309f6219-a73f-4366-a00d-6bacb1e9f8e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90cc45-9d06-4234-8034-eeec6c0c7c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Etiquetas de imagen" ma:readOnly="false" ma:fieldId="{5cf76f15-5ced-4ddc-b409-7134ff3c332f}" ma:taxonomyMulti="true" ma:sspId="42cdfcee-ca2d-46b2-8159-5b17d2d80cf8" ma:termSetId="09814cd3-568e-fe90-9814-8d621ff8fb84" ma:anchorId="fba54fb3-c3e1-fe81-a776-ca4b69148c4d" ma:open="true" ma:isKeyword="false">
      <xsd:complexType>
        <xsd:sequence>
          <xsd:element ref="pc:Terms" minOccurs="0" maxOccurs="1"/>
        </xsd:sequence>
      </xsd:complex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09f6219-a73f-4366-a00d-6bacb1e9f8e0"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19" nillable="true" ma:displayName="Taxonomy Catch All Column" ma:hidden="true" ma:list="{02a0a591-6e08-4792-bc2c-079f6227fde3}" ma:internalName="TaxCatchAll" ma:showField="CatchAllData" ma:web="309f6219-a73f-4366-a00d-6bacb1e9f8e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f90cc45-9d06-4234-8034-eeec6c0c7cc1">
      <Terms xmlns="http://schemas.microsoft.com/office/infopath/2007/PartnerControls"/>
    </lcf76f155ced4ddcb4097134ff3c332f>
    <TaxCatchAll xmlns="309f6219-a73f-4366-a00d-6bacb1e9f8e0" xsi:nil="true"/>
  </documentManagement>
</p:properties>
</file>

<file path=customXml/itemProps1.xml><?xml version="1.0" encoding="utf-8"?>
<ds:datastoreItem xmlns:ds="http://schemas.openxmlformats.org/officeDocument/2006/customXml" ds:itemID="{CFE15245-B743-4602-82BE-04DA5DBE4272}">
  <ds:schemaRefs>
    <ds:schemaRef ds:uri="http://schemas.microsoft.com/sharepoint/v3/contenttype/forms"/>
  </ds:schemaRefs>
</ds:datastoreItem>
</file>

<file path=customXml/itemProps2.xml><?xml version="1.0" encoding="utf-8"?>
<ds:datastoreItem xmlns:ds="http://schemas.openxmlformats.org/officeDocument/2006/customXml" ds:itemID="{43C4A0CB-EBFB-4B55-9D1F-B5A207BA02D3}">
  <ds:schemaRefs>
    <ds:schemaRef ds:uri="http://schemas.openxmlformats.org/officeDocument/2006/bibliography"/>
  </ds:schemaRefs>
</ds:datastoreItem>
</file>

<file path=customXml/itemProps3.xml><?xml version="1.0" encoding="utf-8"?>
<ds:datastoreItem xmlns:ds="http://schemas.openxmlformats.org/officeDocument/2006/customXml" ds:itemID="{A6E7C3EB-43D3-4F9F-B24C-0A2DE60134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90cc45-9d06-4234-8034-eeec6c0c7cc1"/>
    <ds:schemaRef ds:uri="309f6219-a73f-4366-a00d-6bacb1e9f8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1AD0FE-1DAB-48B2-A284-A7F1653888B2}">
  <ds:schemaRefs>
    <ds:schemaRef ds:uri="http://schemas.microsoft.com/office/2006/metadata/properties"/>
    <ds:schemaRef ds:uri="http://schemas.microsoft.com/office/infopath/2007/PartnerControls"/>
    <ds:schemaRef ds:uri="0f90cc45-9d06-4234-8034-eeec6c0c7cc1"/>
    <ds:schemaRef ds:uri="309f6219-a73f-4366-a00d-6bacb1e9f8e0"/>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21</Pages>
  <Words>5057</Words>
  <Characters>27819</Characters>
  <Application>Microsoft Office Word</Application>
  <DocSecurity>0</DocSecurity>
  <Lines>231</Lines>
  <Paragraphs>65</Paragraphs>
  <ScaleCrop>false</ScaleCrop>
  <HeadingPairs>
    <vt:vector size="2" baseType="variant">
      <vt:variant>
        <vt:lpstr>Título</vt:lpstr>
      </vt:variant>
      <vt:variant>
        <vt:i4>1</vt:i4>
      </vt:variant>
    </vt:vector>
  </HeadingPairs>
  <TitlesOfParts>
    <vt:vector size="1" baseType="lpstr">
      <vt:lpstr>3 espacios (Interlineado sencillo)</vt:lpstr>
    </vt:vector>
  </TitlesOfParts>
  <Company>CREG</Company>
  <LinksUpToDate>false</LinksUpToDate>
  <CharactersWithSpaces>32811</CharactersWithSpaces>
  <SharedDoc>false</SharedDoc>
  <HLinks>
    <vt:vector size="216" baseType="variant">
      <vt:variant>
        <vt:i4>1507384</vt:i4>
      </vt:variant>
      <vt:variant>
        <vt:i4>227</vt:i4>
      </vt:variant>
      <vt:variant>
        <vt:i4>0</vt:i4>
      </vt:variant>
      <vt:variant>
        <vt:i4>5</vt:i4>
      </vt:variant>
      <vt:variant>
        <vt:lpwstr/>
      </vt:variant>
      <vt:variant>
        <vt:lpwstr>_Toc142490205</vt:lpwstr>
      </vt:variant>
      <vt:variant>
        <vt:i4>1507384</vt:i4>
      </vt:variant>
      <vt:variant>
        <vt:i4>221</vt:i4>
      </vt:variant>
      <vt:variant>
        <vt:i4>0</vt:i4>
      </vt:variant>
      <vt:variant>
        <vt:i4>5</vt:i4>
      </vt:variant>
      <vt:variant>
        <vt:lpwstr/>
      </vt:variant>
      <vt:variant>
        <vt:lpwstr>_Toc142490204</vt:lpwstr>
      </vt:variant>
      <vt:variant>
        <vt:i4>1507384</vt:i4>
      </vt:variant>
      <vt:variant>
        <vt:i4>215</vt:i4>
      </vt:variant>
      <vt:variant>
        <vt:i4>0</vt:i4>
      </vt:variant>
      <vt:variant>
        <vt:i4>5</vt:i4>
      </vt:variant>
      <vt:variant>
        <vt:lpwstr/>
      </vt:variant>
      <vt:variant>
        <vt:lpwstr>_Toc142490203</vt:lpwstr>
      </vt:variant>
      <vt:variant>
        <vt:i4>1507384</vt:i4>
      </vt:variant>
      <vt:variant>
        <vt:i4>209</vt:i4>
      </vt:variant>
      <vt:variant>
        <vt:i4>0</vt:i4>
      </vt:variant>
      <vt:variant>
        <vt:i4>5</vt:i4>
      </vt:variant>
      <vt:variant>
        <vt:lpwstr/>
      </vt:variant>
      <vt:variant>
        <vt:lpwstr>_Toc142490202</vt:lpwstr>
      </vt:variant>
      <vt:variant>
        <vt:i4>1048626</vt:i4>
      </vt:variant>
      <vt:variant>
        <vt:i4>200</vt:i4>
      </vt:variant>
      <vt:variant>
        <vt:i4>0</vt:i4>
      </vt:variant>
      <vt:variant>
        <vt:i4>5</vt:i4>
      </vt:variant>
      <vt:variant>
        <vt:lpwstr/>
      </vt:variant>
      <vt:variant>
        <vt:lpwstr>_Toc142487908</vt:lpwstr>
      </vt:variant>
      <vt:variant>
        <vt:i4>1048626</vt:i4>
      </vt:variant>
      <vt:variant>
        <vt:i4>194</vt:i4>
      </vt:variant>
      <vt:variant>
        <vt:i4>0</vt:i4>
      </vt:variant>
      <vt:variant>
        <vt:i4>5</vt:i4>
      </vt:variant>
      <vt:variant>
        <vt:lpwstr/>
      </vt:variant>
      <vt:variant>
        <vt:lpwstr>_Toc142487907</vt:lpwstr>
      </vt:variant>
      <vt:variant>
        <vt:i4>1048626</vt:i4>
      </vt:variant>
      <vt:variant>
        <vt:i4>188</vt:i4>
      </vt:variant>
      <vt:variant>
        <vt:i4>0</vt:i4>
      </vt:variant>
      <vt:variant>
        <vt:i4>5</vt:i4>
      </vt:variant>
      <vt:variant>
        <vt:lpwstr/>
      </vt:variant>
      <vt:variant>
        <vt:lpwstr>_Toc142487906</vt:lpwstr>
      </vt:variant>
      <vt:variant>
        <vt:i4>1048626</vt:i4>
      </vt:variant>
      <vt:variant>
        <vt:i4>182</vt:i4>
      </vt:variant>
      <vt:variant>
        <vt:i4>0</vt:i4>
      </vt:variant>
      <vt:variant>
        <vt:i4>5</vt:i4>
      </vt:variant>
      <vt:variant>
        <vt:lpwstr/>
      </vt:variant>
      <vt:variant>
        <vt:lpwstr>_Toc142487905</vt:lpwstr>
      </vt:variant>
      <vt:variant>
        <vt:i4>1048626</vt:i4>
      </vt:variant>
      <vt:variant>
        <vt:i4>176</vt:i4>
      </vt:variant>
      <vt:variant>
        <vt:i4>0</vt:i4>
      </vt:variant>
      <vt:variant>
        <vt:i4>5</vt:i4>
      </vt:variant>
      <vt:variant>
        <vt:lpwstr/>
      </vt:variant>
      <vt:variant>
        <vt:lpwstr>_Toc142487904</vt:lpwstr>
      </vt:variant>
      <vt:variant>
        <vt:i4>1048626</vt:i4>
      </vt:variant>
      <vt:variant>
        <vt:i4>170</vt:i4>
      </vt:variant>
      <vt:variant>
        <vt:i4>0</vt:i4>
      </vt:variant>
      <vt:variant>
        <vt:i4>5</vt:i4>
      </vt:variant>
      <vt:variant>
        <vt:lpwstr/>
      </vt:variant>
      <vt:variant>
        <vt:lpwstr>_Toc142487903</vt:lpwstr>
      </vt:variant>
      <vt:variant>
        <vt:i4>1048626</vt:i4>
      </vt:variant>
      <vt:variant>
        <vt:i4>164</vt:i4>
      </vt:variant>
      <vt:variant>
        <vt:i4>0</vt:i4>
      </vt:variant>
      <vt:variant>
        <vt:i4>5</vt:i4>
      </vt:variant>
      <vt:variant>
        <vt:lpwstr/>
      </vt:variant>
      <vt:variant>
        <vt:lpwstr>_Toc142487902</vt:lpwstr>
      </vt:variant>
      <vt:variant>
        <vt:i4>1245243</vt:i4>
      </vt:variant>
      <vt:variant>
        <vt:i4>155</vt:i4>
      </vt:variant>
      <vt:variant>
        <vt:i4>0</vt:i4>
      </vt:variant>
      <vt:variant>
        <vt:i4>5</vt:i4>
      </vt:variant>
      <vt:variant>
        <vt:lpwstr/>
      </vt:variant>
      <vt:variant>
        <vt:lpwstr>_Toc142490141</vt:lpwstr>
      </vt:variant>
      <vt:variant>
        <vt:i4>1245243</vt:i4>
      </vt:variant>
      <vt:variant>
        <vt:i4>149</vt:i4>
      </vt:variant>
      <vt:variant>
        <vt:i4>0</vt:i4>
      </vt:variant>
      <vt:variant>
        <vt:i4>5</vt:i4>
      </vt:variant>
      <vt:variant>
        <vt:lpwstr/>
      </vt:variant>
      <vt:variant>
        <vt:lpwstr>_Toc142490140</vt:lpwstr>
      </vt:variant>
      <vt:variant>
        <vt:i4>1310779</vt:i4>
      </vt:variant>
      <vt:variant>
        <vt:i4>143</vt:i4>
      </vt:variant>
      <vt:variant>
        <vt:i4>0</vt:i4>
      </vt:variant>
      <vt:variant>
        <vt:i4>5</vt:i4>
      </vt:variant>
      <vt:variant>
        <vt:lpwstr/>
      </vt:variant>
      <vt:variant>
        <vt:lpwstr>_Toc142490139</vt:lpwstr>
      </vt:variant>
      <vt:variant>
        <vt:i4>1310779</vt:i4>
      </vt:variant>
      <vt:variant>
        <vt:i4>137</vt:i4>
      </vt:variant>
      <vt:variant>
        <vt:i4>0</vt:i4>
      </vt:variant>
      <vt:variant>
        <vt:i4>5</vt:i4>
      </vt:variant>
      <vt:variant>
        <vt:lpwstr/>
      </vt:variant>
      <vt:variant>
        <vt:lpwstr>_Toc142490138</vt:lpwstr>
      </vt:variant>
      <vt:variant>
        <vt:i4>1245240</vt:i4>
      </vt:variant>
      <vt:variant>
        <vt:i4>128</vt:i4>
      </vt:variant>
      <vt:variant>
        <vt:i4>0</vt:i4>
      </vt:variant>
      <vt:variant>
        <vt:i4>5</vt:i4>
      </vt:variant>
      <vt:variant>
        <vt:lpwstr/>
      </vt:variant>
      <vt:variant>
        <vt:lpwstr>_Toc142490247</vt:lpwstr>
      </vt:variant>
      <vt:variant>
        <vt:i4>1245240</vt:i4>
      </vt:variant>
      <vt:variant>
        <vt:i4>122</vt:i4>
      </vt:variant>
      <vt:variant>
        <vt:i4>0</vt:i4>
      </vt:variant>
      <vt:variant>
        <vt:i4>5</vt:i4>
      </vt:variant>
      <vt:variant>
        <vt:lpwstr/>
      </vt:variant>
      <vt:variant>
        <vt:lpwstr>_Toc142490246</vt:lpwstr>
      </vt:variant>
      <vt:variant>
        <vt:i4>1245240</vt:i4>
      </vt:variant>
      <vt:variant>
        <vt:i4>116</vt:i4>
      </vt:variant>
      <vt:variant>
        <vt:i4>0</vt:i4>
      </vt:variant>
      <vt:variant>
        <vt:i4>5</vt:i4>
      </vt:variant>
      <vt:variant>
        <vt:lpwstr/>
      </vt:variant>
      <vt:variant>
        <vt:lpwstr>_Toc142490245</vt:lpwstr>
      </vt:variant>
      <vt:variant>
        <vt:i4>1245240</vt:i4>
      </vt:variant>
      <vt:variant>
        <vt:i4>110</vt:i4>
      </vt:variant>
      <vt:variant>
        <vt:i4>0</vt:i4>
      </vt:variant>
      <vt:variant>
        <vt:i4>5</vt:i4>
      </vt:variant>
      <vt:variant>
        <vt:lpwstr/>
      </vt:variant>
      <vt:variant>
        <vt:lpwstr>_Toc142490244</vt:lpwstr>
      </vt:variant>
      <vt:variant>
        <vt:i4>1245240</vt:i4>
      </vt:variant>
      <vt:variant>
        <vt:i4>104</vt:i4>
      </vt:variant>
      <vt:variant>
        <vt:i4>0</vt:i4>
      </vt:variant>
      <vt:variant>
        <vt:i4>5</vt:i4>
      </vt:variant>
      <vt:variant>
        <vt:lpwstr/>
      </vt:variant>
      <vt:variant>
        <vt:lpwstr>_Toc142490243</vt:lpwstr>
      </vt:variant>
      <vt:variant>
        <vt:i4>1245240</vt:i4>
      </vt:variant>
      <vt:variant>
        <vt:i4>98</vt:i4>
      </vt:variant>
      <vt:variant>
        <vt:i4>0</vt:i4>
      </vt:variant>
      <vt:variant>
        <vt:i4>5</vt:i4>
      </vt:variant>
      <vt:variant>
        <vt:lpwstr/>
      </vt:variant>
      <vt:variant>
        <vt:lpwstr>_Toc142490242</vt:lpwstr>
      </vt:variant>
      <vt:variant>
        <vt:i4>1245240</vt:i4>
      </vt:variant>
      <vt:variant>
        <vt:i4>92</vt:i4>
      </vt:variant>
      <vt:variant>
        <vt:i4>0</vt:i4>
      </vt:variant>
      <vt:variant>
        <vt:i4>5</vt:i4>
      </vt:variant>
      <vt:variant>
        <vt:lpwstr/>
      </vt:variant>
      <vt:variant>
        <vt:lpwstr>_Toc142490241</vt:lpwstr>
      </vt:variant>
      <vt:variant>
        <vt:i4>1245240</vt:i4>
      </vt:variant>
      <vt:variant>
        <vt:i4>86</vt:i4>
      </vt:variant>
      <vt:variant>
        <vt:i4>0</vt:i4>
      </vt:variant>
      <vt:variant>
        <vt:i4>5</vt:i4>
      </vt:variant>
      <vt:variant>
        <vt:lpwstr/>
      </vt:variant>
      <vt:variant>
        <vt:lpwstr>_Toc142490240</vt:lpwstr>
      </vt:variant>
      <vt:variant>
        <vt:i4>1310776</vt:i4>
      </vt:variant>
      <vt:variant>
        <vt:i4>80</vt:i4>
      </vt:variant>
      <vt:variant>
        <vt:i4>0</vt:i4>
      </vt:variant>
      <vt:variant>
        <vt:i4>5</vt:i4>
      </vt:variant>
      <vt:variant>
        <vt:lpwstr/>
      </vt:variant>
      <vt:variant>
        <vt:lpwstr>_Toc142490239</vt:lpwstr>
      </vt:variant>
      <vt:variant>
        <vt:i4>1310776</vt:i4>
      </vt:variant>
      <vt:variant>
        <vt:i4>74</vt:i4>
      </vt:variant>
      <vt:variant>
        <vt:i4>0</vt:i4>
      </vt:variant>
      <vt:variant>
        <vt:i4>5</vt:i4>
      </vt:variant>
      <vt:variant>
        <vt:lpwstr/>
      </vt:variant>
      <vt:variant>
        <vt:lpwstr>_Toc142490238</vt:lpwstr>
      </vt:variant>
      <vt:variant>
        <vt:i4>1310776</vt:i4>
      </vt:variant>
      <vt:variant>
        <vt:i4>68</vt:i4>
      </vt:variant>
      <vt:variant>
        <vt:i4>0</vt:i4>
      </vt:variant>
      <vt:variant>
        <vt:i4>5</vt:i4>
      </vt:variant>
      <vt:variant>
        <vt:lpwstr/>
      </vt:variant>
      <vt:variant>
        <vt:lpwstr>_Toc142490237</vt:lpwstr>
      </vt:variant>
      <vt:variant>
        <vt:i4>1310776</vt:i4>
      </vt:variant>
      <vt:variant>
        <vt:i4>62</vt:i4>
      </vt:variant>
      <vt:variant>
        <vt:i4>0</vt:i4>
      </vt:variant>
      <vt:variant>
        <vt:i4>5</vt:i4>
      </vt:variant>
      <vt:variant>
        <vt:lpwstr/>
      </vt:variant>
      <vt:variant>
        <vt:lpwstr>_Toc142490236</vt:lpwstr>
      </vt:variant>
      <vt:variant>
        <vt:i4>1310776</vt:i4>
      </vt:variant>
      <vt:variant>
        <vt:i4>56</vt:i4>
      </vt:variant>
      <vt:variant>
        <vt:i4>0</vt:i4>
      </vt:variant>
      <vt:variant>
        <vt:i4>5</vt:i4>
      </vt:variant>
      <vt:variant>
        <vt:lpwstr/>
      </vt:variant>
      <vt:variant>
        <vt:lpwstr>_Toc142490235</vt:lpwstr>
      </vt:variant>
      <vt:variant>
        <vt:i4>1310776</vt:i4>
      </vt:variant>
      <vt:variant>
        <vt:i4>50</vt:i4>
      </vt:variant>
      <vt:variant>
        <vt:i4>0</vt:i4>
      </vt:variant>
      <vt:variant>
        <vt:i4>5</vt:i4>
      </vt:variant>
      <vt:variant>
        <vt:lpwstr/>
      </vt:variant>
      <vt:variant>
        <vt:lpwstr>_Toc142490234</vt:lpwstr>
      </vt:variant>
      <vt:variant>
        <vt:i4>1310776</vt:i4>
      </vt:variant>
      <vt:variant>
        <vt:i4>44</vt:i4>
      </vt:variant>
      <vt:variant>
        <vt:i4>0</vt:i4>
      </vt:variant>
      <vt:variant>
        <vt:i4>5</vt:i4>
      </vt:variant>
      <vt:variant>
        <vt:lpwstr/>
      </vt:variant>
      <vt:variant>
        <vt:lpwstr>_Toc142490233</vt:lpwstr>
      </vt:variant>
      <vt:variant>
        <vt:i4>1310776</vt:i4>
      </vt:variant>
      <vt:variant>
        <vt:i4>38</vt:i4>
      </vt:variant>
      <vt:variant>
        <vt:i4>0</vt:i4>
      </vt:variant>
      <vt:variant>
        <vt:i4>5</vt:i4>
      </vt:variant>
      <vt:variant>
        <vt:lpwstr/>
      </vt:variant>
      <vt:variant>
        <vt:lpwstr>_Toc142490232</vt:lpwstr>
      </vt:variant>
      <vt:variant>
        <vt:i4>1310776</vt:i4>
      </vt:variant>
      <vt:variant>
        <vt:i4>32</vt:i4>
      </vt:variant>
      <vt:variant>
        <vt:i4>0</vt:i4>
      </vt:variant>
      <vt:variant>
        <vt:i4>5</vt:i4>
      </vt:variant>
      <vt:variant>
        <vt:lpwstr/>
      </vt:variant>
      <vt:variant>
        <vt:lpwstr>_Toc142490231</vt:lpwstr>
      </vt:variant>
      <vt:variant>
        <vt:i4>1310776</vt:i4>
      </vt:variant>
      <vt:variant>
        <vt:i4>26</vt:i4>
      </vt:variant>
      <vt:variant>
        <vt:i4>0</vt:i4>
      </vt:variant>
      <vt:variant>
        <vt:i4>5</vt:i4>
      </vt:variant>
      <vt:variant>
        <vt:lpwstr/>
      </vt:variant>
      <vt:variant>
        <vt:lpwstr>_Toc142490230</vt:lpwstr>
      </vt:variant>
      <vt:variant>
        <vt:i4>1376312</vt:i4>
      </vt:variant>
      <vt:variant>
        <vt:i4>20</vt:i4>
      </vt:variant>
      <vt:variant>
        <vt:i4>0</vt:i4>
      </vt:variant>
      <vt:variant>
        <vt:i4>5</vt:i4>
      </vt:variant>
      <vt:variant>
        <vt:lpwstr/>
      </vt:variant>
      <vt:variant>
        <vt:lpwstr>_Toc142490229</vt:lpwstr>
      </vt:variant>
      <vt:variant>
        <vt:i4>1376312</vt:i4>
      </vt:variant>
      <vt:variant>
        <vt:i4>14</vt:i4>
      </vt:variant>
      <vt:variant>
        <vt:i4>0</vt:i4>
      </vt:variant>
      <vt:variant>
        <vt:i4>5</vt:i4>
      </vt:variant>
      <vt:variant>
        <vt:lpwstr/>
      </vt:variant>
      <vt:variant>
        <vt:lpwstr>_Toc142490228</vt:lpwstr>
      </vt:variant>
      <vt:variant>
        <vt:i4>1376312</vt:i4>
      </vt:variant>
      <vt:variant>
        <vt:i4>8</vt:i4>
      </vt:variant>
      <vt:variant>
        <vt:i4>0</vt:i4>
      </vt:variant>
      <vt:variant>
        <vt:i4>5</vt:i4>
      </vt:variant>
      <vt:variant>
        <vt:lpwstr/>
      </vt:variant>
      <vt:variant>
        <vt:lpwstr>_Toc142490227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 espacios (Interlineado sencillo)</dc:title>
  <dc:subject/>
  <dc:creator>Creg189</dc:creator>
  <cp:keywords/>
  <cp:lastModifiedBy>Wilson Sanchez Sanchez</cp:lastModifiedBy>
  <cp:revision>6</cp:revision>
  <cp:lastPrinted>2024-06-06T22:34:00Z</cp:lastPrinted>
  <dcterms:created xsi:type="dcterms:W3CDTF">2024-06-05T20:26:00Z</dcterms:created>
  <dcterms:modified xsi:type="dcterms:W3CDTF">2024-06-06T22:34:00Z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0x010100A7D4FDF199FE64438732850D4FBE260F</vt:lpwstr>
  </property>
  <property fmtid="{D5CDD505-2E9C-101B-9397-08002B2CF9AE}" pid="3" name="MediaServiceImageTags">
    <vt:lpwstr/>
  </property>
</Properties>
</file>