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A1BF" w14:textId="77777777" w:rsidR="00625DC6" w:rsidRPr="00E060BE" w:rsidRDefault="00000000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noProof/>
          <w:szCs w:val="24"/>
        </w:rPr>
        <w:object w:dxaOrig="1440" w:dyaOrig="1440" w14:anchorId="51E2E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202.4pt;margin-top:-53.35pt;width:52.5pt;height:48.75pt;z-index:251658240;mso-wrap-edited:f;mso-width-percent:0;mso-height-percent:0;mso-width-percent:0;mso-height-percent:0" fillcolor="#0c9">
            <v:imagedata r:id="rId10" o:title=""/>
          </v:shape>
          <o:OLEObject Type="Embed" ProgID="PBrush" ShapeID="_x0000_s2050" DrawAspect="Content" ObjectID="_1779166518" r:id="rId11"/>
        </w:object>
      </w:r>
    </w:p>
    <w:p w14:paraId="67770A74" w14:textId="77777777" w:rsidR="00625DC6" w:rsidRPr="00E060BE" w:rsidRDefault="00625DC6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</w:p>
    <w:p w14:paraId="5CD8FDD3" w14:textId="77777777"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noProof/>
          <w:sz w:val="24"/>
          <w:szCs w:val="24"/>
          <w:lang w:val="es-ES"/>
        </w:rPr>
      </w:pPr>
      <w:r w:rsidRPr="00E060BE">
        <w:rPr>
          <w:rFonts w:ascii="Bookman Old Style" w:hAnsi="Bookman Old Style"/>
          <w:b w:val="0"/>
          <w:bCs/>
          <w:sz w:val="24"/>
          <w:szCs w:val="24"/>
        </w:rPr>
        <w:t>Ministerio de Minas y Energía</w:t>
      </w:r>
    </w:p>
    <w:p w14:paraId="0B8E60E5" w14:textId="77777777"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sz w:val="24"/>
          <w:szCs w:val="24"/>
        </w:rPr>
      </w:pPr>
    </w:p>
    <w:p w14:paraId="7027F17A" w14:textId="77777777" w:rsidR="00CA77FB" w:rsidRPr="00E060BE" w:rsidRDefault="00CA77FB" w:rsidP="00012259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 w:cs="Arial"/>
          <w:spacing w:val="20"/>
          <w:szCs w:val="24"/>
        </w:rPr>
      </w:pPr>
      <w:r w:rsidRPr="00E060BE">
        <w:rPr>
          <w:rFonts w:ascii="Bookman Old Style" w:hAnsi="Bookman Old Style" w:cs="Arial"/>
          <w:spacing w:val="20"/>
          <w:szCs w:val="24"/>
        </w:rPr>
        <w:t>COMISIÓN DE REGULACIÓN DE ENERGÍA Y GAS</w:t>
      </w:r>
    </w:p>
    <w:p w14:paraId="4767CFAE" w14:textId="77777777"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14:paraId="74971183" w14:textId="77777777"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14:paraId="5E14FAF3" w14:textId="5F4F0973" w:rsidR="00630026" w:rsidRPr="00E060BE" w:rsidRDefault="00EA520D" w:rsidP="00630026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PROYECTO DE </w:t>
      </w:r>
      <w:r w:rsidR="00630026" w:rsidRPr="00E060BE">
        <w:rPr>
          <w:rFonts w:ascii="Bookman Old Style" w:hAnsi="Bookman Old Style"/>
          <w:sz w:val="24"/>
          <w:szCs w:val="24"/>
        </w:rPr>
        <w:t xml:space="preserve">RESOLUCIÓN No. </w:t>
      </w:r>
      <w:r w:rsidRPr="00EA520D">
        <w:rPr>
          <w:rFonts w:ascii="Bookman Old Style" w:hAnsi="Bookman Old Style"/>
          <w:sz w:val="24"/>
          <w:szCs w:val="24"/>
        </w:rPr>
        <w:t>701 049</w:t>
      </w:r>
      <w:r w:rsidR="00630026" w:rsidRPr="00E060BE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2024</w:t>
      </w:r>
    </w:p>
    <w:p w14:paraId="73EA9992" w14:textId="77777777" w:rsidR="0043737B" w:rsidRPr="00E060BE" w:rsidRDefault="0043737B" w:rsidP="0043737B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 w:cs="Arial"/>
          <w:b/>
          <w:snapToGrid w:val="0"/>
          <w:color w:val="000000"/>
          <w:lang w:val="es-ES_tradnl"/>
        </w:rPr>
      </w:pPr>
    </w:p>
    <w:p w14:paraId="0A125FB1" w14:textId="2FC1DE54" w:rsidR="0043737B" w:rsidRPr="00B428EB" w:rsidRDefault="0043737B" w:rsidP="0043737B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 w:cs="Arial"/>
          <w:spacing w:val="20"/>
          <w:szCs w:val="24"/>
          <w:lang w:val="es-ES"/>
        </w:rPr>
      </w:pPr>
      <w:r w:rsidRPr="00B428EB">
        <w:rPr>
          <w:rFonts w:ascii="Bookman Old Style" w:hAnsi="Bookman Old Style" w:cs="Arial"/>
          <w:spacing w:val="20"/>
          <w:szCs w:val="24"/>
          <w:lang w:val="es-ES"/>
        </w:rPr>
        <w:t>(</w:t>
      </w:r>
      <w:r w:rsidR="00EA520D">
        <w:rPr>
          <w:rFonts w:ascii="Bookman Old Style" w:hAnsi="Bookman Old Style" w:cs="Arial"/>
          <w:spacing w:val="20"/>
          <w:szCs w:val="24"/>
          <w:lang w:val="es-ES"/>
        </w:rPr>
        <w:t>31</w:t>
      </w:r>
      <w:r w:rsidRPr="00B428EB">
        <w:rPr>
          <w:rFonts w:ascii="Bookman Old Style" w:hAnsi="Bookman Old Style" w:cs="Arial"/>
          <w:spacing w:val="20"/>
          <w:szCs w:val="24"/>
          <w:lang w:val="es-ES"/>
        </w:rPr>
        <w:t xml:space="preserve"> </w:t>
      </w:r>
      <w:r w:rsidR="00136239">
        <w:rPr>
          <w:rFonts w:ascii="Bookman Old Style" w:hAnsi="Bookman Old Style" w:cs="Arial"/>
          <w:spacing w:val="20"/>
          <w:szCs w:val="24"/>
          <w:lang w:val="es-ES"/>
        </w:rPr>
        <w:t>MAY</w:t>
      </w:r>
      <w:r w:rsidRPr="00B428EB">
        <w:rPr>
          <w:rFonts w:ascii="Bookman Old Style" w:hAnsi="Bookman Old Style" w:cs="Arial"/>
          <w:spacing w:val="20"/>
          <w:szCs w:val="24"/>
          <w:lang w:val="es-ES"/>
        </w:rPr>
        <w:t>. 2024)</w:t>
      </w:r>
    </w:p>
    <w:p w14:paraId="57D77EBA" w14:textId="77777777" w:rsidR="00CA77FB" w:rsidRPr="00E060BE" w:rsidRDefault="00CA77FB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14:paraId="3FEAF66B" w14:textId="235D93AD" w:rsidR="00B56C89" w:rsidRPr="00400814" w:rsidRDefault="00B56C89" w:rsidP="00B56C89">
      <w:pPr>
        <w:ind w:left="0"/>
        <w:jc w:val="both"/>
        <w:rPr>
          <w:rFonts w:ascii="Bookman Old Style" w:hAnsi="Bookman Old Style"/>
        </w:rPr>
      </w:pPr>
      <w:bookmarkStart w:id="0" w:name="_Hlk152950430"/>
      <w:r w:rsidRPr="00A47E92">
        <w:rPr>
          <w:rFonts w:ascii="Bookman Old Style" w:hAnsi="Bookman Old Style"/>
        </w:rPr>
        <w:t>La Comisión de Regulación de Energía y Gas</w:t>
      </w:r>
      <w:r w:rsidR="00400BCB" w:rsidRPr="00A47E92">
        <w:rPr>
          <w:rFonts w:ascii="Bookman Old Style" w:hAnsi="Bookman Old Style"/>
        </w:rPr>
        <w:t xml:space="preserve"> (CREG)</w:t>
      </w:r>
      <w:r w:rsidRPr="00A47E92">
        <w:rPr>
          <w:rFonts w:ascii="Bookman Old Style" w:hAnsi="Bookman Old Style"/>
        </w:rPr>
        <w:t xml:space="preserve">, en su sesión No. </w:t>
      </w:r>
      <w:r w:rsidR="005F71FD" w:rsidRPr="00A47E92">
        <w:rPr>
          <w:rFonts w:ascii="Bookman Old Style" w:hAnsi="Bookman Old Style"/>
        </w:rPr>
        <w:t>1319</w:t>
      </w:r>
      <w:r w:rsidRPr="00A47E92">
        <w:rPr>
          <w:rFonts w:ascii="Bookman Old Style" w:hAnsi="Bookman Old Style"/>
        </w:rPr>
        <w:t xml:space="preserve"> del </w:t>
      </w:r>
      <w:r w:rsidR="005F71FD" w:rsidRPr="00A47E92">
        <w:rPr>
          <w:rFonts w:ascii="Bookman Old Style" w:hAnsi="Bookman Old Style"/>
        </w:rPr>
        <w:t>31</w:t>
      </w:r>
      <w:r w:rsidRPr="00A47E92">
        <w:rPr>
          <w:rFonts w:ascii="Bookman Old Style" w:hAnsi="Bookman Old Style"/>
        </w:rPr>
        <w:t xml:space="preserve"> de mayo de 2024, aprobó someter a consulta pública el presente proyecto de resolución por el término de </w:t>
      </w:r>
      <w:r w:rsidR="003321CA" w:rsidRPr="00A47E92">
        <w:rPr>
          <w:rFonts w:ascii="Bookman Old Style" w:hAnsi="Bookman Old Style"/>
        </w:rPr>
        <w:t>diez</w:t>
      </w:r>
      <w:r w:rsidRPr="00A47E92">
        <w:rPr>
          <w:rFonts w:ascii="Bookman Old Style" w:hAnsi="Bookman Old Style"/>
        </w:rPr>
        <w:t xml:space="preserve"> (</w:t>
      </w:r>
      <w:r w:rsidR="003321CA" w:rsidRPr="00A47E92">
        <w:rPr>
          <w:rFonts w:ascii="Bookman Old Style" w:hAnsi="Bookman Old Style"/>
        </w:rPr>
        <w:t>10</w:t>
      </w:r>
      <w:r w:rsidRPr="00A47E92">
        <w:rPr>
          <w:rFonts w:ascii="Bookman Old Style" w:hAnsi="Bookman Old Style"/>
        </w:rPr>
        <w:t xml:space="preserve">) días </w:t>
      </w:r>
      <w:r w:rsidR="003321CA" w:rsidRPr="00A47E92">
        <w:rPr>
          <w:rFonts w:ascii="Bookman Old Style" w:hAnsi="Bookman Old Style"/>
        </w:rPr>
        <w:t>hábiles</w:t>
      </w:r>
      <w:r w:rsidRPr="00A47E92">
        <w:rPr>
          <w:rFonts w:ascii="Bookman Old Style" w:hAnsi="Bookman Old Style"/>
        </w:rPr>
        <w:t xml:space="preserve"> contados a partir del día siguiente a su publicación en el portal web de la CREG.</w:t>
      </w:r>
    </w:p>
    <w:p w14:paraId="33FC4B5A" w14:textId="77777777" w:rsidR="00B56C89" w:rsidRPr="00400814" w:rsidRDefault="00B56C89" w:rsidP="00B56C89">
      <w:pPr>
        <w:ind w:left="0"/>
        <w:jc w:val="both"/>
        <w:rPr>
          <w:rFonts w:ascii="Bookman Old Style" w:hAnsi="Bookman Old Style"/>
        </w:rPr>
      </w:pPr>
    </w:p>
    <w:p w14:paraId="70E3856C" w14:textId="77777777" w:rsidR="00B56C89" w:rsidRPr="00400814" w:rsidRDefault="00B56C89" w:rsidP="00B56C89">
      <w:pPr>
        <w:ind w:left="0"/>
        <w:jc w:val="both"/>
        <w:rPr>
          <w:rFonts w:ascii="Bookman Old Style" w:hAnsi="Bookman Old Style"/>
        </w:rPr>
      </w:pPr>
      <w:r w:rsidRPr="00400814">
        <w:rPr>
          <w:rFonts w:ascii="Bookman Old Style" w:hAnsi="Bookman Old Style"/>
        </w:rPr>
        <w:t>Se invita a los usuarios, agentes, autoridades locales municipales y departamentales competentes, demás interesados y a la Superintendencia de Servicios Públicos Domiciliarios, para que remitan sus observaciones o sugerencias sobre la propuesta, dentro del plazo establecido.</w:t>
      </w:r>
    </w:p>
    <w:p w14:paraId="6382763F" w14:textId="77777777" w:rsidR="00B56C89" w:rsidRPr="00400814" w:rsidRDefault="00B56C89" w:rsidP="00B56C89">
      <w:pPr>
        <w:ind w:left="0"/>
        <w:jc w:val="both"/>
        <w:rPr>
          <w:rFonts w:ascii="Bookman Old Style" w:hAnsi="Bookman Old Style"/>
        </w:rPr>
      </w:pPr>
    </w:p>
    <w:p w14:paraId="1EFF2C06" w14:textId="7063EE1D" w:rsidR="00B56C89" w:rsidRPr="00400814" w:rsidRDefault="00B56C89" w:rsidP="00B56C89">
      <w:pPr>
        <w:ind w:left="0"/>
        <w:jc w:val="both"/>
        <w:rPr>
          <w:rFonts w:ascii="Bookman Old Style" w:hAnsi="Bookman Old Style"/>
        </w:rPr>
      </w:pPr>
      <w:r w:rsidRPr="00400814">
        <w:rPr>
          <w:rFonts w:ascii="Bookman Old Style" w:hAnsi="Bookman Old Style"/>
        </w:rPr>
        <w:t xml:space="preserve">Los interesados podrán dirigir sus comentarios al director ejecutivo de la Comisión de Regulación de Energía y Gas, al correo electrónico creg@creg.gov.co, identificando el mensaje con el siguiente asunto: </w:t>
      </w:r>
      <w:r w:rsidRPr="00400814">
        <w:rPr>
          <w:rFonts w:ascii="Bookman Old Style" w:hAnsi="Bookman Old Style"/>
          <w:i/>
          <w:iCs/>
        </w:rPr>
        <w:t xml:space="preserve">“Proyecto de resolución </w:t>
      </w:r>
      <w:r w:rsidR="00EA520D" w:rsidRPr="00EA520D">
        <w:rPr>
          <w:rFonts w:ascii="Bookman Old Style" w:hAnsi="Bookman Old Style"/>
          <w:i/>
          <w:iCs/>
        </w:rPr>
        <w:t>701 049</w:t>
      </w:r>
      <w:r w:rsidRPr="00400814">
        <w:rPr>
          <w:rFonts w:ascii="Bookman Old Style" w:hAnsi="Bookman Old Style"/>
          <w:i/>
          <w:iCs/>
        </w:rPr>
        <w:t xml:space="preserve"> de 202</w:t>
      </w:r>
      <w:r w:rsidR="00EA520D">
        <w:rPr>
          <w:rFonts w:ascii="Bookman Old Style" w:hAnsi="Bookman Old Style"/>
          <w:i/>
          <w:iCs/>
        </w:rPr>
        <w:t>4</w:t>
      </w:r>
      <w:r w:rsidRPr="00400814">
        <w:rPr>
          <w:rFonts w:ascii="Bookman Old Style" w:hAnsi="Bookman Old Style"/>
          <w:i/>
          <w:iCs/>
        </w:rPr>
        <w:t xml:space="preserve"> – Precio de Bolsa”</w:t>
      </w:r>
      <w:r w:rsidRPr="00400814">
        <w:rPr>
          <w:rFonts w:ascii="Bookman Old Style" w:hAnsi="Bookman Old Style"/>
        </w:rPr>
        <w:t>.</w:t>
      </w:r>
    </w:p>
    <w:p w14:paraId="23662028" w14:textId="77777777" w:rsidR="00B56C89" w:rsidRPr="00400814" w:rsidRDefault="00B56C89" w:rsidP="00A47E92">
      <w:pPr>
        <w:ind w:left="0"/>
        <w:rPr>
          <w:rFonts w:ascii="Bookman Old Style" w:hAnsi="Bookman Old Style"/>
          <w:bCs/>
          <w:lang w:val="es-CO"/>
        </w:rPr>
      </w:pPr>
    </w:p>
    <w:p w14:paraId="1FEC68CA" w14:textId="77777777" w:rsidR="00B56C89" w:rsidRPr="00400814" w:rsidRDefault="00B56C89" w:rsidP="00B56C89">
      <w:pPr>
        <w:ind w:left="0"/>
        <w:jc w:val="center"/>
        <w:rPr>
          <w:rFonts w:ascii="Bookman Old Style" w:hAnsi="Bookman Old Style"/>
          <w:bCs/>
          <w:lang w:val="es-CO"/>
        </w:rPr>
      </w:pPr>
    </w:p>
    <w:p w14:paraId="4B7CC115" w14:textId="77777777" w:rsidR="00B56C89" w:rsidRPr="00400814" w:rsidRDefault="00B56C89" w:rsidP="00B56C89">
      <w:pPr>
        <w:ind w:left="0"/>
        <w:jc w:val="center"/>
        <w:rPr>
          <w:rFonts w:ascii="Bookman Old Style" w:hAnsi="Bookman Old Style"/>
          <w:b/>
          <w:bCs/>
        </w:rPr>
      </w:pPr>
      <w:r w:rsidRPr="00400814">
        <w:rPr>
          <w:rFonts w:ascii="Bookman Old Style" w:hAnsi="Bookman Old Style"/>
          <w:b/>
          <w:bCs/>
        </w:rPr>
        <w:t>PROYECTO DE RESOLUCIÓN</w:t>
      </w:r>
    </w:p>
    <w:p w14:paraId="4D2238E0" w14:textId="77777777" w:rsidR="00876DA9" w:rsidRDefault="00876DA9" w:rsidP="00045D3D">
      <w:pPr>
        <w:ind w:left="0"/>
        <w:jc w:val="center"/>
        <w:rPr>
          <w:rFonts w:ascii="Bookman Old Style" w:hAnsi="Bookman Old Style"/>
        </w:rPr>
      </w:pPr>
    </w:p>
    <w:p w14:paraId="0F738432" w14:textId="77777777" w:rsidR="000E2ABE" w:rsidRDefault="000E2ABE" w:rsidP="00045D3D">
      <w:pPr>
        <w:ind w:left="0"/>
        <w:jc w:val="center"/>
        <w:rPr>
          <w:rFonts w:ascii="Bookman Old Style" w:hAnsi="Bookman Old Style"/>
        </w:rPr>
      </w:pPr>
    </w:p>
    <w:p w14:paraId="46D8C664" w14:textId="4C2BF351" w:rsidR="00045D3D" w:rsidRPr="00400814" w:rsidRDefault="00045D3D" w:rsidP="00045D3D">
      <w:pPr>
        <w:ind w:left="0"/>
        <w:jc w:val="center"/>
        <w:rPr>
          <w:rFonts w:ascii="Bookman Old Style" w:hAnsi="Bookman Old Style"/>
        </w:rPr>
      </w:pPr>
      <w:r w:rsidRPr="00400814">
        <w:rPr>
          <w:rFonts w:ascii="Bookman Old Style" w:hAnsi="Bookman Old Style"/>
        </w:rPr>
        <w:t xml:space="preserve">Por </w:t>
      </w:r>
      <w:r w:rsidR="00160372" w:rsidRPr="00400814">
        <w:rPr>
          <w:rFonts w:ascii="Bookman Old Style" w:hAnsi="Bookman Old Style"/>
        </w:rPr>
        <w:t>la cual se</w:t>
      </w:r>
      <w:r w:rsidR="0083208A">
        <w:rPr>
          <w:rFonts w:ascii="Bookman Old Style" w:hAnsi="Bookman Old Style"/>
        </w:rPr>
        <w:t xml:space="preserve"> adoptan reglas </w:t>
      </w:r>
      <w:r w:rsidR="00BF704F">
        <w:rPr>
          <w:rFonts w:ascii="Bookman Old Style" w:hAnsi="Bookman Old Style"/>
        </w:rPr>
        <w:t>sobre el</w:t>
      </w:r>
      <w:r w:rsidR="00643F98">
        <w:rPr>
          <w:rFonts w:ascii="Bookman Old Style" w:hAnsi="Bookman Old Style"/>
        </w:rPr>
        <w:t xml:space="preserve"> </w:t>
      </w:r>
      <w:r w:rsidR="00160372" w:rsidRPr="00400814">
        <w:rPr>
          <w:rFonts w:ascii="Bookman Old Style" w:hAnsi="Bookman Old Style"/>
        </w:rPr>
        <w:t>precio de bolsa del Mercado de Energía Mayorista</w:t>
      </w:r>
    </w:p>
    <w:bookmarkEnd w:id="0"/>
    <w:p w14:paraId="053FCB54" w14:textId="77777777" w:rsidR="00045D3D" w:rsidRPr="00400814" w:rsidRDefault="00045D3D" w:rsidP="00045D3D">
      <w:pPr>
        <w:ind w:right="51"/>
        <w:rPr>
          <w:rFonts w:ascii="Bookman Old Style" w:hAnsi="Bookman Old Style"/>
        </w:rPr>
      </w:pPr>
    </w:p>
    <w:p w14:paraId="7B67FAFA" w14:textId="77777777" w:rsidR="00045D3D" w:rsidRPr="00400814" w:rsidRDefault="00045D3D" w:rsidP="00045D3D">
      <w:pPr>
        <w:ind w:right="51"/>
        <w:jc w:val="center"/>
        <w:rPr>
          <w:rFonts w:ascii="Bookman Old Style" w:hAnsi="Bookman Old Style"/>
          <w:b/>
        </w:rPr>
      </w:pPr>
      <w:r w:rsidRPr="00400814">
        <w:rPr>
          <w:rFonts w:ascii="Bookman Old Style" w:hAnsi="Bookman Old Style"/>
          <w:b/>
        </w:rPr>
        <w:t xml:space="preserve">LA COMISIÓN DE REGULACIÓN </w:t>
      </w:r>
      <w:r w:rsidR="007B5A60" w:rsidRPr="00400814">
        <w:rPr>
          <w:rFonts w:ascii="Bookman Old Style" w:hAnsi="Bookman Old Style"/>
          <w:b/>
        </w:rPr>
        <w:t>DE ENERGÍA</w:t>
      </w:r>
      <w:r w:rsidRPr="00400814">
        <w:rPr>
          <w:rFonts w:ascii="Bookman Old Style" w:hAnsi="Bookman Old Style"/>
          <w:b/>
        </w:rPr>
        <w:t xml:space="preserve"> Y GAS</w:t>
      </w:r>
    </w:p>
    <w:p w14:paraId="5F144221" w14:textId="77777777" w:rsidR="00045D3D" w:rsidRPr="00400814" w:rsidRDefault="00045D3D" w:rsidP="00045D3D">
      <w:pPr>
        <w:ind w:left="0" w:right="51"/>
        <w:rPr>
          <w:rFonts w:ascii="Bookman Old Style" w:hAnsi="Bookman Old Style"/>
        </w:rPr>
      </w:pPr>
    </w:p>
    <w:p w14:paraId="2739C8D4" w14:textId="77777777" w:rsidR="00045D3D" w:rsidRPr="00400814" w:rsidRDefault="00045D3D" w:rsidP="00045D3D">
      <w:pPr>
        <w:ind w:left="0" w:right="51"/>
        <w:rPr>
          <w:rFonts w:ascii="Bookman Old Style" w:hAnsi="Bookman Old Style"/>
        </w:rPr>
      </w:pPr>
    </w:p>
    <w:p w14:paraId="6EDA2283" w14:textId="77777777" w:rsidR="00045D3D" w:rsidRPr="00400814" w:rsidRDefault="00045D3D" w:rsidP="00045D3D">
      <w:pPr>
        <w:pStyle w:val="Textoindependiente3"/>
        <w:ind w:left="0"/>
        <w:rPr>
          <w:rFonts w:ascii="Bookman Old Style" w:hAnsi="Bookman Old Style"/>
          <w:b w:val="0"/>
        </w:rPr>
      </w:pPr>
      <w:r w:rsidRPr="00400814">
        <w:rPr>
          <w:rFonts w:ascii="Bookman Old Style" w:hAnsi="Bookman Old Style"/>
          <w:b w:val="0"/>
        </w:rPr>
        <w:t xml:space="preserve">En ejercicio de sus atribuciones constitucionales y legales, en especial las conferidas por las </w:t>
      </w:r>
      <w:r w:rsidR="002352B9" w:rsidRPr="00400814">
        <w:rPr>
          <w:rFonts w:ascii="Bookman Old Style" w:hAnsi="Bookman Old Style"/>
          <w:b w:val="0"/>
        </w:rPr>
        <w:t>l</w:t>
      </w:r>
      <w:r w:rsidRPr="00400814">
        <w:rPr>
          <w:rFonts w:ascii="Bookman Old Style" w:hAnsi="Bookman Old Style"/>
          <w:b w:val="0"/>
        </w:rPr>
        <w:t xml:space="preserve">eyes 142 y 143 de 1994, y en desarrollo de los </w:t>
      </w:r>
      <w:r w:rsidR="002352B9" w:rsidRPr="00400814">
        <w:rPr>
          <w:rFonts w:ascii="Bookman Old Style" w:hAnsi="Bookman Old Style"/>
          <w:b w:val="0"/>
        </w:rPr>
        <w:t>d</w:t>
      </w:r>
      <w:r w:rsidRPr="00400814">
        <w:rPr>
          <w:rFonts w:ascii="Bookman Old Style" w:hAnsi="Bookman Old Style"/>
          <w:b w:val="0"/>
        </w:rPr>
        <w:t>ecretos 1524 y 2253 de 1994.</w:t>
      </w:r>
    </w:p>
    <w:p w14:paraId="416AEFF4" w14:textId="77777777" w:rsidR="00045D3D" w:rsidRPr="00400814" w:rsidRDefault="00045D3D" w:rsidP="00045D3D">
      <w:pPr>
        <w:ind w:right="51"/>
        <w:rPr>
          <w:rFonts w:ascii="Bookman Old Style" w:hAnsi="Bookman Old Style"/>
        </w:rPr>
      </w:pPr>
    </w:p>
    <w:p w14:paraId="3E8440ED" w14:textId="77777777" w:rsidR="00045D3D" w:rsidRPr="00400814" w:rsidRDefault="00045D3D" w:rsidP="00045D3D">
      <w:pPr>
        <w:ind w:right="51"/>
        <w:rPr>
          <w:rFonts w:ascii="Bookman Old Style" w:hAnsi="Bookman Old Style"/>
        </w:rPr>
      </w:pPr>
    </w:p>
    <w:p w14:paraId="0B6D7146" w14:textId="03F167C1" w:rsidR="00045D3D" w:rsidRPr="00512149" w:rsidRDefault="00045D3D" w:rsidP="1668B31C">
      <w:pPr>
        <w:ind w:right="51"/>
        <w:jc w:val="center"/>
        <w:rPr>
          <w:rFonts w:ascii="Bookman Old Style" w:hAnsi="Bookman Old Style"/>
          <w:b/>
          <w:bCs/>
          <w:lang w:val="pt-BR"/>
        </w:rPr>
      </w:pPr>
      <w:r w:rsidRPr="00512149">
        <w:rPr>
          <w:rFonts w:ascii="Bookman Old Style" w:hAnsi="Bookman Old Style"/>
          <w:b/>
          <w:bCs/>
          <w:lang w:val="pt-BR"/>
        </w:rPr>
        <w:t xml:space="preserve">C O N S I D E R A N D </w:t>
      </w:r>
      <w:r w:rsidR="007B5A60" w:rsidRPr="00512149">
        <w:rPr>
          <w:rFonts w:ascii="Bookman Old Style" w:hAnsi="Bookman Old Style"/>
          <w:b/>
          <w:bCs/>
          <w:lang w:val="pt-BR"/>
        </w:rPr>
        <w:t>O Q</w:t>
      </w:r>
      <w:r w:rsidRPr="00512149">
        <w:rPr>
          <w:rFonts w:ascii="Bookman Old Style" w:hAnsi="Bookman Old Style"/>
          <w:b/>
          <w:bCs/>
          <w:lang w:val="pt-BR"/>
        </w:rPr>
        <w:t xml:space="preserve"> U E:</w:t>
      </w:r>
    </w:p>
    <w:p w14:paraId="1670F28A" w14:textId="77777777" w:rsidR="00280B18" w:rsidRPr="00200D67" w:rsidRDefault="00280B18" w:rsidP="00280B18">
      <w:pPr>
        <w:ind w:left="0"/>
        <w:jc w:val="both"/>
        <w:rPr>
          <w:rFonts w:ascii="Bookman Old Style" w:hAnsi="Bookman Old Style"/>
          <w:lang w:val="pt-BR"/>
        </w:rPr>
      </w:pPr>
    </w:p>
    <w:p w14:paraId="17DC0C34" w14:textId="77777777" w:rsidR="00FC0EC0" w:rsidRDefault="00FC0EC0" w:rsidP="00280B18">
      <w:pPr>
        <w:spacing w:before="240" w:after="240"/>
        <w:ind w:left="0"/>
        <w:jc w:val="both"/>
        <w:rPr>
          <w:rFonts w:ascii="Bookman Old Style" w:hAnsi="Bookman Old Style"/>
        </w:rPr>
      </w:pPr>
      <w:r w:rsidRPr="00FC0EC0">
        <w:rPr>
          <w:rFonts w:ascii="Bookman Old Style" w:hAnsi="Bookman Old Style"/>
        </w:rPr>
        <w:t xml:space="preserve">El artículo 365 de la Constitución Política establece que los servicios públicos son inherentes a la finalidad social del Estado, y es deber de este asegurar su prestación eficiente a todos los habitantes del territorio nacional. </w:t>
      </w:r>
    </w:p>
    <w:p w14:paraId="0B12BD9D" w14:textId="5DE5ACF3" w:rsidR="3CC853E7" w:rsidRPr="00207ACE" w:rsidRDefault="3CC853E7" w:rsidP="0DA81038">
      <w:pPr>
        <w:spacing w:before="240" w:after="240" w:line="259" w:lineRule="auto"/>
        <w:ind w:left="0"/>
        <w:jc w:val="both"/>
        <w:rPr>
          <w:rFonts w:ascii="Bookman Old Style" w:hAnsi="Bookman Old Style"/>
        </w:rPr>
      </w:pPr>
      <w:r w:rsidRPr="0DA81038">
        <w:rPr>
          <w:rFonts w:ascii="Bookman Old Style" w:hAnsi="Bookman Old Style"/>
        </w:rPr>
        <w:t xml:space="preserve">El artículo 334 de la Constitución Política dispone que </w:t>
      </w:r>
      <w:r w:rsidR="7EF05C89" w:rsidRPr="0DA81038">
        <w:rPr>
          <w:rFonts w:ascii="Bookman Old Style" w:hAnsi="Bookman Old Style"/>
        </w:rPr>
        <w:t>l</w:t>
      </w:r>
      <w:r w:rsidR="7EF05C89" w:rsidRPr="00207ACE">
        <w:rPr>
          <w:rFonts w:ascii="Bookman Old Style" w:hAnsi="Bookman Old Style"/>
        </w:rPr>
        <w:t xml:space="preserve">a dirección general de la economía estará a cargo del Estado. Este intervendrá, por mandato de la ley, en la explotación de los recursos naturales, en el uso del suelo, en la producción, </w:t>
      </w:r>
      <w:r w:rsidR="7EF05C89" w:rsidRPr="00207ACE">
        <w:rPr>
          <w:rFonts w:ascii="Bookman Old Style" w:hAnsi="Bookman Old Style"/>
        </w:rPr>
        <w:lastRenderedPageBreak/>
        <w:t>distribución, utilización y consumo de los bienes, y en los servicios públicos y privados, para racionalizar la economía con el fin de conseguir en el plano nacional y territorial, en un marco de sostenibilidad fiscal, el mejoramiento de la calidad de vida de los habitantes, la distribución equitativa de las oportunidades y los beneficios del desarrollo y la preservación de un ambiente sano.</w:t>
      </w:r>
    </w:p>
    <w:p w14:paraId="5FB7521E" w14:textId="65F1EDC8" w:rsidR="7287FD05" w:rsidRDefault="7287FD05" w:rsidP="4998A27C">
      <w:pPr>
        <w:spacing w:before="240" w:after="240"/>
        <w:ind w:left="0"/>
        <w:jc w:val="both"/>
        <w:rPr>
          <w:rFonts w:ascii="Bookman Old Style" w:hAnsi="Bookman Old Style"/>
        </w:rPr>
      </w:pPr>
      <w:r w:rsidRPr="7EEDBE0D">
        <w:rPr>
          <w:rFonts w:ascii="Bookman Old Style" w:hAnsi="Bookman Old Style"/>
        </w:rPr>
        <w:t>La Ley 142 de 1994, artículo 3, dispone que la regulación es un instrumento de intervención estatal, y que todas las decisiones de las autoridades en materia de servicios públicos deben fundarse en los motivos que determina esa ley y dichos motivos deben ser comprobables.</w:t>
      </w:r>
    </w:p>
    <w:p w14:paraId="67A78A47" w14:textId="081DA092" w:rsidR="158C6789" w:rsidRDefault="158C6789" w:rsidP="7EEDBE0D">
      <w:pPr>
        <w:spacing w:before="240" w:after="240"/>
        <w:ind w:left="0"/>
        <w:jc w:val="both"/>
        <w:rPr>
          <w:rFonts w:ascii="Bookman Old Style" w:hAnsi="Bookman Old Style"/>
        </w:rPr>
      </w:pPr>
      <w:r w:rsidRPr="0DA81038">
        <w:rPr>
          <w:rFonts w:ascii="Bookman Old Style" w:hAnsi="Bookman Old Style"/>
        </w:rPr>
        <w:t xml:space="preserve">El artículo 4 de la Ley 142 de 1994 dispone que todos los servicios públicos regulados en </w:t>
      </w:r>
      <w:proofErr w:type="gramStart"/>
      <w:r w:rsidRPr="0DA81038">
        <w:rPr>
          <w:rFonts w:ascii="Bookman Old Style" w:hAnsi="Bookman Old Style"/>
        </w:rPr>
        <w:t>ella,</w:t>
      </w:r>
      <w:proofErr w:type="gramEnd"/>
      <w:r w:rsidRPr="0DA81038">
        <w:rPr>
          <w:rFonts w:ascii="Bookman Old Style" w:hAnsi="Bookman Old Style"/>
        </w:rPr>
        <w:t xml:space="preserve"> se consideran </w:t>
      </w:r>
      <w:r w:rsidR="1B8A3D3A" w:rsidRPr="6EE1E41E">
        <w:rPr>
          <w:rFonts w:ascii="Bookman Old Style" w:hAnsi="Bookman Old Style"/>
        </w:rPr>
        <w:t>esenciales</w:t>
      </w:r>
      <w:r w:rsidR="005F71FD">
        <w:rPr>
          <w:rFonts w:ascii="Bookman Old Style" w:hAnsi="Bookman Old Style"/>
        </w:rPr>
        <w:t>.</w:t>
      </w:r>
    </w:p>
    <w:p w14:paraId="153DAC38" w14:textId="531241B8" w:rsidR="7287FD05" w:rsidRDefault="7287FD05" w:rsidP="4998A27C">
      <w:pPr>
        <w:spacing w:before="240" w:after="240"/>
        <w:ind w:left="0"/>
        <w:jc w:val="both"/>
        <w:rPr>
          <w:rFonts w:ascii="Bookman Old Style" w:hAnsi="Bookman Old Style"/>
          <w:i/>
          <w:iCs/>
          <w:lang w:val="es-CO"/>
        </w:rPr>
      </w:pPr>
      <w:r w:rsidRPr="4998A27C">
        <w:rPr>
          <w:rFonts w:ascii="Bookman Old Style" w:hAnsi="Bookman Old Style"/>
        </w:rPr>
        <w:t xml:space="preserve">El artículo 73 de la Ley 142 de 1994 señala que </w:t>
      </w:r>
      <w:r w:rsidR="00400BCB">
        <w:rPr>
          <w:rFonts w:ascii="Bookman Old Style" w:hAnsi="Bookman Old Style"/>
        </w:rPr>
        <w:t>“</w:t>
      </w:r>
      <w:r w:rsidRPr="4998A27C">
        <w:rPr>
          <w:rFonts w:ascii="Bookman Old Style" w:hAnsi="Bookman Old Style"/>
          <w:i/>
          <w:iCs/>
        </w:rPr>
        <w:t>Las comisiones de regulación tienen la función de regular los monopolios en la prestación de los servicios públicos, cuando la competencia no sea, de hecho, posible; y, en los demás casos, la de promover la competencia entre quienes presten servicios públicos, para que las operaciones de los monopolistas o de los competidores sean económicamente eficientes, no impliquen abusos de la posición dominante, y produzcan servicios de calidad</w:t>
      </w:r>
      <w:r w:rsidR="00400BCB">
        <w:rPr>
          <w:rFonts w:ascii="Bookman Old Style" w:hAnsi="Bookman Old Style"/>
          <w:i/>
          <w:iCs/>
        </w:rPr>
        <w:t>”.</w:t>
      </w:r>
    </w:p>
    <w:p w14:paraId="57133D03" w14:textId="7E701BE3" w:rsidR="7287FD05" w:rsidRDefault="7287FD05" w:rsidP="4998A27C">
      <w:pPr>
        <w:spacing w:before="240" w:after="240"/>
        <w:ind w:left="0"/>
        <w:jc w:val="both"/>
        <w:rPr>
          <w:rFonts w:ascii="Bookman Old Style" w:hAnsi="Bookman Old Style"/>
        </w:rPr>
      </w:pPr>
      <w:r w:rsidRPr="4998A27C">
        <w:rPr>
          <w:rFonts w:ascii="Bookman Old Style" w:hAnsi="Bookman Old Style"/>
        </w:rPr>
        <w:t xml:space="preserve">Según el artículo </w:t>
      </w:r>
      <w:hyperlink r:id="rId12" w:anchor="74" w:history="1">
        <w:r w:rsidRPr="4998A27C">
          <w:rPr>
            <w:rFonts w:ascii="Bookman Old Style" w:hAnsi="Bookman Old Style"/>
          </w:rPr>
          <w:t>74</w:t>
        </w:r>
      </w:hyperlink>
      <w:r w:rsidR="005F71FD">
        <w:rPr>
          <w:rFonts w:ascii="Bookman Old Style" w:hAnsi="Bookman Old Style"/>
        </w:rPr>
        <w:t>.1</w:t>
      </w:r>
      <w:r w:rsidRPr="4998A27C">
        <w:rPr>
          <w:rFonts w:ascii="Bookman Old Style" w:hAnsi="Bookman Old Style"/>
        </w:rPr>
        <w:t xml:space="preserve"> </w:t>
      </w:r>
      <w:r w:rsidR="005F71FD">
        <w:rPr>
          <w:rFonts w:ascii="Bookman Old Style" w:hAnsi="Bookman Old Style"/>
        </w:rPr>
        <w:t>de la Ley 142 de 1994</w:t>
      </w:r>
      <w:r w:rsidRPr="4998A27C">
        <w:rPr>
          <w:rFonts w:ascii="Bookman Old Style" w:hAnsi="Bookman Old Style"/>
        </w:rPr>
        <w:t xml:space="preserve">, </w:t>
      </w:r>
      <w:r w:rsidRPr="360CD1E7">
        <w:rPr>
          <w:rFonts w:ascii="Bookman Old Style" w:hAnsi="Bookman Old Style"/>
        </w:rPr>
        <w:t>señal</w:t>
      </w:r>
      <w:r w:rsidR="1BC64A84" w:rsidRPr="360CD1E7">
        <w:rPr>
          <w:rFonts w:ascii="Bookman Old Style" w:hAnsi="Bookman Old Style"/>
        </w:rPr>
        <w:t>a</w:t>
      </w:r>
      <w:r w:rsidRPr="4998A27C">
        <w:rPr>
          <w:rFonts w:ascii="Bookman Old Style" w:hAnsi="Bookman Old Style"/>
        </w:rPr>
        <w:t xml:space="preserve"> que son funciones y facultades especiales de la CREG, entre otras, las de regular el ejercicio de las actividades de los sectores de energía y gas combustible para asegurar la disponibilidad de una oferta energética eficiente; propiciar la competencia en el sector de minas y energía y proponer la adopción de las medidas necesarias para impedir abusos de posición dominante y buscar la liberación gradual de los mercados hacia la libre competencia; y establecer criterios para la fijación de compromisos de ventas garantizadas de energía y potencia entre las empresas eléctricas y entre estas y los grandes usuarios.</w:t>
      </w:r>
    </w:p>
    <w:p w14:paraId="3C581D5B" w14:textId="0A5CBC7F" w:rsidR="4998A27C" w:rsidRDefault="418FDE05" w:rsidP="2E98FF24">
      <w:pPr>
        <w:spacing w:before="240" w:after="240"/>
        <w:ind w:left="0"/>
        <w:jc w:val="both"/>
        <w:rPr>
          <w:rFonts w:ascii="Bookman Old Style" w:hAnsi="Bookman Old Style"/>
        </w:rPr>
      </w:pPr>
      <w:r w:rsidRPr="2E98FF24">
        <w:rPr>
          <w:rFonts w:ascii="Bookman Old Style" w:hAnsi="Bookman Old Style"/>
        </w:rPr>
        <w:t>El mismo artículo le asignó a esta Comisión, la función de expedir el Reglamento de Operación para regular el funcionamiento del Mercado Mayorista de energía.</w:t>
      </w:r>
    </w:p>
    <w:p w14:paraId="6BF4F482" w14:textId="062D6DDB" w:rsidR="00035C3A" w:rsidRDefault="00035C3A" w:rsidP="00280B18">
      <w:pPr>
        <w:spacing w:before="240" w:after="240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Le</w:t>
      </w:r>
      <w:r w:rsidR="001979AD"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 xml:space="preserve"> 143 de 1994</w:t>
      </w:r>
      <w:r w:rsidR="00F40612">
        <w:rPr>
          <w:rFonts w:ascii="Bookman Old Style" w:hAnsi="Bookman Old Style"/>
        </w:rPr>
        <w:t xml:space="preserve">, artículo 3, dispone </w:t>
      </w:r>
      <w:r w:rsidR="00687238">
        <w:rPr>
          <w:rFonts w:ascii="Bookman Old Style" w:hAnsi="Bookman Old Style"/>
        </w:rPr>
        <w:t>que en relación con el servicio público de energía eléctrica, entre otros, le corresponde al Estado</w:t>
      </w:r>
      <w:r w:rsidR="00A57C6A">
        <w:rPr>
          <w:rFonts w:ascii="Bookman Old Style" w:hAnsi="Bookman Old Style"/>
        </w:rPr>
        <w:t>:</w:t>
      </w:r>
      <w:r w:rsidR="00687238">
        <w:rPr>
          <w:rFonts w:ascii="Bookman Old Style" w:hAnsi="Bookman Old Style"/>
        </w:rPr>
        <w:t xml:space="preserve"> promover la libre competencia dentro del sector</w:t>
      </w:r>
      <w:r w:rsidR="00A57C6A">
        <w:rPr>
          <w:rFonts w:ascii="Bookman Old Style" w:hAnsi="Bookman Old Style"/>
        </w:rPr>
        <w:t xml:space="preserve">; impedir </w:t>
      </w:r>
      <w:r w:rsidR="00CD600C">
        <w:rPr>
          <w:rFonts w:ascii="Bookman Old Style" w:hAnsi="Bookman Old Style"/>
        </w:rPr>
        <w:t>prácticas</w:t>
      </w:r>
      <w:r w:rsidR="00A57C6A">
        <w:rPr>
          <w:rFonts w:ascii="Bookman Old Style" w:hAnsi="Bookman Old Style"/>
        </w:rPr>
        <w:t xml:space="preserve"> </w:t>
      </w:r>
      <w:r w:rsidR="00CD600C">
        <w:rPr>
          <w:rFonts w:ascii="Bookman Old Style" w:hAnsi="Bookman Old Style"/>
        </w:rPr>
        <w:t>que</w:t>
      </w:r>
      <w:r w:rsidR="00A57C6A">
        <w:rPr>
          <w:rFonts w:ascii="Bookman Old Style" w:hAnsi="Bookman Old Style"/>
        </w:rPr>
        <w:t xml:space="preserve"> constitu</w:t>
      </w:r>
      <w:r w:rsidR="00CD600C">
        <w:rPr>
          <w:rFonts w:ascii="Bookman Old Style" w:hAnsi="Bookman Old Style"/>
        </w:rPr>
        <w:t>y</w:t>
      </w:r>
      <w:r w:rsidR="00A57C6A">
        <w:rPr>
          <w:rFonts w:ascii="Bookman Old Style" w:hAnsi="Bookman Old Style"/>
        </w:rPr>
        <w:t>an</w:t>
      </w:r>
      <w:r w:rsidR="002E732D">
        <w:rPr>
          <w:rFonts w:ascii="Bookman Old Style" w:hAnsi="Bookman Old Style"/>
        </w:rPr>
        <w:t xml:space="preserve"> competencia desleal o abusos de posición dominante en el mercado; regular aquellas situaciones</w:t>
      </w:r>
      <w:r w:rsidR="00DD5FE3">
        <w:rPr>
          <w:rFonts w:ascii="Bookman Old Style" w:hAnsi="Bookman Old Style"/>
        </w:rPr>
        <w:t xml:space="preserve"> en que por razones de monopolio natural, la libre competencia no garantice su prestación eficiente en términos económicos</w:t>
      </w:r>
      <w:r w:rsidR="00CD600C">
        <w:rPr>
          <w:rFonts w:ascii="Bookman Old Style" w:hAnsi="Bookman Old Style"/>
        </w:rPr>
        <w:t>; asegurar la protección de los usuarios y el cumplimiento de sus deberes</w:t>
      </w:r>
      <w:r w:rsidR="009B3B69">
        <w:rPr>
          <w:rFonts w:ascii="Bookman Old Style" w:hAnsi="Bookman Old Style"/>
        </w:rPr>
        <w:t>.</w:t>
      </w:r>
    </w:p>
    <w:p w14:paraId="1706A5F9" w14:textId="75F25006" w:rsidR="6EE8FBF5" w:rsidRPr="00400814" w:rsidRDefault="6EE8FBF5" w:rsidP="00280B18">
      <w:pPr>
        <w:spacing w:before="240" w:after="240"/>
        <w:ind w:left="0"/>
        <w:jc w:val="both"/>
        <w:rPr>
          <w:rFonts w:ascii="Bookman Old Style" w:hAnsi="Bookman Old Style"/>
        </w:rPr>
      </w:pPr>
      <w:r w:rsidRPr="00400814">
        <w:rPr>
          <w:rFonts w:ascii="Bookman Old Style" w:hAnsi="Bookman Old Style"/>
        </w:rPr>
        <w:t xml:space="preserve">Según la Ley 143 de 1994, artículo </w:t>
      </w:r>
      <w:hyperlink r:id="rId13" w:anchor="4">
        <w:r w:rsidRPr="0DA81038">
          <w:rPr>
            <w:rFonts w:ascii="Bookman Old Style" w:hAnsi="Bookman Old Style"/>
          </w:rPr>
          <w:t>4</w:t>
        </w:r>
      </w:hyperlink>
      <w:r w:rsidRPr="00400814">
        <w:rPr>
          <w:rFonts w:ascii="Bookman Old Style" w:hAnsi="Bookman Old Style"/>
        </w:rPr>
        <w:t>, el Estado, en relación con el servicio de electricidad, tendrá como objetivos en el cumplimiento de sus funciones, los de abastecer la demanda de electricidad de la comunidad bajo criterios económicos y de viabilidad financiera, asegurando su cubrimiento en un marco de uso racional y eficiente de los diferentes recursos energéticos del país; asegurar una operación eficiente, segura y confiable en las actividades del sector; y mantener los niveles de calidad y seguridad establecidos.</w:t>
      </w:r>
    </w:p>
    <w:p w14:paraId="1374382E" w14:textId="269E252A" w:rsidR="576BDC1B" w:rsidRPr="00207ACE" w:rsidRDefault="576BDC1B" w:rsidP="0DA81038">
      <w:pPr>
        <w:spacing w:before="240" w:after="240"/>
        <w:ind w:left="0"/>
        <w:jc w:val="both"/>
        <w:rPr>
          <w:rFonts w:ascii="Bookman Old Style" w:hAnsi="Bookman Old Style"/>
        </w:rPr>
      </w:pPr>
      <w:r w:rsidRPr="0DA81038">
        <w:rPr>
          <w:rFonts w:ascii="Bookman Old Style" w:hAnsi="Bookman Old Style"/>
        </w:rPr>
        <w:lastRenderedPageBreak/>
        <w:t xml:space="preserve">La Ley 143 de 1994, en el artículo 11 definió el Mercado </w:t>
      </w:r>
      <w:r w:rsidR="03613043" w:rsidRPr="0DA81038">
        <w:rPr>
          <w:rFonts w:ascii="Bookman Old Style" w:hAnsi="Bookman Old Style"/>
        </w:rPr>
        <w:t>Mayorista</w:t>
      </w:r>
      <w:r w:rsidRPr="0DA81038">
        <w:rPr>
          <w:rFonts w:ascii="Bookman Old Style" w:hAnsi="Bookman Old Style"/>
        </w:rPr>
        <w:t xml:space="preserve"> de Energía Eléctrica</w:t>
      </w:r>
      <w:r w:rsidR="5CD13E99" w:rsidRPr="0DA81038">
        <w:rPr>
          <w:rFonts w:ascii="Bookman Old Style" w:hAnsi="Bookman Old Style"/>
        </w:rPr>
        <w:t xml:space="preserve"> como el </w:t>
      </w:r>
      <w:r w:rsidR="2220445F" w:rsidRPr="00207ACE">
        <w:rPr>
          <w:rFonts w:ascii="Bookman Old Style" w:hAnsi="Bookman Old Style"/>
        </w:rPr>
        <w:t xml:space="preserve">mercado de grandes bloques de energía eléctrica, en que vendedores y compradores intercambian energía y potencia en el </w:t>
      </w:r>
      <w:r w:rsidR="00030472">
        <w:rPr>
          <w:rFonts w:ascii="Bookman Old Style" w:hAnsi="Bookman Old Style"/>
        </w:rPr>
        <w:t>S</w:t>
      </w:r>
      <w:r w:rsidR="2220445F" w:rsidRPr="00207ACE">
        <w:rPr>
          <w:rFonts w:ascii="Bookman Old Style" w:hAnsi="Bookman Old Style"/>
        </w:rPr>
        <w:t xml:space="preserve">istema </w:t>
      </w:r>
      <w:r w:rsidR="00030472">
        <w:rPr>
          <w:rFonts w:ascii="Bookman Old Style" w:hAnsi="Bookman Old Style"/>
        </w:rPr>
        <w:t>I</w:t>
      </w:r>
      <w:r w:rsidR="2220445F" w:rsidRPr="00207ACE">
        <w:rPr>
          <w:rFonts w:ascii="Bookman Old Style" w:hAnsi="Bookman Old Style"/>
        </w:rPr>
        <w:t xml:space="preserve">nterconectado </w:t>
      </w:r>
      <w:r w:rsidR="00030472">
        <w:rPr>
          <w:rFonts w:ascii="Bookman Old Style" w:hAnsi="Bookman Old Style"/>
        </w:rPr>
        <w:t>N</w:t>
      </w:r>
      <w:r w:rsidR="2220445F" w:rsidRPr="00207ACE">
        <w:rPr>
          <w:rFonts w:ascii="Bookman Old Style" w:hAnsi="Bookman Old Style"/>
        </w:rPr>
        <w:t>acional, con sujeción al Reglamento de Operación.</w:t>
      </w:r>
    </w:p>
    <w:p w14:paraId="225149CE" w14:textId="4CE1345F" w:rsidR="6EE8FBF5" w:rsidRPr="00400814" w:rsidRDefault="6EE8FBF5" w:rsidP="00280B18">
      <w:pPr>
        <w:spacing w:before="240" w:after="240"/>
        <w:ind w:left="0"/>
        <w:jc w:val="both"/>
        <w:rPr>
          <w:rFonts w:ascii="Bookman Old Style" w:hAnsi="Bookman Old Style"/>
        </w:rPr>
      </w:pPr>
      <w:r w:rsidRPr="00400814">
        <w:rPr>
          <w:rFonts w:ascii="Bookman Old Style" w:hAnsi="Bookman Old Style"/>
        </w:rPr>
        <w:t xml:space="preserve">La Ley 143 de 1994, artículo </w:t>
      </w:r>
      <w:hyperlink r:id="rId14" w:anchor="20" w:history="1">
        <w:r w:rsidRPr="00400814">
          <w:rPr>
            <w:rFonts w:ascii="Bookman Old Style" w:hAnsi="Bookman Old Style"/>
          </w:rPr>
          <w:t>20</w:t>
        </w:r>
      </w:hyperlink>
      <w:r w:rsidRPr="00400814">
        <w:rPr>
          <w:rFonts w:ascii="Bookman Old Style" w:hAnsi="Bookman Old Style"/>
        </w:rPr>
        <w:t xml:space="preserve">, definió como objetivo fundamental de la </w:t>
      </w:r>
      <w:r w:rsidR="008D79DC">
        <w:rPr>
          <w:rFonts w:ascii="Bookman Old Style" w:hAnsi="Bookman Old Style"/>
        </w:rPr>
        <w:t>r</w:t>
      </w:r>
      <w:r w:rsidRPr="00400814">
        <w:rPr>
          <w:rFonts w:ascii="Bookman Old Style" w:hAnsi="Bookman Old Style"/>
        </w:rPr>
        <w:t>egulación en el sector eléctrico, asegurar una adecuada prestación del servicio mediante el aprovechamiento eficiente de los diferentes recursos energéticos, en beneficio del usuario en términos de calidad, oportunidad y costo del servicio.</w:t>
      </w:r>
    </w:p>
    <w:p w14:paraId="692F465D" w14:textId="63E0673C" w:rsidR="6EE8FBF5" w:rsidRPr="00400814" w:rsidRDefault="6EE8FBF5" w:rsidP="00280B18">
      <w:pPr>
        <w:spacing w:before="240" w:after="240"/>
        <w:ind w:left="0"/>
        <w:jc w:val="both"/>
        <w:rPr>
          <w:rFonts w:ascii="Bookman Old Style" w:hAnsi="Bookman Old Style"/>
        </w:rPr>
      </w:pPr>
      <w:r w:rsidRPr="00400814">
        <w:rPr>
          <w:rFonts w:ascii="Bookman Old Style" w:hAnsi="Bookman Old Style"/>
        </w:rPr>
        <w:t xml:space="preserve">Para el cumplimiento del objetivo señalado, la Ley 143 de 1994, artículo </w:t>
      </w:r>
      <w:hyperlink r:id="rId15" w:anchor="23" w:history="1">
        <w:r w:rsidRPr="00400814">
          <w:rPr>
            <w:rFonts w:ascii="Bookman Old Style" w:hAnsi="Bookman Old Style"/>
          </w:rPr>
          <w:t>23</w:t>
        </w:r>
      </w:hyperlink>
      <w:r w:rsidRPr="00400814">
        <w:rPr>
          <w:rFonts w:ascii="Bookman Old Style" w:hAnsi="Bookman Old Style"/>
        </w:rPr>
        <w:t xml:space="preserve">, le atribuyó a la </w:t>
      </w:r>
      <w:r w:rsidR="008D79DC">
        <w:rPr>
          <w:rFonts w:ascii="Bookman Old Style" w:hAnsi="Bookman Old Style"/>
        </w:rPr>
        <w:t>CREG,</w:t>
      </w:r>
      <w:r w:rsidRPr="00400814">
        <w:rPr>
          <w:rFonts w:ascii="Bookman Old Style" w:hAnsi="Bookman Old Style"/>
        </w:rPr>
        <w:t xml:space="preserve"> entre otras, las siguientes funciones:</w:t>
      </w:r>
    </w:p>
    <w:p w14:paraId="61D5B3F7" w14:textId="6E1915CB" w:rsidR="6EE8FBF5" w:rsidRPr="00400814" w:rsidRDefault="6EE8FBF5" w:rsidP="00280B18">
      <w:pPr>
        <w:pStyle w:val="Prrafodelista"/>
        <w:numPr>
          <w:ilvl w:val="0"/>
          <w:numId w:val="30"/>
        </w:numPr>
        <w:spacing w:before="240" w:after="240"/>
        <w:jc w:val="both"/>
        <w:rPr>
          <w:b w:val="0"/>
          <w:bCs/>
          <w:szCs w:val="24"/>
        </w:rPr>
      </w:pPr>
      <w:r w:rsidRPr="00400814">
        <w:rPr>
          <w:b w:val="0"/>
          <w:bCs/>
          <w:szCs w:val="24"/>
        </w:rPr>
        <w:t>Crear las condiciones para asegurar la disponibilidad de una oferta energética eficiente capaz de abastecer la demanda bajo criterios sociales, económicos, ambientales y de viabilidad financiera, promover y preservar la competencia, para lo cual, la oferta eficiente, en el sector eléctrico, debe tener en cuenta la capacidad de generación de respaldo.</w:t>
      </w:r>
    </w:p>
    <w:p w14:paraId="38D02094" w14:textId="71AA47BF" w:rsidR="6EE8FBF5" w:rsidRPr="00400814" w:rsidRDefault="6EE8FBF5" w:rsidP="00280B18">
      <w:pPr>
        <w:pStyle w:val="Prrafodelista"/>
        <w:numPr>
          <w:ilvl w:val="0"/>
          <w:numId w:val="30"/>
        </w:numPr>
        <w:spacing w:before="240" w:after="240"/>
        <w:jc w:val="both"/>
        <w:rPr>
          <w:b w:val="0"/>
          <w:bCs/>
          <w:szCs w:val="24"/>
        </w:rPr>
      </w:pPr>
      <w:r w:rsidRPr="00400814">
        <w:rPr>
          <w:b w:val="0"/>
          <w:bCs/>
          <w:szCs w:val="24"/>
        </w:rPr>
        <w:t>Valorar la capacidad de generación de respaldo de la oferta eficiente.</w:t>
      </w:r>
    </w:p>
    <w:p w14:paraId="0AF10AE3" w14:textId="3CDA5BB1" w:rsidR="6EE8FBF5" w:rsidRPr="00400814" w:rsidRDefault="6EE8FBF5" w:rsidP="00280B18">
      <w:pPr>
        <w:pStyle w:val="Prrafodelista"/>
        <w:numPr>
          <w:ilvl w:val="0"/>
          <w:numId w:val="30"/>
        </w:numPr>
        <w:spacing w:before="240" w:after="240"/>
        <w:jc w:val="both"/>
        <w:rPr>
          <w:b w:val="0"/>
          <w:bCs/>
          <w:szCs w:val="24"/>
        </w:rPr>
      </w:pPr>
      <w:r w:rsidRPr="00400814">
        <w:rPr>
          <w:b w:val="0"/>
          <w:bCs/>
          <w:szCs w:val="24"/>
        </w:rPr>
        <w:t>Definir y hacer operativos los criterios técnicos de calidad, confiabilidad y seguridad del servicio de energía.</w:t>
      </w:r>
    </w:p>
    <w:p w14:paraId="7927C0F3" w14:textId="2659C41A" w:rsidR="6EE8FBF5" w:rsidRPr="00400814" w:rsidRDefault="6EE8FBF5" w:rsidP="00280B18">
      <w:pPr>
        <w:pStyle w:val="Prrafodelista"/>
        <w:numPr>
          <w:ilvl w:val="0"/>
          <w:numId w:val="30"/>
        </w:numPr>
        <w:spacing w:before="240" w:after="240"/>
        <w:jc w:val="both"/>
        <w:rPr>
          <w:b w:val="0"/>
        </w:rPr>
      </w:pPr>
      <w:r>
        <w:rPr>
          <w:b w:val="0"/>
        </w:rPr>
        <w:t>Establecer el Reglamento de Operación para realizar el planeamiento y la coordinación de la operación del Sistema Interconectado Nacional.</w:t>
      </w:r>
    </w:p>
    <w:p w14:paraId="29A7D36F" w14:textId="52FA8CD3" w:rsidR="068AE9F7" w:rsidRDefault="068AE9F7" w:rsidP="0DA81038">
      <w:pPr>
        <w:pStyle w:val="Prrafodelista"/>
        <w:numPr>
          <w:ilvl w:val="0"/>
          <w:numId w:val="30"/>
        </w:numPr>
        <w:spacing w:before="240" w:after="240"/>
        <w:jc w:val="both"/>
        <w:rPr>
          <w:bCs/>
          <w:szCs w:val="24"/>
        </w:rPr>
      </w:pPr>
      <w:r w:rsidRPr="0DA81038">
        <w:rPr>
          <w:b w:val="0"/>
          <w:szCs w:val="24"/>
        </w:rPr>
        <w:t>Velar por la protección de los derechos de los consumidores, en especial los estratos de bajos ingresos.</w:t>
      </w:r>
    </w:p>
    <w:p w14:paraId="3122E0FC" w14:textId="36A71B9C" w:rsidR="2A64A603" w:rsidRDefault="2A64A603" w:rsidP="00207ACE">
      <w:pPr>
        <w:pStyle w:val="Prrafodelista"/>
        <w:numPr>
          <w:ilvl w:val="0"/>
          <w:numId w:val="30"/>
        </w:numPr>
        <w:spacing w:before="240" w:after="240" w:line="259" w:lineRule="auto"/>
        <w:jc w:val="both"/>
        <w:rPr>
          <w:b w:val="0"/>
        </w:rPr>
      </w:pPr>
      <w:r>
        <w:rPr>
          <w:b w:val="0"/>
        </w:rPr>
        <w:t>La Ley 143 de 1994 en su artículo 25 dispone que los agentes económicos privados o públicos que hagan parte del sistema interconectado nacional</w:t>
      </w:r>
      <w:r w:rsidR="7BB91C3E">
        <w:rPr>
          <w:b w:val="0"/>
        </w:rPr>
        <w:t xml:space="preserve"> deberán cumplir con el Reglamento de Operación.</w:t>
      </w:r>
    </w:p>
    <w:p w14:paraId="1D426825" w14:textId="299C43FB" w:rsidR="008E734D" w:rsidRPr="00400814" w:rsidRDefault="008E734D" w:rsidP="00280B18">
      <w:pPr>
        <w:spacing w:before="240" w:after="240"/>
        <w:ind w:left="0"/>
        <w:jc w:val="both"/>
        <w:rPr>
          <w:rFonts w:ascii="Bookman Old Style" w:hAnsi="Bookman Old Style"/>
          <w:i/>
          <w:iCs/>
        </w:rPr>
      </w:pPr>
      <w:r w:rsidRPr="00400814">
        <w:rPr>
          <w:rFonts w:ascii="Bookman Old Style" w:hAnsi="Bookman Old Style"/>
        </w:rPr>
        <w:t xml:space="preserve">La Ley 143 de 1994, artículo </w:t>
      </w:r>
      <w:hyperlink r:id="rId16" w:anchor="20" w:history="1">
        <w:r w:rsidRPr="00400814">
          <w:rPr>
            <w:rFonts w:ascii="Bookman Old Style" w:hAnsi="Bookman Old Style"/>
          </w:rPr>
          <w:t>44</w:t>
        </w:r>
      </w:hyperlink>
      <w:r w:rsidRPr="00400814">
        <w:rPr>
          <w:rFonts w:ascii="Bookman Old Style" w:hAnsi="Bookman Old Style"/>
        </w:rPr>
        <w:t xml:space="preserve">, </w:t>
      </w:r>
      <w:r w:rsidRPr="00BF704F">
        <w:rPr>
          <w:rFonts w:ascii="Bookman Old Style" w:hAnsi="Bookman Old Style"/>
        </w:rPr>
        <w:t>definió</w:t>
      </w:r>
      <w:r w:rsidR="008D79DC" w:rsidRPr="00BF704F">
        <w:rPr>
          <w:rFonts w:ascii="Bookman Old Style" w:hAnsi="Bookman Old Style"/>
        </w:rPr>
        <w:t xml:space="preserve"> que</w:t>
      </w:r>
      <w:r w:rsidRPr="00400814">
        <w:rPr>
          <w:rFonts w:ascii="Bookman Old Style" w:hAnsi="Bookman Old Style"/>
          <w:i/>
          <w:iCs/>
        </w:rPr>
        <w:t xml:space="preserve"> </w:t>
      </w:r>
      <w:r w:rsidR="00030472">
        <w:rPr>
          <w:rFonts w:ascii="Bookman Old Style" w:hAnsi="Bookman Old Style"/>
          <w:i/>
          <w:iCs/>
        </w:rPr>
        <w:t>“</w:t>
      </w:r>
      <w:r w:rsidRPr="00400814">
        <w:rPr>
          <w:rFonts w:ascii="Bookman Old Style" w:hAnsi="Bookman Old Style"/>
          <w:i/>
          <w:iCs/>
        </w:rPr>
        <w:t>el régimen tarifario para usuarios finales regulados de una misma empresa estará orientado por los criterios de eficiencia económica, suficiencia financiera, neutralidad, solidaridad y redistribución del ingreso, simplicidad y transparencia</w:t>
      </w:r>
      <w:r w:rsidR="00030472">
        <w:rPr>
          <w:rFonts w:ascii="Bookman Old Style" w:hAnsi="Bookman Old Style"/>
          <w:i/>
          <w:iCs/>
        </w:rPr>
        <w:t>”</w:t>
      </w:r>
      <w:r w:rsidRPr="00400814">
        <w:rPr>
          <w:rFonts w:ascii="Bookman Old Style" w:hAnsi="Bookman Old Style"/>
          <w:i/>
          <w:iCs/>
        </w:rPr>
        <w:t>.</w:t>
      </w:r>
    </w:p>
    <w:p w14:paraId="17A226B1" w14:textId="0CB11B7F" w:rsidR="008E734D" w:rsidRPr="00A47E92" w:rsidRDefault="008E734D" w:rsidP="00280B18">
      <w:pPr>
        <w:spacing w:before="240" w:after="240"/>
        <w:ind w:left="0"/>
        <w:jc w:val="both"/>
        <w:rPr>
          <w:rFonts w:ascii="Bookman Old Style" w:hAnsi="Bookman Old Style"/>
        </w:rPr>
      </w:pPr>
      <w:r w:rsidRPr="00A47E92">
        <w:rPr>
          <w:rFonts w:ascii="Bookman Old Style" w:hAnsi="Bookman Old Style"/>
        </w:rPr>
        <w:t>Por eficiencia económica se entiende que el régimen de tarifas procurará que éstas se aproximen a lo que serían los precios de un mercado competitivo, garantizándose una asignación eficiente de recursos en la economía, manteniendo a la vez el principio de solidaridad y redistribución del ingreso mediante la estratificación de las tarifas.</w:t>
      </w:r>
    </w:p>
    <w:p w14:paraId="344E288F" w14:textId="57A5A460" w:rsidR="2D365F36" w:rsidRPr="00A47E92" w:rsidRDefault="25F346EB" w:rsidP="00207ACE">
      <w:pPr>
        <w:spacing w:before="240" w:after="240"/>
        <w:ind w:left="0"/>
        <w:jc w:val="both"/>
        <w:rPr>
          <w:rFonts w:ascii="Bookman Old Style" w:eastAsia="Merriweather" w:hAnsi="Bookman Old Style" w:cs="Merriweather"/>
          <w:color w:val="000000" w:themeColor="text1"/>
        </w:rPr>
      </w:pPr>
      <w:r w:rsidRPr="00A47E92">
        <w:rPr>
          <w:rFonts w:ascii="Bookman Old Style" w:eastAsia="Merriweather" w:hAnsi="Bookman Old Style" w:cs="Merriweather"/>
          <w:color w:val="000000" w:themeColor="text1"/>
        </w:rPr>
        <w:t xml:space="preserve">El mercado de generación colombiano es un mercado oligopólico en donde 3 agentes tienen el 65% de la capacidad instalada del sistema. Además, el 66% de la capacidad instalada son plantas hidroeléctricas, que entregan al sistema entre el 70% y 80% de la energía requerida para atender la demanda en condiciones normales de aportes. </w:t>
      </w:r>
      <w:r w:rsidR="2D365F36" w:rsidRPr="00A47E92">
        <w:rPr>
          <w:rFonts w:ascii="Bookman Old Style" w:eastAsia="Merriweather" w:hAnsi="Bookman Old Style" w:cs="Merriweather"/>
          <w:color w:val="000000" w:themeColor="text1"/>
        </w:rPr>
        <w:t>La</w:t>
      </w:r>
      <w:r w:rsidR="11FC6D67" w:rsidRPr="00A47E92">
        <w:rPr>
          <w:rFonts w:ascii="Bookman Old Style" w:eastAsia="Merriweather" w:hAnsi="Bookman Old Style" w:cs="Merriweather"/>
          <w:color w:val="000000" w:themeColor="text1"/>
        </w:rPr>
        <w:t xml:space="preserve"> situación de precios en la bolsa </w:t>
      </w:r>
      <w:r w:rsidR="18EA2897" w:rsidRPr="00A47E92">
        <w:rPr>
          <w:rFonts w:ascii="Bookman Old Style" w:eastAsia="Merriweather" w:hAnsi="Bookman Old Style" w:cs="Merriweather"/>
          <w:color w:val="000000" w:themeColor="text1"/>
        </w:rPr>
        <w:t xml:space="preserve">de energía, </w:t>
      </w:r>
      <w:r w:rsidR="11FC6D67" w:rsidRPr="00A47E92">
        <w:rPr>
          <w:rFonts w:ascii="Bookman Old Style" w:eastAsia="Merriweather" w:hAnsi="Bookman Old Style" w:cs="Merriweather"/>
          <w:color w:val="000000" w:themeColor="text1"/>
        </w:rPr>
        <w:t>publicados por el operador de mercado</w:t>
      </w:r>
      <w:r w:rsidR="7147D8DB" w:rsidRPr="00A47E92">
        <w:rPr>
          <w:rFonts w:ascii="Bookman Old Style" w:eastAsia="Merriweather" w:hAnsi="Bookman Old Style" w:cs="Merriweather"/>
          <w:color w:val="000000" w:themeColor="text1"/>
        </w:rPr>
        <w:t>,</w:t>
      </w:r>
      <w:r w:rsidR="11FC6D67" w:rsidRPr="00A47E92">
        <w:rPr>
          <w:rFonts w:ascii="Bookman Old Style" w:eastAsia="Merriweather" w:hAnsi="Bookman Old Style" w:cs="Merriweather"/>
          <w:color w:val="000000" w:themeColor="text1"/>
        </w:rPr>
        <w:t xml:space="preserve"> mostró una tendencia al alza en los mes</w:t>
      </w:r>
      <w:r w:rsidR="5073898B" w:rsidRPr="00A47E92">
        <w:rPr>
          <w:rFonts w:ascii="Bookman Old Style" w:eastAsia="Merriweather" w:hAnsi="Bookman Old Style" w:cs="Merriweather"/>
          <w:color w:val="000000" w:themeColor="text1"/>
        </w:rPr>
        <w:t xml:space="preserve">es </w:t>
      </w:r>
      <w:r w:rsidR="11FC6D67" w:rsidRPr="00A47E92">
        <w:rPr>
          <w:rFonts w:ascii="Bookman Old Style" w:eastAsia="Merriweather" w:hAnsi="Bookman Old Style" w:cs="Merriweather"/>
          <w:color w:val="000000" w:themeColor="text1"/>
        </w:rPr>
        <w:t>de septiembre y octubre de 2023</w:t>
      </w:r>
      <w:r w:rsidR="20C1B256" w:rsidRPr="00A47E92">
        <w:rPr>
          <w:rFonts w:ascii="Bookman Old Style" w:eastAsia="Merriweather" w:hAnsi="Bookman Old Style" w:cs="Merriweather"/>
          <w:color w:val="000000" w:themeColor="text1"/>
        </w:rPr>
        <w:t>, cuando</w:t>
      </w:r>
      <w:r w:rsidR="11FC6D67" w:rsidRPr="00A47E92">
        <w:rPr>
          <w:rFonts w:ascii="Bookman Old Style" w:eastAsia="Merriweather" w:hAnsi="Bookman Old Style" w:cs="Merriweather"/>
          <w:color w:val="000000" w:themeColor="text1"/>
        </w:rPr>
        <w:t xml:space="preserve"> bordearon el precio de escasez. </w:t>
      </w:r>
    </w:p>
    <w:p w14:paraId="406C28EA" w14:textId="7AD5A19A" w:rsidR="11FC6D67" w:rsidRPr="00A47E92" w:rsidRDefault="11FC6D67" w:rsidP="293DB3A4">
      <w:pPr>
        <w:spacing w:before="240" w:after="240"/>
        <w:ind w:left="0"/>
        <w:jc w:val="both"/>
        <w:rPr>
          <w:rFonts w:ascii="Bookman Old Style" w:eastAsia="Merriweather" w:hAnsi="Bookman Old Style" w:cs="Merriweather"/>
          <w:color w:val="000000" w:themeColor="text1"/>
        </w:rPr>
      </w:pPr>
      <w:r w:rsidRPr="00A47E92">
        <w:rPr>
          <w:rFonts w:ascii="Bookman Old Style" w:eastAsia="Merriweather" w:hAnsi="Bookman Old Style" w:cs="Merriweather"/>
          <w:color w:val="000000" w:themeColor="text1"/>
        </w:rPr>
        <w:lastRenderedPageBreak/>
        <w:t xml:space="preserve">Aunque </w:t>
      </w:r>
      <w:r w:rsidR="7AF2D0CC" w:rsidRPr="00A47E92">
        <w:rPr>
          <w:rFonts w:ascii="Bookman Old Style" w:eastAsia="Merriweather" w:hAnsi="Bookman Old Style" w:cs="Merriweather"/>
          <w:color w:val="000000" w:themeColor="text1"/>
        </w:rPr>
        <w:t xml:space="preserve">en los mercados en </w:t>
      </w:r>
      <w:r w:rsidR="5D9D5D62" w:rsidRPr="00A47E92">
        <w:rPr>
          <w:rFonts w:ascii="Bookman Old Style" w:eastAsia="Merriweather" w:hAnsi="Bookman Old Style" w:cs="Merriweather"/>
          <w:color w:val="000000" w:themeColor="text1"/>
        </w:rPr>
        <w:t>competencia</w:t>
      </w:r>
      <w:r w:rsidR="7AF2D0CC" w:rsidRPr="00A47E92">
        <w:rPr>
          <w:rFonts w:ascii="Bookman Old Style" w:eastAsia="Merriweather" w:hAnsi="Bookman Old Style" w:cs="Merriweather"/>
          <w:color w:val="000000" w:themeColor="text1"/>
        </w:rPr>
        <w:t xml:space="preserve"> es </w:t>
      </w:r>
      <w:r w:rsidR="1BA1C3A0" w:rsidRPr="00A47E92">
        <w:rPr>
          <w:rFonts w:ascii="Bookman Old Style" w:eastAsia="Merriweather" w:hAnsi="Bookman Old Style" w:cs="Merriweather"/>
          <w:color w:val="000000" w:themeColor="text1"/>
        </w:rPr>
        <w:t>normal</w:t>
      </w:r>
      <w:r w:rsidR="7AF2D0CC" w:rsidRPr="00A47E92">
        <w:rPr>
          <w:rFonts w:ascii="Bookman Old Style" w:eastAsia="Merriweather" w:hAnsi="Bookman Old Style" w:cs="Merriweather"/>
          <w:color w:val="000000" w:themeColor="text1"/>
        </w:rPr>
        <w:t xml:space="preserve"> que </w:t>
      </w:r>
      <w:r w:rsidR="00565A18" w:rsidRPr="00A47E92">
        <w:rPr>
          <w:rFonts w:ascii="Bookman Old Style" w:eastAsia="Merriweather" w:hAnsi="Bookman Old Style" w:cs="Merriweather"/>
          <w:color w:val="000000" w:themeColor="text1"/>
        </w:rPr>
        <w:t>en los</w:t>
      </w:r>
      <w:r w:rsidR="29BF35FB" w:rsidRPr="00A47E92">
        <w:rPr>
          <w:rFonts w:ascii="Bookman Old Style" w:eastAsia="Merriweather" w:hAnsi="Bookman Old Style" w:cs="Merriweather"/>
          <w:color w:val="000000" w:themeColor="text1"/>
        </w:rPr>
        <w:t xml:space="preserve"> </w:t>
      </w:r>
      <w:r w:rsidRPr="00A47E92">
        <w:rPr>
          <w:rFonts w:ascii="Bookman Old Style" w:eastAsia="Merriweather" w:hAnsi="Bookman Old Style" w:cs="Merriweather"/>
          <w:color w:val="000000" w:themeColor="text1"/>
        </w:rPr>
        <w:t xml:space="preserve">períodos de escasez de </w:t>
      </w:r>
      <w:r w:rsidR="004E7267" w:rsidRPr="00A47E92">
        <w:rPr>
          <w:rFonts w:ascii="Bookman Old Style" w:eastAsia="Merriweather" w:hAnsi="Bookman Old Style" w:cs="Merriweather"/>
          <w:color w:val="000000" w:themeColor="text1"/>
        </w:rPr>
        <w:t>oferta los</w:t>
      </w:r>
      <w:r w:rsidR="4DFC48BF" w:rsidRPr="00A47E92">
        <w:rPr>
          <w:rFonts w:ascii="Bookman Old Style" w:eastAsia="Merriweather" w:hAnsi="Bookman Old Style" w:cs="Merriweather"/>
          <w:color w:val="000000" w:themeColor="text1"/>
        </w:rPr>
        <w:t xml:space="preserve"> </w:t>
      </w:r>
      <w:r w:rsidRPr="00A47E92">
        <w:rPr>
          <w:rFonts w:ascii="Bookman Old Style" w:eastAsia="Merriweather" w:hAnsi="Bookman Old Style" w:cs="Merriweather"/>
          <w:color w:val="000000" w:themeColor="text1"/>
        </w:rPr>
        <w:t xml:space="preserve">precios </w:t>
      </w:r>
      <w:r w:rsidR="16AC7F3C" w:rsidRPr="00A47E92">
        <w:rPr>
          <w:rFonts w:ascii="Bookman Old Style" w:eastAsia="Merriweather" w:hAnsi="Bookman Old Style" w:cs="Merriweather"/>
          <w:color w:val="000000" w:themeColor="text1"/>
        </w:rPr>
        <w:t xml:space="preserve">sean </w:t>
      </w:r>
      <w:r w:rsidRPr="00A47E92">
        <w:rPr>
          <w:rFonts w:ascii="Bookman Old Style" w:eastAsia="Merriweather" w:hAnsi="Bookman Old Style" w:cs="Merriweather"/>
          <w:color w:val="000000" w:themeColor="text1"/>
        </w:rPr>
        <w:t xml:space="preserve">superiores a los que </w:t>
      </w:r>
      <w:r w:rsidR="1F50BEFB" w:rsidRPr="00A47E92">
        <w:rPr>
          <w:rFonts w:ascii="Bookman Old Style" w:eastAsia="Merriweather" w:hAnsi="Bookman Old Style" w:cs="Merriweather"/>
          <w:color w:val="000000" w:themeColor="text1"/>
        </w:rPr>
        <w:t>se dan</w:t>
      </w:r>
      <w:r w:rsidRPr="00A47E92">
        <w:rPr>
          <w:rFonts w:ascii="Bookman Old Style" w:eastAsia="Merriweather" w:hAnsi="Bookman Old Style" w:cs="Merriweather"/>
          <w:color w:val="000000" w:themeColor="text1"/>
        </w:rPr>
        <w:t xml:space="preserve"> en épocas de oferta normal, los incrementos mencionados en la bolsa supera</w:t>
      </w:r>
      <w:r w:rsidR="3C4DEB9B" w:rsidRPr="00A47E92">
        <w:rPr>
          <w:rFonts w:ascii="Bookman Old Style" w:eastAsia="Merriweather" w:hAnsi="Bookman Old Style" w:cs="Merriweather"/>
          <w:color w:val="000000" w:themeColor="text1"/>
        </w:rPr>
        <w:t>ron</w:t>
      </w:r>
      <w:r w:rsidRPr="00A47E92">
        <w:rPr>
          <w:rFonts w:ascii="Bookman Old Style" w:eastAsia="Merriweather" w:hAnsi="Bookman Old Style" w:cs="Merriweather"/>
          <w:color w:val="000000" w:themeColor="text1"/>
        </w:rPr>
        <w:t xml:space="preserve"> la expectativa </w:t>
      </w:r>
      <w:r w:rsidR="24B9740C" w:rsidRPr="00A47E92">
        <w:rPr>
          <w:rFonts w:ascii="Bookman Old Style" w:eastAsia="Merriweather" w:hAnsi="Bookman Old Style" w:cs="Merriweather"/>
          <w:color w:val="000000" w:themeColor="text1"/>
        </w:rPr>
        <w:t>de precios</w:t>
      </w:r>
      <w:r w:rsidR="1ECC8CD9" w:rsidRPr="00A47E92">
        <w:rPr>
          <w:rFonts w:ascii="Bookman Old Style" w:eastAsia="Merriweather" w:hAnsi="Bookman Old Style" w:cs="Merriweather"/>
          <w:color w:val="000000" w:themeColor="text1"/>
        </w:rPr>
        <w:t xml:space="preserve"> para esa condición</w:t>
      </w:r>
      <w:r w:rsidR="24B9740C" w:rsidRPr="00A47E92">
        <w:rPr>
          <w:rFonts w:ascii="Bookman Old Style" w:eastAsia="Merriweather" w:hAnsi="Bookman Old Style" w:cs="Merriweather"/>
          <w:color w:val="000000" w:themeColor="text1"/>
        </w:rPr>
        <w:t xml:space="preserve">, lo que llevó a la </w:t>
      </w:r>
      <w:r w:rsidRPr="00A47E92">
        <w:rPr>
          <w:rFonts w:ascii="Bookman Old Style" w:eastAsia="Merriweather" w:hAnsi="Bookman Old Style" w:cs="Merriweather"/>
          <w:color w:val="000000" w:themeColor="text1"/>
        </w:rPr>
        <w:t xml:space="preserve">Comisión a </w:t>
      </w:r>
      <w:r w:rsidR="1BA05E34" w:rsidRPr="00A47E92">
        <w:rPr>
          <w:rFonts w:ascii="Bookman Old Style" w:eastAsia="Merriweather" w:hAnsi="Bookman Old Style" w:cs="Merriweather"/>
          <w:color w:val="000000" w:themeColor="text1"/>
        </w:rPr>
        <w:t>proponer una medida</w:t>
      </w:r>
      <w:r w:rsidRPr="00A47E92">
        <w:rPr>
          <w:rFonts w:ascii="Bookman Old Style" w:eastAsia="Merriweather" w:hAnsi="Bookman Old Style" w:cs="Merriweather"/>
          <w:color w:val="000000" w:themeColor="text1"/>
        </w:rPr>
        <w:t xml:space="preserve"> preventiva para evitar trasladar a los consumidores precios ineficientes.</w:t>
      </w:r>
      <w:r w:rsidR="1BE1939C" w:rsidRPr="00A47E92">
        <w:rPr>
          <w:rFonts w:ascii="Bookman Old Style" w:eastAsia="Merriweather" w:hAnsi="Bookman Old Style" w:cs="Merriweather"/>
          <w:color w:val="000000" w:themeColor="text1"/>
        </w:rPr>
        <w:t xml:space="preserve"> </w:t>
      </w:r>
    </w:p>
    <w:p w14:paraId="4515CD61" w14:textId="68E6C40E" w:rsidR="6C30730D" w:rsidRPr="00A47E92" w:rsidRDefault="6C30730D" w:rsidP="293DB3A4">
      <w:pPr>
        <w:spacing w:before="240" w:after="240"/>
        <w:ind w:left="0"/>
        <w:jc w:val="both"/>
        <w:rPr>
          <w:rFonts w:ascii="Bookman Old Style" w:eastAsia="Merriweather" w:hAnsi="Bookman Old Style" w:cs="Merriweather"/>
          <w:color w:val="000000" w:themeColor="text1"/>
        </w:rPr>
      </w:pPr>
      <w:r w:rsidRPr="00A47E92">
        <w:rPr>
          <w:rFonts w:ascii="Bookman Old Style" w:eastAsia="Merriweather" w:hAnsi="Bookman Old Style" w:cs="Merriweather"/>
          <w:color w:val="000000" w:themeColor="text1"/>
        </w:rPr>
        <w:t>La situación de precios en la bolsa de energía por encima de las expectativas de l</w:t>
      </w:r>
      <w:r w:rsidR="4A40AEB0" w:rsidRPr="00A47E92">
        <w:rPr>
          <w:rFonts w:ascii="Bookman Old Style" w:eastAsia="Merriweather" w:hAnsi="Bookman Old Style" w:cs="Merriweather"/>
          <w:color w:val="000000" w:themeColor="text1"/>
        </w:rPr>
        <w:t>os</w:t>
      </w:r>
      <w:r w:rsidRPr="00A47E92">
        <w:rPr>
          <w:rFonts w:ascii="Bookman Old Style" w:eastAsia="Merriweather" w:hAnsi="Bookman Old Style" w:cs="Merriweather"/>
          <w:color w:val="000000" w:themeColor="text1"/>
        </w:rPr>
        <w:t xml:space="preserve"> que serían los eficientes en un</w:t>
      </w:r>
      <w:r w:rsidR="28326D40" w:rsidRPr="00A47E92">
        <w:rPr>
          <w:rFonts w:ascii="Bookman Old Style" w:eastAsia="Merriweather" w:hAnsi="Bookman Old Style" w:cs="Merriweather"/>
          <w:color w:val="000000" w:themeColor="text1"/>
        </w:rPr>
        <w:t xml:space="preserve"> </w:t>
      </w:r>
      <w:r w:rsidRPr="00A47E92">
        <w:rPr>
          <w:rFonts w:ascii="Bookman Old Style" w:eastAsia="Merriweather" w:hAnsi="Bookman Old Style" w:cs="Merriweather"/>
          <w:color w:val="000000" w:themeColor="text1"/>
        </w:rPr>
        <w:t xml:space="preserve">mercado competitivo </w:t>
      </w:r>
      <w:r w:rsidR="1BE1939C" w:rsidRPr="00A47E92">
        <w:rPr>
          <w:rFonts w:ascii="Bookman Old Style" w:eastAsia="Merriweather" w:hAnsi="Bookman Old Style" w:cs="Merriweather"/>
          <w:color w:val="000000" w:themeColor="text1"/>
        </w:rPr>
        <w:t>podr</w:t>
      </w:r>
      <w:r w:rsidR="3DA36DE6" w:rsidRPr="00A47E92">
        <w:rPr>
          <w:rFonts w:ascii="Bookman Old Style" w:eastAsia="Merriweather" w:hAnsi="Bookman Old Style" w:cs="Merriweather"/>
          <w:color w:val="000000" w:themeColor="text1"/>
        </w:rPr>
        <w:t>ía</w:t>
      </w:r>
      <w:r w:rsidR="1BE1939C" w:rsidRPr="00A47E92">
        <w:rPr>
          <w:rFonts w:ascii="Bookman Old Style" w:eastAsia="Merriweather" w:hAnsi="Bookman Old Style" w:cs="Merriweather"/>
          <w:color w:val="000000" w:themeColor="text1"/>
        </w:rPr>
        <w:t xml:space="preserve"> volver a presentarse</w:t>
      </w:r>
      <w:r w:rsidR="0A209A7A" w:rsidRPr="00A47E92">
        <w:rPr>
          <w:rFonts w:ascii="Bookman Old Style" w:eastAsia="Merriweather" w:hAnsi="Bookman Old Style" w:cs="Merriweather"/>
          <w:color w:val="000000" w:themeColor="text1"/>
        </w:rPr>
        <w:t>,</w:t>
      </w:r>
      <w:r w:rsidR="1BE1939C" w:rsidRPr="00A47E92">
        <w:rPr>
          <w:rFonts w:ascii="Bookman Old Style" w:eastAsia="Merriweather" w:hAnsi="Bookman Old Style" w:cs="Merriweather"/>
          <w:color w:val="000000" w:themeColor="text1"/>
        </w:rPr>
        <w:t xml:space="preserve"> aun en condiciones </w:t>
      </w:r>
      <w:r w:rsidR="247CFAF5" w:rsidRPr="00A47E92">
        <w:rPr>
          <w:rFonts w:ascii="Bookman Old Style" w:eastAsia="Merriweather" w:hAnsi="Bookman Old Style" w:cs="Merriweather"/>
          <w:color w:val="000000" w:themeColor="text1"/>
        </w:rPr>
        <w:t>normales de aportes hidrológicos a los embalses de las plantas de generación hidráulica</w:t>
      </w:r>
      <w:r w:rsidR="3820578B" w:rsidRPr="00A47E92">
        <w:rPr>
          <w:rFonts w:ascii="Bookman Old Style" w:eastAsia="Merriweather" w:hAnsi="Bookman Old Style" w:cs="Merriweather"/>
          <w:color w:val="000000" w:themeColor="text1"/>
        </w:rPr>
        <w:t>, dada la estrechez entre la oferta total y la demanda</w:t>
      </w:r>
      <w:r w:rsidR="0D8A1A37" w:rsidRPr="00A47E92">
        <w:rPr>
          <w:rFonts w:ascii="Bookman Old Style" w:eastAsia="Merriweather" w:hAnsi="Bookman Old Style" w:cs="Merriweather"/>
          <w:color w:val="000000" w:themeColor="text1"/>
        </w:rPr>
        <w:t>, por lo que de tiempo atrás la Comisión ha venido analizando la alternativa de una</w:t>
      </w:r>
      <w:r w:rsidR="570570B2" w:rsidRPr="00A47E92">
        <w:rPr>
          <w:rFonts w:ascii="Bookman Old Style" w:eastAsia="Merriweather" w:hAnsi="Bookman Old Style" w:cs="Merriweather"/>
          <w:color w:val="000000" w:themeColor="text1"/>
        </w:rPr>
        <w:t>s</w:t>
      </w:r>
      <w:r w:rsidR="0D8A1A37" w:rsidRPr="00A47E92">
        <w:rPr>
          <w:rFonts w:ascii="Bookman Old Style" w:eastAsia="Merriweather" w:hAnsi="Bookman Old Style" w:cs="Merriweather"/>
          <w:color w:val="000000" w:themeColor="text1"/>
        </w:rPr>
        <w:t xml:space="preserve"> reg</w:t>
      </w:r>
      <w:r w:rsidR="37ACD070" w:rsidRPr="00A47E92">
        <w:rPr>
          <w:rFonts w:ascii="Bookman Old Style" w:eastAsia="Merriweather" w:hAnsi="Bookman Old Style" w:cs="Merriweather"/>
          <w:color w:val="000000" w:themeColor="text1"/>
        </w:rPr>
        <w:t>l</w:t>
      </w:r>
      <w:r w:rsidR="0D8A1A37" w:rsidRPr="00A47E92">
        <w:rPr>
          <w:rFonts w:ascii="Bookman Old Style" w:eastAsia="Merriweather" w:hAnsi="Bookman Old Style" w:cs="Merriweather"/>
          <w:color w:val="000000" w:themeColor="text1"/>
        </w:rPr>
        <w:t xml:space="preserve">as </w:t>
      </w:r>
      <w:r w:rsidR="00207ACE" w:rsidRPr="00A47E92">
        <w:rPr>
          <w:rFonts w:ascii="Bookman Old Style" w:eastAsia="Merriweather" w:hAnsi="Bookman Old Style" w:cs="Merriweather"/>
          <w:color w:val="000000" w:themeColor="text1"/>
        </w:rPr>
        <w:t>para una formación de precios competitiva</w:t>
      </w:r>
      <w:r w:rsidR="4FDDA8BD" w:rsidRPr="00A47E92">
        <w:rPr>
          <w:rFonts w:ascii="Bookman Old Style" w:eastAsia="Merriweather" w:hAnsi="Bookman Old Style" w:cs="Merriweather"/>
          <w:color w:val="000000" w:themeColor="text1"/>
        </w:rPr>
        <w:t>.</w:t>
      </w:r>
    </w:p>
    <w:p w14:paraId="1587E45E" w14:textId="32E5610F" w:rsidR="00715836" w:rsidRPr="00200D67" w:rsidRDefault="00715836" w:rsidP="00715836">
      <w:pPr>
        <w:spacing w:before="240" w:after="240"/>
        <w:ind w:left="0"/>
        <w:jc w:val="both"/>
        <w:rPr>
          <w:rFonts w:ascii="Bookman Old Style" w:hAnsi="Bookman Old Style"/>
        </w:rPr>
      </w:pPr>
      <w:r w:rsidRPr="3BD214A8">
        <w:rPr>
          <w:rFonts w:ascii="Bookman Old Style" w:hAnsi="Bookman Old Style"/>
        </w:rPr>
        <w:t xml:space="preserve">La Superintendencia Servicios Públicos Domiciliarios </w:t>
      </w:r>
      <w:r w:rsidR="00030472">
        <w:rPr>
          <w:rFonts w:ascii="Bookman Old Style" w:hAnsi="Bookman Old Style"/>
        </w:rPr>
        <w:t>(</w:t>
      </w:r>
      <w:r w:rsidRPr="3BD214A8">
        <w:rPr>
          <w:rFonts w:ascii="Bookman Old Style" w:hAnsi="Bookman Old Style"/>
        </w:rPr>
        <w:t>SSPD</w:t>
      </w:r>
      <w:r w:rsidR="00030472">
        <w:rPr>
          <w:rFonts w:ascii="Bookman Old Style" w:hAnsi="Bookman Old Style"/>
        </w:rPr>
        <w:t>)</w:t>
      </w:r>
      <w:r w:rsidRPr="3BD214A8">
        <w:rPr>
          <w:rFonts w:ascii="Bookman Old Style" w:hAnsi="Bookman Old Style"/>
        </w:rPr>
        <w:t>, en comunicación con radicado 20232204825411 del 8 de diciembre de 2023 hace un recuento del comportamiento del precio de bolsa actual y los fenómenos de El Niño anteriores, y sugiere a la Comisión “…</w:t>
      </w:r>
      <w:r w:rsidRPr="3BD214A8">
        <w:rPr>
          <w:rStyle w:val="ui-provider"/>
          <w:rFonts w:ascii="Bookman Old Style" w:hAnsi="Bookman Old Style"/>
          <w:i/>
          <w:iCs/>
        </w:rPr>
        <w:t xml:space="preserve">tener en cuenta en el desarrollo de su gestión regulatoria, acciones y propuestas enfocadas en garantizar precios eficientes para el mercado con el fin de garantizar la prestación </w:t>
      </w:r>
      <w:r w:rsidR="08DD62DF" w:rsidRPr="3BD214A8">
        <w:rPr>
          <w:rStyle w:val="ui-provider"/>
          <w:rFonts w:ascii="Bookman Old Style" w:hAnsi="Bookman Old Style"/>
          <w:i/>
          <w:iCs/>
        </w:rPr>
        <w:t>ó</w:t>
      </w:r>
      <w:r w:rsidRPr="3BD214A8">
        <w:rPr>
          <w:rStyle w:val="ui-provider"/>
          <w:rFonts w:ascii="Bookman Old Style" w:hAnsi="Bookman Old Style"/>
          <w:i/>
          <w:iCs/>
        </w:rPr>
        <w:t>ptima y confiable del servicio de energía eléctrica a los usuarios finales con precios adecuados para la demanda</w:t>
      </w:r>
      <w:r w:rsidRPr="3BD214A8">
        <w:rPr>
          <w:rFonts w:ascii="Bookman Old Style" w:hAnsi="Bookman Old Style"/>
        </w:rPr>
        <w:t>”.</w:t>
      </w:r>
    </w:p>
    <w:p w14:paraId="70A9A503" w14:textId="0BEDC307" w:rsidR="00CE0EA3" w:rsidRDefault="00CE0EA3" w:rsidP="00200D67">
      <w:pPr>
        <w:spacing w:before="240" w:after="240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CREG publicó para comentarios el proyecto de </w:t>
      </w:r>
      <w:r w:rsidR="00FE2A23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esolución 701 028 de</w:t>
      </w:r>
      <w:r w:rsidR="00AF7102">
        <w:rPr>
          <w:rFonts w:ascii="Bookman Old Style" w:hAnsi="Bookman Old Style"/>
        </w:rPr>
        <w:t>l 18 de diciembre de</w:t>
      </w:r>
      <w:r>
        <w:rPr>
          <w:rFonts w:ascii="Bookman Old Style" w:hAnsi="Bookman Old Style"/>
        </w:rPr>
        <w:t xml:space="preserve"> 202</w:t>
      </w:r>
      <w:r w:rsidR="00E72045">
        <w:rPr>
          <w:rFonts w:ascii="Bookman Old Style" w:hAnsi="Bookman Old Style"/>
        </w:rPr>
        <w:t>3</w:t>
      </w:r>
      <w:r w:rsidR="00030472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mediante la cual se proponen reglas transitorias en el precio de bolsa del Mercado de Energía Mayorista durante el período del fenómeno de E</w:t>
      </w:r>
      <w:r w:rsidR="002D196E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 xml:space="preserve"> Niño 2023-2024</w:t>
      </w:r>
      <w:r w:rsidR="00FE2A23">
        <w:rPr>
          <w:rFonts w:ascii="Bookman Old Style" w:hAnsi="Bookman Old Style"/>
        </w:rPr>
        <w:t xml:space="preserve">, por un periodo de cinco </w:t>
      </w:r>
      <w:r w:rsidR="00F65CE1">
        <w:rPr>
          <w:rFonts w:ascii="Bookman Old Style" w:hAnsi="Bookman Old Style"/>
        </w:rPr>
        <w:t xml:space="preserve">(5) días calendario, el </w:t>
      </w:r>
      <w:r w:rsidR="00AF7102">
        <w:rPr>
          <w:rFonts w:ascii="Bookman Old Style" w:hAnsi="Bookman Old Style"/>
        </w:rPr>
        <w:t xml:space="preserve">cual fue </w:t>
      </w:r>
      <w:r w:rsidR="00F65CE1">
        <w:rPr>
          <w:rFonts w:ascii="Bookman Old Style" w:hAnsi="Bookman Old Style"/>
        </w:rPr>
        <w:t>ampliado con la Circular</w:t>
      </w:r>
      <w:r w:rsidR="00D4299A">
        <w:rPr>
          <w:rFonts w:ascii="Bookman Old Style" w:hAnsi="Bookman Old Style"/>
        </w:rPr>
        <w:t xml:space="preserve"> CREG 097 de 2023</w:t>
      </w:r>
      <w:r w:rsidR="00023118">
        <w:rPr>
          <w:rFonts w:ascii="Bookman Old Style" w:hAnsi="Bookman Old Style"/>
        </w:rPr>
        <w:t xml:space="preserve"> por diez (10) </w:t>
      </w:r>
      <w:r w:rsidR="00BB4BE3">
        <w:rPr>
          <w:rFonts w:ascii="Bookman Old Style" w:hAnsi="Bookman Old Style"/>
        </w:rPr>
        <w:t>hábiles.</w:t>
      </w:r>
    </w:p>
    <w:p w14:paraId="7241E3E7" w14:textId="588275EC" w:rsidR="00BF704F" w:rsidRDefault="00CE0EA3" w:rsidP="00200D67">
      <w:pPr>
        <w:spacing w:before="240" w:after="240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Una vez transcurrido el plazo de comentario</w:t>
      </w:r>
      <w:r w:rsidR="00767B32">
        <w:rPr>
          <w:rFonts w:ascii="Bookman Old Style" w:hAnsi="Bookman Old Style"/>
        </w:rPr>
        <w:t>s, la CREG procedió a su análisis</w:t>
      </w:r>
      <w:r w:rsidR="00B92060">
        <w:rPr>
          <w:rFonts w:ascii="Bookman Old Style" w:hAnsi="Bookman Old Style"/>
        </w:rPr>
        <w:t xml:space="preserve"> en la medida que se </w:t>
      </w:r>
      <w:r w:rsidR="00320103">
        <w:rPr>
          <w:rFonts w:ascii="Bookman Old Style" w:hAnsi="Bookman Old Style"/>
        </w:rPr>
        <w:t>dispuso de</w:t>
      </w:r>
      <w:r w:rsidR="00F64268">
        <w:rPr>
          <w:rFonts w:ascii="Bookman Old Style" w:hAnsi="Bookman Old Style"/>
        </w:rPr>
        <w:t xml:space="preserve"> </w:t>
      </w:r>
      <w:r w:rsidR="00AD3337">
        <w:rPr>
          <w:rFonts w:ascii="Bookman Old Style" w:hAnsi="Bookman Old Style"/>
        </w:rPr>
        <w:t>quorum de</w:t>
      </w:r>
      <w:r w:rsidR="00905068">
        <w:rPr>
          <w:rFonts w:ascii="Bookman Old Style" w:hAnsi="Bookman Old Style"/>
        </w:rPr>
        <w:t>cis</w:t>
      </w:r>
      <w:r w:rsidR="00041A42">
        <w:rPr>
          <w:rFonts w:ascii="Bookman Old Style" w:hAnsi="Bookman Old Style"/>
        </w:rPr>
        <w:t>orio</w:t>
      </w:r>
      <w:r w:rsidR="00B92060">
        <w:rPr>
          <w:rFonts w:ascii="Bookman Old Style" w:hAnsi="Bookman Old Style"/>
        </w:rPr>
        <w:t xml:space="preserve">; sin embargo, </w:t>
      </w:r>
      <w:r w:rsidR="00767B32">
        <w:rPr>
          <w:rFonts w:ascii="Bookman Old Style" w:hAnsi="Bookman Old Style"/>
        </w:rPr>
        <w:t xml:space="preserve">ante </w:t>
      </w:r>
      <w:r>
        <w:rPr>
          <w:rFonts w:ascii="Bookman Old Style" w:hAnsi="Bookman Old Style"/>
        </w:rPr>
        <w:t xml:space="preserve">la inminente finalización del fenómeno de El Niño, según </w:t>
      </w:r>
      <w:r w:rsidR="00715836">
        <w:rPr>
          <w:rFonts w:ascii="Bookman Old Style" w:hAnsi="Bookman Old Style"/>
        </w:rPr>
        <w:t>las agencias</w:t>
      </w:r>
      <w:r>
        <w:rPr>
          <w:rFonts w:ascii="Bookman Old Style" w:hAnsi="Bookman Old Style"/>
        </w:rPr>
        <w:t xml:space="preserve"> del clima: </w:t>
      </w:r>
      <w:r w:rsidR="00767B32">
        <w:rPr>
          <w:rFonts w:ascii="Bookman Old Style" w:hAnsi="Bookman Old Style"/>
        </w:rPr>
        <w:t>Instituto de Hidrología, Meteorología y Estudios Ambientales (</w:t>
      </w:r>
      <w:proofErr w:type="spellStart"/>
      <w:r w:rsidR="00767B32">
        <w:rPr>
          <w:rFonts w:ascii="Bookman Old Style" w:hAnsi="Bookman Old Style"/>
        </w:rPr>
        <w:t>Ideam</w:t>
      </w:r>
      <w:proofErr w:type="spellEnd"/>
      <w:r w:rsidR="00767B32">
        <w:rPr>
          <w:rFonts w:ascii="Bookman Old Style" w:hAnsi="Bookman Old Style"/>
        </w:rPr>
        <w:t>) y la Oficina Nacional de Administración Oceánica y Atmosférica</w:t>
      </w:r>
      <w:r w:rsidR="002611D0">
        <w:rPr>
          <w:rFonts w:ascii="Bookman Old Style" w:hAnsi="Bookman Old Style"/>
        </w:rPr>
        <w:t xml:space="preserve"> de los Estados Unidos</w:t>
      </w:r>
      <w:r w:rsidR="00767B32">
        <w:rPr>
          <w:rFonts w:ascii="Bookman Old Style" w:hAnsi="Bookman Old Style"/>
        </w:rPr>
        <w:t xml:space="preserve"> (NOAA), </w:t>
      </w:r>
      <w:r w:rsidR="007F1444">
        <w:rPr>
          <w:rFonts w:ascii="Bookman Old Style" w:hAnsi="Bookman Old Style"/>
        </w:rPr>
        <w:t xml:space="preserve">los comentarios remitidos </w:t>
      </w:r>
      <w:r>
        <w:rPr>
          <w:rFonts w:ascii="Bookman Old Style" w:hAnsi="Bookman Old Style"/>
        </w:rPr>
        <w:t xml:space="preserve">y </w:t>
      </w:r>
      <w:r w:rsidR="00767B32">
        <w:rPr>
          <w:rFonts w:ascii="Bookman Old Style" w:hAnsi="Bookman Old Style"/>
        </w:rPr>
        <w:t>los indicadores relevantes del sector</w:t>
      </w:r>
      <w:r>
        <w:rPr>
          <w:rFonts w:ascii="Bookman Old Style" w:hAnsi="Bookman Old Style"/>
        </w:rPr>
        <w:t xml:space="preserve">, </w:t>
      </w:r>
      <w:r w:rsidR="000E3765">
        <w:rPr>
          <w:rFonts w:ascii="Bookman Old Style" w:hAnsi="Bookman Old Style"/>
        </w:rPr>
        <w:t xml:space="preserve">presentados en el documento soporte de la resolución, </w:t>
      </w:r>
      <w:r>
        <w:rPr>
          <w:rFonts w:ascii="Bookman Old Style" w:hAnsi="Bookman Old Style"/>
        </w:rPr>
        <w:t xml:space="preserve">la CREG encontró conveniente </w:t>
      </w:r>
      <w:r w:rsidR="00D92053">
        <w:rPr>
          <w:rFonts w:ascii="Bookman Old Style" w:hAnsi="Bookman Old Style"/>
        </w:rPr>
        <w:t>ajust</w:t>
      </w:r>
      <w:r w:rsidR="00BD4753">
        <w:rPr>
          <w:rFonts w:ascii="Bookman Old Style" w:hAnsi="Bookman Old Style"/>
        </w:rPr>
        <w:t>ar</w:t>
      </w:r>
      <w:r w:rsidR="00DE2B51">
        <w:rPr>
          <w:rFonts w:ascii="Bookman Old Style" w:hAnsi="Bookman Old Style"/>
        </w:rPr>
        <w:t xml:space="preserve"> </w:t>
      </w:r>
      <w:r w:rsidR="00AE74EE">
        <w:rPr>
          <w:rFonts w:ascii="Bookman Old Style" w:hAnsi="Bookman Old Style"/>
        </w:rPr>
        <w:t xml:space="preserve">la </w:t>
      </w:r>
      <w:r>
        <w:rPr>
          <w:rFonts w:ascii="Bookman Old Style" w:hAnsi="Bookman Old Style"/>
        </w:rPr>
        <w:t>propuesta</w:t>
      </w:r>
      <w:r w:rsidR="00767B32">
        <w:rPr>
          <w:rFonts w:ascii="Bookman Old Style" w:hAnsi="Bookman Old Style"/>
        </w:rPr>
        <w:t xml:space="preserve"> </w:t>
      </w:r>
      <w:r w:rsidR="00715836">
        <w:rPr>
          <w:rFonts w:ascii="Bookman Old Style" w:hAnsi="Bookman Old Style"/>
        </w:rPr>
        <w:t xml:space="preserve">para adoptar reglas </w:t>
      </w:r>
      <w:r w:rsidR="00DE2B51">
        <w:rPr>
          <w:rFonts w:ascii="Bookman Old Style" w:hAnsi="Bookman Old Style"/>
        </w:rPr>
        <w:t xml:space="preserve">de carácter permanente </w:t>
      </w:r>
      <w:r w:rsidR="002246A7">
        <w:rPr>
          <w:rFonts w:ascii="Bookman Old Style" w:hAnsi="Bookman Old Style"/>
        </w:rPr>
        <w:t>para la definición del</w:t>
      </w:r>
      <w:r w:rsidR="00715836">
        <w:rPr>
          <w:rFonts w:ascii="Bookman Old Style" w:hAnsi="Bookman Old Style"/>
        </w:rPr>
        <w:t xml:space="preserve"> precio de bolsa </w:t>
      </w:r>
      <w:r w:rsidR="006A35C2">
        <w:rPr>
          <w:rFonts w:ascii="Bookman Old Style" w:hAnsi="Bookman Old Style"/>
        </w:rPr>
        <w:t xml:space="preserve">buscando que la </w:t>
      </w:r>
      <w:r w:rsidR="00715836">
        <w:rPr>
          <w:rFonts w:ascii="Bookman Old Style" w:hAnsi="Bookman Old Style"/>
        </w:rPr>
        <w:t xml:space="preserve">formación del precio refleje </w:t>
      </w:r>
      <w:r w:rsidR="00840DAF">
        <w:rPr>
          <w:rFonts w:ascii="Bookman Old Style" w:hAnsi="Bookman Old Style"/>
        </w:rPr>
        <w:t xml:space="preserve">las condiciones de </w:t>
      </w:r>
      <w:r w:rsidR="00715836">
        <w:rPr>
          <w:rFonts w:ascii="Bookman Old Style" w:hAnsi="Bookman Old Style"/>
        </w:rPr>
        <w:t>un mercado en competencia</w:t>
      </w:r>
      <w:r w:rsidR="00767B32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14:paraId="272941B5" w14:textId="6CAD545C" w:rsidR="00D332EE" w:rsidRDefault="002705C0" w:rsidP="00200D67">
      <w:pPr>
        <w:spacing w:before="240" w:after="240"/>
        <w:ind w:left="0"/>
        <w:jc w:val="both"/>
        <w:rPr>
          <w:rFonts w:ascii="Bookman Old Style" w:hAnsi="Bookman Old Style"/>
          <w:lang w:val="es-CO"/>
        </w:rPr>
      </w:pPr>
      <w:r>
        <w:rPr>
          <w:rFonts w:ascii="Bookman Old Style" w:hAnsi="Bookman Old Style"/>
          <w:lang w:val="es-CO"/>
        </w:rPr>
        <w:t>Como resultado del diligenciamiento del formulario sobre prácticas restrictivas a la competencia, en cumplimiento de lo establecido en el Decreto 1074 de 2015</w:t>
      </w:r>
      <w:r w:rsidR="007C265D">
        <w:rPr>
          <w:rFonts w:ascii="Bookman Old Style" w:hAnsi="Bookman Old Style"/>
          <w:lang w:val="es-CO"/>
        </w:rPr>
        <w:t>, se concluyó que está normativa tiene efectos en competencia.</w:t>
      </w:r>
      <w:r w:rsidR="00F041B2">
        <w:rPr>
          <w:rFonts w:ascii="Bookman Old Style" w:hAnsi="Bookman Old Style"/>
          <w:lang w:val="es-CO"/>
        </w:rPr>
        <w:t xml:space="preserve"> </w:t>
      </w:r>
    </w:p>
    <w:p w14:paraId="6664CD0A" w14:textId="3DAB308F" w:rsidR="00202055" w:rsidRDefault="00202055" w:rsidP="00200D67">
      <w:pPr>
        <w:spacing w:before="240" w:after="240"/>
        <w:ind w:left="0"/>
        <w:jc w:val="both"/>
        <w:rPr>
          <w:rFonts w:ascii="Bookman Old Style" w:hAnsi="Bookman Old Style"/>
          <w:lang w:val="es-CO"/>
        </w:rPr>
      </w:pPr>
      <w:r>
        <w:rPr>
          <w:rFonts w:ascii="Bookman Old Style" w:hAnsi="Bookman Old Style"/>
          <w:lang w:val="es-CO"/>
        </w:rPr>
        <w:t>Con base en lo anterior, la Comisión de Regulación de Energía y Gas</w:t>
      </w:r>
      <w:r w:rsidR="00035E5B">
        <w:rPr>
          <w:rFonts w:ascii="Bookman Old Style" w:hAnsi="Bookman Old Style"/>
          <w:lang w:val="es-CO"/>
        </w:rPr>
        <w:t xml:space="preserve">, en su sesión No. </w:t>
      </w:r>
      <w:r w:rsidR="00295788">
        <w:rPr>
          <w:rFonts w:ascii="Bookman Old Style" w:hAnsi="Bookman Old Style"/>
          <w:lang w:val="es-CO"/>
        </w:rPr>
        <w:t>1308</w:t>
      </w:r>
      <w:r w:rsidR="00035E5B">
        <w:rPr>
          <w:rFonts w:ascii="Bookman Old Style" w:hAnsi="Bookman Old Style"/>
          <w:lang w:val="es-CO"/>
        </w:rPr>
        <w:t xml:space="preserve"> del </w:t>
      </w:r>
      <w:r w:rsidR="00295788">
        <w:rPr>
          <w:rFonts w:ascii="Bookman Old Style" w:hAnsi="Bookman Old Style"/>
          <w:lang w:val="es-CO"/>
        </w:rPr>
        <w:t>13</w:t>
      </w:r>
      <w:r w:rsidR="00035E5B">
        <w:rPr>
          <w:rFonts w:ascii="Bookman Old Style" w:hAnsi="Bookman Old Style"/>
          <w:lang w:val="es-CO"/>
        </w:rPr>
        <w:t xml:space="preserve"> de abril de</w:t>
      </w:r>
      <w:r w:rsidR="00681D17">
        <w:rPr>
          <w:rFonts w:ascii="Bookman Old Style" w:hAnsi="Bookman Old Style"/>
          <w:lang w:val="es-CO"/>
        </w:rPr>
        <w:t xml:space="preserve"> 2024, acordó remitir </w:t>
      </w:r>
      <w:r w:rsidR="00825DF2">
        <w:rPr>
          <w:rFonts w:ascii="Bookman Old Style" w:hAnsi="Bookman Old Style"/>
          <w:lang w:val="es-CO"/>
        </w:rPr>
        <w:t xml:space="preserve">la presente resolución </w:t>
      </w:r>
      <w:r w:rsidR="00681D17">
        <w:rPr>
          <w:rFonts w:ascii="Bookman Old Style" w:hAnsi="Bookman Old Style"/>
          <w:lang w:val="es-CO"/>
        </w:rPr>
        <w:t xml:space="preserve">a la </w:t>
      </w:r>
      <w:r w:rsidR="00B76A78">
        <w:rPr>
          <w:rFonts w:ascii="Bookman Old Style" w:hAnsi="Bookman Old Style"/>
          <w:lang w:val="es-CO"/>
        </w:rPr>
        <w:t xml:space="preserve">Superintendencia de Industria y Comercio </w:t>
      </w:r>
      <w:r w:rsidR="00030472">
        <w:rPr>
          <w:rFonts w:ascii="Bookman Old Style" w:hAnsi="Bookman Old Style"/>
          <w:lang w:val="es-CO"/>
        </w:rPr>
        <w:t>(</w:t>
      </w:r>
      <w:r w:rsidR="00681D17">
        <w:rPr>
          <w:rFonts w:ascii="Bookman Old Style" w:hAnsi="Bookman Old Style"/>
          <w:lang w:val="es-CO"/>
        </w:rPr>
        <w:t>SIC</w:t>
      </w:r>
      <w:r w:rsidR="00030472">
        <w:rPr>
          <w:rFonts w:ascii="Bookman Old Style" w:hAnsi="Bookman Old Style"/>
          <w:lang w:val="es-CO"/>
        </w:rPr>
        <w:t>)</w:t>
      </w:r>
      <w:r w:rsidR="00681D17">
        <w:rPr>
          <w:rFonts w:ascii="Bookman Old Style" w:hAnsi="Bookman Old Style"/>
          <w:lang w:val="es-CO"/>
        </w:rPr>
        <w:t xml:space="preserve"> para el concepto de abogacía de la competencia.</w:t>
      </w:r>
    </w:p>
    <w:p w14:paraId="57BF1A07" w14:textId="77777777" w:rsidR="00F0080F" w:rsidRDefault="00A77578" w:rsidP="00200D67">
      <w:pPr>
        <w:spacing w:before="240" w:after="240"/>
        <w:ind w:left="0"/>
        <w:jc w:val="both"/>
        <w:rPr>
          <w:rFonts w:ascii="Bookman Old Style" w:hAnsi="Bookman Old Style"/>
          <w:lang w:val="es-CO"/>
        </w:rPr>
      </w:pPr>
      <w:r w:rsidRPr="00356773">
        <w:rPr>
          <w:rFonts w:ascii="Bookman Old Style" w:hAnsi="Bookman Old Style"/>
          <w:lang w:val="es-CO"/>
        </w:rPr>
        <w:t>L</w:t>
      </w:r>
      <w:r w:rsidR="00356773" w:rsidRPr="00356773">
        <w:rPr>
          <w:rFonts w:ascii="Bookman Old Style" w:hAnsi="Bookman Old Style"/>
          <w:lang w:val="es-CO"/>
        </w:rPr>
        <w:t xml:space="preserve">a SIC mediante </w:t>
      </w:r>
      <w:r w:rsidR="00356773">
        <w:rPr>
          <w:rFonts w:ascii="Bookman Old Style" w:hAnsi="Bookman Old Style"/>
          <w:lang w:val="es-CO"/>
        </w:rPr>
        <w:t xml:space="preserve">comunicación </w:t>
      </w:r>
      <w:r w:rsidR="00E16B19">
        <w:rPr>
          <w:rFonts w:ascii="Bookman Old Style" w:hAnsi="Bookman Old Style"/>
          <w:lang w:val="es-CO"/>
        </w:rPr>
        <w:t>del 10 de mayo de 2024, remitió</w:t>
      </w:r>
      <w:r w:rsidR="00CC3CDE">
        <w:rPr>
          <w:rFonts w:ascii="Bookman Old Style" w:hAnsi="Bookman Old Style"/>
          <w:lang w:val="es-CO"/>
        </w:rPr>
        <w:t xml:space="preserve"> el concepto de abogacía de la competencia</w:t>
      </w:r>
      <w:r w:rsidR="001B110A">
        <w:rPr>
          <w:rFonts w:ascii="Bookman Old Style" w:hAnsi="Bookman Old Style"/>
          <w:lang w:val="es-CO"/>
        </w:rPr>
        <w:t xml:space="preserve"> al proyecto de resolución </w:t>
      </w:r>
      <w:r w:rsidR="00C45CAF">
        <w:rPr>
          <w:rFonts w:ascii="Bookman Old Style" w:hAnsi="Bookman Old Style"/>
          <w:lang w:val="es-CO"/>
        </w:rPr>
        <w:t>radicado por la C</w:t>
      </w:r>
      <w:r w:rsidR="00F0080F">
        <w:rPr>
          <w:rFonts w:ascii="Bookman Old Style" w:hAnsi="Bookman Old Style"/>
          <w:lang w:val="es-CO"/>
        </w:rPr>
        <w:t>omisión de Regulación de Energía y Gas.</w:t>
      </w:r>
    </w:p>
    <w:p w14:paraId="3A02B8B5" w14:textId="1C238130" w:rsidR="00A77578" w:rsidRDefault="00F0080F" w:rsidP="00200D67">
      <w:pPr>
        <w:spacing w:before="240" w:after="240"/>
        <w:ind w:left="0"/>
        <w:jc w:val="both"/>
        <w:rPr>
          <w:rFonts w:ascii="Bookman Old Style" w:hAnsi="Bookman Old Style"/>
          <w:lang w:val="es-CO"/>
        </w:rPr>
      </w:pPr>
      <w:r>
        <w:rPr>
          <w:rFonts w:ascii="Bookman Old Style" w:hAnsi="Bookman Old Style"/>
          <w:lang w:val="es-CO"/>
        </w:rPr>
        <w:t>La CREG</w:t>
      </w:r>
      <w:r w:rsidR="00030472">
        <w:rPr>
          <w:rFonts w:ascii="Bookman Old Style" w:hAnsi="Bookman Old Style"/>
          <w:lang w:val="es-CO"/>
        </w:rPr>
        <w:t>,</w:t>
      </w:r>
      <w:r>
        <w:rPr>
          <w:rFonts w:ascii="Bookman Old Style" w:hAnsi="Bookman Old Style"/>
          <w:lang w:val="es-CO"/>
        </w:rPr>
        <w:t xml:space="preserve"> una vez evaluado el concepto de la SIC</w:t>
      </w:r>
      <w:r w:rsidR="00030472">
        <w:rPr>
          <w:rFonts w:ascii="Bookman Old Style" w:hAnsi="Bookman Old Style"/>
          <w:lang w:val="es-CO"/>
        </w:rPr>
        <w:t>,</w:t>
      </w:r>
      <w:r>
        <w:rPr>
          <w:rFonts w:ascii="Bookman Old Style" w:hAnsi="Bookman Old Style"/>
          <w:lang w:val="es-CO"/>
        </w:rPr>
        <w:t xml:space="preserve"> encontró </w:t>
      </w:r>
      <w:r w:rsidR="00CA6A0F">
        <w:rPr>
          <w:rFonts w:ascii="Bookman Old Style" w:hAnsi="Bookman Old Style"/>
          <w:lang w:val="es-CO"/>
        </w:rPr>
        <w:t>necesario</w:t>
      </w:r>
      <w:r w:rsidR="003742BE">
        <w:rPr>
          <w:rFonts w:ascii="Bookman Old Style" w:hAnsi="Bookman Old Style"/>
          <w:lang w:val="es-CO"/>
        </w:rPr>
        <w:t xml:space="preserve"> publicar para comentarios el proyecto de resolución</w:t>
      </w:r>
      <w:r w:rsidR="005A698A">
        <w:rPr>
          <w:rFonts w:ascii="Bookman Old Style" w:hAnsi="Bookman Old Style"/>
          <w:lang w:val="es-CO"/>
        </w:rPr>
        <w:t xml:space="preserve"> en </w:t>
      </w:r>
      <w:r w:rsidR="00DC0403">
        <w:rPr>
          <w:rFonts w:ascii="Bookman Old Style" w:hAnsi="Bookman Old Style"/>
          <w:lang w:val="es-CO"/>
        </w:rPr>
        <w:t>cuyo</w:t>
      </w:r>
      <w:r w:rsidR="005A698A">
        <w:rPr>
          <w:rFonts w:ascii="Bookman Old Style" w:hAnsi="Bookman Old Style"/>
          <w:lang w:val="es-CO"/>
        </w:rPr>
        <w:t xml:space="preserve"> documento soporte </w:t>
      </w:r>
      <w:r w:rsidR="00DC0403">
        <w:rPr>
          <w:rFonts w:ascii="Bookman Old Style" w:hAnsi="Bookman Old Style"/>
          <w:lang w:val="es-CO"/>
        </w:rPr>
        <w:t>s</w:t>
      </w:r>
      <w:r w:rsidR="005A698A">
        <w:rPr>
          <w:rFonts w:ascii="Bookman Old Style" w:hAnsi="Bookman Old Style"/>
          <w:lang w:val="es-CO"/>
        </w:rPr>
        <w:t xml:space="preserve">e hacen </w:t>
      </w:r>
      <w:r w:rsidR="005A698A">
        <w:rPr>
          <w:rFonts w:ascii="Bookman Old Style" w:hAnsi="Bookman Old Style"/>
          <w:lang w:val="es-CO"/>
        </w:rPr>
        <w:lastRenderedPageBreak/>
        <w:t>aclaraciones a los temas plantead</w:t>
      </w:r>
      <w:r w:rsidR="00DC0403">
        <w:rPr>
          <w:rFonts w:ascii="Bookman Old Style" w:hAnsi="Bookman Old Style"/>
          <w:lang w:val="es-CO"/>
        </w:rPr>
        <w:t xml:space="preserve">os </w:t>
      </w:r>
      <w:r w:rsidR="00106D19">
        <w:rPr>
          <w:rFonts w:ascii="Bookman Old Style" w:hAnsi="Bookman Old Style"/>
          <w:lang w:val="es-CO"/>
        </w:rPr>
        <w:t>en el concepto de abogacía de la SIC.</w:t>
      </w:r>
      <w:r w:rsidR="00C45CAF">
        <w:rPr>
          <w:rFonts w:ascii="Bookman Old Style" w:hAnsi="Bookman Old Style"/>
          <w:lang w:val="es-CO"/>
        </w:rPr>
        <w:t xml:space="preserve"> </w:t>
      </w:r>
      <w:r w:rsidR="00E16B19">
        <w:rPr>
          <w:rFonts w:ascii="Bookman Old Style" w:hAnsi="Bookman Old Style"/>
          <w:lang w:val="es-CO"/>
        </w:rPr>
        <w:t xml:space="preserve"> </w:t>
      </w:r>
      <w:r w:rsidR="00614949">
        <w:rPr>
          <w:rFonts w:ascii="Bookman Old Style" w:hAnsi="Bookman Old Style"/>
          <w:lang w:val="es-CO"/>
        </w:rPr>
        <w:t xml:space="preserve">Así mismo, cuando se </w:t>
      </w:r>
      <w:r w:rsidR="00993C9D">
        <w:rPr>
          <w:rFonts w:ascii="Bookman Old Style" w:hAnsi="Bookman Old Style"/>
          <w:lang w:val="es-CO"/>
        </w:rPr>
        <w:t xml:space="preserve">reciban </w:t>
      </w:r>
      <w:r w:rsidR="00B70FF9">
        <w:rPr>
          <w:rFonts w:ascii="Bookman Old Style" w:hAnsi="Bookman Old Style"/>
          <w:lang w:val="es-CO"/>
        </w:rPr>
        <w:t xml:space="preserve">los comentarios </w:t>
      </w:r>
      <w:r w:rsidR="00993C9D">
        <w:rPr>
          <w:rFonts w:ascii="Bookman Old Style" w:hAnsi="Bookman Old Style"/>
          <w:lang w:val="es-CO"/>
        </w:rPr>
        <w:t>al proyecto en consulta</w:t>
      </w:r>
      <w:r w:rsidR="00030472">
        <w:rPr>
          <w:rFonts w:ascii="Bookman Old Style" w:hAnsi="Bookman Old Style"/>
          <w:lang w:val="es-CO"/>
        </w:rPr>
        <w:t>,</w:t>
      </w:r>
      <w:r w:rsidR="00993C9D">
        <w:rPr>
          <w:rFonts w:ascii="Bookman Old Style" w:hAnsi="Bookman Old Style"/>
          <w:lang w:val="es-CO"/>
        </w:rPr>
        <w:t xml:space="preserve"> </w:t>
      </w:r>
      <w:r w:rsidR="00B70FF9">
        <w:rPr>
          <w:rFonts w:ascii="Bookman Old Style" w:hAnsi="Bookman Old Style"/>
          <w:lang w:val="es-CO"/>
        </w:rPr>
        <w:t>será</w:t>
      </w:r>
      <w:r w:rsidR="00206AC3">
        <w:rPr>
          <w:rFonts w:ascii="Bookman Old Style" w:hAnsi="Bookman Old Style"/>
          <w:lang w:val="es-CO"/>
        </w:rPr>
        <w:t>n remitidos a la SIC</w:t>
      </w:r>
      <w:r w:rsidR="00BD3671">
        <w:rPr>
          <w:rFonts w:ascii="Bookman Old Style" w:hAnsi="Bookman Old Style"/>
          <w:lang w:val="es-CO"/>
        </w:rPr>
        <w:t xml:space="preserve"> junto con el proyecto de resolución y el respectivo </w:t>
      </w:r>
      <w:r w:rsidR="00E46D7A">
        <w:rPr>
          <w:rFonts w:ascii="Bookman Old Style" w:hAnsi="Bookman Old Style"/>
          <w:lang w:val="es-CO"/>
        </w:rPr>
        <w:t>documento soporte.</w:t>
      </w:r>
      <w:r w:rsidR="00206AC3">
        <w:rPr>
          <w:rFonts w:ascii="Bookman Old Style" w:hAnsi="Bookman Old Style"/>
          <w:lang w:val="es-CO"/>
        </w:rPr>
        <w:t xml:space="preserve"> </w:t>
      </w:r>
    </w:p>
    <w:p w14:paraId="4BAEBA32" w14:textId="67D94D5C" w:rsidR="009D73ED" w:rsidRDefault="009D73ED" w:rsidP="009D73ED">
      <w:pPr>
        <w:spacing w:before="240" w:after="240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Los análisis respectivos se presentan</w:t>
      </w:r>
      <w:r w:rsidR="009A0C53">
        <w:rPr>
          <w:rFonts w:ascii="Bookman Old Style" w:hAnsi="Bookman Old Style"/>
        </w:rPr>
        <w:t xml:space="preserve"> en </w:t>
      </w:r>
      <w:r>
        <w:rPr>
          <w:rFonts w:ascii="Bookman Old Style" w:hAnsi="Bookman Old Style"/>
        </w:rPr>
        <w:t xml:space="preserve">el Documento CREG </w:t>
      </w:r>
      <w:r w:rsidR="00EA520D" w:rsidRPr="00EA520D">
        <w:rPr>
          <w:rFonts w:ascii="Bookman Old Style" w:hAnsi="Bookman Old Style"/>
        </w:rPr>
        <w:t>901 097</w:t>
      </w:r>
      <w:r>
        <w:rPr>
          <w:rFonts w:ascii="Bookman Old Style" w:hAnsi="Bookman Old Style"/>
        </w:rPr>
        <w:t xml:space="preserve"> de 2024.</w:t>
      </w:r>
    </w:p>
    <w:p w14:paraId="3DB41754" w14:textId="5967A6E5" w:rsidR="00045D3D" w:rsidRPr="00356773" w:rsidRDefault="00045D3D" w:rsidP="00045D3D">
      <w:pPr>
        <w:suppressAutoHyphens/>
        <w:jc w:val="center"/>
        <w:rPr>
          <w:rFonts w:ascii="Bookman Old Style" w:hAnsi="Bookman Old Style"/>
          <w:b/>
          <w:spacing w:val="-3"/>
          <w:lang w:val="es-CO"/>
        </w:rPr>
      </w:pPr>
    </w:p>
    <w:p w14:paraId="40EFC463" w14:textId="77777777" w:rsidR="00045D3D" w:rsidRPr="00F55E7D" w:rsidRDefault="00045D3D" w:rsidP="00045D3D">
      <w:pPr>
        <w:suppressAutoHyphens/>
        <w:jc w:val="center"/>
        <w:rPr>
          <w:rFonts w:ascii="Bookman Old Style" w:hAnsi="Bookman Old Style"/>
          <w:spacing w:val="-3"/>
          <w:lang w:val="pt-BR"/>
        </w:rPr>
      </w:pPr>
      <w:r w:rsidRPr="00F55E7D">
        <w:rPr>
          <w:rFonts w:ascii="Bookman Old Style" w:hAnsi="Bookman Old Style"/>
          <w:b/>
          <w:spacing w:val="-3"/>
          <w:lang w:val="pt-BR"/>
        </w:rPr>
        <w:t>R E S U E L V E:</w:t>
      </w:r>
    </w:p>
    <w:p w14:paraId="494DDFC2" w14:textId="77777777" w:rsidR="00045D3D" w:rsidRPr="00F55E7D" w:rsidRDefault="00045D3D" w:rsidP="00045D3D">
      <w:pPr>
        <w:jc w:val="center"/>
        <w:rPr>
          <w:rFonts w:ascii="Bookman Old Style" w:hAnsi="Bookman Old Style"/>
          <w:lang w:val="pt-BR"/>
        </w:rPr>
      </w:pPr>
    </w:p>
    <w:p w14:paraId="6B11869A" w14:textId="0A219C20" w:rsidR="00C926FC" w:rsidRPr="00200D67" w:rsidRDefault="008E734D" w:rsidP="00537834">
      <w:pPr>
        <w:pStyle w:val="Prrafodelista"/>
        <w:numPr>
          <w:ilvl w:val="0"/>
          <w:numId w:val="23"/>
        </w:numPr>
        <w:spacing w:before="240" w:after="240"/>
        <w:ind w:left="0" w:firstLine="0"/>
        <w:jc w:val="both"/>
        <w:rPr>
          <w:b w:val="0"/>
        </w:rPr>
      </w:pPr>
      <w:r w:rsidRPr="00400814">
        <w:rPr>
          <w:szCs w:val="24"/>
        </w:rPr>
        <w:t xml:space="preserve">Objetivo. </w:t>
      </w:r>
      <w:r w:rsidR="002237D4" w:rsidRPr="00130B47">
        <w:rPr>
          <w:b w:val="0"/>
          <w:bCs/>
          <w:szCs w:val="24"/>
        </w:rPr>
        <w:t xml:space="preserve">Adoptar </w:t>
      </w:r>
      <w:r w:rsidR="007F7757" w:rsidRPr="00130B47">
        <w:rPr>
          <w:b w:val="0"/>
          <w:bCs/>
          <w:szCs w:val="24"/>
        </w:rPr>
        <w:t>medidas para</w:t>
      </w:r>
      <w:r w:rsidR="007F7757">
        <w:rPr>
          <w:szCs w:val="24"/>
        </w:rPr>
        <w:t xml:space="preserve"> </w:t>
      </w:r>
      <w:r w:rsidR="00715836" w:rsidRPr="00715836">
        <w:rPr>
          <w:b w:val="0"/>
          <w:bCs/>
          <w:szCs w:val="24"/>
        </w:rPr>
        <w:t xml:space="preserve">ajustar </w:t>
      </w:r>
      <w:r w:rsidR="00715836">
        <w:rPr>
          <w:b w:val="0"/>
          <w:bCs/>
          <w:szCs w:val="24"/>
        </w:rPr>
        <w:t xml:space="preserve">las </w:t>
      </w:r>
      <w:r w:rsidR="00715836">
        <w:rPr>
          <w:b w:val="0"/>
        </w:rPr>
        <w:t>reglas para la definición del precio de bolsa nacional</w:t>
      </w:r>
      <w:r w:rsidR="00430879">
        <w:rPr>
          <w:b w:val="0"/>
        </w:rPr>
        <w:t xml:space="preserve">.  </w:t>
      </w:r>
    </w:p>
    <w:p w14:paraId="4C88AF57" w14:textId="144670AE" w:rsidR="008E734D" w:rsidRPr="00E93661" w:rsidRDefault="008E734D" w:rsidP="0087026E">
      <w:pPr>
        <w:pStyle w:val="Prrafodelista"/>
        <w:numPr>
          <w:ilvl w:val="0"/>
          <w:numId w:val="23"/>
        </w:numPr>
        <w:spacing w:before="240" w:after="240"/>
        <w:ind w:left="0" w:firstLine="0"/>
        <w:jc w:val="both"/>
      </w:pPr>
      <w:r>
        <w:t>Alcance.</w:t>
      </w:r>
      <w:r w:rsidR="00C85D3C">
        <w:t xml:space="preserve"> </w:t>
      </w:r>
      <w:r w:rsidR="00C85D3C">
        <w:rPr>
          <w:b w:val="0"/>
        </w:rPr>
        <w:t xml:space="preserve">La presente disposición </w:t>
      </w:r>
      <w:r w:rsidR="00F24BED">
        <w:rPr>
          <w:b w:val="0"/>
        </w:rPr>
        <w:t xml:space="preserve">está dirigida </w:t>
      </w:r>
      <w:r w:rsidR="00C85D3C">
        <w:rPr>
          <w:b w:val="0"/>
        </w:rPr>
        <w:t xml:space="preserve">para aquellos agentes que realicen las actividades de generación y comercialización </w:t>
      </w:r>
      <w:r w:rsidR="0045557B">
        <w:rPr>
          <w:b w:val="0"/>
        </w:rPr>
        <w:t xml:space="preserve">en </w:t>
      </w:r>
      <w:r w:rsidR="00C85D3C">
        <w:rPr>
          <w:b w:val="0"/>
        </w:rPr>
        <w:t>el Sistema Interco</w:t>
      </w:r>
      <w:r w:rsidR="0087026E">
        <w:rPr>
          <w:b w:val="0"/>
        </w:rPr>
        <w:t>n</w:t>
      </w:r>
      <w:r w:rsidR="00C85D3C">
        <w:rPr>
          <w:b w:val="0"/>
        </w:rPr>
        <w:t>ectado Nacional (SIN</w:t>
      </w:r>
      <w:r w:rsidR="000E2ABE">
        <w:rPr>
          <w:b w:val="0"/>
        </w:rPr>
        <w:t>), XM</w:t>
      </w:r>
      <w:r w:rsidR="1B8EA646">
        <w:rPr>
          <w:b w:val="0"/>
        </w:rPr>
        <w:t xml:space="preserve"> S.A E</w:t>
      </w:r>
      <w:r w:rsidR="00F4000A">
        <w:rPr>
          <w:b w:val="0"/>
        </w:rPr>
        <w:t>.</w:t>
      </w:r>
      <w:r w:rsidR="1B8EA646">
        <w:rPr>
          <w:b w:val="0"/>
        </w:rPr>
        <w:t>S</w:t>
      </w:r>
      <w:r w:rsidR="00F4000A">
        <w:rPr>
          <w:b w:val="0"/>
        </w:rPr>
        <w:t>.</w:t>
      </w:r>
      <w:r w:rsidR="1B8EA646">
        <w:rPr>
          <w:b w:val="0"/>
        </w:rPr>
        <w:t>P</w:t>
      </w:r>
      <w:r w:rsidR="00F4000A">
        <w:rPr>
          <w:b w:val="0"/>
        </w:rPr>
        <w:t>.</w:t>
      </w:r>
      <w:r w:rsidR="1B8EA646">
        <w:rPr>
          <w:b w:val="0"/>
        </w:rPr>
        <w:t xml:space="preserve"> en sus funciones de</w:t>
      </w:r>
      <w:r w:rsidR="00C85D3C">
        <w:rPr>
          <w:b w:val="0"/>
        </w:rPr>
        <w:t xml:space="preserve"> Centro Nacional de Despacho (CND) </w:t>
      </w:r>
      <w:r w:rsidR="00E71EF7">
        <w:rPr>
          <w:b w:val="0"/>
        </w:rPr>
        <w:t>y Administrador</w:t>
      </w:r>
      <w:r w:rsidR="00C85D3C">
        <w:rPr>
          <w:b w:val="0"/>
        </w:rPr>
        <w:t xml:space="preserve"> del Sistema de Intercambios Comerciales (ASIC).</w:t>
      </w:r>
    </w:p>
    <w:p w14:paraId="331A10D1" w14:textId="75307F37" w:rsidR="00E93661" w:rsidRPr="00C16BDB" w:rsidRDefault="00170F2D" w:rsidP="00E93661">
      <w:pPr>
        <w:pStyle w:val="Prrafodelista"/>
        <w:numPr>
          <w:ilvl w:val="0"/>
          <w:numId w:val="23"/>
        </w:numPr>
        <w:ind w:left="0" w:firstLine="0"/>
        <w:jc w:val="both"/>
      </w:pPr>
      <w:r>
        <w:t>Verificación y a</w:t>
      </w:r>
      <w:r w:rsidR="00E93661">
        <w:t xml:space="preserve">juste al máximo precio de oferta, MPO. </w:t>
      </w:r>
      <w:r w:rsidR="00E93661" w:rsidRPr="00DA3A3C">
        <w:rPr>
          <w:b w:val="0"/>
          <w:bCs/>
        </w:rPr>
        <w:t>Una vez establecido</w:t>
      </w:r>
      <w:r w:rsidR="00030472">
        <w:rPr>
          <w:b w:val="0"/>
          <w:bCs/>
        </w:rPr>
        <w:t>s</w:t>
      </w:r>
      <w:r w:rsidR="00E93661" w:rsidRPr="00DA3A3C">
        <w:rPr>
          <w:b w:val="0"/>
          <w:bCs/>
        </w:rPr>
        <w:t xml:space="preserve"> </w:t>
      </w:r>
      <w:r w:rsidR="00E93661">
        <w:rPr>
          <w:b w:val="0"/>
          <w:bCs/>
        </w:rPr>
        <w:t>los</w:t>
      </w:r>
      <w:r w:rsidR="00E93661" w:rsidRPr="00DA3A3C">
        <w:rPr>
          <w:b w:val="0"/>
          <w:bCs/>
        </w:rPr>
        <w:t xml:space="preserve"> precio</w:t>
      </w:r>
      <w:r w:rsidR="00E93661">
        <w:rPr>
          <w:b w:val="0"/>
          <w:bCs/>
        </w:rPr>
        <w:t>s</w:t>
      </w:r>
      <w:r w:rsidR="00E93661" w:rsidRPr="00DA3A3C">
        <w:rPr>
          <w:b w:val="0"/>
          <w:bCs/>
        </w:rPr>
        <w:t xml:space="preserve"> de bolsa horario </w:t>
      </w:r>
      <w:r w:rsidR="00E93661">
        <w:rPr>
          <w:b w:val="0"/>
          <w:bCs/>
        </w:rPr>
        <w:t xml:space="preserve">para atender demanda </w:t>
      </w:r>
      <w:r w:rsidR="00E93661" w:rsidRPr="00DA3A3C">
        <w:rPr>
          <w:b w:val="0"/>
          <w:bCs/>
        </w:rPr>
        <w:t>nacional en los términos de la Resolución CREG 024 de 1995</w:t>
      </w:r>
      <w:r w:rsidR="00030472">
        <w:rPr>
          <w:b w:val="0"/>
          <w:bCs/>
        </w:rPr>
        <w:t>,</w:t>
      </w:r>
      <w:r w:rsidR="00E93661" w:rsidRPr="00DA3A3C">
        <w:rPr>
          <w:b w:val="0"/>
          <w:bCs/>
        </w:rPr>
        <w:t xml:space="preserve"> </w:t>
      </w:r>
      <w:r w:rsidR="00710827">
        <w:rPr>
          <w:b w:val="0"/>
          <w:bCs/>
        </w:rPr>
        <w:t xml:space="preserve">de acuerdo las reglas de liquidación definidas en </w:t>
      </w:r>
      <w:r w:rsidR="00E93661" w:rsidRPr="00DA3A3C">
        <w:rPr>
          <w:b w:val="0"/>
          <w:bCs/>
        </w:rPr>
        <w:t>el artículo 21 de la Resolución CREG 157 de 2011</w:t>
      </w:r>
      <w:r w:rsidR="00030472">
        <w:rPr>
          <w:b w:val="0"/>
          <w:bCs/>
        </w:rPr>
        <w:t>,</w:t>
      </w:r>
      <w:r w:rsidR="00E93661" w:rsidRPr="00DA3A3C">
        <w:rPr>
          <w:b w:val="0"/>
          <w:bCs/>
        </w:rPr>
        <w:t xml:space="preserve"> </w:t>
      </w:r>
      <w:r w:rsidR="00030472">
        <w:rPr>
          <w:b w:val="0"/>
          <w:bCs/>
        </w:rPr>
        <w:t>e</w:t>
      </w:r>
      <w:r w:rsidR="00E93661" w:rsidRPr="00DA3A3C">
        <w:rPr>
          <w:b w:val="0"/>
          <w:bCs/>
        </w:rPr>
        <w:t xml:space="preserve">l ASIC </w:t>
      </w:r>
      <w:r w:rsidR="00E93661">
        <w:rPr>
          <w:b w:val="0"/>
          <w:bCs/>
        </w:rPr>
        <w:t xml:space="preserve">verificará </w:t>
      </w:r>
      <w:r w:rsidR="00E93887">
        <w:rPr>
          <w:b w:val="0"/>
          <w:bCs/>
        </w:rPr>
        <w:t>si</w:t>
      </w:r>
      <w:r w:rsidR="00E93661">
        <w:rPr>
          <w:b w:val="0"/>
          <w:bCs/>
        </w:rPr>
        <w:t xml:space="preserve"> todos los precios de bolsa horario de los 24 periodos horarios del despacho ideal del día </w:t>
      </w:r>
      <w:r w:rsidR="00E93661" w:rsidRPr="0037104E">
        <w:rPr>
          <w:b w:val="0"/>
          <w:bCs/>
          <w:i/>
          <w:iCs/>
        </w:rPr>
        <w:t>d</w:t>
      </w:r>
      <w:r w:rsidR="00E93661">
        <w:rPr>
          <w:b w:val="0"/>
          <w:bCs/>
        </w:rPr>
        <w:t xml:space="preserve"> en el mes </w:t>
      </w:r>
      <w:r w:rsidR="00E93661" w:rsidRPr="0037104E">
        <w:rPr>
          <w:b w:val="0"/>
          <w:bCs/>
          <w:i/>
          <w:iCs/>
        </w:rPr>
        <w:t>m</w:t>
      </w:r>
      <w:r w:rsidR="00E93661">
        <w:rPr>
          <w:b w:val="0"/>
          <w:bCs/>
        </w:rPr>
        <w:t>, s</w:t>
      </w:r>
      <w:r w:rsidR="00340055">
        <w:rPr>
          <w:b w:val="0"/>
          <w:bCs/>
        </w:rPr>
        <w:t>o</w:t>
      </w:r>
      <w:r w:rsidR="00E93661">
        <w:rPr>
          <w:b w:val="0"/>
          <w:bCs/>
        </w:rPr>
        <w:t xml:space="preserve">n menores al precio marginal de escasez de activación del mes </w:t>
      </w:r>
      <w:r w:rsidR="00E93661" w:rsidRPr="0037104E">
        <w:rPr>
          <w:b w:val="0"/>
          <w:bCs/>
          <w:i/>
          <w:iCs/>
        </w:rPr>
        <w:t>m</w:t>
      </w:r>
      <w:r w:rsidR="00E93661">
        <w:rPr>
          <w:b w:val="0"/>
          <w:bCs/>
        </w:rPr>
        <w:t xml:space="preserve">; de ser así, </w:t>
      </w:r>
      <w:r w:rsidR="00E93661" w:rsidRPr="00DA3A3C">
        <w:rPr>
          <w:b w:val="0"/>
          <w:bCs/>
        </w:rPr>
        <w:t>realizará el siguiente ajuste:</w:t>
      </w:r>
    </w:p>
    <w:p w14:paraId="0A04000A" w14:textId="77777777" w:rsidR="00E93661" w:rsidRPr="00537826" w:rsidRDefault="00E93661" w:rsidP="00E93661">
      <w:pPr>
        <w:pStyle w:val="Prrafodelista"/>
        <w:ind w:left="284"/>
        <w:jc w:val="both"/>
      </w:pPr>
    </w:p>
    <w:p w14:paraId="56823881" w14:textId="2AFB7811" w:rsidR="00E93661" w:rsidRPr="00B67FAA" w:rsidRDefault="00E93661" w:rsidP="00E93661">
      <w:pPr>
        <w:pStyle w:val="Prrafodelista"/>
        <w:numPr>
          <w:ilvl w:val="1"/>
          <w:numId w:val="24"/>
        </w:numPr>
        <w:ind w:left="426" w:hanging="426"/>
        <w:jc w:val="both"/>
      </w:pPr>
      <w:r>
        <w:rPr>
          <w:b w:val="0"/>
          <w:bCs/>
        </w:rPr>
        <w:t xml:space="preserve">Para cada máximo precio de oferta </w:t>
      </w:r>
      <w:r w:rsidR="00030472">
        <w:rPr>
          <w:b w:val="0"/>
          <w:bCs/>
        </w:rPr>
        <w:t>(</w:t>
      </w:r>
      <w:r>
        <w:rPr>
          <w:b w:val="0"/>
          <w:bCs/>
        </w:rPr>
        <w:t>MPO</w:t>
      </w:r>
      <w:r w:rsidR="00030472">
        <w:rPr>
          <w:b w:val="0"/>
          <w:bCs/>
        </w:rPr>
        <w:t>)</w:t>
      </w:r>
      <w:r w:rsidR="00CC29F8">
        <w:rPr>
          <w:b w:val="0"/>
          <w:bCs/>
        </w:rPr>
        <w:t xml:space="preserve"> en</w:t>
      </w:r>
      <w:r>
        <w:rPr>
          <w:b w:val="0"/>
          <w:bCs/>
        </w:rPr>
        <w:t xml:space="preserve"> horario del despacho ideal, identificará si el MPO corresponde al precio de oferta de una planta hidráulica, de </w:t>
      </w:r>
      <w:r w:rsidR="00C838B2">
        <w:rPr>
          <w:b w:val="0"/>
          <w:bCs/>
        </w:rPr>
        <w:t>se</w:t>
      </w:r>
      <w:r w:rsidR="00763B0B">
        <w:rPr>
          <w:b w:val="0"/>
          <w:bCs/>
        </w:rPr>
        <w:t>r</w:t>
      </w:r>
      <w:r w:rsidR="00C838B2">
        <w:rPr>
          <w:b w:val="0"/>
          <w:bCs/>
        </w:rPr>
        <w:t xml:space="preserve"> así</w:t>
      </w:r>
      <w:r>
        <w:rPr>
          <w:b w:val="0"/>
          <w:bCs/>
        </w:rPr>
        <w:t>,</w:t>
      </w:r>
    </w:p>
    <w:p w14:paraId="2DEBDAEF" w14:textId="77777777" w:rsidR="00B67FAA" w:rsidRPr="00C16BDB" w:rsidRDefault="00B67FAA" w:rsidP="00B67FAA">
      <w:pPr>
        <w:ind w:left="0"/>
        <w:jc w:val="both"/>
      </w:pPr>
    </w:p>
    <w:p w14:paraId="5CBE8188" w14:textId="51657EDD" w:rsidR="00E93661" w:rsidRPr="00B67FAA" w:rsidRDefault="00D01FC6" w:rsidP="00E93661">
      <w:pPr>
        <w:pStyle w:val="Prrafodelista"/>
        <w:numPr>
          <w:ilvl w:val="1"/>
          <w:numId w:val="24"/>
        </w:numPr>
        <w:ind w:left="426" w:hanging="426"/>
        <w:jc w:val="both"/>
      </w:pPr>
      <w:r>
        <w:rPr>
          <w:b w:val="0"/>
          <w:bCs/>
        </w:rPr>
        <w:t>E</w:t>
      </w:r>
      <w:r w:rsidR="00E93661">
        <w:rPr>
          <w:b w:val="0"/>
          <w:bCs/>
        </w:rPr>
        <w:t xml:space="preserve">l valor MPO horario se ajustará </w:t>
      </w:r>
      <w:r w:rsidR="00045F35">
        <w:rPr>
          <w:b w:val="0"/>
          <w:bCs/>
        </w:rPr>
        <w:t xml:space="preserve">con el precio ofertado por la </w:t>
      </w:r>
      <w:r w:rsidR="003F3DBF">
        <w:rPr>
          <w:b w:val="0"/>
          <w:bCs/>
        </w:rPr>
        <w:t xml:space="preserve">última </w:t>
      </w:r>
      <w:r w:rsidR="00E93661">
        <w:rPr>
          <w:b w:val="0"/>
          <w:bCs/>
        </w:rPr>
        <w:t xml:space="preserve">planta térmica </w:t>
      </w:r>
      <w:r w:rsidR="00F65C29">
        <w:rPr>
          <w:b w:val="0"/>
          <w:bCs/>
        </w:rPr>
        <w:t xml:space="preserve">que no sea inflexible, </w:t>
      </w:r>
      <w:r w:rsidR="00E93661">
        <w:rPr>
          <w:b w:val="0"/>
          <w:bCs/>
        </w:rPr>
        <w:t xml:space="preserve">despachada en el despacho ideal de la hora </w:t>
      </w:r>
      <w:r w:rsidR="00E93661" w:rsidRPr="008707A8">
        <w:rPr>
          <w:b w:val="0"/>
          <w:bCs/>
          <w:i/>
          <w:iCs/>
        </w:rPr>
        <w:t>h</w:t>
      </w:r>
      <w:r w:rsidR="00E93661">
        <w:rPr>
          <w:b w:val="0"/>
          <w:bCs/>
        </w:rPr>
        <w:t xml:space="preserve"> del día </w:t>
      </w:r>
      <w:r w:rsidR="00E93661" w:rsidRPr="008707A8">
        <w:rPr>
          <w:b w:val="0"/>
          <w:bCs/>
          <w:i/>
          <w:iCs/>
        </w:rPr>
        <w:t>d</w:t>
      </w:r>
      <w:r w:rsidR="00E93661">
        <w:rPr>
          <w:b w:val="0"/>
          <w:bCs/>
        </w:rPr>
        <w:t xml:space="preserve"> en el mes </w:t>
      </w:r>
      <w:r w:rsidR="00E93661" w:rsidRPr="008707A8">
        <w:rPr>
          <w:b w:val="0"/>
          <w:bCs/>
          <w:i/>
          <w:iCs/>
        </w:rPr>
        <w:t>m</w:t>
      </w:r>
      <w:r w:rsidR="00E93661">
        <w:rPr>
          <w:b w:val="0"/>
          <w:bCs/>
        </w:rPr>
        <w:t>.</w:t>
      </w:r>
      <w:r w:rsidR="00882D21">
        <w:rPr>
          <w:b w:val="0"/>
          <w:bCs/>
        </w:rPr>
        <w:t xml:space="preserve"> Se excluyen </w:t>
      </w:r>
      <w:r w:rsidR="00CF775E">
        <w:rPr>
          <w:b w:val="0"/>
          <w:bCs/>
        </w:rPr>
        <w:t xml:space="preserve">las térmicas </w:t>
      </w:r>
      <w:r w:rsidR="003F55D1">
        <w:rPr>
          <w:b w:val="0"/>
          <w:bCs/>
        </w:rPr>
        <w:t xml:space="preserve">que no se encuentran </w:t>
      </w:r>
      <w:r w:rsidR="00D37A38">
        <w:rPr>
          <w:b w:val="0"/>
          <w:bCs/>
        </w:rPr>
        <w:t>conectadas al S</w:t>
      </w:r>
      <w:r w:rsidR="00890D37">
        <w:rPr>
          <w:b w:val="0"/>
          <w:bCs/>
        </w:rPr>
        <w:t xml:space="preserve">istema Nacional de Transporte </w:t>
      </w:r>
      <w:r w:rsidR="00CC29F8">
        <w:rPr>
          <w:b w:val="0"/>
          <w:bCs/>
        </w:rPr>
        <w:t>(</w:t>
      </w:r>
      <w:r w:rsidR="00890D37">
        <w:rPr>
          <w:b w:val="0"/>
          <w:bCs/>
        </w:rPr>
        <w:t>SNT</w:t>
      </w:r>
      <w:r w:rsidR="00CC29F8">
        <w:rPr>
          <w:b w:val="0"/>
          <w:bCs/>
        </w:rPr>
        <w:t>)</w:t>
      </w:r>
      <w:r w:rsidR="00890D37">
        <w:rPr>
          <w:b w:val="0"/>
          <w:bCs/>
        </w:rPr>
        <w:t xml:space="preserve"> </w:t>
      </w:r>
      <w:r w:rsidR="00D37A38">
        <w:rPr>
          <w:b w:val="0"/>
          <w:bCs/>
        </w:rPr>
        <w:t>de gas.</w:t>
      </w:r>
    </w:p>
    <w:p w14:paraId="6BC6FC1B" w14:textId="77777777" w:rsidR="00B67FAA" w:rsidRPr="00C16BDB" w:rsidRDefault="00B67FAA" w:rsidP="00B67FAA">
      <w:pPr>
        <w:ind w:left="0"/>
        <w:jc w:val="both"/>
      </w:pPr>
    </w:p>
    <w:p w14:paraId="137C21FD" w14:textId="77777777" w:rsidR="00E93661" w:rsidRPr="00E93661" w:rsidRDefault="00E93661" w:rsidP="00E93661">
      <w:pPr>
        <w:pStyle w:val="Prrafodelista"/>
        <w:numPr>
          <w:ilvl w:val="1"/>
          <w:numId w:val="24"/>
        </w:numPr>
        <w:ind w:left="426" w:hanging="426"/>
        <w:jc w:val="both"/>
      </w:pPr>
      <w:r>
        <w:rPr>
          <w:b w:val="0"/>
          <w:bCs/>
        </w:rPr>
        <w:t xml:space="preserve">Si en el caso anterior, no se encuentra una planta térmica despachada en el despacho ideal de la hora </w:t>
      </w:r>
      <w:r w:rsidRPr="008707A8">
        <w:rPr>
          <w:b w:val="0"/>
          <w:bCs/>
          <w:i/>
          <w:iCs/>
        </w:rPr>
        <w:t>h</w:t>
      </w:r>
      <w:r>
        <w:rPr>
          <w:b w:val="0"/>
          <w:bCs/>
        </w:rPr>
        <w:t xml:space="preserve"> del día </w:t>
      </w:r>
      <w:r w:rsidRPr="008707A8">
        <w:rPr>
          <w:b w:val="0"/>
          <w:bCs/>
          <w:i/>
          <w:iCs/>
        </w:rPr>
        <w:t>d</w:t>
      </w:r>
      <w:r>
        <w:rPr>
          <w:b w:val="0"/>
          <w:bCs/>
        </w:rPr>
        <w:t xml:space="preserve"> en el mes </w:t>
      </w:r>
      <w:r w:rsidRPr="008707A8">
        <w:rPr>
          <w:b w:val="0"/>
          <w:bCs/>
          <w:i/>
          <w:iCs/>
        </w:rPr>
        <w:t>m</w:t>
      </w:r>
      <w:r>
        <w:rPr>
          <w:b w:val="0"/>
          <w:bCs/>
        </w:rPr>
        <w:t>, no se procederá con el ajuste del MPO horario.</w:t>
      </w:r>
    </w:p>
    <w:p w14:paraId="569FC909" w14:textId="77777777" w:rsidR="00E93661" w:rsidRPr="001F5C1C" w:rsidRDefault="00E93661" w:rsidP="00E93661">
      <w:pPr>
        <w:ind w:left="0"/>
        <w:jc w:val="both"/>
      </w:pPr>
    </w:p>
    <w:p w14:paraId="3844DCD7" w14:textId="2A1077D8" w:rsidR="00E93661" w:rsidRPr="00D8738C" w:rsidRDefault="00E93661" w:rsidP="00E93661">
      <w:pPr>
        <w:pStyle w:val="Prrafodelista"/>
        <w:numPr>
          <w:ilvl w:val="0"/>
          <w:numId w:val="23"/>
        </w:numPr>
        <w:ind w:left="0" w:firstLine="0"/>
        <w:jc w:val="both"/>
        <w:rPr>
          <w:i/>
          <w:sz w:val="22"/>
          <w:szCs w:val="22"/>
        </w:rPr>
      </w:pPr>
      <w:r>
        <w:t>Precio de bolsa horario en las transacciones del mercado de energía mayorista, MEM</w:t>
      </w:r>
      <w:r w:rsidRPr="002A782A">
        <w:t>.</w:t>
      </w:r>
      <w:r w:rsidRPr="3A61E959">
        <w:rPr>
          <w:b w:val="0"/>
          <w:sz w:val="22"/>
          <w:szCs w:val="22"/>
        </w:rPr>
        <w:t xml:space="preserve"> </w:t>
      </w:r>
      <w:r>
        <w:rPr>
          <w:b w:val="0"/>
        </w:rPr>
        <w:t xml:space="preserve">Cada vez que se realice el ajuste del artículo anterior, este corresponderá al MPO horario que se utilizará en el cálculo del precio de bolsa horario del día </w:t>
      </w:r>
      <w:r w:rsidRPr="3A61E959">
        <w:rPr>
          <w:b w:val="0"/>
          <w:i/>
        </w:rPr>
        <w:t>d</w:t>
      </w:r>
      <w:r>
        <w:rPr>
          <w:b w:val="0"/>
        </w:rPr>
        <w:t xml:space="preserve"> en el mes </w:t>
      </w:r>
      <w:r w:rsidRPr="3A61E959">
        <w:rPr>
          <w:b w:val="0"/>
          <w:i/>
        </w:rPr>
        <w:t>m</w:t>
      </w:r>
      <w:r>
        <w:rPr>
          <w:b w:val="0"/>
        </w:rPr>
        <w:t xml:space="preserve"> para las transacciones </w:t>
      </w:r>
      <w:r w:rsidR="00610CA3">
        <w:rPr>
          <w:b w:val="0"/>
        </w:rPr>
        <w:t>del Mercado</w:t>
      </w:r>
      <w:r w:rsidR="4747A859">
        <w:rPr>
          <w:b w:val="0"/>
        </w:rPr>
        <w:t xml:space="preserve"> </w:t>
      </w:r>
      <w:r w:rsidR="00610CA3">
        <w:rPr>
          <w:b w:val="0"/>
        </w:rPr>
        <w:t>d</w:t>
      </w:r>
      <w:r w:rsidR="4747A859">
        <w:rPr>
          <w:b w:val="0"/>
        </w:rPr>
        <w:t>e Energía Mayorista</w:t>
      </w:r>
      <w:r w:rsidR="00CC29F8">
        <w:rPr>
          <w:b w:val="0"/>
        </w:rPr>
        <w:t xml:space="preserve"> (</w:t>
      </w:r>
      <w:r>
        <w:rPr>
          <w:b w:val="0"/>
        </w:rPr>
        <w:t>MEM</w:t>
      </w:r>
      <w:r w:rsidR="00CC29F8">
        <w:rPr>
          <w:b w:val="0"/>
        </w:rPr>
        <w:t>)</w:t>
      </w:r>
      <w:r>
        <w:rPr>
          <w:b w:val="0"/>
        </w:rPr>
        <w:t>.</w:t>
      </w:r>
    </w:p>
    <w:p w14:paraId="0B3E1AB1" w14:textId="77777777" w:rsidR="00D8738C" w:rsidRPr="00D8738C" w:rsidRDefault="00D8738C" w:rsidP="00D8738C">
      <w:pPr>
        <w:ind w:left="0"/>
        <w:jc w:val="both"/>
        <w:rPr>
          <w:i/>
          <w:sz w:val="22"/>
        </w:rPr>
      </w:pPr>
    </w:p>
    <w:p w14:paraId="0190BACA" w14:textId="13CF82CF" w:rsidR="008B23B0" w:rsidRDefault="00D27C0F" w:rsidP="006D2686">
      <w:pPr>
        <w:pStyle w:val="Prrafodelista"/>
        <w:numPr>
          <w:ilvl w:val="0"/>
          <w:numId w:val="23"/>
        </w:numPr>
        <w:ind w:left="0" w:firstLine="0"/>
        <w:jc w:val="both"/>
        <w:rPr>
          <w:i/>
          <w:szCs w:val="22"/>
        </w:rPr>
      </w:pPr>
      <w:r>
        <w:rPr>
          <w:iCs/>
          <w:szCs w:val="22"/>
        </w:rPr>
        <w:t>Puesta en marcha</w:t>
      </w:r>
      <w:r w:rsidR="00794E79" w:rsidRPr="008C4D3F">
        <w:rPr>
          <w:iCs/>
          <w:szCs w:val="22"/>
        </w:rPr>
        <w:t>.</w:t>
      </w:r>
      <w:r w:rsidR="00794E79" w:rsidRPr="008C4D3F">
        <w:rPr>
          <w:b w:val="0"/>
          <w:bCs/>
          <w:iCs/>
          <w:szCs w:val="22"/>
        </w:rPr>
        <w:t xml:space="preserve"> </w:t>
      </w:r>
      <w:r w:rsidR="00353542">
        <w:rPr>
          <w:b w:val="0"/>
          <w:bCs/>
          <w:iCs/>
          <w:szCs w:val="22"/>
        </w:rPr>
        <w:t xml:space="preserve">Con respecto a la puesta en marcha de </w:t>
      </w:r>
      <w:r w:rsidR="00FE16A1">
        <w:rPr>
          <w:b w:val="0"/>
          <w:bCs/>
          <w:iCs/>
          <w:szCs w:val="22"/>
        </w:rPr>
        <w:t>las nuevas reglas</w:t>
      </w:r>
      <w:r w:rsidR="00353542">
        <w:rPr>
          <w:b w:val="0"/>
          <w:bCs/>
          <w:iCs/>
          <w:szCs w:val="22"/>
        </w:rPr>
        <w:t xml:space="preserve"> de li</w:t>
      </w:r>
      <w:r w:rsidR="008B23B0">
        <w:rPr>
          <w:b w:val="0"/>
          <w:bCs/>
          <w:iCs/>
          <w:szCs w:val="22"/>
        </w:rPr>
        <w:t>quidación de los precios de bolsa, se tendrá lo siguiente:</w:t>
      </w:r>
    </w:p>
    <w:p w14:paraId="2EA21AE6" w14:textId="77777777" w:rsidR="00FE16A1" w:rsidRPr="00FE16A1" w:rsidRDefault="00FE16A1" w:rsidP="00FE16A1">
      <w:pPr>
        <w:pStyle w:val="Prrafodelista"/>
        <w:rPr>
          <w:i/>
          <w:szCs w:val="22"/>
        </w:rPr>
      </w:pPr>
    </w:p>
    <w:p w14:paraId="69DF17D4" w14:textId="1DC6DD8E" w:rsidR="00FE16A1" w:rsidRDefault="00FE16A1" w:rsidP="00FE16A1">
      <w:pPr>
        <w:pStyle w:val="Prrafodelista"/>
        <w:numPr>
          <w:ilvl w:val="1"/>
          <w:numId w:val="23"/>
        </w:numPr>
        <w:ind w:left="426" w:hanging="426"/>
        <w:jc w:val="both"/>
        <w:rPr>
          <w:b w:val="0"/>
          <w:bCs/>
          <w:iCs/>
          <w:szCs w:val="22"/>
        </w:rPr>
      </w:pPr>
      <w:r w:rsidRPr="004A4866">
        <w:rPr>
          <w:iCs/>
          <w:szCs w:val="22"/>
        </w:rPr>
        <w:lastRenderedPageBreak/>
        <w:t>Implementación</w:t>
      </w:r>
      <w:r>
        <w:rPr>
          <w:b w:val="0"/>
          <w:bCs/>
          <w:iCs/>
          <w:szCs w:val="22"/>
        </w:rPr>
        <w:t xml:space="preserve">. </w:t>
      </w:r>
      <w:r w:rsidR="00536D44">
        <w:rPr>
          <w:b w:val="0"/>
          <w:bCs/>
          <w:iCs/>
          <w:szCs w:val="22"/>
        </w:rPr>
        <w:t>El Administrador del Sistema de Intercambios Comerciales (ASIC) tendrá un plazo de quince (15) días calendario para implementar las reglas definidas en la presente resolución.</w:t>
      </w:r>
    </w:p>
    <w:p w14:paraId="1688EFD6" w14:textId="77777777" w:rsidR="00EA520D" w:rsidRDefault="00EA520D" w:rsidP="00EA520D">
      <w:pPr>
        <w:pStyle w:val="Prrafodelista"/>
        <w:ind w:left="426"/>
        <w:jc w:val="both"/>
        <w:rPr>
          <w:b w:val="0"/>
          <w:bCs/>
          <w:iCs/>
          <w:szCs w:val="22"/>
        </w:rPr>
      </w:pPr>
    </w:p>
    <w:p w14:paraId="1B8D9698" w14:textId="385CA598" w:rsidR="004A4866" w:rsidRDefault="004A4866" w:rsidP="00FE16A1">
      <w:pPr>
        <w:pStyle w:val="Prrafodelista"/>
        <w:numPr>
          <w:ilvl w:val="1"/>
          <w:numId w:val="23"/>
        </w:numPr>
        <w:ind w:left="426" w:hanging="426"/>
        <w:jc w:val="both"/>
        <w:rPr>
          <w:b w:val="0"/>
          <w:bCs/>
          <w:iCs/>
          <w:szCs w:val="22"/>
        </w:rPr>
      </w:pPr>
      <w:r>
        <w:rPr>
          <w:iCs/>
          <w:szCs w:val="22"/>
        </w:rPr>
        <w:t>Marcha blanca</w:t>
      </w:r>
      <w:r w:rsidR="00033F8C">
        <w:rPr>
          <w:b w:val="0"/>
          <w:bCs/>
          <w:iCs/>
          <w:szCs w:val="22"/>
        </w:rPr>
        <w:t>. Durante un periodo de quince (15) días calendario</w:t>
      </w:r>
      <w:r w:rsidR="00FD71DE">
        <w:rPr>
          <w:b w:val="0"/>
          <w:bCs/>
          <w:iCs/>
          <w:szCs w:val="22"/>
        </w:rPr>
        <w:t xml:space="preserve">, el ASIC adelantará la liquidación del precio de bolsa con </w:t>
      </w:r>
      <w:r w:rsidR="000D3A24">
        <w:rPr>
          <w:b w:val="0"/>
          <w:bCs/>
          <w:iCs/>
          <w:szCs w:val="22"/>
        </w:rPr>
        <w:t>las reglas implementadas</w:t>
      </w:r>
      <w:r w:rsidR="00FD71DE">
        <w:rPr>
          <w:b w:val="0"/>
          <w:bCs/>
          <w:iCs/>
          <w:szCs w:val="22"/>
        </w:rPr>
        <w:t xml:space="preserve"> e</w:t>
      </w:r>
      <w:r w:rsidR="000D3A24">
        <w:rPr>
          <w:b w:val="0"/>
          <w:bCs/>
          <w:iCs/>
          <w:szCs w:val="22"/>
        </w:rPr>
        <w:t>n el literal a. Los resultados no tendrán implicaciones comerciales.</w:t>
      </w:r>
    </w:p>
    <w:p w14:paraId="4737EED1" w14:textId="77777777" w:rsidR="009723B5" w:rsidRDefault="009723B5" w:rsidP="009723B5">
      <w:pPr>
        <w:ind w:left="0"/>
        <w:jc w:val="both"/>
        <w:rPr>
          <w:bCs/>
          <w:iCs/>
          <w:szCs w:val="22"/>
        </w:rPr>
      </w:pPr>
    </w:p>
    <w:p w14:paraId="329D97D2" w14:textId="3CB56492" w:rsidR="009723B5" w:rsidRPr="009723B5" w:rsidRDefault="009723B5" w:rsidP="009723B5">
      <w:pPr>
        <w:ind w:left="0"/>
        <w:jc w:val="both"/>
        <w:rPr>
          <w:rFonts w:ascii="Bookman Old Style" w:hAnsi="Bookman Old Style"/>
          <w:bCs/>
          <w:iCs/>
          <w:szCs w:val="22"/>
        </w:rPr>
      </w:pPr>
      <w:r w:rsidRPr="009723B5">
        <w:rPr>
          <w:rFonts w:ascii="Bookman Old Style" w:hAnsi="Bookman Old Style"/>
          <w:bCs/>
          <w:iCs/>
          <w:szCs w:val="22"/>
        </w:rPr>
        <w:t>Una vez fina</w:t>
      </w:r>
      <w:r>
        <w:rPr>
          <w:rFonts w:ascii="Bookman Old Style" w:hAnsi="Bookman Old Style"/>
          <w:bCs/>
          <w:iCs/>
          <w:szCs w:val="22"/>
        </w:rPr>
        <w:t xml:space="preserve">lizados los plazos de </w:t>
      </w:r>
      <w:r w:rsidR="001F0DF8">
        <w:rPr>
          <w:rFonts w:ascii="Bookman Old Style" w:hAnsi="Bookman Old Style"/>
          <w:bCs/>
          <w:iCs/>
          <w:szCs w:val="22"/>
        </w:rPr>
        <w:t>implementación y marcha blanca, el ASIC inicia la aplicación de la</w:t>
      </w:r>
      <w:r w:rsidR="00945795">
        <w:rPr>
          <w:rFonts w:ascii="Bookman Old Style" w:hAnsi="Bookman Old Style"/>
          <w:bCs/>
          <w:iCs/>
          <w:szCs w:val="22"/>
        </w:rPr>
        <w:t>s</w:t>
      </w:r>
      <w:r w:rsidR="001F0DF8">
        <w:rPr>
          <w:rFonts w:ascii="Bookman Old Style" w:hAnsi="Bookman Old Style"/>
          <w:bCs/>
          <w:iCs/>
          <w:szCs w:val="22"/>
        </w:rPr>
        <w:t xml:space="preserve"> reglas definidas en la presente resolución con implicaciones comerciales.</w:t>
      </w:r>
    </w:p>
    <w:p w14:paraId="285A8B33" w14:textId="77777777" w:rsidR="008B23B0" w:rsidRPr="008B23B0" w:rsidRDefault="008B23B0" w:rsidP="008B23B0">
      <w:pPr>
        <w:pStyle w:val="Prrafodelista"/>
        <w:rPr>
          <w:b w:val="0"/>
          <w:bCs/>
          <w:iCs/>
          <w:szCs w:val="22"/>
        </w:rPr>
      </w:pPr>
    </w:p>
    <w:p w14:paraId="2530967A" w14:textId="05779B11" w:rsidR="006C4CC7" w:rsidRPr="0089433E" w:rsidRDefault="00D2162E" w:rsidP="006D2686">
      <w:pPr>
        <w:pStyle w:val="Prrafodelista"/>
        <w:numPr>
          <w:ilvl w:val="0"/>
          <w:numId w:val="23"/>
        </w:numPr>
        <w:ind w:left="0" w:firstLine="0"/>
        <w:jc w:val="both"/>
        <w:rPr>
          <w:b w:val="0"/>
          <w:i/>
          <w:sz w:val="22"/>
        </w:rPr>
      </w:pPr>
      <w:r w:rsidRPr="00400814">
        <w:t>Vigencia</w:t>
      </w:r>
      <w:r w:rsidR="00D41702" w:rsidRPr="00400814">
        <w:t xml:space="preserve">. </w:t>
      </w:r>
      <w:r w:rsidR="006C4CC7" w:rsidRPr="0089433E">
        <w:rPr>
          <w:b w:val="0"/>
          <w:iCs/>
        </w:rPr>
        <w:t>Esta resolución rige a partir de su publicación en el diario oficial.</w:t>
      </w:r>
    </w:p>
    <w:p w14:paraId="0CA43047" w14:textId="77777777" w:rsidR="008E552E" w:rsidRDefault="008E552E" w:rsidP="008E552E">
      <w:pPr>
        <w:pStyle w:val="Prrafodelista"/>
        <w:rPr>
          <w:szCs w:val="24"/>
        </w:rPr>
      </w:pPr>
    </w:p>
    <w:p w14:paraId="52F681CE" w14:textId="2E14A8DC" w:rsidR="00EA520D" w:rsidRPr="00EA520D" w:rsidRDefault="00EA520D" w:rsidP="00EA520D">
      <w:pPr>
        <w:pStyle w:val="Prrafodelista"/>
        <w:jc w:val="center"/>
        <w:rPr>
          <w:szCs w:val="24"/>
        </w:rPr>
      </w:pPr>
      <w:r w:rsidRPr="00EA520D">
        <w:rPr>
          <w:rFonts w:cs="Arial"/>
          <w:szCs w:val="24"/>
          <w:shd w:val="clear" w:color="auto" w:fill="FFFFFF"/>
        </w:rPr>
        <w:t>PUBLÍQUESE Y CÚMPLASE</w:t>
      </w:r>
    </w:p>
    <w:p w14:paraId="628040C5" w14:textId="77777777" w:rsidR="0089433E" w:rsidRPr="008E552E" w:rsidRDefault="0089433E" w:rsidP="008E552E">
      <w:pPr>
        <w:pStyle w:val="Prrafodelista"/>
        <w:rPr>
          <w:szCs w:val="24"/>
        </w:rPr>
      </w:pPr>
    </w:p>
    <w:p w14:paraId="1FEAC56A" w14:textId="77777777" w:rsidR="008E552E" w:rsidRPr="008E552E" w:rsidRDefault="008E552E" w:rsidP="000D1AD0">
      <w:pPr>
        <w:tabs>
          <w:tab w:val="left" w:pos="1560"/>
        </w:tabs>
        <w:spacing w:before="240" w:after="240"/>
        <w:ind w:left="0"/>
        <w:jc w:val="both"/>
      </w:pPr>
    </w:p>
    <w:sectPr w:rsidR="008E552E" w:rsidRPr="008E552E" w:rsidSect="00CA6A12">
      <w:headerReference w:type="default" r:id="rId17"/>
      <w:headerReference w:type="first" r:id="rId18"/>
      <w:type w:val="continuous"/>
      <w:pgSz w:w="12242" w:h="18722" w:code="123"/>
      <w:pgMar w:top="2341" w:right="1185" w:bottom="17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B20F4" w14:textId="77777777" w:rsidR="00A52C0E" w:rsidRDefault="00A52C0E">
      <w:r>
        <w:separator/>
      </w:r>
    </w:p>
  </w:endnote>
  <w:endnote w:type="continuationSeparator" w:id="0">
    <w:p w14:paraId="319983ED" w14:textId="77777777" w:rsidR="00A52C0E" w:rsidRDefault="00A52C0E">
      <w:r>
        <w:continuationSeparator/>
      </w:r>
    </w:p>
  </w:endnote>
  <w:endnote w:type="continuationNotice" w:id="1">
    <w:p w14:paraId="2AA7C834" w14:textId="77777777" w:rsidR="00A52C0E" w:rsidRDefault="00A52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51A1" w14:textId="77777777" w:rsidR="00A52C0E" w:rsidRDefault="00A52C0E">
      <w:r>
        <w:separator/>
      </w:r>
    </w:p>
  </w:footnote>
  <w:footnote w:type="continuationSeparator" w:id="0">
    <w:p w14:paraId="23C4B961" w14:textId="77777777" w:rsidR="00A52C0E" w:rsidRDefault="00A52C0E">
      <w:r>
        <w:continuationSeparator/>
      </w:r>
    </w:p>
  </w:footnote>
  <w:footnote w:type="continuationNotice" w:id="1">
    <w:p w14:paraId="5D93EAE0" w14:textId="77777777" w:rsidR="00A52C0E" w:rsidRDefault="00A52C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87ED" w14:textId="77777777" w:rsidR="00CC51D4" w:rsidRDefault="00CC51D4" w:rsidP="00951F79">
    <w:pPr>
      <w:pStyle w:val="Ttulo1"/>
      <w:ind w:right="6"/>
      <w:jc w:val="left"/>
      <w:rPr>
        <w:rFonts w:ascii="Bookman Old Style" w:hAnsi="Bookman Old Style" w:cs="Arial"/>
        <w:b w:val="0"/>
        <w:sz w:val="22"/>
        <w:szCs w:val="22"/>
      </w:rPr>
    </w:pPr>
  </w:p>
  <w:p w14:paraId="267D8AF5" w14:textId="53055A64" w:rsidR="0087657D" w:rsidRPr="00951F79" w:rsidRDefault="00EA520D" w:rsidP="009F4BEC">
    <w:pPr>
      <w:pStyle w:val="Ttulo1"/>
      <w:ind w:left="0" w:right="6"/>
      <w:jc w:val="left"/>
      <w:rPr>
        <w:rFonts w:ascii="Bookman Old Style" w:hAnsi="Bookman Old Style" w:cs="Arial"/>
        <w:b w:val="0"/>
        <w:sz w:val="22"/>
        <w:szCs w:val="22"/>
      </w:rPr>
    </w:pPr>
    <w:r>
      <w:rPr>
        <w:rFonts w:ascii="Bookman Old Style" w:hAnsi="Bookman Old Style" w:cs="Arial"/>
        <w:b w:val="0"/>
        <w:sz w:val="22"/>
        <w:szCs w:val="22"/>
      </w:rPr>
      <w:t xml:space="preserve">PROYECTO DE </w:t>
    </w:r>
    <w:r w:rsidR="00725FA4" w:rsidRPr="00654384">
      <w:rPr>
        <w:rFonts w:ascii="Bookman Old Style" w:hAnsi="Bookman Old Style" w:cs="Arial"/>
        <w:b w:val="0"/>
        <w:sz w:val="22"/>
        <w:szCs w:val="22"/>
      </w:rPr>
      <w:t>RESOLUCIÓN No.</w:t>
    </w:r>
    <w:r>
      <w:rPr>
        <w:rFonts w:ascii="Bookman Old Style" w:hAnsi="Bookman Old Style" w:cs="Arial"/>
        <w:b w:val="0"/>
        <w:sz w:val="22"/>
        <w:szCs w:val="22"/>
      </w:rPr>
      <w:t xml:space="preserve"> </w:t>
    </w:r>
    <w:r w:rsidRPr="00EA520D">
      <w:rPr>
        <w:rFonts w:ascii="Bookman Old Style" w:hAnsi="Bookman Old Style" w:cs="Arial"/>
        <w:bCs/>
        <w:sz w:val="22"/>
        <w:szCs w:val="22"/>
        <w:u w:val="single"/>
      </w:rPr>
      <w:t>701 049</w:t>
    </w:r>
    <w:r>
      <w:rPr>
        <w:rFonts w:ascii="Bookman Old Style" w:hAnsi="Bookman Old Style" w:cs="Arial"/>
        <w:b w:val="0"/>
        <w:sz w:val="22"/>
        <w:szCs w:val="22"/>
      </w:rPr>
      <w:t xml:space="preserve"> </w:t>
    </w:r>
    <w:r w:rsidR="00886EE1">
      <w:rPr>
        <w:rFonts w:ascii="Bookman Old Style" w:hAnsi="Bookman Old Style" w:cs="Arial"/>
        <w:b w:val="0"/>
        <w:sz w:val="22"/>
        <w:szCs w:val="22"/>
      </w:rPr>
      <w:t>DE</w:t>
    </w:r>
    <w:r w:rsidR="000D26F8">
      <w:rPr>
        <w:rFonts w:ascii="Bookman Old Style" w:hAnsi="Bookman Old Style" w:cs="Arial"/>
        <w:b w:val="0"/>
        <w:sz w:val="22"/>
        <w:szCs w:val="22"/>
      </w:rPr>
      <w:t xml:space="preserve"> </w:t>
    </w:r>
    <w:r>
      <w:rPr>
        <w:rFonts w:ascii="Bookman Old Style" w:hAnsi="Bookman Old Style" w:cs="Arial"/>
        <w:b w:val="0"/>
        <w:sz w:val="22"/>
        <w:szCs w:val="22"/>
      </w:rPr>
      <w:t xml:space="preserve"> </w:t>
    </w:r>
    <w:r w:rsidRPr="00EA520D">
      <w:rPr>
        <w:rFonts w:ascii="Bookman Old Style" w:hAnsi="Bookman Old Style" w:cs="Arial"/>
        <w:bCs/>
        <w:sz w:val="22"/>
        <w:szCs w:val="22"/>
        <w:u w:val="single"/>
      </w:rPr>
      <w:t>31 MAY.</w:t>
    </w:r>
    <w:r>
      <w:rPr>
        <w:rFonts w:ascii="Bookman Old Style" w:hAnsi="Bookman Old Style" w:cs="Arial"/>
        <w:bCs/>
        <w:sz w:val="22"/>
        <w:szCs w:val="22"/>
        <w:u w:val="single"/>
      </w:rPr>
      <w:t xml:space="preserve"> </w:t>
    </w:r>
    <w:r w:rsidRPr="00EA520D">
      <w:rPr>
        <w:rFonts w:ascii="Bookman Old Style" w:hAnsi="Bookman Old Style" w:cs="Arial"/>
        <w:bCs/>
        <w:sz w:val="22"/>
        <w:szCs w:val="22"/>
        <w:u w:val="single"/>
      </w:rPr>
      <w:t>2024</w:t>
    </w:r>
    <w:r w:rsidR="003D076C">
      <w:rPr>
        <w:rFonts w:ascii="Bookman Old Style" w:hAnsi="Bookman Old Style" w:cs="Arial"/>
        <w:b w:val="0"/>
        <w:sz w:val="22"/>
        <w:szCs w:val="22"/>
      </w:rPr>
      <w:tab/>
    </w:r>
    <w:r w:rsidR="00725FA4" w:rsidRPr="00654384">
      <w:rPr>
        <w:rFonts w:ascii="Bookman Old Style" w:hAnsi="Bookman Old Style" w:cs="Arial"/>
        <w:b w:val="0"/>
        <w:sz w:val="22"/>
        <w:szCs w:val="22"/>
      </w:rPr>
      <w:t>HOJA No.</w:t>
    </w:r>
    <w:r w:rsidR="00593C4F" w:rsidRPr="00654384">
      <w:rPr>
        <w:rFonts w:ascii="Bookman Old Style" w:hAnsi="Bookman Old Style" w:cs="Arial"/>
        <w:b w:val="0"/>
        <w:sz w:val="22"/>
        <w:szCs w:val="22"/>
      </w:rPr>
      <w:t xml:space="preserve"> </w: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begin"/>
    </w:r>
    <w:r w:rsidR="00593C4F" w:rsidRPr="00654384">
      <w:rPr>
        <w:rFonts w:ascii="Bookman Old Style" w:hAnsi="Bookman Old Style" w:cs="Arial"/>
        <w:b w:val="0"/>
        <w:sz w:val="22"/>
        <w:szCs w:val="22"/>
      </w:rPr>
      <w:instrText xml:space="preserve"> PAGE   \* MERGEFORMAT </w:instrTex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separate"/>
    </w:r>
    <w:r w:rsidR="00F77D2D">
      <w:rPr>
        <w:rFonts w:ascii="Bookman Old Style" w:hAnsi="Bookman Old Style" w:cs="Arial"/>
        <w:b w:val="0"/>
        <w:noProof/>
        <w:sz w:val="22"/>
        <w:szCs w:val="22"/>
      </w:rPr>
      <w:t>2</w: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end"/>
    </w:r>
    <w:r w:rsidR="00725FA4" w:rsidRPr="00654384">
      <w:rPr>
        <w:rFonts w:ascii="Bookman Old Style" w:hAnsi="Bookman Old Style" w:cs="Arial"/>
        <w:b w:val="0"/>
        <w:sz w:val="22"/>
        <w:szCs w:val="22"/>
      </w:rPr>
      <w:t>/</w:t>
    </w:r>
    <w:fldSimple w:instr="NUMPAGES  \* MERGEFORMAT">
      <w:r w:rsidR="00F77D2D" w:rsidRPr="00F77D2D">
        <w:rPr>
          <w:rFonts w:ascii="Bookman Old Style" w:hAnsi="Bookman Old Style" w:cs="Arial"/>
          <w:b w:val="0"/>
          <w:noProof/>
          <w:sz w:val="22"/>
          <w:szCs w:val="22"/>
        </w:rPr>
        <w:t>2</w:t>
      </w:r>
    </w:fldSimple>
  </w:p>
  <w:p w14:paraId="39489639" w14:textId="4A2B8A3C" w:rsidR="006F6D95" w:rsidRDefault="00DF16F5" w:rsidP="00AD01E4">
    <w:pPr>
      <w:ind w:left="142" w:right="148"/>
      <w:rPr>
        <w:rFonts w:ascii="Bookman Old Style" w:hAnsi="Bookman Old Style" w:cs="Arial"/>
      </w:rPr>
    </w:pPr>
    <w:r w:rsidRPr="0042068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ACA9D" wp14:editId="11327453">
              <wp:simplePos x="0" y="0"/>
              <wp:positionH relativeFrom="column">
                <wp:posOffset>-175260</wp:posOffset>
              </wp:positionH>
              <wp:positionV relativeFrom="paragraph">
                <wp:posOffset>139065</wp:posOffset>
              </wp:positionV>
              <wp:extent cx="6267450" cy="9900920"/>
              <wp:effectExtent l="15240" t="15240" r="13335" b="184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0" cy="990092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7F277" id="Rectangle 1" o:spid="_x0000_s1026" style="position:absolute;margin-left:-13.8pt;margin-top:10.95pt;width:493.5pt;height:7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" filled="f" strokeweight="1.5pt"/>
          </w:pict>
        </mc:Fallback>
      </mc:AlternateContent>
    </w:r>
  </w:p>
  <w:p w14:paraId="16086E3D" w14:textId="6AA61294" w:rsidR="0044318E" w:rsidRPr="00045D3D" w:rsidRDefault="0044318E" w:rsidP="00AD01E4">
    <w:pPr>
      <w:pBdr>
        <w:bottom w:val="single" w:sz="4" w:space="1" w:color="auto"/>
      </w:pBdr>
      <w:ind w:left="142" w:right="148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DA16" w14:textId="77777777" w:rsidR="00725FA4" w:rsidRDefault="00025383" w:rsidP="00025383">
    <w:pPr>
      <w:pStyle w:val="Encabezado"/>
      <w:jc w:val="both"/>
      <w:rPr>
        <w:rFonts w:ascii="Arial" w:hAnsi="Arial" w:cs="Arial"/>
        <w:spacing w:val="20"/>
        <w:sz w:val="20"/>
      </w:rPr>
    </w:pPr>
    <w:r>
      <w:rPr>
        <w:rFonts w:ascii="Arial" w:hAnsi="Arial" w:cs="Arial"/>
        <w:spacing w:val="20"/>
        <w:sz w:val="20"/>
      </w:rPr>
      <w:t xml:space="preserve">                                   </w:t>
    </w:r>
    <w:r w:rsidR="00725FA4">
      <w:rPr>
        <w:rFonts w:ascii="Arial" w:hAnsi="Arial" w:cs="Arial"/>
        <w:spacing w:val="20"/>
        <w:sz w:val="20"/>
      </w:rPr>
      <w:t>República de Colombia</w:t>
    </w:r>
  </w:p>
  <w:p w14:paraId="273850B7" w14:textId="77777777" w:rsidR="00725FA4" w:rsidRDefault="00725FA4">
    <w:pPr>
      <w:pStyle w:val="Encabezado"/>
      <w:jc w:val="center"/>
      <w:rPr>
        <w:rFonts w:ascii="Arial" w:hAnsi="Arial" w:cs="Arial"/>
        <w:spacing w:val="20"/>
        <w:sz w:val="20"/>
      </w:rPr>
    </w:pPr>
  </w:p>
  <w:p w14:paraId="367D4456" w14:textId="76DA3229" w:rsidR="00725FA4" w:rsidRDefault="00DF16F5" w:rsidP="00CA77FB">
    <w:pPr>
      <w:pStyle w:val="Encabezado"/>
      <w:jc w:val="center"/>
    </w:pPr>
    <w:r w:rsidRPr="0042068C">
      <w:rPr>
        <w:rFonts w:ascii="Arial" w:hAnsi="Arial" w:cs="Arial"/>
        <w:noProof/>
        <w:spacing w:val="20"/>
        <w:sz w:val="20"/>
        <w:lang w:val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DBBCF4" wp14:editId="53AB8A01">
              <wp:simplePos x="0" y="0"/>
              <wp:positionH relativeFrom="column">
                <wp:posOffset>-213360</wp:posOffset>
              </wp:positionH>
              <wp:positionV relativeFrom="paragraph">
                <wp:posOffset>377190</wp:posOffset>
              </wp:positionV>
              <wp:extent cx="6343650" cy="9839325"/>
              <wp:effectExtent l="9525" t="14605" r="9525" b="1397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3650" cy="98393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7CDE06" id="Rectangle 2" o:spid="_x0000_s1026" style="position:absolute;margin-left:-16.8pt;margin-top:29.7pt;width:499.5pt;height:77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2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1F"/>
    <w:multiLevelType w:val="multilevel"/>
    <w:tmpl w:val="0000001F"/>
    <w:name w:val="WW8StyleNum"/>
    <w:lvl w:ilvl="0">
      <w:start w:val="1"/>
      <w:numFmt w:val="lowerLetter"/>
      <w:pStyle w:val="Vietaletra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7C3610"/>
    <w:multiLevelType w:val="hybridMultilevel"/>
    <w:tmpl w:val="3ABA6A88"/>
    <w:lvl w:ilvl="0" w:tplc="56B2540C">
      <w:start w:val="1"/>
      <w:numFmt w:val="lowerRoman"/>
      <w:lvlText w:val="%1."/>
      <w:lvlJc w:val="right"/>
      <w:pPr>
        <w:ind w:left="1068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7325"/>
    <w:multiLevelType w:val="hybridMultilevel"/>
    <w:tmpl w:val="66568F00"/>
    <w:lvl w:ilvl="0" w:tplc="DB8C2DD0">
      <w:start w:val="1"/>
      <w:numFmt w:val="decimal"/>
      <w:lvlText w:val="Artículo %1. "/>
      <w:lvlJc w:val="left"/>
      <w:pPr>
        <w:ind w:left="57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3061BFF"/>
    <w:multiLevelType w:val="hybridMultilevel"/>
    <w:tmpl w:val="78C4842A"/>
    <w:lvl w:ilvl="0" w:tplc="CB589430">
      <w:start w:val="1"/>
      <w:numFmt w:val="decimal"/>
      <w:lvlText w:val="Artículo %1.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E0429"/>
    <w:multiLevelType w:val="hybridMultilevel"/>
    <w:tmpl w:val="F5D2FE3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BE6958"/>
    <w:multiLevelType w:val="hybridMultilevel"/>
    <w:tmpl w:val="5D3E7C22"/>
    <w:lvl w:ilvl="0" w:tplc="D73CA404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55FCB"/>
    <w:multiLevelType w:val="hybridMultilevel"/>
    <w:tmpl w:val="7A1287A8"/>
    <w:lvl w:ilvl="0" w:tplc="2424F912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36714"/>
    <w:multiLevelType w:val="hybridMultilevel"/>
    <w:tmpl w:val="0F70A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F6A33A">
      <w:start w:val="1"/>
      <w:numFmt w:val="lowerLetter"/>
      <w:lvlText w:val="%3)"/>
      <w:lvlJc w:val="left"/>
      <w:pPr>
        <w:ind w:left="2160" w:hanging="360"/>
      </w:pPr>
      <w:rPr>
        <w:rFonts w:ascii="Arial" w:eastAsia="Times New Roman" w:hAnsi="Arial" w:cs="Arial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6003E"/>
    <w:multiLevelType w:val="hybridMultilevel"/>
    <w:tmpl w:val="0ECE479E"/>
    <w:lvl w:ilvl="0" w:tplc="D26AD998">
      <w:start w:val="1"/>
      <w:numFmt w:val="decimal"/>
      <w:lvlText w:val="Artículo %1."/>
      <w:lvlJc w:val="left"/>
      <w:pPr>
        <w:ind w:left="2062" w:hanging="360"/>
      </w:pPr>
      <w:rPr>
        <w:rFonts w:hint="default"/>
        <w:b/>
        <w:bCs w:val="0"/>
        <w:i w:val="0"/>
        <w:iCs/>
        <w:sz w:val="24"/>
        <w:szCs w:val="22"/>
      </w:rPr>
    </w:lvl>
    <w:lvl w:ilvl="1" w:tplc="240A0019">
      <w:start w:val="1"/>
      <w:numFmt w:val="lowerLetter"/>
      <w:lvlText w:val="%2."/>
      <w:lvlJc w:val="left"/>
      <w:pPr>
        <w:ind w:left="3065" w:hanging="360"/>
      </w:pPr>
    </w:lvl>
    <w:lvl w:ilvl="2" w:tplc="240A001B" w:tentative="1">
      <w:start w:val="1"/>
      <w:numFmt w:val="lowerRoman"/>
      <w:lvlText w:val="%3."/>
      <w:lvlJc w:val="right"/>
      <w:pPr>
        <w:ind w:left="3785" w:hanging="180"/>
      </w:pPr>
    </w:lvl>
    <w:lvl w:ilvl="3" w:tplc="240A000F" w:tentative="1">
      <w:start w:val="1"/>
      <w:numFmt w:val="decimal"/>
      <w:lvlText w:val="%4."/>
      <w:lvlJc w:val="left"/>
      <w:pPr>
        <w:ind w:left="4505" w:hanging="360"/>
      </w:pPr>
    </w:lvl>
    <w:lvl w:ilvl="4" w:tplc="240A0019" w:tentative="1">
      <w:start w:val="1"/>
      <w:numFmt w:val="lowerLetter"/>
      <w:lvlText w:val="%5."/>
      <w:lvlJc w:val="left"/>
      <w:pPr>
        <w:ind w:left="5225" w:hanging="360"/>
      </w:pPr>
    </w:lvl>
    <w:lvl w:ilvl="5" w:tplc="240A001B" w:tentative="1">
      <w:start w:val="1"/>
      <w:numFmt w:val="lowerRoman"/>
      <w:lvlText w:val="%6."/>
      <w:lvlJc w:val="right"/>
      <w:pPr>
        <w:ind w:left="5945" w:hanging="180"/>
      </w:pPr>
    </w:lvl>
    <w:lvl w:ilvl="6" w:tplc="240A000F" w:tentative="1">
      <w:start w:val="1"/>
      <w:numFmt w:val="decimal"/>
      <w:lvlText w:val="%7."/>
      <w:lvlJc w:val="left"/>
      <w:pPr>
        <w:ind w:left="6665" w:hanging="360"/>
      </w:pPr>
    </w:lvl>
    <w:lvl w:ilvl="7" w:tplc="240A0019" w:tentative="1">
      <w:start w:val="1"/>
      <w:numFmt w:val="lowerLetter"/>
      <w:lvlText w:val="%8."/>
      <w:lvlJc w:val="left"/>
      <w:pPr>
        <w:ind w:left="7385" w:hanging="360"/>
      </w:pPr>
    </w:lvl>
    <w:lvl w:ilvl="8" w:tplc="2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5100DC7"/>
    <w:multiLevelType w:val="hybridMultilevel"/>
    <w:tmpl w:val="51F81D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D51"/>
    <w:multiLevelType w:val="hybridMultilevel"/>
    <w:tmpl w:val="80327F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142"/>
    <w:multiLevelType w:val="hybridMultilevel"/>
    <w:tmpl w:val="556225CE"/>
    <w:lvl w:ilvl="0" w:tplc="240A001B">
      <w:start w:val="1"/>
      <w:numFmt w:val="lowerRoman"/>
      <w:lvlText w:val="%1."/>
      <w:lvlJc w:val="righ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34171F"/>
    <w:multiLevelType w:val="hybridMultilevel"/>
    <w:tmpl w:val="6FDCECA4"/>
    <w:lvl w:ilvl="0" w:tplc="0F188078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D670D"/>
    <w:multiLevelType w:val="hybridMultilevel"/>
    <w:tmpl w:val="619AD000"/>
    <w:lvl w:ilvl="0" w:tplc="2C8EB58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869B1"/>
    <w:multiLevelType w:val="hybridMultilevel"/>
    <w:tmpl w:val="E32E1B24"/>
    <w:lvl w:ilvl="0" w:tplc="240A001B">
      <w:start w:val="1"/>
      <w:numFmt w:val="lowerRoman"/>
      <w:lvlText w:val="%1."/>
      <w:lvlJc w:val="righ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05278E"/>
    <w:multiLevelType w:val="hybridMultilevel"/>
    <w:tmpl w:val="EFD8B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C7569"/>
    <w:multiLevelType w:val="hybridMultilevel"/>
    <w:tmpl w:val="F7400AF2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9BD2712"/>
    <w:multiLevelType w:val="hybridMultilevel"/>
    <w:tmpl w:val="5E24EA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B0D2F"/>
    <w:multiLevelType w:val="multilevel"/>
    <w:tmpl w:val="F0CC82C2"/>
    <w:lvl w:ilvl="0">
      <w:start w:val="1"/>
      <w:numFmt w:val="decimal"/>
      <w:lvlText w:val="Artículo %1."/>
      <w:lvlJc w:val="right"/>
      <w:pPr>
        <w:tabs>
          <w:tab w:val="num" w:pos="1721"/>
        </w:tabs>
        <w:ind w:left="0" w:firstLine="1361"/>
      </w:pPr>
      <w:rPr>
        <w:rFonts w:ascii="Bookman Old Style" w:hAnsi="Bookman Old Style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5">
      <w:start w:val="1"/>
      <w:numFmt w:val="lowerRoman"/>
      <w:lvlText w:val="%6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7.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0" w15:restartNumberingAfterBreak="0">
    <w:nsid w:val="517D7A25"/>
    <w:multiLevelType w:val="hybridMultilevel"/>
    <w:tmpl w:val="5AF0069A"/>
    <w:lvl w:ilvl="0" w:tplc="22C2C31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92AA1E0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B4D29"/>
    <w:multiLevelType w:val="hybridMultilevel"/>
    <w:tmpl w:val="556225CE"/>
    <w:lvl w:ilvl="0" w:tplc="240A001B">
      <w:start w:val="1"/>
      <w:numFmt w:val="lowerRoman"/>
      <w:lvlText w:val="%1."/>
      <w:lvlJc w:val="righ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701BA2"/>
    <w:multiLevelType w:val="hybridMultilevel"/>
    <w:tmpl w:val="7BAE5532"/>
    <w:lvl w:ilvl="0" w:tplc="FDAEAC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10510"/>
    <w:multiLevelType w:val="hybridMultilevel"/>
    <w:tmpl w:val="0BE8FE34"/>
    <w:lvl w:ilvl="0" w:tplc="BA307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721843"/>
    <w:multiLevelType w:val="hybridMultilevel"/>
    <w:tmpl w:val="F66074FA"/>
    <w:lvl w:ilvl="0" w:tplc="0F188078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D0C41"/>
    <w:multiLevelType w:val="hybridMultilevel"/>
    <w:tmpl w:val="69D48B7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D92CEC"/>
    <w:multiLevelType w:val="hybridMultilevel"/>
    <w:tmpl w:val="2C20241E"/>
    <w:lvl w:ilvl="0" w:tplc="137491D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F475A"/>
    <w:multiLevelType w:val="hybridMultilevel"/>
    <w:tmpl w:val="02526C0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013865"/>
    <w:multiLevelType w:val="hybridMultilevel"/>
    <w:tmpl w:val="8F6C9B26"/>
    <w:lvl w:ilvl="0" w:tplc="73307E3E">
      <w:numFmt w:val="bullet"/>
      <w:lvlText w:val="–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F420DC0"/>
    <w:multiLevelType w:val="hybridMultilevel"/>
    <w:tmpl w:val="6C241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601F8"/>
    <w:multiLevelType w:val="hybridMultilevel"/>
    <w:tmpl w:val="51F81D2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D0067"/>
    <w:multiLevelType w:val="hybridMultilevel"/>
    <w:tmpl w:val="60AAD7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953670">
    <w:abstractNumId w:val="17"/>
  </w:num>
  <w:num w:numId="2" w16cid:durableId="1497382030">
    <w:abstractNumId w:val="8"/>
  </w:num>
  <w:num w:numId="3" w16cid:durableId="1643658739">
    <w:abstractNumId w:val="30"/>
  </w:num>
  <w:num w:numId="4" w16cid:durableId="1416053916">
    <w:abstractNumId w:val="10"/>
  </w:num>
  <w:num w:numId="5" w16cid:durableId="1460681335">
    <w:abstractNumId w:val="22"/>
  </w:num>
  <w:num w:numId="6" w16cid:durableId="432214895">
    <w:abstractNumId w:val="5"/>
  </w:num>
  <w:num w:numId="7" w16cid:durableId="845751384">
    <w:abstractNumId w:val="4"/>
  </w:num>
  <w:num w:numId="8" w16cid:durableId="29301030">
    <w:abstractNumId w:val="25"/>
  </w:num>
  <w:num w:numId="9" w16cid:durableId="2003662021">
    <w:abstractNumId w:val="23"/>
  </w:num>
  <w:num w:numId="10" w16cid:durableId="2014674860">
    <w:abstractNumId w:val="18"/>
  </w:num>
  <w:num w:numId="11" w16cid:durableId="958032325">
    <w:abstractNumId w:val="31"/>
  </w:num>
  <w:num w:numId="12" w16cid:durableId="1838691975">
    <w:abstractNumId w:val="29"/>
  </w:num>
  <w:num w:numId="13" w16cid:durableId="273679532">
    <w:abstractNumId w:val="16"/>
  </w:num>
  <w:num w:numId="14" w16cid:durableId="2070683866">
    <w:abstractNumId w:val="3"/>
  </w:num>
  <w:num w:numId="15" w16cid:durableId="1975476040">
    <w:abstractNumId w:val="19"/>
  </w:num>
  <w:num w:numId="16" w16cid:durableId="83963299">
    <w:abstractNumId w:val="1"/>
  </w:num>
  <w:num w:numId="17" w16cid:durableId="353533871">
    <w:abstractNumId w:val="14"/>
  </w:num>
  <w:num w:numId="18" w16cid:durableId="788664195">
    <w:abstractNumId w:val="0"/>
  </w:num>
  <w:num w:numId="19" w16cid:durableId="1454788596">
    <w:abstractNumId w:val="26"/>
  </w:num>
  <w:num w:numId="20" w16cid:durableId="1999069271">
    <w:abstractNumId w:val="21"/>
  </w:num>
  <w:num w:numId="21" w16cid:durableId="1075667280">
    <w:abstractNumId w:val="11"/>
  </w:num>
  <w:num w:numId="22" w16cid:durableId="40371620">
    <w:abstractNumId w:val="12"/>
  </w:num>
  <w:num w:numId="23" w16cid:durableId="1696686099">
    <w:abstractNumId w:val="9"/>
  </w:num>
  <w:num w:numId="24" w16cid:durableId="776409264">
    <w:abstractNumId w:val="20"/>
  </w:num>
  <w:num w:numId="25" w16cid:durableId="765879730">
    <w:abstractNumId w:val="15"/>
  </w:num>
  <w:num w:numId="26" w16cid:durableId="1356882583">
    <w:abstractNumId w:val="6"/>
  </w:num>
  <w:num w:numId="27" w16cid:durableId="272514751">
    <w:abstractNumId w:val="24"/>
  </w:num>
  <w:num w:numId="28" w16cid:durableId="2080974234">
    <w:abstractNumId w:val="13"/>
  </w:num>
  <w:num w:numId="29" w16cid:durableId="2050719605">
    <w:abstractNumId w:val="2"/>
  </w:num>
  <w:num w:numId="30" w16cid:durableId="573513502">
    <w:abstractNumId w:val="27"/>
  </w:num>
  <w:num w:numId="31" w16cid:durableId="226036350">
    <w:abstractNumId w:val="28"/>
  </w:num>
  <w:num w:numId="32" w16cid:durableId="1854418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40"/>
    <w:rsid w:val="00000E33"/>
    <w:rsid w:val="00006AE2"/>
    <w:rsid w:val="000076A1"/>
    <w:rsid w:val="00012259"/>
    <w:rsid w:val="0001312D"/>
    <w:rsid w:val="0001489A"/>
    <w:rsid w:val="00023118"/>
    <w:rsid w:val="000232EB"/>
    <w:rsid w:val="00025383"/>
    <w:rsid w:val="0002653F"/>
    <w:rsid w:val="00030472"/>
    <w:rsid w:val="00033F8C"/>
    <w:rsid w:val="00035C3A"/>
    <w:rsid w:val="00035DB4"/>
    <w:rsid w:val="00035E5B"/>
    <w:rsid w:val="00036E81"/>
    <w:rsid w:val="00041A42"/>
    <w:rsid w:val="000422B9"/>
    <w:rsid w:val="000422ED"/>
    <w:rsid w:val="00043063"/>
    <w:rsid w:val="00045D3D"/>
    <w:rsid w:val="00045F35"/>
    <w:rsid w:val="00056DE4"/>
    <w:rsid w:val="00063657"/>
    <w:rsid w:val="00076680"/>
    <w:rsid w:val="00076A1D"/>
    <w:rsid w:val="00076A4A"/>
    <w:rsid w:val="00080385"/>
    <w:rsid w:val="0008073E"/>
    <w:rsid w:val="00091CDB"/>
    <w:rsid w:val="00093A16"/>
    <w:rsid w:val="000A19AC"/>
    <w:rsid w:val="000A533A"/>
    <w:rsid w:val="000A5A7F"/>
    <w:rsid w:val="000A7875"/>
    <w:rsid w:val="000B2EC9"/>
    <w:rsid w:val="000B5247"/>
    <w:rsid w:val="000C2637"/>
    <w:rsid w:val="000C37F8"/>
    <w:rsid w:val="000C64BB"/>
    <w:rsid w:val="000C74A5"/>
    <w:rsid w:val="000D1AD0"/>
    <w:rsid w:val="000D26F8"/>
    <w:rsid w:val="000D3A24"/>
    <w:rsid w:val="000E2ABE"/>
    <w:rsid w:val="000E3765"/>
    <w:rsid w:val="000E56E8"/>
    <w:rsid w:val="000E65E9"/>
    <w:rsid w:val="001035D6"/>
    <w:rsid w:val="001046E7"/>
    <w:rsid w:val="00106654"/>
    <w:rsid w:val="00106D19"/>
    <w:rsid w:val="00106DA2"/>
    <w:rsid w:val="00111EA7"/>
    <w:rsid w:val="00114E08"/>
    <w:rsid w:val="00122AFF"/>
    <w:rsid w:val="00126716"/>
    <w:rsid w:val="00130B47"/>
    <w:rsid w:val="0013526C"/>
    <w:rsid w:val="001359F4"/>
    <w:rsid w:val="00136239"/>
    <w:rsid w:val="001405C6"/>
    <w:rsid w:val="00141013"/>
    <w:rsid w:val="001415D5"/>
    <w:rsid w:val="00160372"/>
    <w:rsid w:val="001649E0"/>
    <w:rsid w:val="001650ED"/>
    <w:rsid w:val="001677FF"/>
    <w:rsid w:val="00170F2D"/>
    <w:rsid w:val="00192CBF"/>
    <w:rsid w:val="00192FF1"/>
    <w:rsid w:val="00193E19"/>
    <w:rsid w:val="00195241"/>
    <w:rsid w:val="0019590D"/>
    <w:rsid w:val="00196D82"/>
    <w:rsid w:val="001979AD"/>
    <w:rsid w:val="001A5F1B"/>
    <w:rsid w:val="001B110A"/>
    <w:rsid w:val="001B1C22"/>
    <w:rsid w:val="001B254D"/>
    <w:rsid w:val="001B34C6"/>
    <w:rsid w:val="001C1595"/>
    <w:rsid w:val="001C379E"/>
    <w:rsid w:val="001D33AE"/>
    <w:rsid w:val="001D7832"/>
    <w:rsid w:val="001F0DF8"/>
    <w:rsid w:val="001F5C1C"/>
    <w:rsid w:val="00200D67"/>
    <w:rsid w:val="00202055"/>
    <w:rsid w:val="002053DE"/>
    <w:rsid w:val="00206AC3"/>
    <w:rsid w:val="00207ACE"/>
    <w:rsid w:val="00210DC1"/>
    <w:rsid w:val="00211D34"/>
    <w:rsid w:val="00214F04"/>
    <w:rsid w:val="002235AA"/>
    <w:rsid w:val="002237D4"/>
    <w:rsid w:val="002246A7"/>
    <w:rsid w:val="00231102"/>
    <w:rsid w:val="002352B9"/>
    <w:rsid w:val="002426EC"/>
    <w:rsid w:val="00253267"/>
    <w:rsid w:val="00257AE2"/>
    <w:rsid w:val="0026084B"/>
    <w:rsid w:val="00260C57"/>
    <w:rsid w:val="002611D0"/>
    <w:rsid w:val="00261794"/>
    <w:rsid w:val="00266CD6"/>
    <w:rsid w:val="002673AC"/>
    <w:rsid w:val="002705C0"/>
    <w:rsid w:val="00272017"/>
    <w:rsid w:val="00273082"/>
    <w:rsid w:val="00273453"/>
    <w:rsid w:val="00275DAB"/>
    <w:rsid w:val="00276C6D"/>
    <w:rsid w:val="00280B18"/>
    <w:rsid w:val="00290348"/>
    <w:rsid w:val="002903C0"/>
    <w:rsid w:val="00293A4A"/>
    <w:rsid w:val="00294810"/>
    <w:rsid w:val="00295788"/>
    <w:rsid w:val="002A782A"/>
    <w:rsid w:val="002A7E20"/>
    <w:rsid w:val="002B11E2"/>
    <w:rsid w:val="002B1BE9"/>
    <w:rsid w:val="002B24B8"/>
    <w:rsid w:val="002B4571"/>
    <w:rsid w:val="002B74B5"/>
    <w:rsid w:val="002C33B9"/>
    <w:rsid w:val="002D0581"/>
    <w:rsid w:val="002D196E"/>
    <w:rsid w:val="002D3AE9"/>
    <w:rsid w:val="002D4510"/>
    <w:rsid w:val="002E6E1D"/>
    <w:rsid w:val="002E732D"/>
    <w:rsid w:val="002F0734"/>
    <w:rsid w:val="002F175F"/>
    <w:rsid w:val="002F182A"/>
    <w:rsid w:val="002F46E7"/>
    <w:rsid w:val="002F4AC0"/>
    <w:rsid w:val="003101DA"/>
    <w:rsid w:val="003111C3"/>
    <w:rsid w:val="00313FA8"/>
    <w:rsid w:val="00314757"/>
    <w:rsid w:val="00316273"/>
    <w:rsid w:val="003163BC"/>
    <w:rsid w:val="00320103"/>
    <w:rsid w:val="003211CE"/>
    <w:rsid w:val="00330870"/>
    <w:rsid w:val="003321CA"/>
    <w:rsid w:val="00340055"/>
    <w:rsid w:val="00341231"/>
    <w:rsid w:val="003435B9"/>
    <w:rsid w:val="00353542"/>
    <w:rsid w:val="0035403A"/>
    <w:rsid w:val="00356773"/>
    <w:rsid w:val="00360EDB"/>
    <w:rsid w:val="00362787"/>
    <w:rsid w:val="0036394B"/>
    <w:rsid w:val="003662B1"/>
    <w:rsid w:val="00366DB6"/>
    <w:rsid w:val="003709B5"/>
    <w:rsid w:val="0037104E"/>
    <w:rsid w:val="0037222E"/>
    <w:rsid w:val="00373BC1"/>
    <w:rsid w:val="003742BE"/>
    <w:rsid w:val="003759C2"/>
    <w:rsid w:val="00376729"/>
    <w:rsid w:val="00382D50"/>
    <w:rsid w:val="003865EA"/>
    <w:rsid w:val="0038682A"/>
    <w:rsid w:val="00393DDA"/>
    <w:rsid w:val="00396A24"/>
    <w:rsid w:val="003971E0"/>
    <w:rsid w:val="00397365"/>
    <w:rsid w:val="00397E15"/>
    <w:rsid w:val="003A31F6"/>
    <w:rsid w:val="003A4779"/>
    <w:rsid w:val="003A4EF5"/>
    <w:rsid w:val="003B3285"/>
    <w:rsid w:val="003B3E78"/>
    <w:rsid w:val="003B77E4"/>
    <w:rsid w:val="003C28C1"/>
    <w:rsid w:val="003C3447"/>
    <w:rsid w:val="003C49E0"/>
    <w:rsid w:val="003D076C"/>
    <w:rsid w:val="003D1054"/>
    <w:rsid w:val="003D4396"/>
    <w:rsid w:val="003E000F"/>
    <w:rsid w:val="003E78B5"/>
    <w:rsid w:val="003F3DBF"/>
    <w:rsid w:val="003F55D1"/>
    <w:rsid w:val="00400814"/>
    <w:rsid w:val="00400BCB"/>
    <w:rsid w:val="00414FA4"/>
    <w:rsid w:val="00415BAB"/>
    <w:rsid w:val="00415ED2"/>
    <w:rsid w:val="0042068C"/>
    <w:rsid w:val="00425F30"/>
    <w:rsid w:val="00427F25"/>
    <w:rsid w:val="00430879"/>
    <w:rsid w:val="00431C7B"/>
    <w:rsid w:val="0043737B"/>
    <w:rsid w:val="0044318E"/>
    <w:rsid w:val="00443429"/>
    <w:rsid w:val="00443B35"/>
    <w:rsid w:val="00445D2C"/>
    <w:rsid w:val="00451501"/>
    <w:rsid w:val="00451F68"/>
    <w:rsid w:val="00452820"/>
    <w:rsid w:val="0045488D"/>
    <w:rsid w:val="0045557B"/>
    <w:rsid w:val="00457431"/>
    <w:rsid w:val="00462F26"/>
    <w:rsid w:val="00464AC4"/>
    <w:rsid w:val="00467582"/>
    <w:rsid w:val="0047122B"/>
    <w:rsid w:val="00473B7A"/>
    <w:rsid w:val="0047553B"/>
    <w:rsid w:val="00480F91"/>
    <w:rsid w:val="0048179A"/>
    <w:rsid w:val="00486C03"/>
    <w:rsid w:val="00490423"/>
    <w:rsid w:val="0049319B"/>
    <w:rsid w:val="00493FB2"/>
    <w:rsid w:val="004960E9"/>
    <w:rsid w:val="004A2585"/>
    <w:rsid w:val="004A2E88"/>
    <w:rsid w:val="004A4866"/>
    <w:rsid w:val="004A5305"/>
    <w:rsid w:val="004D7634"/>
    <w:rsid w:val="004E2D42"/>
    <w:rsid w:val="004E4D10"/>
    <w:rsid w:val="004E51EB"/>
    <w:rsid w:val="004E611A"/>
    <w:rsid w:val="004E7267"/>
    <w:rsid w:val="004F6460"/>
    <w:rsid w:val="00500572"/>
    <w:rsid w:val="005040E7"/>
    <w:rsid w:val="00511AAD"/>
    <w:rsid w:val="00512149"/>
    <w:rsid w:val="005149C9"/>
    <w:rsid w:val="00520BCF"/>
    <w:rsid w:val="0052156B"/>
    <w:rsid w:val="005300D3"/>
    <w:rsid w:val="00536D44"/>
    <w:rsid w:val="00537826"/>
    <w:rsid w:val="00537834"/>
    <w:rsid w:val="00542A10"/>
    <w:rsid w:val="00544F82"/>
    <w:rsid w:val="00547A9F"/>
    <w:rsid w:val="005509D2"/>
    <w:rsid w:val="00550FF6"/>
    <w:rsid w:val="00551368"/>
    <w:rsid w:val="00553A91"/>
    <w:rsid w:val="00561593"/>
    <w:rsid w:val="00565A18"/>
    <w:rsid w:val="00575686"/>
    <w:rsid w:val="00576991"/>
    <w:rsid w:val="005868DF"/>
    <w:rsid w:val="005903FA"/>
    <w:rsid w:val="00590D36"/>
    <w:rsid w:val="00591ED6"/>
    <w:rsid w:val="00593C4F"/>
    <w:rsid w:val="005946A8"/>
    <w:rsid w:val="005973AD"/>
    <w:rsid w:val="00597829"/>
    <w:rsid w:val="005A4407"/>
    <w:rsid w:val="005A59EF"/>
    <w:rsid w:val="005A698A"/>
    <w:rsid w:val="005B130E"/>
    <w:rsid w:val="005B1C7E"/>
    <w:rsid w:val="005C6976"/>
    <w:rsid w:val="005D0FF4"/>
    <w:rsid w:val="005E132F"/>
    <w:rsid w:val="005E656D"/>
    <w:rsid w:val="005F0BB1"/>
    <w:rsid w:val="005F6F41"/>
    <w:rsid w:val="005F71FD"/>
    <w:rsid w:val="006075ED"/>
    <w:rsid w:val="00610503"/>
    <w:rsid w:val="00610CA3"/>
    <w:rsid w:val="00614949"/>
    <w:rsid w:val="0061509C"/>
    <w:rsid w:val="006175D2"/>
    <w:rsid w:val="00625DC6"/>
    <w:rsid w:val="00630026"/>
    <w:rsid w:val="006403F5"/>
    <w:rsid w:val="00640CF5"/>
    <w:rsid w:val="0064391D"/>
    <w:rsid w:val="00643F98"/>
    <w:rsid w:val="00650F2D"/>
    <w:rsid w:val="00651821"/>
    <w:rsid w:val="0065279F"/>
    <w:rsid w:val="00654384"/>
    <w:rsid w:val="00662D2F"/>
    <w:rsid w:val="006675CD"/>
    <w:rsid w:val="006702DB"/>
    <w:rsid w:val="00673923"/>
    <w:rsid w:val="00675301"/>
    <w:rsid w:val="00675EDB"/>
    <w:rsid w:val="00677529"/>
    <w:rsid w:val="00681D17"/>
    <w:rsid w:val="00684D9B"/>
    <w:rsid w:val="0068510A"/>
    <w:rsid w:val="00687238"/>
    <w:rsid w:val="006875E3"/>
    <w:rsid w:val="00695A06"/>
    <w:rsid w:val="00697556"/>
    <w:rsid w:val="006A1EF4"/>
    <w:rsid w:val="006A35C2"/>
    <w:rsid w:val="006A41F7"/>
    <w:rsid w:val="006A7567"/>
    <w:rsid w:val="006A788B"/>
    <w:rsid w:val="006B4647"/>
    <w:rsid w:val="006B4C2B"/>
    <w:rsid w:val="006B6194"/>
    <w:rsid w:val="006B6D47"/>
    <w:rsid w:val="006B7EDA"/>
    <w:rsid w:val="006C07B1"/>
    <w:rsid w:val="006C2EDE"/>
    <w:rsid w:val="006C4708"/>
    <w:rsid w:val="006C4CC7"/>
    <w:rsid w:val="006C5AFE"/>
    <w:rsid w:val="006D00B6"/>
    <w:rsid w:val="006D2686"/>
    <w:rsid w:val="006D4224"/>
    <w:rsid w:val="006D7F4C"/>
    <w:rsid w:val="006E493F"/>
    <w:rsid w:val="006F2EC8"/>
    <w:rsid w:val="006F6D95"/>
    <w:rsid w:val="006F7385"/>
    <w:rsid w:val="00706731"/>
    <w:rsid w:val="00706C8A"/>
    <w:rsid w:val="00706F13"/>
    <w:rsid w:val="007072E8"/>
    <w:rsid w:val="00710827"/>
    <w:rsid w:val="00712043"/>
    <w:rsid w:val="00715836"/>
    <w:rsid w:val="0071618D"/>
    <w:rsid w:val="007218C6"/>
    <w:rsid w:val="0072582B"/>
    <w:rsid w:val="00725FA4"/>
    <w:rsid w:val="0073057B"/>
    <w:rsid w:val="00734081"/>
    <w:rsid w:val="00740446"/>
    <w:rsid w:val="007438A9"/>
    <w:rsid w:val="0074491E"/>
    <w:rsid w:val="00747D7E"/>
    <w:rsid w:val="00757C4E"/>
    <w:rsid w:val="00760466"/>
    <w:rsid w:val="0076247A"/>
    <w:rsid w:val="00763B0B"/>
    <w:rsid w:val="00764C6D"/>
    <w:rsid w:val="00767B32"/>
    <w:rsid w:val="00775964"/>
    <w:rsid w:val="00775B6E"/>
    <w:rsid w:val="007765FE"/>
    <w:rsid w:val="00776C3A"/>
    <w:rsid w:val="007770CE"/>
    <w:rsid w:val="00781AF0"/>
    <w:rsid w:val="007828C2"/>
    <w:rsid w:val="00791196"/>
    <w:rsid w:val="0079450E"/>
    <w:rsid w:val="00794E2E"/>
    <w:rsid w:val="00794E79"/>
    <w:rsid w:val="00795BFB"/>
    <w:rsid w:val="007A6181"/>
    <w:rsid w:val="007B2760"/>
    <w:rsid w:val="007B2796"/>
    <w:rsid w:val="007B4E7B"/>
    <w:rsid w:val="007B5A60"/>
    <w:rsid w:val="007B7C59"/>
    <w:rsid w:val="007C1368"/>
    <w:rsid w:val="007C265D"/>
    <w:rsid w:val="007D25DB"/>
    <w:rsid w:val="007D6DBD"/>
    <w:rsid w:val="007E142D"/>
    <w:rsid w:val="007E19E5"/>
    <w:rsid w:val="007E1F69"/>
    <w:rsid w:val="007F1444"/>
    <w:rsid w:val="007F7757"/>
    <w:rsid w:val="0080152C"/>
    <w:rsid w:val="00806C01"/>
    <w:rsid w:val="008148CC"/>
    <w:rsid w:val="008211A4"/>
    <w:rsid w:val="00825312"/>
    <w:rsid w:val="00825DF2"/>
    <w:rsid w:val="0083208A"/>
    <w:rsid w:val="00833C52"/>
    <w:rsid w:val="00834CCD"/>
    <w:rsid w:val="00840DAF"/>
    <w:rsid w:val="0084121C"/>
    <w:rsid w:val="00842F97"/>
    <w:rsid w:val="0084693A"/>
    <w:rsid w:val="00860A8C"/>
    <w:rsid w:val="0087026E"/>
    <w:rsid w:val="008707A8"/>
    <w:rsid w:val="00873150"/>
    <w:rsid w:val="008743FD"/>
    <w:rsid w:val="0087657D"/>
    <w:rsid w:val="00876DA9"/>
    <w:rsid w:val="008807D5"/>
    <w:rsid w:val="00880832"/>
    <w:rsid w:val="00881E24"/>
    <w:rsid w:val="00882D21"/>
    <w:rsid w:val="00886EE1"/>
    <w:rsid w:val="0088727D"/>
    <w:rsid w:val="00890D37"/>
    <w:rsid w:val="00893021"/>
    <w:rsid w:val="0089433E"/>
    <w:rsid w:val="008960D9"/>
    <w:rsid w:val="00897C75"/>
    <w:rsid w:val="008A7F4A"/>
    <w:rsid w:val="008B23B0"/>
    <w:rsid w:val="008B7478"/>
    <w:rsid w:val="008C0B84"/>
    <w:rsid w:val="008C1130"/>
    <w:rsid w:val="008C4D3F"/>
    <w:rsid w:val="008C6019"/>
    <w:rsid w:val="008D15F1"/>
    <w:rsid w:val="008D18E6"/>
    <w:rsid w:val="008D26D2"/>
    <w:rsid w:val="008D79DC"/>
    <w:rsid w:val="008D7A9B"/>
    <w:rsid w:val="008E0060"/>
    <w:rsid w:val="008E1A0F"/>
    <w:rsid w:val="008E552E"/>
    <w:rsid w:val="008E7091"/>
    <w:rsid w:val="008E734D"/>
    <w:rsid w:val="008E76AC"/>
    <w:rsid w:val="008F21F6"/>
    <w:rsid w:val="008F3331"/>
    <w:rsid w:val="00901251"/>
    <w:rsid w:val="00902F23"/>
    <w:rsid w:val="00903ACE"/>
    <w:rsid w:val="00905068"/>
    <w:rsid w:val="00911FEC"/>
    <w:rsid w:val="00912970"/>
    <w:rsid w:val="009130A4"/>
    <w:rsid w:val="009177E5"/>
    <w:rsid w:val="009238A9"/>
    <w:rsid w:val="00923FC3"/>
    <w:rsid w:val="009331A7"/>
    <w:rsid w:val="009347C7"/>
    <w:rsid w:val="00937DF2"/>
    <w:rsid w:val="009418F8"/>
    <w:rsid w:val="00943459"/>
    <w:rsid w:val="009448D2"/>
    <w:rsid w:val="00945795"/>
    <w:rsid w:val="00951F79"/>
    <w:rsid w:val="00952647"/>
    <w:rsid w:val="00961E25"/>
    <w:rsid w:val="009624B0"/>
    <w:rsid w:val="009723B5"/>
    <w:rsid w:val="009733BB"/>
    <w:rsid w:val="00974AB5"/>
    <w:rsid w:val="0097685A"/>
    <w:rsid w:val="00984A10"/>
    <w:rsid w:val="009852EA"/>
    <w:rsid w:val="00985CBC"/>
    <w:rsid w:val="0098706D"/>
    <w:rsid w:val="009916B1"/>
    <w:rsid w:val="009930E4"/>
    <w:rsid w:val="009935FB"/>
    <w:rsid w:val="00993C9D"/>
    <w:rsid w:val="00996E75"/>
    <w:rsid w:val="009972BB"/>
    <w:rsid w:val="009A0C53"/>
    <w:rsid w:val="009B0668"/>
    <w:rsid w:val="009B379B"/>
    <w:rsid w:val="009B3B69"/>
    <w:rsid w:val="009B57CA"/>
    <w:rsid w:val="009B63E1"/>
    <w:rsid w:val="009C1D76"/>
    <w:rsid w:val="009C225F"/>
    <w:rsid w:val="009C2861"/>
    <w:rsid w:val="009D0EE7"/>
    <w:rsid w:val="009D20DC"/>
    <w:rsid w:val="009D56D3"/>
    <w:rsid w:val="009D73ED"/>
    <w:rsid w:val="009D7D5F"/>
    <w:rsid w:val="009E76FA"/>
    <w:rsid w:val="009F4A54"/>
    <w:rsid w:val="009F4BEC"/>
    <w:rsid w:val="009F5874"/>
    <w:rsid w:val="00A0220D"/>
    <w:rsid w:val="00A06511"/>
    <w:rsid w:val="00A22B5F"/>
    <w:rsid w:val="00A25FD7"/>
    <w:rsid w:val="00A31C54"/>
    <w:rsid w:val="00A3601D"/>
    <w:rsid w:val="00A36475"/>
    <w:rsid w:val="00A435B9"/>
    <w:rsid w:val="00A43AFF"/>
    <w:rsid w:val="00A468D4"/>
    <w:rsid w:val="00A47E92"/>
    <w:rsid w:val="00A51365"/>
    <w:rsid w:val="00A52C0E"/>
    <w:rsid w:val="00A55049"/>
    <w:rsid w:val="00A57C6A"/>
    <w:rsid w:val="00A63368"/>
    <w:rsid w:val="00A6338C"/>
    <w:rsid w:val="00A66BA4"/>
    <w:rsid w:val="00A77578"/>
    <w:rsid w:val="00A7793A"/>
    <w:rsid w:val="00A77EAB"/>
    <w:rsid w:val="00A85368"/>
    <w:rsid w:val="00A910F3"/>
    <w:rsid w:val="00A91818"/>
    <w:rsid w:val="00A94BFA"/>
    <w:rsid w:val="00AA4CC7"/>
    <w:rsid w:val="00AA5E8E"/>
    <w:rsid w:val="00AA5FB0"/>
    <w:rsid w:val="00AB2BAD"/>
    <w:rsid w:val="00AB6CA7"/>
    <w:rsid w:val="00AB7545"/>
    <w:rsid w:val="00AC1FC3"/>
    <w:rsid w:val="00AC4364"/>
    <w:rsid w:val="00AD01E4"/>
    <w:rsid w:val="00AD0858"/>
    <w:rsid w:val="00AD1537"/>
    <w:rsid w:val="00AD27AD"/>
    <w:rsid w:val="00AD2BBC"/>
    <w:rsid w:val="00AD3337"/>
    <w:rsid w:val="00AD34CF"/>
    <w:rsid w:val="00AD430C"/>
    <w:rsid w:val="00AD6B6C"/>
    <w:rsid w:val="00AE02E3"/>
    <w:rsid w:val="00AE2213"/>
    <w:rsid w:val="00AE2BB2"/>
    <w:rsid w:val="00AE7340"/>
    <w:rsid w:val="00AE74EE"/>
    <w:rsid w:val="00AF1BBD"/>
    <w:rsid w:val="00AF2297"/>
    <w:rsid w:val="00AF48E5"/>
    <w:rsid w:val="00AF4B71"/>
    <w:rsid w:val="00AF7102"/>
    <w:rsid w:val="00B024D7"/>
    <w:rsid w:val="00B10207"/>
    <w:rsid w:val="00B114BF"/>
    <w:rsid w:val="00B141E7"/>
    <w:rsid w:val="00B17BA0"/>
    <w:rsid w:val="00B226A7"/>
    <w:rsid w:val="00B33400"/>
    <w:rsid w:val="00B3455C"/>
    <w:rsid w:val="00B346C0"/>
    <w:rsid w:val="00B351B4"/>
    <w:rsid w:val="00B40478"/>
    <w:rsid w:val="00B444C2"/>
    <w:rsid w:val="00B450D9"/>
    <w:rsid w:val="00B46BCA"/>
    <w:rsid w:val="00B478AA"/>
    <w:rsid w:val="00B509A2"/>
    <w:rsid w:val="00B56C89"/>
    <w:rsid w:val="00B67FAA"/>
    <w:rsid w:val="00B70507"/>
    <w:rsid w:val="00B70FF9"/>
    <w:rsid w:val="00B713E2"/>
    <w:rsid w:val="00B76A78"/>
    <w:rsid w:val="00B87806"/>
    <w:rsid w:val="00B87EC9"/>
    <w:rsid w:val="00B92060"/>
    <w:rsid w:val="00B922F5"/>
    <w:rsid w:val="00B956E8"/>
    <w:rsid w:val="00BA06E7"/>
    <w:rsid w:val="00BA0D98"/>
    <w:rsid w:val="00BA1ECD"/>
    <w:rsid w:val="00BA30D8"/>
    <w:rsid w:val="00BB1262"/>
    <w:rsid w:val="00BB4BE3"/>
    <w:rsid w:val="00BC1CAB"/>
    <w:rsid w:val="00BC38FD"/>
    <w:rsid w:val="00BC4598"/>
    <w:rsid w:val="00BC71D1"/>
    <w:rsid w:val="00BD3671"/>
    <w:rsid w:val="00BD4753"/>
    <w:rsid w:val="00BD5079"/>
    <w:rsid w:val="00BD640E"/>
    <w:rsid w:val="00BE2651"/>
    <w:rsid w:val="00BF654F"/>
    <w:rsid w:val="00BF704F"/>
    <w:rsid w:val="00C00DFA"/>
    <w:rsid w:val="00C01790"/>
    <w:rsid w:val="00C034CB"/>
    <w:rsid w:val="00C051A8"/>
    <w:rsid w:val="00C054BC"/>
    <w:rsid w:val="00C1602E"/>
    <w:rsid w:val="00C16BDB"/>
    <w:rsid w:val="00C17897"/>
    <w:rsid w:val="00C17C27"/>
    <w:rsid w:val="00C251C4"/>
    <w:rsid w:val="00C26A30"/>
    <w:rsid w:val="00C313ED"/>
    <w:rsid w:val="00C409D5"/>
    <w:rsid w:val="00C41FE5"/>
    <w:rsid w:val="00C435C3"/>
    <w:rsid w:val="00C44E5F"/>
    <w:rsid w:val="00C45887"/>
    <w:rsid w:val="00C45CAF"/>
    <w:rsid w:val="00C51B7C"/>
    <w:rsid w:val="00C60903"/>
    <w:rsid w:val="00C6234B"/>
    <w:rsid w:val="00C63EAE"/>
    <w:rsid w:val="00C669CA"/>
    <w:rsid w:val="00C73260"/>
    <w:rsid w:val="00C7629F"/>
    <w:rsid w:val="00C81485"/>
    <w:rsid w:val="00C8373C"/>
    <w:rsid w:val="00C838B2"/>
    <w:rsid w:val="00C84600"/>
    <w:rsid w:val="00C85ACE"/>
    <w:rsid w:val="00C85BF0"/>
    <w:rsid w:val="00C85D3C"/>
    <w:rsid w:val="00C8661B"/>
    <w:rsid w:val="00C8793E"/>
    <w:rsid w:val="00C926FC"/>
    <w:rsid w:val="00C9435F"/>
    <w:rsid w:val="00CA03C8"/>
    <w:rsid w:val="00CA139A"/>
    <w:rsid w:val="00CA20B6"/>
    <w:rsid w:val="00CA21EB"/>
    <w:rsid w:val="00CA23EF"/>
    <w:rsid w:val="00CA2899"/>
    <w:rsid w:val="00CA3A3D"/>
    <w:rsid w:val="00CA3AA6"/>
    <w:rsid w:val="00CA6A0F"/>
    <w:rsid w:val="00CA6A12"/>
    <w:rsid w:val="00CA77FB"/>
    <w:rsid w:val="00CB058F"/>
    <w:rsid w:val="00CB379B"/>
    <w:rsid w:val="00CB594F"/>
    <w:rsid w:val="00CB5DD0"/>
    <w:rsid w:val="00CC29F8"/>
    <w:rsid w:val="00CC3CDE"/>
    <w:rsid w:val="00CC51D4"/>
    <w:rsid w:val="00CC56A0"/>
    <w:rsid w:val="00CC65DA"/>
    <w:rsid w:val="00CD600C"/>
    <w:rsid w:val="00CD7DB4"/>
    <w:rsid w:val="00CE0EA3"/>
    <w:rsid w:val="00CE3647"/>
    <w:rsid w:val="00CF06B8"/>
    <w:rsid w:val="00CF21B9"/>
    <w:rsid w:val="00CF57D8"/>
    <w:rsid w:val="00CF6BF9"/>
    <w:rsid w:val="00CF775E"/>
    <w:rsid w:val="00CF7C94"/>
    <w:rsid w:val="00D011DB"/>
    <w:rsid w:val="00D01FC6"/>
    <w:rsid w:val="00D03800"/>
    <w:rsid w:val="00D065D3"/>
    <w:rsid w:val="00D13176"/>
    <w:rsid w:val="00D14C94"/>
    <w:rsid w:val="00D2162E"/>
    <w:rsid w:val="00D27C0F"/>
    <w:rsid w:val="00D31B35"/>
    <w:rsid w:val="00D332EE"/>
    <w:rsid w:val="00D342A6"/>
    <w:rsid w:val="00D353C0"/>
    <w:rsid w:val="00D37A38"/>
    <w:rsid w:val="00D41702"/>
    <w:rsid w:val="00D42217"/>
    <w:rsid w:val="00D4299A"/>
    <w:rsid w:val="00D44E51"/>
    <w:rsid w:val="00D45B55"/>
    <w:rsid w:val="00D45CA6"/>
    <w:rsid w:val="00D45FB1"/>
    <w:rsid w:val="00D464BF"/>
    <w:rsid w:val="00D50457"/>
    <w:rsid w:val="00D53E26"/>
    <w:rsid w:val="00D64D91"/>
    <w:rsid w:val="00D672AB"/>
    <w:rsid w:val="00D7204A"/>
    <w:rsid w:val="00D820FA"/>
    <w:rsid w:val="00D8233A"/>
    <w:rsid w:val="00D83F43"/>
    <w:rsid w:val="00D853C2"/>
    <w:rsid w:val="00D85FFB"/>
    <w:rsid w:val="00D8738C"/>
    <w:rsid w:val="00D92053"/>
    <w:rsid w:val="00D95E1B"/>
    <w:rsid w:val="00D97AB8"/>
    <w:rsid w:val="00D97E41"/>
    <w:rsid w:val="00DA006C"/>
    <w:rsid w:val="00DA3A3C"/>
    <w:rsid w:val="00DB182C"/>
    <w:rsid w:val="00DB5738"/>
    <w:rsid w:val="00DC0403"/>
    <w:rsid w:val="00DC69BE"/>
    <w:rsid w:val="00DD1B7F"/>
    <w:rsid w:val="00DD4F0E"/>
    <w:rsid w:val="00DD5FE3"/>
    <w:rsid w:val="00DD6FDE"/>
    <w:rsid w:val="00DE0D44"/>
    <w:rsid w:val="00DE2B51"/>
    <w:rsid w:val="00DF0093"/>
    <w:rsid w:val="00DF0BF0"/>
    <w:rsid w:val="00DF16F5"/>
    <w:rsid w:val="00DF3CA2"/>
    <w:rsid w:val="00DF67EB"/>
    <w:rsid w:val="00DF753F"/>
    <w:rsid w:val="00E01463"/>
    <w:rsid w:val="00E05E0A"/>
    <w:rsid w:val="00E060BE"/>
    <w:rsid w:val="00E106A7"/>
    <w:rsid w:val="00E12A2A"/>
    <w:rsid w:val="00E132F5"/>
    <w:rsid w:val="00E16B19"/>
    <w:rsid w:val="00E22912"/>
    <w:rsid w:val="00E278B4"/>
    <w:rsid w:val="00E3048D"/>
    <w:rsid w:val="00E307C7"/>
    <w:rsid w:val="00E420FB"/>
    <w:rsid w:val="00E46D7A"/>
    <w:rsid w:val="00E46E6B"/>
    <w:rsid w:val="00E52195"/>
    <w:rsid w:val="00E534CF"/>
    <w:rsid w:val="00E557D8"/>
    <w:rsid w:val="00E617AF"/>
    <w:rsid w:val="00E63920"/>
    <w:rsid w:val="00E71EF7"/>
    <w:rsid w:val="00E72045"/>
    <w:rsid w:val="00E759AC"/>
    <w:rsid w:val="00E81CB4"/>
    <w:rsid w:val="00E83538"/>
    <w:rsid w:val="00E8539C"/>
    <w:rsid w:val="00E8585B"/>
    <w:rsid w:val="00E87F41"/>
    <w:rsid w:val="00E91A4A"/>
    <w:rsid w:val="00E93661"/>
    <w:rsid w:val="00E93887"/>
    <w:rsid w:val="00EA3F15"/>
    <w:rsid w:val="00EA520D"/>
    <w:rsid w:val="00EA7847"/>
    <w:rsid w:val="00EB1703"/>
    <w:rsid w:val="00EB4C2F"/>
    <w:rsid w:val="00EB65AE"/>
    <w:rsid w:val="00EE2E6E"/>
    <w:rsid w:val="00EE4A80"/>
    <w:rsid w:val="00EE5605"/>
    <w:rsid w:val="00EE5CA7"/>
    <w:rsid w:val="00EE6B46"/>
    <w:rsid w:val="00EF09DD"/>
    <w:rsid w:val="00F0080F"/>
    <w:rsid w:val="00F023FA"/>
    <w:rsid w:val="00F041B2"/>
    <w:rsid w:val="00F05F32"/>
    <w:rsid w:val="00F0759E"/>
    <w:rsid w:val="00F130AD"/>
    <w:rsid w:val="00F16A43"/>
    <w:rsid w:val="00F20532"/>
    <w:rsid w:val="00F24BED"/>
    <w:rsid w:val="00F2782B"/>
    <w:rsid w:val="00F4000A"/>
    <w:rsid w:val="00F40612"/>
    <w:rsid w:val="00F41809"/>
    <w:rsid w:val="00F422AB"/>
    <w:rsid w:val="00F46780"/>
    <w:rsid w:val="00F53756"/>
    <w:rsid w:val="00F53EBE"/>
    <w:rsid w:val="00F55DB1"/>
    <w:rsid w:val="00F55E7D"/>
    <w:rsid w:val="00F5C164"/>
    <w:rsid w:val="00F62B0F"/>
    <w:rsid w:val="00F635B8"/>
    <w:rsid w:val="00F64268"/>
    <w:rsid w:val="00F65B8D"/>
    <w:rsid w:val="00F65C29"/>
    <w:rsid w:val="00F65CE1"/>
    <w:rsid w:val="00F77D2D"/>
    <w:rsid w:val="00F8122D"/>
    <w:rsid w:val="00F821A3"/>
    <w:rsid w:val="00F84B43"/>
    <w:rsid w:val="00F90E23"/>
    <w:rsid w:val="00F9314A"/>
    <w:rsid w:val="00F940B2"/>
    <w:rsid w:val="00FA16E7"/>
    <w:rsid w:val="00FB4270"/>
    <w:rsid w:val="00FC0EC0"/>
    <w:rsid w:val="00FC36DD"/>
    <w:rsid w:val="00FC58EF"/>
    <w:rsid w:val="00FC6876"/>
    <w:rsid w:val="00FD1E2B"/>
    <w:rsid w:val="00FD33DF"/>
    <w:rsid w:val="00FD71DE"/>
    <w:rsid w:val="00FE0C54"/>
    <w:rsid w:val="00FE0CDD"/>
    <w:rsid w:val="00FE16A1"/>
    <w:rsid w:val="00FE2A23"/>
    <w:rsid w:val="00FE39D7"/>
    <w:rsid w:val="00FF3701"/>
    <w:rsid w:val="016B3712"/>
    <w:rsid w:val="03613043"/>
    <w:rsid w:val="0395EC84"/>
    <w:rsid w:val="05C14501"/>
    <w:rsid w:val="068AE9F7"/>
    <w:rsid w:val="072D9259"/>
    <w:rsid w:val="07FAA68F"/>
    <w:rsid w:val="08078810"/>
    <w:rsid w:val="0837B351"/>
    <w:rsid w:val="08DD62DF"/>
    <w:rsid w:val="0A209A7A"/>
    <w:rsid w:val="0D5C35D3"/>
    <w:rsid w:val="0D8A1A37"/>
    <w:rsid w:val="0DA81038"/>
    <w:rsid w:val="0F1C3554"/>
    <w:rsid w:val="0FF97198"/>
    <w:rsid w:val="11FC6D67"/>
    <w:rsid w:val="158C6789"/>
    <w:rsid w:val="15D5134B"/>
    <w:rsid w:val="1668B31C"/>
    <w:rsid w:val="16AC7F3C"/>
    <w:rsid w:val="18EA2897"/>
    <w:rsid w:val="1A233F58"/>
    <w:rsid w:val="1A34B4CF"/>
    <w:rsid w:val="1B8A3D3A"/>
    <w:rsid w:val="1B8EA646"/>
    <w:rsid w:val="1BA05E34"/>
    <w:rsid w:val="1BA1C3A0"/>
    <w:rsid w:val="1BC64A84"/>
    <w:rsid w:val="1BE1939C"/>
    <w:rsid w:val="1C4E97D5"/>
    <w:rsid w:val="1D7D6060"/>
    <w:rsid w:val="1DC62188"/>
    <w:rsid w:val="1ECC8CD9"/>
    <w:rsid w:val="1F50BEFB"/>
    <w:rsid w:val="20C1B256"/>
    <w:rsid w:val="21B35349"/>
    <w:rsid w:val="21C1EC72"/>
    <w:rsid w:val="2220445F"/>
    <w:rsid w:val="247CFAF5"/>
    <w:rsid w:val="24B9740C"/>
    <w:rsid w:val="25ACEBC4"/>
    <w:rsid w:val="25F346EB"/>
    <w:rsid w:val="2686C46C"/>
    <w:rsid w:val="2759717C"/>
    <w:rsid w:val="28326D40"/>
    <w:rsid w:val="293DB3A4"/>
    <w:rsid w:val="29782D57"/>
    <w:rsid w:val="29BF35FB"/>
    <w:rsid w:val="2A16BAA3"/>
    <w:rsid w:val="2A64A603"/>
    <w:rsid w:val="2D365F36"/>
    <w:rsid w:val="2D92BE3A"/>
    <w:rsid w:val="2D9B71B0"/>
    <w:rsid w:val="2DC8B300"/>
    <w:rsid w:val="2E4B9E7A"/>
    <w:rsid w:val="2E98FF24"/>
    <w:rsid w:val="2FD3176E"/>
    <w:rsid w:val="326049AA"/>
    <w:rsid w:val="360CD1E7"/>
    <w:rsid w:val="36E18061"/>
    <w:rsid w:val="37ACD070"/>
    <w:rsid w:val="3820578B"/>
    <w:rsid w:val="39C05264"/>
    <w:rsid w:val="3A61E959"/>
    <w:rsid w:val="3AC3B104"/>
    <w:rsid w:val="3BD214A8"/>
    <w:rsid w:val="3C4DEB9B"/>
    <w:rsid w:val="3CC853E7"/>
    <w:rsid w:val="3DA36DE6"/>
    <w:rsid w:val="3DFB51C6"/>
    <w:rsid w:val="3EB80C29"/>
    <w:rsid w:val="3F3C3E4B"/>
    <w:rsid w:val="40D47C86"/>
    <w:rsid w:val="418FDE05"/>
    <w:rsid w:val="41C3D0D2"/>
    <w:rsid w:val="435FA133"/>
    <w:rsid w:val="44FB7194"/>
    <w:rsid w:val="46379D03"/>
    <w:rsid w:val="4747A859"/>
    <w:rsid w:val="4998A27C"/>
    <w:rsid w:val="49CEE2B7"/>
    <w:rsid w:val="4A40AEB0"/>
    <w:rsid w:val="4DFC48BF"/>
    <w:rsid w:val="4EA253DA"/>
    <w:rsid w:val="4FDDA8BD"/>
    <w:rsid w:val="5073898B"/>
    <w:rsid w:val="53A55DC8"/>
    <w:rsid w:val="570570B2"/>
    <w:rsid w:val="576BDC1B"/>
    <w:rsid w:val="589D1599"/>
    <w:rsid w:val="5B867894"/>
    <w:rsid w:val="5BF437AC"/>
    <w:rsid w:val="5CD13E99"/>
    <w:rsid w:val="5D9D5D62"/>
    <w:rsid w:val="606BAA89"/>
    <w:rsid w:val="6A4EFF2C"/>
    <w:rsid w:val="6BBD07C2"/>
    <w:rsid w:val="6BF13319"/>
    <w:rsid w:val="6C30730D"/>
    <w:rsid w:val="6D29AF92"/>
    <w:rsid w:val="6EE1E41E"/>
    <w:rsid w:val="6EE8FBF5"/>
    <w:rsid w:val="7147D8DB"/>
    <w:rsid w:val="7287FD05"/>
    <w:rsid w:val="7478149B"/>
    <w:rsid w:val="754A7DE3"/>
    <w:rsid w:val="76D091D8"/>
    <w:rsid w:val="791C5D2D"/>
    <w:rsid w:val="7AF2D0CC"/>
    <w:rsid w:val="7B34EA1C"/>
    <w:rsid w:val="7BB91C3E"/>
    <w:rsid w:val="7DCF5B78"/>
    <w:rsid w:val="7E2B76F3"/>
    <w:rsid w:val="7EEDBE0D"/>
    <w:rsid w:val="7EF05C89"/>
    <w:rsid w:val="7F46E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9E9890C"/>
  <w15:chartTrackingRefBased/>
  <w15:docId w15:val="{387FBE67-B94C-4E08-B866-9BA95590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DA"/>
    <w:pPr>
      <w:ind w:left="567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101DA"/>
    <w:pPr>
      <w:keepNext/>
      <w:jc w:val="center"/>
      <w:outlineLvl w:val="0"/>
    </w:pPr>
    <w:rPr>
      <w:rFonts w:ascii="CG Times" w:hAnsi="CG Times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qFormat/>
    <w:rsid w:val="003101DA"/>
    <w:pPr>
      <w:keepNext/>
      <w:jc w:val="center"/>
      <w:outlineLvl w:val="2"/>
    </w:pPr>
    <w:rPr>
      <w:rFonts w:ascii="CG Times" w:hAnsi="CG Times"/>
      <w:b/>
      <w:snapToGrid w:val="0"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101DA"/>
    <w:pPr>
      <w:keepNext/>
      <w:jc w:val="center"/>
      <w:outlineLvl w:val="3"/>
    </w:pPr>
    <w:rPr>
      <w:rFonts w:ascii="Arial" w:hAnsi="Arial" w:cs="Arial"/>
      <w:b/>
      <w:snapToGrid w:val="0"/>
      <w:color w:val="000000"/>
      <w:spacing w:val="20"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101DA"/>
    <w:pPr>
      <w:keepNext/>
      <w:jc w:val="center"/>
      <w:outlineLvl w:val="4"/>
    </w:pPr>
    <w:rPr>
      <w:rFonts w:ascii="Arial" w:hAnsi="Arial" w:cs="Arial"/>
      <w:b/>
      <w:snapToGrid w:val="0"/>
      <w:color w:val="000000"/>
      <w:spacing w:val="2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795B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647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01DA"/>
    <w:pPr>
      <w:tabs>
        <w:tab w:val="center" w:pos="4252"/>
        <w:tab w:val="right" w:pos="8504"/>
      </w:tabs>
    </w:pPr>
    <w:rPr>
      <w:rFonts w:ascii="CG Times" w:hAnsi="CG Times"/>
      <w:szCs w:val="20"/>
      <w:lang w:val="es-CO"/>
    </w:rPr>
  </w:style>
  <w:style w:type="paragraph" w:styleId="Piedepgina">
    <w:name w:val="footer"/>
    <w:basedOn w:val="Normal"/>
    <w:semiHidden/>
    <w:rsid w:val="003101DA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3101DA"/>
    <w:pPr>
      <w:shd w:val="clear" w:color="auto" w:fill="C0C0C0"/>
      <w:jc w:val="center"/>
    </w:pPr>
    <w:rPr>
      <w:rFonts w:ascii="Comic Sans MS" w:hAnsi="Comic Sans MS"/>
      <w:color w:val="0000FF"/>
      <w:sz w:val="36"/>
      <w:szCs w:val="20"/>
      <w:lang w:val="es-C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merodepgina">
    <w:name w:val="page number"/>
    <w:basedOn w:val="Fuentedeprrafopredeter"/>
    <w:semiHidden/>
    <w:rsid w:val="003101DA"/>
  </w:style>
  <w:style w:type="paragraph" w:styleId="Textoindependiente">
    <w:name w:val="Body Text"/>
    <w:basedOn w:val="Normal"/>
    <w:link w:val="TextoindependienteCar"/>
    <w:semiHidden/>
    <w:rsid w:val="003101DA"/>
    <w:pPr>
      <w:jc w:val="center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link w:val="Textoindependiente3Car"/>
    <w:semiHidden/>
    <w:rsid w:val="003101DA"/>
    <w:pPr>
      <w:jc w:val="center"/>
      <w:outlineLvl w:val="0"/>
    </w:pPr>
    <w:rPr>
      <w:rFonts w:ascii="Arial" w:hAnsi="Arial" w:cs="Arial"/>
      <w:b/>
      <w:bCs/>
      <w:spacing w:val="-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5FA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93C4F"/>
    <w:rPr>
      <w:rFonts w:ascii="CG Times" w:hAnsi="CG Times"/>
      <w:sz w:val="24"/>
      <w:lang w:val="es-CO"/>
    </w:rPr>
  </w:style>
  <w:style w:type="character" w:customStyle="1" w:styleId="Ttulo3Car">
    <w:name w:val="Título 3 Car"/>
    <w:link w:val="Ttulo3"/>
    <w:rsid w:val="00141013"/>
    <w:rPr>
      <w:rFonts w:ascii="CG Times" w:hAnsi="CG Times"/>
      <w:b/>
      <w:snapToGrid w:val="0"/>
      <w:color w:val="000000"/>
      <w:sz w:val="24"/>
      <w:lang w:val="es-ES_tradnl"/>
    </w:rPr>
  </w:style>
  <w:style w:type="character" w:customStyle="1" w:styleId="Ttulo4Car">
    <w:name w:val="Título 4 Car"/>
    <w:link w:val="Ttulo4"/>
    <w:rsid w:val="00141013"/>
    <w:rPr>
      <w:rFonts w:ascii="Arial" w:hAnsi="Arial" w:cs="Arial"/>
      <w:b/>
      <w:snapToGrid w:val="0"/>
      <w:color w:val="000000"/>
      <w:spacing w:val="20"/>
      <w:lang w:val="es-ES_tradnl"/>
    </w:rPr>
  </w:style>
  <w:style w:type="character" w:customStyle="1" w:styleId="Ttulo5Car">
    <w:name w:val="Título 5 Car"/>
    <w:link w:val="Ttulo5"/>
    <w:rsid w:val="00141013"/>
    <w:rPr>
      <w:rFonts w:ascii="Arial" w:hAnsi="Arial" w:cs="Arial"/>
      <w:b/>
      <w:snapToGrid w:val="0"/>
      <w:color w:val="000000"/>
      <w:spacing w:val="20"/>
      <w:sz w:val="28"/>
      <w:lang w:val="es-ES_tradnl"/>
    </w:rPr>
  </w:style>
  <w:style w:type="character" w:customStyle="1" w:styleId="TextoindependienteCar">
    <w:name w:val="Texto independiente Car"/>
    <w:link w:val="Textoindependiente"/>
    <w:semiHidden/>
    <w:rsid w:val="00141013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semiHidden/>
    <w:rsid w:val="00141013"/>
    <w:rPr>
      <w:rFonts w:ascii="Arial" w:hAnsi="Arial" w:cs="Arial"/>
      <w:b/>
      <w:bCs/>
      <w:spacing w:val="-3"/>
      <w:sz w:val="24"/>
      <w:szCs w:val="24"/>
    </w:rPr>
  </w:style>
  <w:style w:type="table" w:styleId="Tablaconcuadrcula">
    <w:name w:val="Table Grid"/>
    <w:basedOn w:val="Tablanormal"/>
    <w:uiPriority w:val="59"/>
    <w:rsid w:val="00141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ar">
    <w:name w:val="Título 6 Car"/>
    <w:link w:val="Ttulo6"/>
    <w:rsid w:val="00795BFB"/>
    <w:rPr>
      <w:rFonts w:ascii="Calibri" w:eastAsia="Times New Roman" w:hAnsi="Calibri" w:cs="Times New Roman"/>
      <w:b/>
      <w:bCs/>
      <w:sz w:val="22"/>
      <w:szCs w:val="22"/>
    </w:rPr>
  </w:style>
  <w:style w:type="paragraph" w:styleId="Ttulo">
    <w:name w:val="Title"/>
    <w:basedOn w:val="Normal"/>
    <w:link w:val="TtuloCar"/>
    <w:qFormat/>
    <w:rsid w:val="00795BFB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rsid w:val="00795BFB"/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F5C1C"/>
    <w:pPr>
      <w:ind w:left="0"/>
    </w:pPr>
    <w:rPr>
      <w:rFonts w:ascii="Bookman Old Style" w:hAnsi="Bookman Old Style"/>
      <w:b/>
      <w:szCs w:val="20"/>
      <w:lang w:val="es-CO"/>
    </w:rPr>
  </w:style>
  <w:style w:type="character" w:customStyle="1" w:styleId="PrrafodelistaCar">
    <w:name w:val="Párrafo de lista Car"/>
    <w:link w:val="Prrafodelista"/>
    <w:uiPriority w:val="34"/>
    <w:rsid w:val="001F5C1C"/>
    <w:rPr>
      <w:rFonts w:ascii="Bookman Old Style" w:hAnsi="Bookman Old Style"/>
      <w:b/>
      <w:sz w:val="24"/>
      <w:lang w:eastAsia="es-ES"/>
    </w:rPr>
  </w:style>
  <w:style w:type="paragraph" w:styleId="TDC1">
    <w:name w:val="toc 1"/>
    <w:basedOn w:val="Normal"/>
    <w:next w:val="Normal"/>
    <w:autoRedefine/>
    <w:semiHidden/>
    <w:rsid w:val="00D03800"/>
    <w:pPr>
      <w:tabs>
        <w:tab w:val="left" w:pos="480"/>
        <w:tab w:val="right" w:leader="dot" w:pos="8828"/>
      </w:tabs>
      <w:spacing w:before="120"/>
      <w:jc w:val="both"/>
    </w:pPr>
    <w:rPr>
      <w:rFonts w:ascii="Arial" w:hAnsi="Arial"/>
      <w:noProof/>
    </w:rPr>
  </w:style>
  <w:style w:type="paragraph" w:styleId="Textodebloque">
    <w:name w:val="Block Text"/>
    <w:basedOn w:val="Normal"/>
    <w:rsid w:val="00D03800"/>
    <w:pPr>
      <w:suppressAutoHyphens/>
      <w:spacing w:after="240"/>
      <w:ind w:right="788"/>
      <w:jc w:val="both"/>
    </w:pPr>
    <w:rPr>
      <w:rFonts w:ascii="Arial" w:hAnsi="Arial"/>
      <w:spacing w:val="-3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6AE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6AE2"/>
    <w:rPr>
      <w:sz w:val="24"/>
      <w:szCs w:val="24"/>
    </w:rPr>
  </w:style>
  <w:style w:type="paragraph" w:customStyle="1" w:styleId="Epgrafe">
    <w:name w:val="Epígrafe"/>
    <w:basedOn w:val="Normal"/>
    <w:next w:val="Normal"/>
    <w:uiPriority w:val="35"/>
    <w:qFormat/>
    <w:rsid w:val="003A31F6"/>
    <w:pPr>
      <w:widowControl w:val="0"/>
      <w:adjustRightInd w:val="0"/>
      <w:spacing w:before="120" w:after="120" w:line="360" w:lineRule="atLeast"/>
      <w:ind w:left="0"/>
      <w:jc w:val="center"/>
      <w:textAlignment w:val="baseline"/>
    </w:pPr>
    <w:rPr>
      <w:rFonts w:ascii="Arial" w:hAnsi="Arial"/>
      <w:sz w:val="20"/>
      <w:szCs w:val="20"/>
    </w:rPr>
  </w:style>
  <w:style w:type="paragraph" w:styleId="Sinespaciado">
    <w:name w:val="No Spacing"/>
    <w:uiPriority w:val="1"/>
    <w:qFormat/>
    <w:rsid w:val="003A31F6"/>
    <w:rPr>
      <w:rFonts w:ascii="Calibri" w:hAnsi="Calibri" w:cs="Calibri"/>
      <w:sz w:val="22"/>
      <w:szCs w:val="22"/>
      <w:lang w:val="es-ES" w:eastAsia="en-US"/>
    </w:rPr>
  </w:style>
  <w:style w:type="character" w:customStyle="1" w:styleId="apple-style-span">
    <w:name w:val="apple-style-span"/>
    <w:rsid w:val="003A31F6"/>
    <w:rPr>
      <w:rFonts w:ascii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3A31F6"/>
    <w:pPr>
      <w:ind w:left="0"/>
    </w:pPr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rsid w:val="003A31F6"/>
    <w:rPr>
      <w:rFonts w:ascii="Century Gothic" w:hAnsi="Century Gothic"/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3A31F6"/>
  </w:style>
  <w:style w:type="paragraph" w:customStyle="1" w:styleId="BodyText21">
    <w:name w:val="Body Text 21"/>
    <w:basedOn w:val="Normal"/>
    <w:uiPriority w:val="99"/>
    <w:rsid w:val="00C034CB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djustRightInd w:val="0"/>
      <w:spacing w:before="120" w:after="120" w:line="240" w:lineRule="exact"/>
      <w:ind w:left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tulo7Car">
    <w:name w:val="Título 7 Car"/>
    <w:link w:val="Ttulo7"/>
    <w:uiPriority w:val="9"/>
    <w:semiHidden/>
    <w:rsid w:val="006B464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46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01463"/>
    <w:rPr>
      <w:sz w:val="24"/>
      <w:szCs w:val="24"/>
      <w:lang w:val="es-ES" w:eastAsia="es-ES"/>
    </w:rPr>
  </w:style>
  <w:style w:type="paragraph" w:customStyle="1" w:styleId="Vietaletra">
    <w:name w:val="Viñeta letra"/>
    <w:basedOn w:val="Normal"/>
    <w:next w:val="Normal"/>
    <w:rsid w:val="00E01463"/>
    <w:pPr>
      <w:numPr>
        <w:numId w:val="16"/>
      </w:numPr>
      <w:suppressAutoHyphens/>
      <w:overflowPunct w:val="0"/>
      <w:autoSpaceDE w:val="0"/>
      <w:ind w:left="0"/>
      <w:jc w:val="both"/>
      <w:textAlignment w:val="baseline"/>
    </w:pPr>
    <w:rPr>
      <w:rFonts w:ascii="Arial" w:hAnsi="Arial"/>
      <w:szCs w:val="20"/>
      <w:lang w:val="es-ES_tradnl" w:eastAsia="ar-SA"/>
    </w:rPr>
  </w:style>
  <w:style w:type="paragraph" w:customStyle="1" w:styleId="TableHeading">
    <w:name w:val="Table Heading"/>
    <w:basedOn w:val="Normal"/>
    <w:rsid w:val="00E01463"/>
    <w:pPr>
      <w:suppressLineNumbers/>
      <w:suppressAutoHyphens/>
      <w:ind w:left="0"/>
      <w:jc w:val="center"/>
    </w:pPr>
    <w:rPr>
      <w:rFonts w:ascii="Arial" w:hAnsi="Arial"/>
      <w:b/>
      <w:bCs/>
      <w:sz w:val="22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060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060BE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A22B5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734D"/>
    <w:pPr>
      <w:spacing w:before="100" w:beforeAutospacing="1" w:after="100" w:afterAutospacing="1"/>
      <w:ind w:left="0"/>
    </w:pPr>
    <w:rPr>
      <w:lang w:val="es-CO" w:eastAsia="es-CO"/>
    </w:rPr>
  </w:style>
  <w:style w:type="character" w:customStyle="1" w:styleId="glossary-item-container">
    <w:name w:val="glossary-item-container"/>
    <w:basedOn w:val="Fuentedeprrafopredeter"/>
    <w:rsid w:val="00C85D3C"/>
  </w:style>
  <w:style w:type="character" w:styleId="Refdecomentario">
    <w:name w:val="annotation reference"/>
    <w:basedOn w:val="Fuentedeprrafopredeter"/>
    <w:uiPriority w:val="99"/>
    <w:semiHidden/>
    <w:unhideWhenUsed/>
    <w:rsid w:val="00984A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4A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4A1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A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A10"/>
    <w:rPr>
      <w:b/>
      <w:bCs/>
      <w:lang w:val="es-ES" w:eastAsia="es-ES"/>
    </w:rPr>
  </w:style>
  <w:style w:type="character" w:styleId="Mencionar">
    <w:name w:val="Mention"/>
    <w:basedOn w:val="Fuentedeprrafopredeter"/>
    <w:uiPriority w:val="99"/>
    <w:unhideWhenUsed/>
    <w:rsid w:val="00984A10"/>
    <w:rPr>
      <w:color w:val="2B579A"/>
      <w:shd w:val="clear" w:color="auto" w:fill="E1DFDD"/>
    </w:rPr>
  </w:style>
  <w:style w:type="character" w:customStyle="1" w:styleId="ui-provider">
    <w:name w:val="ui-provider"/>
    <w:basedOn w:val="Fuentedeprrafopredeter"/>
    <w:rsid w:val="00BD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estornormativo.creg.gov.co/gestor/entorno/docs/ley_0143_1994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stornormativo.creg.gov.co/gestor/entorno/docs/ley_0142_1994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estornormativo.creg.gov.co/gestor/entorno/docs/ley_0143_1994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yperlink" Target="https://gestornormativo.creg.gov.co/gestor/entorno/docs/ley_0143_1994.htm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estornormativo.creg.gov.co/gestor/entorno/docs/ley_0143_1994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lla%20Rojas\Nueva%20carpeta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4FDF199FE64438732850D4FBE260F" ma:contentTypeVersion="15" ma:contentTypeDescription="Crear nuevo documento." ma:contentTypeScope="" ma:versionID="17f2a170d553fb93ad4ee4bdf6a16c42">
  <xsd:schema xmlns:xsd="http://www.w3.org/2001/XMLSchema" xmlns:xs="http://www.w3.org/2001/XMLSchema" xmlns:p="http://schemas.microsoft.com/office/2006/metadata/properties" xmlns:ns2="0f90cc45-9d06-4234-8034-eeec6c0c7cc1" xmlns:ns3="309f6219-a73f-4366-a00d-6bacb1e9f8e0" targetNamespace="http://schemas.microsoft.com/office/2006/metadata/properties" ma:root="true" ma:fieldsID="b59e0bb1a8da7664ae293ee389bee3f9" ns2:_="" ns3:_="">
    <xsd:import namespace="0f90cc45-9d06-4234-8034-eeec6c0c7cc1"/>
    <xsd:import namespace="309f6219-a73f-4366-a00d-6bacb1e9f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cc45-9d06-4234-8034-eeec6c0c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219-a73f-4366-a00d-6bacb1e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a0a591-6e08-4792-bc2c-079f6227fde3}" ma:internalName="TaxCatchAll" ma:showField="CatchAllData" ma:web="309f6219-a73f-4366-a00d-6bacb1e9f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0cc45-9d06-4234-8034-eeec6c0c7cc1">
      <Terms xmlns="http://schemas.microsoft.com/office/infopath/2007/PartnerControls"/>
    </lcf76f155ced4ddcb4097134ff3c332f>
    <TaxCatchAll xmlns="309f6219-a73f-4366-a00d-6bacb1e9f8e0" xsi:nil="true"/>
    <SharedWithUsers xmlns="309f6219-a73f-4366-a00d-6bacb1e9f8e0">
      <UserInfo>
        <DisplayName>Antonio Jimenez</DisplayName>
        <AccountId>103</AccountId>
        <AccountType/>
      </UserInfo>
      <UserInfo>
        <DisplayName>Juan Camilo Cely Castro</DisplayName>
        <AccountId>16</AccountId>
        <AccountType/>
      </UserInfo>
      <UserInfo>
        <DisplayName>Hugo Enrique Pacheco De Leon</DisplayName>
        <AccountId>51</AccountId>
        <AccountType/>
      </UserInfo>
      <UserInfo>
        <DisplayName>Diego Ernesto Mariño Silva</DisplayName>
        <AccountId>49</AccountId>
        <AccountType/>
      </UserInfo>
      <UserInfo>
        <DisplayName>Andres Hernando Dominguez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C6455B-7853-4504-9B20-61936EBE5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0cc45-9d06-4234-8034-eeec6c0c7cc1"/>
    <ds:schemaRef ds:uri="309f6219-a73f-4366-a00d-6bacb1e9f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C04CB-704A-415F-A103-DDCB96898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1FE04-E078-4CAA-9494-373B8A607A3C}">
  <ds:schemaRefs>
    <ds:schemaRef ds:uri="http://schemas.microsoft.com/office/2006/metadata/properties"/>
    <ds:schemaRef ds:uri="http://schemas.microsoft.com/office/infopath/2007/PartnerControls"/>
    <ds:schemaRef ds:uri="0f90cc45-9d06-4234-8034-eeec6c0c7cc1"/>
    <ds:schemaRef ds:uri="309f6219-a73f-4366-a00d-6bacb1e9f8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PLANTILLA1</Template>
  <TotalTime>17</TotalTime>
  <Pages>6</Pages>
  <Words>2261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CREG</Company>
  <LinksUpToDate>false</LinksUpToDate>
  <CharactersWithSpaces>14671</CharactersWithSpaces>
  <SharedDoc>false</SharedDoc>
  <HLinks>
    <vt:vector size="30" baseType="variant">
      <vt:variant>
        <vt:i4>589911</vt:i4>
      </vt:variant>
      <vt:variant>
        <vt:i4>12</vt:i4>
      </vt:variant>
      <vt:variant>
        <vt:i4>0</vt:i4>
      </vt:variant>
      <vt:variant>
        <vt:i4>5</vt:i4>
      </vt:variant>
      <vt:variant>
        <vt:lpwstr>https://gestornormativo.creg.gov.co/gestor/entorno/docs/ley_0143_1994.htm</vt:lpwstr>
      </vt:variant>
      <vt:variant>
        <vt:lpwstr>20</vt:lpwstr>
      </vt:variant>
      <vt:variant>
        <vt:i4>655447</vt:i4>
      </vt:variant>
      <vt:variant>
        <vt:i4>9</vt:i4>
      </vt:variant>
      <vt:variant>
        <vt:i4>0</vt:i4>
      </vt:variant>
      <vt:variant>
        <vt:i4>5</vt:i4>
      </vt:variant>
      <vt:variant>
        <vt:lpwstr>https://gestornormativo.creg.gov.co/gestor/entorno/docs/ley_0143_1994.htm</vt:lpwstr>
      </vt:variant>
      <vt:variant>
        <vt:lpwstr>23</vt:lpwstr>
      </vt:variant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https://gestornormativo.creg.gov.co/gestor/entorno/docs/ley_0143_1994.htm</vt:lpwstr>
      </vt:variant>
      <vt:variant>
        <vt:lpwstr>20</vt:lpwstr>
      </vt:variant>
      <vt:variant>
        <vt:i4>3735633</vt:i4>
      </vt:variant>
      <vt:variant>
        <vt:i4>3</vt:i4>
      </vt:variant>
      <vt:variant>
        <vt:i4>0</vt:i4>
      </vt:variant>
      <vt:variant>
        <vt:i4>5</vt:i4>
      </vt:variant>
      <vt:variant>
        <vt:lpwstr>https://gestornormativo.creg.gov.co/gestor/entorno/docs/ley_0143_1994.htm</vt:lpwstr>
      </vt:variant>
      <vt:variant>
        <vt:lpwstr>4</vt:lpwstr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https://gestornormativo.creg.gov.co/gestor/entorno/docs/ley_0142_1994.htm</vt:lpwstr>
      </vt:variant>
      <vt:variant>
        <vt:lpwstr>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LSROJAS</dc:creator>
  <cp:keywords/>
  <cp:lastModifiedBy>Wilson Sanchez Sanchez</cp:lastModifiedBy>
  <cp:revision>7</cp:revision>
  <cp:lastPrinted>2011-07-21T13:53:00Z</cp:lastPrinted>
  <dcterms:created xsi:type="dcterms:W3CDTF">2024-06-06T00:43:00Z</dcterms:created>
  <dcterms:modified xsi:type="dcterms:W3CDTF">2024-06-06T13:09:00Z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0x010100A7D4FDF199FE64438732850D4FBE260F</vt:lpwstr>
  </property>
  <property fmtid="{D5CDD505-2E9C-101B-9397-08002B2CF9AE}" pid="3" name="MediaServiceImageTags">
    <vt:lpwstr/>
  </property>
</Properties>
</file>