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DE5F" w14:textId="76EE0142" w:rsidR="005F57B9" w:rsidRPr="00AB2F55" w:rsidRDefault="005F57B9" w:rsidP="005F57B9">
      <w:pPr>
        <w:rPr>
          <w:rFonts w:ascii="Arial" w:hAnsi="Arial" w:cs="Arial"/>
        </w:rPr>
      </w:pPr>
      <w:r w:rsidRPr="00AB2F55">
        <w:rPr>
          <w:rFonts w:ascii="Arial" w:hAnsi="Arial" w:cs="Arial"/>
        </w:rPr>
        <w:t>Bogotá, D.C.,</w:t>
      </w:r>
      <w:r w:rsidR="0001099F">
        <w:rPr>
          <w:rFonts w:ascii="Arial" w:hAnsi="Arial" w:cs="Arial"/>
        </w:rPr>
        <w:t xml:space="preserve"> 26 de junio de 2024</w:t>
      </w:r>
    </w:p>
    <w:p w14:paraId="00BFC173" w14:textId="77777777" w:rsidR="005F57B9" w:rsidRPr="00AB2F55" w:rsidRDefault="005F57B9" w:rsidP="005F57B9">
      <w:pPr>
        <w:rPr>
          <w:rFonts w:ascii="Arial" w:eastAsia="Times New Roman" w:hAnsi="Arial" w:cs="Arial"/>
          <w:bCs/>
          <w:lang w:val="es-ES" w:eastAsia="es-ES"/>
        </w:rPr>
      </w:pPr>
      <w:r w:rsidRPr="00AB2F55">
        <w:rPr>
          <w:rFonts w:ascii="Arial" w:eastAsia="Times New Roman" w:hAnsi="Arial" w:cs="Arial"/>
          <w:bCs/>
          <w:lang w:val="es-ES" w:eastAsia="es-ES"/>
        </w:rPr>
        <w:t xml:space="preserve"> </w:t>
      </w:r>
    </w:p>
    <w:p w14:paraId="576D1192" w14:textId="77777777" w:rsidR="005F57B9" w:rsidRPr="00AB2F55" w:rsidRDefault="005F57B9" w:rsidP="005F57B9">
      <w:pPr>
        <w:jc w:val="center"/>
        <w:rPr>
          <w:rFonts w:ascii="Arial" w:eastAsia="Times New Roman" w:hAnsi="Arial" w:cs="Arial"/>
          <w:b/>
          <w:color w:val="000000"/>
          <w:spacing w:val="-5"/>
        </w:rPr>
      </w:pPr>
    </w:p>
    <w:p w14:paraId="0E48021C" w14:textId="7785E43D" w:rsidR="005F57B9" w:rsidRPr="00AB2F55" w:rsidRDefault="005F57B9" w:rsidP="005F57B9">
      <w:pPr>
        <w:jc w:val="center"/>
        <w:rPr>
          <w:rFonts w:ascii="Arial" w:eastAsia="Times New Roman" w:hAnsi="Arial" w:cs="Arial"/>
          <w:b/>
          <w:color w:val="000000"/>
          <w:spacing w:val="-5"/>
        </w:rPr>
      </w:pPr>
      <w:r w:rsidRPr="00AB2F55">
        <w:rPr>
          <w:rFonts w:ascii="Arial" w:eastAsia="Times New Roman" w:hAnsi="Arial" w:cs="Arial"/>
          <w:b/>
          <w:color w:val="000000"/>
          <w:spacing w:val="-5"/>
        </w:rPr>
        <w:t xml:space="preserve">AVISO No. </w:t>
      </w:r>
      <w:r w:rsidR="0001099F" w:rsidRPr="0001099F">
        <w:rPr>
          <w:rFonts w:ascii="Arial" w:eastAsia="Times New Roman" w:hAnsi="Arial" w:cs="Arial"/>
          <w:b/>
          <w:color w:val="000000"/>
          <w:spacing w:val="-5"/>
        </w:rPr>
        <w:t>0000263</w:t>
      </w:r>
      <w:r w:rsidR="0001099F">
        <w:rPr>
          <w:rFonts w:ascii="Arial" w:eastAsia="Times New Roman" w:hAnsi="Arial" w:cs="Arial"/>
          <w:b/>
          <w:color w:val="000000"/>
          <w:spacing w:val="-5"/>
        </w:rPr>
        <w:t xml:space="preserve"> de 2024</w:t>
      </w:r>
    </w:p>
    <w:p w14:paraId="7B85929B" w14:textId="77777777" w:rsidR="005F57B9" w:rsidRPr="00AB2F55" w:rsidRDefault="005F57B9" w:rsidP="005F57B9">
      <w:pPr>
        <w:rPr>
          <w:rFonts w:ascii="Arial" w:eastAsia="Times New Roman" w:hAnsi="Arial" w:cs="Arial"/>
          <w:spacing w:val="-5"/>
        </w:rPr>
      </w:pPr>
    </w:p>
    <w:p w14:paraId="4E564B7B" w14:textId="77777777"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bCs/>
          <w:spacing w:val="-5"/>
        </w:rPr>
        <w:t xml:space="preserve">LA COMISIÓN DE REGULACIÓN DE ENERGÍA Y GAS, </w:t>
      </w:r>
      <w:r w:rsidRPr="00AB2F55">
        <w:rPr>
          <w:rFonts w:ascii="Arial" w:eastAsia="Times New Roman" w:hAnsi="Arial" w:cs="Arial"/>
          <w:b/>
          <w:spacing w:val="-5"/>
        </w:rPr>
        <w:t>CREG</w:t>
      </w:r>
    </w:p>
    <w:p w14:paraId="5F9A7B3C" w14:textId="77777777" w:rsidR="005F57B9" w:rsidRPr="00AB2F55" w:rsidRDefault="005F57B9" w:rsidP="005F57B9">
      <w:pPr>
        <w:jc w:val="center"/>
        <w:rPr>
          <w:rFonts w:ascii="Arial" w:eastAsia="Times New Roman" w:hAnsi="Arial" w:cs="Arial"/>
          <w:b/>
          <w:spacing w:val="-5"/>
        </w:rPr>
      </w:pPr>
    </w:p>
    <w:p w14:paraId="15BBAD9F" w14:textId="2B76E542" w:rsidR="00DB08DE" w:rsidRPr="002B1983" w:rsidRDefault="00DB08DE" w:rsidP="00DB08DE">
      <w:pPr>
        <w:pStyle w:val="Encabezado"/>
        <w:spacing w:line="360" w:lineRule="auto"/>
        <w:ind w:left="1134" w:right="48" w:hanging="1134"/>
        <w:jc w:val="both"/>
        <w:rPr>
          <w:rFonts w:ascii="Arial" w:hAnsi="Arial" w:cs="Arial"/>
          <w:lang w:val="es-ES"/>
        </w:rPr>
      </w:pPr>
      <w:r w:rsidRPr="00C84CDC">
        <w:rPr>
          <w:rFonts w:ascii="Arial" w:hAnsi="Arial" w:cs="Arial"/>
          <w:b/>
          <w:bCs/>
        </w:rPr>
        <w:t>Asunto:</w:t>
      </w:r>
      <w:r w:rsidRPr="00C84CDC">
        <w:rPr>
          <w:rFonts w:ascii="Arial" w:hAnsi="Arial" w:cs="Arial"/>
        </w:rPr>
        <w:tab/>
      </w:r>
      <w:r w:rsidRPr="500FED49">
        <w:rPr>
          <w:rFonts w:ascii="Arial" w:hAnsi="Arial" w:cs="Arial"/>
        </w:rPr>
        <w:t xml:space="preserve">Inicio de </w:t>
      </w:r>
      <w:r w:rsidR="008F303A">
        <w:rPr>
          <w:rFonts w:ascii="Arial" w:hAnsi="Arial" w:cs="Arial"/>
        </w:rPr>
        <w:t>la a</w:t>
      </w:r>
      <w:r w:rsidRPr="500FED49">
        <w:rPr>
          <w:rFonts w:ascii="Arial" w:hAnsi="Arial" w:cs="Arial"/>
        </w:rPr>
        <w:t xml:space="preserve">ctuación </w:t>
      </w:r>
      <w:r w:rsidR="008F303A">
        <w:rPr>
          <w:rFonts w:ascii="Arial" w:hAnsi="Arial" w:cs="Arial"/>
        </w:rPr>
        <w:t>a</w:t>
      </w:r>
      <w:r w:rsidRPr="500FED49">
        <w:rPr>
          <w:rFonts w:ascii="Arial" w:hAnsi="Arial" w:cs="Arial"/>
        </w:rPr>
        <w:t xml:space="preserve">dministrativa </w:t>
      </w:r>
      <w:r w:rsidR="00724A75">
        <w:rPr>
          <w:rFonts w:ascii="Arial" w:hAnsi="Arial" w:cs="Arial"/>
        </w:rPr>
        <w:t xml:space="preserve">de la solicitud presentada por la empresa </w:t>
      </w:r>
      <w:r w:rsidR="00724A75" w:rsidRPr="00724A75">
        <w:rPr>
          <w:rFonts w:ascii="Arial" w:hAnsi="Arial" w:cs="Arial"/>
        </w:rPr>
        <w:t xml:space="preserve">DISTRIGAS DEL DARIÉN S.A.S E.S.P. </w:t>
      </w:r>
      <w:r w:rsidRPr="500FED49">
        <w:rPr>
          <w:rFonts w:ascii="Arial" w:hAnsi="Arial" w:cs="Arial"/>
        </w:rPr>
        <w:t>para la Aprobación</w:t>
      </w:r>
      <w:r w:rsidR="00065DB0">
        <w:rPr>
          <w:rFonts w:ascii="Arial" w:hAnsi="Arial" w:cs="Arial"/>
        </w:rPr>
        <w:t xml:space="preserve"> de cargos de </w:t>
      </w:r>
      <w:r w:rsidR="008F303A">
        <w:rPr>
          <w:rFonts w:ascii="Arial" w:hAnsi="Arial" w:cs="Arial"/>
        </w:rPr>
        <w:t>Distribución</w:t>
      </w:r>
      <w:r w:rsidR="00065DB0">
        <w:rPr>
          <w:rFonts w:ascii="Arial" w:hAnsi="Arial" w:cs="Arial"/>
        </w:rPr>
        <w:t xml:space="preserve"> y </w:t>
      </w:r>
      <w:r w:rsidRPr="500FED49">
        <w:rPr>
          <w:rFonts w:ascii="Arial" w:hAnsi="Arial" w:cs="Arial"/>
        </w:rPr>
        <w:t xml:space="preserve">del Componente Fijo del Costo de Comercialización </w:t>
      </w:r>
      <w:r w:rsidR="00065DB0">
        <w:rPr>
          <w:rFonts w:ascii="Arial" w:hAnsi="Arial" w:cs="Arial"/>
        </w:rPr>
        <w:t xml:space="preserve">para el Mercado Relevante de </w:t>
      </w:r>
      <w:r w:rsidR="008F303A">
        <w:rPr>
          <w:rFonts w:ascii="Arial" w:hAnsi="Arial" w:cs="Arial"/>
        </w:rPr>
        <w:t>Distribución</w:t>
      </w:r>
      <w:r w:rsidR="00065DB0">
        <w:rPr>
          <w:rFonts w:ascii="Arial" w:hAnsi="Arial" w:cs="Arial"/>
        </w:rPr>
        <w:t xml:space="preserve"> conformado por el </w:t>
      </w:r>
      <w:r w:rsidR="00065DB0" w:rsidRPr="004B56E7">
        <w:rPr>
          <w:rFonts w:ascii="Arial" w:hAnsi="Arial" w:cs="Arial"/>
          <w:lang w:val="es-MX"/>
        </w:rPr>
        <w:t>municipio de Acandí en el departamento de Choco</w:t>
      </w:r>
      <w:r w:rsidR="00065DB0">
        <w:rPr>
          <w:rFonts w:ascii="Arial" w:hAnsi="Arial" w:cs="Arial"/>
          <w:lang w:val="es-MX"/>
        </w:rPr>
        <w:t>.</w:t>
      </w:r>
    </w:p>
    <w:p w14:paraId="5C005838" w14:textId="36A2FC4D" w:rsidR="00DB08DE" w:rsidRDefault="00DB08DE" w:rsidP="00DB08DE">
      <w:pPr>
        <w:spacing w:line="360" w:lineRule="auto"/>
        <w:ind w:left="1134"/>
        <w:jc w:val="both"/>
        <w:rPr>
          <w:rFonts w:ascii="Arial" w:hAnsi="Arial" w:cs="Arial"/>
          <w:bCs/>
        </w:rPr>
      </w:pPr>
    </w:p>
    <w:p w14:paraId="144543AC" w14:textId="4A82FEE3" w:rsidR="00DB08DE" w:rsidRPr="00C84CDC" w:rsidRDefault="008F303A" w:rsidP="00DB08DE">
      <w:pPr>
        <w:spacing w:line="360" w:lineRule="auto"/>
        <w:ind w:left="1134"/>
        <w:jc w:val="both"/>
        <w:rPr>
          <w:rFonts w:ascii="Arial" w:hAnsi="Arial" w:cs="Arial"/>
          <w:bCs/>
        </w:rPr>
      </w:pPr>
      <w:r>
        <w:rPr>
          <w:rFonts w:ascii="Arial" w:hAnsi="Arial" w:cs="Arial"/>
          <w:bCs/>
        </w:rPr>
        <w:t>Radicado CREG</w:t>
      </w:r>
      <w:r w:rsidR="00DB08DE" w:rsidRPr="00C84CDC">
        <w:rPr>
          <w:rFonts w:ascii="Arial" w:hAnsi="Arial" w:cs="Arial"/>
          <w:bCs/>
        </w:rPr>
        <w:t xml:space="preserve">: </w:t>
      </w:r>
      <w:r w:rsidRPr="008F303A">
        <w:rPr>
          <w:rFonts w:ascii="Arial" w:hAnsi="Arial" w:cs="Arial"/>
          <w:bCs/>
        </w:rPr>
        <w:t>E2023020913</w:t>
      </w:r>
    </w:p>
    <w:p w14:paraId="44768690" w14:textId="77777777" w:rsidR="005F57B9" w:rsidRPr="00AB2F55" w:rsidRDefault="005F57B9" w:rsidP="005F57B9">
      <w:pPr>
        <w:jc w:val="center"/>
        <w:rPr>
          <w:rFonts w:ascii="Arial" w:eastAsia="Times New Roman" w:hAnsi="Arial" w:cs="Arial"/>
          <w:b/>
          <w:spacing w:val="-5"/>
        </w:rPr>
      </w:pPr>
    </w:p>
    <w:p w14:paraId="512A74E8" w14:textId="77777777" w:rsidR="007A45D4" w:rsidRDefault="007A45D4" w:rsidP="005F57B9">
      <w:pPr>
        <w:jc w:val="center"/>
        <w:rPr>
          <w:rFonts w:ascii="Arial" w:eastAsia="Times New Roman" w:hAnsi="Arial" w:cs="Arial"/>
          <w:b/>
          <w:spacing w:val="-5"/>
        </w:rPr>
      </w:pPr>
    </w:p>
    <w:p w14:paraId="2B6629F4" w14:textId="77777777" w:rsidR="007A45D4" w:rsidRDefault="007A45D4" w:rsidP="005F57B9">
      <w:pPr>
        <w:jc w:val="center"/>
        <w:rPr>
          <w:rFonts w:ascii="Arial" w:eastAsia="Times New Roman" w:hAnsi="Arial" w:cs="Arial"/>
          <w:b/>
          <w:spacing w:val="-5"/>
        </w:rPr>
      </w:pPr>
    </w:p>
    <w:p w14:paraId="12150D05" w14:textId="64D3C62A" w:rsidR="005F57B9" w:rsidRPr="00AB2F55" w:rsidRDefault="005F57B9" w:rsidP="005F57B9">
      <w:pPr>
        <w:jc w:val="center"/>
        <w:rPr>
          <w:rFonts w:ascii="Arial" w:eastAsia="Times New Roman" w:hAnsi="Arial" w:cs="Arial"/>
          <w:b/>
          <w:spacing w:val="-5"/>
        </w:rPr>
      </w:pPr>
      <w:r w:rsidRPr="00AB2F55">
        <w:rPr>
          <w:rFonts w:ascii="Arial" w:eastAsia="Times New Roman" w:hAnsi="Arial" w:cs="Arial"/>
          <w:b/>
          <w:spacing w:val="-5"/>
        </w:rPr>
        <w:t>HACE SABER QUE:</w:t>
      </w:r>
    </w:p>
    <w:p w14:paraId="4CA12FF7" w14:textId="77777777" w:rsidR="005F57B9" w:rsidRPr="00AB2F55" w:rsidRDefault="005F57B9" w:rsidP="008C7512">
      <w:pPr>
        <w:spacing w:before="240" w:after="240" w:line="276" w:lineRule="auto"/>
        <w:jc w:val="both"/>
        <w:rPr>
          <w:rFonts w:ascii="Arial" w:eastAsia="Times New Roman" w:hAnsi="Arial" w:cs="Arial"/>
          <w:lang w:val="es-CO" w:eastAsia="es-CO"/>
        </w:rPr>
      </w:pPr>
      <w:r w:rsidRPr="00AB2F55">
        <w:rPr>
          <w:rFonts w:ascii="Arial" w:hAnsi="Arial" w:cs="Aria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se expidió tanto la metodología para la remuneración de la actividad de distribución de gas combustible por redes de tubería, contenida en las Resoluciones CREG 202 de 2013, 138 de 2014, 090 de 2018 y 132 de 2018 y 011 de 2020, en adelante la Metodología de Distribución; como los criterios generales para remunerar la actividad de comercialización minorista de gas combustible a usuarios regulados y las reglas para la aprobación de los cargos tarifarios correspondientes, contenidas en la Resolución CREG 102 003 de 2022, en adelante la Metodología de Comercialización. </w:t>
      </w:r>
    </w:p>
    <w:p w14:paraId="5EB9E494" w14:textId="5341223D" w:rsidR="005F57B9" w:rsidRPr="00AB2F55" w:rsidRDefault="00A87868" w:rsidP="008C7512">
      <w:pPr>
        <w:pStyle w:val="Textoindependiente"/>
        <w:spacing w:after="0" w:line="276" w:lineRule="auto"/>
        <w:rPr>
          <w:rFonts w:eastAsiaTheme="minorEastAsia" w:cs="Arial"/>
          <w:spacing w:val="0"/>
          <w:sz w:val="24"/>
          <w:szCs w:val="24"/>
          <w:lang w:val="es-ES_tradnl"/>
        </w:rPr>
      </w:pPr>
      <w:r w:rsidRPr="00A87868">
        <w:rPr>
          <w:rFonts w:eastAsiaTheme="minorEastAsia" w:cs="Arial"/>
          <w:spacing w:val="0"/>
          <w:sz w:val="24"/>
          <w:szCs w:val="24"/>
          <w:lang w:val="es-ES_tradnl"/>
        </w:rPr>
        <w:t>DISTRIGAS DEL DARIÉN S.A.S E.S.P</w:t>
      </w:r>
      <w:r w:rsidR="004823E4" w:rsidRPr="004823E4">
        <w:rPr>
          <w:rFonts w:eastAsiaTheme="minorEastAsia" w:cs="Arial"/>
          <w:spacing w:val="0"/>
          <w:sz w:val="24"/>
          <w:szCs w:val="24"/>
          <w:lang w:val="es-ES_tradnl"/>
        </w:rPr>
        <w:t xml:space="preserve">. </w:t>
      </w:r>
      <w:r w:rsidR="005F57B9" w:rsidRPr="00AB2F55">
        <w:rPr>
          <w:rFonts w:eastAsiaTheme="minorEastAsia" w:cs="Arial"/>
          <w:spacing w:val="0"/>
          <w:sz w:val="24"/>
          <w:szCs w:val="24"/>
          <w:lang w:val="es-ES_tradnl"/>
        </w:rPr>
        <w:t xml:space="preserve">(en adelante La Empresa), mediante radicado </w:t>
      </w:r>
      <w:r w:rsidR="00EF54FE">
        <w:rPr>
          <w:rFonts w:eastAsiaTheme="minorEastAsia" w:cs="Arial"/>
          <w:spacing w:val="0"/>
          <w:sz w:val="24"/>
          <w:szCs w:val="24"/>
          <w:lang w:val="es-ES_tradnl"/>
        </w:rPr>
        <w:t xml:space="preserve">CREG </w:t>
      </w:r>
      <w:r w:rsidRPr="00A87868">
        <w:rPr>
          <w:rFonts w:eastAsiaTheme="minorEastAsia" w:cs="Arial"/>
          <w:spacing w:val="0"/>
          <w:sz w:val="24"/>
          <w:szCs w:val="24"/>
          <w:lang w:val="es-ES_tradnl"/>
        </w:rPr>
        <w:t>E2023020913</w:t>
      </w:r>
      <w:r w:rsidR="009676F6" w:rsidRPr="009676F6">
        <w:rPr>
          <w:rFonts w:eastAsiaTheme="minorEastAsia" w:cs="Arial"/>
          <w:spacing w:val="0"/>
          <w:sz w:val="24"/>
          <w:szCs w:val="24"/>
          <w:lang w:val="es-ES_tradnl"/>
        </w:rPr>
        <w:t xml:space="preserve"> del </w:t>
      </w:r>
      <w:r w:rsidR="004823E4">
        <w:rPr>
          <w:rFonts w:eastAsiaTheme="minorEastAsia" w:cs="Arial"/>
          <w:spacing w:val="0"/>
          <w:sz w:val="24"/>
          <w:szCs w:val="24"/>
          <w:lang w:val="es-ES_tradnl"/>
        </w:rPr>
        <w:t>1</w:t>
      </w:r>
      <w:r>
        <w:rPr>
          <w:rFonts w:eastAsiaTheme="minorEastAsia" w:cs="Arial"/>
          <w:spacing w:val="0"/>
          <w:sz w:val="24"/>
          <w:szCs w:val="24"/>
          <w:lang w:val="es-ES_tradnl"/>
        </w:rPr>
        <w:t>1</w:t>
      </w:r>
      <w:r w:rsidR="009676F6" w:rsidRPr="009676F6">
        <w:rPr>
          <w:rFonts w:eastAsiaTheme="minorEastAsia" w:cs="Arial"/>
          <w:spacing w:val="0"/>
          <w:sz w:val="24"/>
          <w:szCs w:val="24"/>
          <w:lang w:val="es-ES_tradnl"/>
        </w:rPr>
        <w:t xml:space="preserve"> de </w:t>
      </w:r>
      <w:r>
        <w:rPr>
          <w:rFonts w:eastAsiaTheme="minorEastAsia" w:cs="Arial"/>
          <w:spacing w:val="0"/>
          <w:sz w:val="24"/>
          <w:szCs w:val="24"/>
          <w:lang w:val="es-ES_tradnl"/>
        </w:rPr>
        <w:t>diciembre</w:t>
      </w:r>
      <w:r w:rsidR="004823E4">
        <w:rPr>
          <w:rFonts w:eastAsiaTheme="minorEastAsia" w:cs="Arial"/>
          <w:spacing w:val="0"/>
          <w:sz w:val="24"/>
          <w:szCs w:val="24"/>
          <w:lang w:val="es-ES_tradnl"/>
        </w:rPr>
        <w:t xml:space="preserve"> </w:t>
      </w:r>
      <w:r w:rsidR="009676F6" w:rsidRPr="009676F6">
        <w:rPr>
          <w:rFonts w:eastAsiaTheme="minorEastAsia" w:cs="Arial"/>
          <w:spacing w:val="0"/>
          <w:sz w:val="24"/>
          <w:szCs w:val="24"/>
          <w:lang w:val="es-ES_tradnl"/>
        </w:rPr>
        <w:t>de 202</w:t>
      </w:r>
      <w:r w:rsidR="00AC1263">
        <w:rPr>
          <w:rFonts w:eastAsiaTheme="minorEastAsia" w:cs="Arial"/>
          <w:spacing w:val="0"/>
          <w:sz w:val="24"/>
          <w:szCs w:val="24"/>
          <w:lang w:val="es-ES_tradnl"/>
        </w:rPr>
        <w:t>3</w:t>
      </w:r>
      <w:r w:rsidR="009676F6" w:rsidRPr="009676F6">
        <w:rPr>
          <w:rFonts w:eastAsiaTheme="minorEastAsia" w:cs="Arial"/>
          <w:spacing w:val="0"/>
          <w:sz w:val="24"/>
          <w:szCs w:val="24"/>
          <w:lang w:val="es-ES_tradnl"/>
        </w:rPr>
        <w:t xml:space="preserve">, complementada con </w:t>
      </w:r>
      <w:r w:rsidR="004823E4">
        <w:rPr>
          <w:rFonts w:eastAsiaTheme="minorEastAsia" w:cs="Arial"/>
          <w:spacing w:val="0"/>
          <w:sz w:val="24"/>
          <w:szCs w:val="24"/>
          <w:lang w:val="es-ES_tradnl"/>
        </w:rPr>
        <w:t>el</w:t>
      </w:r>
      <w:r w:rsidR="009676F6" w:rsidRPr="009676F6">
        <w:rPr>
          <w:rFonts w:eastAsiaTheme="minorEastAsia" w:cs="Arial"/>
          <w:spacing w:val="0"/>
          <w:sz w:val="24"/>
          <w:szCs w:val="24"/>
          <w:lang w:val="es-ES_tradnl"/>
        </w:rPr>
        <w:t xml:space="preserve"> radicado CREG </w:t>
      </w:r>
      <w:r w:rsidRPr="00A87868">
        <w:rPr>
          <w:rFonts w:eastAsiaTheme="minorEastAsia" w:cs="Arial"/>
          <w:spacing w:val="0"/>
          <w:sz w:val="24"/>
          <w:szCs w:val="24"/>
          <w:lang w:val="es-ES_tradnl"/>
        </w:rPr>
        <w:t>E2024007253</w:t>
      </w:r>
      <w:r w:rsidR="004823E4" w:rsidRPr="004823E4">
        <w:rPr>
          <w:rFonts w:eastAsiaTheme="minorEastAsia" w:cs="Arial"/>
          <w:spacing w:val="0"/>
          <w:sz w:val="24"/>
          <w:szCs w:val="24"/>
          <w:lang w:val="es-ES_tradnl"/>
        </w:rPr>
        <w:t xml:space="preserve"> del 2</w:t>
      </w:r>
      <w:r>
        <w:rPr>
          <w:rFonts w:eastAsiaTheme="minorEastAsia" w:cs="Arial"/>
          <w:spacing w:val="0"/>
          <w:sz w:val="24"/>
          <w:szCs w:val="24"/>
          <w:lang w:val="es-ES_tradnl"/>
        </w:rPr>
        <w:t>7</w:t>
      </w:r>
      <w:r w:rsidR="004823E4" w:rsidRPr="004823E4">
        <w:rPr>
          <w:rFonts w:eastAsiaTheme="minorEastAsia" w:cs="Arial"/>
          <w:spacing w:val="0"/>
          <w:sz w:val="24"/>
          <w:szCs w:val="24"/>
          <w:lang w:val="es-ES_tradnl"/>
        </w:rPr>
        <w:t xml:space="preserve"> de mayo de 2024</w:t>
      </w:r>
      <w:r w:rsidR="005F57B9" w:rsidRPr="00AB2F55">
        <w:rPr>
          <w:rFonts w:eastAsiaTheme="minorEastAsia" w:cs="Arial"/>
          <w:spacing w:val="0"/>
          <w:sz w:val="24"/>
          <w:szCs w:val="24"/>
          <w:lang w:val="es-ES_tradnl"/>
        </w:rPr>
        <w:t xml:space="preserve">, solicitó la aprobación del Mercado Relevante </w:t>
      </w:r>
      <w:r w:rsidR="00993009">
        <w:rPr>
          <w:rFonts w:eastAsiaTheme="minorEastAsia" w:cs="Arial"/>
          <w:spacing w:val="0"/>
          <w:sz w:val="24"/>
          <w:szCs w:val="24"/>
          <w:lang w:val="es-ES_tradnl"/>
        </w:rPr>
        <w:t xml:space="preserve">Especial </w:t>
      </w:r>
      <w:r w:rsidR="005F57B9" w:rsidRPr="00AB2F55">
        <w:rPr>
          <w:rFonts w:eastAsiaTheme="minorEastAsia" w:cs="Arial"/>
          <w:spacing w:val="0"/>
          <w:sz w:val="24"/>
          <w:szCs w:val="24"/>
          <w:lang w:val="es-ES_tradnl"/>
        </w:rPr>
        <w:t xml:space="preserve">de Distribución para el Siguiente Período Tarifario, de los Cargos de Distribución de Gas Licuado de Petróleo – GLP por redes y del Componente Fijo del Costo de Comercialización </w:t>
      </w:r>
      <w:r w:rsidR="00C364EE">
        <w:rPr>
          <w:rFonts w:eastAsiaTheme="minorEastAsia" w:cs="Arial"/>
          <w:spacing w:val="0"/>
          <w:sz w:val="24"/>
          <w:szCs w:val="24"/>
          <w:lang w:val="es-ES_tradnl"/>
        </w:rPr>
        <w:t>conformado</w:t>
      </w:r>
      <w:r w:rsidR="003C4A0C" w:rsidRPr="003C4A0C">
        <w:rPr>
          <w:rFonts w:eastAsiaTheme="minorEastAsia" w:cs="Arial"/>
          <w:spacing w:val="0"/>
          <w:sz w:val="24"/>
          <w:szCs w:val="24"/>
          <w:lang w:val="es-ES_tradnl"/>
        </w:rPr>
        <w:t xml:space="preserve"> </w:t>
      </w:r>
      <w:r w:rsidR="005F57B9" w:rsidRPr="00AB2F55">
        <w:rPr>
          <w:rFonts w:eastAsiaTheme="minorEastAsia" w:cs="Arial"/>
          <w:spacing w:val="0"/>
          <w:sz w:val="24"/>
          <w:szCs w:val="24"/>
          <w:lang w:val="es-ES_tradnl"/>
        </w:rPr>
        <w:t>como sigue:</w:t>
      </w:r>
    </w:p>
    <w:p w14:paraId="1C82F768" w14:textId="77777777" w:rsidR="005F57B9" w:rsidRPr="00AB2F55" w:rsidRDefault="005F57B9" w:rsidP="005F57B9">
      <w:pPr>
        <w:pStyle w:val="Textoindependiente"/>
        <w:spacing w:after="0" w:line="276" w:lineRule="auto"/>
        <w:rPr>
          <w:rFonts w:eastAsiaTheme="minorEastAsia" w:cs="Arial"/>
          <w:spacing w:val="0"/>
          <w:sz w:val="24"/>
          <w:szCs w:val="24"/>
          <w:lang w:val="es-ES_tradnl"/>
        </w:rPr>
      </w:pPr>
    </w:p>
    <w:tbl>
      <w:tblPr>
        <w:tblStyle w:val="Tablaconcuadrcula"/>
        <w:tblW w:w="92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7"/>
        <w:gridCol w:w="2253"/>
        <w:gridCol w:w="2401"/>
        <w:gridCol w:w="2556"/>
      </w:tblGrid>
      <w:tr w:rsidR="00AE2FEE" w:rsidRPr="002F07CE" w14:paraId="5AF11863" w14:textId="77777777" w:rsidTr="004823E4">
        <w:trPr>
          <w:trHeight w:hRule="exact" w:val="1083"/>
          <w:tblHeader/>
          <w:jc w:val="center"/>
        </w:trPr>
        <w:tc>
          <w:tcPr>
            <w:tcW w:w="2037" w:type="dxa"/>
            <w:shd w:val="clear" w:color="auto" w:fill="BFBFBF" w:themeFill="background1" w:themeFillShade="BF"/>
            <w:vAlign w:val="center"/>
          </w:tcPr>
          <w:p w14:paraId="41E20493"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CÓDIGO DANE</w:t>
            </w:r>
          </w:p>
        </w:tc>
        <w:tc>
          <w:tcPr>
            <w:tcW w:w="2253" w:type="dxa"/>
            <w:shd w:val="clear" w:color="auto" w:fill="BFBFBF" w:themeFill="background1" w:themeFillShade="BF"/>
          </w:tcPr>
          <w:p w14:paraId="16D64330" w14:textId="77777777" w:rsidR="00AE2FEE" w:rsidRDefault="00AE2FEE" w:rsidP="00E964D6">
            <w:pPr>
              <w:jc w:val="center"/>
              <w:rPr>
                <w:rFonts w:ascii="Arial" w:hAnsi="Arial" w:cs="Arial"/>
                <w:b/>
                <w:bCs/>
                <w:sz w:val="22"/>
                <w:szCs w:val="22"/>
              </w:rPr>
            </w:pPr>
          </w:p>
          <w:p w14:paraId="34DC3C5D" w14:textId="77777777" w:rsidR="00AE2FEE" w:rsidRPr="002F07CE" w:rsidRDefault="00AE2FEE" w:rsidP="00E964D6">
            <w:pPr>
              <w:jc w:val="center"/>
              <w:rPr>
                <w:rFonts w:ascii="Arial" w:hAnsi="Arial" w:cs="Arial"/>
                <w:b/>
                <w:bCs/>
                <w:sz w:val="22"/>
                <w:szCs w:val="22"/>
              </w:rPr>
            </w:pPr>
            <w:r>
              <w:rPr>
                <w:rFonts w:ascii="Arial" w:hAnsi="Arial" w:cs="Arial"/>
                <w:b/>
                <w:bCs/>
                <w:sz w:val="22"/>
                <w:szCs w:val="22"/>
              </w:rPr>
              <w:t>CENTROS POBLADOS Y/O VEREDAS</w:t>
            </w:r>
          </w:p>
        </w:tc>
        <w:tc>
          <w:tcPr>
            <w:tcW w:w="2401" w:type="dxa"/>
            <w:shd w:val="clear" w:color="auto" w:fill="BFBFBF" w:themeFill="background1" w:themeFillShade="BF"/>
            <w:vAlign w:val="center"/>
          </w:tcPr>
          <w:p w14:paraId="000490E8"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MUNICIPIO</w:t>
            </w:r>
          </w:p>
        </w:tc>
        <w:tc>
          <w:tcPr>
            <w:tcW w:w="2556" w:type="dxa"/>
            <w:shd w:val="clear" w:color="auto" w:fill="BFBFBF" w:themeFill="background1" w:themeFillShade="BF"/>
            <w:vAlign w:val="center"/>
          </w:tcPr>
          <w:p w14:paraId="4A37D4F2" w14:textId="77777777" w:rsidR="00AE2FEE" w:rsidRPr="002F07CE" w:rsidRDefault="00AE2FEE" w:rsidP="00E964D6">
            <w:pPr>
              <w:jc w:val="center"/>
              <w:rPr>
                <w:rFonts w:ascii="Arial" w:hAnsi="Arial" w:cs="Arial"/>
                <w:b/>
                <w:bCs/>
                <w:sz w:val="22"/>
                <w:szCs w:val="22"/>
              </w:rPr>
            </w:pPr>
            <w:r w:rsidRPr="002F07CE">
              <w:rPr>
                <w:rFonts w:ascii="Arial" w:hAnsi="Arial" w:cs="Arial"/>
                <w:b/>
                <w:bCs/>
                <w:sz w:val="22"/>
                <w:szCs w:val="22"/>
              </w:rPr>
              <w:t>DEPARTAMENTO</w:t>
            </w:r>
          </w:p>
        </w:tc>
      </w:tr>
      <w:tr w:rsidR="00A87868" w:rsidRPr="002F07CE" w14:paraId="74235287" w14:textId="77777777" w:rsidTr="00A87868">
        <w:trPr>
          <w:trHeight w:hRule="exact" w:val="315"/>
          <w:tblHeader/>
          <w:jc w:val="center"/>
        </w:trPr>
        <w:tc>
          <w:tcPr>
            <w:tcW w:w="2037" w:type="dxa"/>
            <w:vAlign w:val="center"/>
          </w:tcPr>
          <w:p w14:paraId="6E4178CF" w14:textId="4DBD61AB" w:rsidR="00A87868" w:rsidRPr="002F07CE" w:rsidRDefault="00A87868" w:rsidP="00A87868">
            <w:pPr>
              <w:jc w:val="center"/>
              <w:rPr>
                <w:rFonts w:ascii="Arial" w:hAnsi="Arial" w:cs="Arial"/>
                <w:sz w:val="22"/>
                <w:szCs w:val="22"/>
              </w:rPr>
            </w:pPr>
            <w:r>
              <w:rPr>
                <w:rFonts w:ascii="Arial" w:hAnsi="Arial" w:cs="Arial"/>
              </w:rPr>
              <w:t>27006</w:t>
            </w:r>
          </w:p>
        </w:tc>
        <w:tc>
          <w:tcPr>
            <w:tcW w:w="2253" w:type="dxa"/>
          </w:tcPr>
          <w:p w14:paraId="60C49E26" w14:textId="7EF74022" w:rsidR="00A87868" w:rsidRDefault="00A87868" w:rsidP="00A87868">
            <w:pPr>
              <w:jc w:val="center"/>
              <w:rPr>
                <w:rFonts w:ascii="Arial" w:hAnsi="Arial" w:cs="Arial"/>
                <w:sz w:val="22"/>
                <w:szCs w:val="22"/>
              </w:rPr>
            </w:pPr>
          </w:p>
        </w:tc>
        <w:tc>
          <w:tcPr>
            <w:tcW w:w="2401" w:type="dxa"/>
          </w:tcPr>
          <w:p w14:paraId="71F408DE" w14:textId="72A040D7" w:rsidR="00A87868" w:rsidRPr="002F07CE" w:rsidRDefault="00A87868" w:rsidP="00A87868">
            <w:pPr>
              <w:jc w:val="center"/>
              <w:rPr>
                <w:rFonts w:ascii="Arial" w:hAnsi="Arial" w:cs="Arial"/>
                <w:sz w:val="22"/>
                <w:szCs w:val="22"/>
              </w:rPr>
            </w:pPr>
            <w:r>
              <w:rPr>
                <w:rFonts w:ascii="Arial" w:hAnsi="Arial" w:cs="Arial"/>
                <w:sz w:val="22"/>
                <w:szCs w:val="22"/>
              </w:rPr>
              <w:t>Acandí</w:t>
            </w:r>
          </w:p>
        </w:tc>
        <w:tc>
          <w:tcPr>
            <w:tcW w:w="2556" w:type="dxa"/>
          </w:tcPr>
          <w:p w14:paraId="3A053086" w14:textId="08E46368" w:rsidR="00A87868" w:rsidRPr="002F07CE" w:rsidRDefault="00A87868" w:rsidP="00A87868">
            <w:pPr>
              <w:jc w:val="center"/>
              <w:rPr>
                <w:rFonts w:ascii="Arial" w:hAnsi="Arial" w:cs="Arial"/>
                <w:sz w:val="22"/>
                <w:szCs w:val="22"/>
              </w:rPr>
            </w:pPr>
            <w:r>
              <w:rPr>
                <w:rFonts w:ascii="Arial" w:hAnsi="Arial" w:cs="Arial"/>
                <w:sz w:val="22"/>
                <w:szCs w:val="22"/>
              </w:rPr>
              <w:t>Choco</w:t>
            </w:r>
          </w:p>
        </w:tc>
      </w:tr>
      <w:tr w:rsidR="00A87868" w:rsidRPr="002F07CE" w14:paraId="6D4B2842" w14:textId="77777777" w:rsidTr="00A87868">
        <w:trPr>
          <w:trHeight w:hRule="exact" w:val="290"/>
          <w:tblHeader/>
          <w:jc w:val="center"/>
        </w:trPr>
        <w:tc>
          <w:tcPr>
            <w:tcW w:w="2037" w:type="dxa"/>
            <w:vAlign w:val="center"/>
          </w:tcPr>
          <w:p w14:paraId="58DC20F2" w14:textId="19C6DA3E" w:rsidR="00A87868" w:rsidRDefault="00A87868" w:rsidP="00A87868">
            <w:pPr>
              <w:jc w:val="center"/>
              <w:rPr>
                <w:rFonts w:ascii="Arial" w:hAnsi="Arial" w:cs="Arial"/>
              </w:rPr>
            </w:pPr>
            <w:r>
              <w:rPr>
                <w:rFonts w:ascii="Arial" w:hAnsi="Arial" w:cs="Arial"/>
              </w:rPr>
              <w:t>27006</w:t>
            </w:r>
            <w:r w:rsidR="00CB78C3">
              <w:rPr>
                <w:rFonts w:ascii="Arial" w:hAnsi="Arial" w:cs="Arial"/>
              </w:rPr>
              <w:t>003</w:t>
            </w:r>
          </w:p>
        </w:tc>
        <w:tc>
          <w:tcPr>
            <w:tcW w:w="2253" w:type="dxa"/>
          </w:tcPr>
          <w:p w14:paraId="0FE8C39A" w14:textId="4A24C06F" w:rsidR="00A87868" w:rsidRDefault="00CB78C3" w:rsidP="00A87868">
            <w:pPr>
              <w:jc w:val="center"/>
              <w:rPr>
                <w:rFonts w:ascii="Arial" w:hAnsi="Arial" w:cs="Arial"/>
                <w:sz w:val="22"/>
                <w:szCs w:val="22"/>
              </w:rPr>
            </w:pPr>
            <w:r>
              <w:rPr>
                <w:rFonts w:ascii="Arial" w:hAnsi="Arial" w:cs="Arial"/>
                <w:sz w:val="22"/>
                <w:szCs w:val="22"/>
              </w:rPr>
              <w:t>Capurgana</w:t>
            </w:r>
          </w:p>
        </w:tc>
        <w:tc>
          <w:tcPr>
            <w:tcW w:w="2401" w:type="dxa"/>
          </w:tcPr>
          <w:p w14:paraId="6FA49CB2" w14:textId="1D3CEE69" w:rsidR="00A87868" w:rsidRDefault="00A87868" w:rsidP="00A87868">
            <w:pPr>
              <w:jc w:val="center"/>
              <w:rPr>
                <w:rFonts w:ascii="Arial" w:hAnsi="Arial" w:cs="Arial"/>
                <w:sz w:val="22"/>
                <w:szCs w:val="22"/>
              </w:rPr>
            </w:pPr>
            <w:r>
              <w:rPr>
                <w:rFonts w:ascii="Arial" w:hAnsi="Arial" w:cs="Arial"/>
                <w:sz w:val="22"/>
                <w:szCs w:val="22"/>
              </w:rPr>
              <w:t xml:space="preserve">Acandí </w:t>
            </w:r>
          </w:p>
        </w:tc>
        <w:tc>
          <w:tcPr>
            <w:tcW w:w="2556" w:type="dxa"/>
          </w:tcPr>
          <w:p w14:paraId="191C49E2" w14:textId="4592E492" w:rsidR="00A87868" w:rsidRDefault="00A87868" w:rsidP="00A87868">
            <w:pPr>
              <w:jc w:val="center"/>
              <w:rPr>
                <w:rFonts w:ascii="Arial" w:hAnsi="Arial" w:cs="Arial"/>
                <w:sz w:val="22"/>
                <w:szCs w:val="22"/>
              </w:rPr>
            </w:pPr>
            <w:r>
              <w:rPr>
                <w:rFonts w:ascii="Arial" w:hAnsi="Arial" w:cs="Arial"/>
                <w:sz w:val="22"/>
                <w:szCs w:val="22"/>
              </w:rPr>
              <w:t>Choco</w:t>
            </w:r>
          </w:p>
        </w:tc>
      </w:tr>
    </w:tbl>
    <w:p w14:paraId="34FC81C5" w14:textId="5D79D4E8" w:rsidR="009676F6" w:rsidRDefault="005F57B9" w:rsidP="008C7512">
      <w:pPr>
        <w:spacing w:before="240" w:after="240" w:line="276" w:lineRule="auto"/>
        <w:ind w:right="-1"/>
        <w:jc w:val="both"/>
        <w:rPr>
          <w:rFonts w:ascii="Arial" w:hAnsi="Arial" w:cs="Arial"/>
        </w:rPr>
      </w:pPr>
      <w:r w:rsidRPr="00AB2F55">
        <w:rPr>
          <w:rFonts w:ascii="Arial" w:hAnsi="Arial" w:cs="Arial"/>
        </w:rPr>
        <w:t xml:space="preserve">A través del aplicativo </w:t>
      </w:r>
      <w:proofErr w:type="spellStart"/>
      <w:r w:rsidRPr="00AB2F55">
        <w:rPr>
          <w:rFonts w:ascii="Arial" w:hAnsi="Arial" w:cs="Arial"/>
        </w:rPr>
        <w:t>Apligas</w:t>
      </w:r>
      <w:proofErr w:type="spellEnd"/>
      <w:r w:rsidRPr="00AB2F55">
        <w:rPr>
          <w:rFonts w:ascii="Arial" w:hAnsi="Arial" w:cs="Arial"/>
        </w:rPr>
        <w:t xml:space="preserve">, la Empresa cargó la información para la solicitud tarifaria bajo el número </w:t>
      </w:r>
      <w:r w:rsidR="00A87868">
        <w:rPr>
          <w:rFonts w:ascii="Arial" w:hAnsi="Arial" w:cs="Arial"/>
        </w:rPr>
        <w:t>3006</w:t>
      </w:r>
      <w:r w:rsidRPr="00AB2F55">
        <w:rPr>
          <w:rFonts w:ascii="Arial" w:hAnsi="Arial" w:cs="Arial"/>
        </w:rPr>
        <w:t xml:space="preserve"> </w:t>
      </w:r>
      <w:r w:rsidR="009676F6" w:rsidRPr="009676F6">
        <w:rPr>
          <w:rFonts w:ascii="Arial" w:hAnsi="Arial" w:cs="Arial"/>
        </w:rPr>
        <w:t>consecutivo asignado por el aplicativo, para las actividades de distribución y comercialización.</w:t>
      </w:r>
    </w:p>
    <w:p w14:paraId="1ED85E8D" w14:textId="18C16B53" w:rsidR="006909E5" w:rsidRDefault="006909E5" w:rsidP="009903E7">
      <w:pPr>
        <w:spacing w:before="240" w:after="240" w:line="276" w:lineRule="auto"/>
        <w:ind w:right="-1"/>
        <w:jc w:val="both"/>
        <w:rPr>
          <w:rFonts w:ascii="Arial" w:hAnsi="Arial" w:cs="Arial"/>
        </w:rPr>
      </w:pPr>
      <w:r w:rsidRPr="006909E5">
        <w:rPr>
          <w:rFonts w:ascii="Arial" w:hAnsi="Arial" w:cs="Arial"/>
        </w:rPr>
        <w:t xml:space="preserve">La empresa </w:t>
      </w:r>
      <w:r w:rsidR="009903E7" w:rsidRPr="009903E7">
        <w:rPr>
          <w:rFonts w:ascii="Arial" w:hAnsi="Arial" w:cs="Arial"/>
        </w:rPr>
        <w:t xml:space="preserve">DISTRIGAS DEL DARIÉN S.A.S E.S.P. </w:t>
      </w:r>
      <w:r w:rsidRPr="006909E5">
        <w:rPr>
          <w:rFonts w:ascii="Arial" w:hAnsi="Arial" w:cs="Arial"/>
        </w:rPr>
        <w:t>presentó un Mercado Relevante</w:t>
      </w:r>
      <w:r>
        <w:rPr>
          <w:rFonts w:ascii="Arial" w:hAnsi="Arial" w:cs="Arial"/>
        </w:rPr>
        <w:t xml:space="preserve"> </w:t>
      </w:r>
      <w:r w:rsidRPr="006909E5">
        <w:rPr>
          <w:rFonts w:ascii="Arial" w:hAnsi="Arial" w:cs="Arial"/>
        </w:rPr>
        <w:t xml:space="preserve">conformado por </w:t>
      </w:r>
      <w:r w:rsidR="00D12229">
        <w:rPr>
          <w:rFonts w:ascii="Arial" w:hAnsi="Arial" w:cs="Arial"/>
        </w:rPr>
        <w:t>un</w:t>
      </w:r>
      <w:r w:rsidRPr="006909E5">
        <w:rPr>
          <w:rFonts w:ascii="Arial" w:hAnsi="Arial" w:cs="Arial"/>
        </w:rPr>
        <w:t xml:space="preserve"> municipio y un centro poblado. Sin embargo, de acuerdo con lo</w:t>
      </w:r>
      <w:r>
        <w:rPr>
          <w:rFonts w:ascii="Arial" w:hAnsi="Arial" w:cs="Arial"/>
        </w:rPr>
        <w:t xml:space="preserve"> </w:t>
      </w:r>
      <w:r w:rsidRPr="006909E5">
        <w:rPr>
          <w:rFonts w:ascii="Arial" w:hAnsi="Arial" w:cs="Arial"/>
        </w:rPr>
        <w:t>establecido en el Numeral 5.1 del Artículo 5 de la Metodología de Distribución contenida</w:t>
      </w:r>
      <w:r>
        <w:rPr>
          <w:rFonts w:ascii="Arial" w:hAnsi="Arial" w:cs="Arial"/>
        </w:rPr>
        <w:t xml:space="preserve"> </w:t>
      </w:r>
      <w:r w:rsidRPr="006909E5">
        <w:rPr>
          <w:rFonts w:ascii="Arial" w:hAnsi="Arial" w:cs="Arial"/>
        </w:rPr>
        <w:t>en la Resolución CREG 202 de 2013, en concordancia con las Resoluciones 138 de</w:t>
      </w:r>
      <w:r w:rsidR="009903E7">
        <w:rPr>
          <w:rFonts w:ascii="Arial" w:hAnsi="Arial" w:cs="Arial"/>
        </w:rPr>
        <w:t xml:space="preserve"> </w:t>
      </w:r>
      <w:r w:rsidR="009903E7" w:rsidRPr="009903E7">
        <w:rPr>
          <w:rFonts w:ascii="Arial" w:hAnsi="Arial" w:cs="Arial"/>
        </w:rPr>
        <w:t>2014, 090 y 138 de 2018 y 011 de 2020, la Metodología de Distribución, se inicia la</w:t>
      </w:r>
      <w:r w:rsidR="009903E7">
        <w:rPr>
          <w:rFonts w:ascii="Arial" w:hAnsi="Arial" w:cs="Arial"/>
        </w:rPr>
        <w:t xml:space="preserve"> </w:t>
      </w:r>
      <w:r w:rsidR="009903E7" w:rsidRPr="009903E7">
        <w:rPr>
          <w:rFonts w:ascii="Arial" w:hAnsi="Arial" w:cs="Arial"/>
        </w:rPr>
        <w:t>Actuación Administrativa para el mercado relevante de distribución para el siguiente</w:t>
      </w:r>
      <w:r w:rsidR="009903E7">
        <w:rPr>
          <w:rFonts w:ascii="Arial" w:hAnsi="Arial" w:cs="Arial"/>
        </w:rPr>
        <w:t xml:space="preserve"> </w:t>
      </w:r>
      <w:r w:rsidR="009903E7" w:rsidRPr="009903E7">
        <w:rPr>
          <w:rFonts w:ascii="Arial" w:hAnsi="Arial" w:cs="Arial"/>
        </w:rPr>
        <w:t xml:space="preserve">período tarifario conformado como se relaciona en el Cuadro </w:t>
      </w:r>
      <w:r w:rsidR="00D12229">
        <w:rPr>
          <w:rFonts w:ascii="Arial" w:hAnsi="Arial" w:cs="Arial"/>
        </w:rPr>
        <w:t>siguiente</w:t>
      </w:r>
      <w:r w:rsidR="009903E7" w:rsidRPr="009903E7">
        <w:rPr>
          <w:rFonts w:ascii="Arial" w:hAnsi="Arial" w:cs="Arial"/>
        </w:rPr>
        <w:t>, según la Metodología</w:t>
      </w:r>
      <w:r w:rsidR="009903E7">
        <w:rPr>
          <w:rFonts w:ascii="Arial" w:hAnsi="Arial" w:cs="Arial"/>
        </w:rPr>
        <w:t xml:space="preserve"> </w:t>
      </w:r>
      <w:r w:rsidR="009903E7" w:rsidRPr="009903E7">
        <w:rPr>
          <w:rFonts w:ascii="Arial" w:hAnsi="Arial" w:cs="Arial"/>
        </w:rPr>
        <w:t>vigente:</w:t>
      </w:r>
    </w:p>
    <w:tbl>
      <w:tblPr>
        <w:tblStyle w:val="Tablaconcuadrcula"/>
        <w:tblW w:w="92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7"/>
        <w:gridCol w:w="2253"/>
        <w:gridCol w:w="2401"/>
        <w:gridCol w:w="2556"/>
      </w:tblGrid>
      <w:tr w:rsidR="00D12229" w:rsidRPr="002F07CE" w14:paraId="3D4485F7" w14:textId="77777777" w:rsidTr="00036416">
        <w:trPr>
          <w:trHeight w:hRule="exact" w:val="1083"/>
          <w:tblHeader/>
          <w:jc w:val="center"/>
        </w:trPr>
        <w:tc>
          <w:tcPr>
            <w:tcW w:w="2037" w:type="dxa"/>
            <w:shd w:val="clear" w:color="auto" w:fill="BFBFBF" w:themeFill="background1" w:themeFillShade="BF"/>
            <w:vAlign w:val="center"/>
          </w:tcPr>
          <w:p w14:paraId="60D62E93" w14:textId="77777777" w:rsidR="00D12229" w:rsidRPr="002F07CE" w:rsidRDefault="00D12229" w:rsidP="00036416">
            <w:pPr>
              <w:jc w:val="center"/>
              <w:rPr>
                <w:rFonts w:ascii="Arial" w:hAnsi="Arial" w:cs="Arial"/>
                <w:b/>
                <w:bCs/>
                <w:sz w:val="22"/>
                <w:szCs w:val="22"/>
              </w:rPr>
            </w:pPr>
            <w:r w:rsidRPr="002F07CE">
              <w:rPr>
                <w:rFonts w:ascii="Arial" w:hAnsi="Arial" w:cs="Arial"/>
                <w:b/>
                <w:bCs/>
                <w:sz w:val="22"/>
                <w:szCs w:val="22"/>
              </w:rPr>
              <w:t>CÓDIGO DANE</w:t>
            </w:r>
          </w:p>
        </w:tc>
        <w:tc>
          <w:tcPr>
            <w:tcW w:w="2253" w:type="dxa"/>
            <w:shd w:val="clear" w:color="auto" w:fill="BFBFBF" w:themeFill="background1" w:themeFillShade="BF"/>
          </w:tcPr>
          <w:p w14:paraId="13C5A050" w14:textId="77777777" w:rsidR="00D12229" w:rsidRDefault="00D12229" w:rsidP="00036416">
            <w:pPr>
              <w:jc w:val="center"/>
              <w:rPr>
                <w:rFonts w:ascii="Arial" w:hAnsi="Arial" w:cs="Arial"/>
                <w:b/>
                <w:bCs/>
                <w:sz w:val="22"/>
                <w:szCs w:val="22"/>
              </w:rPr>
            </w:pPr>
          </w:p>
          <w:p w14:paraId="1FA3C78D" w14:textId="77777777" w:rsidR="00D12229" w:rsidRPr="002F07CE" w:rsidRDefault="00D12229" w:rsidP="00036416">
            <w:pPr>
              <w:jc w:val="center"/>
              <w:rPr>
                <w:rFonts w:ascii="Arial" w:hAnsi="Arial" w:cs="Arial"/>
                <w:b/>
                <w:bCs/>
                <w:sz w:val="22"/>
                <w:szCs w:val="22"/>
              </w:rPr>
            </w:pPr>
            <w:r>
              <w:rPr>
                <w:rFonts w:ascii="Arial" w:hAnsi="Arial" w:cs="Arial"/>
                <w:b/>
                <w:bCs/>
                <w:sz w:val="22"/>
                <w:szCs w:val="22"/>
              </w:rPr>
              <w:t>CENTROS POBLADOS Y/O VEREDAS</w:t>
            </w:r>
          </w:p>
        </w:tc>
        <w:tc>
          <w:tcPr>
            <w:tcW w:w="2401" w:type="dxa"/>
            <w:shd w:val="clear" w:color="auto" w:fill="BFBFBF" w:themeFill="background1" w:themeFillShade="BF"/>
            <w:vAlign w:val="center"/>
          </w:tcPr>
          <w:p w14:paraId="692B1F52" w14:textId="77777777" w:rsidR="00D12229" w:rsidRPr="002F07CE" w:rsidRDefault="00D12229" w:rsidP="00036416">
            <w:pPr>
              <w:jc w:val="center"/>
              <w:rPr>
                <w:rFonts w:ascii="Arial" w:hAnsi="Arial" w:cs="Arial"/>
                <w:b/>
                <w:bCs/>
                <w:sz w:val="22"/>
                <w:szCs w:val="22"/>
              </w:rPr>
            </w:pPr>
            <w:r w:rsidRPr="002F07CE">
              <w:rPr>
                <w:rFonts w:ascii="Arial" w:hAnsi="Arial" w:cs="Arial"/>
                <w:b/>
                <w:bCs/>
                <w:sz w:val="22"/>
                <w:szCs w:val="22"/>
              </w:rPr>
              <w:t>MUNICIPIO</w:t>
            </w:r>
          </w:p>
        </w:tc>
        <w:tc>
          <w:tcPr>
            <w:tcW w:w="2556" w:type="dxa"/>
            <w:shd w:val="clear" w:color="auto" w:fill="BFBFBF" w:themeFill="background1" w:themeFillShade="BF"/>
            <w:vAlign w:val="center"/>
          </w:tcPr>
          <w:p w14:paraId="365D8859" w14:textId="77777777" w:rsidR="00D12229" w:rsidRPr="002F07CE" w:rsidRDefault="00D12229" w:rsidP="00036416">
            <w:pPr>
              <w:jc w:val="center"/>
              <w:rPr>
                <w:rFonts w:ascii="Arial" w:hAnsi="Arial" w:cs="Arial"/>
                <w:b/>
                <w:bCs/>
                <w:sz w:val="22"/>
                <w:szCs w:val="22"/>
              </w:rPr>
            </w:pPr>
            <w:r w:rsidRPr="002F07CE">
              <w:rPr>
                <w:rFonts w:ascii="Arial" w:hAnsi="Arial" w:cs="Arial"/>
                <w:b/>
                <w:bCs/>
                <w:sz w:val="22"/>
                <w:szCs w:val="22"/>
              </w:rPr>
              <w:t>DEPARTAMENTO</w:t>
            </w:r>
          </w:p>
        </w:tc>
      </w:tr>
      <w:tr w:rsidR="00D12229" w:rsidRPr="002F07CE" w14:paraId="5673A379" w14:textId="77777777" w:rsidTr="00036416">
        <w:trPr>
          <w:trHeight w:hRule="exact" w:val="315"/>
          <w:tblHeader/>
          <w:jc w:val="center"/>
        </w:trPr>
        <w:tc>
          <w:tcPr>
            <w:tcW w:w="2037" w:type="dxa"/>
            <w:vAlign w:val="center"/>
          </w:tcPr>
          <w:p w14:paraId="08D42116" w14:textId="77777777" w:rsidR="00D12229" w:rsidRPr="002F07CE" w:rsidRDefault="00D12229" w:rsidP="00036416">
            <w:pPr>
              <w:jc w:val="center"/>
              <w:rPr>
                <w:rFonts w:ascii="Arial" w:hAnsi="Arial" w:cs="Arial"/>
                <w:sz w:val="22"/>
                <w:szCs w:val="22"/>
              </w:rPr>
            </w:pPr>
            <w:r>
              <w:rPr>
                <w:rFonts w:ascii="Arial" w:hAnsi="Arial" w:cs="Arial"/>
              </w:rPr>
              <w:t>27006</w:t>
            </w:r>
          </w:p>
        </w:tc>
        <w:tc>
          <w:tcPr>
            <w:tcW w:w="2253" w:type="dxa"/>
          </w:tcPr>
          <w:p w14:paraId="4D05FFFD" w14:textId="77777777" w:rsidR="00D12229" w:rsidRDefault="00D12229" w:rsidP="00036416">
            <w:pPr>
              <w:jc w:val="center"/>
              <w:rPr>
                <w:rFonts w:ascii="Arial" w:hAnsi="Arial" w:cs="Arial"/>
                <w:sz w:val="22"/>
                <w:szCs w:val="22"/>
              </w:rPr>
            </w:pPr>
          </w:p>
        </w:tc>
        <w:tc>
          <w:tcPr>
            <w:tcW w:w="2401" w:type="dxa"/>
          </w:tcPr>
          <w:p w14:paraId="7A3A732F" w14:textId="77777777" w:rsidR="00D12229" w:rsidRPr="002F07CE" w:rsidRDefault="00D12229" w:rsidP="00036416">
            <w:pPr>
              <w:jc w:val="center"/>
              <w:rPr>
                <w:rFonts w:ascii="Arial" w:hAnsi="Arial" w:cs="Arial"/>
                <w:sz w:val="22"/>
                <w:szCs w:val="22"/>
              </w:rPr>
            </w:pPr>
            <w:r>
              <w:rPr>
                <w:rFonts w:ascii="Arial" w:hAnsi="Arial" w:cs="Arial"/>
                <w:sz w:val="22"/>
                <w:szCs w:val="22"/>
              </w:rPr>
              <w:t>Acandí</w:t>
            </w:r>
          </w:p>
        </w:tc>
        <w:tc>
          <w:tcPr>
            <w:tcW w:w="2556" w:type="dxa"/>
          </w:tcPr>
          <w:p w14:paraId="2F61CFF5" w14:textId="77777777" w:rsidR="00D12229" w:rsidRPr="002F07CE" w:rsidRDefault="00D12229" w:rsidP="00036416">
            <w:pPr>
              <w:jc w:val="center"/>
              <w:rPr>
                <w:rFonts w:ascii="Arial" w:hAnsi="Arial" w:cs="Arial"/>
                <w:sz w:val="22"/>
                <w:szCs w:val="22"/>
              </w:rPr>
            </w:pPr>
            <w:r>
              <w:rPr>
                <w:rFonts w:ascii="Arial" w:hAnsi="Arial" w:cs="Arial"/>
                <w:sz w:val="22"/>
                <w:szCs w:val="22"/>
              </w:rPr>
              <w:t>Choco</w:t>
            </w:r>
          </w:p>
        </w:tc>
      </w:tr>
    </w:tbl>
    <w:p w14:paraId="0D90483F" w14:textId="360CA9BC" w:rsidR="005F57B9" w:rsidRPr="00AB2F55" w:rsidRDefault="005F57B9" w:rsidP="008C7512">
      <w:pPr>
        <w:spacing w:before="240" w:after="240" w:line="276" w:lineRule="auto"/>
        <w:ind w:right="-1"/>
        <w:jc w:val="both"/>
        <w:rPr>
          <w:rFonts w:ascii="Arial" w:hAnsi="Arial" w:cs="Arial"/>
        </w:rPr>
      </w:pPr>
      <w:r w:rsidRPr="00AB2F55">
        <w:rPr>
          <w:rFonts w:ascii="Arial" w:hAnsi="Arial" w:cs="Arial"/>
        </w:rPr>
        <w:t>Conforme a la solicitud tarifaria presentada, los cargos propuestos por la empresa para el mercado relevante de distribución y de comercialización anteriormente mencionados son los siguientes:</w:t>
      </w:r>
    </w:p>
    <w:tbl>
      <w:tblPr>
        <w:tblW w:w="489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8"/>
        <w:gridCol w:w="4812"/>
        <w:gridCol w:w="1817"/>
      </w:tblGrid>
      <w:tr w:rsidR="005F57B9" w:rsidRPr="00AB2F55" w14:paraId="101E186C" w14:textId="77777777" w:rsidTr="00855D3D">
        <w:trPr>
          <w:trHeight w:val="675"/>
          <w:tblHeader/>
          <w:jc w:val="center"/>
        </w:trPr>
        <w:tc>
          <w:tcPr>
            <w:tcW w:w="5000" w:type="pct"/>
            <w:gridSpan w:val="3"/>
            <w:shd w:val="clear" w:color="auto" w:fill="BFBFBF" w:themeFill="background1" w:themeFillShade="BF"/>
            <w:vAlign w:val="center"/>
          </w:tcPr>
          <w:p w14:paraId="73304E28"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CARGOS DE DISTRIBUCIÓN APLICABLES A USUARIOS DE USO RESIDENCIAL Y DIFERENTE AL RESIDENCIAL</w:t>
            </w:r>
          </w:p>
          <w:p w14:paraId="1F335A5B" w14:textId="041421C1" w:rsidR="005F57B9" w:rsidRPr="00AB2F55" w:rsidRDefault="005F57B9" w:rsidP="00855D3D">
            <w:pPr>
              <w:jc w:val="center"/>
              <w:rPr>
                <w:rFonts w:ascii="Arial" w:hAnsi="Arial" w:cs="Arial"/>
                <w:b/>
                <w:sz w:val="22"/>
                <w:szCs w:val="22"/>
              </w:rPr>
            </w:pPr>
            <w:r w:rsidRPr="00AB2F55">
              <w:rPr>
                <w:rFonts w:ascii="Arial" w:hAnsi="Arial" w:cs="Arial"/>
                <w:b/>
                <w:sz w:val="22"/>
                <w:szCs w:val="22"/>
              </w:rPr>
              <w:t>($/m</w:t>
            </w:r>
            <w:r w:rsidRPr="00AB2F55">
              <w:rPr>
                <w:rFonts w:ascii="Arial" w:hAnsi="Arial" w:cs="Arial"/>
                <w:b/>
                <w:sz w:val="22"/>
                <w:szCs w:val="22"/>
                <w:vertAlign w:val="superscript"/>
              </w:rPr>
              <w:t>3</w:t>
            </w:r>
            <w:r w:rsidRPr="00AB2F55">
              <w:rPr>
                <w:rFonts w:ascii="Arial" w:hAnsi="Arial" w:cs="Arial"/>
                <w:b/>
                <w:sz w:val="22"/>
                <w:szCs w:val="22"/>
              </w:rPr>
              <w:t xml:space="preserve">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AB2F55" w14:paraId="091D9FA6" w14:textId="77777777" w:rsidTr="009676F6">
        <w:trPr>
          <w:trHeight w:val="450"/>
          <w:tblHeader/>
          <w:jc w:val="center"/>
        </w:trPr>
        <w:tc>
          <w:tcPr>
            <w:tcW w:w="1392" w:type="pct"/>
            <w:shd w:val="clear" w:color="auto" w:fill="BFBFBF" w:themeFill="background1" w:themeFillShade="BF"/>
            <w:vAlign w:val="center"/>
          </w:tcPr>
          <w:p w14:paraId="6D9BA606"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Componentes</w:t>
            </w:r>
          </w:p>
        </w:tc>
        <w:tc>
          <w:tcPr>
            <w:tcW w:w="2619" w:type="pct"/>
            <w:shd w:val="clear" w:color="auto" w:fill="BFBFBF" w:themeFill="background1" w:themeFillShade="BF"/>
            <w:vAlign w:val="center"/>
          </w:tcPr>
          <w:p w14:paraId="073D1644"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Descripción</w:t>
            </w:r>
          </w:p>
        </w:tc>
        <w:tc>
          <w:tcPr>
            <w:tcW w:w="989" w:type="pct"/>
            <w:shd w:val="clear" w:color="auto" w:fill="BFBFBF" w:themeFill="background1" w:themeFillShade="BF"/>
            <w:vAlign w:val="center"/>
          </w:tcPr>
          <w:p w14:paraId="4D8BD956" w14:textId="7F26919F" w:rsidR="005F57B9" w:rsidRPr="00AB2F55" w:rsidRDefault="005F57B9" w:rsidP="00855D3D">
            <w:pPr>
              <w:jc w:val="center"/>
              <w:rPr>
                <w:rFonts w:ascii="Arial" w:hAnsi="Arial" w:cs="Arial"/>
                <w:b/>
                <w:sz w:val="22"/>
                <w:szCs w:val="22"/>
              </w:rPr>
            </w:pPr>
            <w:r w:rsidRPr="00AB2F55">
              <w:rPr>
                <w:rFonts w:ascii="Arial" w:hAnsi="Arial" w:cs="Arial"/>
                <w:b/>
                <w:sz w:val="22"/>
                <w:szCs w:val="22"/>
              </w:rPr>
              <w:t>Año 202</w:t>
            </w:r>
            <w:r w:rsidR="00462883">
              <w:rPr>
                <w:rFonts w:ascii="Arial" w:hAnsi="Arial" w:cs="Arial"/>
                <w:b/>
                <w:sz w:val="22"/>
                <w:szCs w:val="22"/>
              </w:rPr>
              <w:t>4</w:t>
            </w:r>
            <w:r w:rsidRPr="00AB2F55">
              <w:rPr>
                <w:rFonts w:ascii="Arial" w:hAnsi="Arial" w:cs="Arial"/>
                <w:b/>
                <w:sz w:val="22"/>
                <w:szCs w:val="22"/>
              </w:rPr>
              <w:t xml:space="preserve"> en adelante</w:t>
            </w:r>
          </w:p>
        </w:tc>
      </w:tr>
      <w:tr w:rsidR="005F57B9" w:rsidRPr="004118AB" w14:paraId="3309C715" w14:textId="77777777" w:rsidTr="009676F6">
        <w:trPr>
          <w:trHeight w:val="850"/>
          <w:jc w:val="center"/>
        </w:trPr>
        <w:tc>
          <w:tcPr>
            <w:tcW w:w="1392" w:type="pct"/>
            <w:vAlign w:val="center"/>
          </w:tcPr>
          <w:p w14:paraId="508249E4"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AUR</m:t>
                        </m:r>
                      </m:e>
                    </m:d>
                    <m:r>
                      <m:rPr>
                        <m:sty m:val="p"/>
                      </m:rPr>
                      <w:rPr>
                        <w:rFonts w:ascii="Cambria Math" w:hAnsi="Cambria Math" w:cs="Arial"/>
                        <w:sz w:val="22"/>
                        <w:szCs w:val="22"/>
                      </w:rPr>
                      <m:t>empresa</m:t>
                    </m:r>
                  </m:sub>
                </m:sSub>
              </m:oMath>
            </m:oMathPara>
          </w:p>
          <w:p w14:paraId="31599E93" w14:textId="2E9F1C39"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inv</m:t>
                    </m:r>
                    <m:d>
                      <m:dPr>
                        <m:ctrlPr>
                          <w:rPr>
                            <w:rFonts w:ascii="Cambria Math" w:hAnsi="Cambria Math" w:cs="Arial"/>
                            <w:iCs/>
                            <w:sz w:val="22"/>
                            <w:szCs w:val="22"/>
                          </w:rPr>
                        </m:ctrlPr>
                      </m:dPr>
                      <m:e>
                        <m:r>
                          <m:rPr>
                            <m:sty m:val="p"/>
                          </m:rPr>
                          <w:rPr>
                            <w:rFonts w:ascii="Cambria Math" w:hAnsi="Cambria Math" w:cs="Arial"/>
                            <w:sz w:val="22"/>
                            <w:szCs w:val="22"/>
                          </w:rPr>
                          <m:t>AUNR</m:t>
                        </m:r>
                      </m:e>
                    </m:d>
                    <m:r>
                      <w:rPr>
                        <w:rFonts w:ascii="Cambria Math" w:hAnsi="Cambria Math" w:cs="Arial"/>
                        <w:sz w:val="22"/>
                        <w:szCs w:val="22"/>
                      </w:rPr>
                      <m:t xml:space="preserve"> empresa</m:t>
                    </m:r>
                  </m:sub>
                </m:sSub>
              </m:oMath>
            </m:oMathPara>
          </w:p>
        </w:tc>
        <w:tc>
          <w:tcPr>
            <w:tcW w:w="2619" w:type="pct"/>
            <w:vAlign w:val="center"/>
          </w:tcPr>
          <w:p w14:paraId="562532B6" w14:textId="319BA12F" w:rsidR="005F57B9" w:rsidRPr="00AB2F55" w:rsidRDefault="001874C0" w:rsidP="00855D3D">
            <w:pPr>
              <w:jc w:val="center"/>
              <w:rPr>
                <w:rFonts w:ascii="Arial" w:hAnsi="Arial" w:cs="Arial"/>
                <w:sz w:val="21"/>
                <w:szCs w:val="21"/>
              </w:rPr>
            </w:pPr>
            <w:r w:rsidRPr="00680367">
              <w:rPr>
                <w:rFonts w:ascii="Arial" w:hAnsi="Arial" w:cs="Arial"/>
                <w:sz w:val="20"/>
              </w:rPr>
              <w:t xml:space="preserve">Componente que remunera Inversión Base de la Empresa del </w:t>
            </w:r>
            <w:r>
              <w:rPr>
                <w:rFonts w:ascii="Arial" w:hAnsi="Arial" w:cs="Arial"/>
                <w:sz w:val="20"/>
              </w:rPr>
              <w:t>M</w:t>
            </w:r>
            <w:r w:rsidRPr="00680367">
              <w:rPr>
                <w:rFonts w:ascii="Arial" w:hAnsi="Arial" w:cs="Arial"/>
                <w:sz w:val="20"/>
              </w:rPr>
              <w:t xml:space="preserve">ercado </w:t>
            </w:r>
            <w:r>
              <w:rPr>
                <w:rFonts w:ascii="Arial" w:hAnsi="Arial" w:cs="Arial"/>
                <w:sz w:val="20"/>
              </w:rPr>
              <w:t>R</w:t>
            </w:r>
            <w:r w:rsidRPr="00680367">
              <w:rPr>
                <w:rFonts w:ascii="Arial" w:hAnsi="Arial" w:cs="Arial"/>
                <w:sz w:val="20"/>
              </w:rPr>
              <w:t xml:space="preserve">elevante de </w:t>
            </w:r>
            <w:r>
              <w:rPr>
                <w:rFonts w:ascii="Arial" w:hAnsi="Arial" w:cs="Arial"/>
                <w:sz w:val="20"/>
              </w:rPr>
              <w:t>D</w:t>
            </w:r>
            <w:r w:rsidRPr="00680367">
              <w:rPr>
                <w:rFonts w:ascii="Arial" w:hAnsi="Arial" w:cs="Arial"/>
                <w:sz w:val="20"/>
              </w:rPr>
              <w:t xml:space="preserve">istribución para el </w:t>
            </w:r>
            <w:r>
              <w:rPr>
                <w:rFonts w:ascii="Arial" w:hAnsi="Arial" w:cs="Arial"/>
                <w:sz w:val="20"/>
              </w:rPr>
              <w:t>S</w:t>
            </w:r>
            <w:r w:rsidRPr="00680367">
              <w:rPr>
                <w:rFonts w:ascii="Arial" w:hAnsi="Arial" w:cs="Arial"/>
                <w:sz w:val="20"/>
              </w:rPr>
              <w:t xml:space="preserve">iguiente </w:t>
            </w:r>
            <w:r>
              <w:rPr>
                <w:rFonts w:ascii="Arial" w:hAnsi="Arial" w:cs="Arial"/>
                <w:sz w:val="20"/>
              </w:rPr>
              <w:t>P</w:t>
            </w:r>
            <w:r w:rsidRPr="00680367">
              <w:rPr>
                <w:rFonts w:ascii="Arial" w:hAnsi="Arial" w:cs="Arial"/>
                <w:sz w:val="20"/>
              </w:rPr>
              <w:t xml:space="preserve">eriodo </w:t>
            </w:r>
            <w:r>
              <w:rPr>
                <w:rFonts w:ascii="Arial" w:hAnsi="Arial" w:cs="Arial"/>
                <w:sz w:val="20"/>
              </w:rPr>
              <w:t>T</w:t>
            </w:r>
            <w:r w:rsidRPr="00680367">
              <w:rPr>
                <w:rFonts w:ascii="Arial" w:hAnsi="Arial" w:cs="Arial"/>
                <w:sz w:val="20"/>
              </w:rPr>
              <w:t>arifario</w:t>
            </w:r>
          </w:p>
        </w:tc>
        <w:tc>
          <w:tcPr>
            <w:tcW w:w="989" w:type="pct"/>
            <w:vAlign w:val="center"/>
          </w:tcPr>
          <w:p w14:paraId="6C174AA1" w14:textId="77777777" w:rsidR="005F57B9" w:rsidRPr="004118AB" w:rsidRDefault="005F57B9" w:rsidP="00855D3D">
            <w:pPr>
              <w:jc w:val="center"/>
              <w:rPr>
                <w:rFonts w:ascii="Arial" w:hAnsi="Arial" w:cs="Arial"/>
                <w:sz w:val="22"/>
                <w:szCs w:val="22"/>
                <w:highlight w:val="yellow"/>
              </w:rPr>
            </w:pPr>
          </w:p>
          <w:p w14:paraId="5496EC83" w14:textId="16144AC4" w:rsidR="005F57B9" w:rsidRPr="004118AB" w:rsidRDefault="005F57B9" w:rsidP="00855D3D">
            <w:pPr>
              <w:jc w:val="center"/>
              <w:rPr>
                <w:rFonts w:ascii="Arial" w:hAnsi="Arial" w:cs="Arial"/>
                <w:color w:val="000000"/>
                <w:sz w:val="22"/>
                <w:szCs w:val="22"/>
              </w:rPr>
            </w:pPr>
            <w:r w:rsidRPr="004118AB">
              <w:rPr>
                <w:rFonts w:ascii="Arial" w:hAnsi="Arial" w:cs="Arial"/>
                <w:sz w:val="22"/>
                <w:szCs w:val="22"/>
              </w:rPr>
              <w:t xml:space="preserve">$ </w:t>
            </w:r>
            <w:r w:rsidR="00A87868">
              <w:rPr>
                <w:rFonts w:ascii="Arial" w:hAnsi="Arial" w:cs="Arial"/>
                <w:sz w:val="22"/>
                <w:szCs w:val="22"/>
              </w:rPr>
              <w:t>1,196.44</w:t>
            </w:r>
          </w:p>
          <w:p w14:paraId="3CFC3854" w14:textId="77777777" w:rsidR="005F57B9" w:rsidRPr="004118AB" w:rsidRDefault="005F57B9" w:rsidP="00855D3D">
            <w:pPr>
              <w:jc w:val="center"/>
              <w:rPr>
                <w:rFonts w:ascii="Arial" w:hAnsi="Arial" w:cs="Arial"/>
                <w:sz w:val="22"/>
                <w:szCs w:val="22"/>
              </w:rPr>
            </w:pPr>
          </w:p>
        </w:tc>
      </w:tr>
      <w:tr w:rsidR="005F57B9" w:rsidRPr="0092666B" w14:paraId="7D73F00E" w14:textId="77777777" w:rsidTr="009676F6">
        <w:trPr>
          <w:trHeight w:val="989"/>
          <w:jc w:val="center"/>
        </w:trPr>
        <w:tc>
          <w:tcPr>
            <w:tcW w:w="1392" w:type="pct"/>
            <w:vAlign w:val="center"/>
          </w:tcPr>
          <w:p w14:paraId="469CD3D7"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0977C683" w14:textId="77777777"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r>
                      <m:rPr>
                        <m:sty m:val="p"/>
                      </m:rPr>
                      <w:rPr>
                        <w:rFonts w:ascii="Cambria Math" w:hAnsi="Cambria Math" w:cs="Arial"/>
                        <w:sz w:val="22"/>
                        <w:szCs w:val="22"/>
                      </w:rPr>
                      <m:t>AOM</m:t>
                    </m:r>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307362D" w14:textId="380EFA0D" w:rsidR="005F57B9" w:rsidRPr="00AB2F55" w:rsidRDefault="005F57B9" w:rsidP="00855D3D">
            <w:pPr>
              <w:jc w:val="center"/>
              <w:rPr>
                <w:rFonts w:ascii="Arial" w:hAnsi="Arial" w:cs="Arial"/>
                <w:sz w:val="21"/>
                <w:szCs w:val="21"/>
              </w:rPr>
            </w:pPr>
            <w:r w:rsidRPr="00AB2F55">
              <w:rPr>
                <w:rFonts w:ascii="Arial" w:hAnsi="Arial" w:cs="Arial"/>
                <w:sz w:val="21"/>
                <w:szCs w:val="21"/>
              </w:rPr>
              <w:t>Componente que remunera los gastos de Administración, Operación y Mantenimiento (AOM) del Mercado Relevante de Distribución para el Siguiente Periodo Tarifario.</w:t>
            </w:r>
          </w:p>
        </w:tc>
        <w:tc>
          <w:tcPr>
            <w:tcW w:w="989" w:type="pct"/>
            <w:vAlign w:val="center"/>
          </w:tcPr>
          <w:p w14:paraId="56B64B17" w14:textId="77777777" w:rsidR="005F57B9" w:rsidRPr="00AB2F55" w:rsidRDefault="005F57B9" w:rsidP="00855D3D">
            <w:pPr>
              <w:jc w:val="center"/>
              <w:rPr>
                <w:rFonts w:ascii="Arial" w:hAnsi="Arial" w:cs="Arial"/>
                <w:sz w:val="22"/>
                <w:szCs w:val="22"/>
                <w:highlight w:val="yellow"/>
              </w:rPr>
            </w:pPr>
          </w:p>
          <w:p w14:paraId="2A6B9D07" w14:textId="596BB0D4" w:rsidR="005F57B9" w:rsidRPr="00AB2F55" w:rsidRDefault="005F57B9" w:rsidP="00855D3D">
            <w:pPr>
              <w:jc w:val="center"/>
              <w:rPr>
                <w:rFonts w:ascii="Arial" w:hAnsi="Arial" w:cs="Arial"/>
                <w:sz w:val="22"/>
                <w:szCs w:val="22"/>
                <w:highlight w:val="yellow"/>
              </w:rPr>
            </w:pPr>
            <w:r w:rsidRPr="00AB2F55">
              <w:rPr>
                <w:rFonts w:ascii="Arial" w:hAnsi="Arial" w:cs="Arial"/>
                <w:sz w:val="22"/>
                <w:szCs w:val="22"/>
                <w:shd w:val="clear" w:color="auto" w:fill="FFFFFF" w:themeFill="background1"/>
              </w:rPr>
              <w:t xml:space="preserve">$ </w:t>
            </w:r>
            <w:r w:rsidR="00A87868">
              <w:rPr>
                <w:rFonts w:ascii="Arial" w:hAnsi="Arial" w:cs="Arial"/>
                <w:sz w:val="22"/>
                <w:szCs w:val="22"/>
                <w:shd w:val="clear" w:color="auto" w:fill="FFFFFF" w:themeFill="background1"/>
              </w:rPr>
              <w:t>426.76</w:t>
            </w:r>
          </w:p>
        </w:tc>
      </w:tr>
      <w:tr w:rsidR="005F57B9" w:rsidRPr="0092666B" w14:paraId="4AFD3517" w14:textId="77777777" w:rsidTr="009676F6">
        <w:trPr>
          <w:trHeight w:val="564"/>
          <w:jc w:val="center"/>
        </w:trPr>
        <w:tc>
          <w:tcPr>
            <w:tcW w:w="1392" w:type="pct"/>
            <w:vAlign w:val="center"/>
          </w:tcPr>
          <w:p w14:paraId="63CD331C" w14:textId="77777777" w:rsidR="005F57B9" w:rsidRPr="004118AB" w:rsidRDefault="00000000" w:rsidP="00855D3D">
            <w:pPr>
              <w:jc w:val="center"/>
              <w:rPr>
                <w:rFonts w:ascii="Arial" w:hAnsi="Arial" w:cs="Arial"/>
                <w:iCs/>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AUR</m:t>
                        </m:r>
                      </m:e>
                    </m:d>
                  </m:sub>
                </m:sSub>
              </m:oMath>
            </m:oMathPara>
          </w:p>
          <w:p w14:paraId="522E93E9" w14:textId="77777777" w:rsidR="005F57B9" w:rsidRPr="004118AB" w:rsidRDefault="00000000" w:rsidP="00855D3D">
            <w:pPr>
              <w:jc w:val="center"/>
              <w:rPr>
                <w:rFonts w:ascii="Arial" w:hAnsi="Arial" w:cs="Arial"/>
                <w:sz w:val="22"/>
                <w:szCs w:val="22"/>
              </w:rPr>
            </w:pPr>
            <m:oMathPara>
              <m:oMath>
                <m:sSub>
                  <m:sSubPr>
                    <m:ctrlPr>
                      <w:rPr>
                        <w:rFonts w:ascii="Cambria Math" w:hAnsi="Cambria Math" w:cs="Arial"/>
                        <w:iCs/>
                        <w:sz w:val="22"/>
                        <w:szCs w:val="22"/>
                      </w:rPr>
                    </m:ctrlPr>
                  </m:sSubPr>
                  <m:e>
                    <m:r>
                      <m:rPr>
                        <m:sty m:val="p"/>
                      </m:rPr>
                      <w:rPr>
                        <w:rFonts w:ascii="Cambria Math" w:hAnsi="Cambria Math" w:cs="Arial"/>
                        <w:sz w:val="22"/>
                        <w:szCs w:val="22"/>
                      </w:rPr>
                      <m:t>D</m:t>
                    </m:r>
                  </m:e>
                  <m:sub>
                    <m:d>
                      <m:dPr>
                        <m:ctrlPr>
                          <w:rPr>
                            <w:rFonts w:ascii="Cambria Math" w:hAnsi="Cambria Math" w:cs="Arial"/>
                            <w:iCs/>
                            <w:sz w:val="22"/>
                            <w:szCs w:val="22"/>
                          </w:rPr>
                        </m:ctrlPr>
                      </m:dPr>
                      <m:e>
                        <m:r>
                          <m:rPr>
                            <m:sty m:val="p"/>
                          </m:rPr>
                          <w:rPr>
                            <w:rFonts w:ascii="Cambria Math" w:hAnsi="Cambria Math" w:cs="Arial"/>
                            <w:sz w:val="22"/>
                            <w:szCs w:val="22"/>
                          </w:rPr>
                          <m:t>AUNR</m:t>
                        </m:r>
                      </m:e>
                    </m:d>
                  </m:sub>
                </m:sSub>
              </m:oMath>
            </m:oMathPara>
          </w:p>
        </w:tc>
        <w:tc>
          <w:tcPr>
            <w:tcW w:w="2619" w:type="pct"/>
            <w:vAlign w:val="center"/>
          </w:tcPr>
          <w:p w14:paraId="5FED2A35" w14:textId="31E4F81B" w:rsidR="005F57B9" w:rsidRPr="00AB2F55" w:rsidRDefault="005F57B9" w:rsidP="00855D3D">
            <w:pPr>
              <w:jc w:val="center"/>
              <w:rPr>
                <w:rFonts w:ascii="Arial" w:hAnsi="Arial" w:cs="Arial"/>
                <w:sz w:val="21"/>
                <w:szCs w:val="21"/>
              </w:rPr>
            </w:pPr>
            <w:r w:rsidRPr="00AB2F55">
              <w:rPr>
                <w:rFonts w:ascii="Arial" w:hAnsi="Arial" w:cs="Arial"/>
                <w:sz w:val="21"/>
                <w:szCs w:val="21"/>
              </w:rPr>
              <w:t>Cargo de Distribución del Mercado Relevante de Distribución para el Siguiente Periodo Tarifario.</w:t>
            </w:r>
          </w:p>
        </w:tc>
        <w:tc>
          <w:tcPr>
            <w:tcW w:w="989" w:type="pct"/>
            <w:vAlign w:val="center"/>
          </w:tcPr>
          <w:p w14:paraId="287927EB" w14:textId="7EC12909" w:rsidR="005F57B9" w:rsidRPr="00AB2F55" w:rsidRDefault="005F57B9" w:rsidP="00855D3D">
            <w:pPr>
              <w:jc w:val="center"/>
              <w:rPr>
                <w:rFonts w:ascii="Arial" w:hAnsi="Arial" w:cs="Arial"/>
                <w:sz w:val="22"/>
                <w:szCs w:val="22"/>
              </w:rPr>
            </w:pPr>
            <w:r w:rsidRPr="00AB2F55">
              <w:rPr>
                <w:rFonts w:ascii="Arial" w:hAnsi="Arial" w:cs="Arial"/>
                <w:sz w:val="22"/>
                <w:szCs w:val="22"/>
              </w:rPr>
              <w:t xml:space="preserve">$ </w:t>
            </w:r>
            <w:r w:rsidR="00A87868">
              <w:rPr>
                <w:rFonts w:ascii="Arial" w:hAnsi="Arial" w:cs="Arial"/>
                <w:sz w:val="22"/>
                <w:szCs w:val="22"/>
              </w:rPr>
              <w:t>1,623.20</w:t>
            </w:r>
          </w:p>
        </w:tc>
      </w:tr>
    </w:tbl>
    <w:p w14:paraId="6EEAA193" w14:textId="77777777" w:rsidR="005F57B9" w:rsidRDefault="005F57B9" w:rsidP="005F57B9">
      <w:pPr>
        <w:spacing w:before="240" w:after="240"/>
        <w:jc w:val="both"/>
        <w:rPr>
          <w:rFonts w:eastAsia="Arial" w:cstheme="minorHAnsi"/>
          <w:lang w:val="es-CO"/>
        </w:rPr>
      </w:pPr>
    </w:p>
    <w:tbl>
      <w:tblPr>
        <w:tblW w:w="482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1"/>
        <w:gridCol w:w="5214"/>
        <w:gridCol w:w="1831"/>
      </w:tblGrid>
      <w:tr w:rsidR="005F57B9" w:rsidRPr="0092666B" w14:paraId="78620478" w14:textId="77777777" w:rsidTr="00EF54FE">
        <w:trPr>
          <w:trHeight w:val="415"/>
          <w:tblHeader/>
          <w:jc w:val="center"/>
        </w:trPr>
        <w:tc>
          <w:tcPr>
            <w:tcW w:w="5000" w:type="pct"/>
            <w:gridSpan w:val="3"/>
            <w:shd w:val="clear" w:color="auto" w:fill="BFBFBF" w:themeFill="background1" w:themeFillShade="BF"/>
            <w:vAlign w:val="center"/>
          </w:tcPr>
          <w:p w14:paraId="3A4565A9" w14:textId="75B81405" w:rsidR="005F57B9" w:rsidRPr="00AB2F55" w:rsidRDefault="005F57B9" w:rsidP="00855D3D">
            <w:pPr>
              <w:jc w:val="center"/>
              <w:rPr>
                <w:rFonts w:ascii="Arial" w:hAnsi="Arial" w:cs="Arial"/>
                <w:b/>
                <w:sz w:val="22"/>
                <w:szCs w:val="22"/>
              </w:rPr>
            </w:pPr>
            <w:r w:rsidRPr="00AB2F55">
              <w:rPr>
                <w:rFonts w:ascii="Arial" w:hAnsi="Arial" w:cs="Arial"/>
                <w:b/>
                <w:sz w:val="22"/>
                <w:szCs w:val="22"/>
              </w:rPr>
              <w:t xml:space="preserve">CARGO DE COMERCIALIZACIÓN PARA EL MERCADO RELEVANTE DE COMERCIALIZACIÓN </w:t>
            </w:r>
          </w:p>
          <w:p w14:paraId="1359D58C" w14:textId="267B5FCB" w:rsidR="005F57B9" w:rsidRPr="00AB2F55" w:rsidRDefault="005F57B9" w:rsidP="00855D3D">
            <w:pPr>
              <w:jc w:val="center"/>
              <w:rPr>
                <w:rFonts w:ascii="Arial" w:hAnsi="Arial" w:cs="Arial"/>
                <w:b/>
                <w:sz w:val="22"/>
                <w:szCs w:val="22"/>
              </w:rPr>
            </w:pPr>
            <w:r w:rsidRPr="00AB2F55">
              <w:rPr>
                <w:rFonts w:ascii="Arial" w:hAnsi="Arial" w:cs="Arial"/>
                <w:b/>
                <w:sz w:val="22"/>
                <w:szCs w:val="22"/>
              </w:rPr>
              <w:t>($/factura pesos de diciembre de 202</w:t>
            </w:r>
            <w:r w:rsidR="009676F6">
              <w:rPr>
                <w:rFonts w:ascii="Arial" w:hAnsi="Arial" w:cs="Arial"/>
                <w:b/>
                <w:sz w:val="22"/>
                <w:szCs w:val="22"/>
              </w:rPr>
              <w:t>2</w:t>
            </w:r>
            <w:r w:rsidRPr="00AB2F55">
              <w:rPr>
                <w:rFonts w:ascii="Arial" w:hAnsi="Arial" w:cs="Arial"/>
                <w:b/>
                <w:sz w:val="22"/>
                <w:szCs w:val="22"/>
              </w:rPr>
              <w:t>)</w:t>
            </w:r>
          </w:p>
        </w:tc>
      </w:tr>
      <w:tr w:rsidR="005F57B9" w:rsidRPr="0092666B" w14:paraId="2F7ADB4C" w14:textId="77777777" w:rsidTr="00EF54FE">
        <w:trPr>
          <w:trHeight w:val="405"/>
          <w:tblHeader/>
          <w:jc w:val="center"/>
        </w:trPr>
        <w:tc>
          <w:tcPr>
            <w:tcW w:w="1110" w:type="pct"/>
            <w:shd w:val="clear" w:color="auto" w:fill="BFBFBF" w:themeFill="background1" w:themeFillShade="BF"/>
            <w:vAlign w:val="center"/>
          </w:tcPr>
          <w:p w14:paraId="63525AAA"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Componentes</w:t>
            </w:r>
          </w:p>
        </w:tc>
        <w:tc>
          <w:tcPr>
            <w:tcW w:w="2879" w:type="pct"/>
            <w:shd w:val="clear" w:color="auto" w:fill="BFBFBF" w:themeFill="background1" w:themeFillShade="BF"/>
            <w:vAlign w:val="center"/>
          </w:tcPr>
          <w:p w14:paraId="696D1B53" w14:textId="77777777" w:rsidR="005F57B9" w:rsidRPr="00AB2F55" w:rsidRDefault="005F57B9" w:rsidP="00855D3D">
            <w:pPr>
              <w:jc w:val="center"/>
              <w:rPr>
                <w:rFonts w:ascii="Arial" w:hAnsi="Arial" w:cs="Arial"/>
                <w:b/>
                <w:sz w:val="22"/>
                <w:szCs w:val="22"/>
              </w:rPr>
            </w:pPr>
            <w:r w:rsidRPr="00AB2F55">
              <w:rPr>
                <w:rFonts w:ascii="Arial" w:hAnsi="Arial" w:cs="Arial"/>
                <w:b/>
                <w:sz w:val="22"/>
                <w:szCs w:val="22"/>
              </w:rPr>
              <w:t>Descripción</w:t>
            </w:r>
          </w:p>
        </w:tc>
        <w:tc>
          <w:tcPr>
            <w:tcW w:w="1011" w:type="pct"/>
            <w:shd w:val="clear" w:color="auto" w:fill="BFBFBF" w:themeFill="background1" w:themeFillShade="BF"/>
            <w:vAlign w:val="center"/>
          </w:tcPr>
          <w:p w14:paraId="19BE2AC1" w14:textId="56C4B03A" w:rsidR="005F57B9" w:rsidRPr="00AB2F55" w:rsidRDefault="005F57B9" w:rsidP="00855D3D">
            <w:pPr>
              <w:jc w:val="center"/>
              <w:rPr>
                <w:rFonts w:ascii="Arial" w:hAnsi="Arial" w:cs="Arial"/>
                <w:b/>
                <w:sz w:val="22"/>
                <w:szCs w:val="22"/>
              </w:rPr>
            </w:pPr>
            <w:r w:rsidRPr="00AB2F55">
              <w:rPr>
                <w:rFonts w:ascii="Arial" w:hAnsi="Arial" w:cs="Arial"/>
                <w:b/>
                <w:sz w:val="22"/>
                <w:szCs w:val="22"/>
              </w:rPr>
              <w:t>Año 202</w:t>
            </w:r>
            <w:r w:rsidR="005E522B">
              <w:rPr>
                <w:rFonts w:ascii="Arial" w:hAnsi="Arial" w:cs="Arial"/>
                <w:b/>
                <w:sz w:val="22"/>
                <w:szCs w:val="22"/>
              </w:rPr>
              <w:t>4</w:t>
            </w:r>
            <w:r w:rsidRPr="00AB2F55">
              <w:rPr>
                <w:rFonts w:ascii="Arial" w:hAnsi="Arial" w:cs="Arial"/>
                <w:b/>
                <w:sz w:val="22"/>
                <w:szCs w:val="22"/>
              </w:rPr>
              <w:t xml:space="preserve"> en adelante</w:t>
            </w:r>
          </w:p>
        </w:tc>
      </w:tr>
      <w:tr w:rsidR="005F57B9" w:rsidRPr="0092666B" w14:paraId="79DDBDA7" w14:textId="77777777" w:rsidTr="00EF54FE">
        <w:trPr>
          <w:trHeight w:val="587"/>
          <w:jc w:val="center"/>
        </w:trPr>
        <w:tc>
          <w:tcPr>
            <w:tcW w:w="1110" w:type="pct"/>
            <w:vAlign w:val="center"/>
          </w:tcPr>
          <w:p w14:paraId="173BBA65" w14:textId="77777777" w:rsidR="005F57B9" w:rsidRPr="0092666B" w:rsidRDefault="00000000" w:rsidP="00855D3D">
            <w:pPr>
              <w:jc w:val="center"/>
              <w:rPr>
                <w:rFonts w:cstheme="minorHAnsi"/>
                <w:iCs/>
                <w:sz w:val="22"/>
                <w:szCs w:val="22"/>
              </w:rPr>
            </w:pPr>
            <m:oMathPara>
              <m:oMath>
                <m:sSub>
                  <m:sSubPr>
                    <m:ctrlPr>
                      <w:rPr>
                        <w:rFonts w:ascii="Cambria Math" w:hAnsi="Cambria Math" w:cstheme="minorHAnsi"/>
                        <w:sz w:val="22"/>
                        <w:szCs w:val="22"/>
                      </w:rPr>
                    </m:ctrlPr>
                  </m:sSubPr>
                  <m:e>
                    <m:r>
                      <w:rPr>
                        <w:rFonts w:ascii="Cambria Math" w:hAnsi="Cambria Math" w:cstheme="minorHAnsi"/>
                        <w:sz w:val="22"/>
                        <w:szCs w:val="22"/>
                      </w:rPr>
                      <m:t>Cf</m:t>
                    </m:r>
                  </m:e>
                  <m:sub>
                    <m:r>
                      <w:rPr>
                        <w:rFonts w:ascii="Cambria Math" w:hAnsi="Cambria Math" w:cstheme="minorHAnsi"/>
                        <w:sz w:val="22"/>
                        <w:szCs w:val="22"/>
                      </w:rPr>
                      <m:t>i</m:t>
                    </m:r>
                  </m:sub>
                </m:sSub>
              </m:oMath>
            </m:oMathPara>
          </w:p>
        </w:tc>
        <w:tc>
          <w:tcPr>
            <w:tcW w:w="2879" w:type="pct"/>
            <w:vAlign w:val="center"/>
          </w:tcPr>
          <w:p w14:paraId="696A689D" w14:textId="1937334F" w:rsidR="005F57B9" w:rsidRPr="00AB2F55" w:rsidRDefault="005F57B9" w:rsidP="00855D3D">
            <w:pPr>
              <w:jc w:val="center"/>
              <w:rPr>
                <w:rFonts w:ascii="Arial" w:hAnsi="Arial" w:cs="Arial"/>
                <w:sz w:val="21"/>
                <w:szCs w:val="21"/>
              </w:rPr>
            </w:pPr>
            <w:r w:rsidRPr="00AB2F55">
              <w:rPr>
                <w:rFonts w:ascii="Arial" w:hAnsi="Arial" w:cs="Arial"/>
                <w:sz w:val="21"/>
                <w:szCs w:val="21"/>
              </w:rPr>
              <w:t>Componente fijo del costo de comercialización aplicable para el mercado relevante</w:t>
            </w:r>
            <w:r w:rsidR="00CB78C3">
              <w:rPr>
                <w:rFonts w:ascii="Arial" w:hAnsi="Arial" w:cs="Arial"/>
                <w:sz w:val="21"/>
                <w:szCs w:val="21"/>
              </w:rPr>
              <w:t xml:space="preserve"> </w:t>
            </w:r>
            <w:r w:rsidRPr="00AB2F55">
              <w:rPr>
                <w:rFonts w:ascii="Arial" w:hAnsi="Arial" w:cs="Arial"/>
                <w:sz w:val="21"/>
                <w:szCs w:val="21"/>
              </w:rPr>
              <w:t>de comercialización.</w:t>
            </w:r>
          </w:p>
        </w:tc>
        <w:tc>
          <w:tcPr>
            <w:tcW w:w="1011" w:type="pct"/>
            <w:vAlign w:val="center"/>
          </w:tcPr>
          <w:p w14:paraId="323C4A85" w14:textId="77777777" w:rsidR="005F57B9" w:rsidRPr="001850E1" w:rsidRDefault="005F57B9" w:rsidP="00855D3D">
            <w:pPr>
              <w:jc w:val="center"/>
              <w:rPr>
                <w:rFonts w:ascii="Arial" w:hAnsi="Arial" w:cs="Arial"/>
                <w:sz w:val="22"/>
                <w:szCs w:val="22"/>
                <w:highlight w:val="yellow"/>
              </w:rPr>
            </w:pPr>
          </w:p>
          <w:p w14:paraId="4E0390FB" w14:textId="08F1FD9A" w:rsidR="005F57B9" w:rsidRPr="0092666B" w:rsidRDefault="005F57B9" w:rsidP="00855D3D">
            <w:pPr>
              <w:jc w:val="center"/>
              <w:rPr>
                <w:rFonts w:cstheme="minorHAnsi"/>
                <w:sz w:val="22"/>
                <w:szCs w:val="22"/>
              </w:rPr>
            </w:pPr>
            <w:r w:rsidRPr="001850E1">
              <w:rPr>
                <w:rFonts w:ascii="Arial" w:hAnsi="Arial" w:cs="Arial"/>
                <w:sz w:val="22"/>
                <w:szCs w:val="22"/>
              </w:rPr>
              <w:t xml:space="preserve">$ </w:t>
            </w:r>
            <w:r w:rsidR="00A87868">
              <w:rPr>
                <w:rFonts w:ascii="Arial" w:hAnsi="Arial" w:cs="Arial"/>
                <w:sz w:val="22"/>
                <w:szCs w:val="22"/>
              </w:rPr>
              <w:t>1,211.61</w:t>
            </w:r>
          </w:p>
        </w:tc>
      </w:tr>
    </w:tbl>
    <w:p w14:paraId="3370B0D8" w14:textId="6E644213" w:rsidR="00BE1E87" w:rsidRDefault="00BE1E87" w:rsidP="008C7512">
      <w:pPr>
        <w:spacing w:before="240" w:after="240" w:line="276" w:lineRule="auto"/>
        <w:jc w:val="both"/>
        <w:rPr>
          <w:rFonts w:ascii="Arial" w:hAnsi="Arial" w:cs="Arial"/>
        </w:rPr>
      </w:pPr>
      <w:r w:rsidRPr="00BE1E87">
        <w:rPr>
          <w:rFonts w:ascii="Arial" w:hAnsi="Arial" w:cs="Arial"/>
        </w:rPr>
        <w:t xml:space="preserve">En su solicitud </w:t>
      </w:r>
      <w:r w:rsidR="001F1FAB" w:rsidRPr="00BE1E87">
        <w:rPr>
          <w:rFonts w:ascii="Arial" w:hAnsi="Arial" w:cs="Arial"/>
        </w:rPr>
        <w:t>tarifaria,</w:t>
      </w:r>
      <w:r w:rsidR="001F1FAB">
        <w:rPr>
          <w:rFonts w:ascii="Arial" w:hAnsi="Arial" w:cs="Arial"/>
        </w:rPr>
        <w:t xml:space="preserve"> </w:t>
      </w:r>
      <w:r w:rsidR="001F1FAB" w:rsidRPr="00BE1E87">
        <w:rPr>
          <w:rFonts w:ascii="Arial" w:hAnsi="Arial" w:cs="Arial"/>
        </w:rPr>
        <w:t>la</w:t>
      </w:r>
      <w:r w:rsidRPr="00BE1E87">
        <w:rPr>
          <w:rFonts w:ascii="Arial" w:hAnsi="Arial" w:cs="Arial"/>
        </w:rPr>
        <w:t xml:space="preserve"> empresa </w:t>
      </w:r>
      <w:r w:rsidR="00A87868" w:rsidRPr="00A87868">
        <w:rPr>
          <w:rFonts w:ascii="Arial" w:hAnsi="Arial" w:cs="Arial"/>
        </w:rPr>
        <w:t>DISTRIGAS DEL DARIÉN S.A.S E.S.P</w:t>
      </w:r>
      <w:r w:rsidR="008C7512" w:rsidRPr="008C7512">
        <w:rPr>
          <w:rFonts w:ascii="Arial" w:hAnsi="Arial" w:cs="Arial"/>
        </w:rPr>
        <w:t>.</w:t>
      </w:r>
      <w:r w:rsidR="008C7512">
        <w:rPr>
          <w:rFonts w:ascii="Arial" w:hAnsi="Arial" w:cs="Arial"/>
        </w:rPr>
        <w:t xml:space="preserve"> </w:t>
      </w:r>
      <w:r w:rsidRPr="00BE1E87">
        <w:rPr>
          <w:rFonts w:ascii="Arial" w:hAnsi="Arial" w:cs="Arial"/>
        </w:rPr>
        <w:t xml:space="preserve">manifestó </w:t>
      </w:r>
      <w:r w:rsidR="008C7512" w:rsidRPr="008C7512">
        <w:rPr>
          <w:rFonts w:ascii="Arial" w:hAnsi="Arial" w:cs="Arial"/>
        </w:rPr>
        <w:t>que el mercado relevante propuesto NO cuenta con aportes de recursos públicos para la cofinanciación de infraestructura de redes de distribución de Gas Licuado de Petróleo.</w:t>
      </w:r>
    </w:p>
    <w:p w14:paraId="6F22EFFF" w14:textId="071B0A8E" w:rsidR="005F57B9" w:rsidRPr="00AB2F55" w:rsidRDefault="005F57B9" w:rsidP="00065B00">
      <w:pPr>
        <w:spacing w:before="240" w:after="240" w:line="276" w:lineRule="auto"/>
        <w:jc w:val="both"/>
        <w:rPr>
          <w:rFonts w:ascii="Arial" w:hAnsi="Arial" w:cs="Arial"/>
        </w:rPr>
      </w:pPr>
      <w:r w:rsidRPr="00AB2F55">
        <w:rPr>
          <w:rFonts w:ascii="Arial" w:hAnsi="Arial" w:cs="Arial"/>
        </w:rPr>
        <w:t>Verificado el cumplimento de los requisitos exigidos en las metodologías indicadas, se encontró procedente adelantar el análisis del estudio tarifario presentado por la Empresa</w:t>
      </w:r>
      <w:r w:rsidRPr="00AB2F55">
        <w:rPr>
          <w:rFonts w:ascii="Arial" w:hAnsi="Arial" w:cs="Arial"/>
          <w:lang w:val="es-ES"/>
        </w:rPr>
        <w:t xml:space="preserve"> </w:t>
      </w:r>
      <w:r w:rsidRPr="00AB2F55">
        <w:rPr>
          <w:rFonts w:ascii="Arial" w:hAnsi="Arial" w:cs="Arial"/>
        </w:rPr>
        <w:t>y, en consecuencia, se ha dado inicio a la correspondiente Actuación Administrativa.</w:t>
      </w:r>
    </w:p>
    <w:p w14:paraId="2A5DF037" w14:textId="1E691F17" w:rsidR="005F57B9" w:rsidRPr="00AB2F55" w:rsidRDefault="005F57B9" w:rsidP="005F57B9">
      <w:pPr>
        <w:spacing w:before="240" w:after="240" w:line="276" w:lineRule="auto"/>
        <w:jc w:val="both"/>
        <w:rPr>
          <w:rFonts w:ascii="Arial" w:hAnsi="Arial" w:cs="Arial"/>
        </w:rPr>
      </w:pPr>
      <w:r w:rsidRPr="00AB2F55">
        <w:rPr>
          <w:rFonts w:ascii="Arial" w:hAnsi="Arial" w:cs="Arial"/>
        </w:rPr>
        <w:t>La presente publicación se efectúa con el fin de que los terceros interesados puedan hacerse parte en la Actuación Administrativa iniciada, conforme a lo dispuesto en el Artículo 37 del Código de Procedimiento Administrativo y de lo Contencioso Administrativo.</w:t>
      </w:r>
    </w:p>
    <w:p w14:paraId="1323544E" w14:textId="77777777" w:rsidR="00980510" w:rsidRPr="00AB2F55" w:rsidRDefault="00980510" w:rsidP="0001099F">
      <w:pPr>
        <w:spacing w:before="240"/>
        <w:rPr>
          <w:rFonts w:ascii="Arial" w:hAnsi="Arial" w:cs="Arial"/>
        </w:rPr>
      </w:pPr>
    </w:p>
    <w:p w14:paraId="518F4520" w14:textId="0E1D2B56" w:rsidR="004823E4" w:rsidRPr="00520134" w:rsidRDefault="004823E4" w:rsidP="004823E4">
      <w:pPr>
        <w:spacing w:line="360" w:lineRule="auto"/>
        <w:jc w:val="center"/>
        <w:rPr>
          <w:rFonts w:ascii="Arial" w:hAnsi="Arial" w:cs="Arial"/>
          <w:b/>
          <w:bCs/>
          <w:lang w:val="es-MX"/>
        </w:rPr>
      </w:pPr>
      <w:r w:rsidRPr="00520134">
        <w:rPr>
          <w:rFonts w:ascii="Arial" w:hAnsi="Arial" w:cs="Arial"/>
          <w:b/>
          <w:bCs/>
          <w:lang w:val="es-MX"/>
        </w:rPr>
        <w:t>OMAR PRIAS CAICEDO</w:t>
      </w:r>
    </w:p>
    <w:p w14:paraId="03DC703C" w14:textId="77777777" w:rsidR="005F57B9" w:rsidRDefault="005F57B9" w:rsidP="004823E4">
      <w:pPr>
        <w:pStyle w:val="Ttulo6"/>
        <w:spacing w:line="276" w:lineRule="auto"/>
        <w:jc w:val="center"/>
        <w:rPr>
          <w:rFonts w:ascii="Arial" w:hAnsi="Arial" w:cs="Arial"/>
          <w:b/>
          <w:color w:val="auto"/>
        </w:rPr>
      </w:pPr>
      <w:r w:rsidRPr="00AB2F55">
        <w:rPr>
          <w:rFonts w:ascii="Arial" w:hAnsi="Arial" w:cs="Arial"/>
          <w:b/>
          <w:color w:val="auto"/>
        </w:rPr>
        <w:t>Director Ejecutivo</w:t>
      </w:r>
    </w:p>
    <w:p w14:paraId="1B178947" w14:textId="77777777" w:rsidR="0001099F" w:rsidRDefault="0001099F" w:rsidP="0001099F"/>
    <w:p w14:paraId="65867341" w14:textId="25E9F772" w:rsidR="0041344B" w:rsidRPr="005F57B9" w:rsidRDefault="0001099F" w:rsidP="0001099F">
      <w:pPr>
        <w:autoSpaceDE w:val="0"/>
        <w:autoSpaceDN w:val="0"/>
        <w:adjustRightInd w:val="0"/>
        <w:spacing w:before="240" w:line="276" w:lineRule="auto"/>
      </w:pPr>
      <w:r w:rsidRPr="0001099F">
        <w:rPr>
          <w:rFonts w:ascii="Helvetica" w:hAnsi="Helvetica" w:cs="Helvetica"/>
          <w:sz w:val="22"/>
          <w:szCs w:val="22"/>
        </w:rPr>
        <w:t>Nota: En las siguientes páginas encontrará las firmas electrónicas asociadas a este documento.</w:t>
      </w:r>
    </w:p>
    <w:sectPr w:rsidR="0041344B" w:rsidRPr="005F57B9" w:rsidSect="00353E4A">
      <w:headerReference w:type="default" r:id="rId8"/>
      <w:footerReference w:type="default" r:id="rId9"/>
      <w:headerReference w:type="first" r:id="rId10"/>
      <w:footerReference w:type="first" r:id="rId11"/>
      <w:pgSz w:w="12240" w:h="15840"/>
      <w:pgMar w:top="1794" w:right="1418" w:bottom="1701" w:left="1418" w:header="815"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8335" w14:textId="77777777" w:rsidR="00C959C1" w:rsidRDefault="00C959C1" w:rsidP="00AA0519">
      <w:r>
        <w:separator/>
      </w:r>
    </w:p>
  </w:endnote>
  <w:endnote w:type="continuationSeparator" w:id="0">
    <w:p w14:paraId="55E62CBD" w14:textId="77777777" w:rsidR="00C959C1" w:rsidRDefault="00C959C1" w:rsidP="00AA0519">
      <w:r>
        <w:continuationSeparator/>
      </w:r>
    </w:p>
  </w:endnote>
  <w:endnote w:type="continuationNotice" w:id="1">
    <w:p w14:paraId="4CB726CE" w14:textId="77777777" w:rsidR="00C959C1" w:rsidRDefault="00C95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1BC4" w14:textId="0C896610" w:rsidR="0001099F" w:rsidRDefault="0001099F"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13862BD4"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0F1D65B3" w:rsidR="00353E4A" w:rsidRDefault="0001099F" w:rsidP="003A6ADD">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7C237" w14:textId="77777777" w:rsidR="00C959C1" w:rsidRDefault="00C959C1" w:rsidP="00AA0519">
      <w:r>
        <w:separator/>
      </w:r>
    </w:p>
  </w:footnote>
  <w:footnote w:type="continuationSeparator" w:id="0">
    <w:p w14:paraId="58C95A95" w14:textId="77777777" w:rsidR="00C959C1" w:rsidRDefault="00C959C1" w:rsidP="00AA0519">
      <w:r>
        <w:continuationSeparator/>
      </w:r>
    </w:p>
  </w:footnote>
  <w:footnote w:type="continuationNotice" w:id="1">
    <w:p w14:paraId="36477B34" w14:textId="77777777" w:rsidR="00C959C1" w:rsidRDefault="00C95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6B2157D2" w:rsidR="00F97862" w:rsidRPr="0001099F" w:rsidRDefault="00F97862" w:rsidP="0001099F">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0321467">
    <w:abstractNumId w:val="4"/>
  </w:num>
  <w:num w:numId="2" w16cid:durableId="2112971358">
    <w:abstractNumId w:val="12"/>
  </w:num>
  <w:num w:numId="3" w16cid:durableId="629628857">
    <w:abstractNumId w:val="3"/>
  </w:num>
  <w:num w:numId="4" w16cid:durableId="377510024">
    <w:abstractNumId w:val="10"/>
  </w:num>
  <w:num w:numId="5" w16cid:durableId="359017078">
    <w:abstractNumId w:val="8"/>
  </w:num>
  <w:num w:numId="6" w16cid:durableId="1106778106">
    <w:abstractNumId w:val="9"/>
  </w:num>
  <w:num w:numId="7" w16cid:durableId="703216532">
    <w:abstractNumId w:val="5"/>
  </w:num>
  <w:num w:numId="8" w16cid:durableId="620040245">
    <w:abstractNumId w:val="11"/>
  </w:num>
  <w:num w:numId="9" w16cid:durableId="950237968">
    <w:abstractNumId w:val="6"/>
  </w:num>
  <w:num w:numId="10" w16cid:durableId="461652711">
    <w:abstractNumId w:val="7"/>
  </w:num>
  <w:num w:numId="11" w16cid:durableId="289166347">
    <w:abstractNumId w:val="0"/>
  </w:num>
  <w:num w:numId="12" w16cid:durableId="635917477">
    <w:abstractNumId w:val="1"/>
  </w:num>
  <w:num w:numId="13" w16cid:durableId="469322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099F"/>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5DB0"/>
    <w:rsid w:val="00066E45"/>
    <w:rsid w:val="0007044D"/>
    <w:rsid w:val="000713B3"/>
    <w:rsid w:val="00071917"/>
    <w:rsid w:val="00073B2A"/>
    <w:rsid w:val="000740DE"/>
    <w:rsid w:val="000758BC"/>
    <w:rsid w:val="0008148D"/>
    <w:rsid w:val="00081C18"/>
    <w:rsid w:val="000835D3"/>
    <w:rsid w:val="0008446D"/>
    <w:rsid w:val="000906C7"/>
    <w:rsid w:val="0009166F"/>
    <w:rsid w:val="00093CE1"/>
    <w:rsid w:val="000941D3"/>
    <w:rsid w:val="00095642"/>
    <w:rsid w:val="0009710A"/>
    <w:rsid w:val="000973D1"/>
    <w:rsid w:val="00097E51"/>
    <w:rsid w:val="000A117E"/>
    <w:rsid w:val="000A55F3"/>
    <w:rsid w:val="000A5C48"/>
    <w:rsid w:val="000B62D9"/>
    <w:rsid w:val="000B6728"/>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2A5"/>
    <w:rsid w:val="001E005E"/>
    <w:rsid w:val="001E17CF"/>
    <w:rsid w:val="001E49E6"/>
    <w:rsid w:val="001E6349"/>
    <w:rsid w:val="001E6585"/>
    <w:rsid w:val="001E71C1"/>
    <w:rsid w:val="001E78F3"/>
    <w:rsid w:val="001E7F50"/>
    <w:rsid w:val="001F0183"/>
    <w:rsid w:val="001F170F"/>
    <w:rsid w:val="001F1FAB"/>
    <w:rsid w:val="001F28E4"/>
    <w:rsid w:val="001F2C9B"/>
    <w:rsid w:val="001F3BF4"/>
    <w:rsid w:val="001F531E"/>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F23"/>
    <w:rsid w:val="00322150"/>
    <w:rsid w:val="00323C00"/>
    <w:rsid w:val="00325FE1"/>
    <w:rsid w:val="0032782A"/>
    <w:rsid w:val="00330327"/>
    <w:rsid w:val="003314E2"/>
    <w:rsid w:val="00333631"/>
    <w:rsid w:val="00335D25"/>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4663"/>
    <w:rsid w:val="003A6ADD"/>
    <w:rsid w:val="003A6EDC"/>
    <w:rsid w:val="003B1295"/>
    <w:rsid w:val="003B3084"/>
    <w:rsid w:val="003B541F"/>
    <w:rsid w:val="003C01A1"/>
    <w:rsid w:val="003C3357"/>
    <w:rsid w:val="003C3DF2"/>
    <w:rsid w:val="003C4A0C"/>
    <w:rsid w:val="003C53B5"/>
    <w:rsid w:val="003C6176"/>
    <w:rsid w:val="003C69B1"/>
    <w:rsid w:val="003C795A"/>
    <w:rsid w:val="003C7ADF"/>
    <w:rsid w:val="003C7E1C"/>
    <w:rsid w:val="003D06C9"/>
    <w:rsid w:val="003D0CD3"/>
    <w:rsid w:val="003D21EA"/>
    <w:rsid w:val="003D337B"/>
    <w:rsid w:val="003D6EA3"/>
    <w:rsid w:val="003E167A"/>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2883"/>
    <w:rsid w:val="00466972"/>
    <w:rsid w:val="00470296"/>
    <w:rsid w:val="00470BA6"/>
    <w:rsid w:val="00470F4A"/>
    <w:rsid w:val="0047117E"/>
    <w:rsid w:val="00471457"/>
    <w:rsid w:val="004715A1"/>
    <w:rsid w:val="00473C21"/>
    <w:rsid w:val="004769D3"/>
    <w:rsid w:val="00477788"/>
    <w:rsid w:val="00480294"/>
    <w:rsid w:val="004823E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E522B"/>
    <w:rsid w:val="005F0056"/>
    <w:rsid w:val="005F05F6"/>
    <w:rsid w:val="005F25C2"/>
    <w:rsid w:val="005F56EE"/>
    <w:rsid w:val="005F57B9"/>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298"/>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3107"/>
    <w:rsid w:val="00677BE2"/>
    <w:rsid w:val="00677D99"/>
    <w:rsid w:val="0068305A"/>
    <w:rsid w:val="00683322"/>
    <w:rsid w:val="006844B8"/>
    <w:rsid w:val="00685FB0"/>
    <w:rsid w:val="006909E5"/>
    <w:rsid w:val="006925A8"/>
    <w:rsid w:val="00693341"/>
    <w:rsid w:val="00694465"/>
    <w:rsid w:val="006A10D4"/>
    <w:rsid w:val="006A4BA2"/>
    <w:rsid w:val="006A76DD"/>
    <w:rsid w:val="006B3CED"/>
    <w:rsid w:val="006B5F78"/>
    <w:rsid w:val="006B7381"/>
    <w:rsid w:val="006C40A7"/>
    <w:rsid w:val="006C6B5D"/>
    <w:rsid w:val="006D565E"/>
    <w:rsid w:val="006D5F6D"/>
    <w:rsid w:val="006D62CC"/>
    <w:rsid w:val="006E079F"/>
    <w:rsid w:val="006E090A"/>
    <w:rsid w:val="006E2389"/>
    <w:rsid w:val="006E3441"/>
    <w:rsid w:val="006E5070"/>
    <w:rsid w:val="006E734D"/>
    <w:rsid w:val="006E7475"/>
    <w:rsid w:val="006F28B1"/>
    <w:rsid w:val="006F46FD"/>
    <w:rsid w:val="006F6524"/>
    <w:rsid w:val="00701060"/>
    <w:rsid w:val="00705286"/>
    <w:rsid w:val="0070641E"/>
    <w:rsid w:val="0070724B"/>
    <w:rsid w:val="007161EA"/>
    <w:rsid w:val="00717096"/>
    <w:rsid w:val="007170D6"/>
    <w:rsid w:val="0071788E"/>
    <w:rsid w:val="0072061C"/>
    <w:rsid w:val="00721F77"/>
    <w:rsid w:val="00724A75"/>
    <w:rsid w:val="007269A3"/>
    <w:rsid w:val="00726A4B"/>
    <w:rsid w:val="00727347"/>
    <w:rsid w:val="00727453"/>
    <w:rsid w:val="00730C6B"/>
    <w:rsid w:val="0073167E"/>
    <w:rsid w:val="0073188A"/>
    <w:rsid w:val="00732288"/>
    <w:rsid w:val="0073258B"/>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705C0"/>
    <w:rsid w:val="00771116"/>
    <w:rsid w:val="007736D1"/>
    <w:rsid w:val="00774CFC"/>
    <w:rsid w:val="00775459"/>
    <w:rsid w:val="00775DD8"/>
    <w:rsid w:val="00776741"/>
    <w:rsid w:val="0078352B"/>
    <w:rsid w:val="00786B9A"/>
    <w:rsid w:val="00786EC2"/>
    <w:rsid w:val="00792C6B"/>
    <w:rsid w:val="0079643C"/>
    <w:rsid w:val="00796B08"/>
    <w:rsid w:val="007A45D4"/>
    <w:rsid w:val="007A4927"/>
    <w:rsid w:val="007A4F35"/>
    <w:rsid w:val="007A7191"/>
    <w:rsid w:val="007B227D"/>
    <w:rsid w:val="007B2E63"/>
    <w:rsid w:val="007B490E"/>
    <w:rsid w:val="007B721B"/>
    <w:rsid w:val="007B7A94"/>
    <w:rsid w:val="007B7FCD"/>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3D9"/>
    <w:rsid w:val="007F49E8"/>
    <w:rsid w:val="00801242"/>
    <w:rsid w:val="00801DFE"/>
    <w:rsid w:val="00803D2E"/>
    <w:rsid w:val="00804303"/>
    <w:rsid w:val="00806AF9"/>
    <w:rsid w:val="00806B20"/>
    <w:rsid w:val="00815A3F"/>
    <w:rsid w:val="00816401"/>
    <w:rsid w:val="00817DAC"/>
    <w:rsid w:val="00817E04"/>
    <w:rsid w:val="008202F9"/>
    <w:rsid w:val="00822192"/>
    <w:rsid w:val="00822A33"/>
    <w:rsid w:val="008247C2"/>
    <w:rsid w:val="00826314"/>
    <w:rsid w:val="0083147D"/>
    <w:rsid w:val="008325BD"/>
    <w:rsid w:val="00833E24"/>
    <w:rsid w:val="008409E9"/>
    <w:rsid w:val="00844F31"/>
    <w:rsid w:val="00845861"/>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3A3B"/>
    <w:rsid w:val="00894A59"/>
    <w:rsid w:val="00897B0A"/>
    <w:rsid w:val="008A239C"/>
    <w:rsid w:val="008A2B28"/>
    <w:rsid w:val="008A2F35"/>
    <w:rsid w:val="008B0DDC"/>
    <w:rsid w:val="008B1AB8"/>
    <w:rsid w:val="008B4240"/>
    <w:rsid w:val="008B4420"/>
    <w:rsid w:val="008B5004"/>
    <w:rsid w:val="008C0643"/>
    <w:rsid w:val="008C6922"/>
    <w:rsid w:val="008C7512"/>
    <w:rsid w:val="008D2050"/>
    <w:rsid w:val="008D26A9"/>
    <w:rsid w:val="008D3755"/>
    <w:rsid w:val="008D6CD4"/>
    <w:rsid w:val="008E11BE"/>
    <w:rsid w:val="008E2FAF"/>
    <w:rsid w:val="008E5BBC"/>
    <w:rsid w:val="008E64B6"/>
    <w:rsid w:val="008F07EA"/>
    <w:rsid w:val="008F303A"/>
    <w:rsid w:val="008F4384"/>
    <w:rsid w:val="008F7530"/>
    <w:rsid w:val="00901B35"/>
    <w:rsid w:val="00903626"/>
    <w:rsid w:val="009049A8"/>
    <w:rsid w:val="00906D4C"/>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67405"/>
    <w:rsid w:val="009676F6"/>
    <w:rsid w:val="00970988"/>
    <w:rsid w:val="009751C1"/>
    <w:rsid w:val="0097658C"/>
    <w:rsid w:val="00980510"/>
    <w:rsid w:val="00981A83"/>
    <w:rsid w:val="00981B35"/>
    <w:rsid w:val="00983E0F"/>
    <w:rsid w:val="00984707"/>
    <w:rsid w:val="00987ADB"/>
    <w:rsid w:val="009903E7"/>
    <w:rsid w:val="00990A55"/>
    <w:rsid w:val="00991682"/>
    <w:rsid w:val="00991F6F"/>
    <w:rsid w:val="009927A4"/>
    <w:rsid w:val="00993009"/>
    <w:rsid w:val="00994C31"/>
    <w:rsid w:val="00994E39"/>
    <w:rsid w:val="00995F46"/>
    <w:rsid w:val="00996932"/>
    <w:rsid w:val="00996DC1"/>
    <w:rsid w:val="00997DAA"/>
    <w:rsid w:val="009A033C"/>
    <w:rsid w:val="009A045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06D2"/>
    <w:rsid w:val="00A71619"/>
    <w:rsid w:val="00A7209D"/>
    <w:rsid w:val="00A7430C"/>
    <w:rsid w:val="00A83910"/>
    <w:rsid w:val="00A8523E"/>
    <w:rsid w:val="00A87192"/>
    <w:rsid w:val="00A87868"/>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0268"/>
    <w:rsid w:val="00AC1263"/>
    <w:rsid w:val="00AC17CC"/>
    <w:rsid w:val="00AC2060"/>
    <w:rsid w:val="00AC4FFF"/>
    <w:rsid w:val="00AD0D10"/>
    <w:rsid w:val="00AD11FC"/>
    <w:rsid w:val="00AD3F19"/>
    <w:rsid w:val="00AD472A"/>
    <w:rsid w:val="00AD4BD1"/>
    <w:rsid w:val="00AD775C"/>
    <w:rsid w:val="00AD7B6D"/>
    <w:rsid w:val="00AE0867"/>
    <w:rsid w:val="00AE1D02"/>
    <w:rsid w:val="00AE264E"/>
    <w:rsid w:val="00AE2FEE"/>
    <w:rsid w:val="00AE788E"/>
    <w:rsid w:val="00AE7DE3"/>
    <w:rsid w:val="00AF0660"/>
    <w:rsid w:val="00AF23E6"/>
    <w:rsid w:val="00AF2B86"/>
    <w:rsid w:val="00AF4E03"/>
    <w:rsid w:val="00AF55EA"/>
    <w:rsid w:val="00B02968"/>
    <w:rsid w:val="00B03BDE"/>
    <w:rsid w:val="00B056B0"/>
    <w:rsid w:val="00B06306"/>
    <w:rsid w:val="00B103CE"/>
    <w:rsid w:val="00B109BC"/>
    <w:rsid w:val="00B117E1"/>
    <w:rsid w:val="00B11ED8"/>
    <w:rsid w:val="00B1501D"/>
    <w:rsid w:val="00B1536E"/>
    <w:rsid w:val="00B16B60"/>
    <w:rsid w:val="00B20982"/>
    <w:rsid w:val="00B216A5"/>
    <w:rsid w:val="00B2427C"/>
    <w:rsid w:val="00B2449F"/>
    <w:rsid w:val="00B27B0B"/>
    <w:rsid w:val="00B306BA"/>
    <w:rsid w:val="00B30DA8"/>
    <w:rsid w:val="00B3295E"/>
    <w:rsid w:val="00B333BA"/>
    <w:rsid w:val="00B36FE0"/>
    <w:rsid w:val="00B372CC"/>
    <w:rsid w:val="00B41B25"/>
    <w:rsid w:val="00B44CDD"/>
    <w:rsid w:val="00B517F1"/>
    <w:rsid w:val="00B54231"/>
    <w:rsid w:val="00B5468C"/>
    <w:rsid w:val="00B54A3E"/>
    <w:rsid w:val="00B55793"/>
    <w:rsid w:val="00B5700E"/>
    <w:rsid w:val="00B60FD7"/>
    <w:rsid w:val="00B63373"/>
    <w:rsid w:val="00B651C7"/>
    <w:rsid w:val="00B66023"/>
    <w:rsid w:val="00B73A74"/>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2243"/>
    <w:rsid w:val="00BD25EF"/>
    <w:rsid w:val="00BD2D26"/>
    <w:rsid w:val="00BD2E7B"/>
    <w:rsid w:val="00BD49FC"/>
    <w:rsid w:val="00BD5AFA"/>
    <w:rsid w:val="00BD648F"/>
    <w:rsid w:val="00BD75E9"/>
    <w:rsid w:val="00BE1B2B"/>
    <w:rsid w:val="00BE1E87"/>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0813"/>
    <w:rsid w:val="00C31926"/>
    <w:rsid w:val="00C31970"/>
    <w:rsid w:val="00C364EE"/>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4F84"/>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59C1"/>
    <w:rsid w:val="00C97EB0"/>
    <w:rsid w:val="00CA0D08"/>
    <w:rsid w:val="00CA144A"/>
    <w:rsid w:val="00CA2BA0"/>
    <w:rsid w:val="00CA2BBF"/>
    <w:rsid w:val="00CA2C60"/>
    <w:rsid w:val="00CA5C23"/>
    <w:rsid w:val="00CB1E1A"/>
    <w:rsid w:val="00CB4146"/>
    <w:rsid w:val="00CB6619"/>
    <w:rsid w:val="00CB78C3"/>
    <w:rsid w:val="00CC03DF"/>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229"/>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8DE"/>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D210A"/>
    <w:rsid w:val="00DD3C25"/>
    <w:rsid w:val="00DD4851"/>
    <w:rsid w:val="00DD4B34"/>
    <w:rsid w:val="00DE44DE"/>
    <w:rsid w:val="00DE46FC"/>
    <w:rsid w:val="00DE658D"/>
    <w:rsid w:val="00DE792D"/>
    <w:rsid w:val="00DE7B21"/>
    <w:rsid w:val="00DF0DC3"/>
    <w:rsid w:val="00DF1B95"/>
    <w:rsid w:val="00DF24F6"/>
    <w:rsid w:val="00DF3F0A"/>
    <w:rsid w:val="00DF3FBB"/>
    <w:rsid w:val="00DF6F36"/>
    <w:rsid w:val="00E0016A"/>
    <w:rsid w:val="00E0137F"/>
    <w:rsid w:val="00E01C00"/>
    <w:rsid w:val="00E0206F"/>
    <w:rsid w:val="00E02232"/>
    <w:rsid w:val="00E025EA"/>
    <w:rsid w:val="00E04D15"/>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1F0"/>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4FE"/>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46F3"/>
    <w:rsid w:val="00F156B7"/>
    <w:rsid w:val="00F16A9A"/>
    <w:rsid w:val="00F16C34"/>
    <w:rsid w:val="00F16F8B"/>
    <w:rsid w:val="00F26B7A"/>
    <w:rsid w:val="00F26C19"/>
    <w:rsid w:val="00F27290"/>
    <w:rsid w:val="00F30EDE"/>
    <w:rsid w:val="00F30FBD"/>
    <w:rsid w:val="00F31D50"/>
    <w:rsid w:val="00F32744"/>
    <w:rsid w:val="00F32E48"/>
    <w:rsid w:val="00F377D9"/>
    <w:rsid w:val="00F40129"/>
    <w:rsid w:val="00F434EF"/>
    <w:rsid w:val="00F435ED"/>
    <w:rsid w:val="00F4443A"/>
    <w:rsid w:val="00F46E2C"/>
    <w:rsid w:val="00F479CE"/>
    <w:rsid w:val="00F5506D"/>
    <w:rsid w:val="00F60033"/>
    <w:rsid w:val="00F6448E"/>
    <w:rsid w:val="00F659F9"/>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4931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17</cp:revision>
  <cp:lastPrinted>2022-08-10T23:07:00Z</cp:lastPrinted>
  <dcterms:created xsi:type="dcterms:W3CDTF">2024-05-29T21:34:00Z</dcterms:created>
  <dcterms:modified xsi:type="dcterms:W3CDTF">2024-06-26T23:32:00Z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