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0" o:title=""/>
          </v:shape>
          <o:OLEObject Type="Embed" ProgID="PBrush" ShapeID="_x0000_s2050" DrawAspect="Content" ObjectID="_1780749295"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E060BE" w:rsidRDefault="00A06511" w:rsidP="005D19DD">
      <w:pPr>
        <w:pStyle w:val="Ttulo5"/>
        <w:tabs>
          <w:tab w:val="right" w:pos="9356"/>
        </w:tabs>
        <w:ind w:left="0"/>
        <w:rPr>
          <w:rFonts w:ascii="Bookman Old Style" w:hAnsi="Bookman Old Style"/>
          <w:sz w:val="24"/>
          <w:szCs w:val="24"/>
          <w:lang w:val="es-ES"/>
        </w:rPr>
      </w:pPr>
      <w:r w:rsidRPr="005D19DD">
        <w:rPr>
          <w:rFonts w:ascii="Bookman Old Style" w:hAnsi="Bookman Old Style"/>
          <w:sz w:val="24"/>
          <w:szCs w:val="24"/>
          <w:lang w:val="es-ES"/>
        </w:rPr>
        <w:t xml:space="preserve">RESOLUCIÓN No. </w:t>
      </w:r>
      <w:r w:rsidRPr="005D19DD">
        <w:rPr>
          <w:rFonts w:ascii="Bookman Old Style" w:hAnsi="Bookman Old Style"/>
          <w:sz w:val="24"/>
          <w:szCs w:val="24"/>
        </w:rPr>
        <w:fldChar w:fldCharType="begin"/>
      </w:r>
      <w:r w:rsidRPr="005D19DD">
        <w:rPr>
          <w:rFonts w:ascii="Bookman Old Style" w:hAnsi="Bookman Old Style"/>
          <w:sz w:val="24"/>
          <w:szCs w:val="24"/>
        </w:rPr>
        <w:instrText xml:space="preserve"> MERGEFIELD  NumeroResolucion  \* MERGEFORMAT </w:instrText>
      </w:r>
      <w:r w:rsidRPr="005D19DD">
        <w:rPr>
          <w:rFonts w:ascii="Bookman Old Style" w:hAnsi="Bookman Old Style"/>
          <w:sz w:val="24"/>
          <w:szCs w:val="24"/>
        </w:rPr>
        <w:fldChar w:fldCharType="separate"/>
      </w:r>
      <w:r w:rsidRPr="005D19DD">
        <w:rPr>
          <w:rFonts w:ascii="Bookman Old Style" w:hAnsi="Bookman Old Style"/>
          <w:sz w:val="24"/>
          <w:szCs w:val="24"/>
          <w:lang w:val="es-ES"/>
        </w:rPr>
        <w:t>101 044</w:t>
      </w:r>
      <w:r w:rsidRPr="005D19DD">
        <w:rPr>
          <w:rFonts w:ascii="Bookman Old Style" w:hAnsi="Bookman Old Style"/>
          <w:sz w:val="24"/>
          <w:szCs w:val="24"/>
        </w:rPr>
        <w:fldChar w:fldCharType="end"/>
      </w:r>
      <w:r w:rsidRPr="005D19DD">
        <w:rPr>
          <w:rFonts w:ascii="Bookman Old Style" w:hAnsi="Bookman Old Style"/>
          <w:sz w:val="24"/>
          <w:szCs w:val="24"/>
          <w:lang w:val="es-ES"/>
        </w:rPr>
        <w:t xml:space="preserve"> DE </w:t>
      </w:r>
      <w:r w:rsidRPr="005D19DD">
        <w:rPr>
          <w:rFonts w:ascii="Bookman Old Style" w:hAnsi="Bookman Old Style"/>
          <w:sz w:val="24"/>
          <w:szCs w:val="24"/>
        </w:rPr>
        <w:fldChar w:fldCharType="begin"/>
      </w:r>
      <w:r w:rsidRPr="005D19DD">
        <w:rPr>
          <w:rFonts w:ascii="Bookman Old Style" w:hAnsi="Bookman Old Style"/>
          <w:sz w:val="24"/>
          <w:szCs w:val="24"/>
        </w:rPr>
        <w:instrText xml:space="preserve"> MERGEFIELD  Anio  \* MERGEFORMAT </w:instrText>
      </w:r>
      <w:r w:rsidRPr="005D19DD">
        <w:rPr>
          <w:rFonts w:ascii="Bookman Old Style" w:hAnsi="Bookman Old Style"/>
          <w:sz w:val="24"/>
          <w:szCs w:val="24"/>
        </w:rPr>
        <w:fldChar w:fldCharType="separate"/>
      </w:r>
      <w:r w:rsidRPr="005D19DD">
        <w:rPr>
          <w:rFonts w:ascii="Bookman Old Style" w:hAnsi="Bookman Old Style"/>
          <w:noProof/>
          <w:sz w:val="24"/>
          <w:szCs w:val="24"/>
          <w:lang w:val="es-ES"/>
        </w:rPr>
        <w:t>2024</w:t>
      </w:r>
      <w:r w:rsidRPr="005D19DD">
        <w:rPr>
          <w:rFonts w:ascii="Bookman Old Style" w:hAnsi="Bookman Old Style"/>
          <w:sz w:val="24"/>
          <w:szCs w:val="24"/>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7DEA8ACB" w:rsidR="00CA77FB" w:rsidRPr="00E060BE" w:rsidRDefault="00CA77FB" w:rsidP="00012259">
      <w:pPr>
        <w:pStyle w:val="Ttulo3"/>
        <w:tabs>
          <w:tab w:val="left" w:pos="0"/>
          <w:tab w:val="right" w:pos="9356"/>
        </w:tabs>
        <w:ind w:left="0"/>
        <w:rPr>
          <w:rFonts w:ascii="Bookman Old Style" w:hAnsi="Bookman Old Style"/>
          <w:b w:val="0"/>
          <w:szCs w:val="24"/>
        </w:rPr>
      </w:pPr>
      <w:r w:rsidRPr="00E060BE">
        <w:rPr>
          <w:rFonts w:ascii="Bookman Old Style" w:hAnsi="Bookman Old Style"/>
          <w:b w:val="0"/>
          <w:szCs w:val="24"/>
        </w:rPr>
        <w:t>(</w:t>
      </w:r>
      <w:r w:rsidR="003A367B" w:rsidRPr="003A367B">
        <w:rPr>
          <w:rFonts w:ascii="Bookman Old Style" w:hAnsi="Bookman Old Style"/>
          <w:bCs/>
          <w:szCs w:val="24"/>
        </w:rPr>
        <w:t>13 JUN.2024</w:t>
      </w:r>
      <w:r w:rsidRPr="00E060BE">
        <w:rPr>
          <w:rFonts w:ascii="Bookman Old Style" w:hAnsi="Bookman Old Style"/>
          <w:b w:val="0"/>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E060BE" w:rsidRDefault="00B351B4" w:rsidP="00012259">
      <w:pPr>
        <w:ind w:left="0"/>
        <w:rPr>
          <w:rFonts w:ascii="Bookman Old Style" w:hAnsi="Bookman Old Style"/>
          <w:bCs/>
          <w:lang w:val="es-CO"/>
        </w:rPr>
      </w:pPr>
    </w:p>
    <w:p w14:paraId="4FB21A51" w14:textId="6A175B91" w:rsidR="00A71219" w:rsidRPr="00C435C3" w:rsidRDefault="00A71219" w:rsidP="00A71219">
      <w:pPr>
        <w:ind w:left="0"/>
        <w:jc w:val="center"/>
        <w:rPr>
          <w:rFonts w:ascii="Bookman Old Style" w:hAnsi="Bookman Old Style"/>
        </w:rPr>
      </w:pPr>
      <w:r>
        <w:rPr>
          <w:rFonts w:ascii="Bookman Old Style" w:hAnsi="Bookman Old Style"/>
        </w:rPr>
        <w:t>Por la cual se ajusta el cálculo de</w:t>
      </w:r>
      <w:r w:rsidRPr="00103144">
        <w:rPr>
          <w:rFonts w:ascii="Bookman Old Style" w:hAnsi="Bookman Old Style"/>
        </w:rPr>
        <w:t xml:space="preserve"> ENFICC</w:t>
      </w:r>
      <w:r>
        <w:rPr>
          <w:rFonts w:ascii="Bookman Old Style" w:hAnsi="Bookman Old Style"/>
        </w:rPr>
        <w:t xml:space="preserve"> de plantas solares fotovoltaicas cuando solo se usa información secundaria</w:t>
      </w:r>
    </w:p>
    <w:p w14:paraId="053FCB54" w14:textId="77777777" w:rsidR="00045D3D" w:rsidRDefault="00045D3D" w:rsidP="00045D3D">
      <w:pPr>
        <w:ind w:right="51"/>
        <w:rPr>
          <w:rFonts w:ascii="Bookman Old Style" w:hAnsi="Bookman Old Style"/>
        </w:rPr>
      </w:pPr>
    </w:p>
    <w:p w14:paraId="064F6CDB" w14:textId="77777777" w:rsidR="00A71219" w:rsidRPr="00C435C3" w:rsidRDefault="00A71219"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37284F4B"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r w:rsidR="004F59AF" w:rsidRPr="004F59AF">
        <w:rPr>
          <w:rFonts w:ascii="Bookman Old Style" w:hAnsi="Bookman Old Style"/>
          <w:b w:val="0"/>
        </w:rPr>
        <w:t xml:space="preserve"> </w:t>
      </w:r>
      <w:r w:rsidR="004F59AF">
        <w:rPr>
          <w:rFonts w:ascii="Bookman Old Style" w:hAnsi="Bookman Old Style"/>
          <w:b w:val="0"/>
        </w:rPr>
        <w:t>y 1260 de 2013</w:t>
      </w:r>
      <w:r w:rsidRPr="00C435C3">
        <w:rPr>
          <w:rFonts w:ascii="Bookman Old Style" w:hAnsi="Bookman Old Style"/>
          <w:b w:val="0"/>
        </w:rPr>
        <w:t>.</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360190" w:rsidRDefault="00045D3D" w:rsidP="00045D3D">
      <w:pPr>
        <w:ind w:right="51"/>
        <w:jc w:val="center"/>
        <w:rPr>
          <w:rFonts w:ascii="Bookman Old Style" w:hAnsi="Bookman Old Style"/>
          <w:b/>
          <w:lang w:val="pt-BR"/>
        </w:rPr>
      </w:pPr>
      <w:r w:rsidRPr="00360190">
        <w:rPr>
          <w:rFonts w:ascii="Bookman Old Style" w:hAnsi="Bookman Old Style"/>
          <w:b/>
          <w:lang w:val="pt-BR"/>
        </w:rPr>
        <w:t xml:space="preserve">C O N S I D E R A N D </w:t>
      </w:r>
      <w:r w:rsidR="007B5A60" w:rsidRPr="00360190">
        <w:rPr>
          <w:rFonts w:ascii="Bookman Old Style" w:hAnsi="Bookman Old Style"/>
          <w:b/>
          <w:lang w:val="pt-BR"/>
        </w:rPr>
        <w:t>O Q</w:t>
      </w:r>
      <w:r w:rsidRPr="00360190">
        <w:rPr>
          <w:rFonts w:ascii="Bookman Old Style" w:hAnsi="Bookman Old Style"/>
          <w:b/>
          <w:lang w:val="pt-BR"/>
        </w:rPr>
        <w:t xml:space="preserve"> U E:</w:t>
      </w:r>
    </w:p>
    <w:p w14:paraId="2378A86C" w14:textId="77777777" w:rsidR="00045D3D" w:rsidRPr="00360190" w:rsidRDefault="00045D3D" w:rsidP="00045D3D">
      <w:pPr>
        <w:ind w:right="51"/>
        <w:jc w:val="center"/>
        <w:rPr>
          <w:rFonts w:ascii="Bookman Old Style" w:hAnsi="Bookman Old Style"/>
          <w:b/>
          <w:lang w:val="pt-BR"/>
        </w:rPr>
      </w:pPr>
    </w:p>
    <w:p w14:paraId="04D08FF7" w14:textId="77777777" w:rsidR="00045D3D" w:rsidRPr="00360190" w:rsidRDefault="00045D3D" w:rsidP="00045D3D">
      <w:pPr>
        <w:ind w:left="0"/>
        <w:jc w:val="both"/>
        <w:rPr>
          <w:rFonts w:ascii="Bookman Old Style" w:hAnsi="Bookman Old Style"/>
          <w:lang w:val="pt-BR"/>
        </w:rPr>
      </w:pPr>
    </w:p>
    <w:p w14:paraId="2EB17879" w14:textId="77777777" w:rsidR="00FF708D" w:rsidRDefault="00FF708D" w:rsidP="00FF708D">
      <w:pPr>
        <w:ind w:left="0"/>
        <w:jc w:val="both"/>
        <w:rPr>
          <w:rFonts w:ascii="Bookman Old Style" w:hAnsi="Bookman Old Style"/>
        </w:rPr>
      </w:pPr>
      <w:r w:rsidRPr="009C01E8">
        <w:rPr>
          <w:rFonts w:ascii="Bookman Old Style" w:hAnsi="Bookman Old Style"/>
        </w:rPr>
        <w:t>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69679298" w14:textId="77777777" w:rsidR="00FF708D" w:rsidRDefault="00FF708D" w:rsidP="00FF708D">
      <w:pPr>
        <w:ind w:left="0"/>
        <w:jc w:val="both"/>
        <w:rPr>
          <w:rFonts w:ascii="Bookman Old Style" w:hAnsi="Bookman Old Style"/>
        </w:rPr>
      </w:pPr>
    </w:p>
    <w:p w14:paraId="456FCCDA" w14:textId="77777777" w:rsidR="00FF708D" w:rsidRDefault="00FF708D" w:rsidP="00FF708D">
      <w:pPr>
        <w:ind w:left="0"/>
        <w:jc w:val="both"/>
        <w:rPr>
          <w:rFonts w:ascii="Bookman Old Style" w:hAnsi="Bookman Old Style"/>
        </w:rPr>
      </w:pPr>
      <w:r>
        <w:rPr>
          <w:rFonts w:ascii="Bookman Old Style" w:hAnsi="Bookman Old Style"/>
        </w:rPr>
        <w:t>El artículo 20 de l</w:t>
      </w:r>
      <w:r w:rsidRPr="00D63C39">
        <w:rPr>
          <w:rFonts w:ascii="Bookman Old Style" w:hAnsi="Bookman Old Style"/>
        </w:rPr>
        <w:t>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6D1295CB" w14:textId="77777777" w:rsidR="00FF708D" w:rsidRDefault="00FF708D" w:rsidP="00FF708D">
      <w:pPr>
        <w:ind w:left="0"/>
        <w:jc w:val="both"/>
        <w:rPr>
          <w:rFonts w:ascii="Bookman Old Style" w:hAnsi="Bookman Old Style"/>
        </w:rPr>
      </w:pPr>
    </w:p>
    <w:p w14:paraId="7D097B56" w14:textId="3E517122" w:rsidR="00FF708D" w:rsidRPr="003067AA" w:rsidRDefault="00FF708D" w:rsidP="00FF708D">
      <w:pPr>
        <w:ind w:left="0"/>
        <w:jc w:val="both"/>
        <w:rPr>
          <w:rFonts w:ascii="Bookman Old Style" w:hAnsi="Bookman Old Style"/>
          <w:lang w:val="es-CO" w:eastAsia="es-CO"/>
        </w:rPr>
      </w:pPr>
      <w:r w:rsidRPr="003067AA">
        <w:rPr>
          <w:rFonts w:ascii="Bookman Old Style" w:hAnsi="Bookman Old Style"/>
          <w:lang w:val="es-CO" w:eastAsia="es-CO"/>
        </w:rPr>
        <w:t xml:space="preserve">Para el cumplimiento del objetivo señalado, </w:t>
      </w:r>
      <w:r>
        <w:rPr>
          <w:rFonts w:ascii="Bookman Old Style" w:hAnsi="Bookman Old Style"/>
          <w:lang w:val="es-CO" w:eastAsia="es-CO"/>
        </w:rPr>
        <w:t xml:space="preserve">el artículo 23 de </w:t>
      </w:r>
      <w:r w:rsidRPr="003067AA">
        <w:rPr>
          <w:rFonts w:ascii="Bookman Old Style" w:hAnsi="Bookman Old Style"/>
          <w:lang w:val="es-CO" w:eastAsia="es-CO"/>
        </w:rPr>
        <w:t>la Ley 143 de 1994, le atribuyó a la</w:t>
      </w:r>
      <w:r w:rsidR="00E32D10">
        <w:rPr>
          <w:rFonts w:ascii="Bookman Old Style" w:hAnsi="Bookman Old Style"/>
          <w:lang w:val="es-CO" w:eastAsia="es-CO"/>
        </w:rPr>
        <w:t xml:space="preserve"> Comisión de Regulación de Energía y Gas</w:t>
      </w:r>
      <w:r w:rsidRPr="003067AA">
        <w:rPr>
          <w:rFonts w:ascii="Bookman Old Style" w:hAnsi="Bookman Old Style"/>
          <w:lang w:val="es-CO" w:eastAsia="es-CO"/>
        </w:rPr>
        <w:t xml:space="preserve"> </w:t>
      </w:r>
      <w:r w:rsidR="00E32D10">
        <w:rPr>
          <w:rFonts w:ascii="Bookman Old Style" w:hAnsi="Bookman Old Style"/>
          <w:lang w:val="es-CO" w:eastAsia="es-CO"/>
        </w:rPr>
        <w:t>(en adelante “</w:t>
      </w:r>
      <w:r>
        <w:rPr>
          <w:rFonts w:ascii="Bookman Old Style" w:hAnsi="Bookman Old Style"/>
          <w:lang w:val="es-CO" w:eastAsia="es-CO"/>
        </w:rPr>
        <w:t>CREG</w:t>
      </w:r>
      <w:r w:rsidR="00E32D10">
        <w:rPr>
          <w:rFonts w:ascii="Bookman Old Style" w:hAnsi="Bookman Old Style"/>
          <w:lang w:val="es-CO" w:eastAsia="es-CO"/>
        </w:rPr>
        <w:t>” o “Comisión”)</w:t>
      </w:r>
      <w:r w:rsidRPr="003067AA">
        <w:rPr>
          <w:rFonts w:ascii="Bookman Old Style" w:hAnsi="Bookman Old Style"/>
          <w:lang w:val="es-CO" w:eastAsia="es-CO"/>
        </w:rPr>
        <w:t>, entre otras, las siguientes funciones:</w:t>
      </w:r>
    </w:p>
    <w:p w14:paraId="6FCD9657" w14:textId="76E9FE31" w:rsidR="00FF708D" w:rsidRPr="003067AA" w:rsidRDefault="00FF708D" w:rsidP="00FF708D">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Crear las condiciones para asegurar la disponibilidad de una oferta energética eficiente capaz de abastecer la demanda bajo criterios sociales, económicos, ambientales y de viabilidad financiera,</w:t>
      </w:r>
      <w:r>
        <w:rPr>
          <w:rFonts w:ascii="Bookman Old Style" w:hAnsi="Bookman Old Style"/>
          <w:lang w:val="es-CO" w:eastAsia="es-CO"/>
        </w:rPr>
        <w:t xml:space="preserve"> y</w:t>
      </w:r>
      <w:r w:rsidRPr="003067AA">
        <w:rPr>
          <w:rFonts w:ascii="Bookman Old Style" w:hAnsi="Bookman Old Style"/>
          <w:lang w:val="es-CO" w:eastAsia="es-CO"/>
        </w:rPr>
        <w:t xml:space="preserve"> promover y preservar la competencia, para lo cual, la oferta eficiente, en el sector eléctrico, debe tener en cuenta la capacidad de generación de respaldo</w:t>
      </w:r>
      <w:r w:rsidR="00311FDF">
        <w:rPr>
          <w:rFonts w:ascii="Bookman Old Style" w:hAnsi="Bookman Old Style"/>
          <w:lang w:val="es-CO" w:eastAsia="es-CO"/>
        </w:rPr>
        <w:t>.</w:t>
      </w:r>
    </w:p>
    <w:p w14:paraId="3D0D6A70" w14:textId="09C98C06" w:rsidR="00FF708D" w:rsidRPr="003067AA" w:rsidRDefault="00FF708D" w:rsidP="00FF708D">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Valorar la capacidad de generación de respaldo de la oferta eficiente</w:t>
      </w:r>
      <w:r w:rsidR="00311FDF">
        <w:rPr>
          <w:rFonts w:ascii="Bookman Old Style" w:hAnsi="Bookman Old Style"/>
          <w:lang w:val="es-CO" w:eastAsia="es-CO"/>
        </w:rPr>
        <w:t>.</w:t>
      </w:r>
    </w:p>
    <w:p w14:paraId="46B914A4" w14:textId="140D7D27" w:rsidR="00FF708D" w:rsidRPr="003067AA" w:rsidRDefault="00FF708D" w:rsidP="00FF708D">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lastRenderedPageBreak/>
        <w:t>Definir y hacer operativos los criterios técnicos de calidad, confiabilidad y seguridad del servicio de energía</w:t>
      </w:r>
      <w:r w:rsidR="00311FDF">
        <w:rPr>
          <w:rFonts w:ascii="Bookman Old Style" w:hAnsi="Bookman Old Style"/>
          <w:lang w:val="es-CO" w:eastAsia="es-CO"/>
        </w:rPr>
        <w:t>.</w:t>
      </w:r>
      <w:r w:rsidRPr="003067AA">
        <w:rPr>
          <w:rFonts w:ascii="Bookman Old Style" w:hAnsi="Bookman Old Style"/>
          <w:lang w:val="es-CO" w:eastAsia="es-CO"/>
        </w:rPr>
        <w:t xml:space="preserve"> </w:t>
      </w:r>
    </w:p>
    <w:p w14:paraId="4559BC22" w14:textId="77777777" w:rsidR="00FF708D" w:rsidRPr="003067AA" w:rsidRDefault="00FF708D" w:rsidP="00FF708D">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Establecer el Reglamento de Operación para realizar el planeamiento y la coordinación de la operación del Sistema Interconectado Nacional.</w:t>
      </w:r>
    </w:p>
    <w:p w14:paraId="1E93350D" w14:textId="77777777" w:rsidR="00FF708D" w:rsidRPr="003067AA" w:rsidRDefault="00FF708D" w:rsidP="00FF708D">
      <w:pPr>
        <w:ind w:left="0"/>
        <w:jc w:val="both"/>
        <w:rPr>
          <w:rFonts w:ascii="Bookman Old Style" w:hAnsi="Bookman Old Style"/>
          <w:lang w:val="es-CO" w:eastAsia="es-CO"/>
        </w:rPr>
      </w:pPr>
    </w:p>
    <w:p w14:paraId="1066FF41" w14:textId="77777777" w:rsidR="00FF708D" w:rsidRPr="003067AA" w:rsidRDefault="00FF708D" w:rsidP="00FF708D">
      <w:pPr>
        <w:ind w:left="0"/>
        <w:jc w:val="both"/>
        <w:rPr>
          <w:rFonts w:ascii="Bookman Old Style" w:hAnsi="Bookman Old Style"/>
          <w:lang w:val="es-CO" w:eastAsia="es-CO"/>
        </w:rPr>
      </w:pPr>
      <w:r>
        <w:rPr>
          <w:rFonts w:ascii="Bookman Old Style" w:hAnsi="Bookman Old Style"/>
          <w:lang w:val="es-CO" w:eastAsia="es-CO"/>
        </w:rPr>
        <w:t xml:space="preserve">De acuerdo con el artículo 74 de la </w:t>
      </w:r>
      <w:r w:rsidRPr="003067AA">
        <w:rPr>
          <w:rFonts w:ascii="Bookman Old Style" w:hAnsi="Bookman Old Style"/>
          <w:lang w:val="es-CO" w:eastAsia="es-CO"/>
        </w:rPr>
        <w:t>Ley 142 de 1994,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5A5B17AF" w14:textId="77777777" w:rsidR="00FF708D" w:rsidRPr="003067AA" w:rsidRDefault="00FF708D" w:rsidP="00FF708D">
      <w:pPr>
        <w:ind w:left="0"/>
        <w:jc w:val="both"/>
        <w:rPr>
          <w:rFonts w:ascii="Bookman Old Style" w:hAnsi="Bookman Old Style"/>
          <w:lang w:val="es-CO" w:eastAsia="es-CO"/>
        </w:rPr>
      </w:pPr>
    </w:p>
    <w:p w14:paraId="73A881D1" w14:textId="77777777" w:rsidR="00FF708D" w:rsidRPr="003067AA" w:rsidRDefault="00FF708D" w:rsidP="00FF708D">
      <w:pPr>
        <w:ind w:left="0"/>
        <w:jc w:val="both"/>
        <w:rPr>
          <w:rFonts w:ascii="Bookman Old Style" w:hAnsi="Bookman Old Style"/>
          <w:lang w:val="es-CO" w:eastAsia="es-CO"/>
        </w:rPr>
      </w:pPr>
      <w:r>
        <w:rPr>
          <w:rFonts w:ascii="Bookman Old Style" w:hAnsi="Bookman Old Style"/>
          <w:lang w:val="es-CO" w:eastAsia="es-CO"/>
        </w:rPr>
        <w:t xml:space="preserve">Adicionalmente el artículo 74 de la ley en mención, </w:t>
      </w:r>
      <w:r w:rsidRPr="003067AA">
        <w:rPr>
          <w:rFonts w:ascii="Bookman Old Style" w:hAnsi="Bookman Old Style"/>
          <w:lang w:val="es-CO" w:eastAsia="es-CO"/>
        </w:rPr>
        <w:t xml:space="preserve">le asignó a la </w:t>
      </w:r>
      <w:r>
        <w:rPr>
          <w:rFonts w:ascii="Bookman Old Style" w:hAnsi="Bookman Old Style"/>
          <w:lang w:val="es-CO" w:eastAsia="es-CO"/>
        </w:rPr>
        <w:t>CREG</w:t>
      </w:r>
      <w:r w:rsidRPr="003067AA">
        <w:rPr>
          <w:rFonts w:ascii="Bookman Old Style" w:hAnsi="Bookman Old Style"/>
          <w:lang w:val="es-CO" w:eastAsia="es-CO"/>
        </w:rPr>
        <w:t xml:space="preserve"> la función de expedir el Reglamento de Operación para regular el funcionamiento del Mercado Mayorista de energía.</w:t>
      </w:r>
    </w:p>
    <w:p w14:paraId="228928B0" w14:textId="77777777" w:rsidR="00FF708D" w:rsidRPr="003067AA" w:rsidRDefault="00FF708D" w:rsidP="00FF708D">
      <w:pPr>
        <w:ind w:left="0"/>
        <w:jc w:val="both"/>
        <w:rPr>
          <w:rFonts w:ascii="Bookman Old Style" w:hAnsi="Bookman Old Style"/>
          <w:lang w:val="es-CO" w:eastAsia="es-CO"/>
        </w:rPr>
      </w:pPr>
    </w:p>
    <w:p w14:paraId="02EAA1DC" w14:textId="77777777" w:rsidR="00FF708D" w:rsidRPr="003067AA" w:rsidRDefault="00FF708D" w:rsidP="00FF708D">
      <w:pPr>
        <w:ind w:left="0"/>
        <w:jc w:val="both"/>
        <w:rPr>
          <w:rFonts w:ascii="Bookman Old Style" w:hAnsi="Bookman Old Style"/>
          <w:lang w:val="es-CO" w:eastAsia="es-CO"/>
        </w:rPr>
      </w:pPr>
      <w:r w:rsidRPr="003067AA">
        <w:rPr>
          <w:rFonts w:ascii="Bookman Old Style" w:hAnsi="Bookman Old Style"/>
          <w:lang w:val="es-CO" w:eastAsia="es-CO"/>
        </w:rPr>
        <w:t xml:space="preserve">La </w:t>
      </w:r>
      <w:r>
        <w:rPr>
          <w:rFonts w:ascii="Bookman Old Style" w:hAnsi="Bookman Old Style"/>
          <w:lang w:val="es-CO" w:eastAsia="es-CO"/>
        </w:rPr>
        <w:t>CREG</w:t>
      </w:r>
      <w:r w:rsidRPr="003067AA">
        <w:rPr>
          <w:rFonts w:ascii="Bookman Old Style" w:hAnsi="Bookman Old Style"/>
          <w:lang w:val="es-CO" w:eastAsia="es-CO"/>
        </w:rPr>
        <w:t xml:space="preserve"> en desarrollo de los objetivos y funciones señaladas, mediante la Resolución CREG 071 de 2006, adoptó la metodología para la remuneración del Cargo por Confiabilidad en el Mercado Mayorista.</w:t>
      </w:r>
    </w:p>
    <w:p w14:paraId="7E50380E" w14:textId="77777777" w:rsidR="00FF708D" w:rsidRPr="003067AA" w:rsidRDefault="00FF708D" w:rsidP="00FF708D">
      <w:pPr>
        <w:ind w:left="0"/>
        <w:jc w:val="both"/>
        <w:rPr>
          <w:rFonts w:ascii="Bookman Old Style" w:hAnsi="Bookman Old Style"/>
          <w:lang w:val="es-CO" w:eastAsia="es-CO"/>
        </w:rPr>
      </w:pPr>
    </w:p>
    <w:p w14:paraId="668367B3" w14:textId="385B642E" w:rsidR="00FF708D" w:rsidRPr="00FC6426" w:rsidRDefault="00FF708D" w:rsidP="00FF708D">
      <w:pPr>
        <w:ind w:left="0"/>
        <w:jc w:val="both"/>
        <w:rPr>
          <w:rFonts w:ascii="Bookman Old Style" w:hAnsi="Bookman Old Style"/>
          <w:lang w:val="es-CO" w:eastAsia="es-CO"/>
        </w:rPr>
      </w:pPr>
      <w:r>
        <w:rPr>
          <w:rFonts w:ascii="Bookman Old Style" w:hAnsi="Bookman Old Style"/>
          <w:lang w:val="es-CO" w:eastAsia="es-CO"/>
        </w:rPr>
        <w:t>L</w:t>
      </w:r>
      <w:r w:rsidRPr="00FC6426">
        <w:rPr>
          <w:rFonts w:ascii="Bookman Old Style" w:hAnsi="Bookman Old Style"/>
          <w:lang w:val="es-CO" w:eastAsia="es-CO"/>
        </w:rPr>
        <w:t xml:space="preserve">a </w:t>
      </w:r>
      <w:r>
        <w:rPr>
          <w:rFonts w:ascii="Bookman Old Style" w:hAnsi="Bookman Old Style"/>
          <w:lang w:val="es-CO" w:eastAsia="es-CO"/>
        </w:rPr>
        <w:t>CREG</w:t>
      </w:r>
      <w:r w:rsidRPr="00FC6426">
        <w:rPr>
          <w:rFonts w:ascii="Bookman Old Style" w:hAnsi="Bookman Old Style"/>
          <w:lang w:val="es-CO" w:eastAsia="es-CO"/>
        </w:rPr>
        <w:t xml:space="preserve"> decidió establecer la metodología para la participación en el Cargo por Confiabilidad </w:t>
      </w:r>
      <w:r>
        <w:rPr>
          <w:rFonts w:ascii="Bookman Old Style" w:hAnsi="Bookman Old Style"/>
          <w:lang w:val="es-CO" w:eastAsia="es-CO"/>
        </w:rPr>
        <w:t>de las plantas solares fotovoltaicas</w:t>
      </w:r>
      <w:r w:rsidRPr="00FC6426">
        <w:rPr>
          <w:rFonts w:ascii="Bookman Old Style" w:hAnsi="Bookman Old Style"/>
          <w:lang w:val="es-CO" w:eastAsia="es-CO"/>
        </w:rPr>
        <w:t xml:space="preserve">. Con este fin se contrató un estudio con la firma FONROCHE para recomendar la metodología de cálculo de </w:t>
      </w:r>
      <w:r w:rsidR="00E32D10">
        <w:rPr>
          <w:rFonts w:ascii="Bookman Old Style" w:hAnsi="Bookman Old Style"/>
          <w:lang w:val="es-CO" w:eastAsia="es-CO"/>
        </w:rPr>
        <w:t>E</w:t>
      </w:r>
      <w:r w:rsidRPr="00FC6426">
        <w:rPr>
          <w:rFonts w:ascii="Bookman Old Style" w:hAnsi="Bookman Old Style"/>
          <w:lang w:val="es-CO" w:eastAsia="es-CO"/>
        </w:rPr>
        <w:t xml:space="preserve">nergía </w:t>
      </w:r>
      <w:r w:rsidR="00E32D10">
        <w:rPr>
          <w:rFonts w:ascii="Bookman Old Style" w:hAnsi="Bookman Old Style"/>
          <w:lang w:val="es-CO" w:eastAsia="es-CO"/>
        </w:rPr>
        <w:t>F</w:t>
      </w:r>
      <w:r w:rsidRPr="00FC6426">
        <w:rPr>
          <w:rFonts w:ascii="Bookman Old Style" w:hAnsi="Bookman Old Style"/>
          <w:lang w:val="es-CO" w:eastAsia="es-CO"/>
        </w:rPr>
        <w:t xml:space="preserve">irme para el Cargo por Confiabilidad </w:t>
      </w:r>
      <w:r w:rsidR="00E32D10">
        <w:rPr>
          <w:rFonts w:ascii="Bookman Old Style" w:hAnsi="Bookman Old Style"/>
          <w:lang w:val="es-CO" w:eastAsia="es-CO"/>
        </w:rPr>
        <w:t>(</w:t>
      </w:r>
      <w:proofErr w:type="spellStart"/>
      <w:r w:rsidRPr="00FC6426">
        <w:rPr>
          <w:rFonts w:ascii="Bookman Old Style" w:hAnsi="Bookman Old Style"/>
          <w:lang w:val="es-CO" w:eastAsia="es-CO"/>
        </w:rPr>
        <w:t>ENFICC</w:t>
      </w:r>
      <w:proofErr w:type="spellEnd"/>
      <w:r w:rsidR="00E32D10">
        <w:rPr>
          <w:rFonts w:ascii="Bookman Old Style" w:hAnsi="Bookman Old Style"/>
          <w:lang w:val="es-CO" w:eastAsia="es-CO"/>
        </w:rPr>
        <w:t>)</w:t>
      </w:r>
      <w:r w:rsidRPr="00FC6426">
        <w:rPr>
          <w:rFonts w:ascii="Bookman Old Style" w:hAnsi="Bookman Old Style"/>
          <w:lang w:val="es-CO" w:eastAsia="es-CO"/>
        </w:rPr>
        <w:t xml:space="preserve"> de plantas solares fotovoltaicas, la cual se publicó a comentarios a través del documento anexo a la Circular CREG 083 de 2015.</w:t>
      </w:r>
    </w:p>
    <w:p w14:paraId="5A2E1D1C" w14:textId="77777777" w:rsidR="00FF708D" w:rsidRDefault="00FF708D" w:rsidP="00FF708D">
      <w:pPr>
        <w:ind w:left="0"/>
        <w:jc w:val="both"/>
        <w:rPr>
          <w:rFonts w:ascii="Bookman Old Style" w:hAnsi="Bookman Old Style"/>
        </w:rPr>
      </w:pPr>
    </w:p>
    <w:p w14:paraId="361FA845" w14:textId="77777777" w:rsidR="00FF708D" w:rsidRDefault="00FF708D" w:rsidP="00FF708D">
      <w:pPr>
        <w:ind w:left="0"/>
        <w:jc w:val="both"/>
        <w:rPr>
          <w:rFonts w:ascii="Bookman Old Style" w:hAnsi="Bookman Old Style"/>
        </w:rPr>
      </w:pPr>
      <w:r w:rsidRPr="005346DF">
        <w:rPr>
          <w:rFonts w:ascii="Bookman Old Style" w:hAnsi="Bookman Old Style"/>
        </w:rPr>
        <w:t xml:space="preserve">Con </w:t>
      </w:r>
      <w:r>
        <w:rPr>
          <w:rFonts w:ascii="Bookman Old Style" w:hAnsi="Bookman Old Style"/>
        </w:rPr>
        <w:t>fundamento</w:t>
      </w:r>
      <w:r w:rsidRPr="005346DF">
        <w:rPr>
          <w:rFonts w:ascii="Bookman Old Style" w:hAnsi="Bookman Old Style"/>
        </w:rPr>
        <w:t xml:space="preserve"> en este estudio, la CREG publicó el proyecto de resolución a comentarios “</w:t>
      </w:r>
      <w:r w:rsidRPr="003A367B">
        <w:rPr>
          <w:rFonts w:ascii="Bookman Old Style" w:hAnsi="Bookman Old Style"/>
          <w:i/>
          <w:iCs/>
        </w:rPr>
        <w:t>Por la cual se define la metodología para determinar la energía firme de plantas solares fotovoltaicas</w:t>
      </w:r>
      <w:r w:rsidRPr="005346DF">
        <w:rPr>
          <w:rFonts w:ascii="Bookman Old Style" w:hAnsi="Bookman Old Style"/>
        </w:rPr>
        <w:t>”, en la Resolución de consulta CREG 227 de diciembre de 2015</w:t>
      </w:r>
      <w:r>
        <w:rPr>
          <w:rFonts w:ascii="Bookman Old Style" w:hAnsi="Bookman Old Style"/>
        </w:rPr>
        <w:t>.</w:t>
      </w:r>
    </w:p>
    <w:p w14:paraId="77872486" w14:textId="77777777" w:rsidR="00FF708D" w:rsidRDefault="00FF708D" w:rsidP="00FF708D">
      <w:pPr>
        <w:ind w:left="0"/>
        <w:jc w:val="both"/>
        <w:rPr>
          <w:rFonts w:ascii="Bookman Old Style" w:hAnsi="Bookman Old Style"/>
        </w:rPr>
      </w:pPr>
    </w:p>
    <w:p w14:paraId="16911122" w14:textId="251F1519" w:rsidR="00FF708D" w:rsidRDefault="00FF708D" w:rsidP="00FF708D">
      <w:pPr>
        <w:ind w:left="0"/>
        <w:jc w:val="both"/>
        <w:rPr>
          <w:rFonts w:ascii="Bookman Old Style" w:hAnsi="Bookman Old Style"/>
        </w:rPr>
      </w:pPr>
      <w:r w:rsidRPr="00981952">
        <w:rPr>
          <w:rFonts w:ascii="Bookman Old Style" w:hAnsi="Bookman Old Style"/>
        </w:rPr>
        <w:t xml:space="preserve">Finalizado el proceso de consulta del citado proyecto de resolución, por medio de la Resolución </w:t>
      </w:r>
      <w:proofErr w:type="spellStart"/>
      <w:r w:rsidRPr="00981952">
        <w:rPr>
          <w:rFonts w:ascii="Bookman Old Style" w:hAnsi="Bookman Old Style"/>
        </w:rPr>
        <w:t>CREG</w:t>
      </w:r>
      <w:proofErr w:type="spellEnd"/>
      <w:r w:rsidRPr="00981952">
        <w:rPr>
          <w:rFonts w:ascii="Bookman Old Style" w:hAnsi="Bookman Old Style"/>
        </w:rPr>
        <w:t xml:space="preserve"> 243 de 2016, se aprobó la metodología para determinar la ENFICC de plantas solares fotovoltaicas.</w:t>
      </w:r>
    </w:p>
    <w:p w14:paraId="564B00EB" w14:textId="77777777" w:rsidR="00FF708D" w:rsidRDefault="00FF708D" w:rsidP="00FF708D">
      <w:pPr>
        <w:ind w:left="0"/>
        <w:jc w:val="both"/>
        <w:rPr>
          <w:rFonts w:ascii="Bookman Old Style" w:hAnsi="Bookman Old Style"/>
        </w:rPr>
      </w:pPr>
    </w:p>
    <w:p w14:paraId="166F20B9" w14:textId="62F0ED44" w:rsidR="00FF708D" w:rsidRDefault="00FF708D" w:rsidP="00FF708D">
      <w:pPr>
        <w:ind w:left="0"/>
        <w:jc w:val="both"/>
        <w:rPr>
          <w:rFonts w:ascii="Bookman Old Style" w:hAnsi="Bookman Old Style"/>
        </w:rPr>
      </w:pPr>
      <w:r w:rsidRPr="000712BB">
        <w:rPr>
          <w:rFonts w:ascii="Bookman Old Style" w:hAnsi="Bookman Old Style"/>
        </w:rPr>
        <w:t xml:space="preserve">Definida esta metodología se recibieron comentarios por parte de XM S.A. E.S.P., con radicado </w:t>
      </w:r>
      <w:proofErr w:type="spellStart"/>
      <w:r w:rsidRPr="000712BB">
        <w:rPr>
          <w:rFonts w:ascii="Bookman Old Style" w:hAnsi="Bookman Old Style"/>
        </w:rPr>
        <w:t>CREG</w:t>
      </w:r>
      <w:proofErr w:type="spellEnd"/>
      <w:r w:rsidRPr="000712BB">
        <w:rPr>
          <w:rFonts w:ascii="Bookman Old Style" w:hAnsi="Bookman Old Style"/>
        </w:rPr>
        <w:t xml:space="preserve"> E-2017-001362 (</w:t>
      </w:r>
      <w:r w:rsidR="000E2B89">
        <w:rPr>
          <w:rFonts w:ascii="Bookman Old Style" w:hAnsi="Bookman Old Style"/>
        </w:rPr>
        <w:t>f</w:t>
      </w:r>
      <w:r w:rsidRPr="000712BB">
        <w:rPr>
          <w:rFonts w:ascii="Bookman Old Style" w:hAnsi="Bookman Old Style"/>
        </w:rPr>
        <w:t xml:space="preserve">ebrero de 2017) y del Consejo Nacional de Operación </w:t>
      </w:r>
      <w:r w:rsidR="000E2B89">
        <w:rPr>
          <w:rFonts w:ascii="Bookman Old Style" w:hAnsi="Bookman Old Style"/>
        </w:rPr>
        <w:t>(</w:t>
      </w:r>
      <w:proofErr w:type="spellStart"/>
      <w:r w:rsidRPr="000712BB">
        <w:rPr>
          <w:rFonts w:ascii="Bookman Old Style" w:hAnsi="Bookman Old Style"/>
        </w:rPr>
        <w:t>CNO</w:t>
      </w:r>
      <w:proofErr w:type="spellEnd"/>
      <w:r w:rsidR="000E2B89">
        <w:rPr>
          <w:rFonts w:ascii="Bookman Old Style" w:hAnsi="Bookman Old Style"/>
        </w:rPr>
        <w:t>)</w:t>
      </w:r>
      <w:r w:rsidRPr="000712BB">
        <w:rPr>
          <w:rFonts w:ascii="Bookman Old Style" w:hAnsi="Bookman Old Style"/>
        </w:rPr>
        <w:t xml:space="preserve">, con radicado </w:t>
      </w:r>
      <w:proofErr w:type="spellStart"/>
      <w:r w:rsidRPr="000712BB">
        <w:rPr>
          <w:rFonts w:ascii="Bookman Old Style" w:hAnsi="Bookman Old Style"/>
        </w:rPr>
        <w:t>CREG</w:t>
      </w:r>
      <w:proofErr w:type="spellEnd"/>
      <w:r w:rsidRPr="000712BB">
        <w:rPr>
          <w:rFonts w:ascii="Bookman Old Style" w:hAnsi="Bookman Old Style"/>
        </w:rPr>
        <w:t xml:space="preserve"> E-2017-003792 (</w:t>
      </w:r>
      <w:r w:rsidR="000E2B89">
        <w:rPr>
          <w:rFonts w:ascii="Bookman Old Style" w:hAnsi="Bookman Old Style"/>
        </w:rPr>
        <w:t>a</w:t>
      </w:r>
      <w:r w:rsidRPr="000712BB">
        <w:rPr>
          <w:rFonts w:ascii="Bookman Old Style" w:hAnsi="Bookman Old Style"/>
        </w:rPr>
        <w:t>bril de 2017), solicitando ajustes y aclaración en los procedimientos de la Resolución CREG 243 de 2016, a partir de lo cual la Comisión decidió publicar a comentarios el proyecto de Resolución CREG 111 de agosto de 2017, “</w:t>
      </w:r>
      <w:r w:rsidRPr="003A367B">
        <w:rPr>
          <w:rFonts w:ascii="Bookman Old Style" w:hAnsi="Bookman Old Style"/>
          <w:i/>
          <w:iCs/>
        </w:rPr>
        <w:t>Por la cual se realizan ajustes a la Resolución CREG 243 de 2016 que define la ENFICC de plantas solares fotovoltaicas</w:t>
      </w:r>
      <w:r w:rsidRPr="000712BB">
        <w:rPr>
          <w:rFonts w:ascii="Bookman Old Style" w:hAnsi="Bookman Old Style"/>
        </w:rPr>
        <w:t>”.</w:t>
      </w:r>
    </w:p>
    <w:p w14:paraId="40471B85" w14:textId="77777777" w:rsidR="00FF708D" w:rsidRDefault="00FF708D" w:rsidP="00FF708D">
      <w:pPr>
        <w:ind w:left="0"/>
        <w:jc w:val="both"/>
        <w:rPr>
          <w:rFonts w:ascii="Bookman Old Style" w:hAnsi="Bookman Old Style"/>
        </w:rPr>
      </w:pPr>
    </w:p>
    <w:p w14:paraId="02F78DA5" w14:textId="4FCB2D5B" w:rsidR="00FF708D" w:rsidRDefault="00FF708D" w:rsidP="00FF708D">
      <w:pPr>
        <w:ind w:left="0"/>
        <w:jc w:val="both"/>
        <w:rPr>
          <w:rFonts w:ascii="Bookman Old Style" w:hAnsi="Bookman Old Style"/>
        </w:rPr>
      </w:pPr>
      <w:r w:rsidRPr="009C1366">
        <w:rPr>
          <w:rFonts w:ascii="Bookman Old Style" w:hAnsi="Bookman Old Style"/>
        </w:rPr>
        <w:t xml:space="preserve">Con base en los comentarios recibidos y de los análisis propios, la CREG realizó ajustes a la metodología que determina la ENFICC de plantas solares fotovoltaicas mediante la Resolución </w:t>
      </w:r>
      <w:proofErr w:type="spellStart"/>
      <w:r w:rsidRPr="009C1366">
        <w:rPr>
          <w:rFonts w:ascii="Bookman Old Style" w:hAnsi="Bookman Old Style"/>
        </w:rPr>
        <w:t>CREG</w:t>
      </w:r>
      <w:proofErr w:type="spellEnd"/>
      <w:r w:rsidRPr="009C1366">
        <w:rPr>
          <w:rFonts w:ascii="Bookman Old Style" w:hAnsi="Bookman Old Style"/>
        </w:rPr>
        <w:t xml:space="preserve"> 201 de 2017.</w:t>
      </w:r>
    </w:p>
    <w:p w14:paraId="6E019BA0" w14:textId="77777777" w:rsidR="00FF708D" w:rsidRDefault="00FF708D" w:rsidP="00FF708D">
      <w:pPr>
        <w:ind w:left="0"/>
        <w:jc w:val="both"/>
        <w:rPr>
          <w:rFonts w:ascii="Bookman Old Style" w:hAnsi="Bookman Old Style"/>
        </w:rPr>
      </w:pPr>
    </w:p>
    <w:p w14:paraId="4EBC3B2B" w14:textId="4097EC3A" w:rsidR="00FF708D" w:rsidRPr="00A85DF3" w:rsidRDefault="00FF708D" w:rsidP="00FF708D">
      <w:pPr>
        <w:ind w:left="0"/>
        <w:jc w:val="both"/>
        <w:rPr>
          <w:rFonts w:ascii="Bookman Old Style" w:hAnsi="Bookman Old Style"/>
        </w:rPr>
      </w:pPr>
      <w:r w:rsidRPr="00A85DF3">
        <w:rPr>
          <w:rFonts w:ascii="Bookman Old Style" w:hAnsi="Bookman Old Style"/>
        </w:rPr>
        <w:t xml:space="preserve">Posteriormente, la Comisión contrató un estudio en el año 2020, el cual evaluó la metodología de la Resolución CREG 201 de 2017, y recomendó varios cambios que mejorarían el proceso de cálculo de la energía firme. Los informes de la citada consultoría se publicaron en la Circular </w:t>
      </w:r>
      <w:proofErr w:type="spellStart"/>
      <w:r w:rsidRPr="00A85DF3">
        <w:rPr>
          <w:rFonts w:ascii="Bookman Old Style" w:hAnsi="Bookman Old Style"/>
        </w:rPr>
        <w:t>CREG</w:t>
      </w:r>
      <w:proofErr w:type="spellEnd"/>
      <w:r w:rsidRPr="00A85DF3">
        <w:rPr>
          <w:rFonts w:ascii="Bookman Old Style" w:hAnsi="Bookman Old Style"/>
        </w:rPr>
        <w:t xml:space="preserve"> 103 de 2020.</w:t>
      </w:r>
    </w:p>
    <w:p w14:paraId="2636BCB6" w14:textId="77777777" w:rsidR="00FF708D" w:rsidRPr="00A85DF3" w:rsidRDefault="00FF708D" w:rsidP="00FF708D">
      <w:pPr>
        <w:ind w:left="0"/>
        <w:jc w:val="both"/>
        <w:rPr>
          <w:rFonts w:ascii="Bookman Old Style" w:hAnsi="Bookman Old Style"/>
        </w:rPr>
      </w:pPr>
    </w:p>
    <w:p w14:paraId="1CF24EA9" w14:textId="1F4E43B1" w:rsidR="00FF708D" w:rsidRDefault="00FF708D" w:rsidP="00FF708D">
      <w:pPr>
        <w:ind w:left="0"/>
        <w:jc w:val="both"/>
        <w:rPr>
          <w:rFonts w:ascii="Bookman Old Style" w:hAnsi="Bookman Old Style"/>
        </w:rPr>
      </w:pPr>
      <w:r w:rsidRPr="00A85DF3">
        <w:rPr>
          <w:rFonts w:ascii="Bookman Old Style" w:hAnsi="Bookman Old Style"/>
        </w:rPr>
        <w:t xml:space="preserve">A partir de la revisión de las reglas y procedimientos definidos en la Resolución CREG 201 de 2017 y de la evaluación de su aplicación, junto con las observaciones y recomendaciones recibidas, la Comisión publicó para consulta </w:t>
      </w:r>
      <w:r>
        <w:rPr>
          <w:rFonts w:ascii="Bookman Old Style" w:hAnsi="Bookman Old Style"/>
        </w:rPr>
        <w:t>el ajuste a la metodología de cálculo de ENFICC de plantas solares en</w:t>
      </w:r>
      <w:r w:rsidRPr="00A85DF3">
        <w:rPr>
          <w:rFonts w:ascii="Bookman Old Style" w:hAnsi="Bookman Old Style"/>
        </w:rPr>
        <w:t xml:space="preserve"> la Resolución </w:t>
      </w:r>
      <w:proofErr w:type="spellStart"/>
      <w:r w:rsidRPr="00A85DF3">
        <w:rPr>
          <w:rFonts w:ascii="Bookman Old Style" w:hAnsi="Bookman Old Style"/>
        </w:rPr>
        <w:t>CREG</w:t>
      </w:r>
      <w:proofErr w:type="spellEnd"/>
      <w:r w:rsidRPr="00A85DF3">
        <w:rPr>
          <w:rFonts w:ascii="Bookman Old Style" w:hAnsi="Bookman Old Style"/>
        </w:rPr>
        <w:t xml:space="preserve"> 701 009 de 2022</w:t>
      </w:r>
      <w:r>
        <w:rPr>
          <w:rFonts w:ascii="Bookman Old Style" w:hAnsi="Bookman Old Style"/>
        </w:rPr>
        <w:t>.</w:t>
      </w:r>
    </w:p>
    <w:p w14:paraId="16C07A3F" w14:textId="77777777" w:rsidR="00FF708D" w:rsidRDefault="00FF708D" w:rsidP="00FF708D">
      <w:pPr>
        <w:ind w:left="0"/>
        <w:jc w:val="both"/>
        <w:rPr>
          <w:rFonts w:ascii="Bookman Old Style" w:hAnsi="Bookman Old Style"/>
        </w:rPr>
      </w:pPr>
    </w:p>
    <w:p w14:paraId="711E75FC" w14:textId="77777777" w:rsidR="00FF708D" w:rsidRDefault="00FF708D" w:rsidP="00FF708D">
      <w:pPr>
        <w:ind w:left="0"/>
        <w:jc w:val="both"/>
        <w:rPr>
          <w:rFonts w:ascii="Bookman Old Style" w:hAnsi="Bookman Old Style"/>
        </w:rPr>
      </w:pPr>
      <w:r>
        <w:rPr>
          <w:rFonts w:ascii="Bookman Old Style" w:hAnsi="Bookman Old Style"/>
        </w:rPr>
        <w:t xml:space="preserve">Una vez se finalizó el análisis de los comentarios recibidos, se publicó la metodología de cálculo de ENFICC de plantas solares fotovoltaicas por medio de la Resolución CREG 101 007 de 2023. </w:t>
      </w:r>
    </w:p>
    <w:p w14:paraId="38A1401B" w14:textId="77777777" w:rsidR="00FF708D" w:rsidRDefault="00FF708D" w:rsidP="00FF708D">
      <w:pPr>
        <w:ind w:left="0"/>
        <w:jc w:val="both"/>
        <w:rPr>
          <w:rFonts w:ascii="Bookman Old Style" w:hAnsi="Bookman Old Style"/>
        </w:rPr>
      </w:pPr>
    </w:p>
    <w:p w14:paraId="1D251384" w14:textId="77777777" w:rsidR="00FF708D" w:rsidRDefault="00FF708D" w:rsidP="00FF708D">
      <w:pPr>
        <w:ind w:left="0"/>
        <w:jc w:val="both"/>
        <w:rPr>
          <w:rFonts w:ascii="Bookman Old Style" w:hAnsi="Bookman Old Style"/>
        </w:rPr>
      </w:pPr>
      <w:r>
        <w:rPr>
          <w:rFonts w:ascii="Bookman Old Style" w:hAnsi="Bookman Old Style"/>
        </w:rPr>
        <w:t>En esta última resolución, se incluyó un factor de ajuste de 0,6 a las plantas que no tienen historia de datos medidos en el sitio para el cálculo de la energía firme. Dicho valor también aplica a plantas eólicas de conformidad con la metodología de cálculo de ENFICC establecida en la Resolución CREG 101 006 de 2023.</w:t>
      </w:r>
    </w:p>
    <w:p w14:paraId="326A8246" w14:textId="77777777" w:rsidR="00FF708D" w:rsidRDefault="00FF708D" w:rsidP="00FF708D">
      <w:pPr>
        <w:ind w:left="0"/>
        <w:jc w:val="both"/>
        <w:rPr>
          <w:rFonts w:ascii="Bookman Old Style" w:hAnsi="Bookman Old Style"/>
        </w:rPr>
      </w:pPr>
    </w:p>
    <w:p w14:paraId="3B1490AB" w14:textId="77777777" w:rsidR="00FF708D" w:rsidRDefault="00FF708D" w:rsidP="00FF708D">
      <w:pPr>
        <w:ind w:left="0"/>
        <w:jc w:val="both"/>
        <w:rPr>
          <w:rFonts w:ascii="Bookman Old Style" w:hAnsi="Bookman Old Style"/>
        </w:rPr>
      </w:pPr>
      <w:r>
        <w:rPr>
          <w:rFonts w:ascii="Bookman Old Style" w:hAnsi="Bookman Old Style"/>
        </w:rPr>
        <w:t xml:space="preserve">En el documento soporte </w:t>
      </w:r>
      <w:r w:rsidRPr="00F66051">
        <w:rPr>
          <w:rFonts w:ascii="Bookman Old Style" w:hAnsi="Bookman Old Style"/>
        </w:rPr>
        <w:t>CREG 101 003</w:t>
      </w:r>
      <w:r>
        <w:rPr>
          <w:rFonts w:ascii="Bookman Old Style" w:hAnsi="Bookman Old Style"/>
        </w:rPr>
        <w:t xml:space="preserve"> de 2023 que acompaña la Resolución CREG 101 007 de 2023, se explica la razón del valor acogido, el cual principalmente atiende a ausencia de datos o antecedentes de plantas solares para aplicar en Colombia, y a que no se tiene un referente del error en el cálculo de la energía cuando no se cuenta con medición de la irradiación y temperatura ambiente en el sitio de la planta. En el mismo documento soporte también se explica del valor regulado para plantas eólicas. </w:t>
      </w:r>
    </w:p>
    <w:p w14:paraId="1EFED6C6" w14:textId="77777777" w:rsidR="00FF708D" w:rsidRDefault="00FF708D" w:rsidP="00FF708D">
      <w:pPr>
        <w:ind w:left="0"/>
        <w:jc w:val="both"/>
        <w:rPr>
          <w:rFonts w:ascii="Bookman Old Style" w:hAnsi="Bookman Old Style"/>
        </w:rPr>
      </w:pPr>
    </w:p>
    <w:p w14:paraId="31823DED" w14:textId="77777777" w:rsidR="00FF708D" w:rsidRDefault="00FF708D" w:rsidP="00FF708D">
      <w:pPr>
        <w:ind w:left="0"/>
        <w:jc w:val="both"/>
        <w:rPr>
          <w:rFonts w:ascii="Bookman Old Style" w:hAnsi="Bookman Old Style"/>
        </w:rPr>
      </w:pPr>
      <w:r>
        <w:rPr>
          <w:rFonts w:ascii="Bookman Old Style" w:hAnsi="Bookman Old Style"/>
        </w:rPr>
        <w:t xml:space="preserve">Frente a lo anterior, se recibió por parte de Ser Colombia, radicado CREG </w:t>
      </w:r>
      <w:r w:rsidRPr="00C2288C">
        <w:rPr>
          <w:rFonts w:ascii="Bookman Old Style" w:hAnsi="Bookman Old Style"/>
        </w:rPr>
        <w:t>E2023014126</w:t>
      </w:r>
      <w:r>
        <w:rPr>
          <w:rFonts w:ascii="Bookman Old Style" w:hAnsi="Bookman Old Style"/>
        </w:rPr>
        <w:t xml:space="preserve">, un estudio en el que muestra una posible modificación al citado factor de ajuste para plantas solares. Para plantas eólicas también se presenta el análisis, pero no se determina o concluye un valor a ser implementado, pues se entiende no se tienen datos suficientes en Colombia. </w:t>
      </w:r>
    </w:p>
    <w:p w14:paraId="6C8E7853" w14:textId="77777777" w:rsidR="00FF708D" w:rsidRDefault="00FF708D" w:rsidP="00FF708D">
      <w:pPr>
        <w:ind w:left="0"/>
        <w:jc w:val="both"/>
        <w:rPr>
          <w:rFonts w:ascii="Bookman Old Style" w:hAnsi="Bookman Old Style"/>
        </w:rPr>
      </w:pPr>
    </w:p>
    <w:p w14:paraId="30AAF014" w14:textId="071779BD" w:rsidR="00FF708D" w:rsidRDefault="00FF708D" w:rsidP="00FF708D">
      <w:pPr>
        <w:ind w:left="0"/>
        <w:jc w:val="both"/>
        <w:rPr>
          <w:rFonts w:ascii="Bookman Old Style" w:hAnsi="Bookman Old Style"/>
        </w:rPr>
      </w:pPr>
      <w:r>
        <w:rPr>
          <w:rFonts w:ascii="Bookman Old Style" w:hAnsi="Bookman Old Style"/>
        </w:rPr>
        <w:t>También se tiene por solicitud de la CREG, un análisis de</w:t>
      </w:r>
      <w:r w:rsidR="00463A51">
        <w:rPr>
          <w:rFonts w:ascii="Bookman Old Style" w:hAnsi="Bookman Old Style"/>
        </w:rPr>
        <w:t xml:space="preserve"> </w:t>
      </w:r>
      <w:proofErr w:type="spellStart"/>
      <w:r w:rsidR="00463A51">
        <w:rPr>
          <w:rFonts w:ascii="Bookman Old Style" w:hAnsi="Bookman Old Style"/>
        </w:rPr>
        <w:t>XM</w:t>
      </w:r>
      <w:proofErr w:type="spellEnd"/>
      <w:r w:rsidR="00463A51">
        <w:rPr>
          <w:rFonts w:ascii="Bookman Old Style" w:hAnsi="Bookman Old Style"/>
        </w:rPr>
        <w:t xml:space="preserve"> </w:t>
      </w:r>
      <w:proofErr w:type="spellStart"/>
      <w:r w:rsidR="00463A51">
        <w:rPr>
          <w:rFonts w:ascii="Bookman Old Style" w:hAnsi="Bookman Old Style"/>
        </w:rPr>
        <w:t>S.A</w:t>
      </w:r>
      <w:proofErr w:type="spellEnd"/>
      <w:r w:rsidR="00463A51">
        <w:rPr>
          <w:rFonts w:ascii="Bookman Old Style" w:hAnsi="Bookman Old Style"/>
        </w:rPr>
        <w:t xml:space="preserve"> </w:t>
      </w:r>
      <w:proofErr w:type="spellStart"/>
      <w:r w:rsidR="00463A51">
        <w:rPr>
          <w:rFonts w:ascii="Bookman Old Style" w:hAnsi="Bookman Old Style"/>
        </w:rPr>
        <w:t>ESP</w:t>
      </w:r>
      <w:proofErr w:type="spellEnd"/>
      <w:r w:rsidR="00463A51">
        <w:rPr>
          <w:rFonts w:ascii="Bookman Old Style" w:hAnsi="Bookman Old Style"/>
        </w:rPr>
        <w:t xml:space="preserve"> en su función</w:t>
      </w:r>
      <w:r w:rsidR="00F84B3B">
        <w:rPr>
          <w:rFonts w:ascii="Bookman Old Style" w:hAnsi="Bookman Old Style"/>
        </w:rPr>
        <w:t xml:space="preserve"> de</w:t>
      </w:r>
      <w:r>
        <w:rPr>
          <w:rFonts w:ascii="Bookman Old Style" w:hAnsi="Bookman Old Style"/>
        </w:rPr>
        <w:t xml:space="preserve"> Centro Nacional de Despacho (CND), a partir del nuevo modelo de cálculo de ENFICC de plantas solares, de tal forma que se pueda tener un orden de magnitud del cálculo cuando no se tienen datos medidos en sitio para algunas plantas en Colombia. Dicho análisis reposa en el radicado CREG </w:t>
      </w:r>
      <w:r w:rsidRPr="00C95CCE">
        <w:rPr>
          <w:rFonts w:ascii="Bookman Old Style" w:hAnsi="Bookman Old Style"/>
        </w:rPr>
        <w:t>E2024002578</w:t>
      </w:r>
      <w:r>
        <w:rPr>
          <w:rFonts w:ascii="Bookman Old Style" w:hAnsi="Bookman Old Style"/>
        </w:rPr>
        <w:t>. Se solicitó el mismo ejercicio a</w:t>
      </w:r>
      <w:r w:rsidR="002A5545">
        <w:rPr>
          <w:rFonts w:ascii="Bookman Old Style" w:hAnsi="Bookman Old Style"/>
        </w:rPr>
        <w:t xml:space="preserve"> XM S.A ES</w:t>
      </w:r>
      <w:r w:rsidR="00083B8E">
        <w:rPr>
          <w:rFonts w:ascii="Bookman Old Style" w:hAnsi="Bookman Old Style"/>
        </w:rPr>
        <w:t xml:space="preserve">P en su función de </w:t>
      </w:r>
      <w:proofErr w:type="spellStart"/>
      <w:r>
        <w:rPr>
          <w:rFonts w:ascii="Bookman Old Style" w:hAnsi="Bookman Old Style"/>
        </w:rPr>
        <w:t>CND</w:t>
      </w:r>
      <w:proofErr w:type="spellEnd"/>
      <w:r>
        <w:rPr>
          <w:rFonts w:ascii="Bookman Old Style" w:hAnsi="Bookman Old Style"/>
        </w:rPr>
        <w:t xml:space="preserve">, respecto a plantas eólicas, para lo cual se realizó un ejercicio de una planta de prueba, en ausencia de datos (radicado CREG </w:t>
      </w:r>
      <w:r w:rsidRPr="00215150">
        <w:rPr>
          <w:rFonts w:ascii="Bookman Old Style" w:hAnsi="Bookman Old Style"/>
        </w:rPr>
        <w:t>E2024005692</w:t>
      </w:r>
      <w:r>
        <w:rPr>
          <w:rFonts w:ascii="Bookman Old Style" w:hAnsi="Bookman Old Style"/>
        </w:rPr>
        <w:t xml:space="preserve">). </w:t>
      </w:r>
    </w:p>
    <w:p w14:paraId="28C906B5" w14:textId="77777777" w:rsidR="00FF708D" w:rsidRDefault="00FF708D" w:rsidP="00FF708D">
      <w:pPr>
        <w:ind w:left="0"/>
        <w:jc w:val="both"/>
        <w:rPr>
          <w:rFonts w:ascii="Bookman Old Style" w:hAnsi="Bookman Old Style"/>
        </w:rPr>
      </w:pPr>
    </w:p>
    <w:p w14:paraId="4313269E" w14:textId="77777777" w:rsidR="00FF708D" w:rsidRDefault="00FF708D" w:rsidP="00FF708D">
      <w:pPr>
        <w:ind w:left="0"/>
        <w:jc w:val="both"/>
        <w:rPr>
          <w:rFonts w:ascii="Bookman Old Style" w:hAnsi="Bookman Old Style"/>
        </w:rPr>
      </w:pPr>
      <w:r>
        <w:rPr>
          <w:rFonts w:ascii="Bookman Old Style" w:hAnsi="Bookman Old Style"/>
        </w:rPr>
        <w:t>En ese sentido, la CREG considera necesario realizar una revisión a los factores de ajuste de cálculo de ENFICC cuando no se tienen datos medidos en el sitio de las plantas solares y eólicas con la nueva información disponible.</w:t>
      </w:r>
    </w:p>
    <w:p w14:paraId="50BD6592" w14:textId="77777777" w:rsidR="00FF708D" w:rsidRDefault="00FF708D" w:rsidP="00FF708D">
      <w:pPr>
        <w:ind w:left="0"/>
        <w:jc w:val="both"/>
        <w:rPr>
          <w:rFonts w:ascii="Bookman Old Style" w:hAnsi="Bookman Old Style"/>
        </w:rPr>
      </w:pPr>
    </w:p>
    <w:p w14:paraId="0CEE7AA4" w14:textId="77777777" w:rsidR="00FF708D" w:rsidRDefault="00FF708D" w:rsidP="00FF708D">
      <w:pPr>
        <w:ind w:left="0"/>
        <w:jc w:val="both"/>
        <w:rPr>
          <w:rFonts w:ascii="Bookman Old Style" w:hAnsi="Bookman Old Style"/>
        </w:rPr>
      </w:pPr>
      <w:r>
        <w:rPr>
          <w:rFonts w:ascii="Bookman Old Style" w:hAnsi="Bookman Old Style"/>
          <w:bCs/>
        </w:rPr>
        <w:t xml:space="preserve">Con base en lo anterior, la CREG sometió a consulta pública el proyecto de </w:t>
      </w:r>
      <w:r w:rsidRPr="00174A8B">
        <w:rPr>
          <w:rFonts w:ascii="Bookman Old Style" w:hAnsi="Bookman Old Style"/>
          <w:bCs/>
        </w:rPr>
        <w:t xml:space="preserve">Resolución </w:t>
      </w:r>
      <w:r>
        <w:rPr>
          <w:rFonts w:ascii="Bookman Old Style" w:hAnsi="Bookman Old Style"/>
        </w:rPr>
        <w:t>CREG 701 043 de 2024 “</w:t>
      </w:r>
      <w:r w:rsidRPr="008170F3">
        <w:rPr>
          <w:rFonts w:ascii="Bookman Old Style" w:hAnsi="Bookman Old Style"/>
          <w:i/>
          <w:iCs/>
        </w:rPr>
        <w:t>Por la cual se ajusta el cálculo de ENFICC de plantas solares fotovoltaicas cuando solo se usa información secundaria</w:t>
      </w:r>
      <w:r>
        <w:rPr>
          <w:rFonts w:ascii="Bookman Old Style" w:hAnsi="Bookman Old Style"/>
        </w:rPr>
        <w:t xml:space="preserve">”. </w:t>
      </w:r>
    </w:p>
    <w:p w14:paraId="40BAD9FF" w14:textId="1C906ED1" w:rsidR="00FF708D" w:rsidRDefault="00FF708D" w:rsidP="00FF708D">
      <w:pPr>
        <w:ind w:left="0"/>
        <w:jc w:val="both"/>
        <w:rPr>
          <w:rFonts w:ascii="Bookman Old Style" w:hAnsi="Bookman Old Style"/>
        </w:rPr>
      </w:pPr>
      <w:r>
        <w:rPr>
          <w:rFonts w:ascii="Bookman Old Style" w:hAnsi="Bookman Old Style"/>
        </w:rPr>
        <w:lastRenderedPageBreak/>
        <w:t>En el documento soporte CREG 901 072 de 2024 que acompaña el anterior proyecto regulatorio</w:t>
      </w:r>
      <w:r w:rsidR="00DE2B88">
        <w:rPr>
          <w:rFonts w:ascii="Bookman Old Style" w:hAnsi="Bookman Old Style"/>
        </w:rPr>
        <w:t>,</w:t>
      </w:r>
      <w:r>
        <w:rPr>
          <w:rFonts w:ascii="Bookman Old Style" w:hAnsi="Bookman Old Style"/>
        </w:rPr>
        <w:t xml:space="preserve"> se presenta el análisis que determinó el valor en el factor de ajuste cuando no se usan datos en sitio para el cálculo de la ENFICC de plantas solares fotovoltaicas. Así mismo se incluye el análisis para plantas eólicas, el cual determina que no se tiene información en Colombia para modificar dicho límite para las mismas.</w:t>
      </w:r>
    </w:p>
    <w:p w14:paraId="5B49D6F0" w14:textId="77777777" w:rsidR="00FF708D" w:rsidRDefault="00FF708D" w:rsidP="00FF708D">
      <w:pPr>
        <w:ind w:left="0"/>
        <w:jc w:val="both"/>
        <w:rPr>
          <w:rFonts w:ascii="Bookman Old Style" w:hAnsi="Bookman Old Style"/>
        </w:rPr>
      </w:pPr>
    </w:p>
    <w:p w14:paraId="3AC7A415" w14:textId="77777777" w:rsidR="00FF708D" w:rsidRDefault="00FF708D" w:rsidP="00FF708D">
      <w:pPr>
        <w:ind w:left="0"/>
        <w:jc w:val="both"/>
        <w:rPr>
          <w:rFonts w:ascii="Bookman Old Style" w:hAnsi="Bookman Old Style"/>
        </w:rPr>
      </w:pPr>
      <w:r w:rsidRPr="00365909">
        <w:rPr>
          <w:rFonts w:ascii="Bookman Old Style" w:hAnsi="Bookman Old Style"/>
        </w:rPr>
        <w:t xml:space="preserve">Hasta el día </w:t>
      </w:r>
      <w:r>
        <w:rPr>
          <w:rFonts w:ascii="Bookman Old Style" w:hAnsi="Bookman Old Style"/>
        </w:rPr>
        <w:t>15</w:t>
      </w:r>
      <w:r w:rsidRPr="00365909">
        <w:rPr>
          <w:rFonts w:ascii="Bookman Old Style" w:hAnsi="Bookman Old Style"/>
        </w:rPr>
        <w:t xml:space="preserve"> de </w:t>
      </w:r>
      <w:r>
        <w:rPr>
          <w:rFonts w:ascii="Bookman Old Style" w:hAnsi="Bookman Old Style"/>
        </w:rPr>
        <w:t>mayo</w:t>
      </w:r>
      <w:r w:rsidRPr="00365909">
        <w:rPr>
          <w:rFonts w:ascii="Bookman Old Style" w:hAnsi="Bookman Old Style"/>
        </w:rPr>
        <w:t xml:space="preserve"> de 20</w:t>
      </w:r>
      <w:r>
        <w:rPr>
          <w:rFonts w:ascii="Bookman Old Style" w:hAnsi="Bookman Old Style"/>
        </w:rPr>
        <w:t>24</w:t>
      </w:r>
      <w:r w:rsidRPr="00365909">
        <w:rPr>
          <w:rFonts w:ascii="Bookman Old Style" w:hAnsi="Bookman Old Style"/>
        </w:rPr>
        <w:t xml:space="preserve"> en que finalizó la consulta, se recibieron comentarios de los siguientes remitentes con radicado CREG:</w:t>
      </w:r>
    </w:p>
    <w:p w14:paraId="17EE8CE1" w14:textId="77777777" w:rsidR="00FF708D" w:rsidRDefault="00FF708D" w:rsidP="00FF708D">
      <w:pPr>
        <w:ind w:left="0"/>
        <w:jc w:val="both"/>
        <w:rPr>
          <w:rFonts w:ascii="Bookman Old Style" w:hAnsi="Bookman Old Style"/>
        </w:rPr>
      </w:pPr>
    </w:p>
    <w:tbl>
      <w:tblPr>
        <w:tblStyle w:val="Tablaconcuadrcula"/>
        <w:tblW w:w="7083" w:type="dxa"/>
        <w:jc w:val="center"/>
        <w:tblLook w:val="0420" w:firstRow="1" w:lastRow="0" w:firstColumn="0" w:lastColumn="0" w:noHBand="0" w:noVBand="1"/>
      </w:tblPr>
      <w:tblGrid>
        <w:gridCol w:w="2405"/>
        <w:gridCol w:w="4678"/>
      </w:tblGrid>
      <w:tr w:rsidR="00FF708D" w:rsidRPr="00C77162" w14:paraId="3AB84B1A" w14:textId="77777777" w:rsidTr="00FE05BF">
        <w:trPr>
          <w:trHeight w:val="434"/>
          <w:jc w:val="center"/>
        </w:trPr>
        <w:tc>
          <w:tcPr>
            <w:tcW w:w="2405" w:type="dxa"/>
            <w:hideMark/>
          </w:tcPr>
          <w:p w14:paraId="359F3FA6"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b/>
                <w:bCs/>
                <w:lang w:val="es-MX"/>
              </w:rPr>
              <w:t>Radicado</w:t>
            </w:r>
          </w:p>
        </w:tc>
        <w:tc>
          <w:tcPr>
            <w:tcW w:w="4678" w:type="dxa"/>
            <w:hideMark/>
          </w:tcPr>
          <w:p w14:paraId="395987B7"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b/>
                <w:bCs/>
                <w:lang w:val="es-MX"/>
              </w:rPr>
              <w:t>Remitente</w:t>
            </w:r>
          </w:p>
        </w:tc>
      </w:tr>
      <w:tr w:rsidR="00FF708D" w:rsidRPr="00C77162" w14:paraId="4826E15F" w14:textId="77777777" w:rsidTr="00FE05BF">
        <w:trPr>
          <w:trHeight w:val="270"/>
          <w:jc w:val="center"/>
        </w:trPr>
        <w:tc>
          <w:tcPr>
            <w:tcW w:w="2405" w:type="dxa"/>
            <w:hideMark/>
          </w:tcPr>
          <w:p w14:paraId="4B25F332"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E2024006472</w:t>
            </w:r>
          </w:p>
        </w:tc>
        <w:tc>
          <w:tcPr>
            <w:tcW w:w="4678" w:type="dxa"/>
            <w:hideMark/>
          </w:tcPr>
          <w:p w14:paraId="09EF9B56"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TERMOCARTAGENA</w:t>
            </w:r>
          </w:p>
        </w:tc>
      </w:tr>
      <w:tr w:rsidR="00FF708D" w:rsidRPr="00C77162" w14:paraId="01121685" w14:textId="77777777" w:rsidTr="00FE05BF">
        <w:trPr>
          <w:trHeight w:val="584"/>
          <w:jc w:val="center"/>
        </w:trPr>
        <w:tc>
          <w:tcPr>
            <w:tcW w:w="2405" w:type="dxa"/>
            <w:hideMark/>
          </w:tcPr>
          <w:p w14:paraId="16A0DD05"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E2024006586/</w:t>
            </w:r>
          </w:p>
          <w:p w14:paraId="344BC4AF"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E2024006689</w:t>
            </w:r>
          </w:p>
        </w:tc>
        <w:tc>
          <w:tcPr>
            <w:tcW w:w="4678" w:type="dxa"/>
            <w:hideMark/>
          </w:tcPr>
          <w:p w14:paraId="59C54C6F" w14:textId="77777777" w:rsidR="00FF708D" w:rsidRPr="00C77162" w:rsidRDefault="00FF708D" w:rsidP="00FE05BF">
            <w:pPr>
              <w:ind w:left="0"/>
              <w:jc w:val="center"/>
              <w:rPr>
                <w:rFonts w:ascii="Bookman Old Style" w:hAnsi="Bookman Old Style"/>
                <w:lang w:val="es-CO"/>
              </w:rPr>
            </w:pPr>
            <w:r>
              <w:rPr>
                <w:rFonts w:ascii="Bookman Old Style" w:hAnsi="Bookman Old Style"/>
                <w:lang w:val="es-MX"/>
              </w:rPr>
              <w:t>SUPERINTENDENCIA DE SERVICIOS PÚBLICOS DOMICILIARIOS (</w:t>
            </w:r>
            <w:r w:rsidRPr="00C77162">
              <w:rPr>
                <w:rFonts w:ascii="Bookman Old Style" w:hAnsi="Bookman Old Style"/>
                <w:lang w:val="es-MX"/>
              </w:rPr>
              <w:t>SSPD</w:t>
            </w:r>
            <w:r>
              <w:rPr>
                <w:rFonts w:ascii="Bookman Old Style" w:hAnsi="Bookman Old Style"/>
                <w:lang w:val="es-MX"/>
              </w:rPr>
              <w:t>)</w:t>
            </w:r>
          </w:p>
        </w:tc>
      </w:tr>
      <w:tr w:rsidR="00FF708D" w:rsidRPr="00C77162" w14:paraId="1877AB77" w14:textId="77777777" w:rsidTr="00FE05BF">
        <w:trPr>
          <w:trHeight w:val="383"/>
          <w:jc w:val="center"/>
        </w:trPr>
        <w:tc>
          <w:tcPr>
            <w:tcW w:w="2405" w:type="dxa"/>
            <w:hideMark/>
          </w:tcPr>
          <w:p w14:paraId="2DF697C7"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E2024006590</w:t>
            </w:r>
          </w:p>
        </w:tc>
        <w:tc>
          <w:tcPr>
            <w:tcW w:w="4678" w:type="dxa"/>
            <w:hideMark/>
          </w:tcPr>
          <w:p w14:paraId="68296E41"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MX"/>
              </w:rPr>
              <w:t>ANDESCO</w:t>
            </w:r>
          </w:p>
        </w:tc>
      </w:tr>
      <w:tr w:rsidR="00FF708D" w:rsidRPr="00C77162" w14:paraId="6F61E320" w14:textId="77777777" w:rsidTr="00FE05BF">
        <w:trPr>
          <w:trHeight w:val="416"/>
          <w:jc w:val="center"/>
        </w:trPr>
        <w:tc>
          <w:tcPr>
            <w:tcW w:w="2405" w:type="dxa"/>
            <w:hideMark/>
          </w:tcPr>
          <w:p w14:paraId="41F9A8FB"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E2024006655</w:t>
            </w:r>
          </w:p>
        </w:tc>
        <w:tc>
          <w:tcPr>
            <w:tcW w:w="4678" w:type="dxa"/>
            <w:hideMark/>
          </w:tcPr>
          <w:p w14:paraId="21D47A3B"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MX"/>
              </w:rPr>
              <w:t>ENEL</w:t>
            </w:r>
          </w:p>
        </w:tc>
      </w:tr>
      <w:tr w:rsidR="00FF708D" w:rsidRPr="00C77162" w14:paraId="097874DB" w14:textId="77777777" w:rsidTr="00FE05BF">
        <w:trPr>
          <w:trHeight w:val="408"/>
          <w:jc w:val="center"/>
        </w:trPr>
        <w:tc>
          <w:tcPr>
            <w:tcW w:w="2405" w:type="dxa"/>
            <w:hideMark/>
          </w:tcPr>
          <w:p w14:paraId="19533D96"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E2024006659</w:t>
            </w:r>
          </w:p>
        </w:tc>
        <w:tc>
          <w:tcPr>
            <w:tcW w:w="4678" w:type="dxa"/>
            <w:hideMark/>
          </w:tcPr>
          <w:p w14:paraId="296E59D1"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MX"/>
              </w:rPr>
              <w:t>TEBSA</w:t>
            </w:r>
          </w:p>
        </w:tc>
      </w:tr>
      <w:tr w:rsidR="00FF708D" w:rsidRPr="00C77162" w14:paraId="6F470F56" w14:textId="77777777" w:rsidTr="00FE05BF">
        <w:trPr>
          <w:trHeight w:val="414"/>
          <w:jc w:val="center"/>
        </w:trPr>
        <w:tc>
          <w:tcPr>
            <w:tcW w:w="2405" w:type="dxa"/>
            <w:hideMark/>
          </w:tcPr>
          <w:p w14:paraId="6D27A56F"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E2024006669</w:t>
            </w:r>
          </w:p>
        </w:tc>
        <w:tc>
          <w:tcPr>
            <w:tcW w:w="4678" w:type="dxa"/>
            <w:hideMark/>
          </w:tcPr>
          <w:p w14:paraId="25029627"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MX"/>
              </w:rPr>
              <w:t>ISAGEN</w:t>
            </w:r>
          </w:p>
        </w:tc>
      </w:tr>
      <w:tr w:rsidR="00FF708D" w:rsidRPr="00C77162" w14:paraId="2BC5E2FA" w14:textId="77777777" w:rsidTr="00FE05BF">
        <w:trPr>
          <w:trHeight w:val="279"/>
          <w:jc w:val="center"/>
        </w:trPr>
        <w:tc>
          <w:tcPr>
            <w:tcW w:w="2405" w:type="dxa"/>
            <w:hideMark/>
          </w:tcPr>
          <w:p w14:paraId="142446CA"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CO"/>
              </w:rPr>
              <w:t>E2024006688</w:t>
            </w:r>
          </w:p>
        </w:tc>
        <w:tc>
          <w:tcPr>
            <w:tcW w:w="4678" w:type="dxa"/>
            <w:hideMark/>
          </w:tcPr>
          <w:p w14:paraId="4EBC6044" w14:textId="77777777" w:rsidR="00FF708D" w:rsidRPr="00C77162" w:rsidRDefault="00FF708D" w:rsidP="00FE05BF">
            <w:pPr>
              <w:ind w:left="0"/>
              <w:jc w:val="center"/>
              <w:rPr>
                <w:rFonts w:ascii="Bookman Old Style" w:hAnsi="Bookman Old Style"/>
                <w:lang w:val="es-CO"/>
              </w:rPr>
            </w:pPr>
            <w:r w:rsidRPr="00C77162">
              <w:rPr>
                <w:rFonts w:ascii="Bookman Old Style" w:hAnsi="Bookman Old Style"/>
                <w:lang w:val="es-MX"/>
              </w:rPr>
              <w:t>EPM</w:t>
            </w:r>
          </w:p>
        </w:tc>
      </w:tr>
      <w:tr w:rsidR="00FF708D" w:rsidRPr="009275DD" w14:paraId="57BCC3D6" w14:textId="77777777" w:rsidTr="00FE05BF">
        <w:trPr>
          <w:trHeight w:val="254"/>
          <w:jc w:val="center"/>
        </w:trPr>
        <w:tc>
          <w:tcPr>
            <w:tcW w:w="2405" w:type="dxa"/>
            <w:hideMark/>
          </w:tcPr>
          <w:p w14:paraId="61A1553A"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CO"/>
              </w:rPr>
              <w:t>E2024006707</w:t>
            </w:r>
          </w:p>
        </w:tc>
        <w:tc>
          <w:tcPr>
            <w:tcW w:w="4678" w:type="dxa"/>
            <w:hideMark/>
          </w:tcPr>
          <w:p w14:paraId="054F8C0F"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MX"/>
              </w:rPr>
              <w:t>ACOLGEN</w:t>
            </w:r>
          </w:p>
        </w:tc>
      </w:tr>
      <w:tr w:rsidR="00FF708D" w:rsidRPr="009275DD" w14:paraId="6FE0F671" w14:textId="77777777" w:rsidTr="00FE05BF">
        <w:trPr>
          <w:trHeight w:val="584"/>
          <w:jc w:val="center"/>
        </w:trPr>
        <w:tc>
          <w:tcPr>
            <w:tcW w:w="2405" w:type="dxa"/>
            <w:hideMark/>
          </w:tcPr>
          <w:p w14:paraId="7FB1BEE8" w14:textId="77777777" w:rsidR="00FF708D" w:rsidRDefault="00FF708D" w:rsidP="00FE05BF">
            <w:pPr>
              <w:ind w:left="0"/>
              <w:jc w:val="center"/>
              <w:rPr>
                <w:rFonts w:ascii="Bookman Old Style" w:hAnsi="Bookman Old Style"/>
                <w:lang w:val="es-CO"/>
              </w:rPr>
            </w:pPr>
            <w:r w:rsidRPr="009275DD">
              <w:rPr>
                <w:rFonts w:ascii="Bookman Old Style" w:hAnsi="Bookman Old Style"/>
                <w:lang w:val="es-CO"/>
              </w:rPr>
              <w:t>E2024006712/</w:t>
            </w:r>
          </w:p>
          <w:p w14:paraId="60F5C623"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CO"/>
              </w:rPr>
              <w:t>E2024006713</w:t>
            </w:r>
          </w:p>
        </w:tc>
        <w:tc>
          <w:tcPr>
            <w:tcW w:w="4678" w:type="dxa"/>
            <w:hideMark/>
          </w:tcPr>
          <w:p w14:paraId="4FBF104B"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MX"/>
              </w:rPr>
              <w:t>SER COLOMBIA</w:t>
            </w:r>
          </w:p>
        </w:tc>
      </w:tr>
      <w:tr w:rsidR="00FF708D" w:rsidRPr="009275DD" w14:paraId="2EBDB232" w14:textId="77777777" w:rsidTr="00FE05BF">
        <w:trPr>
          <w:trHeight w:val="508"/>
          <w:jc w:val="center"/>
        </w:trPr>
        <w:tc>
          <w:tcPr>
            <w:tcW w:w="2405" w:type="dxa"/>
            <w:hideMark/>
          </w:tcPr>
          <w:p w14:paraId="245B4E27" w14:textId="77777777" w:rsidR="00FF708D" w:rsidRDefault="00FF708D" w:rsidP="00FE05BF">
            <w:pPr>
              <w:ind w:left="0"/>
              <w:jc w:val="center"/>
              <w:rPr>
                <w:rFonts w:ascii="Bookman Old Style" w:hAnsi="Bookman Old Style"/>
                <w:lang w:val="es-CO"/>
              </w:rPr>
            </w:pPr>
            <w:r w:rsidRPr="009275DD">
              <w:rPr>
                <w:rFonts w:ascii="Bookman Old Style" w:hAnsi="Bookman Old Style"/>
                <w:lang w:val="es-CO"/>
              </w:rPr>
              <w:t>E2024006714/</w:t>
            </w:r>
          </w:p>
          <w:p w14:paraId="5DD206CF"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CO"/>
              </w:rPr>
              <w:t>E2024006715</w:t>
            </w:r>
          </w:p>
        </w:tc>
        <w:tc>
          <w:tcPr>
            <w:tcW w:w="4678" w:type="dxa"/>
            <w:hideMark/>
          </w:tcPr>
          <w:p w14:paraId="5D5C0877"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MX"/>
              </w:rPr>
              <w:t>XM</w:t>
            </w:r>
          </w:p>
        </w:tc>
      </w:tr>
      <w:tr w:rsidR="00FF708D" w:rsidRPr="009275DD" w14:paraId="0B956DF9" w14:textId="77777777" w:rsidTr="00FE05BF">
        <w:trPr>
          <w:trHeight w:val="584"/>
          <w:jc w:val="center"/>
        </w:trPr>
        <w:tc>
          <w:tcPr>
            <w:tcW w:w="2405" w:type="dxa"/>
            <w:hideMark/>
          </w:tcPr>
          <w:p w14:paraId="3E69F065"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CO"/>
              </w:rPr>
              <w:t>E2024006716/</w:t>
            </w:r>
          </w:p>
          <w:p w14:paraId="0138306E"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CO"/>
              </w:rPr>
              <w:t>E2024006717</w:t>
            </w:r>
          </w:p>
        </w:tc>
        <w:tc>
          <w:tcPr>
            <w:tcW w:w="4678" w:type="dxa"/>
            <w:hideMark/>
          </w:tcPr>
          <w:p w14:paraId="63A6A85A"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MX"/>
              </w:rPr>
              <w:t>EDP</w:t>
            </w:r>
          </w:p>
        </w:tc>
      </w:tr>
      <w:tr w:rsidR="00FF708D" w:rsidRPr="009275DD" w14:paraId="285BEF52" w14:textId="77777777" w:rsidTr="00FE05BF">
        <w:trPr>
          <w:trHeight w:val="340"/>
          <w:jc w:val="center"/>
        </w:trPr>
        <w:tc>
          <w:tcPr>
            <w:tcW w:w="2405" w:type="dxa"/>
            <w:hideMark/>
          </w:tcPr>
          <w:p w14:paraId="7EA8B043"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CO"/>
              </w:rPr>
              <w:t>E2024006701</w:t>
            </w:r>
          </w:p>
        </w:tc>
        <w:tc>
          <w:tcPr>
            <w:tcW w:w="4678" w:type="dxa"/>
            <w:hideMark/>
          </w:tcPr>
          <w:p w14:paraId="287EED22" w14:textId="77777777" w:rsidR="00FF708D" w:rsidRPr="009275DD" w:rsidRDefault="00FF708D" w:rsidP="00FE05BF">
            <w:pPr>
              <w:ind w:left="0"/>
              <w:jc w:val="center"/>
              <w:rPr>
                <w:rFonts w:ascii="Bookman Old Style" w:hAnsi="Bookman Old Style"/>
                <w:lang w:val="es-CO"/>
              </w:rPr>
            </w:pPr>
            <w:r w:rsidRPr="009275DD">
              <w:rPr>
                <w:rFonts w:ascii="Bookman Old Style" w:hAnsi="Bookman Old Style"/>
                <w:lang w:val="es-MX"/>
              </w:rPr>
              <w:t>CELSIA</w:t>
            </w:r>
          </w:p>
        </w:tc>
      </w:tr>
    </w:tbl>
    <w:p w14:paraId="69F8D894" w14:textId="77777777" w:rsidR="00FF708D" w:rsidRDefault="00FF708D" w:rsidP="00FF708D">
      <w:pPr>
        <w:ind w:left="0"/>
        <w:jc w:val="both"/>
        <w:rPr>
          <w:rFonts w:ascii="Bookman Old Style" w:hAnsi="Bookman Old Style"/>
        </w:rPr>
      </w:pPr>
    </w:p>
    <w:p w14:paraId="0A99A406" w14:textId="702313C8" w:rsidR="00FF708D" w:rsidRDefault="00FF708D" w:rsidP="00FF708D">
      <w:pPr>
        <w:ind w:left="0"/>
        <w:jc w:val="both"/>
        <w:rPr>
          <w:rFonts w:ascii="Bookman Old Style" w:hAnsi="Bookman Old Style"/>
        </w:rPr>
      </w:pPr>
      <w:r w:rsidRPr="003440A9">
        <w:rPr>
          <w:rFonts w:ascii="Bookman Old Style" w:hAnsi="Bookman Old Style"/>
        </w:rPr>
        <w:t>El análisis y respuestas a los comentarios recibidos</w:t>
      </w:r>
      <w:r>
        <w:rPr>
          <w:rFonts w:ascii="Bookman Old Style" w:hAnsi="Bookman Old Style"/>
        </w:rPr>
        <w:t xml:space="preserve"> al proyecto de Resolución CREG 701 043 de 20</w:t>
      </w:r>
      <w:r w:rsidR="00360190">
        <w:rPr>
          <w:rFonts w:ascii="Bookman Old Style" w:hAnsi="Bookman Old Style"/>
        </w:rPr>
        <w:t>2</w:t>
      </w:r>
      <w:r>
        <w:rPr>
          <w:rFonts w:ascii="Bookman Old Style" w:hAnsi="Bookman Old Style"/>
        </w:rPr>
        <w:t>4 se encuentran con el documento que acompaña esta resolución</w:t>
      </w:r>
      <w:r w:rsidRPr="003440A9">
        <w:rPr>
          <w:rFonts w:ascii="Bookman Old Style" w:hAnsi="Bookman Old Style"/>
        </w:rPr>
        <w:t>.</w:t>
      </w:r>
    </w:p>
    <w:p w14:paraId="43363021" w14:textId="77777777" w:rsidR="00FF708D" w:rsidRDefault="00FF708D" w:rsidP="00FF708D">
      <w:pPr>
        <w:ind w:left="0"/>
        <w:jc w:val="both"/>
        <w:rPr>
          <w:rFonts w:ascii="Bookman Old Style" w:hAnsi="Bookman Old Style"/>
        </w:rPr>
      </w:pPr>
    </w:p>
    <w:p w14:paraId="10E13370" w14:textId="77777777" w:rsidR="00FF708D" w:rsidRDefault="00FF708D" w:rsidP="00FF708D">
      <w:pPr>
        <w:ind w:left="0"/>
        <w:jc w:val="both"/>
        <w:rPr>
          <w:rFonts w:ascii="Bookman Old Style" w:hAnsi="Bookman Old Style"/>
        </w:rPr>
      </w:pPr>
      <w:r w:rsidRPr="00AC404B">
        <w:rPr>
          <w:rFonts w:ascii="Bookman Old Style" w:hAnsi="Bookman Old Style"/>
        </w:rPr>
        <w:t>Con base en lo establecido en el artículo 2.2.2.30.5 del Decreto 1074 de 2015, por medio del cual se expide el Decreto Único Reglamentario del Sector Comercio, Industria y Turismo y se compila el Decreto 2897 de 2010, se respondió el cuestionario establecido por la Superintendencia de Industria y Comercio, a efectos de evaluar la incidencia en la libre competencia de los mercados de esta medida. Como resultado se concluyó que esta normativa no es restrictiva de la competencia. Por lo anterior, no se informó a la Superintendencia de Industria y Comercio (SIC), sobre la presente resolución.</w:t>
      </w:r>
    </w:p>
    <w:p w14:paraId="2A7F142C" w14:textId="77777777" w:rsidR="00FF708D" w:rsidRDefault="00FF708D" w:rsidP="00FF708D">
      <w:pPr>
        <w:ind w:left="0"/>
        <w:jc w:val="both"/>
        <w:rPr>
          <w:rFonts w:ascii="Bookman Old Style" w:hAnsi="Bookman Old Style"/>
        </w:rPr>
      </w:pPr>
    </w:p>
    <w:p w14:paraId="6835B692" w14:textId="70805BA6" w:rsidR="00FF708D" w:rsidRDefault="00FF708D" w:rsidP="00FF708D">
      <w:pPr>
        <w:ind w:left="0"/>
        <w:jc w:val="both"/>
        <w:rPr>
          <w:rFonts w:ascii="Bookman Old Style" w:hAnsi="Bookman Old Style"/>
        </w:rPr>
      </w:pPr>
      <w:r w:rsidRPr="00F9108A">
        <w:rPr>
          <w:rFonts w:ascii="Bookman Old Style" w:hAnsi="Bookman Old Style"/>
        </w:rPr>
        <w:t xml:space="preserve">Conforme a lo </w:t>
      </w:r>
      <w:r w:rsidRPr="00236EE0">
        <w:rPr>
          <w:rFonts w:ascii="Bookman Old Style" w:hAnsi="Bookman Old Style"/>
        </w:rPr>
        <w:t xml:space="preserve">anterior, la CREG, en su Sesión </w:t>
      </w:r>
      <w:r w:rsidR="00360190" w:rsidRPr="003A367B">
        <w:rPr>
          <w:rFonts w:ascii="Bookman Old Style" w:hAnsi="Bookman Old Style"/>
        </w:rPr>
        <w:t xml:space="preserve">1321 </w:t>
      </w:r>
      <w:r w:rsidRPr="003A367B">
        <w:rPr>
          <w:rFonts w:ascii="Bookman Old Style" w:hAnsi="Bookman Old Style"/>
        </w:rPr>
        <w:t xml:space="preserve">del </w:t>
      </w:r>
      <w:r w:rsidR="00360190" w:rsidRPr="003A367B">
        <w:rPr>
          <w:rFonts w:ascii="Bookman Old Style" w:hAnsi="Bookman Old Style"/>
        </w:rPr>
        <w:t xml:space="preserve">13 </w:t>
      </w:r>
      <w:r w:rsidRPr="003A367B">
        <w:rPr>
          <w:rFonts w:ascii="Bookman Old Style" w:hAnsi="Bookman Old Style"/>
        </w:rPr>
        <w:t xml:space="preserve">de </w:t>
      </w:r>
      <w:r w:rsidR="00360190" w:rsidRPr="003A367B">
        <w:rPr>
          <w:rFonts w:ascii="Bookman Old Style" w:hAnsi="Bookman Old Style"/>
        </w:rPr>
        <w:t xml:space="preserve">junio </w:t>
      </w:r>
      <w:r w:rsidRPr="003A367B">
        <w:rPr>
          <w:rFonts w:ascii="Bookman Old Style" w:hAnsi="Bookman Old Style"/>
        </w:rPr>
        <w:t>de 2024</w:t>
      </w:r>
      <w:r w:rsidRPr="00236EE0">
        <w:rPr>
          <w:rFonts w:ascii="Bookman Old Style" w:hAnsi="Bookman Old Style"/>
        </w:rPr>
        <w:t>, acordó expedir esta resolución.</w:t>
      </w:r>
    </w:p>
    <w:p w14:paraId="4E9ED091" w14:textId="77777777" w:rsidR="00045D3D" w:rsidRPr="00C435C3" w:rsidRDefault="00045D3D"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01E63AF9" w14:textId="77777777" w:rsidR="003A367B" w:rsidRDefault="003A367B" w:rsidP="00045D3D">
      <w:pPr>
        <w:suppressAutoHyphens/>
        <w:jc w:val="center"/>
        <w:rPr>
          <w:rFonts w:ascii="Bookman Old Style" w:hAnsi="Bookman Old Style"/>
          <w:b/>
          <w:spacing w:val="-3"/>
          <w:lang w:val="pt-BR"/>
        </w:rPr>
      </w:pPr>
    </w:p>
    <w:p w14:paraId="278E0A8A" w14:textId="77777777" w:rsidR="003A367B" w:rsidRDefault="003A367B" w:rsidP="00045D3D">
      <w:pPr>
        <w:suppressAutoHyphens/>
        <w:jc w:val="center"/>
        <w:rPr>
          <w:rFonts w:ascii="Bookman Old Style" w:hAnsi="Bookman Old Style"/>
          <w:b/>
          <w:spacing w:val="-3"/>
          <w:lang w:val="pt-BR"/>
        </w:rPr>
      </w:pPr>
    </w:p>
    <w:p w14:paraId="517D50B3" w14:textId="77777777" w:rsidR="003A367B" w:rsidRDefault="003A367B" w:rsidP="00045D3D">
      <w:pPr>
        <w:suppressAutoHyphens/>
        <w:jc w:val="center"/>
        <w:rPr>
          <w:rFonts w:ascii="Bookman Old Style" w:hAnsi="Bookman Old Style"/>
          <w:b/>
          <w:spacing w:val="-3"/>
          <w:lang w:val="pt-BR"/>
        </w:rPr>
      </w:pPr>
    </w:p>
    <w:p w14:paraId="0B376676" w14:textId="77777777" w:rsidR="003A367B" w:rsidRDefault="003A367B" w:rsidP="00045D3D">
      <w:pPr>
        <w:suppressAutoHyphens/>
        <w:jc w:val="center"/>
        <w:rPr>
          <w:rFonts w:ascii="Bookman Old Style" w:hAnsi="Bookman Old Style"/>
          <w:b/>
          <w:spacing w:val="-3"/>
          <w:lang w:val="pt-BR"/>
        </w:rPr>
      </w:pPr>
    </w:p>
    <w:p w14:paraId="48EF5573" w14:textId="77777777" w:rsidR="003A367B" w:rsidRDefault="003A367B" w:rsidP="00045D3D">
      <w:pPr>
        <w:suppressAutoHyphens/>
        <w:jc w:val="center"/>
        <w:rPr>
          <w:rFonts w:ascii="Bookman Old Style" w:hAnsi="Bookman Old Style"/>
          <w:b/>
          <w:spacing w:val="-3"/>
          <w:lang w:val="pt-BR"/>
        </w:rPr>
      </w:pPr>
    </w:p>
    <w:p w14:paraId="40EFC463" w14:textId="676280AD" w:rsidR="00045D3D" w:rsidRPr="00360190" w:rsidRDefault="00045D3D" w:rsidP="00045D3D">
      <w:pPr>
        <w:suppressAutoHyphens/>
        <w:jc w:val="center"/>
        <w:rPr>
          <w:rFonts w:ascii="Bookman Old Style" w:hAnsi="Bookman Old Style"/>
          <w:spacing w:val="-3"/>
          <w:lang w:val="pt-BR"/>
        </w:rPr>
      </w:pPr>
      <w:r w:rsidRPr="00360190">
        <w:rPr>
          <w:rFonts w:ascii="Bookman Old Style" w:hAnsi="Bookman Old Style"/>
          <w:b/>
          <w:spacing w:val="-3"/>
          <w:lang w:val="pt-BR"/>
        </w:rPr>
        <w:t>R E S U E L V E:</w:t>
      </w:r>
    </w:p>
    <w:p w14:paraId="494DDFC2" w14:textId="77777777" w:rsidR="00045D3D" w:rsidRPr="00360190" w:rsidRDefault="00045D3D" w:rsidP="00045D3D">
      <w:pPr>
        <w:jc w:val="center"/>
        <w:rPr>
          <w:rFonts w:ascii="Bookman Old Style" w:hAnsi="Bookman Old Style"/>
          <w:lang w:val="pt-BR"/>
        </w:rPr>
      </w:pPr>
    </w:p>
    <w:p w14:paraId="6A0C17EF" w14:textId="77777777" w:rsidR="002A548A" w:rsidRPr="00FA14A5" w:rsidRDefault="002A548A" w:rsidP="002A548A">
      <w:pPr>
        <w:ind w:left="0"/>
        <w:jc w:val="both"/>
        <w:rPr>
          <w:rFonts w:ascii="Bookman Old Style" w:hAnsi="Bookman Old Style"/>
          <w:bCs/>
        </w:rPr>
      </w:pPr>
      <w:r w:rsidRPr="00360190">
        <w:rPr>
          <w:rFonts w:ascii="Bookman Old Style" w:hAnsi="Bookman Old Style"/>
          <w:b/>
          <w:lang w:val="pt-BR"/>
        </w:rPr>
        <w:t xml:space="preserve">ARTÍCULO 1. </w:t>
      </w:r>
      <w:r>
        <w:rPr>
          <w:rFonts w:ascii="Bookman Old Style" w:hAnsi="Bookman Old Style"/>
          <w:b/>
        </w:rPr>
        <w:t xml:space="preserve">Modificación del factor de ajuste de ENFICC solar fotovoltaica cuando se usa solo información secundaria. </w:t>
      </w:r>
      <w:r w:rsidRPr="00FA14A5">
        <w:rPr>
          <w:rFonts w:ascii="Bookman Old Style" w:hAnsi="Bookman Old Style"/>
          <w:bCs/>
        </w:rPr>
        <w:t>El artículo 13 de la Resolución CREG 101 007 de 2023 quedara así:</w:t>
      </w:r>
    </w:p>
    <w:p w14:paraId="6CFF0B5B" w14:textId="77777777" w:rsidR="002A548A" w:rsidRDefault="002A548A" w:rsidP="002A548A">
      <w:pPr>
        <w:ind w:left="0"/>
        <w:jc w:val="both"/>
        <w:rPr>
          <w:rFonts w:ascii="Bookman Old Style" w:hAnsi="Bookman Old Style"/>
          <w:b/>
        </w:rPr>
      </w:pPr>
    </w:p>
    <w:p w14:paraId="0F63929B" w14:textId="77777777" w:rsidR="002A548A" w:rsidRPr="000F1E5C" w:rsidRDefault="002A548A" w:rsidP="002A548A">
      <w:pPr>
        <w:ind w:left="708"/>
        <w:jc w:val="both"/>
        <w:rPr>
          <w:i/>
          <w:iCs/>
          <w:lang w:val="es-CO" w:eastAsia="es-CO"/>
        </w:rPr>
      </w:pPr>
      <w:r w:rsidRPr="000F1E5C">
        <w:rPr>
          <w:rFonts w:ascii="Bookman Old Style" w:hAnsi="Bookman Old Style"/>
          <w:b/>
          <w:bCs/>
          <w:i/>
          <w:iCs/>
        </w:rPr>
        <w:t xml:space="preserve">“Artículo 13. </w:t>
      </w:r>
      <w:r w:rsidRPr="000F1E5C">
        <w:rPr>
          <w:rFonts w:ascii="Bookman Old Style" w:hAnsi="Bookman Old Style"/>
          <w:b/>
          <w:bCs/>
          <w:i/>
          <w:iCs/>
          <w:lang w:val="es-CO" w:eastAsia="es-CO"/>
        </w:rPr>
        <w:t>ENFICC de plantas solares fotovoltaicas con solo información secundaria</w:t>
      </w:r>
      <w:r w:rsidRPr="000F1E5C">
        <w:rPr>
          <w:rFonts w:ascii="Bookman Old Style" w:hAnsi="Bookman Old Style"/>
          <w:i/>
          <w:iCs/>
          <w:lang w:val="es-CO" w:eastAsia="es-CO"/>
        </w:rPr>
        <w:t xml:space="preserve">. Para efectos de la participación en algún mecanismo de asignación de OEF del Cargo por Confiabilidad, una planta solar fotovoltaica podrá aplicar la metodología de cálculo de ENFICC de que trata el Capítulo I de esta resolución sin el requisito de contar con al menos un año de medición continua y horaria de datos en sitio, es decir, sólo con información de datos horaria de las fuentes secundarias definidas en el artículo </w:t>
      </w:r>
      <w:r>
        <w:rPr>
          <w:rFonts w:ascii="Bookman Old Style" w:hAnsi="Bookman Old Style"/>
          <w:i/>
          <w:iCs/>
          <w:lang w:val="es-CO" w:eastAsia="es-CO"/>
        </w:rPr>
        <w:t xml:space="preserve">3 </w:t>
      </w:r>
      <w:r w:rsidRPr="000F1E5C">
        <w:rPr>
          <w:rFonts w:ascii="Bookman Old Style" w:hAnsi="Bookman Old Style"/>
          <w:i/>
          <w:iCs/>
          <w:lang w:val="es-CO" w:eastAsia="es-CO"/>
        </w:rPr>
        <w:t xml:space="preserve">de esta resolución, para un período de al menos diez (10) años. </w:t>
      </w:r>
    </w:p>
    <w:p w14:paraId="79FBF130" w14:textId="77777777" w:rsidR="002A548A" w:rsidRPr="000F1E5C" w:rsidRDefault="002A548A" w:rsidP="002A548A">
      <w:pPr>
        <w:ind w:left="708"/>
        <w:rPr>
          <w:rFonts w:ascii="Bookman Old Style" w:hAnsi="Bookman Old Style"/>
          <w:i/>
          <w:iCs/>
          <w:lang w:val="es-CO" w:eastAsia="es-CO"/>
        </w:rPr>
      </w:pPr>
    </w:p>
    <w:p w14:paraId="5160B712" w14:textId="77777777" w:rsidR="002A548A" w:rsidRDefault="002A548A" w:rsidP="002A548A">
      <w:pPr>
        <w:ind w:left="708"/>
        <w:jc w:val="both"/>
        <w:rPr>
          <w:rFonts w:ascii="Bookman Old Style" w:hAnsi="Bookman Old Style"/>
        </w:rPr>
      </w:pPr>
      <w:r w:rsidRPr="000F1E5C">
        <w:rPr>
          <w:rFonts w:ascii="Bookman Old Style" w:hAnsi="Bookman Old Style"/>
          <w:i/>
          <w:iCs/>
          <w:lang w:val="es-CO" w:eastAsia="es-CO"/>
        </w:rPr>
        <w:t xml:space="preserve">Si se escoge esta alternativa, la ENFICC de la planta no podrá ser superior al valor de ENFICC calculada conforme al artículo </w:t>
      </w:r>
      <w:r>
        <w:rPr>
          <w:rFonts w:ascii="Bookman Old Style" w:hAnsi="Bookman Old Style"/>
          <w:i/>
          <w:iCs/>
          <w:lang w:val="es-CO" w:eastAsia="es-CO"/>
        </w:rPr>
        <w:t>6</w:t>
      </w:r>
      <w:r w:rsidRPr="000F1E5C">
        <w:rPr>
          <w:rFonts w:ascii="Bookman Old Style" w:hAnsi="Bookman Old Style"/>
          <w:i/>
          <w:iCs/>
          <w:lang w:val="es-CO" w:eastAsia="es-CO"/>
        </w:rPr>
        <w:t xml:space="preserve"> de esta resolución multiplicado por un valor de 0,</w:t>
      </w:r>
      <w:r>
        <w:rPr>
          <w:rFonts w:ascii="Bookman Old Style" w:hAnsi="Bookman Old Style"/>
          <w:i/>
          <w:iCs/>
          <w:lang w:val="es-CO" w:eastAsia="es-CO"/>
        </w:rPr>
        <w:t>8</w:t>
      </w:r>
      <w:r w:rsidRPr="000F1E5C">
        <w:rPr>
          <w:rFonts w:ascii="Bookman Old Style" w:hAnsi="Bookman Old Style"/>
          <w:i/>
          <w:iCs/>
          <w:lang w:val="es-CO" w:eastAsia="es-CO"/>
        </w:rPr>
        <w:t xml:space="preserve"> (cero coma </w:t>
      </w:r>
      <w:r>
        <w:rPr>
          <w:rFonts w:ascii="Bookman Old Style" w:hAnsi="Bookman Old Style"/>
          <w:i/>
          <w:iCs/>
          <w:lang w:val="es-CO" w:eastAsia="es-CO"/>
        </w:rPr>
        <w:t>ocho</w:t>
      </w:r>
      <w:r w:rsidRPr="000F1E5C">
        <w:rPr>
          <w:rFonts w:ascii="Bookman Old Style" w:hAnsi="Bookman Old Style"/>
          <w:i/>
          <w:iCs/>
          <w:lang w:val="es-CO" w:eastAsia="es-CO"/>
        </w:rPr>
        <w:t xml:space="preserve">). Adicionalmente, la EDA de la planta será cero para todos los meses, hasta que se realice una verificación de ENFICC de la planta con datos de medición en sitio, conforme la regulación vigente para el ajuste de su ENFICC y según lo dispuesto en el artículo </w:t>
      </w:r>
      <w:r>
        <w:rPr>
          <w:rFonts w:ascii="Bookman Old Style" w:hAnsi="Bookman Old Style"/>
          <w:i/>
          <w:iCs/>
          <w:lang w:val="es-CO" w:eastAsia="es-CO"/>
        </w:rPr>
        <w:t>3</w:t>
      </w:r>
      <w:r w:rsidRPr="000F1E5C">
        <w:rPr>
          <w:rFonts w:ascii="Bookman Old Style" w:hAnsi="Bookman Old Style"/>
          <w:i/>
          <w:iCs/>
          <w:lang w:val="es-CO" w:eastAsia="es-CO"/>
        </w:rPr>
        <w:t xml:space="preserve"> de esta resolución</w:t>
      </w:r>
      <w:r w:rsidRPr="000F1E5C">
        <w:rPr>
          <w:rFonts w:ascii="Bookman Old Style" w:hAnsi="Bookman Old Style"/>
          <w:i/>
          <w:iCs/>
        </w:rPr>
        <w:t>”</w:t>
      </w:r>
    </w:p>
    <w:p w14:paraId="065C1877" w14:textId="77777777" w:rsidR="002A548A" w:rsidRDefault="002A548A" w:rsidP="002A548A">
      <w:pPr>
        <w:ind w:left="0"/>
        <w:jc w:val="both"/>
        <w:rPr>
          <w:rFonts w:ascii="Bookman Old Style" w:hAnsi="Bookman Old Style"/>
          <w:bCs/>
        </w:rPr>
      </w:pPr>
    </w:p>
    <w:p w14:paraId="1623486D" w14:textId="77777777" w:rsidR="002A548A" w:rsidRDefault="002A548A" w:rsidP="002A548A">
      <w:pPr>
        <w:ind w:left="0"/>
        <w:jc w:val="both"/>
        <w:rPr>
          <w:rFonts w:ascii="Bookman Old Style" w:hAnsi="Bookman Old Style"/>
          <w:color w:val="000000" w:themeColor="text1"/>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Pr>
          <w:rFonts w:ascii="Bookman Old Style" w:hAnsi="Bookman Old Style"/>
          <w:bCs/>
        </w:rPr>
        <w:t xml:space="preserve"> </w:t>
      </w:r>
      <w:r>
        <w:rPr>
          <w:rFonts w:ascii="Bookman Old Style" w:hAnsi="Bookman Old Style"/>
          <w:b/>
          <w:bCs/>
        </w:rPr>
        <w:t>Ajuste del aplicativo de cálculo de ENFICC solar fotovoltaica cuando se usa solo información secundaria</w:t>
      </w:r>
      <w:r>
        <w:rPr>
          <w:rFonts w:ascii="Bookman Old Style" w:hAnsi="Bookman Old Style"/>
          <w:bCs/>
        </w:rPr>
        <w:t xml:space="preserve">. XM S.A. E.S.P. en su función de </w:t>
      </w:r>
      <w:r>
        <w:rPr>
          <w:rFonts w:ascii="Bookman Old Style" w:hAnsi="Bookman Old Style"/>
          <w:color w:val="000000" w:themeColor="text1"/>
        </w:rPr>
        <w:t>Centro Nacional de Despacho (CND) deberá ajustar el aplicativo de cálculo de ENFICC solar fotovoltaica, de conformidad con lo definido en el artículo 13 de la Resolución CREG 101 007 de 2023, modificado por el artículo 1 de la presente resolución.</w:t>
      </w:r>
    </w:p>
    <w:p w14:paraId="629E441A" w14:textId="77777777" w:rsidR="002A548A" w:rsidRDefault="002A548A" w:rsidP="002A548A">
      <w:pPr>
        <w:ind w:left="0"/>
        <w:jc w:val="both"/>
        <w:rPr>
          <w:rFonts w:ascii="Bookman Old Style" w:hAnsi="Bookman Old Style"/>
          <w:color w:val="000000" w:themeColor="text1"/>
        </w:rPr>
      </w:pPr>
    </w:p>
    <w:p w14:paraId="6CA796B9" w14:textId="7B6D4540" w:rsidR="002A548A" w:rsidRDefault="002A548A" w:rsidP="002A548A">
      <w:pPr>
        <w:ind w:left="0"/>
        <w:jc w:val="both"/>
        <w:rPr>
          <w:rFonts w:ascii="Bookman Old Style" w:hAnsi="Bookman Old Style"/>
          <w:color w:val="000000" w:themeColor="text1"/>
        </w:rPr>
      </w:pPr>
      <w:r w:rsidRPr="00F320AC">
        <w:rPr>
          <w:rFonts w:ascii="Bookman Old Style" w:hAnsi="Bookman Old Style"/>
          <w:b/>
          <w:bCs/>
          <w:color w:val="000000" w:themeColor="text1"/>
        </w:rPr>
        <w:t>Parágrafo 1.</w:t>
      </w:r>
      <w:r>
        <w:rPr>
          <w:rFonts w:ascii="Bookman Old Style" w:hAnsi="Bookman Old Style"/>
          <w:color w:val="000000" w:themeColor="text1"/>
        </w:rPr>
        <w:t xml:space="preserve"> </w:t>
      </w:r>
      <w:r w:rsidR="00306D31">
        <w:rPr>
          <w:rFonts w:ascii="Bookman Old Style" w:hAnsi="Bookman Old Style"/>
          <w:color w:val="000000" w:themeColor="text1"/>
        </w:rPr>
        <w:t>XM S.A E.</w:t>
      </w:r>
      <w:proofErr w:type="gramStart"/>
      <w:r w:rsidR="00306D31">
        <w:rPr>
          <w:rFonts w:ascii="Bookman Old Style" w:hAnsi="Bookman Old Style"/>
          <w:color w:val="000000" w:themeColor="text1"/>
        </w:rPr>
        <w:t>S.P</w:t>
      </w:r>
      <w:proofErr w:type="gramEnd"/>
      <w:r w:rsidR="00CC0759">
        <w:rPr>
          <w:rFonts w:ascii="Bookman Old Style" w:hAnsi="Bookman Old Style"/>
          <w:color w:val="000000" w:themeColor="text1"/>
        </w:rPr>
        <w:t xml:space="preserve"> en su función de Centro Nacional de Despacho</w:t>
      </w:r>
      <w:r w:rsidR="00103144">
        <w:rPr>
          <w:rFonts w:ascii="Bookman Old Style" w:hAnsi="Bookman Old Style"/>
          <w:color w:val="000000" w:themeColor="text1"/>
        </w:rPr>
        <w:t xml:space="preserve"> (</w:t>
      </w:r>
      <w:proofErr w:type="spellStart"/>
      <w:r>
        <w:rPr>
          <w:rFonts w:ascii="Bookman Old Style" w:hAnsi="Bookman Old Style"/>
          <w:color w:val="000000" w:themeColor="text1"/>
        </w:rPr>
        <w:t>CND</w:t>
      </w:r>
      <w:proofErr w:type="spellEnd"/>
      <w:r w:rsidR="00103144">
        <w:rPr>
          <w:rFonts w:ascii="Bookman Old Style" w:hAnsi="Bookman Old Style"/>
          <w:color w:val="000000" w:themeColor="text1"/>
        </w:rPr>
        <w:t>)</w:t>
      </w:r>
      <w:r>
        <w:rPr>
          <w:rFonts w:ascii="Bookman Old Style" w:hAnsi="Bookman Old Style"/>
          <w:color w:val="000000" w:themeColor="text1"/>
        </w:rPr>
        <w:t xml:space="preserve"> tendrá un plazo de diez (10) días hábiles a partir de la publicación de esta resolución en el Diario Oficial, para realizar la modificación y ajuste del aplicativo de cálculo conforme lo indicado en este artículo.</w:t>
      </w:r>
    </w:p>
    <w:p w14:paraId="744E2C04" w14:textId="77777777" w:rsidR="002A548A" w:rsidRDefault="002A548A" w:rsidP="002A548A">
      <w:pPr>
        <w:ind w:left="0"/>
        <w:jc w:val="both"/>
        <w:rPr>
          <w:rFonts w:ascii="Bookman Old Style" w:hAnsi="Bookman Old Style"/>
          <w:color w:val="000000" w:themeColor="text1"/>
        </w:rPr>
      </w:pPr>
    </w:p>
    <w:p w14:paraId="75FB9C8C" w14:textId="1DE288E4" w:rsidR="002A548A" w:rsidRDefault="002A548A" w:rsidP="002A548A">
      <w:pPr>
        <w:ind w:left="0"/>
        <w:jc w:val="both"/>
        <w:rPr>
          <w:rFonts w:ascii="Bookman Old Style" w:hAnsi="Bookman Old Style"/>
          <w:color w:val="000000" w:themeColor="text1"/>
        </w:rPr>
      </w:pPr>
      <w:r>
        <w:rPr>
          <w:rFonts w:ascii="Bookman Old Style" w:hAnsi="Bookman Old Style"/>
          <w:color w:val="000000" w:themeColor="text1"/>
        </w:rPr>
        <w:t xml:space="preserve">Dicho ajuste debe informarse a la CREG y al Consejo Nacional de Operación </w:t>
      </w:r>
      <w:r w:rsidR="00103144">
        <w:rPr>
          <w:rFonts w:ascii="Bookman Old Style" w:hAnsi="Bookman Old Style"/>
          <w:color w:val="000000" w:themeColor="text1"/>
        </w:rPr>
        <w:t>(</w:t>
      </w:r>
      <w:proofErr w:type="spellStart"/>
      <w:r>
        <w:rPr>
          <w:rFonts w:ascii="Bookman Old Style" w:hAnsi="Bookman Old Style"/>
          <w:color w:val="000000" w:themeColor="text1"/>
        </w:rPr>
        <w:t>CNO</w:t>
      </w:r>
      <w:proofErr w:type="spellEnd"/>
      <w:r w:rsidR="00103144">
        <w:rPr>
          <w:rFonts w:ascii="Bookman Old Style" w:hAnsi="Bookman Old Style"/>
          <w:color w:val="000000" w:themeColor="text1"/>
        </w:rPr>
        <w:t>)</w:t>
      </w:r>
      <w:r>
        <w:rPr>
          <w:rFonts w:ascii="Bookman Old Style" w:hAnsi="Bookman Old Style"/>
          <w:color w:val="000000" w:themeColor="text1"/>
        </w:rPr>
        <w:t xml:space="preserve"> y publicarse en la página web de XM S.A. E.S.P. para conocimiento de los interesados.</w:t>
      </w:r>
    </w:p>
    <w:p w14:paraId="50B193E1" w14:textId="77777777" w:rsidR="002A548A" w:rsidRDefault="002A548A" w:rsidP="002A548A">
      <w:pPr>
        <w:ind w:left="0"/>
        <w:jc w:val="both"/>
        <w:rPr>
          <w:rFonts w:ascii="Bookman Old Style" w:hAnsi="Bookman Old Style"/>
          <w:color w:val="000000" w:themeColor="text1"/>
        </w:rPr>
      </w:pPr>
    </w:p>
    <w:p w14:paraId="478303AB" w14:textId="77777777" w:rsidR="002A548A" w:rsidRDefault="002A548A" w:rsidP="002A548A">
      <w:pPr>
        <w:ind w:left="0"/>
        <w:jc w:val="both"/>
        <w:rPr>
          <w:rFonts w:ascii="Bookman Old Style" w:hAnsi="Bookman Old Style"/>
          <w:color w:val="000000" w:themeColor="text1"/>
        </w:rPr>
      </w:pPr>
      <w:r>
        <w:rPr>
          <w:rFonts w:ascii="Bookman Old Style" w:hAnsi="Bookman Old Style"/>
          <w:color w:val="000000" w:themeColor="text1"/>
        </w:rPr>
        <w:t xml:space="preserve">El ingreso al aplicativo de cálculo con este cambio debe </w:t>
      </w:r>
      <w:r w:rsidRPr="007A58CD">
        <w:rPr>
          <w:rFonts w:ascii="Bookman Old Style" w:hAnsi="Bookman Old Style"/>
          <w:color w:val="000000" w:themeColor="text1"/>
        </w:rPr>
        <w:t>realizarse por medio del mismo enlace web publicado por la Comisión en la Circular CREG 022 de 2024</w:t>
      </w:r>
      <w:r>
        <w:rPr>
          <w:rFonts w:ascii="Bookman Old Style" w:hAnsi="Bookman Old Style"/>
          <w:color w:val="000000" w:themeColor="text1"/>
        </w:rPr>
        <w:t>.</w:t>
      </w:r>
    </w:p>
    <w:p w14:paraId="0830844D" w14:textId="77777777" w:rsidR="002A548A" w:rsidRDefault="002A548A" w:rsidP="002A548A">
      <w:pPr>
        <w:ind w:left="0"/>
        <w:jc w:val="both"/>
        <w:rPr>
          <w:rFonts w:ascii="Bookman Old Style" w:hAnsi="Bookman Old Style"/>
          <w:color w:val="000000" w:themeColor="text1"/>
        </w:rPr>
      </w:pPr>
    </w:p>
    <w:p w14:paraId="485034E5" w14:textId="7909E379" w:rsidR="002A548A" w:rsidRDefault="002A548A" w:rsidP="002A548A">
      <w:pPr>
        <w:ind w:left="0"/>
        <w:jc w:val="both"/>
        <w:rPr>
          <w:rFonts w:ascii="Bookman Old Style" w:hAnsi="Bookman Old Style"/>
          <w:color w:val="000000" w:themeColor="text1"/>
        </w:rPr>
      </w:pPr>
      <w:r w:rsidRPr="00F320AC">
        <w:rPr>
          <w:rFonts w:ascii="Bookman Old Style" w:hAnsi="Bookman Old Style"/>
          <w:b/>
          <w:bCs/>
          <w:color w:val="000000" w:themeColor="text1"/>
        </w:rPr>
        <w:t xml:space="preserve">Parágrafo </w:t>
      </w:r>
      <w:r>
        <w:rPr>
          <w:rFonts w:ascii="Bookman Old Style" w:hAnsi="Bookman Old Style"/>
          <w:b/>
          <w:bCs/>
          <w:color w:val="000000" w:themeColor="text1"/>
        </w:rPr>
        <w:t>2</w:t>
      </w:r>
      <w:r w:rsidRPr="00F320AC">
        <w:rPr>
          <w:rFonts w:ascii="Bookman Old Style" w:hAnsi="Bookman Old Style"/>
          <w:b/>
          <w:bCs/>
          <w:color w:val="000000" w:themeColor="text1"/>
        </w:rPr>
        <w:t>.</w:t>
      </w:r>
      <w:r>
        <w:rPr>
          <w:rFonts w:ascii="Bookman Old Style" w:hAnsi="Bookman Old Style"/>
          <w:color w:val="000000" w:themeColor="text1"/>
        </w:rPr>
        <w:t xml:space="preserve"> El </w:t>
      </w:r>
      <w:proofErr w:type="spellStart"/>
      <w:r>
        <w:rPr>
          <w:rFonts w:ascii="Bookman Old Style" w:hAnsi="Bookman Old Style"/>
          <w:color w:val="000000" w:themeColor="text1"/>
        </w:rPr>
        <w:t>CNO</w:t>
      </w:r>
      <w:proofErr w:type="spellEnd"/>
      <w:r>
        <w:rPr>
          <w:rFonts w:ascii="Bookman Old Style" w:hAnsi="Bookman Old Style"/>
          <w:color w:val="000000" w:themeColor="text1"/>
        </w:rPr>
        <w:t xml:space="preserve"> deberá ajustar y aclarar los </w:t>
      </w:r>
      <w:r w:rsidR="006D1755">
        <w:rPr>
          <w:rFonts w:ascii="Bookman Old Style" w:hAnsi="Bookman Old Style"/>
          <w:color w:val="000000" w:themeColor="text1"/>
        </w:rPr>
        <w:t>a</w:t>
      </w:r>
      <w:r>
        <w:rPr>
          <w:rFonts w:ascii="Bookman Old Style" w:hAnsi="Bookman Old Style"/>
          <w:color w:val="000000" w:themeColor="text1"/>
        </w:rPr>
        <w:t>cuerdos que correspondan, conforme a lo establecido en esta resolución.</w:t>
      </w:r>
    </w:p>
    <w:p w14:paraId="480A1480" w14:textId="77777777" w:rsidR="002A548A" w:rsidRDefault="002A548A" w:rsidP="002A548A">
      <w:pPr>
        <w:ind w:left="0"/>
        <w:jc w:val="both"/>
        <w:rPr>
          <w:rFonts w:ascii="Bookman Old Style" w:hAnsi="Bookman Old Style"/>
          <w:color w:val="000000" w:themeColor="text1"/>
        </w:rPr>
      </w:pPr>
    </w:p>
    <w:p w14:paraId="45C14E23" w14:textId="77777777" w:rsidR="002A548A" w:rsidRDefault="002A548A" w:rsidP="002A548A">
      <w:pPr>
        <w:ind w:left="0"/>
        <w:jc w:val="both"/>
        <w:rPr>
          <w:rFonts w:ascii="Bookman Old Style" w:hAnsi="Bookman Old Style"/>
          <w:i/>
          <w:sz w:val="22"/>
        </w:rPr>
      </w:pPr>
      <w:r w:rsidRPr="002A782A">
        <w:rPr>
          <w:rFonts w:ascii="Bookman Old Style" w:hAnsi="Bookman Old Style"/>
          <w:b/>
        </w:rPr>
        <w:t xml:space="preserve">ARTÍCULO </w:t>
      </w:r>
      <w:r>
        <w:rPr>
          <w:rFonts w:ascii="Bookman Old Style" w:hAnsi="Bookman Old Style"/>
          <w:b/>
        </w:rPr>
        <w:t>3</w:t>
      </w:r>
      <w:r w:rsidRPr="002A782A">
        <w:rPr>
          <w:rFonts w:ascii="Bookman Old Style" w:hAnsi="Bookman Old Style"/>
          <w:b/>
        </w:rPr>
        <w:t>.</w:t>
      </w:r>
      <w:r>
        <w:rPr>
          <w:rFonts w:ascii="Bookman Old Style" w:hAnsi="Bookman Old Style"/>
          <w:bCs/>
        </w:rPr>
        <w:t xml:space="preserve"> </w:t>
      </w:r>
      <w:r w:rsidRPr="4985A735">
        <w:rPr>
          <w:rFonts w:ascii="Bookman Old Style" w:hAnsi="Bookman Old Style"/>
          <w:b/>
          <w:bCs/>
        </w:rPr>
        <w:t>Vigencia</w:t>
      </w:r>
      <w:r>
        <w:rPr>
          <w:rFonts w:ascii="Bookman Old Style" w:hAnsi="Bookman Old Style"/>
          <w:bCs/>
        </w:rPr>
        <w:t xml:space="preserve">. </w:t>
      </w:r>
      <w:r w:rsidRPr="4714D67C">
        <w:rPr>
          <w:rFonts w:ascii="Bookman Old Style" w:hAnsi="Bookman Old Style"/>
          <w:color w:val="000000" w:themeColor="text1"/>
        </w:rPr>
        <w:t>La presente resolución rige a partir de su publicación en el </w:t>
      </w:r>
      <w:r w:rsidRPr="4714D67C">
        <w:rPr>
          <w:rFonts w:ascii="Bookman Old Style" w:hAnsi="Bookman Old Style"/>
          <w:i/>
          <w:color w:val="000000" w:themeColor="text1"/>
        </w:rPr>
        <w:t>Diario Oficial</w:t>
      </w:r>
      <w:r w:rsidRPr="4714D67C">
        <w:rPr>
          <w:rFonts w:ascii="Bookman Old Style" w:hAnsi="Bookman Old Style"/>
          <w:color w:val="000000" w:themeColor="text1"/>
        </w:rPr>
        <w:t>.</w:t>
      </w:r>
    </w:p>
    <w:p w14:paraId="575CB3AC" w14:textId="53D8DB69" w:rsidR="00045D3D" w:rsidRDefault="00045D3D" w:rsidP="00DF3CA2">
      <w:pPr>
        <w:ind w:left="0"/>
        <w:jc w:val="both"/>
        <w:rPr>
          <w:rFonts w:ascii="Bookman Old Style" w:hAnsi="Bookman Old Style"/>
          <w:i/>
          <w:sz w:val="22"/>
        </w:rPr>
      </w:pPr>
      <w:r>
        <w:rPr>
          <w:rFonts w:ascii="Bookman Old Style" w:hAnsi="Bookman Old Style"/>
          <w:i/>
          <w:sz w:val="22"/>
        </w:rPr>
        <w:t xml:space="preserve">        </w:t>
      </w:r>
    </w:p>
    <w:p w14:paraId="1A65BDF4" w14:textId="77777777" w:rsidR="00045D3D" w:rsidRDefault="00045D3D" w:rsidP="00045D3D">
      <w:pPr>
        <w:jc w:val="both"/>
        <w:rPr>
          <w:rFonts w:ascii="Bookman Old Style" w:hAnsi="Bookman Old Style"/>
          <w:i/>
          <w:sz w:val="22"/>
        </w:rPr>
      </w:pPr>
    </w:p>
    <w:p w14:paraId="4C3505C4" w14:textId="77777777" w:rsidR="00045D3D" w:rsidRDefault="00045D3D" w:rsidP="00045D3D">
      <w:pPr>
        <w:ind w:left="0"/>
        <w:rPr>
          <w:rFonts w:ascii="Bookman Old Style" w:hAnsi="Bookman Old Style"/>
        </w:rPr>
      </w:pPr>
    </w:p>
    <w:p w14:paraId="1E9DB613" w14:textId="77777777" w:rsidR="003A367B" w:rsidRPr="00C435C3" w:rsidRDefault="003A367B" w:rsidP="00045D3D">
      <w:pPr>
        <w:ind w:left="0"/>
        <w:rPr>
          <w:rFonts w:ascii="Bookman Old Style" w:hAnsi="Bookman Old Style"/>
        </w:rPr>
      </w:pPr>
    </w:p>
    <w:p w14:paraId="13D6EC85" w14:textId="77777777" w:rsidR="00236B2B" w:rsidRPr="008F146A" w:rsidRDefault="00236B2B" w:rsidP="00236B2B">
      <w:pPr>
        <w:jc w:val="center"/>
        <w:rPr>
          <w:rFonts w:ascii="Bookman Old Style" w:hAnsi="Bookman Old Style"/>
          <w:b/>
        </w:rPr>
      </w:pPr>
      <w:r w:rsidRPr="00A61EF1">
        <w:rPr>
          <w:rFonts w:ascii="Bookman Old Style" w:hAnsi="Bookman Old Style"/>
          <w:b/>
        </w:rPr>
        <w:t>PUBLÍQUESE Y CÚMPLASE</w:t>
      </w:r>
    </w:p>
    <w:p w14:paraId="373C70AD" w14:textId="77777777" w:rsidR="00236B2B" w:rsidRDefault="00236B2B" w:rsidP="00236B2B">
      <w:pPr>
        <w:spacing w:line="259" w:lineRule="auto"/>
        <w:ind w:left="0"/>
        <w:rPr>
          <w:rFonts w:ascii="Bookman Old Style" w:hAnsi="Bookman Old Style"/>
        </w:rPr>
      </w:pPr>
    </w:p>
    <w:p w14:paraId="24BB65D4" w14:textId="38E39014" w:rsidR="00236B2B" w:rsidRPr="006D2598" w:rsidRDefault="00236B2B" w:rsidP="00236B2B">
      <w:pPr>
        <w:spacing w:line="276" w:lineRule="auto"/>
        <w:ind w:left="0"/>
        <w:rPr>
          <w:rFonts w:ascii="Bookman Old Style" w:hAnsi="Bookman Old Style"/>
        </w:rPr>
      </w:pPr>
      <w:r w:rsidRPr="006D2598">
        <w:rPr>
          <w:rFonts w:ascii="Bookman Old Style" w:hAnsi="Bookman Old Style"/>
        </w:rPr>
        <w:t>Dada en Bogotá, D.C.</w:t>
      </w:r>
      <w:r>
        <w:rPr>
          <w:rFonts w:ascii="Bookman Old Style" w:hAnsi="Bookman Old Style"/>
        </w:rPr>
        <w:t xml:space="preserve">, </w:t>
      </w:r>
      <w:r w:rsidRPr="006D2598">
        <w:rPr>
          <w:rFonts w:ascii="Bookman Old Style" w:hAnsi="Bookman Old Style"/>
        </w:rPr>
        <w:t>a</w:t>
      </w:r>
      <w:r>
        <w:rPr>
          <w:rFonts w:ascii="Bookman Old Style" w:hAnsi="Bookman Old Style"/>
        </w:rPr>
        <w:t xml:space="preserve"> </w:t>
      </w:r>
      <w:r w:rsidRPr="003A367B">
        <w:rPr>
          <w:rFonts w:ascii="Bookman Old Style" w:hAnsi="Bookman Old Style"/>
        </w:rPr>
        <w:t xml:space="preserve">los </w:t>
      </w:r>
      <w:r w:rsidR="003A367B" w:rsidRPr="003A367B">
        <w:rPr>
          <w:rFonts w:ascii="Bookman Old Style" w:hAnsi="Bookman Old Style"/>
        </w:rPr>
        <w:t>13</w:t>
      </w:r>
      <w:r w:rsidRPr="003A367B">
        <w:rPr>
          <w:rFonts w:ascii="Bookman Old Style" w:hAnsi="Bookman Old Style"/>
        </w:rPr>
        <w:t xml:space="preserve"> días de </w:t>
      </w:r>
      <w:r w:rsidR="00360190" w:rsidRPr="003A367B">
        <w:rPr>
          <w:rFonts w:ascii="Bookman Old Style" w:hAnsi="Bookman Old Style"/>
        </w:rPr>
        <w:t xml:space="preserve">junio </w:t>
      </w:r>
      <w:r w:rsidRPr="003A367B">
        <w:rPr>
          <w:rFonts w:ascii="Bookman Old Style" w:hAnsi="Bookman Old Style"/>
        </w:rPr>
        <w:t>de 2024</w:t>
      </w:r>
      <w:r>
        <w:rPr>
          <w:rFonts w:ascii="Bookman Old Style" w:hAnsi="Bookman Old Style"/>
        </w:rPr>
        <w:t>.</w:t>
      </w:r>
    </w:p>
    <w:p w14:paraId="443E4CB5" w14:textId="77777777" w:rsidR="00236B2B" w:rsidRPr="006D2598" w:rsidRDefault="00236B2B" w:rsidP="00236B2B">
      <w:pPr>
        <w:spacing w:line="276" w:lineRule="auto"/>
        <w:ind w:left="0"/>
        <w:rPr>
          <w:rFonts w:ascii="Bookman Old Style" w:hAnsi="Bookman Old Style"/>
        </w:rPr>
      </w:pPr>
    </w:p>
    <w:p w14:paraId="25119BAA" w14:textId="77777777" w:rsidR="00236B2B" w:rsidRPr="006D2598" w:rsidRDefault="00236B2B" w:rsidP="00236B2B">
      <w:pPr>
        <w:spacing w:line="276" w:lineRule="auto"/>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236B2B" w:rsidRPr="00562A1B" w14:paraId="5D9EF099" w14:textId="77777777" w:rsidTr="00FE05BF">
        <w:trPr>
          <w:jc w:val="center"/>
        </w:trPr>
        <w:tc>
          <w:tcPr>
            <w:tcW w:w="5067" w:type="dxa"/>
          </w:tcPr>
          <w:p w14:paraId="2F8D8F6B" w14:textId="77777777" w:rsidR="00236B2B" w:rsidRPr="006D2598" w:rsidRDefault="00236B2B" w:rsidP="00FE05BF">
            <w:pPr>
              <w:tabs>
                <w:tab w:val="left" w:pos="-720"/>
              </w:tabs>
              <w:suppressAutoHyphens/>
              <w:spacing w:line="276" w:lineRule="auto"/>
              <w:ind w:left="0"/>
              <w:jc w:val="center"/>
              <w:rPr>
                <w:rFonts w:ascii="Bookman Old Style" w:hAnsi="Bookman Old Style" w:cs="Arial"/>
                <w:b/>
                <w:spacing w:val="-3"/>
              </w:rPr>
            </w:pPr>
            <w:r w:rsidRPr="006D2598">
              <w:rPr>
                <w:rFonts w:ascii="Bookman Old Style" w:hAnsi="Bookman Old Style" w:cs="Arial"/>
                <w:b/>
                <w:spacing w:val="-3"/>
              </w:rPr>
              <w:t>OMAR ANDRÉS CAMACHO MORALES</w:t>
            </w:r>
          </w:p>
          <w:p w14:paraId="64C3BA5C" w14:textId="77777777" w:rsidR="00236B2B" w:rsidRDefault="00236B2B" w:rsidP="00FE05BF">
            <w:pPr>
              <w:tabs>
                <w:tab w:val="left" w:pos="-720"/>
              </w:tabs>
              <w:suppressAutoHyphens/>
              <w:spacing w:line="276" w:lineRule="auto"/>
              <w:ind w:left="0"/>
              <w:jc w:val="center"/>
              <w:rPr>
                <w:rFonts w:ascii="Bookman Old Style" w:hAnsi="Bookman Old Style"/>
              </w:rPr>
            </w:pPr>
            <w:r w:rsidRPr="006D2598">
              <w:rPr>
                <w:rFonts w:ascii="Bookman Old Style" w:hAnsi="Bookman Old Style"/>
              </w:rPr>
              <w:t>Ministro de Minas y Energía</w:t>
            </w:r>
          </w:p>
          <w:p w14:paraId="43D147FE" w14:textId="77777777" w:rsidR="00236B2B" w:rsidRPr="006D2598" w:rsidRDefault="00236B2B" w:rsidP="00FE05BF">
            <w:pPr>
              <w:tabs>
                <w:tab w:val="left" w:pos="-720"/>
              </w:tabs>
              <w:suppressAutoHyphens/>
              <w:spacing w:line="276" w:lineRule="auto"/>
              <w:ind w:left="0"/>
              <w:jc w:val="center"/>
              <w:rPr>
                <w:rFonts w:ascii="Bookman Old Style" w:hAnsi="Bookman Old Style" w:cs="Arial"/>
                <w:b/>
                <w:strike/>
                <w:spacing w:val="-3"/>
              </w:rPr>
            </w:pPr>
            <w:r w:rsidRPr="006D2598">
              <w:rPr>
                <w:rFonts w:ascii="Bookman Old Style" w:hAnsi="Bookman Old Style"/>
              </w:rPr>
              <w:t>Presidente</w:t>
            </w:r>
          </w:p>
        </w:tc>
        <w:tc>
          <w:tcPr>
            <w:tcW w:w="4429" w:type="dxa"/>
          </w:tcPr>
          <w:p w14:paraId="4EC3BCAE" w14:textId="77777777" w:rsidR="00236B2B" w:rsidRPr="006D2598" w:rsidRDefault="00236B2B" w:rsidP="00FE05BF">
            <w:pPr>
              <w:tabs>
                <w:tab w:val="left" w:pos="-720"/>
              </w:tabs>
              <w:suppressAutoHyphens/>
              <w:spacing w:line="276" w:lineRule="auto"/>
              <w:ind w:left="0"/>
              <w:jc w:val="center"/>
              <w:rPr>
                <w:rFonts w:ascii="Bookman Old Style" w:hAnsi="Bookman Old Style" w:cs="Arial"/>
                <w:b/>
              </w:rPr>
            </w:pPr>
            <w:r w:rsidRPr="006D2598">
              <w:rPr>
                <w:rFonts w:ascii="Bookman Old Style" w:hAnsi="Bookman Old Style" w:cs="Arial"/>
                <w:b/>
              </w:rPr>
              <w:t>OMAR PR</w:t>
            </w:r>
            <w:r>
              <w:rPr>
                <w:rFonts w:ascii="Bookman Old Style" w:hAnsi="Bookman Old Style" w:cs="Arial"/>
                <w:b/>
              </w:rPr>
              <w:t>Í</w:t>
            </w:r>
            <w:r w:rsidRPr="006D2598">
              <w:rPr>
                <w:rFonts w:ascii="Bookman Old Style" w:hAnsi="Bookman Old Style" w:cs="Arial"/>
                <w:b/>
              </w:rPr>
              <w:t>AS CAICEDO</w:t>
            </w:r>
          </w:p>
          <w:p w14:paraId="462A3E25" w14:textId="77777777" w:rsidR="00236B2B" w:rsidRPr="00562A1B" w:rsidRDefault="00236B2B" w:rsidP="00FE05BF">
            <w:pPr>
              <w:tabs>
                <w:tab w:val="left" w:pos="-720"/>
              </w:tabs>
              <w:suppressAutoHyphens/>
              <w:spacing w:line="276" w:lineRule="auto"/>
              <w:ind w:left="0"/>
              <w:jc w:val="center"/>
              <w:rPr>
                <w:rFonts w:ascii="Bookman Old Style" w:hAnsi="Bookman Old Style" w:cs="Arial"/>
                <w:b/>
                <w:spacing w:val="-3"/>
              </w:rPr>
            </w:pPr>
            <w:r w:rsidRPr="006D2598">
              <w:rPr>
                <w:rFonts w:ascii="Bookman Old Style" w:hAnsi="Bookman Old Style" w:cs="Arial"/>
                <w:spacing w:val="-3"/>
              </w:rPr>
              <w:t>Director Ejecutivo</w:t>
            </w:r>
          </w:p>
        </w:tc>
      </w:tr>
    </w:tbl>
    <w:p w14:paraId="358111A6" w14:textId="77777777" w:rsidR="00236B2B" w:rsidRDefault="00236B2B" w:rsidP="00236B2B">
      <w:pPr>
        <w:spacing w:line="259" w:lineRule="auto"/>
        <w:ind w:left="0"/>
        <w:rPr>
          <w:rFonts w:ascii="Bookman Old Style" w:hAnsi="Bookman Old Style"/>
        </w:rPr>
      </w:pPr>
    </w:p>
    <w:p w14:paraId="338ECEA5" w14:textId="77777777" w:rsidR="00236B2B" w:rsidRDefault="00236B2B" w:rsidP="00236B2B">
      <w:pPr>
        <w:ind w:left="0"/>
        <w:jc w:val="both"/>
        <w:rPr>
          <w:rFonts w:ascii="Bookman Old Style" w:hAnsi="Bookman Old Style"/>
          <w:b/>
        </w:rPr>
      </w:pPr>
    </w:p>
    <w:p w14:paraId="185A0E4A" w14:textId="7F8B08A0" w:rsidR="00E060BE" w:rsidRPr="00E060BE" w:rsidRDefault="00E060BE" w:rsidP="00236B2B">
      <w:pPr>
        <w:jc w:val="center"/>
        <w:rPr>
          <w:rFonts w:ascii="Bookman Old Style" w:hAnsi="Bookman Old Style" w:cs="Arial"/>
        </w:rPr>
      </w:pPr>
    </w:p>
    <w:sectPr w:rsidR="00E060BE" w:rsidRPr="00E060BE"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EEE5C" w14:textId="77777777" w:rsidR="004714F6" w:rsidRDefault="004714F6">
      <w:r>
        <w:separator/>
      </w:r>
    </w:p>
  </w:endnote>
  <w:endnote w:type="continuationSeparator" w:id="0">
    <w:p w14:paraId="0FB046E3" w14:textId="77777777" w:rsidR="004714F6" w:rsidRDefault="0047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6DE3" w14:textId="77777777" w:rsidR="004714F6" w:rsidRDefault="004714F6">
      <w:r>
        <w:separator/>
      </w:r>
    </w:p>
  </w:footnote>
  <w:footnote w:type="continuationSeparator" w:id="0">
    <w:p w14:paraId="13DE1F86" w14:textId="77777777" w:rsidR="004714F6" w:rsidRDefault="0047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755828BB" w:rsidR="0087657D" w:rsidRPr="00951F79" w:rsidRDefault="00725FA4" w:rsidP="009F4BEC">
    <w:pPr>
      <w:pStyle w:val="Ttulo1"/>
      <w:ind w:left="0" w:right="6"/>
      <w:jc w:val="left"/>
      <w:rPr>
        <w:rFonts w:ascii="Bookman Old Style" w:hAnsi="Bookman Old Style" w:cs="Arial"/>
        <w:b w:val="0"/>
        <w:sz w:val="22"/>
        <w:szCs w:val="22"/>
      </w:rPr>
    </w:pPr>
    <w:r w:rsidRPr="003A367B">
      <w:rPr>
        <w:rFonts w:ascii="Bookman Old Style" w:hAnsi="Bookman Old Style" w:cs="Arial"/>
        <w:b w:val="0"/>
        <w:sz w:val="22"/>
        <w:szCs w:val="22"/>
      </w:rPr>
      <w:t>RESOLUCIÓN No.</w:t>
    </w:r>
    <w:r w:rsidR="00951F79" w:rsidRPr="003A367B">
      <w:rPr>
        <w:rFonts w:ascii="Bookman Old Style" w:hAnsi="Bookman Old Style" w:cs="Arial"/>
        <w:b w:val="0"/>
        <w:sz w:val="22"/>
        <w:szCs w:val="22"/>
      </w:rPr>
      <w:t xml:space="preserve"> </w:t>
    </w:r>
    <w:r w:rsidR="003A367B" w:rsidRPr="003A367B">
      <w:rPr>
        <w:rFonts w:ascii="Bookman Old Style" w:hAnsi="Bookman Old Style" w:cs="Arial"/>
        <w:bCs/>
        <w:sz w:val="22"/>
        <w:szCs w:val="22"/>
        <w:u w:val="single"/>
      </w:rPr>
      <w:t>101 044</w:t>
    </w:r>
    <w:r w:rsidR="003A367B">
      <w:rPr>
        <w:rFonts w:ascii="Bookman Old Style" w:hAnsi="Bookman Old Style" w:cs="Arial"/>
        <w:b w:val="0"/>
        <w:sz w:val="22"/>
        <w:szCs w:val="22"/>
      </w:rPr>
      <w:t xml:space="preserve"> D</w:t>
    </w:r>
    <w:r w:rsidR="00886EE1" w:rsidRPr="003A367B">
      <w:rPr>
        <w:rFonts w:ascii="Bookman Old Style" w:hAnsi="Bookman Old Style" w:cs="Arial"/>
        <w:b w:val="0"/>
        <w:sz w:val="22"/>
        <w:szCs w:val="22"/>
      </w:rPr>
      <w:t>E</w:t>
    </w:r>
    <w:r w:rsidR="003A367B">
      <w:rPr>
        <w:rFonts w:ascii="Bookman Old Style" w:hAnsi="Bookman Old Style" w:cs="Arial"/>
        <w:b w:val="0"/>
        <w:sz w:val="22"/>
        <w:szCs w:val="22"/>
      </w:rPr>
      <w:t xml:space="preserve"> </w:t>
    </w:r>
    <w:r w:rsidR="003A367B" w:rsidRPr="003A367B">
      <w:rPr>
        <w:rFonts w:ascii="Bookman Old Style" w:hAnsi="Bookman Old Style"/>
        <w:bCs/>
        <w:szCs w:val="24"/>
        <w:u w:val="single"/>
      </w:rPr>
      <w:t>13 JUN.2024</w:t>
    </w:r>
    <w:r w:rsidR="003A367B">
      <w:rPr>
        <w:rFonts w:ascii="Bookman Old Style" w:hAnsi="Bookman Old Style"/>
        <w:bCs/>
        <w:szCs w:val="24"/>
      </w:rPr>
      <w:t xml:space="preserve">          </w:t>
    </w:r>
    <w:r w:rsidR="003A367B" w:rsidRPr="003A367B">
      <w:rPr>
        <w:rFonts w:ascii="Bookman Old Style" w:hAnsi="Bookman Old Style"/>
        <w:b w:val="0"/>
        <w:szCs w:val="24"/>
      </w:rPr>
      <w:t>H</w:t>
    </w:r>
    <w:r w:rsidRPr="00654384">
      <w:rPr>
        <w:rFonts w:ascii="Bookman Old Style" w:hAnsi="Bookman Old Style" w:cs="Arial"/>
        <w:b w:val="0"/>
        <w:sz w:val="22"/>
        <w:szCs w:val="22"/>
      </w:rPr>
      <w:t>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36B7563">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E73C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6086E3D" w14:textId="4B30EFC3" w:rsidR="0044318E" w:rsidRPr="00045D3D" w:rsidRDefault="00DB3254" w:rsidP="00AD01E4">
    <w:pPr>
      <w:pBdr>
        <w:bottom w:val="single" w:sz="4" w:space="1" w:color="auto"/>
      </w:pBdr>
      <w:ind w:left="142" w:right="148"/>
      <w:rPr>
        <w:b/>
      </w:rPr>
    </w:pPr>
    <w:r w:rsidRPr="00DB3254">
      <w:rPr>
        <w:rFonts w:ascii="Bookman Old Style" w:hAnsi="Bookman Old Style"/>
        <w:sz w:val="22"/>
        <w:szCs w:val="22"/>
      </w:rPr>
      <w:t>Por la cual se ajusta el cálculo de ENFICC de plantas solares fotovoltaicas cuando solo se usa información secundaria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6AF7024">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7DC3BB6"/>
    <w:multiLevelType w:val="hybridMultilevel"/>
    <w:tmpl w:val="E49E45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1"/>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2"/>
  </w:num>
  <w:num w:numId="12" w16cid:durableId="1838691975">
    <w:abstractNumId w:val="20"/>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4"/>
  </w:num>
  <w:num w:numId="21" w16cid:durableId="1075667280">
    <w:abstractNumId w:val="7"/>
  </w:num>
  <w:num w:numId="22" w16cid:durableId="40371620">
    <w:abstractNumId w:val="8"/>
  </w:num>
  <w:num w:numId="23" w16cid:durableId="2057242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30E96"/>
    <w:rsid w:val="00045D3D"/>
    <w:rsid w:val="00063657"/>
    <w:rsid w:val="00076680"/>
    <w:rsid w:val="00076A1D"/>
    <w:rsid w:val="0008073E"/>
    <w:rsid w:val="00083B8E"/>
    <w:rsid w:val="00091CDB"/>
    <w:rsid w:val="000A19AC"/>
    <w:rsid w:val="000B2EC9"/>
    <w:rsid w:val="000D26F8"/>
    <w:rsid w:val="000E2B89"/>
    <w:rsid w:val="00103144"/>
    <w:rsid w:val="00106654"/>
    <w:rsid w:val="001212CB"/>
    <w:rsid w:val="0013526C"/>
    <w:rsid w:val="001405C6"/>
    <w:rsid w:val="00141013"/>
    <w:rsid w:val="00192CBF"/>
    <w:rsid w:val="00192FF1"/>
    <w:rsid w:val="001A5F1B"/>
    <w:rsid w:val="001B1C22"/>
    <w:rsid w:val="001B34C6"/>
    <w:rsid w:val="001D7832"/>
    <w:rsid w:val="00210DC1"/>
    <w:rsid w:val="00211D34"/>
    <w:rsid w:val="00214F04"/>
    <w:rsid w:val="002352B9"/>
    <w:rsid w:val="00236B2B"/>
    <w:rsid w:val="00266CD6"/>
    <w:rsid w:val="002673AC"/>
    <w:rsid w:val="00275DAB"/>
    <w:rsid w:val="00284DB9"/>
    <w:rsid w:val="002903C0"/>
    <w:rsid w:val="002A035C"/>
    <w:rsid w:val="002A548A"/>
    <w:rsid w:val="002A5545"/>
    <w:rsid w:val="002A782A"/>
    <w:rsid w:val="002B11E2"/>
    <w:rsid w:val="002B24B8"/>
    <w:rsid w:val="002D3AE9"/>
    <w:rsid w:val="002D4510"/>
    <w:rsid w:val="002F0734"/>
    <w:rsid w:val="002F175F"/>
    <w:rsid w:val="002F46E7"/>
    <w:rsid w:val="00306D31"/>
    <w:rsid w:val="003101DA"/>
    <w:rsid w:val="003111C3"/>
    <w:rsid w:val="00311FDF"/>
    <w:rsid w:val="00314757"/>
    <w:rsid w:val="003163BC"/>
    <w:rsid w:val="003211CE"/>
    <w:rsid w:val="0035403A"/>
    <w:rsid w:val="00360190"/>
    <w:rsid w:val="0036394B"/>
    <w:rsid w:val="00366DB6"/>
    <w:rsid w:val="003709B5"/>
    <w:rsid w:val="003759C2"/>
    <w:rsid w:val="00397365"/>
    <w:rsid w:val="003A31F6"/>
    <w:rsid w:val="003A367B"/>
    <w:rsid w:val="003C3447"/>
    <w:rsid w:val="003D076C"/>
    <w:rsid w:val="003E78B5"/>
    <w:rsid w:val="00415BAB"/>
    <w:rsid w:val="00415ED2"/>
    <w:rsid w:val="0042068C"/>
    <w:rsid w:val="0044318E"/>
    <w:rsid w:val="00443B35"/>
    <w:rsid w:val="0045488D"/>
    <w:rsid w:val="00463A51"/>
    <w:rsid w:val="0047122B"/>
    <w:rsid w:val="004714F6"/>
    <w:rsid w:val="00473B7A"/>
    <w:rsid w:val="004960E9"/>
    <w:rsid w:val="004A2E88"/>
    <w:rsid w:val="004A5305"/>
    <w:rsid w:val="004D7634"/>
    <w:rsid w:val="004E611A"/>
    <w:rsid w:val="004F59AF"/>
    <w:rsid w:val="004F6460"/>
    <w:rsid w:val="005300D3"/>
    <w:rsid w:val="00542A10"/>
    <w:rsid w:val="00544F82"/>
    <w:rsid w:val="005509D2"/>
    <w:rsid w:val="00584506"/>
    <w:rsid w:val="00593C4F"/>
    <w:rsid w:val="005946A8"/>
    <w:rsid w:val="005A0E05"/>
    <w:rsid w:val="005A4407"/>
    <w:rsid w:val="005A59EF"/>
    <w:rsid w:val="005B1C7E"/>
    <w:rsid w:val="005C6976"/>
    <w:rsid w:val="005D19DD"/>
    <w:rsid w:val="005F6F41"/>
    <w:rsid w:val="00625DC6"/>
    <w:rsid w:val="0064391D"/>
    <w:rsid w:val="00651821"/>
    <w:rsid w:val="00654384"/>
    <w:rsid w:val="006675CD"/>
    <w:rsid w:val="00684D9B"/>
    <w:rsid w:val="0068510A"/>
    <w:rsid w:val="00697556"/>
    <w:rsid w:val="006B4647"/>
    <w:rsid w:val="006B4C2B"/>
    <w:rsid w:val="006B6194"/>
    <w:rsid w:val="006B6D47"/>
    <w:rsid w:val="006C5AFE"/>
    <w:rsid w:val="006D1755"/>
    <w:rsid w:val="006F2EC8"/>
    <w:rsid w:val="006F6D95"/>
    <w:rsid w:val="00706F13"/>
    <w:rsid w:val="007072E8"/>
    <w:rsid w:val="0071618D"/>
    <w:rsid w:val="00725FA4"/>
    <w:rsid w:val="00740446"/>
    <w:rsid w:val="007438A9"/>
    <w:rsid w:val="0074491E"/>
    <w:rsid w:val="0076247A"/>
    <w:rsid w:val="00775964"/>
    <w:rsid w:val="007765FE"/>
    <w:rsid w:val="00794E2E"/>
    <w:rsid w:val="00795BFB"/>
    <w:rsid w:val="007A6181"/>
    <w:rsid w:val="007B2760"/>
    <w:rsid w:val="007B5A60"/>
    <w:rsid w:val="00806C01"/>
    <w:rsid w:val="00806F14"/>
    <w:rsid w:val="008148CC"/>
    <w:rsid w:val="008211A4"/>
    <w:rsid w:val="0084693A"/>
    <w:rsid w:val="008576EB"/>
    <w:rsid w:val="00873150"/>
    <w:rsid w:val="0087657D"/>
    <w:rsid w:val="008807D5"/>
    <w:rsid w:val="00880832"/>
    <w:rsid w:val="00886EE1"/>
    <w:rsid w:val="0088727D"/>
    <w:rsid w:val="00897C75"/>
    <w:rsid w:val="008C1130"/>
    <w:rsid w:val="008D18E6"/>
    <w:rsid w:val="008D7A9B"/>
    <w:rsid w:val="008E0060"/>
    <w:rsid w:val="008E7091"/>
    <w:rsid w:val="008E76AC"/>
    <w:rsid w:val="008F21F6"/>
    <w:rsid w:val="008F3694"/>
    <w:rsid w:val="00951F79"/>
    <w:rsid w:val="00974AB5"/>
    <w:rsid w:val="0098706D"/>
    <w:rsid w:val="009935FB"/>
    <w:rsid w:val="009A0117"/>
    <w:rsid w:val="009F02CA"/>
    <w:rsid w:val="009F4A54"/>
    <w:rsid w:val="009F4BEC"/>
    <w:rsid w:val="009F5874"/>
    <w:rsid w:val="00A06511"/>
    <w:rsid w:val="00A25FD7"/>
    <w:rsid w:val="00A43AFF"/>
    <w:rsid w:val="00A6768A"/>
    <w:rsid w:val="00A71219"/>
    <w:rsid w:val="00A7793A"/>
    <w:rsid w:val="00A8250E"/>
    <w:rsid w:val="00AA4CC7"/>
    <w:rsid w:val="00AA5E8E"/>
    <w:rsid w:val="00AB2BAD"/>
    <w:rsid w:val="00AB2D77"/>
    <w:rsid w:val="00AB6CA7"/>
    <w:rsid w:val="00AD01E4"/>
    <w:rsid w:val="00AD0858"/>
    <w:rsid w:val="00AE02E3"/>
    <w:rsid w:val="00AE7340"/>
    <w:rsid w:val="00AF1BBD"/>
    <w:rsid w:val="00B10207"/>
    <w:rsid w:val="00B141E7"/>
    <w:rsid w:val="00B351B4"/>
    <w:rsid w:val="00B46BCA"/>
    <w:rsid w:val="00B478AA"/>
    <w:rsid w:val="00B826D2"/>
    <w:rsid w:val="00B87806"/>
    <w:rsid w:val="00B87EC9"/>
    <w:rsid w:val="00BC38FD"/>
    <w:rsid w:val="00C034CB"/>
    <w:rsid w:val="00C051A8"/>
    <w:rsid w:val="00C054BC"/>
    <w:rsid w:val="00C17897"/>
    <w:rsid w:val="00C409D5"/>
    <w:rsid w:val="00C435C3"/>
    <w:rsid w:val="00C44E5F"/>
    <w:rsid w:val="00C51B7C"/>
    <w:rsid w:val="00C6234B"/>
    <w:rsid w:val="00C63EAE"/>
    <w:rsid w:val="00C73260"/>
    <w:rsid w:val="00C7629F"/>
    <w:rsid w:val="00C8661B"/>
    <w:rsid w:val="00CA03C8"/>
    <w:rsid w:val="00CA139A"/>
    <w:rsid w:val="00CA2899"/>
    <w:rsid w:val="00CA3A3D"/>
    <w:rsid w:val="00CA3AA6"/>
    <w:rsid w:val="00CA77FB"/>
    <w:rsid w:val="00CB379B"/>
    <w:rsid w:val="00CB5DD0"/>
    <w:rsid w:val="00CC0759"/>
    <w:rsid w:val="00CC51D4"/>
    <w:rsid w:val="00CC65DA"/>
    <w:rsid w:val="00CF21B9"/>
    <w:rsid w:val="00CF6BF9"/>
    <w:rsid w:val="00D03800"/>
    <w:rsid w:val="00D065D3"/>
    <w:rsid w:val="00D14C94"/>
    <w:rsid w:val="00D342A6"/>
    <w:rsid w:val="00D45CA6"/>
    <w:rsid w:val="00D464BF"/>
    <w:rsid w:val="00D53E26"/>
    <w:rsid w:val="00D72C0A"/>
    <w:rsid w:val="00D83F43"/>
    <w:rsid w:val="00DB182C"/>
    <w:rsid w:val="00DB3254"/>
    <w:rsid w:val="00DD4F0E"/>
    <w:rsid w:val="00DE2B88"/>
    <w:rsid w:val="00DF0BF0"/>
    <w:rsid w:val="00DF16F5"/>
    <w:rsid w:val="00DF3CA2"/>
    <w:rsid w:val="00DF753F"/>
    <w:rsid w:val="00E01463"/>
    <w:rsid w:val="00E05E0A"/>
    <w:rsid w:val="00E060BE"/>
    <w:rsid w:val="00E32D10"/>
    <w:rsid w:val="00E534CF"/>
    <w:rsid w:val="00E63920"/>
    <w:rsid w:val="00E81CB4"/>
    <w:rsid w:val="00E8585B"/>
    <w:rsid w:val="00E87F41"/>
    <w:rsid w:val="00E90C80"/>
    <w:rsid w:val="00EA3F15"/>
    <w:rsid w:val="00EA7847"/>
    <w:rsid w:val="00EB4C2F"/>
    <w:rsid w:val="00EC69AF"/>
    <w:rsid w:val="00EE2E6E"/>
    <w:rsid w:val="00EF6E8C"/>
    <w:rsid w:val="00F017A8"/>
    <w:rsid w:val="00F0759E"/>
    <w:rsid w:val="00F16498"/>
    <w:rsid w:val="00F16A43"/>
    <w:rsid w:val="00F46780"/>
    <w:rsid w:val="00F55DB1"/>
    <w:rsid w:val="00F77D2D"/>
    <w:rsid w:val="00F821A3"/>
    <w:rsid w:val="00F84B3B"/>
    <w:rsid w:val="00F8654B"/>
    <w:rsid w:val="00F9314A"/>
    <w:rsid w:val="00F940B2"/>
    <w:rsid w:val="00FC58EF"/>
    <w:rsid w:val="00FD33DF"/>
    <w:rsid w:val="00FE39D7"/>
    <w:rsid w:val="00FF7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Revisin">
    <w:name w:val="Revision"/>
    <w:hidden/>
    <w:uiPriority w:val="99"/>
    <w:semiHidden/>
    <w:rsid w:val="0036019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C441AA30-A665-4852-AFB6-FB1429DEE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109D9-F1D9-4F3E-BE9D-ED6320A438C8}">
  <ds:schemaRefs>
    <ds:schemaRef ds:uri="http://schemas.microsoft.com/sharepoint/v3/contenttype/forms"/>
  </ds:schemaRefs>
</ds:datastoreItem>
</file>

<file path=customXml/itemProps3.xml><?xml version="1.0" encoding="utf-8"?>
<ds:datastoreItem xmlns:ds="http://schemas.openxmlformats.org/officeDocument/2006/customXml" ds:itemID="{07B19C2E-B488-4704-B625-87946EDA8EBE}">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PLANTILLA1</Template>
  <TotalTime>10</TotalTime>
  <Pages>6</Pages>
  <Words>1937</Words>
  <Characters>10657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4</cp:revision>
  <cp:lastPrinted>2024-06-24T20:48:00Z</cp:lastPrinted>
  <dcterms:created xsi:type="dcterms:W3CDTF">2024-06-20T20:50:00Z</dcterms:created>
  <dcterms:modified xsi:type="dcterms:W3CDTF">2024-06-24T20:49:00Z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