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8240" w14:textId="33525218" w:rsidR="00020441" w:rsidRDefault="00020441" w:rsidP="003C55ED">
      <w:pPr>
        <w:pStyle w:val="TDC1"/>
      </w:pPr>
    </w:p>
    <w:p w14:paraId="5DDAA11F" w14:textId="117E604D" w:rsidR="00020441" w:rsidRDefault="00020441">
      <w:r>
        <w:tab/>
      </w:r>
      <w:r>
        <w:tab/>
      </w:r>
      <w:r>
        <w:tab/>
      </w:r>
      <w:r>
        <w:tab/>
      </w:r>
      <w:r>
        <w:tab/>
      </w:r>
      <w:r>
        <w:tab/>
      </w:r>
    </w:p>
    <w:p w14:paraId="2764143B" w14:textId="77777777" w:rsidR="00020441" w:rsidRDefault="00000520">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F805966" w14:textId="34C31A12"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041951E3" w14:textId="0BD7F107" w:rsidR="00C93BF1" w:rsidRDefault="00C93BF1" w:rsidP="00C93BF1">
      <w:pPr>
        <w:pStyle w:val="Textoindependiente"/>
        <w:jc w:val="both"/>
        <w:rPr>
          <w:bCs/>
          <w:sz w:val="32"/>
        </w:rPr>
      </w:pPr>
      <w:r w:rsidRPr="00C847B9">
        <w:rPr>
          <w:sz w:val="40"/>
        </w:rPr>
        <w:t xml:space="preserve">AJUSTE AL CÁLCULO DE </w:t>
      </w:r>
      <w:proofErr w:type="spellStart"/>
      <w:r w:rsidRPr="00C847B9">
        <w:rPr>
          <w:sz w:val="40"/>
        </w:rPr>
        <w:t>ENFICC</w:t>
      </w:r>
      <w:proofErr w:type="spellEnd"/>
      <w:r w:rsidRPr="00C847B9">
        <w:rPr>
          <w:sz w:val="40"/>
        </w:rPr>
        <w:t xml:space="preserve"> DE PLANTAS SOLARES FOTOVOLTAICAS Y EÓLICAS </w:t>
      </w:r>
      <w:r w:rsidR="00D154C1">
        <w:rPr>
          <w:sz w:val="40"/>
        </w:rPr>
        <w:t>SOLAMENTE CON</w:t>
      </w:r>
      <w:r w:rsidRPr="00C847B9">
        <w:rPr>
          <w:sz w:val="40"/>
        </w:rPr>
        <w:t xml:space="preserve"> INFORMACIÓN SECUNDARIA</w:t>
      </w:r>
    </w:p>
    <w:p w14:paraId="00854BAE" w14:textId="0C2860E1" w:rsidR="00020441" w:rsidRDefault="00020441">
      <w:pPr>
        <w:pStyle w:val="Textoindependiente"/>
        <w:jc w:val="both"/>
        <w:rPr>
          <w:bCs/>
          <w:sz w:val="32"/>
        </w:rPr>
      </w:pPr>
    </w:p>
    <w:p w14:paraId="3C4A0D59" w14:textId="76465C73" w:rsidR="00D154C1" w:rsidRPr="00C95552" w:rsidRDefault="00D154C1">
      <w:pPr>
        <w:pStyle w:val="Textoindependiente"/>
        <w:jc w:val="both"/>
        <w:rPr>
          <w:bCs/>
          <w:sz w:val="22"/>
          <w:szCs w:val="14"/>
        </w:rPr>
      </w:pPr>
      <w:r w:rsidRPr="00C95552">
        <w:rPr>
          <w:sz w:val="28"/>
          <w:szCs w:val="14"/>
        </w:rPr>
        <w:t>-</w:t>
      </w:r>
      <w:r w:rsidRPr="00C95552">
        <w:rPr>
          <w:sz w:val="28"/>
          <w:szCs w:val="14"/>
        </w:rPr>
        <w:t>ANÁLISIS DE COMENTARIOS RESOLUCIÓN CREG 701 043 DE 2024-</w:t>
      </w:r>
    </w:p>
    <w:p w14:paraId="14B50E75" w14:textId="77777777" w:rsidR="00020441" w:rsidRDefault="00020441" w:rsidP="003C55ED">
      <w:pPr>
        <w:pStyle w:val="TDC1"/>
      </w:pPr>
    </w:p>
    <w:p w14:paraId="51A764C5" w14:textId="77777777" w:rsidR="00020441" w:rsidRDefault="00020441"/>
    <w:p w14:paraId="1222BB47" w14:textId="77777777" w:rsidR="00020441" w:rsidRDefault="00020441"/>
    <w:p w14:paraId="59776045" w14:textId="77777777" w:rsidR="00020441" w:rsidRDefault="00020441"/>
    <w:p w14:paraId="53B509DC" w14:textId="16FE5052" w:rsidR="00020441" w:rsidRDefault="00020441">
      <w:pPr>
        <w:rPr>
          <w:b/>
          <w:caps/>
          <w:sz w:val="36"/>
          <w:lang w:val="es-ES"/>
        </w:rPr>
      </w:pPr>
      <w:r>
        <w:rPr>
          <w:b/>
          <w:caps/>
          <w:sz w:val="28"/>
          <w:lang w:val="es-ES"/>
        </w:rPr>
        <w:t xml:space="preserve">DOCUMENTO </w:t>
      </w:r>
      <w:r>
        <w:rPr>
          <w:b/>
          <w:caps/>
          <w:sz w:val="40"/>
          <w:lang w:val="es-ES"/>
        </w:rPr>
        <w:t>CREG-</w:t>
      </w:r>
      <w:r w:rsidR="00B425AB" w:rsidRPr="00B425AB">
        <w:rPr>
          <w:rFonts w:cs="Arial"/>
          <w:b/>
          <w:bCs/>
          <w:sz w:val="40"/>
          <w:szCs w:val="40"/>
          <w:lang w:val="es-MX"/>
        </w:rPr>
        <w:fldChar w:fldCharType="begin"/>
      </w:r>
      <w:r w:rsidR="00B425AB" w:rsidRPr="00B425AB">
        <w:rPr>
          <w:rFonts w:cs="Arial"/>
          <w:b/>
          <w:bCs/>
          <w:sz w:val="40"/>
          <w:szCs w:val="40"/>
          <w:lang w:val="es-MX"/>
        </w:rPr>
        <w:instrText xml:space="preserve"> MERGEFIELD  Consecutivo  \* MERGEFORMAT </w:instrText>
      </w:r>
      <w:r w:rsidR="00B425AB" w:rsidRPr="00B425AB">
        <w:rPr>
          <w:rFonts w:cs="Arial"/>
          <w:b/>
          <w:bCs/>
          <w:sz w:val="40"/>
          <w:szCs w:val="40"/>
          <w:lang w:val="es-MX"/>
        </w:rPr>
        <w:fldChar w:fldCharType="separate"/>
      </w:r>
      <w:r w:rsidR="00E64A19">
        <w:rPr>
          <w:rFonts w:cs="Arial"/>
          <w:b/>
          <w:bCs/>
          <w:noProof/>
          <w:sz w:val="40"/>
          <w:szCs w:val="40"/>
          <w:lang w:val="es-MX"/>
        </w:rPr>
        <w:t>901 101</w:t>
      </w:r>
      <w:r w:rsidR="00B425AB" w:rsidRPr="00B425AB">
        <w:rPr>
          <w:rFonts w:cs="Arial"/>
          <w:b/>
          <w:bCs/>
          <w:sz w:val="40"/>
          <w:szCs w:val="40"/>
          <w:lang w:val="es-MX"/>
        </w:rPr>
        <w:fldChar w:fldCharType="end"/>
      </w:r>
    </w:p>
    <w:p w14:paraId="44F07507" w14:textId="0176909F" w:rsidR="000B5AD2" w:rsidRDefault="00F40D91" w:rsidP="00F40D91">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E64A19">
        <w:rPr>
          <w:rFonts w:cs="Arial"/>
          <w:b/>
          <w:bCs/>
          <w:noProof/>
          <w:sz w:val="28"/>
          <w:szCs w:val="28"/>
          <w:lang w:val="es-MX"/>
        </w:rPr>
        <w:t>13 de junio de 2024</w:t>
      </w:r>
      <w:r w:rsidRPr="00F40D91">
        <w:rPr>
          <w:rFonts w:cs="Arial"/>
          <w:b/>
          <w:bCs/>
          <w:sz w:val="28"/>
          <w:szCs w:val="28"/>
          <w:lang w:val="es-MX"/>
        </w:rPr>
        <w:fldChar w:fldCharType="end"/>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63B7394E" w14:textId="22C52435" w:rsidR="00020441" w:rsidRDefault="00020441" w:rsidP="003C55ED">
      <w:pPr>
        <w:pStyle w:val="TDC1"/>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394933D5" w:rsidR="00020441" w:rsidRDefault="00020441">
            <w:pPr>
              <w:tabs>
                <w:tab w:val="left" w:pos="4606"/>
                <w:tab w:val="left" w:pos="9142"/>
              </w:tabs>
              <w:jc w:val="left"/>
              <w:rPr>
                <w:b/>
                <w:bCs/>
              </w:rPr>
            </w:pPr>
            <w:r>
              <w:rPr>
                <w:b/>
                <w:bCs/>
              </w:rPr>
              <w:t>REGULACIÓN DE ENERGÍA Y GAS</w:t>
            </w:r>
            <w:r w:rsidR="001507E2">
              <w:rPr>
                <w:b/>
                <w:bCs/>
              </w:rPr>
              <w:t>.</w:t>
            </w:r>
          </w:p>
        </w:tc>
      </w:tr>
    </w:tbl>
    <w:p w14:paraId="4B11C309" w14:textId="77777777" w:rsidR="00402949" w:rsidRDefault="00402949">
      <w:pPr>
        <w:jc w:val="left"/>
      </w:pPr>
      <w:r>
        <w:br w:type="page"/>
      </w:r>
    </w:p>
    <w:sdt>
      <w:sdtPr>
        <w:rPr>
          <w:rFonts w:ascii="Arial" w:eastAsia="Times New Roman" w:hAnsi="Arial" w:cs="Arial"/>
          <w:color w:val="auto"/>
          <w:sz w:val="24"/>
          <w:szCs w:val="24"/>
          <w:lang w:val="es-ES"/>
        </w:rPr>
        <w:id w:val="328030715"/>
        <w:docPartObj>
          <w:docPartGallery w:val="Table of Contents"/>
          <w:docPartUnique/>
        </w:docPartObj>
      </w:sdtPr>
      <w:sdtEndPr>
        <w:rPr>
          <w:b/>
          <w:bCs/>
        </w:rPr>
      </w:sdtEndPr>
      <w:sdtContent>
        <w:p w14:paraId="4AAF330D" w14:textId="77777777" w:rsidR="003032EB" w:rsidRPr="008C7EE6" w:rsidRDefault="003032EB" w:rsidP="003032EB">
          <w:pPr>
            <w:pStyle w:val="TtuloTDC"/>
            <w:spacing w:before="0" w:line="360" w:lineRule="auto"/>
            <w:rPr>
              <w:rFonts w:ascii="Arial" w:hAnsi="Arial" w:cs="Arial"/>
              <w:b/>
              <w:bCs/>
              <w:sz w:val="36"/>
              <w:szCs w:val="36"/>
              <w:lang w:val="es-ES"/>
            </w:rPr>
          </w:pPr>
          <w:r w:rsidRPr="008C7EE6">
            <w:rPr>
              <w:rFonts w:ascii="Arial" w:hAnsi="Arial" w:cs="Arial"/>
              <w:b/>
              <w:bCs/>
              <w:sz w:val="36"/>
              <w:szCs w:val="36"/>
              <w:lang w:val="es-ES"/>
            </w:rPr>
            <w:t>Contenido</w:t>
          </w:r>
        </w:p>
        <w:p w14:paraId="7CD2558B" w14:textId="2F95EB9F" w:rsidR="00E64A19" w:rsidRDefault="003032EB">
          <w:pPr>
            <w:pStyle w:val="TDC1"/>
            <w:rPr>
              <w:rFonts w:asciiTheme="minorHAnsi" w:eastAsiaTheme="minorEastAsia" w:hAnsiTheme="minorHAnsi" w:cstheme="minorBidi"/>
              <w:kern w:val="2"/>
              <w:lang w:val="es-CO" w:eastAsia="es-CO"/>
              <w14:ligatures w14:val="standardContextual"/>
            </w:rPr>
          </w:pPr>
          <w:r w:rsidRPr="00A26F9B">
            <w:rPr>
              <w:rFonts w:cs="Arial"/>
              <w:sz w:val="28"/>
              <w:szCs w:val="28"/>
            </w:rPr>
            <w:fldChar w:fldCharType="begin"/>
          </w:r>
          <w:r w:rsidRPr="00A26F9B">
            <w:rPr>
              <w:rFonts w:cs="Arial"/>
            </w:rPr>
            <w:instrText xml:space="preserve"> TOC \o "1-3" \h \z \u </w:instrText>
          </w:r>
          <w:r w:rsidRPr="00A26F9B">
            <w:rPr>
              <w:rFonts w:cs="Arial"/>
              <w:sz w:val="28"/>
              <w:szCs w:val="28"/>
            </w:rPr>
            <w:fldChar w:fldCharType="separate"/>
          </w:r>
          <w:hyperlink w:anchor="_Toc167802959" w:history="1">
            <w:r w:rsidR="00E64A19" w:rsidRPr="003A1030">
              <w:rPr>
                <w:rStyle w:val="Hipervnculo"/>
                <w:rFonts w:cs="Arial"/>
              </w:rPr>
              <w:t>1.</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ANTECEDENTES E INFORMACIÓN GENERAL</w:t>
            </w:r>
            <w:r w:rsidR="00E64A19">
              <w:rPr>
                <w:webHidden/>
              </w:rPr>
              <w:tab/>
            </w:r>
            <w:r w:rsidR="00E64A19">
              <w:rPr>
                <w:webHidden/>
              </w:rPr>
              <w:fldChar w:fldCharType="begin"/>
            </w:r>
            <w:r w:rsidR="00E64A19">
              <w:rPr>
                <w:webHidden/>
              </w:rPr>
              <w:instrText xml:space="preserve"> PAGEREF _Toc167802959 \h </w:instrText>
            </w:r>
            <w:r w:rsidR="00E64A19">
              <w:rPr>
                <w:webHidden/>
              </w:rPr>
            </w:r>
            <w:r w:rsidR="00E64A19">
              <w:rPr>
                <w:webHidden/>
              </w:rPr>
              <w:fldChar w:fldCharType="separate"/>
            </w:r>
            <w:r w:rsidR="00E64A19">
              <w:rPr>
                <w:webHidden/>
              </w:rPr>
              <w:t>3</w:t>
            </w:r>
            <w:r w:rsidR="00E64A19">
              <w:rPr>
                <w:webHidden/>
              </w:rPr>
              <w:fldChar w:fldCharType="end"/>
            </w:r>
          </w:hyperlink>
        </w:p>
        <w:p w14:paraId="2C28B16E" w14:textId="54CB0FFE"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60" w:history="1">
            <w:r w:rsidR="00E64A19" w:rsidRPr="003A1030">
              <w:rPr>
                <w:rStyle w:val="Hipervnculo"/>
                <w:rFonts w:cs="Arial"/>
              </w:rPr>
              <w:t>2.</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DEFINICIÓN DEL PROBLEMA</w:t>
            </w:r>
            <w:r w:rsidR="00E64A19">
              <w:rPr>
                <w:webHidden/>
              </w:rPr>
              <w:tab/>
            </w:r>
            <w:r w:rsidR="00E64A19">
              <w:rPr>
                <w:webHidden/>
              </w:rPr>
              <w:fldChar w:fldCharType="begin"/>
            </w:r>
            <w:r w:rsidR="00E64A19">
              <w:rPr>
                <w:webHidden/>
              </w:rPr>
              <w:instrText xml:space="preserve"> PAGEREF _Toc167802960 \h </w:instrText>
            </w:r>
            <w:r w:rsidR="00E64A19">
              <w:rPr>
                <w:webHidden/>
              </w:rPr>
            </w:r>
            <w:r w:rsidR="00E64A19">
              <w:rPr>
                <w:webHidden/>
              </w:rPr>
              <w:fldChar w:fldCharType="separate"/>
            </w:r>
            <w:r w:rsidR="00E64A19">
              <w:rPr>
                <w:webHidden/>
              </w:rPr>
              <w:t>4</w:t>
            </w:r>
            <w:r w:rsidR="00E64A19">
              <w:rPr>
                <w:webHidden/>
              </w:rPr>
              <w:fldChar w:fldCharType="end"/>
            </w:r>
          </w:hyperlink>
        </w:p>
        <w:p w14:paraId="302B8D39" w14:textId="0F39919F"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61" w:history="1">
            <w:r w:rsidR="00E64A19" w:rsidRPr="003A1030">
              <w:rPr>
                <w:rStyle w:val="Hipervnculo"/>
                <w:rFonts w:cs="Arial"/>
              </w:rPr>
              <w:t>3.</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OBJETIVO</w:t>
            </w:r>
            <w:r w:rsidR="00E64A19">
              <w:rPr>
                <w:webHidden/>
              </w:rPr>
              <w:tab/>
            </w:r>
            <w:r w:rsidR="00E64A19">
              <w:rPr>
                <w:webHidden/>
              </w:rPr>
              <w:fldChar w:fldCharType="begin"/>
            </w:r>
            <w:r w:rsidR="00E64A19">
              <w:rPr>
                <w:webHidden/>
              </w:rPr>
              <w:instrText xml:space="preserve"> PAGEREF _Toc167802961 \h </w:instrText>
            </w:r>
            <w:r w:rsidR="00E64A19">
              <w:rPr>
                <w:webHidden/>
              </w:rPr>
            </w:r>
            <w:r w:rsidR="00E64A19">
              <w:rPr>
                <w:webHidden/>
              </w:rPr>
              <w:fldChar w:fldCharType="separate"/>
            </w:r>
            <w:r w:rsidR="00E64A19">
              <w:rPr>
                <w:webHidden/>
              </w:rPr>
              <w:t>5</w:t>
            </w:r>
            <w:r w:rsidR="00E64A19">
              <w:rPr>
                <w:webHidden/>
              </w:rPr>
              <w:fldChar w:fldCharType="end"/>
            </w:r>
          </w:hyperlink>
        </w:p>
        <w:p w14:paraId="11D58965" w14:textId="17173490"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62" w:history="1">
            <w:r w:rsidR="00E64A19" w:rsidRPr="003A1030">
              <w:rPr>
                <w:rStyle w:val="Hipervnculo"/>
                <w:rFonts w:cs="Arial"/>
              </w:rPr>
              <w:t>4.</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CONSULTA PÚBLICA</w:t>
            </w:r>
            <w:r w:rsidR="00E64A19">
              <w:rPr>
                <w:webHidden/>
              </w:rPr>
              <w:tab/>
            </w:r>
            <w:r w:rsidR="00E64A19">
              <w:rPr>
                <w:webHidden/>
              </w:rPr>
              <w:fldChar w:fldCharType="begin"/>
            </w:r>
            <w:r w:rsidR="00E64A19">
              <w:rPr>
                <w:webHidden/>
              </w:rPr>
              <w:instrText xml:space="preserve"> PAGEREF _Toc167802962 \h </w:instrText>
            </w:r>
            <w:r w:rsidR="00E64A19">
              <w:rPr>
                <w:webHidden/>
              </w:rPr>
            </w:r>
            <w:r w:rsidR="00E64A19">
              <w:rPr>
                <w:webHidden/>
              </w:rPr>
              <w:fldChar w:fldCharType="separate"/>
            </w:r>
            <w:r w:rsidR="00E64A19">
              <w:rPr>
                <w:webHidden/>
              </w:rPr>
              <w:t>5</w:t>
            </w:r>
            <w:r w:rsidR="00E64A19">
              <w:rPr>
                <w:webHidden/>
              </w:rPr>
              <w:fldChar w:fldCharType="end"/>
            </w:r>
          </w:hyperlink>
        </w:p>
        <w:p w14:paraId="48049852" w14:textId="3AA68993" w:rsidR="00E64A19" w:rsidRDefault="00000000">
          <w:pPr>
            <w:pStyle w:val="TDC2"/>
            <w:rPr>
              <w:rFonts w:asciiTheme="minorHAnsi" w:eastAsiaTheme="minorEastAsia" w:hAnsiTheme="minorHAnsi" w:cstheme="minorBidi"/>
              <w:kern w:val="2"/>
              <w:lang w:val="es-CO" w:eastAsia="es-CO"/>
              <w14:ligatures w14:val="standardContextual"/>
            </w:rPr>
          </w:pPr>
          <w:hyperlink w:anchor="_Toc167802963" w:history="1">
            <w:r w:rsidR="00E64A19" w:rsidRPr="003A1030">
              <w:rPr>
                <w:rStyle w:val="Hipervnculo"/>
              </w:rPr>
              <w:t>4.1</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Pr>
              <w:t>Información que se tuvo en cuenta en las alternativas del proyecto regulatorio</w:t>
            </w:r>
            <w:r w:rsidR="00E64A19">
              <w:rPr>
                <w:webHidden/>
              </w:rPr>
              <w:tab/>
            </w:r>
            <w:r w:rsidR="00E64A19">
              <w:rPr>
                <w:webHidden/>
              </w:rPr>
              <w:fldChar w:fldCharType="begin"/>
            </w:r>
            <w:r w:rsidR="00E64A19">
              <w:rPr>
                <w:webHidden/>
              </w:rPr>
              <w:instrText xml:space="preserve"> PAGEREF _Toc167802963 \h </w:instrText>
            </w:r>
            <w:r w:rsidR="00E64A19">
              <w:rPr>
                <w:webHidden/>
              </w:rPr>
            </w:r>
            <w:r w:rsidR="00E64A19">
              <w:rPr>
                <w:webHidden/>
              </w:rPr>
              <w:fldChar w:fldCharType="separate"/>
            </w:r>
            <w:r w:rsidR="00E64A19">
              <w:rPr>
                <w:webHidden/>
              </w:rPr>
              <w:t>5</w:t>
            </w:r>
            <w:r w:rsidR="00E64A19">
              <w:rPr>
                <w:webHidden/>
              </w:rPr>
              <w:fldChar w:fldCharType="end"/>
            </w:r>
          </w:hyperlink>
        </w:p>
        <w:p w14:paraId="73545734" w14:textId="35ABB0D9" w:rsidR="00E64A1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802964" w:history="1">
            <w:r w:rsidR="00E64A19" w:rsidRPr="003A1030">
              <w:rPr>
                <w:rStyle w:val="Hipervnculo"/>
                <w:noProof/>
              </w:rPr>
              <w:t>4.1.1</w:t>
            </w:r>
            <w:r w:rsidR="00E64A19">
              <w:rPr>
                <w:rFonts w:asciiTheme="minorHAnsi" w:eastAsiaTheme="minorEastAsia" w:hAnsiTheme="minorHAnsi" w:cstheme="minorBidi"/>
                <w:noProof/>
                <w:kern w:val="2"/>
                <w:lang w:val="es-CO" w:eastAsia="es-CO"/>
                <w14:ligatures w14:val="standardContextual"/>
              </w:rPr>
              <w:tab/>
            </w:r>
            <w:r w:rsidR="00E64A19" w:rsidRPr="003A1030">
              <w:rPr>
                <w:rStyle w:val="Hipervnculo"/>
                <w:noProof/>
              </w:rPr>
              <w:t>Alternativa 1: No realizar cambios</w:t>
            </w:r>
            <w:r w:rsidR="00E64A19">
              <w:rPr>
                <w:noProof/>
                <w:webHidden/>
              </w:rPr>
              <w:tab/>
            </w:r>
            <w:r w:rsidR="00E64A19">
              <w:rPr>
                <w:noProof/>
                <w:webHidden/>
              </w:rPr>
              <w:fldChar w:fldCharType="begin"/>
            </w:r>
            <w:r w:rsidR="00E64A19">
              <w:rPr>
                <w:noProof/>
                <w:webHidden/>
              </w:rPr>
              <w:instrText xml:space="preserve"> PAGEREF _Toc167802964 \h </w:instrText>
            </w:r>
            <w:r w:rsidR="00E64A19">
              <w:rPr>
                <w:noProof/>
                <w:webHidden/>
              </w:rPr>
            </w:r>
            <w:r w:rsidR="00E64A19">
              <w:rPr>
                <w:noProof/>
                <w:webHidden/>
              </w:rPr>
              <w:fldChar w:fldCharType="separate"/>
            </w:r>
            <w:r w:rsidR="00E64A19">
              <w:rPr>
                <w:noProof/>
                <w:webHidden/>
              </w:rPr>
              <w:t>10</w:t>
            </w:r>
            <w:r w:rsidR="00E64A19">
              <w:rPr>
                <w:noProof/>
                <w:webHidden/>
              </w:rPr>
              <w:fldChar w:fldCharType="end"/>
            </w:r>
          </w:hyperlink>
        </w:p>
        <w:p w14:paraId="05A268CB" w14:textId="1CD32D5C" w:rsidR="00E64A1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802965" w:history="1">
            <w:r w:rsidR="00E64A19" w:rsidRPr="003A1030">
              <w:rPr>
                <w:rStyle w:val="Hipervnculo"/>
                <w:noProof/>
              </w:rPr>
              <w:t>4.1.2</w:t>
            </w:r>
            <w:r w:rsidR="00E64A19">
              <w:rPr>
                <w:rFonts w:asciiTheme="minorHAnsi" w:eastAsiaTheme="minorEastAsia" w:hAnsiTheme="minorHAnsi" w:cstheme="minorBidi"/>
                <w:noProof/>
                <w:kern w:val="2"/>
                <w:lang w:val="es-CO" w:eastAsia="es-CO"/>
                <w14:ligatures w14:val="standardContextual"/>
              </w:rPr>
              <w:tab/>
            </w:r>
            <w:r w:rsidR="00E64A19" w:rsidRPr="003A1030">
              <w:rPr>
                <w:rStyle w:val="Hipervnculo"/>
                <w:noProof/>
              </w:rPr>
              <w:t>Alternativa 2: Modificar factor de ajuste solo para plantas solares</w:t>
            </w:r>
            <w:r w:rsidR="00E64A19">
              <w:rPr>
                <w:noProof/>
                <w:webHidden/>
              </w:rPr>
              <w:tab/>
            </w:r>
            <w:r w:rsidR="00E64A19">
              <w:rPr>
                <w:noProof/>
                <w:webHidden/>
              </w:rPr>
              <w:fldChar w:fldCharType="begin"/>
            </w:r>
            <w:r w:rsidR="00E64A19">
              <w:rPr>
                <w:noProof/>
                <w:webHidden/>
              </w:rPr>
              <w:instrText xml:space="preserve"> PAGEREF _Toc167802965 \h </w:instrText>
            </w:r>
            <w:r w:rsidR="00E64A19">
              <w:rPr>
                <w:noProof/>
                <w:webHidden/>
              </w:rPr>
            </w:r>
            <w:r w:rsidR="00E64A19">
              <w:rPr>
                <w:noProof/>
                <w:webHidden/>
              </w:rPr>
              <w:fldChar w:fldCharType="separate"/>
            </w:r>
            <w:r w:rsidR="00E64A19">
              <w:rPr>
                <w:noProof/>
                <w:webHidden/>
              </w:rPr>
              <w:t>10</w:t>
            </w:r>
            <w:r w:rsidR="00E64A19">
              <w:rPr>
                <w:noProof/>
                <w:webHidden/>
              </w:rPr>
              <w:fldChar w:fldCharType="end"/>
            </w:r>
          </w:hyperlink>
        </w:p>
        <w:p w14:paraId="429AF3CF" w14:textId="4E6554AD" w:rsidR="00E64A19" w:rsidRDefault="00000000">
          <w:pPr>
            <w:pStyle w:val="TDC2"/>
            <w:rPr>
              <w:rFonts w:asciiTheme="minorHAnsi" w:eastAsiaTheme="minorEastAsia" w:hAnsiTheme="minorHAnsi" w:cstheme="minorBidi"/>
              <w:kern w:val="2"/>
              <w:lang w:val="es-CO" w:eastAsia="es-CO"/>
              <w14:ligatures w14:val="standardContextual"/>
            </w:rPr>
          </w:pPr>
          <w:hyperlink w:anchor="_Toc167802966" w:history="1">
            <w:r w:rsidR="00E64A19" w:rsidRPr="003A1030">
              <w:rPr>
                <w:rStyle w:val="Hipervnculo"/>
                <w:rFonts w:cs="Arial"/>
              </w:rPr>
              <w:t>4.2</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Propuesta proyecto de Resolución CREG 701 043 de 2024</w:t>
            </w:r>
            <w:r w:rsidR="00E64A19">
              <w:rPr>
                <w:webHidden/>
              </w:rPr>
              <w:tab/>
            </w:r>
            <w:r w:rsidR="00E64A19">
              <w:rPr>
                <w:webHidden/>
              </w:rPr>
              <w:fldChar w:fldCharType="begin"/>
            </w:r>
            <w:r w:rsidR="00E64A19">
              <w:rPr>
                <w:webHidden/>
              </w:rPr>
              <w:instrText xml:space="preserve"> PAGEREF _Toc167802966 \h </w:instrText>
            </w:r>
            <w:r w:rsidR="00E64A19">
              <w:rPr>
                <w:webHidden/>
              </w:rPr>
            </w:r>
            <w:r w:rsidR="00E64A19">
              <w:rPr>
                <w:webHidden/>
              </w:rPr>
              <w:fldChar w:fldCharType="separate"/>
            </w:r>
            <w:r w:rsidR="00E64A19">
              <w:rPr>
                <w:webHidden/>
              </w:rPr>
              <w:t>11</w:t>
            </w:r>
            <w:r w:rsidR="00E64A19">
              <w:rPr>
                <w:webHidden/>
              </w:rPr>
              <w:fldChar w:fldCharType="end"/>
            </w:r>
          </w:hyperlink>
        </w:p>
        <w:p w14:paraId="4D8831A7" w14:textId="397B0E70" w:rsidR="00E64A1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802967" w:history="1">
            <w:r w:rsidR="00E64A19" w:rsidRPr="003A1030">
              <w:rPr>
                <w:rStyle w:val="Hipervnculo"/>
                <w:noProof/>
              </w:rPr>
              <w:t>4.2.1</w:t>
            </w:r>
            <w:r w:rsidR="00E64A19">
              <w:rPr>
                <w:rFonts w:asciiTheme="minorHAnsi" w:eastAsiaTheme="minorEastAsia" w:hAnsiTheme="minorHAnsi" w:cstheme="minorBidi"/>
                <w:noProof/>
                <w:kern w:val="2"/>
                <w:lang w:val="es-CO" w:eastAsia="es-CO"/>
                <w14:ligatures w14:val="standardContextual"/>
              </w:rPr>
              <w:tab/>
            </w:r>
            <w:r w:rsidR="00E64A19" w:rsidRPr="003A1030">
              <w:rPr>
                <w:rStyle w:val="Hipervnculo"/>
                <w:noProof/>
              </w:rPr>
              <w:t xml:space="preserve">Análisis de impacto de la propuesta en la </w:t>
            </w:r>
            <w:r w:rsidR="00E64A19" w:rsidRPr="003A1030">
              <w:rPr>
                <w:rStyle w:val="Hipervnculo"/>
                <w:rFonts w:cs="Arial"/>
                <w:noProof/>
              </w:rPr>
              <w:t>Resolución CREG 701 043 de 2024</w:t>
            </w:r>
            <w:r w:rsidR="00E64A19">
              <w:rPr>
                <w:noProof/>
                <w:webHidden/>
              </w:rPr>
              <w:tab/>
            </w:r>
            <w:r w:rsidR="00E64A19">
              <w:rPr>
                <w:noProof/>
                <w:webHidden/>
              </w:rPr>
              <w:fldChar w:fldCharType="begin"/>
            </w:r>
            <w:r w:rsidR="00E64A19">
              <w:rPr>
                <w:noProof/>
                <w:webHidden/>
              </w:rPr>
              <w:instrText xml:space="preserve"> PAGEREF _Toc167802967 \h </w:instrText>
            </w:r>
            <w:r w:rsidR="00E64A19">
              <w:rPr>
                <w:noProof/>
                <w:webHidden/>
              </w:rPr>
            </w:r>
            <w:r w:rsidR="00E64A19">
              <w:rPr>
                <w:noProof/>
                <w:webHidden/>
              </w:rPr>
              <w:fldChar w:fldCharType="separate"/>
            </w:r>
            <w:r w:rsidR="00E64A19">
              <w:rPr>
                <w:noProof/>
                <w:webHidden/>
              </w:rPr>
              <w:t>12</w:t>
            </w:r>
            <w:r w:rsidR="00E64A19">
              <w:rPr>
                <w:noProof/>
                <w:webHidden/>
              </w:rPr>
              <w:fldChar w:fldCharType="end"/>
            </w:r>
          </w:hyperlink>
        </w:p>
        <w:p w14:paraId="7CE5AB41" w14:textId="1F869FB3"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68" w:history="1">
            <w:r w:rsidR="00E64A19" w:rsidRPr="003A1030">
              <w:rPr>
                <w:rStyle w:val="Hipervnculo"/>
                <w:rFonts w:cs="Arial"/>
              </w:rPr>
              <w:t>5.</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ANÁLISIS DE COMENTARIOS</w:t>
            </w:r>
            <w:r w:rsidR="00E64A19">
              <w:rPr>
                <w:webHidden/>
              </w:rPr>
              <w:tab/>
            </w:r>
            <w:r w:rsidR="00E64A19">
              <w:rPr>
                <w:webHidden/>
              </w:rPr>
              <w:fldChar w:fldCharType="begin"/>
            </w:r>
            <w:r w:rsidR="00E64A19">
              <w:rPr>
                <w:webHidden/>
              </w:rPr>
              <w:instrText xml:space="preserve"> PAGEREF _Toc167802968 \h </w:instrText>
            </w:r>
            <w:r w:rsidR="00E64A19">
              <w:rPr>
                <w:webHidden/>
              </w:rPr>
            </w:r>
            <w:r w:rsidR="00E64A19">
              <w:rPr>
                <w:webHidden/>
              </w:rPr>
              <w:fldChar w:fldCharType="separate"/>
            </w:r>
            <w:r w:rsidR="00E64A19">
              <w:rPr>
                <w:webHidden/>
              </w:rPr>
              <w:t>13</w:t>
            </w:r>
            <w:r w:rsidR="00E64A19">
              <w:rPr>
                <w:webHidden/>
              </w:rPr>
              <w:fldChar w:fldCharType="end"/>
            </w:r>
          </w:hyperlink>
        </w:p>
        <w:p w14:paraId="11E7E9C8" w14:textId="7251C842"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69" w:history="1">
            <w:r w:rsidR="00E64A19" w:rsidRPr="003A1030">
              <w:rPr>
                <w:rStyle w:val="Hipervnculo"/>
                <w:rFonts w:cs="Arial"/>
              </w:rPr>
              <w:t>6.</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CONCLUSIÓN</w:t>
            </w:r>
            <w:r w:rsidR="00E64A19">
              <w:rPr>
                <w:webHidden/>
              </w:rPr>
              <w:tab/>
            </w:r>
            <w:r w:rsidR="00E64A19">
              <w:rPr>
                <w:webHidden/>
              </w:rPr>
              <w:fldChar w:fldCharType="begin"/>
            </w:r>
            <w:r w:rsidR="00E64A19">
              <w:rPr>
                <w:webHidden/>
              </w:rPr>
              <w:instrText xml:space="preserve"> PAGEREF _Toc167802969 \h </w:instrText>
            </w:r>
            <w:r w:rsidR="00E64A19">
              <w:rPr>
                <w:webHidden/>
              </w:rPr>
            </w:r>
            <w:r w:rsidR="00E64A19">
              <w:rPr>
                <w:webHidden/>
              </w:rPr>
              <w:fldChar w:fldCharType="separate"/>
            </w:r>
            <w:r w:rsidR="00E64A19">
              <w:rPr>
                <w:webHidden/>
              </w:rPr>
              <w:t>18</w:t>
            </w:r>
            <w:r w:rsidR="00E64A19">
              <w:rPr>
                <w:webHidden/>
              </w:rPr>
              <w:fldChar w:fldCharType="end"/>
            </w:r>
          </w:hyperlink>
        </w:p>
        <w:p w14:paraId="0900593A" w14:textId="3D770E25" w:rsidR="00E64A19" w:rsidRDefault="00000000">
          <w:pPr>
            <w:pStyle w:val="TDC1"/>
            <w:rPr>
              <w:rFonts w:asciiTheme="minorHAnsi" w:eastAsiaTheme="minorEastAsia" w:hAnsiTheme="minorHAnsi" w:cstheme="minorBidi"/>
              <w:kern w:val="2"/>
              <w:lang w:val="es-CO" w:eastAsia="es-CO"/>
              <w14:ligatures w14:val="standardContextual"/>
            </w:rPr>
          </w:pPr>
          <w:hyperlink w:anchor="_Toc167802970" w:history="1">
            <w:r w:rsidR="00E64A19" w:rsidRPr="003A1030">
              <w:rPr>
                <w:rStyle w:val="Hipervnculo"/>
                <w:rFonts w:cs="Arial"/>
              </w:rPr>
              <w:t>7.</w:t>
            </w:r>
            <w:r w:rsidR="00E64A19">
              <w:rPr>
                <w:rFonts w:asciiTheme="minorHAnsi" w:eastAsiaTheme="minorEastAsia" w:hAnsiTheme="minorHAnsi" w:cstheme="minorBidi"/>
                <w:kern w:val="2"/>
                <w:lang w:val="es-CO" w:eastAsia="es-CO"/>
                <w14:ligatures w14:val="standardContextual"/>
              </w:rPr>
              <w:tab/>
            </w:r>
            <w:r w:rsidR="00E64A19" w:rsidRPr="003A1030">
              <w:rPr>
                <w:rStyle w:val="Hipervnculo"/>
                <w:rFonts w:cs="Arial"/>
              </w:rPr>
              <w:t>CUESTIONARIO DE ABOGACIA DE LA COMPETENCIA -SIC</w:t>
            </w:r>
            <w:r w:rsidR="00E64A19">
              <w:rPr>
                <w:webHidden/>
              </w:rPr>
              <w:tab/>
            </w:r>
            <w:r w:rsidR="00E64A19">
              <w:rPr>
                <w:webHidden/>
              </w:rPr>
              <w:fldChar w:fldCharType="begin"/>
            </w:r>
            <w:r w:rsidR="00E64A19">
              <w:rPr>
                <w:webHidden/>
              </w:rPr>
              <w:instrText xml:space="preserve"> PAGEREF _Toc167802970 \h </w:instrText>
            </w:r>
            <w:r w:rsidR="00E64A19">
              <w:rPr>
                <w:webHidden/>
              </w:rPr>
            </w:r>
            <w:r w:rsidR="00E64A19">
              <w:rPr>
                <w:webHidden/>
              </w:rPr>
              <w:fldChar w:fldCharType="separate"/>
            </w:r>
            <w:r w:rsidR="00E64A19">
              <w:rPr>
                <w:webHidden/>
              </w:rPr>
              <w:t>19</w:t>
            </w:r>
            <w:r w:rsidR="00E64A19">
              <w:rPr>
                <w:webHidden/>
              </w:rPr>
              <w:fldChar w:fldCharType="end"/>
            </w:r>
          </w:hyperlink>
        </w:p>
        <w:p w14:paraId="53E75974" w14:textId="6D6BC90E" w:rsidR="003032EB" w:rsidRPr="00A26F9B" w:rsidRDefault="003032EB" w:rsidP="003032EB">
          <w:pPr>
            <w:spacing w:line="360" w:lineRule="auto"/>
            <w:rPr>
              <w:rFonts w:cs="Arial"/>
              <w:szCs w:val="24"/>
            </w:rPr>
          </w:pPr>
          <w:r w:rsidRPr="00A26F9B">
            <w:rPr>
              <w:rFonts w:cs="Arial"/>
              <w:b/>
              <w:bCs/>
              <w:szCs w:val="24"/>
              <w:lang w:val="es-ES"/>
            </w:rPr>
            <w:fldChar w:fldCharType="end"/>
          </w:r>
        </w:p>
      </w:sdtContent>
    </w:sdt>
    <w:p w14:paraId="6D5F879C" w14:textId="77777777" w:rsidR="003032EB" w:rsidRPr="002D644E" w:rsidRDefault="003032EB" w:rsidP="003032EB">
      <w:pPr>
        <w:rPr>
          <w:rFonts w:cs="Arial"/>
          <w:lang w:val="es-ES"/>
        </w:rPr>
      </w:pPr>
    </w:p>
    <w:p w14:paraId="04E26F06" w14:textId="77777777" w:rsidR="003032EB" w:rsidRPr="008C7EE6" w:rsidRDefault="003032EB" w:rsidP="003032EB">
      <w:pPr>
        <w:pStyle w:val="Tabladeilustraciones"/>
        <w:rPr>
          <w:rFonts w:cs="Arial"/>
          <w:b/>
          <w:bCs/>
          <w:color w:val="4472C4" w:themeColor="accent5"/>
          <w:sz w:val="36"/>
          <w:szCs w:val="36"/>
          <w:lang w:val="es-ES"/>
        </w:rPr>
      </w:pPr>
      <w:r w:rsidRPr="008C7EE6">
        <w:rPr>
          <w:rFonts w:cs="Arial"/>
          <w:b/>
          <w:bCs/>
          <w:color w:val="4472C4" w:themeColor="accent5"/>
          <w:sz w:val="36"/>
          <w:szCs w:val="36"/>
          <w:lang w:val="es-ES"/>
        </w:rPr>
        <w:t>Tablas</w:t>
      </w:r>
    </w:p>
    <w:p w14:paraId="7DC9FCB0" w14:textId="77777777" w:rsidR="003032EB" w:rsidRDefault="003032EB" w:rsidP="003032EB">
      <w:pPr>
        <w:jc w:val="left"/>
        <w:rPr>
          <w:rFonts w:cs="Arial"/>
          <w:szCs w:val="24"/>
          <w:highlight w:val="yellow"/>
        </w:rPr>
      </w:pPr>
    </w:p>
    <w:p w14:paraId="48EFDF07" w14:textId="77777777" w:rsidR="003032EB" w:rsidRDefault="003032EB" w:rsidP="003032EB">
      <w:pPr>
        <w:jc w:val="left"/>
        <w:rPr>
          <w:rFonts w:cs="Arial"/>
          <w:szCs w:val="24"/>
          <w:highlight w:val="yellow"/>
        </w:rPr>
      </w:pPr>
    </w:p>
    <w:p w14:paraId="67F099AE" w14:textId="20464BE8" w:rsidR="00E64A19" w:rsidRDefault="003032EB">
      <w:pPr>
        <w:pStyle w:val="Tabladeilustraciones"/>
        <w:rPr>
          <w:rFonts w:asciiTheme="minorHAnsi" w:eastAsiaTheme="minorEastAsia" w:hAnsiTheme="minorHAnsi" w:cstheme="minorBidi"/>
          <w:kern w:val="2"/>
          <w:szCs w:val="24"/>
          <w:lang w:val="es-CO" w:eastAsia="es-CO"/>
          <w14:ligatures w14:val="standardContextual"/>
        </w:rPr>
      </w:pPr>
      <w:r>
        <w:rPr>
          <w:rFonts w:cs="Arial"/>
          <w:szCs w:val="24"/>
          <w:highlight w:val="yellow"/>
        </w:rPr>
        <w:fldChar w:fldCharType="begin"/>
      </w:r>
      <w:r>
        <w:rPr>
          <w:rFonts w:cs="Arial"/>
          <w:szCs w:val="24"/>
          <w:highlight w:val="yellow"/>
        </w:rPr>
        <w:instrText xml:space="preserve"> TOC \h \z \c "Tabla" </w:instrText>
      </w:r>
      <w:r>
        <w:rPr>
          <w:rFonts w:cs="Arial"/>
          <w:szCs w:val="24"/>
          <w:highlight w:val="yellow"/>
        </w:rPr>
        <w:fldChar w:fldCharType="separate"/>
      </w:r>
      <w:hyperlink w:anchor="_Toc167802971" w:history="1">
        <w:r w:rsidR="00E64A19" w:rsidRPr="00C51D1A">
          <w:rPr>
            <w:rStyle w:val="Hipervnculo"/>
          </w:rPr>
          <w:t>Tabla 1 Cuadro comparativo resumen para plantas eólicas: literatura, Estudio Ser Colombia y análisis CND</w:t>
        </w:r>
        <w:r w:rsidR="00E64A19">
          <w:rPr>
            <w:webHidden/>
          </w:rPr>
          <w:tab/>
        </w:r>
        <w:r w:rsidR="00E64A19">
          <w:rPr>
            <w:webHidden/>
          </w:rPr>
          <w:fldChar w:fldCharType="begin"/>
        </w:r>
        <w:r w:rsidR="00E64A19">
          <w:rPr>
            <w:webHidden/>
          </w:rPr>
          <w:instrText xml:space="preserve"> PAGEREF _Toc167802971 \h </w:instrText>
        </w:r>
        <w:r w:rsidR="00E64A19">
          <w:rPr>
            <w:webHidden/>
          </w:rPr>
        </w:r>
        <w:r w:rsidR="00E64A19">
          <w:rPr>
            <w:webHidden/>
          </w:rPr>
          <w:fldChar w:fldCharType="separate"/>
        </w:r>
        <w:r w:rsidR="00E64A19">
          <w:rPr>
            <w:webHidden/>
          </w:rPr>
          <w:t>10</w:t>
        </w:r>
        <w:r w:rsidR="00E64A19">
          <w:rPr>
            <w:webHidden/>
          </w:rPr>
          <w:fldChar w:fldCharType="end"/>
        </w:r>
      </w:hyperlink>
    </w:p>
    <w:p w14:paraId="14448F8A" w14:textId="0470F156" w:rsidR="00E64A1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802972" w:history="1">
        <w:r w:rsidR="00E64A19" w:rsidRPr="00C51D1A">
          <w:rPr>
            <w:rStyle w:val="Hipervnculo"/>
          </w:rPr>
          <w:t>Tabla 2 Cuadro comparativo resumen para plantas solares: literatura, Estudio Ser Colombia, SolarGIS y análisis CND</w:t>
        </w:r>
        <w:r w:rsidR="00E64A19">
          <w:rPr>
            <w:webHidden/>
          </w:rPr>
          <w:tab/>
        </w:r>
        <w:r w:rsidR="00E64A19">
          <w:rPr>
            <w:webHidden/>
          </w:rPr>
          <w:fldChar w:fldCharType="begin"/>
        </w:r>
        <w:r w:rsidR="00E64A19">
          <w:rPr>
            <w:webHidden/>
          </w:rPr>
          <w:instrText xml:space="preserve"> PAGEREF _Toc167802972 \h </w:instrText>
        </w:r>
        <w:r w:rsidR="00E64A19">
          <w:rPr>
            <w:webHidden/>
          </w:rPr>
        </w:r>
        <w:r w:rsidR="00E64A19">
          <w:rPr>
            <w:webHidden/>
          </w:rPr>
          <w:fldChar w:fldCharType="separate"/>
        </w:r>
        <w:r w:rsidR="00E64A19">
          <w:rPr>
            <w:webHidden/>
          </w:rPr>
          <w:t>11</w:t>
        </w:r>
        <w:r w:rsidR="00E64A19">
          <w:rPr>
            <w:webHidden/>
          </w:rPr>
          <w:fldChar w:fldCharType="end"/>
        </w:r>
      </w:hyperlink>
    </w:p>
    <w:p w14:paraId="2543671E" w14:textId="09EF57FF" w:rsidR="00E64A1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802973" w:history="1">
        <w:r w:rsidR="00E64A19" w:rsidRPr="00C51D1A">
          <w:rPr>
            <w:rStyle w:val="Hipervnculo"/>
          </w:rPr>
          <w:t>Tabla 3 Resultados ENFICC y OEF solo plantas solares Subasta Cargo por Confiabilidad 2027-2028</w:t>
        </w:r>
        <w:r w:rsidR="00E64A19">
          <w:rPr>
            <w:webHidden/>
          </w:rPr>
          <w:tab/>
        </w:r>
        <w:r w:rsidR="00E64A19">
          <w:rPr>
            <w:webHidden/>
          </w:rPr>
          <w:fldChar w:fldCharType="begin"/>
        </w:r>
        <w:r w:rsidR="00E64A19">
          <w:rPr>
            <w:webHidden/>
          </w:rPr>
          <w:instrText xml:space="preserve"> PAGEREF _Toc167802973 \h </w:instrText>
        </w:r>
        <w:r w:rsidR="00E64A19">
          <w:rPr>
            <w:webHidden/>
          </w:rPr>
        </w:r>
        <w:r w:rsidR="00E64A19">
          <w:rPr>
            <w:webHidden/>
          </w:rPr>
          <w:fldChar w:fldCharType="separate"/>
        </w:r>
        <w:r w:rsidR="00E64A19">
          <w:rPr>
            <w:webHidden/>
          </w:rPr>
          <w:t>12</w:t>
        </w:r>
        <w:r w:rsidR="00E64A19">
          <w:rPr>
            <w:webHidden/>
          </w:rPr>
          <w:fldChar w:fldCharType="end"/>
        </w:r>
      </w:hyperlink>
    </w:p>
    <w:p w14:paraId="25D7B667" w14:textId="54D68C36" w:rsidR="00E64A1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802974" w:history="1">
        <w:r w:rsidR="00E64A19" w:rsidRPr="00C51D1A">
          <w:rPr>
            <w:rStyle w:val="Hipervnculo"/>
          </w:rPr>
          <w:t>Tabla 4 Resultados asumiendo un valor de 0,8 respecto de los resultados de la subasta 2027-2028</w:t>
        </w:r>
        <w:r w:rsidR="00E64A19">
          <w:rPr>
            <w:webHidden/>
          </w:rPr>
          <w:tab/>
        </w:r>
        <w:r w:rsidR="00E64A19">
          <w:rPr>
            <w:webHidden/>
          </w:rPr>
          <w:fldChar w:fldCharType="begin"/>
        </w:r>
        <w:r w:rsidR="00E64A19">
          <w:rPr>
            <w:webHidden/>
          </w:rPr>
          <w:instrText xml:space="preserve"> PAGEREF _Toc167802974 \h </w:instrText>
        </w:r>
        <w:r w:rsidR="00E64A19">
          <w:rPr>
            <w:webHidden/>
          </w:rPr>
        </w:r>
        <w:r w:rsidR="00E64A19">
          <w:rPr>
            <w:webHidden/>
          </w:rPr>
          <w:fldChar w:fldCharType="separate"/>
        </w:r>
        <w:r w:rsidR="00E64A19">
          <w:rPr>
            <w:webHidden/>
          </w:rPr>
          <w:t>12</w:t>
        </w:r>
        <w:r w:rsidR="00E64A19">
          <w:rPr>
            <w:webHidden/>
          </w:rPr>
          <w:fldChar w:fldCharType="end"/>
        </w:r>
      </w:hyperlink>
    </w:p>
    <w:p w14:paraId="5F7D525A" w14:textId="6AC32067" w:rsidR="00E64A1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802975" w:history="1">
        <w:r w:rsidR="00E64A19" w:rsidRPr="00C51D1A">
          <w:rPr>
            <w:rStyle w:val="Hipervnculo"/>
          </w:rPr>
          <w:t>Tabla 5 Lista de remitentes que enviaron comentarios a la consulta</w:t>
        </w:r>
        <w:r w:rsidR="00E64A19">
          <w:rPr>
            <w:webHidden/>
          </w:rPr>
          <w:tab/>
        </w:r>
        <w:r w:rsidR="00E64A19">
          <w:rPr>
            <w:webHidden/>
          </w:rPr>
          <w:fldChar w:fldCharType="begin"/>
        </w:r>
        <w:r w:rsidR="00E64A19">
          <w:rPr>
            <w:webHidden/>
          </w:rPr>
          <w:instrText xml:space="preserve"> PAGEREF _Toc167802975 \h </w:instrText>
        </w:r>
        <w:r w:rsidR="00E64A19">
          <w:rPr>
            <w:webHidden/>
          </w:rPr>
        </w:r>
        <w:r w:rsidR="00E64A19">
          <w:rPr>
            <w:webHidden/>
          </w:rPr>
          <w:fldChar w:fldCharType="separate"/>
        </w:r>
        <w:r w:rsidR="00E64A19">
          <w:rPr>
            <w:webHidden/>
          </w:rPr>
          <w:t>13</w:t>
        </w:r>
        <w:r w:rsidR="00E64A19">
          <w:rPr>
            <w:webHidden/>
          </w:rPr>
          <w:fldChar w:fldCharType="end"/>
        </w:r>
      </w:hyperlink>
    </w:p>
    <w:p w14:paraId="76A2FCBA" w14:textId="65CD24BA" w:rsidR="003032EB" w:rsidRPr="002D644E" w:rsidRDefault="003032EB" w:rsidP="003032EB">
      <w:pPr>
        <w:pStyle w:val="Tabladeilustraciones"/>
        <w:rPr>
          <w:rFonts w:cs="Arial"/>
          <w:b/>
          <w:bCs/>
          <w:color w:val="4472C4" w:themeColor="accent5"/>
          <w:szCs w:val="24"/>
          <w:lang w:val="es-ES"/>
        </w:rPr>
      </w:pPr>
      <w:r>
        <w:rPr>
          <w:rFonts w:cs="Arial"/>
          <w:szCs w:val="24"/>
          <w:highlight w:val="yellow"/>
        </w:rPr>
        <w:fldChar w:fldCharType="end"/>
      </w:r>
    </w:p>
    <w:p w14:paraId="65C672D0" w14:textId="77777777" w:rsidR="003032EB" w:rsidRPr="002D644E" w:rsidRDefault="003032EB" w:rsidP="003032EB">
      <w:pPr>
        <w:jc w:val="left"/>
        <w:rPr>
          <w:rFonts w:cs="Arial"/>
          <w:szCs w:val="24"/>
          <w:highlight w:val="yellow"/>
        </w:rPr>
      </w:pPr>
      <w:r w:rsidRPr="002D644E">
        <w:rPr>
          <w:rFonts w:cs="Arial"/>
          <w:szCs w:val="24"/>
          <w:highlight w:val="yellow"/>
        </w:rPr>
        <w:br w:type="page"/>
      </w:r>
    </w:p>
    <w:p w14:paraId="00C81AEF" w14:textId="77777777" w:rsidR="003032EB" w:rsidRDefault="003032EB" w:rsidP="003032EB">
      <w:pPr>
        <w:jc w:val="center"/>
        <w:rPr>
          <w:rFonts w:cs="Arial"/>
          <w:b/>
          <w:szCs w:val="24"/>
        </w:rPr>
      </w:pPr>
    </w:p>
    <w:p w14:paraId="17BDE36C" w14:textId="3C44830F" w:rsidR="003032EB" w:rsidRDefault="003032EB" w:rsidP="003032EB">
      <w:pPr>
        <w:jc w:val="center"/>
        <w:rPr>
          <w:rFonts w:cs="Arial"/>
          <w:b/>
          <w:szCs w:val="24"/>
        </w:rPr>
      </w:pPr>
      <w:r w:rsidRPr="00395323">
        <w:rPr>
          <w:rFonts w:cs="Arial"/>
          <w:b/>
          <w:szCs w:val="24"/>
        </w:rPr>
        <w:t xml:space="preserve">AJUSTE AL CÁLCULO DE </w:t>
      </w:r>
      <w:proofErr w:type="spellStart"/>
      <w:r w:rsidRPr="00395323">
        <w:rPr>
          <w:rFonts w:cs="Arial"/>
          <w:b/>
          <w:szCs w:val="24"/>
        </w:rPr>
        <w:t>ENFICC</w:t>
      </w:r>
      <w:proofErr w:type="spellEnd"/>
      <w:r w:rsidRPr="00395323">
        <w:rPr>
          <w:rFonts w:cs="Arial"/>
          <w:b/>
          <w:szCs w:val="24"/>
        </w:rPr>
        <w:t xml:space="preserve"> DE PLANTAS SOLARES FOTOVOLTAICAS Y EÓLICAS </w:t>
      </w:r>
      <w:r w:rsidR="00D154C1">
        <w:rPr>
          <w:rFonts w:cs="Arial"/>
          <w:b/>
          <w:szCs w:val="24"/>
        </w:rPr>
        <w:t xml:space="preserve">SOLAMENTE </w:t>
      </w:r>
      <w:proofErr w:type="gramStart"/>
      <w:r w:rsidR="00D154C1">
        <w:rPr>
          <w:rFonts w:cs="Arial"/>
          <w:b/>
          <w:szCs w:val="24"/>
        </w:rPr>
        <w:t xml:space="preserve">CON </w:t>
      </w:r>
      <w:r w:rsidRPr="00395323">
        <w:rPr>
          <w:rFonts w:cs="Arial"/>
          <w:b/>
          <w:szCs w:val="24"/>
        </w:rPr>
        <w:t xml:space="preserve"> INFORMACIÓN</w:t>
      </w:r>
      <w:proofErr w:type="gramEnd"/>
      <w:r w:rsidRPr="00395323">
        <w:rPr>
          <w:rFonts w:cs="Arial"/>
          <w:b/>
          <w:szCs w:val="24"/>
        </w:rPr>
        <w:t xml:space="preserve"> SECUNDARIA</w:t>
      </w:r>
    </w:p>
    <w:p w14:paraId="6ACA5A3C" w14:textId="77777777" w:rsidR="003032EB" w:rsidRDefault="003032EB" w:rsidP="003032EB">
      <w:pPr>
        <w:jc w:val="center"/>
        <w:rPr>
          <w:rFonts w:cs="Arial"/>
          <w:b/>
          <w:szCs w:val="24"/>
        </w:rPr>
      </w:pPr>
    </w:p>
    <w:p w14:paraId="6FF49762" w14:textId="77777777" w:rsidR="003032EB" w:rsidRDefault="003032EB" w:rsidP="003032EB">
      <w:pPr>
        <w:rPr>
          <w:rFonts w:cs="Arial"/>
          <w:szCs w:val="24"/>
        </w:rPr>
      </w:pPr>
    </w:p>
    <w:p w14:paraId="6B731181" w14:textId="77777777" w:rsidR="00D154C1" w:rsidRDefault="00D154C1" w:rsidP="00D154C1">
      <w:pPr>
        <w:jc w:val="center"/>
        <w:rPr>
          <w:rFonts w:cs="Arial"/>
          <w:b/>
          <w:szCs w:val="24"/>
        </w:rPr>
      </w:pPr>
      <w:r w:rsidRPr="00395323">
        <w:rPr>
          <w:rFonts w:cs="Arial"/>
          <w:b/>
          <w:szCs w:val="24"/>
        </w:rPr>
        <w:t xml:space="preserve">ANÁLISIS DE COMENTARIOS RESOLUCIÓN CREG 701 043 DE 2024. </w:t>
      </w:r>
    </w:p>
    <w:p w14:paraId="02E1929B" w14:textId="77777777" w:rsidR="00D154C1" w:rsidRDefault="00D154C1" w:rsidP="003032EB">
      <w:pPr>
        <w:rPr>
          <w:rFonts w:cs="Arial"/>
          <w:szCs w:val="24"/>
        </w:rPr>
      </w:pPr>
    </w:p>
    <w:p w14:paraId="06938877" w14:textId="77777777" w:rsidR="00D154C1" w:rsidRPr="00D962F4" w:rsidRDefault="00D154C1" w:rsidP="003032EB">
      <w:pPr>
        <w:rPr>
          <w:rFonts w:cs="Arial"/>
          <w:szCs w:val="24"/>
        </w:rPr>
      </w:pPr>
    </w:p>
    <w:p w14:paraId="15607C45" w14:textId="77777777" w:rsidR="003032EB" w:rsidRPr="00DA77DB" w:rsidRDefault="003032EB" w:rsidP="003032EB">
      <w:pPr>
        <w:pStyle w:val="Ttulo1"/>
        <w:numPr>
          <w:ilvl w:val="0"/>
          <w:numId w:val="1"/>
        </w:numPr>
        <w:spacing w:after="0"/>
        <w:rPr>
          <w:rFonts w:cs="Arial"/>
          <w:szCs w:val="24"/>
        </w:rPr>
      </w:pPr>
      <w:bookmarkStart w:id="0" w:name="_Toc167802959"/>
      <w:bookmarkStart w:id="1" w:name="_Toc38534053"/>
      <w:r w:rsidRPr="00DA77DB">
        <w:rPr>
          <w:rFonts w:cs="Arial"/>
          <w:szCs w:val="24"/>
        </w:rPr>
        <w:t>ANTECEDENTES</w:t>
      </w:r>
      <w:r>
        <w:rPr>
          <w:rFonts w:cs="Arial"/>
          <w:szCs w:val="24"/>
        </w:rPr>
        <w:t xml:space="preserve"> E INFORMACIÓN GENERAL</w:t>
      </w:r>
      <w:bookmarkEnd w:id="0"/>
    </w:p>
    <w:p w14:paraId="318C2BAC" w14:textId="77777777" w:rsidR="003032EB" w:rsidRPr="00D962F4" w:rsidRDefault="003032EB" w:rsidP="003032EB">
      <w:pPr>
        <w:ind w:left="426"/>
        <w:rPr>
          <w:rFonts w:cs="Arial"/>
          <w:b/>
          <w:szCs w:val="24"/>
        </w:rPr>
      </w:pPr>
    </w:p>
    <w:bookmarkEnd w:id="1"/>
    <w:p w14:paraId="69743FB2" w14:textId="77777777" w:rsidR="003032EB" w:rsidRDefault="003032EB" w:rsidP="003032EB">
      <w:pPr>
        <w:rPr>
          <w:rFonts w:cs="Arial"/>
          <w:szCs w:val="24"/>
        </w:rPr>
      </w:pPr>
      <w:r>
        <w:rPr>
          <w:rFonts w:cs="Arial"/>
          <w:szCs w:val="24"/>
        </w:rPr>
        <w:t>Las Resoluciones CREG 101 006 y 007 de 2023 actualizaron la metodología de cálculo de energía firme para el cargo por confiabilidad de plantas eólicas y solares fotovoltaicas.</w:t>
      </w:r>
    </w:p>
    <w:p w14:paraId="2BBC842E" w14:textId="77777777" w:rsidR="003032EB" w:rsidRDefault="003032EB" w:rsidP="003032EB">
      <w:pPr>
        <w:rPr>
          <w:rFonts w:cs="Arial"/>
          <w:szCs w:val="24"/>
        </w:rPr>
      </w:pPr>
    </w:p>
    <w:p w14:paraId="7A279D7E" w14:textId="77777777" w:rsidR="003032EB" w:rsidRDefault="003032EB" w:rsidP="003032EB">
      <w:pPr>
        <w:rPr>
          <w:rFonts w:cs="Arial"/>
          <w:szCs w:val="24"/>
        </w:rPr>
      </w:pPr>
      <w:r>
        <w:rPr>
          <w:rFonts w:cs="Arial"/>
          <w:szCs w:val="24"/>
        </w:rPr>
        <w:t>En General, las metodologías aplican de forma similar y se pueden resumir así:</w:t>
      </w:r>
    </w:p>
    <w:p w14:paraId="5CD1E13C" w14:textId="77777777" w:rsidR="003032EB" w:rsidRDefault="003032EB" w:rsidP="003032EB">
      <w:pPr>
        <w:rPr>
          <w:rFonts w:cs="Arial"/>
          <w:szCs w:val="24"/>
        </w:rPr>
      </w:pPr>
    </w:p>
    <w:p w14:paraId="7ABA9B60" w14:textId="77777777" w:rsidR="003032EB" w:rsidRDefault="003032EB" w:rsidP="003032EB">
      <w:pPr>
        <w:pStyle w:val="Prrafodelista"/>
        <w:numPr>
          <w:ilvl w:val="0"/>
          <w:numId w:val="16"/>
        </w:numPr>
        <w:rPr>
          <w:rFonts w:cs="Arial"/>
          <w:szCs w:val="24"/>
        </w:rPr>
      </w:pPr>
      <w:r w:rsidRPr="009C2DBE">
        <w:rPr>
          <w:rFonts w:cs="Arial"/>
          <w:szCs w:val="24"/>
        </w:rPr>
        <w:t>Se necesitan 10 años de datos</w:t>
      </w:r>
      <w:r>
        <w:rPr>
          <w:rFonts w:cs="Arial"/>
          <w:szCs w:val="24"/>
        </w:rPr>
        <w:t xml:space="preserve"> (</w:t>
      </w:r>
      <w:r w:rsidRPr="007028A7">
        <w:rPr>
          <w:rFonts w:cs="Arial"/>
          <w:b/>
          <w:bCs/>
          <w:szCs w:val="24"/>
        </w:rPr>
        <w:t>solar</w:t>
      </w:r>
      <w:r>
        <w:rPr>
          <w:rFonts w:cs="Arial"/>
          <w:szCs w:val="24"/>
        </w:rPr>
        <w:t xml:space="preserve">: irradiación global horizontal y temperatura ambiente; </w:t>
      </w:r>
      <w:r w:rsidRPr="007028A7">
        <w:rPr>
          <w:rFonts w:cs="Arial"/>
          <w:b/>
          <w:bCs/>
          <w:szCs w:val="24"/>
        </w:rPr>
        <w:t>eólica</w:t>
      </w:r>
      <w:r>
        <w:rPr>
          <w:rFonts w:cs="Arial"/>
          <w:szCs w:val="24"/>
        </w:rPr>
        <w:t>: velocidad y dirección del viento y temperatura ambiente)</w:t>
      </w:r>
    </w:p>
    <w:p w14:paraId="63E7B73F" w14:textId="77777777" w:rsidR="003032EB" w:rsidRDefault="003032EB" w:rsidP="003032EB">
      <w:pPr>
        <w:pStyle w:val="Prrafodelista"/>
        <w:ind w:left="720"/>
        <w:rPr>
          <w:rFonts w:cs="Arial"/>
          <w:szCs w:val="24"/>
        </w:rPr>
      </w:pPr>
    </w:p>
    <w:p w14:paraId="4B6DD203" w14:textId="77777777" w:rsidR="003032EB" w:rsidRDefault="003032EB" w:rsidP="003032EB">
      <w:pPr>
        <w:pStyle w:val="Prrafodelista"/>
        <w:numPr>
          <w:ilvl w:val="0"/>
          <w:numId w:val="16"/>
        </w:numPr>
        <w:rPr>
          <w:rFonts w:cs="Arial"/>
          <w:szCs w:val="24"/>
        </w:rPr>
      </w:pPr>
      <w:r>
        <w:rPr>
          <w:rFonts w:cs="Arial"/>
          <w:szCs w:val="24"/>
        </w:rPr>
        <w:t>Existe la posibilidad de no tener datos medidos en sitio de la planta y usar solo datos de fuentes secundarias del sitio de la planta. En adelante en este documento este caso es el que se considera sin datos en sitio.</w:t>
      </w:r>
    </w:p>
    <w:p w14:paraId="4F1EAD08" w14:textId="77777777" w:rsidR="003032EB" w:rsidRPr="009C2DBE" w:rsidRDefault="003032EB" w:rsidP="003032EB">
      <w:pPr>
        <w:pStyle w:val="Prrafodelista"/>
        <w:rPr>
          <w:rFonts w:cs="Arial"/>
          <w:szCs w:val="24"/>
        </w:rPr>
      </w:pPr>
    </w:p>
    <w:p w14:paraId="66E0F3FB" w14:textId="77777777" w:rsidR="003032EB" w:rsidRDefault="003032EB" w:rsidP="003032EB">
      <w:pPr>
        <w:pStyle w:val="Prrafodelista"/>
        <w:numPr>
          <w:ilvl w:val="0"/>
          <w:numId w:val="16"/>
        </w:numPr>
        <w:rPr>
          <w:rFonts w:cs="Arial"/>
          <w:szCs w:val="24"/>
        </w:rPr>
      </w:pPr>
      <w:r>
        <w:rPr>
          <w:rFonts w:cs="Arial"/>
          <w:szCs w:val="24"/>
        </w:rPr>
        <w:t>Cuando se tiene 1 año de datos medidos en el sitio de la planta, entonces los 9 años restantes se pueden extrapolar con una metodología definida en Acuerdo del Consejo Nacional de Operación (</w:t>
      </w:r>
      <w:proofErr w:type="spellStart"/>
      <w:r>
        <w:rPr>
          <w:rFonts w:cs="Arial"/>
          <w:szCs w:val="24"/>
        </w:rPr>
        <w:t>C.N.O</w:t>
      </w:r>
      <w:proofErr w:type="spellEnd"/>
      <w:r>
        <w:rPr>
          <w:rFonts w:cs="Arial"/>
          <w:szCs w:val="24"/>
        </w:rPr>
        <w:t>.). En adelante en este documento este caso es el que se considera con datos en sitio.</w:t>
      </w:r>
    </w:p>
    <w:p w14:paraId="5EFCC97C" w14:textId="77777777" w:rsidR="003032EB" w:rsidRDefault="003032EB" w:rsidP="003032EB">
      <w:pPr>
        <w:pStyle w:val="Prrafodelista"/>
        <w:ind w:left="720"/>
        <w:rPr>
          <w:rFonts w:cs="Arial"/>
          <w:szCs w:val="24"/>
        </w:rPr>
      </w:pPr>
    </w:p>
    <w:p w14:paraId="22CA8A11" w14:textId="77777777" w:rsidR="003032EB" w:rsidRDefault="003032EB" w:rsidP="003032EB">
      <w:pPr>
        <w:pStyle w:val="Prrafodelista"/>
        <w:numPr>
          <w:ilvl w:val="0"/>
          <w:numId w:val="16"/>
        </w:numPr>
        <w:rPr>
          <w:rFonts w:cs="Arial"/>
          <w:szCs w:val="24"/>
        </w:rPr>
      </w:pPr>
      <w:r>
        <w:rPr>
          <w:rFonts w:cs="Arial"/>
          <w:szCs w:val="24"/>
        </w:rPr>
        <w:t xml:space="preserve">En las resoluciones se establecen los lineamientos mínimos que debe contener la metodología de modelamiento energético, los lineamientos de la medida en sitio y de fuente secundaria, los lineamientos del cálculo final de </w:t>
      </w:r>
      <w:proofErr w:type="spellStart"/>
      <w:r>
        <w:rPr>
          <w:rFonts w:cs="Arial"/>
          <w:szCs w:val="24"/>
        </w:rPr>
        <w:t>ENFICC</w:t>
      </w:r>
      <w:proofErr w:type="spellEnd"/>
      <w:r>
        <w:rPr>
          <w:rFonts w:cs="Arial"/>
          <w:szCs w:val="24"/>
        </w:rPr>
        <w:t>, también sobre la auditoria de parámetros, entre otros temas.</w:t>
      </w:r>
    </w:p>
    <w:p w14:paraId="4F1F76DB" w14:textId="77777777" w:rsidR="003032EB" w:rsidRPr="00617D0A" w:rsidRDefault="003032EB" w:rsidP="003032EB">
      <w:pPr>
        <w:pStyle w:val="Prrafodelista"/>
        <w:rPr>
          <w:rFonts w:cs="Arial"/>
          <w:szCs w:val="24"/>
        </w:rPr>
      </w:pPr>
    </w:p>
    <w:p w14:paraId="051F90BF" w14:textId="77777777" w:rsidR="003032EB" w:rsidRDefault="003032EB" w:rsidP="003032EB">
      <w:pPr>
        <w:pStyle w:val="Prrafodelista"/>
        <w:numPr>
          <w:ilvl w:val="0"/>
          <w:numId w:val="16"/>
        </w:numPr>
        <w:rPr>
          <w:rFonts w:cs="Arial"/>
          <w:szCs w:val="24"/>
        </w:rPr>
      </w:pPr>
      <w:r>
        <w:rPr>
          <w:rFonts w:cs="Arial"/>
          <w:szCs w:val="24"/>
        </w:rPr>
        <w:t xml:space="preserve">El </w:t>
      </w:r>
      <w:proofErr w:type="spellStart"/>
      <w:r>
        <w:rPr>
          <w:rFonts w:cs="Arial"/>
          <w:szCs w:val="24"/>
        </w:rPr>
        <w:t>C.N.O</w:t>
      </w:r>
      <w:proofErr w:type="spellEnd"/>
      <w:r>
        <w:rPr>
          <w:rFonts w:cs="Arial"/>
          <w:szCs w:val="24"/>
        </w:rPr>
        <w:t xml:space="preserve">. expide los Acuerdos de modelamiento energético por orden la CREG. </w:t>
      </w:r>
    </w:p>
    <w:p w14:paraId="2700930E" w14:textId="77777777" w:rsidR="003032EB" w:rsidRPr="00ED17F0" w:rsidRDefault="003032EB" w:rsidP="003032EB">
      <w:pPr>
        <w:pStyle w:val="Prrafodelista"/>
        <w:rPr>
          <w:rFonts w:cs="Arial"/>
          <w:szCs w:val="24"/>
        </w:rPr>
      </w:pPr>
    </w:p>
    <w:p w14:paraId="5C16453E" w14:textId="77777777" w:rsidR="003032EB" w:rsidRDefault="003032EB" w:rsidP="003032EB">
      <w:pPr>
        <w:pStyle w:val="Prrafodelista"/>
        <w:ind w:left="720"/>
        <w:rPr>
          <w:rFonts w:cs="Arial"/>
          <w:szCs w:val="24"/>
        </w:rPr>
      </w:pPr>
      <w:r>
        <w:rPr>
          <w:rFonts w:cs="Arial"/>
          <w:szCs w:val="24"/>
        </w:rPr>
        <w:t>Actualmente son los siguientes:</w:t>
      </w:r>
    </w:p>
    <w:p w14:paraId="5D6B4E76" w14:textId="77777777" w:rsidR="003032EB" w:rsidRPr="00DE5A6E" w:rsidRDefault="003032EB" w:rsidP="003032EB">
      <w:pPr>
        <w:pStyle w:val="Prrafodelista"/>
        <w:rPr>
          <w:rFonts w:cs="Arial"/>
          <w:szCs w:val="24"/>
        </w:rPr>
      </w:pPr>
    </w:p>
    <w:p w14:paraId="78ADF721" w14:textId="77777777" w:rsidR="003032EB" w:rsidRDefault="003032EB" w:rsidP="003032EB">
      <w:pPr>
        <w:ind w:left="708"/>
        <w:rPr>
          <w:rFonts w:cs="Arial"/>
          <w:szCs w:val="24"/>
        </w:rPr>
      </w:pPr>
      <w:r w:rsidRPr="00DE5A6E">
        <w:rPr>
          <w:rFonts w:cs="Arial"/>
          <w:szCs w:val="24"/>
        </w:rPr>
        <w:t xml:space="preserve">-  Acuerdo 1814 Por el cual se actualiza el “Protocolo de definición de la metodología de modelamiento y el Procedimiento para la revisión y actualización del modelamiento de plantas eólicas”. </w:t>
      </w:r>
    </w:p>
    <w:p w14:paraId="44EEAD44" w14:textId="77777777" w:rsidR="003032EB" w:rsidRDefault="003032EB" w:rsidP="003032EB">
      <w:pPr>
        <w:ind w:left="708"/>
        <w:rPr>
          <w:rFonts w:cs="Arial"/>
          <w:szCs w:val="24"/>
        </w:rPr>
      </w:pPr>
    </w:p>
    <w:p w14:paraId="1379E259" w14:textId="77777777" w:rsidR="003032EB" w:rsidRPr="00DE5A6E" w:rsidRDefault="003032EB" w:rsidP="003032EB">
      <w:pPr>
        <w:ind w:left="708"/>
        <w:rPr>
          <w:rFonts w:cs="Arial"/>
          <w:szCs w:val="24"/>
        </w:rPr>
      </w:pPr>
      <w:r w:rsidRPr="00DE5A6E">
        <w:rPr>
          <w:rFonts w:cs="Arial"/>
          <w:szCs w:val="24"/>
        </w:rPr>
        <w:t>-  Acuerdo 1815 Por el cual se actualiza el "Protocolo de definición de la metodología de modelamiento y el Procedimiento para la revisión y actualización del modelamiento de plantas solares"</w:t>
      </w:r>
    </w:p>
    <w:p w14:paraId="45ED1F3D" w14:textId="77777777" w:rsidR="003032EB" w:rsidRPr="0067476D" w:rsidRDefault="003032EB" w:rsidP="003032EB">
      <w:pPr>
        <w:pStyle w:val="Prrafodelista"/>
        <w:rPr>
          <w:rFonts w:cs="Arial"/>
          <w:szCs w:val="24"/>
        </w:rPr>
      </w:pPr>
    </w:p>
    <w:p w14:paraId="34D435C3" w14:textId="77777777" w:rsidR="003032EB" w:rsidRDefault="003032EB" w:rsidP="003032EB">
      <w:pPr>
        <w:pStyle w:val="Prrafodelista"/>
        <w:numPr>
          <w:ilvl w:val="0"/>
          <w:numId w:val="16"/>
        </w:numPr>
        <w:rPr>
          <w:rFonts w:cs="Arial"/>
          <w:szCs w:val="24"/>
        </w:rPr>
      </w:pPr>
      <w:r>
        <w:rPr>
          <w:rFonts w:cs="Arial"/>
          <w:szCs w:val="24"/>
        </w:rPr>
        <w:lastRenderedPageBreak/>
        <w:t>El Centro Nacional de Despacho (</w:t>
      </w:r>
      <w:proofErr w:type="spellStart"/>
      <w:r>
        <w:rPr>
          <w:rFonts w:cs="Arial"/>
          <w:szCs w:val="24"/>
        </w:rPr>
        <w:t>CND</w:t>
      </w:r>
      <w:proofErr w:type="spellEnd"/>
      <w:r>
        <w:rPr>
          <w:rFonts w:cs="Arial"/>
          <w:szCs w:val="24"/>
        </w:rPr>
        <w:t xml:space="preserve">) es el encargado de desarrollar el aplicativo de cálculo de </w:t>
      </w:r>
      <w:proofErr w:type="spellStart"/>
      <w:r>
        <w:rPr>
          <w:rFonts w:cs="Arial"/>
          <w:szCs w:val="24"/>
        </w:rPr>
        <w:t>ENFICC</w:t>
      </w:r>
      <w:proofErr w:type="spellEnd"/>
      <w:r>
        <w:rPr>
          <w:rFonts w:cs="Arial"/>
          <w:szCs w:val="24"/>
        </w:rPr>
        <w:t xml:space="preserve"> con base en los Acuerdos </w:t>
      </w:r>
      <w:proofErr w:type="spellStart"/>
      <w:r>
        <w:rPr>
          <w:rFonts w:cs="Arial"/>
          <w:szCs w:val="24"/>
        </w:rPr>
        <w:t>C.N.O</w:t>
      </w:r>
      <w:proofErr w:type="spellEnd"/>
      <w:r>
        <w:rPr>
          <w:rFonts w:cs="Arial"/>
          <w:szCs w:val="24"/>
        </w:rPr>
        <w:t xml:space="preserve">. y enviárselo a la Comisión. </w:t>
      </w:r>
    </w:p>
    <w:p w14:paraId="4C1F4212" w14:textId="77777777" w:rsidR="003032EB" w:rsidRDefault="003032EB" w:rsidP="003032EB">
      <w:pPr>
        <w:pStyle w:val="Prrafodelista"/>
        <w:ind w:left="720"/>
        <w:rPr>
          <w:rFonts w:cs="Arial"/>
          <w:szCs w:val="24"/>
        </w:rPr>
      </w:pPr>
    </w:p>
    <w:p w14:paraId="66368A46" w14:textId="77777777" w:rsidR="003032EB" w:rsidRDefault="003032EB" w:rsidP="003032EB">
      <w:pPr>
        <w:pStyle w:val="Prrafodelista"/>
        <w:numPr>
          <w:ilvl w:val="0"/>
          <w:numId w:val="16"/>
        </w:numPr>
        <w:rPr>
          <w:rFonts w:cs="Arial"/>
          <w:szCs w:val="24"/>
        </w:rPr>
      </w:pPr>
      <w:r>
        <w:rPr>
          <w:rFonts w:cs="Arial"/>
          <w:szCs w:val="24"/>
        </w:rPr>
        <w:t xml:space="preserve">La CREG debe publicar el aplicativo enviado por el </w:t>
      </w:r>
      <w:proofErr w:type="spellStart"/>
      <w:r>
        <w:rPr>
          <w:rFonts w:cs="Arial"/>
          <w:szCs w:val="24"/>
        </w:rPr>
        <w:t>CND</w:t>
      </w:r>
      <w:proofErr w:type="spellEnd"/>
      <w:r>
        <w:rPr>
          <w:rFonts w:cs="Arial"/>
          <w:szCs w:val="24"/>
        </w:rPr>
        <w:t xml:space="preserve"> mediante Circular. Esto debe ser aprobado en Sesión CREG. </w:t>
      </w:r>
    </w:p>
    <w:p w14:paraId="5563822F" w14:textId="77777777" w:rsidR="003032EB" w:rsidRPr="006E1E64" w:rsidRDefault="003032EB" w:rsidP="003032EB">
      <w:pPr>
        <w:pStyle w:val="Prrafodelista"/>
        <w:rPr>
          <w:rFonts w:cs="Arial"/>
          <w:szCs w:val="24"/>
        </w:rPr>
      </w:pPr>
    </w:p>
    <w:p w14:paraId="65862E59" w14:textId="77777777" w:rsidR="003032EB" w:rsidRDefault="003032EB" w:rsidP="003032EB">
      <w:pPr>
        <w:pStyle w:val="Prrafodelista"/>
        <w:ind w:left="720"/>
        <w:rPr>
          <w:rFonts w:cs="Arial"/>
          <w:szCs w:val="24"/>
        </w:rPr>
      </w:pPr>
      <w:r>
        <w:rPr>
          <w:rFonts w:cs="Arial"/>
          <w:szCs w:val="24"/>
        </w:rPr>
        <w:t>Actualmente el modelo se encuentra contenido en un enlace web en la Circular CREG 022 de 2024 y ya está aplicando:</w:t>
      </w:r>
    </w:p>
    <w:p w14:paraId="67ACEE09" w14:textId="77777777" w:rsidR="003032EB" w:rsidRPr="006E1E64" w:rsidRDefault="003032EB" w:rsidP="003032EB">
      <w:pPr>
        <w:pStyle w:val="Prrafodelista"/>
        <w:rPr>
          <w:rFonts w:cs="Arial"/>
          <w:szCs w:val="24"/>
        </w:rPr>
      </w:pPr>
    </w:p>
    <w:p w14:paraId="7034CA13" w14:textId="6D6B4814" w:rsidR="003032EB" w:rsidRDefault="00000000" w:rsidP="003032EB">
      <w:pPr>
        <w:pStyle w:val="Prrafodelista"/>
        <w:ind w:left="720"/>
        <w:rPr>
          <w:rFonts w:cs="Arial"/>
          <w:szCs w:val="24"/>
        </w:rPr>
      </w:pPr>
      <w:hyperlink r:id="rId12" w:history="1">
        <w:r w:rsidR="003032EB" w:rsidRPr="00D81324">
          <w:rPr>
            <w:rStyle w:val="Hipervnculo"/>
            <w:rFonts w:cs="Arial"/>
            <w:szCs w:val="24"/>
          </w:rPr>
          <w:t>https://gestornormativo.creg.gov.co/gestor/entorno/docs/originales/Circular_CREG_022_2024/</w:t>
        </w:r>
      </w:hyperlink>
    </w:p>
    <w:p w14:paraId="34392FF1" w14:textId="77777777" w:rsidR="003032EB" w:rsidRPr="00484E5E" w:rsidRDefault="003032EB" w:rsidP="003032EB">
      <w:pPr>
        <w:pStyle w:val="Prrafodelista"/>
        <w:rPr>
          <w:rFonts w:cs="Arial"/>
          <w:szCs w:val="24"/>
        </w:rPr>
      </w:pPr>
    </w:p>
    <w:p w14:paraId="10F0FFE7" w14:textId="77777777" w:rsidR="003032EB" w:rsidRDefault="003032EB" w:rsidP="003032EB">
      <w:pPr>
        <w:pStyle w:val="Prrafodelista"/>
        <w:numPr>
          <w:ilvl w:val="0"/>
          <w:numId w:val="16"/>
        </w:numPr>
        <w:rPr>
          <w:rFonts w:cs="Arial"/>
          <w:szCs w:val="24"/>
        </w:rPr>
      </w:pPr>
      <w:r>
        <w:rPr>
          <w:rFonts w:cs="Arial"/>
          <w:szCs w:val="24"/>
        </w:rPr>
        <w:t xml:space="preserve">Cuando no se usan datos en sitio se definió para las metodologías </w:t>
      </w:r>
      <w:proofErr w:type="spellStart"/>
      <w:r>
        <w:rPr>
          <w:rFonts w:cs="Arial"/>
          <w:szCs w:val="24"/>
        </w:rPr>
        <w:t>ENFICC</w:t>
      </w:r>
      <w:proofErr w:type="spellEnd"/>
      <w:r>
        <w:rPr>
          <w:rFonts w:cs="Arial"/>
          <w:szCs w:val="24"/>
        </w:rPr>
        <w:t xml:space="preserve"> solar y eólica que puede usarse el mismo aplicativo de cálculo, pero con un factor de ajuste de 0,6.</w:t>
      </w:r>
    </w:p>
    <w:p w14:paraId="0896021C" w14:textId="77777777" w:rsidR="003032EB" w:rsidRPr="00484E5E" w:rsidRDefault="003032EB" w:rsidP="003032EB">
      <w:pPr>
        <w:pStyle w:val="Prrafodelista"/>
        <w:rPr>
          <w:rFonts w:cs="Arial"/>
          <w:szCs w:val="24"/>
        </w:rPr>
      </w:pPr>
    </w:p>
    <w:p w14:paraId="7DDBA0B1" w14:textId="77777777" w:rsidR="003032EB" w:rsidRDefault="003032EB" w:rsidP="003032EB">
      <w:pPr>
        <w:pStyle w:val="Prrafodelista"/>
        <w:numPr>
          <w:ilvl w:val="0"/>
          <w:numId w:val="16"/>
        </w:numPr>
        <w:rPr>
          <w:rFonts w:cs="Arial"/>
          <w:szCs w:val="24"/>
        </w:rPr>
      </w:pPr>
      <w:r>
        <w:rPr>
          <w:rFonts w:cs="Arial"/>
          <w:szCs w:val="24"/>
        </w:rPr>
        <w:t xml:space="preserve">La metodología de modelamiento encargada al </w:t>
      </w:r>
      <w:proofErr w:type="spellStart"/>
      <w:r>
        <w:rPr>
          <w:rFonts w:cs="Arial"/>
          <w:szCs w:val="24"/>
        </w:rPr>
        <w:t>C.N.O</w:t>
      </w:r>
      <w:proofErr w:type="spellEnd"/>
      <w:r>
        <w:rPr>
          <w:rFonts w:cs="Arial"/>
          <w:szCs w:val="24"/>
        </w:rPr>
        <w:t xml:space="preserve">. debe ser revisada como máximo cada 5 años, incorporando y analizando cambios tecnológicos. </w:t>
      </w:r>
    </w:p>
    <w:p w14:paraId="6DB0B32A" w14:textId="77777777" w:rsidR="003032EB" w:rsidRPr="00B83D71" w:rsidRDefault="003032EB" w:rsidP="003032EB">
      <w:pPr>
        <w:pStyle w:val="Prrafodelista"/>
        <w:rPr>
          <w:rFonts w:cs="Arial"/>
          <w:szCs w:val="24"/>
        </w:rPr>
      </w:pPr>
    </w:p>
    <w:p w14:paraId="2ED63EAE" w14:textId="77777777" w:rsidR="003032EB" w:rsidRDefault="003032EB" w:rsidP="003032EB">
      <w:pPr>
        <w:pStyle w:val="Prrafodelista"/>
        <w:ind w:left="720"/>
        <w:rPr>
          <w:rFonts w:cs="Arial"/>
          <w:szCs w:val="24"/>
        </w:rPr>
      </w:pPr>
      <w:r>
        <w:rPr>
          <w:rFonts w:cs="Arial"/>
          <w:szCs w:val="24"/>
        </w:rPr>
        <w:t xml:space="preserve">Con la actualización el </w:t>
      </w:r>
      <w:proofErr w:type="spellStart"/>
      <w:r>
        <w:rPr>
          <w:rFonts w:cs="Arial"/>
          <w:szCs w:val="24"/>
        </w:rPr>
        <w:t>CND</w:t>
      </w:r>
      <w:proofErr w:type="spellEnd"/>
      <w:r>
        <w:rPr>
          <w:rFonts w:cs="Arial"/>
          <w:szCs w:val="24"/>
        </w:rPr>
        <w:t xml:space="preserve"> debe ajustar el aplicativo y enviarlo a la Comisión para nueva publicación.</w:t>
      </w:r>
    </w:p>
    <w:p w14:paraId="6C2F6CC1" w14:textId="77777777" w:rsidR="003032EB" w:rsidRDefault="003032EB" w:rsidP="003032EB">
      <w:pPr>
        <w:rPr>
          <w:rFonts w:cs="Arial"/>
          <w:szCs w:val="24"/>
        </w:rPr>
      </w:pPr>
    </w:p>
    <w:p w14:paraId="726C1641" w14:textId="77777777" w:rsidR="003032EB" w:rsidRDefault="003032EB" w:rsidP="003032EB">
      <w:pPr>
        <w:rPr>
          <w:rFonts w:cs="Arial"/>
          <w:szCs w:val="24"/>
        </w:rPr>
      </w:pPr>
    </w:p>
    <w:p w14:paraId="379EBC6A" w14:textId="77777777" w:rsidR="003032EB" w:rsidRPr="00D5505D" w:rsidRDefault="003032EB" w:rsidP="003032EB">
      <w:pPr>
        <w:pStyle w:val="Ttulo1"/>
        <w:numPr>
          <w:ilvl w:val="0"/>
          <w:numId w:val="1"/>
        </w:numPr>
        <w:spacing w:after="0"/>
        <w:rPr>
          <w:rFonts w:cs="Arial"/>
          <w:szCs w:val="24"/>
        </w:rPr>
      </w:pPr>
      <w:bookmarkStart w:id="2" w:name="_Toc114560248"/>
      <w:bookmarkStart w:id="3" w:name="_Toc167802960"/>
      <w:r w:rsidRPr="00D5505D">
        <w:rPr>
          <w:rFonts w:cs="Arial"/>
          <w:szCs w:val="24"/>
        </w:rPr>
        <w:t>DEFINICIÓN DEL PROBLEMA</w:t>
      </w:r>
      <w:bookmarkEnd w:id="2"/>
      <w:bookmarkEnd w:id="3"/>
    </w:p>
    <w:p w14:paraId="5FAF11A3" w14:textId="77777777" w:rsidR="003032EB" w:rsidRDefault="003032EB" w:rsidP="003032EB">
      <w:pPr>
        <w:rPr>
          <w:rFonts w:cs="Arial"/>
          <w:szCs w:val="24"/>
          <w:highlight w:val="yellow"/>
        </w:rPr>
      </w:pPr>
    </w:p>
    <w:p w14:paraId="5A447FF7" w14:textId="08E90166" w:rsidR="003032EB" w:rsidRDefault="003032EB" w:rsidP="003032EB">
      <w:pPr>
        <w:pStyle w:val="Prrafodelista"/>
        <w:ind w:left="0"/>
        <w:rPr>
          <w:rFonts w:cs="Arial"/>
          <w:szCs w:val="24"/>
        </w:rPr>
      </w:pPr>
      <w:r>
        <w:rPr>
          <w:rFonts w:cs="Arial"/>
          <w:szCs w:val="24"/>
        </w:rPr>
        <w:t xml:space="preserve">El problema por analizar en esta actualización es </w:t>
      </w:r>
      <w:r w:rsidR="00210949">
        <w:rPr>
          <w:rFonts w:cs="Arial"/>
          <w:szCs w:val="24"/>
        </w:rPr>
        <w:t>¿Cuánto es la magnitud del</w:t>
      </w:r>
      <w:r>
        <w:rPr>
          <w:rFonts w:cs="Arial"/>
          <w:szCs w:val="24"/>
        </w:rPr>
        <w:t xml:space="preserve"> cambio </w:t>
      </w:r>
      <w:r w:rsidR="00811AFE">
        <w:rPr>
          <w:rFonts w:cs="Arial"/>
          <w:szCs w:val="24"/>
        </w:rPr>
        <w:t xml:space="preserve">que debe tener </w:t>
      </w:r>
      <w:r>
        <w:rPr>
          <w:rFonts w:cs="Arial"/>
          <w:szCs w:val="24"/>
        </w:rPr>
        <w:t xml:space="preserve">el factor de ajuste cuando no se usan datos en sitio, teniendo en cuenta nueva información allegada a la </w:t>
      </w:r>
      <w:r w:rsidR="00D154C1">
        <w:rPr>
          <w:rFonts w:cs="Arial"/>
          <w:szCs w:val="24"/>
        </w:rPr>
        <w:t>Comisión?</w:t>
      </w:r>
      <w:r>
        <w:rPr>
          <w:rFonts w:cs="Arial"/>
          <w:szCs w:val="24"/>
        </w:rPr>
        <w:t xml:space="preserve"> </w:t>
      </w:r>
    </w:p>
    <w:p w14:paraId="10EE1A33" w14:textId="77777777" w:rsidR="003032EB" w:rsidRDefault="003032EB" w:rsidP="003032EB">
      <w:pPr>
        <w:pStyle w:val="Prrafodelista"/>
        <w:ind w:left="0"/>
        <w:rPr>
          <w:rFonts w:cs="Arial"/>
          <w:szCs w:val="24"/>
        </w:rPr>
      </w:pPr>
    </w:p>
    <w:p w14:paraId="196FC67C" w14:textId="1DD38D66" w:rsidR="003032EB" w:rsidRPr="00F92E69" w:rsidRDefault="003032EB" w:rsidP="003032EB">
      <w:pPr>
        <w:rPr>
          <w:rFonts w:cs="Arial"/>
          <w:szCs w:val="24"/>
        </w:rPr>
      </w:pPr>
      <w:r>
        <w:rPr>
          <w:rFonts w:cs="Arial"/>
          <w:szCs w:val="24"/>
        </w:rPr>
        <w:t>Para el análisis, se recuerda que, p</w:t>
      </w:r>
      <w:r w:rsidRPr="00F92E69">
        <w:rPr>
          <w:rFonts w:cs="Arial"/>
          <w:szCs w:val="24"/>
        </w:rPr>
        <w:t xml:space="preserve">ara </w:t>
      </w:r>
      <w:r>
        <w:rPr>
          <w:rFonts w:cs="Arial"/>
          <w:szCs w:val="24"/>
        </w:rPr>
        <w:t>plantas e</w:t>
      </w:r>
      <w:r w:rsidRPr="00F92E69">
        <w:rPr>
          <w:rFonts w:cs="Arial"/>
          <w:szCs w:val="24"/>
        </w:rPr>
        <w:t>ólica</w:t>
      </w:r>
      <w:r>
        <w:rPr>
          <w:rFonts w:cs="Arial"/>
          <w:szCs w:val="24"/>
        </w:rPr>
        <w:t xml:space="preserve">s, conforme lo indicado en los Documentos soporte 101 003 de 2023 y 701 006 de 2022, </w:t>
      </w:r>
      <w:r w:rsidRPr="00F92E69">
        <w:rPr>
          <w:rFonts w:cs="Arial"/>
          <w:szCs w:val="24"/>
        </w:rPr>
        <w:t xml:space="preserve">el factor de ajuste se debe </w:t>
      </w:r>
      <w:r>
        <w:rPr>
          <w:rFonts w:cs="Arial"/>
          <w:szCs w:val="24"/>
        </w:rPr>
        <w:t>a una referencia</w:t>
      </w:r>
      <w:r>
        <w:rPr>
          <w:rStyle w:val="Refdenotaalpie"/>
          <w:rFonts w:cs="Arial"/>
          <w:szCs w:val="24"/>
        </w:rPr>
        <w:footnoteReference w:id="2"/>
      </w:r>
      <w:r>
        <w:rPr>
          <w:rFonts w:cs="Arial"/>
          <w:szCs w:val="24"/>
        </w:rPr>
        <w:t xml:space="preserve"> en que se cita </w:t>
      </w:r>
      <w:r w:rsidRPr="00F92E69">
        <w:rPr>
          <w:rFonts w:cs="Arial"/>
          <w:szCs w:val="24"/>
        </w:rPr>
        <w:t xml:space="preserve">que un </w:t>
      </w:r>
      <w:r>
        <w:rPr>
          <w:rFonts w:cs="Arial"/>
          <w:szCs w:val="24"/>
        </w:rPr>
        <w:t xml:space="preserve">valor </w:t>
      </w:r>
      <w:r w:rsidRPr="00F92E69">
        <w:rPr>
          <w:rFonts w:cs="Arial"/>
          <w:szCs w:val="24"/>
        </w:rPr>
        <w:t xml:space="preserve">de </w:t>
      </w:r>
      <w:r>
        <w:rPr>
          <w:rFonts w:cs="Arial"/>
          <w:szCs w:val="24"/>
        </w:rPr>
        <w:t xml:space="preserve">5% de </w:t>
      </w:r>
      <w:r w:rsidRPr="00F92E69">
        <w:rPr>
          <w:rFonts w:cs="Arial"/>
          <w:szCs w:val="24"/>
        </w:rPr>
        <w:t>datos inexactos produce una imprecisión sobre el pronóstico de la energía generada</w:t>
      </w:r>
      <w:r>
        <w:rPr>
          <w:rFonts w:cs="Arial"/>
          <w:szCs w:val="24"/>
        </w:rPr>
        <w:t xml:space="preserve"> del 10%, es decir del doble</w:t>
      </w:r>
      <w:r w:rsidRPr="00F92E69">
        <w:rPr>
          <w:rFonts w:cs="Arial"/>
          <w:szCs w:val="24"/>
        </w:rPr>
        <w:t xml:space="preserve">, e incluso durante la primera etapa </w:t>
      </w:r>
      <w:r>
        <w:rPr>
          <w:rFonts w:cs="Arial"/>
          <w:szCs w:val="24"/>
        </w:rPr>
        <w:t xml:space="preserve">inicial del proyecto </w:t>
      </w:r>
      <w:r w:rsidRPr="00F92E69">
        <w:rPr>
          <w:rFonts w:cs="Arial"/>
          <w:szCs w:val="24"/>
        </w:rPr>
        <w:t xml:space="preserve">puede llegar </w:t>
      </w:r>
      <w:r>
        <w:rPr>
          <w:rFonts w:cs="Arial"/>
          <w:szCs w:val="24"/>
        </w:rPr>
        <w:t xml:space="preserve">a valores del 50% de incertidumbre. Estos valores aplican a un valor medio anual de la energía y no a un valor como es la </w:t>
      </w:r>
      <w:proofErr w:type="spellStart"/>
      <w:r>
        <w:rPr>
          <w:rFonts w:cs="Arial"/>
          <w:szCs w:val="24"/>
        </w:rPr>
        <w:t>ENFICC</w:t>
      </w:r>
      <w:proofErr w:type="spellEnd"/>
      <w:r>
        <w:rPr>
          <w:rFonts w:cs="Arial"/>
          <w:szCs w:val="24"/>
        </w:rPr>
        <w:t xml:space="preserve">, que corresponde a un valor </w:t>
      </w:r>
      <w:r w:rsidR="00D154C1">
        <w:rPr>
          <w:rFonts w:cs="Arial"/>
          <w:szCs w:val="24"/>
        </w:rPr>
        <w:t>que permita</w:t>
      </w:r>
      <w:r>
        <w:rPr>
          <w:rFonts w:cs="Arial"/>
          <w:szCs w:val="24"/>
        </w:rPr>
        <w:t xml:space="preserve"> asegurar con </w:t>
      </w:r>
      <w:r w:rsidR="00D154C1">
        <w:rPr>
          <w:rFonts w:cs="Arial"/>
          <w:szCs w:val="24"/>
        </w:rPr>
        <w:t xml:space="preserve">el </w:t>
      </w:r>
      <w:r>
        <w:rPr>
          <w:rFonts w:cs="Arial"/>
          <w:szCs w:val="24"/>
        </w:rPr>
        <w:t xml:space="preserve">100% </w:t>
      </w:r>
      <w:r w:rsidR="00D154C1">
        <w:rPr>
          <w:rFonts w:cs="Arial"/>
          <w:szCs w:val="24"/>
        </w:rPr>
        <w:t xml:space="preserve">la </w:t>
      </w:r>
      <w:r>
        <w:rPr>
          <w:rFonts w:cs="Arial"/>
          <w:szCs w:val="24"/>
        </w:rPr>
        <w:t>confianza.</w:t>
      </w:r>
    </w:p>
    <w:p w14:paraId="701E401C" w14:textId="77777777" w:rsidR="003032EB" w:rsidRDefault="003032EB" w:rsidP="003032EB">
      <w:pPr>
        <w:pStyle w:val="Prrafodelista"/>
        <w:ind w:left="0"/>
        <w:rPr>
          <w:rFonts w:cs="Arial"/>
          <w:szCs w:val="24"/>
        </w:rPr>
      </w:pPr>
    </w:p>
    <w:p w14:paraId="538E73CC" w14:textId="342B84E1" w:rsidR="003032EB" w:rsidRDefault="003032EB" w:rsidP="003032EB">
      <w:pPr>
        <w:pStyle w:val="Prrafodelista"/>
        <w:ind w:left="0"/>
        <w:rPr>
          <w:rFonts w:cs="Arial"/>
          <w:szCs w:val="24"/>
        </w:rPr>
      </w:pPr>
      <w:r w:rsidRPr="00EE2074">
        <w:rPr>
          <w:rFonts w:cs="Arial"/>
          <w:szCs w:val="24"/>
        </w:rPr>
        <w:lastRenderedPageBreak/>
        <w:t>Con base en lo anterior se determinó el valor de 60%</w:t>
      </w:r>
      <w:r>
        <w:rPr>
          <w:rFonts w:cs="Arial"/>
          <w:szCs w:val="24"/>
        </w:rPr>
        <w:t xml:space="preserve"> o 0,6 de ajuste cuando no se usan datos en sitio</w:t>
      </w:r>
      <w:r w:rsidRPr="00EE2074">
        <w:rPr>
          <w:rFonts w:cs="Arial"/>
          <w:szCs w:val="24"/>
        </w:rPr>
        <w:t xml:space="preserve">, el cual es inferior </w:t>
      </w:r>
      <w:r w:rsidR="00EC73C0">
        <w:rPr>
          <w:rFonts w:cs="Arial"/>
          <w:szCs w:val="24"/>
        </w:rPr>
        <w:t xml:space="preserve">en impacto </w:t>
      </w:r>
      <w:r>
        <w:rPr>
          <w:rFonts w:cs="Arial"/>
          <w:szCs w:val="24"/>
        </w:rPr>
        <w:t>al de</w:t>
      </w:r>
      <w:r w:rsidRPr="00EE2074">
        <w:rPr>
          <w:rFonts w:cs="Arial"/>
          <w:szCs w:val="24"/>
        </w:rPr>
        <w:t xml:space="preserve"> la referencia </w:t>
      </w:r>
      <w:r>
        <w:rPr>
          <w:rFonts w:cs="Arial"/>
          <w:szCs w:val="24"/>
        </w:rPr>
        <w:t>anterior.</w:t>
      </w:r>
    </w:p>
    <w:p w14:paraId="1AFD3C3E" w14:textId="77777777" w:rsidR="003032EB" w:rsidRDefault="003032EB" w:rsidP="003032EB">
      <w:pPr>
        <w:pStyle w:val="Prrafodelista"/>
        <w:ind w:left="0"/>
        <w:rPr>
          <w:rFonts w:cs="Arial"/>
          <w:szCs w:val="24"/>
        </w:rPr>
      </w:pPr>
    </w:p>
    <w:p w14:paraId="7FFCD5E9" w14:textId="77777777" w:rsidR="003032EB" w:rsidRDefault="003032EB" w:rsidP="003032EB">
      <w:pPr>
        <w:pStyle w:val="Prrafodelista"/>
        <w:ind w:left="0"/>
        <w:rPr>
          <w:rFonts w:cs="Arial"/>
          <w:szCs w:val="24"/>
        </w:rPr>
      </w:pPr>
      <w:r>
        <w:rPr>
          <w:rFonts w:cs="Arial"/>
          <w:szCs w:val="24"/>
        </w:rPr>
        <w:t>En el caso de plantas solares, en los Documentos Soporte 101 003 de 2023 y 701 007 de 2022</w:t>
      </w:r>
      <w:r>
        <w:rPr>
          <w:rStyle w:val="Refdenotaalpie"/>
          <w:rFonts w:cs="Arial"/>
          <w:szCs w:val="24"/>
        </w:rPr>
        <w:footnoteReference w:id="3"/>
      </w:r>
      <w:r>
        <w:rPr>
          <w:rFonts w:cs="Arial"/>
          <w:szCs w:val="24"/>
        </w:rPr>
        <w:t xml:space="preserve"> se encontró una referencia</w:t>
      </w:r>
      <w:r>
        <w:rPr>
          <w:rStyle w:val="Refdenotaalpie"/>
          <w:rFonts w:cs="Arial"/>
          <w:szCs w:val="24"/>
        </w:rPr>
        <w:footnoteReference w:id="4"/>
      </w:r>
      <w:r>
        <w:rPr>
          <w:rFonts w:cs="Arial"/>
          <w:szCs w:val="24"/>
        </w:rPr>
        <w:t xml:space="preserve"> en que </w:t>
      </w:r>
      <w:r w:rsidRPr="00D84A1B">
        <w:rPr>
          <w:rFonts w:cs="Arial"/>
          <w:szCs w:val="24"/>
        </w:rPr>
        <w:t>se señalan incertidumbres observadas asociadas a la estimación del recurso solar con fuentes secundarias entre 9% y 16%, y también se indican diferencias observadas de estimaciones con diferentes fuentes secundarias entre 10% y 20%.</w:t>
      </w:r>
      <w:r>
        <w:rPr>
          <w:rFonts w:cs="Arial"/>
          <w:szCs w:val="24"/>
        </w:rPr>
        <w:t xml:space="preserve"> </w:t>
      </w:r>
    </w:p>
    <w:p w14:paraId="21A73F1C" w14:textId="77777777" w:rsidR="003032EB" w:rsidRDefault="003032EB" w:rsidP="003032EB">
      <w:pPr>
        <w:pStyle w:val="Prrafodelista"/>
        <w:ind w:left="0"/>
        <w:rPr>
          <w:rFonts w:cs="Arial"/>
          <w:szCs w:val="24"/>
        </w:rPr>
      </w:pPr>
    </w:p>
    <w:p w14:paraId="282CEB91" w14:textId="736E2C57" w:rsidR="003032EB" w:rsidRDefault="003032EB" w:rsidP="003032EB">
      <w:pPr>
        <w:pStyle w:val="Prrafodelista"/>
        <w:ind w:left="0"/>
        <w:rPr>
          <w:rFonts w:cs="Arial"/>
          <w:szCs w:val="24"/>
        </w:rPr>
      </w:pPr>
      <w:r>
        <w:rPr>
          <w:rFonts w:cs="Arial"/>
          <w:szCs w:val="24"/>
        </w:rPr>
        <w:t xml:space="preserve">Esto también se indica </w:t>
      </w:r>
      <w:r w:rsidRPr="00D36D21">
        <w:rPr>
          <w:rFonts w:cs="Arial"/>
          <w:szCs w:val="24"/>
        </w:rPr>
        <w:t xml:space="preserve">en uno de los comentarios allegados por desarrolladores </w:t>
      </w:r>
      <w:r>
        <w:rPr>
          <w:rFonts w:cs="Arial"/>
          <w:szCs w:val="24"/>
        </w:rPr>
        <w:t xml:space="preserve">al Proyecto de Resolución CREG 701 009 de 2022 </w:t>
      </w:r>
      <w:r w:rsidRPr="00D36D21">
        <w:rPr>
          <w:rFonts w:cs="Arial"/>
          <w:szCs w:val="24"/>
        </w:rPr>
        <w:t>(</w:t>
      </w:r>
      <w:r>
        <w:rPr>
          <w:rFonts w:cs="Arial"/>
          <w:szCs w:val="24"/>
        </w:rPr>
        <w:t xml:space="preserve">radicado CREG </w:t>
      </w:r>
      <w:proofErr w:type="spellStart"/>
      <w:r w:rsidRPr="00D36D21">
        <w:rPr>
          <w:rFonts w:cs="Arial"/>
          <w:szCs w:val="24"/>
        </w:rPr>
        <w:t>E2022012855</w:t>
      </w:r>
      <w:proofErr w:type="spellEnd"/>
      <w:r w:rsidRPr="00D36D21">
        <w:rPr>
          <w:rFonts w:cs="Arial"/>
          <w:szCs w:val="24"/>
        </w:rPr>
        <w:t xml:space="preserve">), </w:t>
      </w:r>
      <w:r>
        <w:rPr>
          <w:rFonts w:cs="Arial"/>
          <w:szCs w:val="24"/>
        </w:rPr>
        <w:t>donde</w:t>
      </w:r>
      <w:r w:rsidRPr="00D36D21">
        <w:rPr>
          <w:rFonts w:cs="Arial"/>
          <w:szCs w:val="24"/>
        </w:rPr>
        <w:t xml:space="preserve"> presenta la validación de los datos de irradiación de </w:t>
      </w:r>
      <w:proofErr w:type="spellStart"/>
      <w:r w:rsidRPr="00D36D21">
        <w:rPr>
          <w:rFonts w:cs="Arial"/>
          <w:szCs w:val="24"/>
        </w:rPr>
        <w:t>Solargis</w:t>
      </w:r>
      <w:proofErr w:type="spellEnd"/>
      <w:r>
        <w:rPr>
          <w:rStyle w:val="Refdenotaalpie"/>
          <w:rFonts w:cs="Arial"/>
          <w:szCs w:val="24"/>
        </w:rPr>
        <w:footnoteReference w:id="5"/>
      </w:r>
      <w:r w:rsidRPr="00D36D21">
        <w:rPr>
          <w:rFonts w:cs="Arial"/>
          <w:szCs w:val="24"/>
        </w:rPr>
        <w:t>.</w:t>
      </w:r>
      <w:r>
        <w:rPr>
          <w:rFonts w:cs="Arial"/>
          <w:szCs w:val="24"/>
        </w:rPr>
        <w:t xml:space="preserve"> </w:t>
      </w:r>
      <w:r w:rsidRPr="00D36D21">
        <w:rPr>
          <w:rFonts w:cs="Arial"/>
          <w:szCs w:val="24"/>
        </w:rPr>
        <w:t xml:space="preserve">Dicha evaluación muestra errores máximos horarios de 16.8% en promedio para varias zonas geográficas del dato de </w:t>
      </w:r>
      <w:r>
        <w:rPr>
          <w:rFonts w:cs="Arial"/>
          <w:szCs w:val="24"/>
        </w:rPr>
        <w:t>Irradiación global Horizontal (</w:t>
      </w:r>
      <w:proofErr w:type="spellStart"/>
      <w:r w:rsidRPr="00D36D21">
        <w:rPr>
          <w:rFonts w:cs="Arial"/>
          <w:szCs w:val="24"/>
        </w:rPr>
        <w:t>GHI</w:t>
      </w:r>
      <w:proofErr w:type="spellEnd"/>
      <w:r>
        <w:rPr>
          <w:rFonts w:cs="Arial"/>
          <w:szCs w:val="24"/>
        </w:rPr>
        <w:t xml:space="preserve">), correspondiendo al </w:t>
      </w:r>
      <w:r w:rsidRPr="00D36D21">
        <w:rPr>
          <w:rFonts w:cs="Arial"/>
          <w:szCs w:val="24"/>
        </w:rPr>
        <w:t>error medido entre datos en sitio y datos de fuentes secundaria.</w:t>
      </w:r>
      <w:r>
        <w:rPr>
          <w:rFonts w:cs="Arial"/>
          <w:szCs w:val="24"/>
        </w:rPr>
        <w:t xml:space="preserve"> Así mismo indica que</w:t>
      </w:r>
      <w:r w:rsidRPr="00D36D21">
        <w:rPr>
          <w:rFonts w:cs="Arial"/>
          <w:szCs w:val="24"/>
        </w:rPr>
        <w:t xml:space="preserve"> </w:t>
      </w:r>
      <w:r>
        <w:rPr>
          <w:rFonts w:cs="Arial"/>
          <w:szCs w:val="24"/>
        </w:rPr>
        <w:t>e</w:t>
      </w:r>
      <w:r w:rsidRPr="00D36D21">
        <w:rPr>
          <w:rFonts w:cs="Arial"/>
          <w:szCs w:val="24"/>
        </w:rPr>
        <w:t xml:space="preserve">n zona tropical el error es de hasta 20.8% para </w:t>
      </w:r>
      <w:proofErr w:type="spellStart"/>
      <w:r w:rsidRPr="00D36D21">
        <w:rPr>
          <w:rFonts w:cs="Arial"/>
          <w:szCs w:val="24"/>
        </w:rPr>
        <w:t>GHI</w:t>
      </w:r>
      <w:proofErr w:type="spellEnd"/>
      <w:r w:rsidRPr="00D36D21">
        <w:rPr>
          <w:rFonts w:cs="Arial"/>
          <w:szCs w:val="24"/>
        </w:rPr>
        <w:t>, siendo Colombia mayormente tropical.</w:t>
      </w:r>
    </w:p>
    <w:p w14:paraId="5E55DDB6" w14:textId="77777777" w:rsidR="003032EB" w:rsidRDefault="003032EB" w:rsidP="003032EB">
      <w:pPr>
        <w:pStyle w:val="Prrafodelista"/>
        <w:ind w:left="0"/>
        <w:rPr>
          <w:rFonts w:cs="Arial"/>
          <w:szCs w:val="24"/>
        </w:rPr>
      </w:pPr>
    </w:p>
    <w:p w14:paraId="1F276643" w14:textId="29EF4FF7" w:rsidR="003032EB" w:rsidRDefault="003032EB" w:rsidP="003032EB">
      <w:pPr>
        <w:pStyle w:val="Prrafodelista"/>
        <w:ind w:left="0"/>
        <w:rPr>
          <w:rFonts w:cs="Arial"/>
          <w:szCs w:val="24"/>
        </w:rPr>
      </w:pPr>
      <w:r>
        <w:rPr>
          <w:rFonts w:cs="Arial"/>
          <w:szCs w:val="24"/>
        </w:rPr>
        <w:t>Se concluy</w:t>
      </w:r>
      <w:r w:rsidR="00C75665">
        <w:rPr>
          <w:rFonts w:cs="Arial"/>
          <w:szCs w:val="24"/>
        </w:rPr>
        <w:t>ó</w:t>
      </w:r>
      <w:r>
        <w:rPr>
          <w:rFonts w:cs="Arial"/>
          <w:szCs w:val="24"/>
        </w:rPr>
        <w:t xml:space="preserve"> que, d</w:t>
      </w:r>
      <w:r w:rsidRPr="00D84A1B">
        <w:rPr>
          <w:rFonts w:cs="Arial"/>
          <w:szCs w:val="24"/>
        </w:rPr>
        <w:t xml:space="preserve">ado que la producción de energía de estas plantas también depende de otras variables, como la temperatura ambiente, se </w:t>
      </w:r>
      <w:r w:rsidR="00C75665">
        <w:rPr>
          <w:rFonts w:cs="Arial"/>
          <w:szCs w:val="24"/>
        </w:rPr>
        <w:t>consideró</w:t>
      </w:r>
      <w:r w:rsidRPr="00D84A1B">
        <w:rPr>
          <w:rFonts w:cs="Arial"/>
          <w:szCs w:val="24"/>
        </w:rPr>
        <w:t xml:space="preserve"> </w:t>
      </w:r>
      <w:r>
        <w:rPr>
          <w:rFonts w:cs="Arial"/>
          <w:szCs w:val="24"/>
        </w:rPr>
        <w:t xml:space="preserve">que </w:t>
      </w:r>
      <w:r w:rsidRPr="00D84A1B">
        <w:rPr>
          <w:rFonts w:cs="Arial"/>
          <w:szCs w:val="24"/>
        </w:rPr>
        <w:t xml:space="preserve">el error compuesto </w:t>
      </w:r>
      <w:r>
        <w:rPr>
          <w:rFonts w:cs="Arial"/>
          <w:szCs w:val="24"/>
        </w:rPr>
        <w:t>proporciona</w:t>
      </w:r>
      <w:r w:rsidR="00C75665">
        <w:rPr>
          <w:rFonts w:cs="Arial"/>
          <w:szCs w:val="24"/>
        </w:rPr>
        <w:t>ba</w:t>
      </w:r>
      <w:r>
        <w:rPr>
          <w:rFonts w:cs="Arial"/>
          <w:szCs w:val="24"/>
        </w:rPr>
        <w:t xml:space="preserve"> una</w:t>
      </w:r>
      <w:r w:rsidRPr="00D84A1B">
        <w:rPr>
          <w:rFonts w:cs="Arial"/>
          <w:szCs w:val="24"/>
        </w:rPr>
        <w:t xml:space="preserve"> incertidumbre</w:t>
      </w:r>
      <w:r>
        <w:rPr>
          <w:rFonts w:cs="Arial"/>
          <w:szCs w:val="24"/>
        </w:rPr>
        <w:t xml:space="preserve"> adicional</w:t>
      </w:r>
      <w:r w:rsidRPr="00D84A1B">
        <w:rPr>
          <w:rFonts w:cs="Arial"/>
          <w:szCs w:val="24"/>
        </w:rPr>
        <w:t xml:space="preserve"> en la estimación de la producción de energía de un parque solar</w:t>
      </w:r>
      <w:r>
        <w:rPr>
          <w:rFonts w:cs="Arial"/>
          <w:szCs w:val="24"/>
        </w:rPr>
        <w:t>, que</w:t>
      </w:r>
      <w:r w:rsidRPr="00D84A1B">
        <w:rPr>
          <w:rFonts w:cs="Arial"/>
          <w:szCs w:val="24"/>
        </w:rPr>
        <w:t xml:space="preserve"> </w:t>
      </w:r>
      <w:r w:rsidR="00C75665">
        <w:rPr>
          <w:rFonts w:cs="Arial"/>
          <w:szCs w:val="24"/>
        </w:rPr>
        <w:t xml:space="preserve">podría </w:t>
      </w:r>
      <w:r w:rsidRPr="00D84A1B">
        <w:rPr>
          <w:rFonts w:cs="Arial"/>
          <w:szCs w:val="24"/>
        </w:rPr>
        <w:t xml:space="preserve">alcanzar valores bastante superiores a 20%, cuando no se </w:t>
      </w:r>
      <w:r w:rsidR="000C44FE">
        <w:rPr>
          <w:rFonts w:cs="Arial"/>
          <w:szCs w:val="24"/>
        </w:rPr>
        <w:t xml:space="preserve">tenían </w:t>
      </w:r>
      <w:r w:rsidRPr="00D84A1B">
        <w:rPr>
          <w:rFonts w:cs="Arial"/>
          <w:szCs w:val="24"/>
        </w:rPr>
        <w:t>datos de medición en sitio</w:t>
      </w:r>
      <w:r w:rsidR="00811AFE">
        <w:rPr>
          <w:rFonts w:cs="Arial"/>
          <w:szCs w:val="24"/>
        </w:rPr>
        <w:t>.</w:t>
      </w:r>
    </w:p>
    <w:p w14:paraId="458AD555" w14:textId="77777777" w:rsidR="003032EB" w:rsidRDefault="003032EB" w:rsidP="003032EB">
      <w:pPr>
        <w:pStyle w:val="Prrafodelista"/>
        <w:ind w:left="0"/>
        <w:rPr>
          <w:rFonts w:cs="Arial"/>
          <w:szCs w:val="24"/>
        </w:rPr>
      </w:pPr>
    </w:p>
    <w:p w14:paraId="7A26F22C" w14:textId="77777777" w:rsidR="003032EB" w:rsidRPr="00D962F4" w:rsidRDefault="003032EB" w:rsidP="003032EB">
      <w:pPr>
        <w:pStyle w:val="Ttulo1"/>
        <w:numPr>
          <w:ilvl w:val="0"/>
          <w:numId w:val="1"/>
        </w:numPr>
        <w:spacing w:after="0"/>
        <w:rPr>
          <w:rFonts w:cs="Arial"/>
          <w:szCs w:val="24"/>
        </w:rPr>
      </w:pPr>
      <w:bookmarkStart w:id="4" w:name="_Toc146041484"/>
      <w:bookmarkStart w:id="5" w:name="_Toc146041485"/>
      <w:bookmarkStart w:id="6" w:name="_Toc146041486"/>
      <w:bookmarkStart w:id="7" w:name="_Toc114560249"/>
      <w:bookmarkStart w:id="8" w:name="_Toc167802961"/>
      <w:bookmarkEnd w:id="4"/>
      <w:bookmarkEnd w:id="5"/>
      <w:bookmarkEnd w:id="6"/>
      <w:r w:rsidRPr="00D962F4">
        <w:rPr>
          <w:rFonts w:cs="Arial"/>
          <w:szCs w:val="24"/>
        </w:rPr>
        <w:t>OBJETIVO</w:t>
      </w:r>
      <w:bookmarkEnd w:id="7"/>
      <w:bookmarkEnd w:id="8"/>
    </w:p>
    <w:p w14:paraId="43256916" w14:textId="77777777" w:rsidR="003032EB" w:rsidRPr="00D962F4" w:rsidRDefault="003032EB" w:rsidP="003032EB">
      <w:pPr>
        <w:ind w:left="720"/>
        <w:rPr>
          <w:rFonts w:cs="Arial"/>
          <w:szCs w:val="24"/>
          <w:highlight w:val="yellow"/>
        </w:rPr>
      </w:pPr>
    </w:p>
    <w:p w14:paraId="0D3D4870" w14:textId="77777777" w:rsidR="003032EB" w:rsidRDefault="003032EB" w:rsidP="003032EB">
      <w:pPr>
        <w:pStyle w:val="Prrafodelista"/>
        <w:ind w:left="0"/>
        <w:rPr>
          <w:rFonts w:cs="Arial"/>
          <w:szCs w:val="24"/>
        </w:rPr>
      </w:pPr>
      <w:r>
        <w:rPr>
          <w:rFonts w:cs="Arial"/>
          <w:szCs w:val="24"/>
        </w:rPr>
        <w:t xml:space="preserve">Analizar la modificación del factor de ajuste del modelo de cálculo de </w:t>
      </w:r>
      <w:proofErr w:type="spellStart"/>
      <w:r>
        <w:rPr>
          <w:rFonts w:cs="Arial"/>
          <w:szCs w:val="24"/>
        </w:rPr>
        <w:t>ENFICC</w:t>
      </w:r>
      <w:proofErr w:type="spellEnd"/>
      <w:r>
        <w:rPr>
          <w:rFonts w:cs="Arial"/>
          <w:szCs w:val="24"/>
        </w:rPr>
        <w:t xml:space="preserve"> para plantas eólicas y solares con nueva información allegada a la Comisión.</w:t>
      </w:r>
    </w:p>
    <w:p w14:paraId="0310A331" w14:textId="77777777" w:rsidR="003032EB" w:rsidRDefault="003032EB" w:rsidP="003032EB">
      <w:pPr>
        <w:pStyle w:val="Prrafodelista"/>
        <w:ind w:left="0"/>
        <w:rPr>
          <w:rFonts w:cs="Arial"/>
          <w:szCs w:val="24"/>
        </w:rPr>
      </w:pPr>
    </w:p>
    <w:p w14:paraId="3051529D" w14:textId="77777777" w:rsidR="003032EB" w:rsidRDefault="003032EB" w:rsidP="003032EB">
      <w:pPr>
        <w:pStyle w:val="Ttulo1"/>
        <w:numPr>
          <w:ilvl w:val="0"/>
          <w:numId w:val="1"/>
        </w:numPr>
        <w:spacing w:after="0"/>
        <w:rPr>
          <w:rFonts w:cs="Arial"/>
          <w:szCs w:val="24"/>
        </w:rPr>
      </w:pPr>
      <w:bookmarkStart w:id="9" w:name="_Toc167802962"/>
      <w:r>
        <w:rPr>
          <w:rFonts w:cs="Arial"/>
          <w:szCs w:val="24"/>
        </w:rPr>
        <w:t>CONSULTA PÚBLICA</w:t>
      </w:r>
      <w:bookmarkEnd w:id="9"/>
    </w:p>
    <w:p w14:paraId="3ADB1346" w14:textId="77777777" w:rsidR="003032EB" w:rsidRDefault="003032EB" w:rsidP="003032EB">
      <w:pPr>
        <w:pStyle w:val="Ttulo1"/>
        <w:numPr>
          <w:ilvl w:val="0"/>
          <w:numId w:val="0"/>
        </w:numPr>
        <w:spacing w:after="0"/>
        <w:ind w:left="432"/>
        <w:rPr>
          <w:rFonts w:cs="Arial"/>
          <w:szCs w:val="24"/>
        </w:rPr>
      </w:pPr>
    </w:p>
    <w:p w14:paraId="017F44CB" w14:textId="77777777" w:rsidR="003032EB" w:rsidRDefault="003032EB" w:rsidP="003032EB">
      <w:pPr>
        <w:pStyle w:val="Prrafodelista"/>
        <w:ind w:left="0"/>
        <w:rPr>
          <w:rFonts w:cs="Arial"/>
          <w:szCs w:val="24"/>
        </w:rPr>
      </w:pPr>
      <w:r>
        <w:rPr>
          <w:rFonts w:cs="Arial"/>
          <w:szCs w:val="24"/>
        </w:rPr>
        <w:t>La CREG publicó a comentarios el proyecto de Proyecto de Resolución CREG 701 043 de 2024. En esta sección se describe el proyecto que se expidió a consulta.</w:t>
      </w:r>
    </w:p>
    <w:p w14:paraId="0A7EC37E" w14:textId="77777777" w:rsidR="003032EB" w:rsidRPr="00AF45DA" w:rsidRDefault="003032EB" w:rsidP="003032EB">
      <w:pPr>
        <w:pStyle w:val="Prrafodelista"/>
        <w:ind w:left="0"/>
        <w:rPr>
          <w:rFonts w:cs="Arial"/>
          <w:szCs w:val="24"/>
        </w:rPr>
      </w:pPr>
    </w:p>
    <w:p w14:paraId="3C1E5E8A" w14:textId="77777777" w:rsidR="003032EB" w:rsidRPr="00D962F4" w:rsidRDefault="003032EB" w:rsidP="003032EB">
      <w:pPr>
        <w:pStyle w:val="Ttulo2"/>
      </w:pPr>
      <w:bookmarkStart w:id="10" w:name="_Toc167802963"/>
      <w:r>
        <w:t>Información que se tuvo en cuenta en las alternativas del proyecto regulatorio</w:t>
      </w:r>
      <w:bookmarkEnd w:id="10"/>
    </w:p>
    <w:p w14:paraId="741DA816" w14:textId="77777777" w:rsidR="003032EB" w:rsidRDefault="003032EB" w:rsidP="003032EB">
      <w:pPr>
        <w:pStyle w:val="Prrafodelista"/>
        <w:ind w:left="0"/>
        <w:rPr>
          <w:rFonts w:cs="Arial"/>
          <w:szCs w:val="24"/>
        </w:rPr>
      </w:pPr>
      <w:r>
        <w:rPr>
          <w:rFonts w:cs="Arial"/>
          <w:szCs w:val="24"/>
        </w:rPr>
        <w:t>Para el análisis de alternativas se tuvo en cuenta la siguiente información:</w:t>
      </w:r>
    </w:p>
    <w:p w14:paraId="30C65552" w14:textId="77777777" w:rsidR="003032EB" w:rsidRDefault="003032EB" w:rsidP="003032EB">
      <w:pPr>
        <w:pStyle w:val="Prrafodelista"/>
        <w:ind w:left="0"/>
        <w:rPr>
          <w:rFonts w:cs="Arial"/>
          <w:szCs w:val="24"/>
        </w:rPr>
      </w:pPr>
    </w:p>
    <w:p w14:paraId="43C3F20C" w14:textId="77777777" w:rsidR="003032EB" w:rsidRDefault="003032EB" w:rsidP="003032EB">
      <w:pPr>
        <w:pStyle w:val="Prrafodelista"/>
        <w:numPr>
          <w:ilvl w:val="0"/>
          <w:numId w:val="17"/>
        </w:numPr>
        <w:rPr>
          <w:rFonts w:cs="Arial"/>
          <w:szCs w:val="24"/>
        </w:rPr>
      </w:pPr>
      <w:r>
        <w:rPr>
          <w:rFonts w:cs="Arial"/>
          <w:szCs w:val="24"/>
        </w:rPr>
        <w:lastRenderedPageBreak/>
        <w:t xml:space="preserve">Ser Colombia envía a la Comisión (Radicado CREG </w:t>
      </w:r>
      <w:proofErr w:type="spellStart"/>
      <w:r w:rsidRPr="007A64DB">
        <w:rPr>
          <w:rFonts w:cs="Arial"/>
          <w:szCs w:val="24"/>
        </w:rPr>
        <w:t>E2023014126</w:t>
      </w:r>
      <w:proofErr w:type="spellEnd"/>
      <w:r>
        <w:rPr>
          <w:rFonts w:cs="Arial"/>
          <w:szCs w:val="24"/>
        </w:rPr>
        <w:t>)</w:t>
      </w:r>
      <w:r w:rsidRPr="007A64DB">
        <w:rPr>
          <w:rFonts w:cs="Arial"/>
          <w:szCs w:val="24"/>
        </w:rPr>
        <w:t xml:space="preserve"> </w:t>
      </w:r>
      <w:r>
        <w:rPr>
          <w:rFonts w:cs="Arial"/>
          <w:szCs w:val="24"/>
        </w:rPr>
        <w:t>un estudio en donde para plantas solares proponen elevar el factor de ajuste de 0,6 a alrededor de 0,9.</w:t>
      </w:r>
    </w:p>
    <w:p w14:paraId="4F29863B" w14:textId="77777777" w:rsidR="003032EB" w:rsidRDefault="003032EB" w:rsidP="003032EB">
      <w:pPr>
        <w:pStyle w:val="Prrafodelista"/>
        <w:ind w:left="720"/>
        <w:rPr>
          <w:rFonts w:cs="Arial"/>
          <w:szCs w:val="24"/>
        </w:rPr>
      </w:pPr>
    </w:p>
    <w:p w14:paraId="070F7767" w14:textId="77777777" w:rsidR="003032EB" w:rsidRDefault="003032EB" w:rsidP="003032EB">
      <w:pPr>
        <w:pStyle w:val="Prrafodelista"/>
        <w:ind w:left="720"/>
        <w:rPr>
          <w:rFonts w:cs="Arial"/>
          <w:szCs w:val="24"/>
        </w:rPr>
      </w:pPr>
      <w:r>
        <w:rPr>
          <w:rFonts w:cs="Arial"/>
          <w:szCs w:val="24"/>
        </w:rPr>
        <w:t>Realizaron ejercicios con el modelo de cálculo anterior o metodología de la Resolución CREG 201 de 2017, asumiendo los valores en uno de sus ejercicios, y en otro ejercicio usando valores de una planta solar con datos publicados.</w:t>
      </w:r>
    </w:p>
    <w:p w14:paraId="77646875" w14:textId="77777777" w:rsidR="003032EB" w:rsidRDefault="003032EB" w:rsidP="003032EB">
      <w:pPr>
        <w:pStyle w:val="Prrafodelista"/>
        <w:ind w:left="720"/>
        <w:rPr>
          <w:rFonts w:cs="Arial"/>
          <w:szCs w:val="24"/>
        </w:rPr>
      </w:pPr>
    </w:p>
    <w:p w14:paraId="620839A0" w14:textId="77777777" w:rsidR="003032EB" w:rsidRDefault="003032EB" w:rsidP="003032EB">
      <w:pPr>
        <w:pStyle w:val="Prrafodelista"/>
        <w:ind w:left="720"/>
        <w:rPr>
          <w:rFonts w:cs="Arial"/>
          <w:szCs w:val="24"/>
        </w:rPr>
      </w:pPr>
      <w:r>
        <w:rPr>
          <w:rFonts w:cs="Arial"/>
          <w:szCs w:val="24"/>
        </w:rPr>
        <w:t>Así mismo afirman que n</w:t>
      </w:r>
      <w:r w:rsidRPr="009027CD">
        <w:rPr>
          <w:rFonts w:cs="Arial"/>
          <w:szCs w:val="24"/>
        </w:rPr>
        <w:t>o se contó</w:t>
      </w:r>
      <w:r>
        <w:rPr>
          <w:rFonts w:cs="Arial"/>
          <w:szCs w:val="24"/>
        </w:rPr>
        <w:t xml:space="preserve"> con</w:t>
      </w:r>
      <w:r w:rsidRPr="009027CD">
        <w:rPr>
          <w:rFonts w:cs="Arial"/>
          <w:szCs w:val="24"/>
        </w:rPr>
        <w:t xml:space="preserve"> información de las empresas que permitiera analizar la desviación entre la medición </w:t>
      </w:r>
      <w:r>
        <w:rPr>
          <w:rFonts w:cs="Arial"/>
          <w:szCs w:val="24"/>
        </w:rPr>
        <w:t>en</w:t>
      </w:r>
      <w:r w:rsidRPr="009027CD">
        <w:rPr>
          <w:rFonts w:cs="Arial"/>
          <w:szCs w:val="24"/>
        </w:rPr>
        <w:t xml:space="preserve"> sit</w:t>
      </w:r>
      <w:r>
        <w:rPr>
          <w:rFonts w:cs="Arial"/>
          <w:szCs w:val="24"/>
        </w:rPr>
        <w:t>io</w:t>
      </w:r>
      <w:r w:rsidRPr="009027CD">
        <w:rPr>
          <w:rFonts w:cs="Arial"/>
          <w:szCs w:val="24"/>
        </w:rPr>
        <w:t xml:space="preserve"> y la fuente secundaria del recurso sola</w:t>
      </w:r>
      <w:r>
        <w:rPr>
          <w:rFonts w:cs="Arial"/>
          <w:szCs w:val="24"/>
        </w:rPr>
        <w:t>r partiendo de información pública. En los ejercicios como máximo puede verse un error horario de 24,8% ante variaciones de Irradiación Global Horizontal (</w:t>
      </w:r>
      <w:proofErr w:type="spellStart"/>
      <w:r>
        <w:rPr>
          <w:rFonts w:cs="Arial"/>
          <w:szCs w:val="24"/>
        </w:rPr>
        <w:t>GHI</w:t>
      </w:r>
      <w:proofErr w:type="spellEnd"/>
      <w:r>
        <w:rPr>
          <w:rFonts w:cs="Arial"/>
          <w:szCs w:val="24"/>
        </w:rPr>
        <w:t xml:space="preserve">) y Temperatura Ambiente (TA). </w:t>
      </w:r>
    </w:p>
    <w:p w14:paraId="7097A955" w14:textId="77777777" w:rsidR="003032EB" w:rsidRDefault="003032EB" w:rsidP="003032EB">
      <w:pPr>
        <w:pStyle w:val="Prrafodelista"/>
        <w:ind w:left="720"/>
        <w:rPr>
          <w:rFonts w:cs="Arial"/>
          <w:szCs w:val="24"/>
        </w:rPr>
      </w:pPr>
    </w:p>
    <w:p w14:paraId="0548058A" w14:textId="77777777" w:rsidR="003032EB" w:rsidRDefault="003032EB" w:rsidP="003032EB">
      <w:pPr>
        <w:pStyle w:val="Prrafodelista"/>
        <w:ind w:left="720"/>
        <w:rPr>
          <w:rFonts w:cs="Arial"/>
          <w:szCs w:val="24"/>
        </w:rPr>
      </w:pPr>
      <w:r>
        <w:rPr>
          <w:rFonts w:cs="Arial"/>
          <w:szCs w:val="24"/>
        </w:rPr>
        <w:t xml:space="preserve">Para plantas eólicas, se entiende que la sugerencia del estudio anterior es no realizar cambios, pues no encontraron en este último caso resultados contundentes. </w:t>
      </w:r>
    </w:p>
    <w:p w14:paraId="370922BA" w14:textId="77777777" w:rsidR="003032EB" w:rsidRDefault="003032EB" w:rsidP="003032EB">
      <w:pPr>
        <w:pStyle w:val="Prrafodelista"/>
        <w:ind w:left="720"/>
        <w:rPr>
          <w:rFonts w:cs="Arial"/>
          <w:szCs w:val="24"/>
        </w:rPr>
      </w:pPr>
    </w:p>
    <w:p w14:paraId="7485F7C2" w14:textId="77777777" w:rsidR="003032EB" w:rsidRDefault="003032EB" w:rsidP="003032EB">
      <w:pPr>
        <w:pStyle w:val="Prrafodelista"/>
        <w:ind w:left="720"/>
        <w:rPr>
          <w:rFonts w:cs="Arial"/>
          <w:szCs w:val="24"/>
        </w:rPr>
      </w:pPr>
      <w:r>
        <w:rPr>
          <w:rFonts w:cs="Arial"/>
          <w:szCs w:val="24"/>
        </w:rPr>
        <w:t xml:space="preserve">Se afirma que para plantas eólicas </w:t>
      </w:r>
      <w:r w:rsidRPr="00A13DEB">
        <w:rPr>
          <w:rFonts w:cs="Arial"/>
          <w:szCs w:val="24"/>
        </w:rPr>
        <w:t>se solicitó información a las empresas que adquirieron O</w:t>
      </w:r>
      <w:r>
        <w:rPr>
          <w:rFonts w:cs="Arial"/>
          <w:szCs w:val="24"/>
        </w:rPr>
        <w:t xml:space="preserve">bligaciones </w:t>
      </w:r>
      <w:r w:rsidRPr="00A13DEB">
        <w:rPr>
          <w:rFonts w:cs="Arial"/>
          <w:szCs w:val="24"/>
        </w:rPr>
        <w:t>E</w:t>
      </w:r>
      <w:r>
        <w:rPr>
          <w:rFonts w:cs="Arial"/>
          <w:szCs w:val="24"/>
        </w:rPr>
        <w:t xml:space="preserve">nergía </w:t>
      </w:r>
      <w:r w:rsidRPr="00A13DEB">
        <w:rPr>
          <w:rFonts w:cs="Arial"/>
          <w:szCs w:val="24"/>
        </w:rPr>
        <w:t>F</w:t>
      </w:r>
      <w:r>
        <w:rPr>
          <w:rFonts w:cs="Arial"/>
          <w:szCs w:val="24"/>
        </w:rPr>
        <w:t>irme (</w:t>
      </w:r>
      <w:proofErr w:type="spellStart"/>
      <w:r>
        <w:rPr>
          <w:rFonts w:cs="Arial"/>
          <w:szCs w:val="24"/>
        </w:rPr>
        <w:t>OEF</w:t>
      </w:r>
      <w:proofErr w:type="spellEnd"/>
      <w:r>
        <w:rPr>
          <w:rFonts w:cs="Arial"/>
          <w:szCs w:val="24"/>
        </w:rPr>
        <w:t>)</w:t>
      </w:r>
      <w:r w:rsidRPr="00A13DEB">
        <w:rPr>
          <w:rFonts w:cs="Arial"/>
          <w:szCs w:val="24"/>
        </w:rPr>
        <w:t xml:space="preserve"> mediante alguno de los mecanismos del C</w:t>
      </w:r>
      <w:r>
        <w:rPr>
          <w:rFonts w:cs="Arial"/>
          <w:szCs w:val="24"/>
        </w:rPr>
        <w:t xml:space="preserve">argo por </w:t>
      </w:r>
      <w:r w:rsidRPr="00A13DEB">
        <w:rPr>
          <w:rFonts w:cs="Arial"/>
          <w:szCs w:val="24"/>
        </w:rPr>
        <w:t>C</w:t>
      </w:r>
      <w:r>
        <w:rPr>
          <w:rFonts w:cs="Arial"/>
          <w:szCs w:val="24"/>
        </w:rPr>
        <w:t>onfiabilidad</w:t>
      </w:r>
      <w:r w:rsidRPr="00A13DEB">
        <w:rPr>
          <w:rFonts w:cs="Arial"/>
          <w:szCs w:val="24"/>
        </w:rPr>
        <w:t xml:space="preserve"> para este tipo de generació</w:t>
      </w:r>
      <w:r>
        <w:rPr>
          <w:rFonts w:cs="Arial"/>
          <w:szCs w:val="24"/>
        </w:rPr>
        <w:t xml:space="preserve">n. Se obtuvo de esta información </w:t>
      </w:r>
      <w:r w:rsidRPr="00F65945">
        <w:rPr>
          <w:rFonts w:cs="Arial"/>
          <w:szCs w:val="24"/>
        </w:rPr>
        <w:t>resultados de desviación a nivel horario de entre 27% y 52%, a nivel diario de entre 14% y 17% y a nivel mensual de entre 10% y 13%</w:t>
      </w:r>
      <w:r>
        <w:rPr>
          <w:rFonts w:cs="Arial"/>
          <w:szCs w:val="24"/>
        </w:rPr>
        <w:t xml:space="preserve">, esto comparando datos en sitio y fuentes secundarias. </w:t>
      </w:r>
    </w:p>
    <w:p w14:paraId="527EC489" w14:textId="77777777" w:rsidR="003032EB" w:rsidRDefault="003032EB" w:rsidP="003032EB">
      <w:pPr>
        <w:pStyle w:val="Prrafodelista"/>
        <w:ind w:left="720"/>
        <w:rPr>
          <w:rFonts w:cs="Arial"/>
          <w:szCs w:val="24"/>
        </w:rPr>
      </w:pPr>
    </w:p>
    <w:p w14:paraId="6446ADBC" w14:textId="77777777" w:rsidR="003032EB" w:rsidRDefault="003032EB" w:rsidP="003032EB">
      <w:pPr>
        <w:pStyle w:val="Prrafodelista"/>
        <w:numPr>
          <w:ilvl w:val="0"/>
          <w:numId w:val="17"/>
        </w:numPr>
        <w:rPr>
          <w:rFonts w:cs="Arial"/>
          <w:szCs w:val="24"/>
        </w:rPr>
      </w:pPr>
      <w:proofErr w:type="spellStart"/>
      <w:r>
        <w:rPr>
          <w:rFonts w:cs="Arial"/>
          <w:szCs w:val="24"/>
        </w:rPr>
        <w:t>CND</w:t>
      </w:r>
      <w:proofErr w:type="spellEnd"/>
      <w:r>
        <w:rPr>
          <w:rFonts w:cs="Arial"/>
          <w:szCs w:val="24"/>
        </w:rPr>
        <w:t xml:space="preserve"> realiza cálculos a solicitud de la CREG con el nuevo modelo y metodología de las Resoluciones CREG 006 y 007 de 2023 (radicados CREG </w:t>
      </w:r>
      <w:proofErr w:type="spellStart"/>
      <w:r w:rsidRPr="002836C9">
        <w:rPr>
          <w:rFonts w:cs="Arial"/>
          <w:szCs w:val="24"/>
        </w:rPr>
        <w:t>E2024002578</w:t>
      </w:r>
      <w:proofErr w:type="spellEnd"/>
      <w:r>
        <w:rPr>
          <w:rFonts w:cs="Arial"/>
          <w:szCs w:val="24"/>
        </w:rPr>
        <w:t xml:space="preserve"> y </w:t>
      </w:r>
      <w:proofErr w:type="spellStart"/>
      <w:r w:rsidRPr="002836C9">
        <w:rPr>
          <w:rFonts w:cs="Arial"/>
          <w:szCs w:val="24"/>
        </w:rPr>
        <w:t>E2024005692</w:t>
      </w:r>
      <w:proofErr w:type="spellEnd"/>
      <w:r>
        <w:rPr>
          <w:rFonts w:cs="Arial"/>
          <w:szCs w:val="24"/>
        </w:rPr>
        <w:t>), con los siguientes resultados generales:</w:t>
      </w:r>
    </w:p>
    <w:p w14:paraId="0683E9B4" w14:textId="77777777" w:rsidR="003032EB" w:rsidRPr="00E126AA" w:rsidRDefault="003032EB" w:rsidP="003032EB">
      <w:pPr>
        <w:pStyle w:val="Prrafodelista"/>
        <w:rPr>
          <w:rFonts w:cs="Arial"/>
          <w:szCs w:val="24"/>
        </w:rPr>
      </w:pPr>
    </w:p>
    <w:p w14:paraId="0DA96128" w14:textId="77777777" w:rsidR="003032EB" w:rsidRDefault="003032EB" w:rsidP="003032EB">
      <w:pPr>
        <w:pStyle w:val="Prrafodelista"/>
        <w:numPr>
          <w:ilvl w:val="0"/>
          <w:numId w:val="18"/>
        </w:numPr>
        <w:rPr>
          <w:rFonts w:cs="Arial"/>
          <w:szCs w:val="24"/>
        </w:rPr>
      </w:pPr>
      <w:r>
        <w:rPr>
          <w:rFonts w:cs="Arial"/>
          <w:szCs w:val="24"/>
        </w:rPr>
        <w:t xml:space="preserve">En las plantas solares (aproximadamente 5 en Colombia) se encuentran diferencias máximas entre usar datos en sitio y no usar datos en sitio de aproximadamente el 17%, es decir, el factor de ajuste para dichas plantas ronda el 83% cuando no se usan datos en sitio. </w:t>
      </w:r>
    </w:p>
    <w:p w14:paraId="3600E8F0" w14:textId="77777777" w:rsidR="003032EB" w:rsidRDefault="003032EB" w:rsidP="003032EB">
      <w:pPr>
        <w:pStyle w:val="Prrafodelista"/>
        <w:ind w:left="1440"/>
        <w:rPr>
          <w:rFonts w:cs="Arial"/>
          <w:szCs w:val="24"/>
        </w:rPr>
      </w:pPr>
    </w:p>
    <w:p w14:paraId="5BF51BDF" w14:textId="77777777" w:rsidR="003032EB" w:rsidRDefault="003032EB" w:rsidP="003032EB">
      <w:pPr>
        <w:pStyle w:val="Prrafodelista"/>
        <w:ind w:left="1440"/>
        <w:rPr>
          <w:rFonts w:cs="Arial"/>
          <w:szCs w:val="24"/>
        </w:rPr>
      </w:pPr>
      <w:r>
        <w:rPr>
          <w:rFonts w:cs="Arial"/>
          <w:szCs w:val="24"/>
        </w:rPr>
        <w:t xml:space="preserve">En todo caso se realizan suposiciones de algunos parámetros para aplicación de la metodología. </w:t>
      </w:r>
    </w:p>
    <w:p w14:paraId="653B2E4C" w14:textId="77777777" w:rsidR="003032EB" w:rsidRDefault="003032EB" w:rsidP="003032EB">
      <w:pPr>
        <w:pStyle w:val="Prrafodelista"/>
        <w:ind w:left="1440"/>
        <w:rPr>
          <w:rFonts w:cs="Arial"/>
          <w:szCs w:val="24"/>
        </w:rPr>
      </w:pPr>
    </w:p>
    <w:p w14:paraId="2A6C1637" w14:textId="77777777" w:rsidR="003032EB" w:rsidRPr="005C2DC2" w:rsidRDefault="003032EB" w:rsidP="003032EB">
      <w:pPr>
        <w:ind w:left="1416"/>
        <w:rPr>
          <w:rFonts w:cs="Arial"/>
          <w:szCs w:val="24"/>
        </w:rPr>
      </w:pPr>
      <w:r w:rsidRPr="005C2DC2">
        <w:rPr>
          <w:rFonts w:cs="Arial"/>
          <w:szCs w:val="24"/>
        </w:rPr>
        <w:t>Los resultados se presentan generales, puesto que son considerados confidenciales</w:t>
      </w:r>
      <w:r>
        <w:rPr>
          <w:rFonts w:cs="Arial"/>
          <w:szCs w:val="24"/>
        </w:rPr>
        <w:t xml:space="preserve">. </w:t>
      </w:r>
    </w:p>
    <w:p w14:paraId="0F9D1872" w14:textId="77777777" w:rsidR="003032EB" w:rsidRDefault="003032EB" w:rsidP="003032EB">
      <w:pPr>
        <w:pStyle w:val="Prrafodelista"/>
        <w:ind w:left="1440"/>
        <w:rPr>
          <w:rFonts w:cs="Arial"/>
          <w:szCs w:val="24"/>
        </w:rPr>
      </w:pPr>
    </w:p>
    <w:p w14:paraId="18BF8670" w14:textId="77777777" w:rsidR="003032EB" w:rsidRDefault="003032EB" w:rsidP="003032EB">
      <w:pPr>
        <w:pStyle w:val="Prrafodelista"/>
        <w:numPr>
          <w:ilvl w:val="0"/>
          <w:numId w:val="18"/>
        </w:numPr>
        <w:rPr>
          <w:rFonts w:cs="Arial"/>
          <w:szCs w:val="24"/>
        </w:rPr>
      </w:pPr>
      <w:r>
        <w:rPr>
          <w:rFonts w:cs="Arial"/>
          <w:szCs w:val="24"/>
        </w:rPr>
        <w:t xml:space="preserve">En plantas eólicas no se puede concluir, pues se hicieron pruebas con una planta de prueba, ante ausencia de datos. </w:t>
      </w:r>
    </w:p>
    <w:p w14:paraId="069532EF" w14:textId="77777777" w:rsidR="003032EB" w:rsidRDefault="003032EB" w:rsidP="003032EB">
      <w:pPr>
        <w:pStyle w:val="Prrafodelista"/>
        <w:ind w:left="1440"/>
        <w:rPr>
          <w:rFonts w:cs="Arial"/>
          <w:szCs w:val="24"/>
        </w:rPr>
      </w:pPr>
    </w:p>
    <w:p w14:paraId="24CFAFCD" w14:textId="77777777" w:rsidR="003032EB" w:rsidRDefault="003032EB" w:rsidP="003032EB">
      <w:pPr>
        <w:pStyle w:val="Prrafodelista"/>
        <w:ind w:left="1440"/>
        <w:rPr>
          <w:rFonts w:cs="Arial"/>
          <w:szCs w:val="24"/>
        </w:rPr>
      </w:pPr>
      <w:r>
        <w:rPr>
          <w:rFonts w:cs="Arial"/>
          <w:szCs w:val="24"/>
        </w:rPr>
        <w:lastRenderedPageBreak/>
        <w:t>La denominada planta de prueba se conforma de algunos datos de una planta para la que se tienen datos y se complementan, pero en su mayoría los datos son supuestos.</w:t>
      </w:r>
    </w:p>
    <w:p w14:paraId="4E980F0F" w14:textId="77777777" w:rsidR="003032EB" w:rsidRDefault="003032EB" w:rsidP="003032EB">
      <w:pPr>
        <w:pStyle w:val="Prrafodelista"/>
        <w:ind w:left="1440"/>
        <w:rPr>
          <w:rFonts w:cs="Arial"/>
          <w:szCs w:val="24"/>
        </w:rPr>
      </w:pPr>
    </w:p>
    <w:p w14:paraId="3A868625" w14:textId="77777777" w:rsidR="003032EB" w:rsidRDefault="003032EB" w:rsidP="003032EB">
      <w:pPr>
        <w:pStyle w:val="Prrafodelista"/>
        <w:numPr>
          <w:ilvl w:val="0"/>
          <w:numId w:val="17"/>
        </w:numPr>
        <w:rPr>
          <w:rFonts w:cs="Arial"/>
          <w:szCs w:val="24"/>
        </w:rPr>
      </w:pPr>
      <w:r>
        <w:rPr>
          <w:rFonts w:cs="Arial"/>
          <w:szCs w:val="24"/>
        </w:rPr>
        <w:t>La Comisión revisa la experiencia internacional y encuentra para plantas solares:</w:t>
      </w:r>
    </w:p>
    <w:p w14:paraId="55D50F29" w14:textId="77777777" w:rsidR="003032EB" w:rsidRDefault="003032EB" w:rsidP="003032EB">
      <w:pPr>
        <w:pStyle w:val="Prrafodelista"/>
        <w:ind w:left="720"/>
        <w:rPr>
          <w:rFonts w:cs="Arial"/>
          <w:szCs w:val="24"/>
        </w:rPr>
      </w:pPr>
    </w:p>
    <w:p w14:paraId="69B369F0" w14:textId="77777777" w:rsidR="003032EB" w:rsidRDefault="003032EB" w:rsidP="003032EB">
      <w:pPr>
        <w:pStyle w:val="Prrafodelista"/>
        <w:numPr>
          <w:ilvl w:val="0"/>
          <w:numId w:val="19"/>
        </w:numPr>
        <w:rPr>
          <w:rFonts w:cs="Arial"/>
          <w:szCs w:val="24"/>
        </w:rPr>
      </w:pPr>
      <w:r>
        <w:rPr>
          <w:rFonts w:cs="Arial"/>
          <w:szCs w:val="24"/>
        </w:rPr>
        <w:t xml:space="preserve">De la referencia: </w:t>
      </w:r>
      <w:r w:rsidRPr="00246350">
        <w:rPr>
          <w:rFonts w:cs="Arial"/>
          <w:i/>
          <w:iCs/>
          <w:szCs w:val="24"/>
        </w:rPr>
        <w:t xml:space="preserve">Solar input data </w:t>
      </w:r>
      <w:proofErr w:type="spellStart"/>
      <w:r w:rsidRPr="00246350">
        <w:rPr>
          <w:rFonts w:cs="Arial"/>
          <w:i/>
          <w:iCs/>
          <w:szCs w:val="24"/>
        </w:rPr>
        <w:t>for</w:t>
      </w:r>
      <w:proofErr w:type="spellEnd"/>
      <w:r w:rsidRPr="00246350">
        <w:rPr>
          <w:rFonts w:cs="Arial"/>
          <w:i/>
          <w:iCs/>
          <w:szCs w:val="24"/>
        </w:rPr>
        <w:t xml:space="preserve"> </w:t>
      </w:r>
      <w:proofErr w:type="spellStart"/>
      <w:r w:rsidRPr="00246350">
        <w:rPr>
          <w:rFonts w:cs="Arial"/>
          <w:i/>
          <w:iCs/>
          <w:szCs w:val="24"/>
        </w:rPr>
        <w:t>photovoltaic</w:t>
      </w:r>
      <w:proofErr w:type="spellEnd"/>
      <w:r w:rsidRPr="00246350">
        <w:rPr>
          <w:rFonts w:cs="Arial"/>
          <w:i/>
          <w:iCs/>
          <w:szCs w:val="24"/>
        </w:rPr>
        <w:t xml:space="preserve"> performance </w:t>
      </w:r>
      <w:proofErr w:type="spellStart"/>
      <w:r w:rsidRPr="00246350">
        <w:rPr>
          <w:rFonts w:cs="Arial"/>
          <w:i/>
          <w:iCs/>
          <w:szCs w:val="24"/>
        </w:rPr>
        <w:t>modeling</w:t>
      </w:r>
      <w:proofErr w:type="spellEnd"/>
      <w:r w:rsidRPr="00246350">
        <w:rPr>
          <w:rFonts w:cs="Arial"/>
          <w:i/>
          <w:iCs/>
          <w:szCs w:val="24"/>
        </w:rPr>
        <w:t xml:space="preserve">, IEEE, </w:t>
      </w:r>
      <w:r w:rsidRPr="00001D46">
        <w:rPr>
          <w:rFonts w:cs="Arial"/>
          <w:i/>
          <w:iCs/>
          <w:szCs w:val="24"/>
        </w:rPr>
        <w:t xml:space="preserve">2012 </w:t>
      </w:r>
      <w:proofErr w:type="spellStart"/>
      <w:r w:rsidRPr="00001D46">
        <w:rPr>
          <w:rFonts w:cs="Arial"/>
          <w:i/>
          <w:iCs/>
          <w:szCs w:val="24"/>
        </w:rPr>
        <w:t>38th</w:t>
      </w:r>
      <w:proofErr w:type="spellEnd"/>
      <w:r w:rsidRPr="00001D46">
        <w:rPr>
          <w:rFonts w:cs="Arial"/>
          <w:i/>
          <w:iCs/>
          <w:szCs w:val="24"/>
        </w:rPr>
        <w:t xml:space="preserve"> IEEE </w:t>
      </w:r>
      <w:proofErr w:type="spellStart"/>
      <w:r w:rsidRPr="00001D46">
        <w:rPr>
          <w:rFonts w:cs="Arial"/>
          <w:i/>
          <w:iCs/>
          <w:szCs w:val="24"/>
        </w:rPr>
        <w:t>Photovoltaic</w:t>
      </w:r>
      <w:proofErr w:type="spellEnd"/>
      <w:r w:rsidRPr="00001D46">
        <w:rPr>
          <w:rFonts w:cs="Arial"/>
          <w:i/>
          <w:iCs/>
          <w:szCs w:val="24"/>
        </w:rPr>
        <w:t xml:space="preserve"> </w:t>
      </w:r>
      <w:proofErr w:type="spellStart"/>
      <w:r w:rsidRPr="00001D46">
        <w:rPr>
          <w:rFonts w:cs="Arial"/>
          <w:i/>
          <w:iCs/>
          <w:szCs w:val="24"/>
        </w:rPr>
        <w:t>Specialists</w:t>
      </w:r>
      <w:proofErr w:type="spellEnd"/>
      <w:r w:rsidRPr="00001D46">
        <w:rPr>
          <w:rFonts w:cs="Arial"/>
          <w:i/>
          <w:iCs/>
          <w:szCs w:val="24"/>
        </w:rPr>
        <w:t xml:space="preserve"> </w:t>
      </w:r>
      <w:proofErr w:type="spellStart"/>
      <w:r w:rsidRPr="00001D46">
        <w:rPr>
          <w:rFonts w:cs="Arial"/>
          <w:i/>
          <w:iCs/>
          <w:szCs w:val="24"/>
        </w:rPr>
        <w:t>Conference</w:t>
      </w:r>
      <w:proofErr w:type="spellEnd"/>
      <w:r>
        <w:rPr>
          <w:rFonts w:cs="Arial"/>
          <w:szCs w:val="24"/>
        </w:rPr>
        <w:t>, se obtienen las siguientes conclusiones:</w:t>
      </w:r>
    </w:p>
    <w:p w14:paraId="22F4186C" w14:textId="77777777" w:rsidR="003032EB" w:rsidRDefault="003032EB" w:rsidP="003032EB">
      <w:pPr>
        <w:pStyle w:val="Prrafodelista"/>
        <w:ind w:left="1440"/>
        <w:rPr>
          <w:rFonts w:cs="Arial"/>
          <w:szCs w:val="24"/>
        </w:rPr>
      </w:pPr>
    </w:p>
    <w:p w14:paraId="0959A0DC" w14:textId="57E43CF2" w:rsidR="003032EB" w:rsidRPr="00382EF9" w:rsidRDefault="003032EB" w:rsidP="003032EB">
      <w:pPr>
        <w:pStyle w:val="Prrafodelista"/>
        <w:numPr>
          <w:ilvl w:val="0"/>
          <w:numId w:val="20"/>
        </w:numPr>
        <w:ind w:left="1843"/>
        <w:rPr>
          <w:rFonts w:cs="Arial"/>
          <w:szCs w:val="24"/>
        </w:rPr>
      </w:pPr>
      <w:r w:rsidRPr="00382EF9">
        <w:rPr>
          <w:rFonts w:cs="Arial"/>
          <w:szCs w:val="24"/>
        </w:rPr>
        <w:t xml:space="preserve">La estimación de la energía calculada tiene aproximadamente la </w:t>
      </w:r>
      <w:r w:rsidR="00D154C1" w:rsidRPr="00382EF9">
        <w:rPr>
          <w:rFonts w:cs="Arial"/>
          <w:szCs w:val="24"/>
        </w:rPr>
        <w:t>misma incertidumbre</w:t>
      </w:r>
      <w:r w:rsidRPr="00382EF9">
        <w:rPr>
          <w:rFonts w:cs="Arial"/>
          <w:szCs w:val="24"/>
        </w:rPr>
        <w:t xml:space="preserve"> de la fuente usada</w:t>
      </w:r>
      <w:r>
        <w:rPr>
          <w:rFonts w:cs="Arial"/>
          <w:szCs w:val="24"/>
        </w:rPr>
        <w:t>.</w:t>
      </w:r>
    </w:p>
    <w:p w14:paraId="4E7CBF2F" w14:textId="77777777" w:rsidR="003032EB" w:rsidRPr="00382EF9" w:rsidRDefault="003032EB" w:rsidP="003032EB">
      <w:pPr>
        <w:pStyle w:val="Prrafodelista"/>
        <w:ind w:left="1843"/>
        <w:rPr>
          <w:rFonts w:cs="Arial"/>
          <w:szCs w:val="24"/>
        </w:rPr>
      </w:pPr>
    </w:p>
    <w:p w14:paraId="22BF4ECF" w14:textId="77777777" w:rsidR="003032EB" w:rsidRPr="00382EF9" w:rsidRDefault="003032EB" w:rsidP="003032EB">
      <w:pPr>
        <w:pStyle w:val="Prrafodelista"/>
        <w:numPr>
          <w:ilvl w:val="0"/>
          <w:numId w:val="20"/>
        </w:numPr>
        <w:ind w:left="1843"/>
        <w:rPr>
          <w:rFonts w:cs="Arial"/>
          <w:szCs w:val="24"/>
        </w:rPr>
      </w:pPr>
      <w:r w:rsidRPr="00382EF9">
        <w:rPr>
          <w:rFonts w:cs="Arial"/>
          <w:szCs w:val="24"/>
        </w:rPr>
        <w:t xml:space="preserve">Con datos en sitio la incertidumbre de la energía producida solar es de </w:t>
      </w:r>
      <w:r>
        <w:rPr>
          <w:rFonts w:cs="Arial"/>
          <w:szCs w:val="24"/>
        </w:rPr>
        <w:t>aproximadamente de</w:t>
      </w:r>
      <w:r w:rsidRPr="00382EF9">
        <w:rPr>
          <w:rFonts w:cs="Arial"/>
          <w:szCs w:val="24"/>
        </w:rPr>
        <w:t xml:space="preserve"> 7 %</w:t>
      </w:r>
      <w:r>
        <w:rPr>
          <w:rFonts w:cs="Arial"/>
          <w:szCs w:val="24"/>
        </w:rPr>
        <w:t>.</w:t>
      </w:r>
    </w:p>
    <w:p w14:paraId="203F21C9" w14:textId="77777777" w:rsidR="003032EB" w:rsidRPr="00382EF9" w:rsidRDefault="003032EB" w:rsidP="003032EB">
      <w:pPr>
        <w:pStyle w:val="Prrafodelista"/>
        <w:ind w:left="1843"/>
        <w:rPr>
          <w:rFonts w:cs="Arial"/>
          <w:szCs w:val="24"/>
        </w:rPr>
      </w:pPr>
    </w:p>
    <w:p w14:paraId="30FFD38B" w14:textId="77777777" w:rsidR="003032EB" w:rsidRPr="00382EF9" w:rsidRDefault="003032EB" w:rsidP="003032EB">
      <w:pPr>
        <w:pStyle w:val="Prrafodelista"/>
        <w:numPr>
          <w:ilvl w:val="0"/>
          <w:numId w:val="20"/>
        </w:numPr>
        <w:ind w:left="1843"/>
        <w:rPr>
          <w:rFonts w:cs="Arial"/>
          <w:szCs w:val="24"/>
        </w:rPr>
      </w:pPr>
      <w:r w:rsidRPr="00382EF9">
        <w:rPr>
          <w:rFonts w:cs="Arial"/>
          <w:szCs w:val="24"/>
        </w:rPr>
        <w:t>Con fuentes secundarias</w:t>
      </w:r>
      <w:r>
        <w:rPr>
          <w:rFonts w:cs="Arial"/>
          <w:szCs w:val="24"/>
        </w:rPr>
        <w:t xml:space="preserve"> la</w:t>
      </w:r>
      <w:r w:rsidRPr="00382EF9">
        <w:rPr>
          <w:rFonts w:cs="Arial"/>
          <w:szCs w:val="24"/>
        </w:rPr>
        <w:t xml:space="preserve"> incertidumbre de la energía producida solar es de </w:t>
      </w:r>
      <w:r>
        <w:rPr>
          <w:rFonts w:cs="Arial"/>
          <w:szCs w:val="24"/>
        </w:rPr>
        <w:t>aproximadamente de</w:t>
      </w:r>
      <w:r w:rsidRPr="00382EF9">
        <w:rPr>
          <w:rFonts w:cs="Arial"/>
          <w:szCs w:val="24"/>
        </w:rPr>
        <w:t xml:space="preserve"> 9% a 12%. Existen sitios donde con el uso de la fuente secundaria se pueden producir incertidumbres de 10 a 20%. </w:t>
      </w:r>
    </w:p>
    <w:p w14:paraId="616345D3" w14:textId="77777777" w:rsidR="003032EB" w:rsidRPr="00382EF9" w:rsidRDefault="003032EB" w:rsidP="003032EB">
      <w:pPr>
        <w:pStyle w:val="Prrafodelista"/>
        <w:ind w:left="1843"/>
        <w:rPr>
          <w:rFonts w:cs="Arial"/>
          <w:szCs w:val="24"/>
        </w:rPr>
      </w:pPr>
    </w:p>
    <w:p w14:paraId="387A90AF" w14:textId="6A030746" w:rsidR="003032EB" w:rsidRDefault="003032EB" w:rsidP="003032EB">
      <w:pPr>
        <w:pStyle w:val="Prrafodelista"/>
        <w:numPr>
          <w:ilvl w:val="0"/>
          <w:numId w:val="20"/>
        </w:numPr>
        <w:ind w:left="1843"/>
        <w:rPr>
          <w:rFonts w:cs="Arial"/>
          <w:szCs w:val="24"/>
        </w:rPr>
      </w:pPr>
      <w:r w:rsidRPr="00382EF9">
        <w:rPr>
          <w:rFonts w:cs="Arial"/>
          <w:szCs w:val="24"/>
        </w:rPr>
        <w:t xml:space="preserve">Recomiendan tener los datos </w:t>
      </w:r>
      <w:r w:rsidR="00D154C1">
        <w:rPr>
          <w:rFonts w:cs="Arial"/>
          <w:szCs w:val="24"/>
        </w:rPr>
        <w:t xml:space="preserve">medidos </w:t>
      </w:r>
      <w:r w:rsidRPr="00382EF9">
        <w:rPr>
          <w:rFonts w:cs="Arial"/>
          <w:szCs w:val="24"/>
        </w:rPr>
        <w:t>en sitio</w:t>
      </w:r>
      <w:r>
        <w:rPr>
          <w:rFonts w:cs="Arial"/>
          <w:szCs w:val="24"/>
        </w:rPr>
        <w:t xml:space="preserve">. </w:t>
      </w:r>
    </w:p>
    <w:p w14:paraId="510D6C07" w14:textId="77777777" w:rsidR="003032EB" w:rsidRDefault="003032EB" w:rsidP="003032EB">
      <w:pPr>
        <w:pStyle w:val="Prrafodelista"/>
        <w:ind w:left="1440"/>
        <w:rPr>
          <w:rFonts w:cs="Arial"/>
          <w:szCs w:val="24"/>
        </w:rPr>
      </w:pPr>
    </w:p>
    <w:p w14:paraId="0AF63C50" w14:textId="77777777" w:rsidR="003032EB" w:rsidRPr="00D154C1" w:rsidRDefault="003032EB" w:rsidP="003032EB">
      <w:pPr>
        <w:pStyle w:val="Prrafodelista"/>
        <w:numPr>
          <w:ilvl w:val="0"/>
          <w:numId w:val="19"/>
        </w:numPr>
        <w:rPr>
          <w:rFonts w:cs="Arial"/>
          <w:szCs w:val="24"/>
          <w:lang w:val="en-US"/>
        </w:rPr>
      </w:pPr>
      <w:r w:rsidRPr="00D154C1">
        <w:rPr>
          <w:rFonts w:cs="Arial"/>
          <w:szCs w:val="24"/>
          <w:lang w:val="en-US"/>
        </w:rPr>
        <w:t xml:space="preserve">De la </w:t>
      </w:r>
      <w:proofErr w:type="spellStart"/>
      <w:r w:rsidRPr="00D154C1">
        <w:rPr>
          <w:rFonts w:cs="Arial"/>
          <w:szCs w:val="24"/>
          <w:lang w:val="en-US"/>
        </w:rPr>
        <w:t>referencia</w:t>
      </w:r>
      <w:proofErr w:type="spellEnd"/>
      <w:r w:rsidRPr="00D154C1">
        <w:rPr>
          <w:rFonts w:cs="Arial"/>
          <w:szCs w:val="24"/>
          <w:lang w:val="en-US"/>
        </w:rPr>
        <w:t xml:space="preserve">: </w:t>
      </w:r>
      <w:r w:rsidRPr="00D154C1">
        <w:rPr>
          <w:rFonts w:cs="Arial"/>
          <w:i/>
          <w:iCs/>
          <w:szCs w:val="24"/>
          <w:lang w:val="en-US"/>
        </w:rPr>
        <w:t xml:space="preserve">The impact of solar uncertainty on project </w:t>
      </w:r>
      <w:proofErr w:type="spellStart"/>
      <w:r w:rsidRPr="00D154C1">
        <w:rPr>
          <w:rFonts w:cs="Arial"/>
          <w:i/>
          <w:iCs/>
          <w:szCs w:val="24"/>
          <w:lang w:val="en-US"/>
        </w:rPr>
        <w:t>financeability</w:t>
      </w:r>
      <w:proofErr w:type="spellEnd"/>
      <w:r w:rsidRPr="00D154C1">
        <w:rPr>
          <w:rFonts w:cs="Arial"/>
          <w:i/>
          <w:iCs/>
          <w:szCs w:val="24"/>
          <w:lang w:val="en-US"/>
        </w:rPr>
        <w:t xml:space="preserve">: mitigating energy risk through on-site monitoring, ASSES Annual Conference, AWS </w:t>
      </w:r>
      <w:proofErr w:type="spellStart"/>
      <w:r w:rsidRPr="00D154C1">
        <w:rPr>
          <w:rFonts w:cs="Arial"/>
          <w:i/>
          <w:iCs/>
          <w:szCs w:val="24"/>
          <w:lang w:val="en-US"/>
        </w:rPr>
        <w:t>Truepower</w:t>
      </w:r>
      <w:proofErr w:type="spellEnd"/>
      <w:r w:rsidRPr="00D154C1">
        <w:rPr>
          <w:rFonts w:cs="Arial"/>
          <w:i/>
          <w:iCs/>
          <w:szCs w:val="24"/>
          <w:lang w:val="en-US"/>
        </w:rPr>
        <w:t xml:space="preserve">, 2012, </w:t>
      </w:r>
      <w:r w:rsidRPr="00D154C1">
        <w:rPr>
          <w:rFonts w:cs="Arial"/>
          <w:szCs w:val="24"/>
          <w:lang w:val="en-US"/>
        </w:rPr>
        <w:t xml:space="preserve">se </w:t>
      </w:r>
      <w:proofErr w:type="spellStart"/>
      <w:r w:rsidRPr="00D154C1">
        <w:rPr>
          <w:rFonts w:cs="Arial"/>
          <w:szCs w:val="24"/>
          <w:lang w:val="en-US"/>
        </w:rPr>
        <w:t>obtienen</w:t>
      </w:r>
      <w:proofErr w:type="spellEnd"/>
      <w:r w:rsidRPr="00D154C1">
        <w:rPr>
          <w:rFonts w:cs="Arial"/>
          <w:szCs w:val="24"/>
          <w:lang w:val="en-US"/>
        </w:rPr>
        <w:t xml:space="preserve"> las </w:t>
      </w:r>
      <w:proofErr w:type="spellStart"/>
      <w:r w:rsidRPr="00D154C1">
        <w:rPr>
          <w:rFonts w:cs="Arial"/>
          <w:szCs w:val="24"/>
          <w:lang w:val="en-US"/>
        </w:rPr>
        <w:t>siguientes</w:t>
      </w:r>
      <w:proofErr w:type="spellEnd"/>
      <w:r w:rsidRPr="00D154C1">
        <w:rPr>
          <w:rFonts w:cs="Arial"/>
          <w:szCs w:val="24"/>
          <w:lang w:val="en-US"/>
        </w:rPr>
        <w:t xml:space="preserve"> </w:t>
      </w:r>
      <w:proofErr w:type="spellStart"/>
      <w:r w:rsidRPr="00D154C1">
        <w:rPr>
          <w:rFonts w:cs="Arial"/>
          <w:szCs w:val="24"/>
          <w:lang w:val="en-US"/>
        </w:rPr>
        <w:t>conclusiones</w:t>
      </w:r>
      <w:proofErr w:type="spellEnd"/>
      <w:r w:rsidRPr="00D154C1">
        <w:rPr>
          <w:rFonts w:cs="Arial"/>
          <w:szCs w:val="24"/>
          <w:lang w:val="en-US"/>
        </w:rPr>
        <w:t>:</w:t>
      </w:r>
    </w:p>
    <w:p w14:paraId="23746E87" w14:textId="77777777" w:rsidR="003032EB" w:rsidRPr="00D154C1" w:rsidRDefault="003032EB" w:rsidP="003032EB">
      <w:pPr>
        <w:pStyle w:val="Prrafodelista"/>
        <w:ind w:left="1440"/>
        <w:rPr>
          <w:rFonts w:cs="Arial"/>
          <w:szCs w:val="24"/>
          <w:lang w:val="en-US"/>
        </w:rPr>
      </w:pPr>
    </w:p>
    <w:p w14:paraId="44C103FD" w14:textId="77777777" w:rsidR="003032EB" w:rsidRPr="004552C0" w:rsidRDefault="003032EB" w:rsidP="003032EB">
      <w:pPr>
        <w:pStyle w:val="Prrafodelista"/>
        <w:numPr>
          <w:ilvl w:val="0"/>
          <w:numId w:val="20"/>
        </w:numPr>
        <w:ind w:left="1843"/>
        <w:rPr>
          <w:rFonts w:cs="Arial"/>
          <w:szCs w:val="24"/>
        </w:rPr>
      </w:pPr>
      <w:r w:rsidRPr="004552C0">
        <w:rPr>
          <w:rFonts w:cs="Arial"/>
          <w:szCs w:val="24"/>
        </w:rPr>
        <w:t>Se recomienda 1 año de datos en sitio</w:t>
      </w:r>
    </w:p>
    <w:p w14:paraId="3BC2DDAC" w14:textId="77777777" w:rsidR="003032EB" w:rsidRPr="004552C0" w:rsidRDefault="003032EB" w:rsidP="003032EB">
      <w:pPr>
        <w:pStyle w:val="Prrafodelista"/>
        <w:ind w:left="1440"/>
        <w:rPr>
          <w:rFonts w:cs="Arial"/>
          <w:szCs w:val="24"/>
        </w:rPr>
      </w:pPr>
    </w:p>
    <w:p w14:paraId="3DBEE461" w14:textId="77777777" w:rsidR="003032EB" w:rsidRDefault="003032EB" w:rsidP="003032EB">
      <w:pPr>
        <w:pStyle w:val="Prrafodelista"/>
        <w:numPr>
          <w:ilvl w:val="0"/>
          <w:numId w:val="20"/>
        </w:numPr>
        <w:ind w:left="1843"/>
        <w:rPr>
          <w:rFonts w:cs="Arial"/>
          <w:szCs w:val="24"/>
        </w:rPr>
      </w:pPr>
      <w:r>
        <w:rPr>
          <w:rFonts w:cs="Arial"/>
          <w:szCs w:val="24"/>
        </w:rPr>
        <w:t>Con datos en sitio, l</w:t>
      </w:r>
      <w:r w:rsidRPr="004552C0">
        <w:rPr>
          <w:rFonts w:cs="Arial"/>
          <w:szCs w:val="24"/>
        </w:rPr>
        <w:t>a incertidumbre se reduce en promedio de 9.2% a 5,7%.</w:t>
      </w:r>
    </w:p>
    <w:p w14:paraId="5F4C2F5C" w14:textId="77777777" w:rsidR="003032EB" w:rsidRDefault="003032EB" w:rsidP="003032EB">
      <w:pPr>
        <w:pStyle w:val="Prrafodelista"/>
        <w:ind w:left="1440"/>
        <w:rPr>
          <w:rFonts w:cs="Arial"/>
          <w:szCs w:val="24"/>
        </w:rPr>
      </w:pPr>
    </w:p>
    <w:p w14:paraId="08C1B943" w14:textId="77777777" w:rsidR="003032EB" w:rsidRDefault="003032EB" w:rsidP="003032EB">
      <w:pPr>
        <w:pStyle w:val="Prrafodelista"/>
        <w:numPr>
          <w:ilvl w:val="0"/>
          <w:numId w:val="19"/>
        </w:numPr>
        <w:rPr>
          <w:rFonts w:cs="Arial"/>
          <w:szCs w:val="24"/>
        </w:rPr>
      </w:pPr>
      <w:r>
        <w:rPr>
          <w:rFonts w:cs="Arial"/>
          <w:szCs w:val="24"/>
        </w:rPr>
        <w:t xml:space="preserve">De la referencia: </w:t>
      </w:r>
      <w:proofErr w:type="spellStart"/>
      <w:r w:rsidRPr="0072256C">
        <w:rPr>
          <w:rFonts w:cs="Arial"/>
          <w:i/>
          <w:iCs/>
          <w:szCs w:val="24"/>
        </w:rPr>
        <w:t>Assessment</w:t>
      </w:r>
      <w:proofErr w:type="spellEnd"/>
      <w:r w:rsidRPr="0072256C">
        <w:rPr>
          <w:rFonts w:cs="Arial"/>
          <w:i/>
          <w:iCs/>
          <w:szCs w:val="24"/>
        </w:rPr>
        <w:t xml:space="preserve"> </w:t>
      </w:r>
      <w:proofErr w:type="spellStart"/>
      <w:r w:rsidRPr="0072256C">
        <w:rPr>
          <w:rFonts w:cs="Arial"/>
          <w:i/>
          <w:iCs/>
          <w:szCs w:val="24"/>
        </w:rPr>
        <w:t>of</w:t>
      </w:r>
      <w:proofErr w:type="spellEnd"/>
      <w:r w:rsidRPr="0072256C">
        <w:rPr>
          <w:rFonts w:cs="Arial"/>
          <w:i/>
          <w:iCs/>
          <w:szCs w:val="24"/>
        </w:rPr>
        <w:t xml:space="preserve"> a Global-</w:t>
      </w:r>
      <w:proofErr w:type="spellStart"/>
      <w:r w:rsidRPr="0072256C">
        <w:rPr>
          <w:rFonts w:cs="Arial"/>
          <w:i/>
          <w:iCs/>
          <w:szCs w:val="24"/>
        </w:rPr>
        <w:t>to</w:t>
      </w:r>
      <w:proofErr w:type="spellEnd"/>
      <w:r w:rsidRPr="0072256C">
        <w:rPr>
          <w:rFonts w:cs="Arial"/>
          <w:i/>
          <w:iCs/>
          <w:szCs w:val="24"/>
        </w:rPr>
        <w:t xml:space="preserve">-Direct </w:t>
      </w:r>
      <w:proofErr w:type="spellStart"/>
      <w:r w:rsidRPr="0072256C">
        <w:rPr>
          <w:rFonts w:cs="Arial"/>
          <w:i/>
          <w:iCs/>
          <w:szCs w:val="24"/>
        </w:rPr>
        <w:t>empirical</w:t>
      </w:r>
      <w:proofErr w:type="spellEnd"/>
      <w:r w:rsidRPr="0072256C">
        <w:rPr>
          <w:rFonts w:cs="Arial"/>
          <w:i/>
          <w:iCs/>
          <w:szCs w:val="24"/>
        </w:rPr>
        <w:t xml:space="preserve"> </w:t>
      </w:r>
      <w:proofErr w:type="spellStart"/>
      <w:r w:rsidRPr="0072256C">
        <w:rPr>
          <w:rFonts w:cs="Arial"/>
          <w:i/>
          <w:iCs/>
          <w:szCs w:val="24"/>
        </w:rPr>
        <w:t>model</w:t>
      </w:r>
      <w:proofErr w:type="spellEnd"/>
      <w:r w:rsidRPr="0072256C">
        <w:rPr>
          <w:rFonts w:cs="Arial"/>
          <w:i/>
          <w:iCs/>
          <w:szCs w:val="24"/>
        </w:rPr>
        <w:t xml:space="preserve"> </w:t>
      </w:r>
      <w:proofErr w:type="spellStart"/>
      <w:r w:rsidRPr="0072256C">
        <w:rPr>
          <w:rFonts w:cs="Arial"/>
          <w:i/>
          <w:iCs/>
          <w:szCs w:val="24"/>
        </w:rPr>
        <w:t>for</w:t>
      </w:r>
      <w:proofErr w:type="spellEnd"/>
      <w:r w:rsidRPr="0072256C">
        <w:rPr>
          <w:rFonts w:cs="Arial"/>
          <w:i/>
          <w:iCs/>
          <w:szCs w:val="24"/>
        </w:rPr>
        <w:t xml:space="preserve"> </w:t>
      </w:r>
      <w:proofErr w:type="spellStart"/>
      <w:r w:rsidRPr="0072256C">
        <w:rPr>
          <w:rFonts w:cs="Arial"/>
          <w:i/>
          <w:iCs/>
          <w:szCs w:val="24"/>
        </w:rPr>
        <w:t>the</w:t>
      </w:r>
      <w:proofErr w:type="spellEnd"/>
      <w:r w:rsidRPr="0072256C">
        <w:rPr>
          <w:rFonts w:cs="Arial"/>
          <w:i/>
          <w:iCs/>
          <w:szCs w:val="24"/>
        </w:rPr>
        <w:t xml:space="preserve"> </w:t>
      </w:r>
      <w:proofErr w:type="spellStart"/>
      <w:r w:rsidRPr="0072256C">
        <w:rPr>
          <w:rFonts w:cs="Arial"/>
          <w:i/>
          <w:iCs/>
          <w:szCs w:val="24"/>
        </w:rPr>
        <w:t>long-term</w:t>
      </w:r>
      <w:proofErr w:type="spellEnd"/>
      <w:r w:rsidRPr="0072256C">
        <w:rPr>
          <w:rFonts w:cs="Arial"/>
          <w:i/>
          <w:iCs/>
          <w:szCs w:val="24"/>
        </w:rPr>
        <w:t xml:space="preserve"> </w:t>
      </w:r>
      <w:proofErr w:type="spellStart"/>
      <w:r w:rsidRPr="0072256C">
        <w:rPr>
          <w:rFonts w:cs="Arial"/>
          <w:i/>
          <w:iCs/>
          <w:szCs w:val="24"/>
        </w:rPr>
        <w:t>characterization</w:t>
      </w:r>
      <w:proofErr w:type="spellEnd"/>
      <w:r w:rsidRPr="0072256C">
        <w:rPr>
          <w:rFonts w:cs="Arial"/>
          <w:i/>
          <w:iCs/>
          <w:szCs w:val="24"/>
        </w:rPr>
        <w:t xml:space="preserve"> </w:t>
      </w:r>
      <w:proofErr w:type="spellStart"/>
      <w:r w:rsidRPr="0072256C">
        <w:rPr>
          <w:rFonts w:cs="Arial"/>
          <w:i/>
          <w:iCs/>
          <w:szCs w:val="24"/>
        </w:rPr>
        <w:t>of</w:t>
      </w:r>
      <w:proofErr w:type="spellEnd"/>
      <w:r w:rsidRPr="0072256C">
        <w:rPr>
          <w:rFonts w:cs="Arial"/>
          <w:i/>
          <w:iCs/>
          <w:szCs w:val="24"/>
        </w:rPr>
        <w:t xml:space="preserve"> Direct Normal </w:t>
      </w:r>
      <w:proofErr w:type="spellStart"/>
      <w:r w:rsidRPr="0072256C">
        <w:rPr>
          <w:rFonts w:cs="Arial"/>
          <w:i/>
          <w:iCs/>
          <w:szCs w:val="24"/>
        </w:rPr>
        <w:t>Insolation</w:t>
      </w:r>
      <w:proofErr w:type="spellEnd"/>
      <w:r w:rsidRPr="0072256C">
        <w:rPr>
          <w:rFonts w:cs="Arial"/>
          <w:i/>
          <w:iCs/>
          <w:szCs w:val="24"/>
        </w:rPr>
        <w:t xml:space="preserve">, Energy </w:t>
      </w:r>
      <w:proofErr w:type="spellStart"/>
      <w:r w:rsidRPr="0072256C">
        <w:rPr>
          <w:rFonts w:cs="Arial"/>
          <w:i/>
          <w:iCs/>
          <w:szCs w:val="24"/>
        </w:rPr>
        <w:t>Procedia</w:t>
      </w:r>
      <w:proofErr w:type="spellEnd"/>
      <w:r w:rsidRPr="0072256C">
        <w:rPr>
          <w:rFonts w:cs="Arial"/>
          <w:i/>
          <w:iCs/>
          <w:szCs w:val="24"/>
        </w:rPr>
        <w:t xml:space="preserve"> ELSEVIER, 2014</w:t>
      </w:r>
      <w:r>
        <w:rPr>
          <w:rFonts w:cs="Arial"/>
          <w:szCs w:val="24"/>
        </w:rPr>
        <w:t>, se obtiene la siguiente conclusión:</w:t>
      </w:r>
    </w:p>
    <w:p w14:paraId="0AECF4D8" w14:textId="77777777" w:rsidR="003032EB" w:rsidRDefault="003032EB" w:rsidP="003032EB">
      <w:pPr>
        <w:pStyle w:val="Prrafodelista"/>
        <w:ind w:left="1440"/>
        <w:rPr>
          <w:rFonts w:cs="Arial"/>
          <w:szCs w:val="24"/>
        </w:rPr>
      </w:pPr>
    </w:p>
    <w:p w14:paraId="3F79AA1B" w14:textId="113AEFD5" w:rsidR="003032EB" w:rsidRPr="00EB2CBD" w:rsidRDefault="003032EB" w:rsidP="003032EB">
      <w:pPr>
        <w:pStyle w:val="Prrafodelista"/>
        <w:ind w:left="1440"/>
        <w:rPr>
          <w:rFonts w:cs="Arial"/>
          <w:szCs w:val="24"/>
          <w:lang w:val="es-CO"/>
        </w:rPr>
      </w:pPr>
      <w:r w:rsidRPr="00EB2CBD">
        <w:rPr>
          <w:rFonts w:cs="Arial"/>
          <w:szCs w:val="24"/>
          <w:lang w:val="es-CO"/>
        </w:rPr>
        <w:t xml:space="preserve">Analizan la extrapolación de la componente DNI a partir de la </w:t>
      </w:r>
      <w:proofErr w:type="spellStart"/>
      <w:r w:rsidRPr="00EB2CBD">
        <w:rPr>
          <w:rFonts w:cs="Arial"/>
          <w:szCs w:val="24"/>
          <w:lang w:val="es-CO"/>
        </w:rPr>
        <w:t>GHI</w:t>
      </w:r>
      <w:proofErr w:type="spellEnd"/>
      <w:r w:rsidRPr="00EB2CBD">
        <w:rPr>
          <w:rFonts w:cs="Arial"/>
          <w:szCs w:val="24"/>
          <w:lang w:val="es-CO"/>
        </w:rPr>
        <w:t xml:space="preserve">. Los resultados muestran que lo </w:t>
      </w:r>
      <w:r w:rsidR="00D154C1" w:rsidRPr="00EB2CBD">
        <w:rPr>
          <w:rFonts w:cs="Arial"/>
          <w:szCs w:val="24"/>
          <w:lang w:val="es-CO"/>
        </w:rPr>
        <w:t>mínimo</w:t>
      </w:r>
      <w:r w:rsidRPr="00EB2CBD">
        <w:rPr>
          <w:rFonts w:cs="Arial"/>
          <w:szCs w:val="24"/>
          <w:lang w:val="es-CO"/>
        </w:rPr>
        <w:t xml:space="preserve"> de datos medidos en sitio para una extrapolación razonable y cálculo de energía es de 1 año.</w:t>
      </w:r>
    </w:p>
    <w:p w14:paraId="397FAB05" w14:textId="77777777" w:rsidR="003032EB" w:rsidRDefault="003032EB" w:rsidP="003032EB">
      <w:pPr>
        <w:pStyle w:val="Prrafodelista"/>
        <w:ind w:left="1440"/>
        <w:rPr>
          <w:rFonts w:cs="Arial"/>
          <w:szCs w:val="24"/>
        </w:rPr>
      </w:pPr>
    </w:p>
    <w:p w14:paraId="71D0B727" w14:textId="77777777" w:rsidR="003032EB" w:rsidRPr="00D154C1" w:rsidRDefault="003032EB" w:rsidP="003032EB">
      <w:pPr>
        <w:pStyle w:val="Prrafodelista"/>
        <w:numPr>
          <w:ilvl w:val="0"/>
          <w:numId w:val="19"/>
        </w:numPr>
        <w:rPr>
          <w:rFonts w:cs="Arial"/>
          <w:szCs w:val="24"/>
          <w:lang w:val="en-US"/>
        </w:rPr>
      </w:pPr>
      <w:r w:rsidRPr="00D154C1">
        <w:rPr>
          <w:rFonts w:cs="Arial"/>
          <w:szCs w:val="24"/>
          <w:lang w:val="en-US"/>
        </w:rPr>
        <w:t xml:space="preserve">De la </w:t>
      </w:r>
      <w:proofErr w:type="spellStart"/>
      <w:r w:rsidRPr="00D154C1">
        <w:rPr>
          <w:rFonts w:cs="Arial"/>
          <w:szCs w:val="24"/>
          <w:lang w:val="en-US"/>
        </w:rPr>
        <w:t>referencia</w:t>
      </w:r>
      <w:proofErr w:type="spellEnd"/>
      <w:r w:rsidRPr="00D154C1">
        <w:rPr>
          <w:rFonts w:cs="Arial"/>
          <w:i/>
          <w:iCs/>
          <w:szCs w:val="24"/>
          <w:lang w:val="en-US"/>
        </w:rPr>
        <w:t xml:space="preserve">: Site-adaptation of satellite-based </w:t>
      </w:r>
      <w:proofErr w:type="spellStart"/>
      <w:r w:rsidRPr="00D154C1">
        <w:rPr>
          <w:rFonts w:cs="Arial"/>
          <w:i/>
          <w:iCs/>
          <w:szCs w:val="24"/>
          <w:lang w:val="en-US"/>
        </w:rPr>
        <w:t>DNI</w:t>
      </w:r>
      <w:proofErr w:type="spellEnd"/>
      <w:r w:rsidRPr="00D154C1">
        <w:rPr>
          <w:rFonts w:cs="Arial"/>
          <w:i/>
          <w:iCs/>
          <w:szCs w:val="24"/>
          <w:lang w:val="en-US"/>
        </w:rPr>
        <w:t xml:space="preserve"> and </w:t>
      </w:r>
      <w:proofErr w:type="spellStart"/>
      <w:r w:rsidRPr="00D154C1">
        <w:rPr>
          <w:rFonts w:cs="Arial"/>
          <w:i/>
          <w:iCs/>
          <w:szCs w:val="24"/>
          <w:lang w:val="en-US"/>
        </w:rPr>
        <w:t>GHI</w:t>
      </w:r>
      <w:proofErr w:type="spellEnd"/>
      <w:r w:rsidRPr="00D154C1">
        <w:rPr>
          <w:rFonts w:cs="Arial"/>
          <w:i/>
          <w:iCs/>
          <w:szCs w:val="24"/>
          <w:lang w:val="en-US"/>
        </w:rPr>
        <w:t xml:space="preserve"> time series: Overview and </w:t>
      </w:r>
      <w:proofErr w:type="spellStart"/>
      <w:r w:rsidRPr="00D154C1">
        <w:rPr>
          <w:rFonts w:cs="Arial"/>
          <w:i/>
          <w:iCs/>
          <w:szCs w:val="24"/>
          <w:lang w:val="en-US"/>
        </w:rPr>
        <w:t>SolarGIS</w:t>
      </w:r>
      <w:proofErr w:type="spellEnd"/>
      <w:r w:rsidRPr="00D154C1">
        <w:rPr>
          <w:rFonts w:cs="Arial"/>
          <w:i/>
          <w:iCs/>
          <w:szCs w:val="24"/>
          <w:lang w:val="en-US"/>
        </w:rPr>
        <w:t xml:space="preserve"> Approach, AIP Conference Proceedings, 2016</w:t>
      </w:r>
      <w:r w:rsidRPr="00D154C1">
        <w:rPr>
          <w:rFonts w:cs="Arial"/>
          <w:szCs w:val="24"/>
          <w:lang w:val="en-US"/>
        </w:rPr>
        <w:t xml:space="preserve">; se </w:t>
      </w:r>
      <w:proofErr w:type="spellStart"/>
      <w:r w:rsidRPr="00D154C1">
        <w:rPr>
          <w:rFonts w:cs="Arial"/>
          <w:szCs w:val="24"/>
          <w:lang w:val="en-US"/>
        </w:rPr>
        <w:t>obtienen</w:t>
      </w:r>
      <w:proofErr w:type="spellEnd"/>
      <w:r w:rsidRPr="00D154C1">
        <w:rPr>
          <w:rFonts w:cs="Arial"/>
          <w:szCs w:val="24"/>
          <w:lang w:val="en-US"/>
        </w:rPr>
        <w:t xml:space="preserve"> las </w:t>
      </w:r>
      <w:proofErr w:type="spellStart"/>
      <w:r w:rsidRPr="00D154C1">
        <w:rPr>
          <w:rFonts w:cs="Arial"/>
          <w:szCs w:val="24"/>
          <w:lang w:val="en-US"/>
        </w:rPr>
        <w:t>siguientes</w:t>
      </w:r>
      <w:proofErr w:type="spellEnd"/>
      <w:r w:rsidRPr="00D154C1">
        <w:rPr>
          <w:rFonts w:cs="Arial"/>
          <w:szCs w:val="24"/>
          <w:lang w:val="en-US"/>
        </w:rPr>
        <w:t xml:space="preserve"> </w:t>
      </w:r>
      <w:proofErr w:type="spellStart"/>
      <w:r w:rsidRPr="00D154C1">
        <w:rPr>
          <w:rFonts w:cs="Arial"/>
          <w:szCs w:val="24"/>
          <w:lang w:val="en-US"/>
        </w:rPr>
        <w:t>conclusiones</w:t>
      </w:r>
      <w:proofErr w:type="spellEnd"/>
      <w:r w:rsidRPr="00D154C1">
        <w:rPr>
          <w:rFonts w:cs="Arial"/>
          <w:szCs w:val="24"/>
          <w:lang w:val="en-US"/>
        </w:rPr>
        <w:t>:</w:t>
      </w:r>
    </w:p>
    <w:p w14:paraId="6F0F5949" w14:textId="77777777" w:rsidR="003032EB" w:rsidRPr="00D154C1" w:rsidRDefault="003032EB" w:rsidP="003032EB">
      <w:pPr>
        <w:pStyle w:val="Prrafodelista"/>
        <w:ind w:left="1440"/>
        <w:rPr>
          <w:rFonts w:cs="Arial"/>
          <w:szCs w:val="24"/>
          <w:lang w:val="en-US"/>
        </w:rPr>
      </w:pPr>
    </w:p>
    <w:p w14:paraId="3AE14B1E" w14:textId="77777777" w:rsidR="003032EB" w:rsidRPr="004D4C77" w:rsidRDefault="003032EB" w:rsidP="003032EB">
      <w:pPr>
        <w:pStyle w:val="Prrafodelista"/>
        <w:numPr>
          <w:ilvl w:val="0"/>
          <w:numId w:val="20"/>
        </w:numPr>
        <w:ind w:left="1843"/>
        <w:rPr>
          <w:rFonts w:cs="Arial"/>
          <w:szCs w:val="24"/>
        </w:rPr>
      </w:pPr>
      <w:r>
        <w:rPr>
          <w:rFonts w:cs="Arial"/>
          <w:szCs w:val="24"/>
        </w:rPr>
        <w:lastRenderedPageBreak/>
        <w:t>Se recomienda t</w:t>
      </w:r>
      <w:r w:rsidRPr="004D4C77">
        <w:rPr>
          <w:rFonts w:cs="Arial"/>
          <w:szCs w:val="24"/>
        </w:rPr>
        <w:t xml:space="preserve">ener </w:t>
      </w:r>
      <w:r>
        <w:rPr>
          <w:rFonts w:cs="Arial"/>
          <w:szCs w:val="24"/>
        </w:rPr>
        <w:t xml:space="preserve">de </w:t>
      </w:r>
      <w:r w:rsidRPr="004D4C77">
        <w:rPr>
          <w:rFonts w:cs="Arial"/>
          <w:szCs w:val="24"/>
        </w:rPr>
        <w:t xml:space="preserve">1 a 3 años de datos </w:t>
      </w:r>
      <w:r>
        <w:rPr>
          <w:rFonts w:cs="Arial"/>
          <w:szCs w:val="24"/>
        </w:rPr>
        <w:t xml:space="preserve">medidos </w:t>
      </w:r>
      <w:r w:rsidRPr="004D4C77">
        <w:rPr>
          <w:rFonts w:cs="Arial"/>
          <w:szCs w:val="24"/>
        </w:rPr>
        <w:t>en sitio para la extrapolación (</w:t>
      </w:r>
      <w:r>
        <w:rPr>
          <w:rFonts w:cs="Arial"/>
          <w:szCs w:val="24"/>
        </w:rPr>
        <w:t xml:space="preserve">medidos cada </w:t>
      </w:r>
      <w:r w:rsidRPr="004D4C77">
        <w:rPr>
          <w:rFonts w:cs="Arial"/>
          <w:szCs w:val="24"/>
        </w:rPr>
        <w:t xml:space="preserve">1 min o </w:t>
      </w:r>
      <w:proofErr w:type="spellStart"/>
      <w:r>
        <w:rPr>
          <w:rFonts w:cs="Arial"/>
          <w:szCs w:val="24"/>
        </w:rPr>
        <w:t>cada</w:t>
      </w:r>
      <w:r w:rsidRPr="004D4C77">
        <w:rPr>
          <w:rFonts w:cs="Arial"/>
          <w:szCs w:val="24"/>
        </w:rPr>
        <w:t>10</w:t>
      </w:r>
      <w:proofErr w:type="spellEnd"/>
      <w:r w:rsidRPr="004D4C77">
        <w:rPr>
          <w:rFonts w:cs="Arial"/>
          <w:szCs w:val="24"/>
        </w:rPr>
        <w:t xml:space="preserve"> min). Periodos cortos, p.ej. 6 meses, proporcionan falsa relación </w:t>
      </w:r>
      <w:r>
        <w:rPr>
          <w:rFonts w:cs="Arial"/>
          <w:szCs w:val="24"/>
        </w:rPr>
        <w:t xml:space="preserve">entre la fuente de </w:t>
      </w:r>
      <w:r w:rsidRPr="004D4C77">
        <w:rPr>
          <w:rFonts w:cs="Arial"/>
          <w:szCs w:val="24"/>
        </w:rPr>
        <w:t>satélite</w:t>
      </w:r>
      <w:r>
        <w:rPr>
          <w:rFonts w:cs="Arial"/>
          <w:szCs w:val="24"/>
        </w:rPr>
        <w:t xml:space="preserve"> y la</w:t>
      </w:r>
      <w:r w:rsidRPr="004D4C77">
        <w:rPr>
          <w:rFonts w:cs="Arial"/>
          <w:szCs w:val="24"/>
        </w:rPr>
        <w:t xml:space="preserve"> fuente medida. </w:t>
      </w:r>
      <w:r>
        <w:rPr>
          <w:rFonts w:cs="Arial"/>
          <w:szCs w:val="24"/>
        </w:rPr>
        <w:t>Recomiendan tener d</w:t>
      </w:r>
      <w:r w:rsidRPr="004D4C77">
        <w:rPr>
          <w:rFonts w:cs="Arial"/>
          <w:szCs w:val="24"/>
        </w:rPr>
        <w:t xml:space="preserve">atos de satélite de </w:t>
      </w:r>
      <w:r>
        <w:rPr>
          <w:rFonts w:cs="Arial"/>
          <w:szCs w:val="24"/>
        </w:rPr>
        <w:t xml:space="preserve">cada </w:t>
      </w:r>
      <w:proofErr w:type="spellStart"/>
      <w:r w:rsidRPr="004D4C77">
        <w:rPr>
          <w:rFonts w:cs="Arial"/>
          <w:szCs w:val="24"/>
        </w:rPr>
        <w:t>30min</w:t>
      </w:r>
      <w:proofErr w:type="spellEnd"/>
      <w:r w:rsidRPr="004D4C77">
        <w:rPr>
          <w:rFonts w:cs="Arial"/>
          <w:szCs w:val="24"/>
        </w:rPr>
        <w:t xml:space="preserve">. </w:t>
      </w:r>
    </w:p>
    <w:p w14:paraId="700B92A4" w14:textId="77777777" w:rsidR="003032EB" w:rsidRPr="004D4C77" w:rsidRDefault="003032EB" w:rsidP="003032EB">
      <w:pPr>
        <w:pStyle w:val="Prrafodelista"/>
        <w:ind w:left="1440"/>
        <w:rPr>
          <w:rFonts w:cs="Arial"/>
          <w:szCs w:val="24"/>
        </w:rPr>
      </w:pPr>
    </w:p>
    <w:p w14:paraId="07058821" w14:textId="77777777" w:rsidR="003032EB" w:rsidRDefault="003032EB" w:rsidP="003032EB">
      <w:pPr>
        <w:pStyle w:val="Prrafodelista"/>
        <w:numPr>
          <w:ilvl w:val="0"/>
          <w:numId w:val="20"/>
        </w:numPr>
        <w:ind w:left="1843"/>
        <w:rPr>
          <w:rFonts w:cs="Arial"/>
          <w:szCs w:val="24"/>
        </w:rPr>
      </w:pPr>
      <w:r>
        <w:rPr>
          <w:rFonts w:cs="Arial"/>
          <w:szCs w:val="24"/>
        </w:rPr>
        <w:t>La i</w:t>
      </w:r>
      <w:r w:rsidRPr="004D4C77">
        <w:rPr>
          <w:rFonts w:cs="Arial"/>
          <w:szCs w:val="24"/>
        </w:rPr>
        <w:t xml:space="preserve">ncertidumbre de </w:t>
      </w:r>
      <w:proofErr w:type="spellStart"/>
      <w:r w:rsidRPr="004D4C77">
        <w:rPr>
          <w:rFonts w:cs="Arial"/>
          <w:szCs w:val="24"/>
        </w:rPr>
        <w:t>GHI</w:t>
      </w:r>
      <w:proofErr w:type="spellEnd"/>
      <w:r w:rsidRPr="004D4C77">
        <w:rPr>
          <w:rFonts w:cs="Arial"/>
          <w:szCs w:val="24"/>
        </w:rPr>
        <w:t xml:space="preserve"> </w:t>
      </w:r>
      <w:r>
        <w:rPr>
          <w:rFonts w:cs="Arial"/>
          <w:szCs w:val="24"/>
        </w:rPr>
        <w:t xml:space="preserve">de la energía </w:t>
      </w:r>
      <w:proofErr w:type="spellStart"/>
      <w:r w:rsidRPr="004D4C77">
        <w:rPr>
          <w:rFonts w:cs="Arial"/>
          <w:szCs w:val="24"/>
        </w:rPr>
        <w:t>P90</w:t>
      </w:r>
      <w:proofErr w:type="spellEnd"/>
      <w:r w:rsidRPr="004D4C77">
        <w:rPr>
          <w:rFonts w:cs="Arial"/>
          <w:szCs w:val="24"/>
        </w:rPr>
        <w:t xml:space="preserve"> a </w:t>
      </w:r>
      <w:proofErr w:type="spellStart"/>
      <w:r w:rsidRPr="004D4C77">
        <w:rPr>
          <w:rFonts w:cs="Arial"/>
          <w:szCs w:val="24"/>
        </w:rPr>
        <w:t>P99</w:t>
      </w:r>
      <w:r>
        <w:rPr>
          <w:rFonts w:cs="Arial"/>
          <w:szCs w:val="24"/>
        </w:rPr>
        <w:t>.</w:t>
      </w:r>
      <w:r w:rsidRPr="004D4C77">
        <w:rPr>
          <w:rFonts w:cs="Arial"/>
          <w:szCs w:val="24"/>
        </w:rPr>
        <w:t>5</w:t>
      </w:r>
      <w:proofErr w:type="spellEnd"/>
      <w:r w:rsidRPr="004D4C77">
        <w:rPr>
          <w:rFonts w:cs="Arial"/>
          <w:szCs w:val="24"/>
        </w:rPr>
        <w:t xml:space="preserve"> y datos medidos en sitio</w:t>
      </w:r>
      <w:r>
        <w:rPr>
          <w:rFonts w:cs="Arial"/>
          <w:szCs w:val="24"/>
        </w:rPr>
        <w:t xml:space="preserve"> varia de la siguiente forma:</w:t>
      </w:r>
    </w:p>
    <w:p w14:paraId="7A4418DA" w14:textId="77777777" w:rsidR="003032EB" w:rsidRPr="004D4C77" w:rsidRDefault="003032EB" w:rsidP="003032EB">
      <w:pPr>
        <w:pStyle w:val="Prrafodelista"/>
        <w:rPr>
          <w:rFonts w:cs="Arial"/>
          <w:szCs w:val="24"/>
        </w:rPr>
      </w:pPr>
    </w:p>
    <w:p w14:paraId="217A4C3F" w14:textId="77777777" w:rsidR="003032EB" w:rsidRDefault="003032EB" w:rsidP="003032EB">
      <w:pPr>
        <w:pStyle w:val="Prrafodelista"/>
        <w:numPr>
          <w:ilvl w:val="0"/>
          <w:numId w:val="22"/>
        </w:numPr>
        <w:rPr>
          <w:rFonts w:cs="Arial"/>
          <w:szCs w:val="24"/>
        </w:rPr>
      </w:pPr>
      <w:r>
        <w:rPr>
          <w:rFonts w:cs="Arial"/>
          <w:szCs w:val="24"/>
        </w:rPr>
        <w:t xml:space="preserve">Con </w:t>
      </w:r>
      <w:r w:rsidRPr="004D4C77">
        <w:rPr>
          <w:rFonts w:cs="Arial"/>
          <w:szCs w:val="24"/>
        </w:rPr>
        <w:t>0 meses</w:t>
      </w:r>
      <w:r>
        <w:rPr>
          <w:rFonts w:cs="Arial"/>
          <w:szCs w:val="24"/>
        </w:rPr>
        <w:t xml:space="preserve"> de datos en sitio la incertidumbre es de</w:t>
      </w:r>
      <w:r w:rsidRPr="004D4C77">
        <w:rPr>
          <w:rFonts w:cs="Arial"/>
          <w:szCs w:val="24"/>
        </w:rPr>
        <w:t xml:space="preserve"> 4 a 8%, </w:t>
      </w:r>
    </w:p>
    <w:p w14:paraId="6BCBD9D6" w14:textId="77777777" w:rsidR="003032EB" w:rsidRDefault="003032EB" w:rsidP="003032EB">
      <w:pPr>
        <w:pStyle w:val="Prrafodelista"/>
        <w:ind w:left="1843"/>
        <w:rPr>
          <w:rFonts w:cs="Arial"/>
          <w:szCs w:val="24"/>
        </w:rPr>
      </w:pPr>
    </w:p>
    <w:p w14:paraId="0670D57D" w14:textId="77777777" w:rsidR="003032EB" w:rsidRDefault="003032EB" w:rsidP="003032EB">
      <w:pPr>
        <w:pStyle w:val="Prrafodelista"/>
        <w:numPr>
          <w:ilvl w:val="0"/>
          <w:numId w:val="22"/>
        </w:numPr>
        <w:rPr>
          <w:rFonts w:cs="Arial"/>
          <w:szCs w:val="24"/>
        </w:rPr>
      </w:pPr>
      <w:r>
        <w:rPr>
          <w:rFonts w:cs="Arial"/>
          <w:szCs w:val="24"/>
        </w:rPr>
        <w:t xml:space="preserve">Con </w:t>
      </w:r>
      <w:r w:rsidRPr="004D4C77">
        <w:rPr>
          <w:rFonts w:cs="Arial"/>
          <w:szCs w:val="24"/>
        </w:rPr>
        <w:t>1 año</w:t>
      </w:r>
      <w:r>
        <w:rPr>
          <w:rFonts w:cs="Arial"/>
          <w:szCs w:val="24"/>
        </w:rPr>
        <w:t xml:space="preserve"> de datos medidos en sitio la incertidumbre es de </w:t>
      </w:r>
      <w:r w:rsidRPr="004D4C77">
        <w:rPr>
          <w:rFonts w:cs="Arial"/>
          <w:szCs w:val="24"/>
        </w:rPr>
        <w:t xml:space="preserve">3 a 4.5 %, </w:t>
      </w:r>
    </w:p>
    <w:p w14:paraId="31BAE1DF" w14:textId="77777777" w:rsidR="003032EB" w:rsidRDefault="003032EB" w:rsidP="003032EB">
      <w:pPr>
        <w:pStyle w:val="Prrafodelista"/>
        <w:ind w:left="1843"/>
        <w:rPr>
          <w:rFonts w:cs="Arial"/>
          <w:szCs w:val="24"/>
        </w:rPr>
      </w:pPr>
    </w:p>
    <w:p w14:paraId="6977EA19" w14:textId="77777777" w:rsidR="003032EB" w:rsidRDefault="003032EB" w:rsidP="003032EB">
      <w:pPr>
        <w:pStyle w:val="Prrafodelista"/>
        <w:numPr>
          <w:ilvl w:val="0"/>
          <w:numId w:val="22"/>
        </w:numPr>
        <w:rPr>
          <w:rFonts w:cs="Arial"/>
          <w:szCs w:val="24"/>
        </w:rPr>
      </w:pPr>
      <w:r>
        <w:rPr>
          <w:rFonts w:cs="Arial"/>
          <w:szCs w:val="24"/>
        </w:rPr>
        <w:t>T</w:t>
      </w:r>
      <w:r w:rsidRPr="004D4C77">
        <w:rPr>
          <w:rFonts w:cs="Arial"/>
          <w:szCs w:val="24"/>
        </w:rPr>
        <w:t>iende a 2% con más años</w:t>
      </w:r>
      <w:r>
        <w:rPr>
          <w:rFonts w:cs="Arial"/>
          <w:szCs w:val="24"/>
        </w:rPr>
        <w:t xml:space="preserve"> de datos en sitio</w:t>
      </w:r>
    </w:p>
    <w:p w14:paraId="385CA2DD" w14:textId="77777777" w:rsidR="003032EB" w:rsidRDefault="003032EB" w:rsidP="003032EB">
      <w:pPr>
        <w:pStyle w:val="Prrafodelista"/>
        <w:ind w:left="1440"/>
        <w:rPr>
          <w:rFonts w:cs="Arial"/>
          <w:szCs w:val="24"/>
        </w:rPr>
      </w:pPr>
    </w:p>
    <w:p w14:paraId="54E0D3B2" w14:textId="77777777" w:rsidR="003032EB" w:rsidRPr="00D154C1" w:rsidRDefault="003032EB" w:rsidP="003032EB">
      <w:pPr>
        <w:pStyle w:val="Prrafodelista"/>
        <w:numPr>
          <w:ilvl w:val="0"/>
          <w:numId w:val="19"/>
        </w:numPr>
        <w:rPr>
          <w:rFonts w:cs="Arial"/>
          <w:szCs w:val="24"/>
          <w:lang w:val="en-US"/>
        </w:rPr>
      </w:pPr>
      <w:r w:rsidRPr="00D154C1">
        <w:rPr>
          <w:rFonts w:cs="Arial"/>
          <w:szCs w:val="24"/>
          <w:lang w:val="en-US"/>
        </w:rPr>
        <w:t xml:space="preserve">En la </w:t>
      </w:r>
      <w:proofErr w:type="spellStart"/>
      <w:r w:rsidRPr="00D154C1">
        <w:rPr>
          <w:rFonts w:cs="Arial"/>
          <w:szCs w:val="24"/>
          <w:lang w:val="en-US"/>
        </w:rPr>
        <w:t>referencia</w:t>
      </w:r>
      <w:proofErr w:type="spellEnd"/>
      <w:r w:rsidRPr="00D154C1">
        <w:rPr>
          <w:rFonts w:cs="Arial"/>
          <w:szCs w:val="24"/>
          <w:lang w:val="en-US"/>
        </w:rPr>
        <w:t xml:space="preserve">: </w:t>
      </w:r>
      <w:r w:rsidRPr="00D154C1">
        <w:rPr>
          <w:rFonts w:cs="Arial"/>
          <w:i/>
          <w:iCs/>
          <w:szCs w:val="24"/>
          <w:lang w:val="en-US"/>
        </w:rPr>
        <w:t xml:space="preserve">Best Practices Handbook for the Collection and Use of Solar Resource Data for Solar Energy Applications, Cap. 9, </w:t>
      </w:r>
      <w:proofErr w:type="spellStart"/>
      <w:r w:rsidRPr="00D154C1">
        <w:rPr>
          <w:rFonts w:cs="Arial"/>
          <w:i/>
          <w:iCs/>
          <w:szCs w:val="24"/>
          <w:lang w:val="en-US"/>
        </w:rPr>
        <w:t>NREL</w:t>
      </w:r>
      <w:proofErr w:type="spellEnd"/>
      <w:r w:rsidRPr="00D154C1">
        <w:rPr>
          <w:rFonts w:cs="Arial"/>
          <w:i/>
          <w:iCs/>
          <w:szCs w:val="24"/>
          <w:lang w:val="en-US"/>
        </w:rPr>
        <w:t>, 2021</w:t>
      </w:r>
      <w:r w:rsidRPr="00D154C1">
        <w:rPr>
          <w:rFonts w:cs="Arial"/>
          <w:szCs w:val="24"/>
          <w:lang w:val="en-US"/>
        </w:rPr>
        <w:t xml:space="preserve">, se </w:t>
      </w:r>
      <w:proofErr w:type="spellStart"/>
      <w:r w:rsidRPr="00D154C1">
        <w:rPr>
          <w:rFonts w:cs="Arial"/>
          <w:szCs w:val="24"/>
          <w:lang w:val="en-US"/>
        </w:rPr>
        <w:t>obtienen</w:t>
      </w:r>
      <w:proofErr w:type="spellEnd"/>
      <w:r w:rsidRPr="00D154C1">
        <w:rPr>
          <w:rFonts w:cs="Arial"/>
          <w:szCs w:val="24"/>
          <w:lang w:val="en-US"/>
        </w:rPr>
        <w:t xml:space="preserve"> las </w:t>
      </w:r>
      <w:proofErr w:type="spellStart"/>
      <w:r w:rsidRPr="00D154C1">
        <w:rPr>
          <w:rFonts w:cs="Arial"/>
          <w:szCs w:val="24"/>
          <w:lang w:val="en-US"/>
        </w:rPr>
        <w:t>siguientes</w:t>
      </w:r>
      <w:proofErr w:type="spellEnd"/>
      <w:r w:rsidRPr="00D154C1">
        <w:rPr>
          <w:rFonts w:cs="Arial"/>
          <w:szCs w:val="24"/>
          <w:lang w:val="en-US"/>
        </w:rPr>
        <w:t xml:space="preserve"> </w:t>
      </w:r>
      <w:proofErr w:type="spellStart"/>
      <w:r w:rsidRPr="00D154C1">
        <w:rPr>
          <w:rFonts w:cs="Arial"/>
          <w:szCs w:val="24"/>
          <w:lang w:val="en-US"/>
        </w:rPr>
        <w:t>conclusiones</w:t>
      </w:r>
      <w:proofErr w:type="spellEnd"/>
      <w:r w:rsidRPr="00D154C1">
        <w:rPr>
          <w:rFonts w:cs="Arial"/>
          <w:szCs w:val="24"/>
          <w:lang w:val="en-US"/>
        </w:rPr>
        <w:t>:</w:t>
      </w:r>
    </w:p>
    <w:p w14:paraId="50264495" w14:textId="77777777" w:rsidR="003032EB" w:rsidRPr="00D154C1" w:rsidRDefault="003032EB" w:rsidP="003032EB">
      <w:pPr>
        <w:pStyle w:val="Prrafodelista"/>
        <w:ind w:left="1440"/>
        <w:rPr>
          <w:rFonts w:cs="Arial"/>
          <w:szCs w:val="24"/>
          <w:lang w:val="en-US"/>
        </w:rPr>
      </w:pPr>
    </w:p>
    <w:p w14:paraId="6721D7B3" w14:textId="77777777" w:rsidR="003032EB" w:rsidRDefault="003032EB" w:rsidP="003032EB">
      <w:pPr>
        <w:pStyle w:val="Prrafodelista"/>
        <w:numPr>
          <w:ilvl w:val="0"/>
          <w:numId w:val="20"/>
        </w:numPr>
        <w:ind w:left="1843"/>
        <w:rPr>
          <w:rFonts w:cs="Arial"/>
          <w:szCs w:val="24"/>
          <w:lang w:val="es-CO"/>
        </w:rPr>
      </w:pPr>
      <w:r w:rsidRPr="006C06DC">
        <w:rPr>
          <w:rFonts w:cs="Arial"/>
          <w:szCs w:val="24"/>
        </w:rPr>
        <w:t>En etapas de factibilidad y financiación, sugieren tener al menos datos</w:t>
      </w:r>
      <w:r w:rsidRPr="006C06DC">
        <w:rPr>
          <w:rFonts w:cs="Arial"/>
          <w:szCs w:val="24"/>
          <w:lang w:val="es-CO"/>
        </w:rPr>
        <w:t xml:space="preserve"> horarios y medidas en sitio </w:t>
      </w:r>
      <w:r>
        <w:rPr>
          <w:rFonts w:cs="Arial"/>
          <w:szCs w:val="24"/>
          <w:lang w:val="es-CO"/>
        </w:rPr>
        <w:t>de</w:t>
      </w:r>
      <w:r w:rsidRPr="006C06DC">
        <w:rPr>
          <w:rFonts w:cs="Arial"/>
          <w:szCs w:val="24"/>
          <w:lang w:val="es-CO"/>
        </w:rPr>
        <w:t xml:space="preserve"> 1 año. </w:t>
      </w:r>
    </w:p>
    <w:p w14:paraId="185CEA7C" w14:textId="77777777" w:rsidR="003032EB" w:rsidRDefault="003032EB" w:rsidP="003032EB">
      <w:pPr>
        <w:pStyle w:val="Prrafodelista"/>
        <w:ind w:left="1440"/>
        <w:rPr>
          <w:rFonts w:cs="Arial"/>
          <w:szCs w:val="24"/>
          <w:lang w:val="es-CO"/>
        </w:rPr>
      </w:pPr>
    </w:p>
    <w:p w14:paraId="3F9C6592" w14:textId="77777777" w:rsidR="003032EB" w:rsidRPr="006C06DC" w:rsidRDefault="003032EB" w:rsidP="003032EB">
      <w:pPr>
        <w:pStyle w:val="Prrafodelista"/>
        <w:numPr>
          <w:ilvl w:val="0"/>
          <w:numId w:val="20"/>
        </w:numPr>
        <w:ind w:left="1843"/>
        <w:rPr>
          <w:rFonts w:cs="Arial"/>
          <w:szCs w:val="24"/>
          <w:lang w:val="es-CO"/>
        </w:rPr>
      </w:pPr>
      <w:r w:rsidRPr="006C06DC">
        <w:rPr>
          <w:rFonts w:cs="Arial"/>
          <w:szCs w:val="24"/>
          <w:lang w:val="es-CO"/>
        </w:rPr>
        <w:t>Una vez construido tener datos medidos en sitio siempre para evaluar continuamente el desempeño</w:t>
      </w:r>
      <w:r>
        <w:rPr>
          <w:rFonts w:cs="Arial"/>
          <w:szCs w:val="24"/>
          <w:lang w:val="es-CO"/>
        </w:rPr>
        <w:t>.</w:t>
      </w:r>
    </w:p>
    <w:p w14:paraId="6DF179AA" w14:textId="77777777" w:rsidR="003032EB" w:rsidRDefault="003032EB" w:rsidP="003032EB">
      <w:pPr>
        <w:pStyle w:val="Prrafodelista"/>
        <w:ind w:left="1440"/>
        <w:rPr>
          <w:rFonts w:cs="Arial"/>
          <w:szCs w:val="24"/>
        </w:rPr>
      </w:pPr>
    </w:p>
    <w:p w14:paraId="63D5509D" w14:textId="77777777" w:rsidR="003032EB" w:rsidRDefault="003032EB" w:rsidP="003032EB">
      <w:pPr>
        <w:pStyle w:val="Prrafodelista"/>
        <w:numPr>
          <w:ilvl w:val="0"/>
          <w:numId w:val="19"/>
        </w:numPr>
        <w:rPr>
          <w:rFonts w:cs="Arial"/>
          <w:szCs w:val="24"/>
        </w:rPr>
      </w:pPr>
      <w:r>
        <w:rPr>
          <w:rFonts w:cs="Arial"/>
          <w:szCs w:val="24"/>
          <w:lang w:val="es-MX"/>
        </w:rPr>
        <w:t xml:space="preserve">De la referencia, </w:t>
      </w:r>
      <w:r w:rsidRPr="00364687">
        <w:rPr>
          <w:rFonts w:cs="Arial"/>
          <w:i/>
          <w:iCs/>
          <w:szCs w:val="24"/>
          <w:lang w:val="es-MX"/>
        </w:rPr>
        <w:t xml:space="preserve">GLOBAL SOLAR ATLAS 2.0, </w:t>
      </w:r>
      <w:proofErr w:type="spellStart"/>
      <w:r w:rsidRPr="00364687">
        <w:rPr>
          <w:rFonts w:cs="Arial"/>
          <w:i/>
          <w:iCs/>
          <w:szCs w:val="24"/>
          <w:lang w:val="es-MX"/>
        </w:rPr>
        <w:t>VALIDATION</w:t>
      </w:r>
      <w:proofErr w:type="spellEnd"/>
      <w:r w:rsidRPr="00364687">
        <w:rPr>
          <w:rFonts w:cs="Arial"/>
          <w:i/>
          <w:iCs/>
          <w:szCs w:val="24"/>
          <w:lang w:val="es-MX"/>
        </w:rPr>
        <w:t xml:space="preserve"> </w:t>
      </w:r>
      <w:proofErr w:type="spellStart"/>
      <w:r w:rsidRPr="00364687">
        <w:rPr>
          <w:rFonts w:cs="Arial"/>
          <w:i/>
          <w:iCs/>
          <w:szCs w:val="24"/>
          <w:lang w:val="es-MX"/>
        </w:rPr>
        <w:t>REPORT</w:t>
      </w:r>
      <w:proofErr w:type="spellEnd"/>
      <w:r w:rsidRPr="00364687">
        <w:rPr>
          <w:rFonts w:cs="Arial"/>
          <w:i/>
          <w:iCs/>
          <w:szCs w:val="24"/>
          <w:lang w:val="es-MX"/>
        </w:rPr>
        <w:t xml:space="preserve">, </w:t>
      </w:r>
      <w:proofErr w:type="spellStart"/>
      <w:r w:rsidRPr="00364687">
        <w:rPr>
          <w:rFonts w:cs="Arial"/>
          <w:i/>
          <w:iCs/>
          <w:szCs w:val="24"/>
          <w:lang w:val="es-MX"/>
        </w:rPr>
        <w:t>November</w:t>
      </w:r>
      <w:proofErr w:type="spellEnd"/>
      <w:r w:rsidRPr="00364687">
        <w:rPr>
          <w:rFonts w:cs="Arial"/>
          <w:i/>
          <w:iCs/>
          <w:szCs w:val="24"/>
          <w:lang w:val="es-MX"/>
        </w:rPr>
        <w:t xml:space="preserve"> 2019. </w:t>
      </w:r>
      <w:proofErr w:type="spellStart"/>
      <w:r w:rsidRPr="00364687">
        <w:rPr>
          <w:rFonts w:cs="Arial"/>
          <w:i/>
          <w:iCs/>
          <w:szCs w:val="24"/>
          <w:lang w:val="es-MX"/>
        </w:rPr>
        <w:t>The</w:t>
      </w:r>
      <w:proofErr w:type="spellEnd"/>
      <w:r w:rsidRPr="00364687">
        <w:rPr>
          <w:rFonts w:cs="Arial"/>
          <w:i/>
          <w:iCs/>
          <w:szCs w:val="24"/>
          <w:lang w:val="es-MX"/>
        </w:rPr>
        <w:t xml:space="preserve"> </w:t>
      </w:r>
      <w:proofErr w:type="spellStart"/>
      <w:r w:rsidRPr="00364687">
        <w:rPr>
          <w:rFonts w:cs="Arial"/>
          <w:i/>
          <w:iCs/>
          <w:szCs w:val="24"/>
          <w:lang w:val="es-MX"/>
        </w:rPr>
        <w:t>World</w:t>
      </w:r>
      <w:proofErr w:type="spellEnd"/>
      <w:r w:rsidRPr="00364687">
        <w:rPr>
          <w:rFonts w:cs="Arial"/>
          <w:i/>
          <w:iCs/>
          <w:szCs w:val="24"/>
          <w:lang w:val="es-MX"/>
        </w:rPr>
        <w:t xml:space="preserve"> Bank</w:t>
      </w:r>
      <w:r>
        <w:rPr>
          <w:rFonts w:cs="Arial"/>
          <w:szCs w:val="24"/>
        </w:rPr>
        <w:t>, se obtiene:</w:t>
      </w:r>
    </w:p>
    <w:p w14:paraId="09827992" w14:textId="77777777" w:rsidR="003032EB" w:rsidRDefault="003032EB" w:rsidP="003032EB">
      <w:pPr>
        <w:pStyle w:val="Prrafodelista"/>
        <w:ind w:left="1440"/>
        <w:rPr>
          <w:rFonts w:cs="Arial"/>
          <w:szCs w:val="24"/>
        </w:rPr>
      </w:pPr>
    </w:p>
    <w:p w14:paraId="6D7E840B" w14:textId="77777777" w:rsidR="003032EB" w:rsidRDefault="003032EB" w:rsidP="003032EB">
      <w:pPr>
        <w:pStyle w:val="Prrafodelista"/>
        <w:ind w:left="1440"/>
        <w:rPr>
          <w:rFonts w:cs="Arial"/>
          <w:szCs w:val="24"/>
        </w:rPr>
      </w:pPr>
      <w:r>
        <w:rPr>
          <w:rFonts w:cs="Arial"/>
          <w:szCs w:val="24"/>
          <w:lang w:val="es-MX"/>
        </w:rPr>
        <w:t>Presentan e</w:t>
      </w:r>
      <w:r w:rsidRPr="004A71C3">
        <w:rPr>
          <w:rFonts w:cs="Arial"/>
          <w:szCs w:val="24"/>
          <w:lang w:val="es-MX"/>
        </w:rPr>
        <w:t xml:space="preserve">rrores máximos horarios de 16.8% en promedio para varias zonas geográficas del dato de </w:t>
      </w:r>
      <w:proofErr w:type="spellStart"/>
      <w:r w:rsidRPr="004A71C3">
        <w:rPr>
          <w:rFonts w:cs="Arial"/>
          <w:szCs w:val="24"/>
          <w:lang w:val="es-MX"/>
        </w:rPr>
        <w:t>GHI</w:t>
      </w:r>
      <w:proofErr w:type="spellEnd"/>
      <w:r w:rsidRPr="004A71C3">
        <w:rPr>
          <w:rFonts w:cs="Arial"/>
          <w:szCs w:val="24"/>
          <w:lang w:val="es-MX"/>
        </w:rPr>
        <w:t xml:space="preserve">, error medido entre datos en sitio y datos de fuentes secundaria y en zona tropical el error es de hasta 20.8% para </w:t>
      </w:r>
      <w:proofErr w:type="spellStart"/>
      <w:r w:rsidRPr="004A71C3">
        <w:rPr>
          <w:rFonts w:cs="Arial"/>
          <w:szCs w:val="24"/>
          <w:lang w:val="es-MX"/>
        </w:rPr>
        <w:t>GHI</w:t>
      </w:r>
      <w:proofErr w:type="spellEnd"/>
      <w:r>
        <w:rPr>
          <w:rFonts w:cs="Arial"/>
          <w:szCs w:val="24"/>
          <w:lang w:val="es-MX"/>
        </w:rPr>
        <w:t>.</w:t>
      </w:r>
    </w:p>
    <w:p w14:paraId="299C8811" w14:textId="77777777" w:rsidR="003032EB" w:rsidRDefault="003032EB" w:rsidP="003032EB">
      <w:pPr>
        <w:pStyle w:val="Prrafodelista"/>
        <w:ind w:left="1440"/>
        <w:rPr>
          <w:rFonts w:cs="Arial"/>
          <w:szCs w:val="24"/>
        </w:rPr>
      </w:pPr>
    </w:p>
    <w:p w14:paraId="751CC791" w14:textId="77777777" w:rsidR="003032EB" w:rsidRDefault="003032EB" w:rsidP="003032EB">
      <w:pPr>
        <w:pStyle w:val="Prrafodelista"/>
        <w:numPr>
          <w:ilvl w:val="0"/>
          <w:numId w:val="17"/>
        </w:numPr>
        <w:rPr>
          <w:rFonts w:cs="Arial"/>
          <w:szCs w:val="24"/>
        </w:rPr>
      </w:pPr>
      <w:r>
        <w:rPr>
          <w:rFonts w:cs="Arial"/>
          <w:szCs w:val="24"/>
        </w:rPr>
        <w:t>La Comisión revisa la experiencia internacional y encuentra para plantas eólicas:</w:t>
      </w:r>
    </w:p>
    <w:p w14:paraId="6C210C3F" w14:textId="77777777" w:rsidR="003032EB" w:rsidRDefault="003032EB" w:rsidP="003032EB">
      <w:pPr>
        <w:pStyle w:val="Prrafodelista"/>
        <w:ind w:left="720"/>
        <w:rPr>
          <w:rFonts w:cs="Arial"/>
          <w:szCs w:val="24"/>
        </w:rPr>
      </w:pPr>
    </w:p>
    <w:p w14:paraId="4ADFAF6B" w14:textId="77777777" w:rsidR="003032EB" w:rsidRPr="00A70876" w:rsidRDefault="003032EB" w:rsidP="003032EB">
      <w:pPr>
        <w:pStyle w:val="Prrafodelista"/>
        <w:numPr>
          <w:ilvl w:val="0"/>
          <w:numId w:val="19"/>
        </w:numPr>
        <w:rPr>
          <w:rFonts w:cs="Arial"/>
          <w:lang w:val="es-CO"/>
        </w:rPr>
      </w:pPr>
      <w:r>
        <w:rPr>
          <w:rFonts w:cs="Arial"/>
          <w:szCs w:val="24"/>
        </w:rPr>
        <w:t xml:space="preserve">De la referencia: </w:t>
      </w:r>
      <w:proofErr w:type="spellStart"/>
      <w:r w:rsidRPr="00D154C1">
        <w:rPr>
          <w:rFonts w:cs="Arial"/>
          <w:bCs/>
          <w:i/>
          <w:iCs/>
        </w:rPr>
        <w:t>An</w:t>
      </w:r>
      <w:proofErr w:type="spellEnd"/>
      <w:r w:rsidRPr="00D154C1">
        <w:rPr>
          <w:rFonts w:cs="Arial"/>
          <w:bCs/>
          <w:i/>
          <w:iCs/>
        </w:rPr>
        <w:t xml:space="preserve"> </w:t>
      </w:r>
      <w:proofErr w:type="spellStart"/>
      <w:r w:rsidRPr="00D154C1">
        <w:rPr>
          <w:rFonts w:cs="Arial"/>
          <w:bCs/>
          <w:i/>
          <w:iCs/>
        </w:rPr>
        <w:t>Analysis</w:t>
      </w:r>
      <w:proofErr w:type="spellEnd"/>
      <w:r w:rsidRPr="00D154C1">
        <w:rPr>
          <w:rFonts w:cs="Arial"/>
          <w:bCs/>
          <w:i/>
          <w:iCs/>
        </w:rPr>
        <w:t xml:space="preserve"> </w:t>
      </w:r>
      <w:proofErr w:type="spellStart"/>
      <w:r w:rsidRPr="00D154C1">
        <w:rPr>
          <w:rFonts w:cs="Arial"/>
          <w:bCs/>
          <w:i/>
          <w:iCs/>
        </w:rPr>
        <w:t>of</w:t>
      </w:r>
      <w:proofErr w:type="spellEnd"/>
      <w:r w:rsidRPr="00D154C1">
        <w:rPr>
          <w:rFonts w:cs="Arial"/>
          <w:bCs/>
          <w:i/>
          <w:iCs/>
        </w:rPr>
        <w:t xml:space="preserve"> </w:t>
      </w:r>
      <w:proofErr w:type="spellStart"/>
      <w:r w:rsidRPr="00D154C1">
        <w:rPr>
          <w:rFonts w:cs="Arial"/>
          <w:bCs/>
          <w:i/>
          <w:iCs/>
        </w:rPr>
        <w:t>Wind</w:t>
      </w:r>
      <w:proofErr w:type="spellEnd"/>
      <w:r w:rsidRPr="00D154C1">
        <w:rPr>
          <w:rFonts w:cs="Arial"/>
          <w:bCs/>
          <w:i/>
          <w:iCs/>
        </w:rPr>
        <w:t xml:space="preserve"> </w:t>
      </w:r>
      <w:proofErr w:type="spellStart"/>
      <w:r w:rsidRPr="00D154C1">
        <w:rPr>
          <w:rFonts w:cs="Arial"/>
          <w:bCs/>
          <w:i/>
          <w:iCs/>
        </w:rPr>
        <w:t>Resource</w:t>
      </w:r>
      <w:proofErr w:type="spellEnd"/>
      <w:r w:rsidRPr="00D154C1">
        <w:rPr>
          <w:rFonts w:cs="Arial"/>
          <w:bCs/>
          <w:i/>
          <w:iCs/>
        </w:rPr>
        <w:t xml:space="preserve"> </w:t>
      </w:r>
      <w:proofErr w:type="spellStart"/>
      <w:r w:rsidRPr="00D154C1">
        <w:rPr>
          <w:rFonts w:cs="Arial"/>
          <w:bCs/>
          <w:i/>
          <w:iCs/>
        </w:rPr>
        <w:t>Uncertainty</w:t>
      </w:r>
      <w:proofErr w:type="spellEnd"/>
      <w:r w:rsidRPr="00D154C1">
        <w:rPr>
          <w:rFonts w:cs="Arial"/>
          <w:bCs/>
          <w:i/>
          <w:iCs/>
        </w:rPr>
        <w:t xml:space="preserve"> in Energy </w:t>
      </w:r>
      <w:proofErr w:type="spellStart"/>
      <w:r w:rsidRPr="00D154C1">
        <w:rPr>
          <w:rFonts w:cs="Arial"/>
          <w:bCs/>
          <w:i/>
          <w:iCs/>
        </w:rPr>
        <w:t>Production</w:t>
      </w:r>
      <w:proofErr w:type="spellEnd"/>
      <w:r w:rsidRPr="00D154C1">
        <w:rPr>
          <w:rFonts w:cs="Arial"/>
          <w:bCs/>
          <w:i/>
          <w:iCs/>
        </w:rPr>
        <w:t xml:space="preserve"> </w:t>
      </w:r>
      <w:proofErr w:type="spellStart"/>
      <w:r w:rsidRPr="00D154C1">
        <w:rPr>
          <w:rFonts w:cs="Arial"/>
          <w:bCs/>
          <w:i/>
          <w:iCs/>
        </w:rPr>
        <w:t>Estimates</w:t>
      </w:r>
      <w:proofErr w:type="spellEnd"/>
      <w:r w:rsidRPr="00D154C1">
        <w:rPr>
          <w:rFonts w:cs="Arial"/>
          <w:bCs/>
          <w:i/>
          <w:iCs/>
        </w:rPr>
        <w:t xml:space="preserve">, AWS </w:t>
      </w:r>
      <w:proofErr w:type="spellStart"/>
      <w:r w:rsidRPr="00D154C1">
        <w:rPr>
          <w:rFonts w:cs="Arial"/>
          <w:bCs/>
          <w:i/>
          <w:iCs/>
        </w:rPr>
        <w:t>Truewind</w:t>
      </w:r>
      <w:proofErr w:type="spellEnd"/>
      <w:r w:rsidRPr="00D154C1">
        <w:rPr>
          <w:rFonts w:cs="Arial"/>
          <w:bCs/>
          <w:i/>
          <w:iCs/>
        </w:rPr>
        <w:t>, 2004</w:t>
      </w:r>
      <w:r w:rsidRPr="00D154C1">
        <w:rPr>
          <w:rFonts w:cs="Arial"/>
          <w:bCs/>
        </w:rPr>
        <w:t xml:space="preserve">, </w:t>
      </w:r>
      <w:r>
        <w:rPr>
          <w:rFonts w:cs="Arial"/>
          <w:szCs w:val="24"/>
        </w:rPr>
        <w:t>se obtiene la siguiente conclusión:</w:t>
      </w:r>
    </w:p>
    <w:p w14:paraId="02597052" w14:textId="77777777" w:rsidR="003032EB" w:rsidRDefault="003032EB" w:rsidP="003032EB">
      <w:pPr>
        <w:pStyle w:val="Prrafodelista"/>
        <w:ind w:left="1440"/>
        <w:rPr>
          <w:rFonts w:cs="Arial"/>
          <w:szCs w:val="24"/>
        </w:rPr>
      </w:pPr>
    </w:p>
    <w:p w14:paraId="3C36A21A" w14:textId="77777777" w:rsidR="003032EB" w:rsidRDefault="003032EB" w:rsidP="003032EB">
      <w:pPr>
        <w:pStyle w:val="Prrafodelista"/>
        <w:numPr>
          <w:ilvl w:val="0"/>
          <w:numId w:val="21"/>
        </w:numPr>
        <w:rPr>
          <w:rFonts w:cs="Arial"/>
          <w:szCs w:val="24"/>
        </w:rPr>
      </w:pPr>
      <w:r w:rsidRPr="0049287A">
        <w:rPr>
          <w:rFonts w:cs="Arial"/>
          <w:szCs w:val="24"/>
        </w:rPr>
        <w:t xml:space="preserve">Con 1 mes de datos en sitio, la serie extrapolada puede tener incertidumbres en las series de largo plazo de </w:t>
      </w:r>
      <w:r>
        <w:rPr>
          <w:rFonts w:cs="Arial"/>
          <w:szCs w:val="24"/>
        </w:rPr>
        <w:t xml:space="preserve">aproximadamente </w:t>
      </w:r>
      <w:r w:rsidRPr="0049287A">
        <w:rPr>
          <w:rFonts w:cs="Arial"/>
          <w:szCs w:val="24"/>
        </w:rPr>
        <w:t>6.5</w:t>
      </w:r>
      <w:r>
        <w:rPr>
          <w:rFonts w:cs="Arial"/>
          <w:szCs w:val="24"/>
        </w:rPr>
        <w:t xml:space="preserve"> a</w:t>
      </w:r>
      <w:r w:rsidRPr="0049287A">
        <w:rPr>
          <w:rFonts w:cs="Arial"/>
          <w:szCs w:val="24"/>
        </w:rPr>
        <w:t xml:space="preserve"> 12%</w:t>
      </w:r>
      <w:r>
        <w:rPr>
          <w:rFonts w:cs="Arial"/>
          <w:szCs w:val="24"/>
        </w:rPr>
        <w:t>.</w:t>
      </w:r>
    </w:p>
    <w:p w14:paraId="16F58EA6" w14:textId="77777777" w:rsidR="003032EB" w:rsidRDefault="003032EB" w:rsidP="003032EB">
      <w:pPr>
        <w:pStyle w:val="Prrafodelista"/>
        <w:ind w:left="1440"/>
        <w:rPr>
          <w:rFonts w:cs="Arial"/>
          <w:szCs w:val="24"/>
        </w:rPr>
      </w:pPr>
    </w:p>
    <w:p w14:paraId="656E408F" w14:textId="78610442" w:rsidR="003032EB" w:rsidRDefault="00E357CA" w:rsidP="003032EB">
      <w:pPr>
        <w:pStyle w:val="Prrafodelista"/>
        <w:numPr>
          <w:ilvl w:val="0"/>
          <w:numId w:val="21"/>
        </w:numPr>
        <w:rPr>
          <w:rFonts w:cs="Arial"/>
          <w:szCs w:val="24"/>
        </w:rPr>
      </w:pPr>
      <w:r>
        <w:rPr>
          <w:rFonts w:cs="Arial"/>
          <w:szCs w:val="24"/>
        </w:rPr>
        <w:t xml:space="preserve">Con </w:t>
      </w:r>
      <w:r w:rsidRPr="0049287A">
        <w:rPr>
          <w:rFonts w:cs="Arial"/>
          <w:szCs w:val="24"/>
        </w:rPr>
        <w:t>6</w:t>
      </w:r>
      <w:r w:rsidR="003032EB" w:rsidRPr="0049287A">
        <w:rPr>
          <w:rFonts w:cs="Arial"/>
          <w:szCs w:val="24"/>
        </w:rPr>
        <w:t xml:space="preserve"> meses </w:t>
      </w:r>
      <w:r w:rsidR="003032EB">
        <w:rPr>
          <w:rFonts w:cs="Arial"/>
          <w:szCs w:val="24"/>
        </w:rPr>
        <w:t xml:space="preserve">de datos en sitio la incertidumbre </w:t>
      </w:r>
      <w:r w:rsidR="003032EB" w:rsidRPr="0049287A">
        <w:rPr>
          <w:rFonts w:cs="Arial"/>
          <w:szCs w:val="24"/>
        </w:rPr>
        <w:t xml:space="preserve">en las series de largo plazo </w:t>
      </w:r>
      <w:r w:rsidR="003032EB">
        <w:rPr>
          <w:rFonts w:cs="Arial"/>
          <w:szCs w:val="24"/>
        </w:rPr>
        <w:t>es aproximadamente del</w:t>
      </w:r>
      <w:r w:rsidR="003032EB" w:rsidRPr="0049287A">
        <w:rPr>
          <w:rFonts w:cs="Arial"/>
          <w:szCs w:val="24"/>
        </w:rPr>
        <w:t xml:space="preserve"> 4%</w:t>
      </w:r>
      <w:r w:rsidR="003032EB">
        <w:rPr>
          <w:rFonts w:cs="Arial"/>
          <w:szCs w:val="24"/>
        </w:rPr>
        <w:t>.</w:t>
      </w:r>
    </w:p>
    <w:p w14:paraId="51AF8803" w14:textId="77777777" w:rsidR="003032EB" w:rsidRDefault="003032EB" w:rsidP="003032EB">
      <w:pPr>
        <w:pStyle w:val="Prrafodelista"/>
        <w:ind w:left="1440"/>
        <w:rPr>
          <w:rFonts w:cs="Arial"/>
          <w:szCs w:val="24"/>
        </w:rPr>
      </w:pPr>
    </w:p>
    <w:p w14:paraId="5601C1AA" w14:textId="77777777" w:rsidR="003032EB" w:rsidRDefault="003032EB" w:rsidP="003032EB">
      <w:pPr>
        <w:pStyle w:val="Prrafodelista"/>
        <w:numPr>
          <w:ilvl w:val="0"/>
          <w:numId w:val="21"/>
        </w:numPr>
        <w:rPr>
          <w:rFonts w:cs="Arial"/>
          <w:szCs w:val="24"/>
        </w:rPr>
      </w:pPr>
      <w:r>
        <w:rPr>
          <w:rFonts w:cs="Arial"/>
          <w:szCs w:val="24"/>
        </w:rPr>
        <w:t xml:space="preserve">Con </w:t>
      </w:r>
      <w:r w:rsidRPr="0049287A">
        <w:rPr>
          <w:rFonts w:cs="Arial"/>
          <w:szCs w:val="24"/>
        </w:rPr>
        <w:t>1 año</w:t>
      </w:r>
      <w:r>
        <w:rPr>
          <w:rFonts w:cs="Arial"/>
          <w:szCs w:val="24"/>
        </w:rPr>
        <w:t xml:space="preserve"> de datos en sitio la incertidumbre </w:t>
      </w:r>
      <w:r w:rsidRPr="0049287A">
        <w:rPr>
          <w:rFonts w:cs="Arial"/>
          <w:szCs w:val="24"/>
        </w:rPr>
        <w:t xml:space="preserve">en las series de largo plazo </w:t>
      </w:r>
      <w:r>
        <w:rPr>
          <w:rFonts w:cs="Arial"/>
          <w:szCs w:val="24"/>
        </w:rPr>
        <w:t>es de</w:t>
      </w:r>
      <w:r w:rsidRPr="0049287A">
        <w:rPr>
          <w:rFonts w:cs="Arial"/>
          <w:szCs w:val="24"/>
        </w:rPr>
        <w:t xml:space="preserve"> 2%.</w:t>
      </w:r>
    </w:p>
    <w:p w14:paraId="1C6F8A26" w14:textId="77777777" w:rsidR="003032EB" w:rsidRPr="0049287A" w:rsidRDefault="003032EB" w:rsidP="003032EB">
      <w:pPr>
        <w:pStyle w:val="Prrafodelista"/>
        <w:rPr>
          <w:rFonts w:cs="Arial"/>
          <w:szCs w:val="24"/>
        </w:rPr>
      </w:pPr>
    </w:p>
    <w:p w14:paraId="7E13A326" w14:textId="77777777" w:rsidR="003032EB" w:rsidRPr="00D154C1" w:rsidRDefault="003032EB" w:rsidP="003032EB">
      <w:pPr>
        <w:pStyle w:val="Prrafodelista"/>
        <w:numPr>
          <w:ilvl w:val="0"/>
          <w:numId w:val="19"/>
        </w:numPr>
        <w:rPr>
          <w:rFonts w:cs="Arial"/>
          <w:lang w:val="en-US"/>
        </w:rPr>
      </w:pPr>
      <w:r w:rsidRPr="00D154C1">
        <w:rPr>
          <w:rFonts w:cs="Arial"/>
          <w:szCs w:val="24"/>
          <w:lang w:val="en-US"/>
        </w:rPr>
        <w:t xml:space="preserve">De la </w:t>
      </w:r>
      <w:proofErr w:type="spellStart"/>
      <w:r w:rsidRPr="00D154C1">
        <w:rPr>
          <w:rFonts w:cs="Arial"/>
          <w:szCs w:val="24"/>
          <w:lang w:val="en-US"/>
        </w:rPr>
        <w:t>referencia</w:t>
      </w:r>
      <w:proofErr w:type="spellEnd"/>
      <w:r w:rsidRPr="00D154C1">
        <w:rPr>
          <w:rFonts w:cs="Arial"/>
          <w:szCs w:val="24"/>
          <w:lang w:val="en-US"/>
        </w:rPr>
        <w:t xml:space="preserve">: </w:t>
      </w:r>
      <w:r w:rsidRPr="00C3309A">
        <w:rPr>
          <w:rFonts w:cs="Arial"/>
          <w:bCs/>
          <w:i/>
          <w:iCs/>
          <w:lang w:val="en-US"/>
        </w:rPr>
        <w:t>A review of measure-correlate-predict (</w:t>
      </w:r>
      <w:proofErr w:type="spellStart"/>
      <w:r w:rsidRPr="00C3309A">
        <w:rPr>
          <w:rFonts w:cs="Arial"/>
          <w:bCs/>
          <w:i/>
          <w:iCs/>
          <w:lang w:val="en-US"/>
        </w:rPr>
        <w:t>MCP</w:t>
      </w:r>
      <w:proofErr w:type="spellEnd"/>
      <w:r w:rsidRPr="00C3309A">
        <w:rPr>
          <w:rFonts w:cs="Arial"/>
          <w:bCs/>
          <w:i/>
          <w:iCs/>
          <w:lang w:val="en-US"/>
        </w:rPr>
        <w:t>) methods used to Estimate long-term wind characteristics at a target site, Renewable and Sustainable Energy Reviews- ELSEVIER, 2013</w:t>
      </w:r>
      <w:r>
        <w:rPr>
          <w:rFonts w:cs="Arial"/>
          <w:bCs/>
          <w:lang w:val="en-US"/>
        </w:rPr>
        <w:t xml:space="preserve">, se </w:t>
      </w:r>
      <w:proofErr w:type="spellStart"/>
      <w:r>
        <w:rPr>
          <w:rFonts w:cs="Arial"/>
          <w:bCs/>
          <w:lang w:val="en-US"/>
        </w:rPr>
        <w:t>obtienen</w:t>
      </w:r>
      <w:proofErr w:type="spellEnd"/>
      <w:r>
        <w:rPr>
          <w:rFonts w:cs="Arial"/>
          <w:bCs/>
          <w:lang w:val="en-US"/>
        </w:rPr>
        <w:t xml:space="preserve"> las </w:t>
      </w:r>
      <w:proofErr w:type="spellStart"/>
      <w:r>
        <w:rPr>
          <w:rFonts w:cs="Arial"/>
          <w:bCs/>
          <w:lang w:val="en-US"/>
        </w:rPr>
        <w:t>siguientes</w:t>
      </w:r>
      <w:proofErr w:type="spellEnd"/>
      <w:r>
        <w:rPr>
          <w:rFonts w:cs="Arial"/>
          <w:bCs/>
          <w:lang w:val="en-US"/>
        </w:rPr>
        <w:t xml:space="preserve"> </w:t>
      </w:r>
      <w:proofErr w:type="spellStart"/>
      <w:r>
        <w:rPr>
          <w:rFonts w:cs="Arial"/>
          <w:bCs/>
          <w:lang w:val="en-US"/>
        </w:rPr>
        <w:t>conclusiones</w:t>
      </w:r>
      <w:proofErr w:type="spellEnd"/>
      <w:r>
        <w:rPr>
          <w:rFonts w:cs="Arial"/>
          <w:bCs/>
          <w:lang w:val="en-US"/>
        </w:rPr>
        <w:t>:</w:t>
      </w:r>
    </w:p>
    <w:p w14:paraId="5266F6B8" w14:textId="77777777" w:rsidR="003032EB" w:rsidRPr="00D154C1" w:rsidRDefault="003032EB" w:rsidP="003032EB">
      <w:pPr>
        <w:ind w:left="1416"/>
        <w:rPr>
          <w:rFonts w:cs="Arial"/>
          <w:lang w:val="en-US"/>
        </w:rPr>
      </w:pPr>
    </w:p>
    <w:p w14:paraId="5313CBE1" w14:textId="77777777" w:rsidR="003032EB" w:rsidRDefault="003032EB" w:rsidP="003032EB">
      <w:pPr>
        <w:pStyle w:val="Prrafodelista"/>
        <w:numPr>
          <w:ilvl w:val="0"/>
          <w:numId w:val="21"/>
        </w:numPr>
        <w:rPr>
          <w:rFonts w:cs="Arial"/>
          <w:lang w:val="es-CO"/>
        </w:rPr>
      </w:pPr>
      <w:r w:rsidRPr="0022499B">
        <w:rPr>
          <w:rFonts w:cs="Arial"/>
          <w:lang w:val="es-CO"/>
        </w:rPr>
        <w:t>Se debe tener 1 año de datos</w:t>
      </w:r>
      <w:r>
        <w:rPr>
          <w:rFonts w:cs="Arial"/>
          <w:lang w:val="es-CO"/>
        </w:rPr>
        <w:t xml:space="preserve"> medidos</w:t>
      </w:r>
      <w:r w:rsidRPr="0022499B">
        <w:rPr>
          <w:rFonts w:cs="Arial"/>
          <w:lang w:val="es-CO"/>
        </w:rPr>
        <w:t xml:space="preserve"> en sitio obligatorios para la extrapolación.</w:t>
      </w:r>
    </w:p>
    <w:p w14:paraId="39816B2D" w14:textId="77777777" w:rsidR="003032EB" w:rsidRPr="0022499B" w:rsidRDefault="003032EB" w:rsidP="003032EB">
      <w:pPr>
        <w:pStyle w:val="Prrafodelista"/>
        <w:ind w:left="2160"/>
        <w:rPr>
          <w:rFonts w:cs="Arial"/>
          <w:lang w:val="es-CO"/>
        </w:rPr>
      </w:pPr>
    </w:p>
    <w:p w14:paraId="34F98187" w14:textId="77777777" w:rsidR="003032EB" w:rsidRDefault="003032EB" w:rsidP="003032EB">
      <w:pPr>
        <w:pStyle w:val="Prrafodelista"/>
        <w:numPr>
          <w:ilvl w:val="0"/>
          <w:numId w:val="21"/>
        </w:numPr>
        <w:rPr>
          <w:rFonts w:cs="Arial"/>
          <w:lang w:val="es-CO"/>
        </w:rPr>
      </w:pPr>
      <w:r w:rsidRPr="0022499B">
        <w:rPr>
          <w:rFonts w:cs="Arial"/>
          <w:lang w:val="es-CO"/>
        </w:rPr>
        <w:t>Los métodos siempre parten de que se tiene buena campaña de medición</w:t>
      </w:r>
      <w:r>
        <w:rPr>
          <w:rFonts w:cs="Arial"/>
          <w:lang w:val="es-CO"/>
        </w:rPr>
        <w:t xml:space="preserve"> en el sitio de la planta.</w:t>
      </w:r>
    </w:p>
    <w:p w14:paraId="62EAEC43" w14:textId="77777777" w:rsidR="003032EB" w:rsidRPr="0022499B" w:rsidRDefault="003032EB" w:rsidP="003032EB">
      <w:pPr>
        <w:pStyle w:val="Prrafodelista"/>
        <w:rPr>
          <w:rFonts w:cs="Arial"/>
          <w:lang w:val="es-CO"/>
        </w:rPr>
      </w:pPr>
    </w:p>
    <w:p w14:paraId="6976A678" w14:textId="77777777" w:rsidR="003032EB" w:rsidRPr="0022499B" w:rsidRDefault="003032EB" w:rsidP="003032EB">
      <w:pPr>
        <w:pStyle w:val="Prrafodelista"/>
        <w:numPr>
          <w:ilvl w:val="0"/>
          <w:numId w:val="21"/>
        </w:numPr>
        <w:rPr>
          <w:rFonts w:cs="Arial"/>
          <w:lang w:val="es-CO"/>
        </w:rPr>
      </w:pPr>
      <w:r w:rsidRPr="0022499B">
        <w:rPr>
          <w:rFonts w:cs="Arial"/>
          <w:lang w:val="es-CO"/>
        </w:rPr>
        <w:t>Referencian un estudio donde podrían usarse medidas horarias</w:t>
      </w:r>
      <w:r>
        <w:rPr>
          <w:rFonts w:cs="Arial"/>
          <w:lang w:val="es-CO"/>
        </w:rPr>
        <w:t xml:space="preserve"> para la extrapolación a partir de fuentes secundarias.</w:t>
      </w:r>
    </w:p>
    <w:p w14:paraId="07DD4B86" w14:textId="77777777" w:rsidR="003032EB" w:rsidRPr="009A4AF0" w:rsidRDefault="003032EB" w:rsidP="003032EB">
      <w:pPr>
        <w:ind w:left="1416"/>
        <w:rPr>
          <w:rFonts w:cs="Arial"/>
          <w:lang w:val="es-CO"/>
        </w:rPr>
      </w:pPr>
    </w:p>
    <w:p w14:paraId="4FA705CE" w14:textId="77777777" w:rsidR="003032EB" w:rsidRPr="00D154C1" w:rsidRDefault="003032EB" w:rsidP="003032EB">
      <w:pPr>
        <w:pStyle w:val="Prrafodelista"/>
        <w:numPr>
          <w:ilvl w:val="0"/>
          <w:numId w:val="19"/>
        </w:numPr>
        <w:rPr>
          <w:rFonts w:cs="Arial"/>
          <w:lang w:val="en-US"/>
        </w:rPr>
      </w:pPr>
      <w:r w:rsidRPr="00D154C1">
        <w:rPr>
          <w:rFonts w:cs="Arial"/>
          <w:szCs w:val="24"/>
          <w:lang w:val="en-US"/>
        </w:rPr>
        <w:t xml:space="preserve">De la </w:t>
      </w:r>
      <w:proofErr w:type="spellStart"/>
      <w:r w:rsidRPr="00D154C1">
        <w:rPr>
          <w:rFonts w:cs="Arial"/>
          <w:szCs w:val="24"/>
          <w:lang w:val="en-US"/>
        </w:rPr>
        <w:t>referencia</w:t>
      </w:r>
      <w:proofErr w:type="spellEnd"/>
      <w:r w:rsidRPr="00D154C1">
        <w:rPr>
          <w:rFonts w:cs="Arial"/>
          <w:szCs w:val="24"/>
          <w:lang w:val="en-US"/>
        </w:rPr>
        <w:t xml:space="preserve">: </w:t>
      </w:r>
      <w:r w:rsidRPr="004B5DD5">
        <w:rPr>
          <w:rFonts w:cs="Arial"/>
          <w:bCs/>
          <w:i/>
          <w:iCs/>
          <w:lang w:val="en-US"/>
        </w:rPr>
        <w:t>Guidelines for wind resource assessment: best practices for countries initiating wind development, Asian Development Bank, 2014</w:t>
      </w:r>
      <w:r>
        <w:rPr>
          <w:rFonts w:cs="Arial"/>
          <w:bCs/>
          <w:lang w:val="en-US"/>
        </w:rPr>
        <w:t xml:space="preserve">, se </w:t>
      </w:r>
      <w:proofErr w:type="spellStart"/>
      <w:r>
        <w:rPr>
          <w:rFonts w:cs="Arial"/>
          <w:bCs/>
          <w:lang w:val="en-US"/>
        </w:rPr>
        <w:t>obtienen</w:t>
      </w:r>
      <w:proofErr w:type="spellEnd"/>
      <w:r>
        <w:rPr>
          <w:rFonts w:cs="Arial"/>
          <w:bCs/>
          <w:lang w:val="en-US"/>
        </w:rPr>
        <w:t xml:space="preserve"> las </w:t>
      </w:r>
      <w:proofErr w:type="spellStart"/>
      <w:r>
        <w:rPr>
          <w:rFonts w:cs="Arial"/>
          <w:bCs/>
          <w:lang w:val="en-US"/>
        </w:rPr>
        <w:t>siguientes</w:t>
      </w:r>
      <w:proofErr w:type="spellEnd"/>
      <w:r>
        <w:rPr>
          <w:rFonts w:cs="Arial"/>
          <w:bCs/>
          <w:lang w:val="en-US"/>
        </w:rPr>
        <w:t xml:space="preserve"> </w:t>
      </w:r>
      <w:proofErr w:type="spellStart"/>
      <w:r>
        <w:rPr>
          <w:rFonts w:cs="Arial"/>
          <w:bCs/>
          <w:lang w:val="en-US"/>
        </w:rPr>
        <w:t>conclusiones</w:t>
      </w:r>
      <w:proofErr w:type="spellEnd"/>
      <w:r>
        <w:rPr>
          <w:rFonts w:cs="Arial"/>
          <w:bCs/>
          <w:lang w:val="en-US"/>
        </w:rPr>
        <w:t>:</w:t>
      </w:r>
    </w:p>
    <w:p w14:paraId="55969D88" w14:textId="77777777" w:rsidR="003032EB" w:rsidRPr="00D154C1" w:rsidRDefault="003032EB" w:rsidP="003032EB">
      <w:pPr>
        <w:ind w:left="1416"/>
        <w:rPr>
          <w:rFonts w:cs="Arial"/>
          <w:lang w:val="en-US"/>
        </w:rPr>
      </w:pPr>
    </w:p>
    <w:p w14:paraId="0E264140" w14:textId="77777777" w:rsidR="003032EB" w:rsidRDefault="003032EB" w:rsidP="003032EB">
      <w:pPr>
        <w:pStyle w:val="Prrafodelista"/>
        <w:numPr>
          <w:ilvl w:val="0"/>
          <w:numId w:val="21"/>
        </w:numPr>
        <w:rPr>
          <w:rFonts w:cs="Arial"/>
          <w:lang w:val="es-CO"/>
        </w:rPr>
      </w:pPr>
      <w:r w:rsidRPr="0067125D">
        <w:rPr>
          <w:rFonts w:cs="Arial"/>
          <w:lang w:val="es-CO"/>
        </w:rPr>
        <w:t xml:space="preserve">5% de datos inexactos medidos </w:t>
      </w:r>
      <w:r>
        <w:rPr>
          <w:rFonts w:cs="Arial"/>
          <w:lang w:val="es-CO"/>
        </w:rPr>
        <w:t>producen aproximadamente un</w:t>
      </w:r>
      <w:r w:rsidRPr="0067125D">
        <w:rPr>
          <w:rFonts w:cs="Arial"/>
          <w:lang w:val="es-CO"/>
        </w:rPr>
        <w:t xml:space="preserve"> 10% de inexactitud en cálculo de energía anual</w:t>
      </w:r>
      <w:r>
        <w:rPr>
          <w:rFonts w:cs="Arial"/>
          <w:lang w:val="es-CO"/>
        </w:rPr>
        <w:t>.</w:t>
      </w:r>
    </w:p>
    <w:p w14:paraId="6CA1FBBB" w14:textId="77777777" w:rsidR="003032EB" w:rsidRPr="0067125D" w:rsidRDefault="003032EB" w:rsidP="003032EB">
      <w:pPr>
        <w:pStyle w:val="Prrafodelista"/>
        <w:ind w:left="2160"/>
        <w:rPr>
          <w:rFonts w:cs="Arial"/>
          <w:lang w:val="es-CO"/>
        </w:rPr>
      </w:pPr>
    </w:p>
    <w:p w14:paraId="1D4319B7" w14:textId="77777777" w:rsidR="003032EB" w:rsidRPr="00395B66" w:rsidRDefault="003032EB" w:rsidP="003032EB">
      <w:pPr>
        <w:pStyle w:val="Prrafodelista"/>
        <w:numPr>
          <w:ilvl w:val="0"/>
          <w:numId w:val="21"/>
        </w:numPr>
        <w:rPr>
          <w:rFonts w:cs="Arial"/>
          <w:lang w:val="es-CO"/>
        </w:rPr>
      </w:pPr>
      <w:r w:rsidRPr="0067125D">
        <w:rPr>
          <w:rFonts w:cs="Arial"/>
          <w:lang w:val="es-CO"/>
        </w:rPr>
        <w:t>D</w:t>
      </w:r>
      <w:proofErr w:type="spellStart"/>
      <w:r w:rsidRPr="0067125D">
        <w:rPr>
          <w:rFonts w:cs="Arial"/>
          <w:lang w:val="es-MX"/>
        </w:rPr>
        <w:t>urante</w:t>
      </w:r>
      <w:proofErr w:type="spellEnd"/>
      <w:r w:rsidRPr="0067125D">
        <w:rPr>
          <w:rFonts w:cs="Arial"/>
          <w:lang w:val="es-MX"/>
        </w:rPr>
        <w:t xml:space="preserve"> la etapa de prospectiva para la valoración del potencial usando datos de referencia de vientos, la </w:t>
      </w:r>
      <w:r w:rsidRPr="0067125D">
        <w:rPr>
          <w:rFonts w:cs="Arial"/>
          <w:lang w:val="es-CO"/>
        </w:rPr>
        <w:t>inexactitud</w:t>
      </w:r>
      <w:r w:rsidRPr="0067125D">
        <w:rPr>
          <w:rFonts w:cs="Arial"/>
          <w:lang w:val="es-MX"/>
        </w:rPr>
        <w:t xml:space="preserve"> del pronóstico de energía puede llegar a ser de hasta el ±50% (es un máximo).</w:t>
      </w:r>
    </w:p>
    <w:p w14:paraId="323E40CC" w14:textId="77777777" w:rsidR="003032EB" w:rsidRPr="00395B66" w:rsidRDefault="003032EB" w:rsidP="003032EB">
      <w:pPr>
        <w:pStyle w:val="Prrafodelista"/>
        <w:rPr>
          <w:rFonts w:cs="Arial"/>
          <w:lang w:val="es-CO"/>
        </w:rPr>
      </w:pPr>
    </w:p>
    <w:p w14:paraId="1948983F" w14:textId="77777777" w:rsidR="003032EB" w:rsidRPr="0067125D" w:rsidRDefault="003032EB" w:rsidP="003032EB">
      <w:pPr>
        <w:pStyle w:val="Prrafodelista"/>
        <w:numPr>
          <w:ilvl w:val="0"/>
          <w:numId w:val="21"/>
        </w:numPr>
        <w:rPr>
          <w:rFonts w:cs="Arial"/>
          <w:lang w:val="es-CO"/>
        </w:rPr>
      </w:pPr>
      <w:r w:rsidRPr="0067125D">
        <w:rPr>
          <w:rFonts w:cs="Arial"/>
          <w:lang w:val="es-CO"/>
        </w:rPr>
        <w:t>Sugieren</w:t>
      </w:r>
      <w:r w:rsidRPr="0067125D">
        <w:rPr>
          <w:rFonts w:cs="Arial"/>
          <w:lang w:val="es-MX"/>
        </w:rPr>
        <w:t xml:space="preserve"> al menos 1 año de datos medidos en sitio </w:t>
      </w:r>
      <w:proofErr w:type="spellStart"/>
      <w:r w:rsidRPr="0067125D">
        <w:rPr>
          <w:rFonts w:cs="Arial"/>
          <w:lang w:val="es-MX"/>
        </w:rPr>
        <w:t>diezminutales</w:t>
      </w:r>
      <w:proofErr w:type="spellEnd"/>
      <w:r>
        <w:rPr>
          <w:rFonts w:cs="Arial"/>
          <w:lang w:val="es-MX"/>
        </w:rPr>
        <w:t>.</w:t>
      </w:r>
    </w:p>
    <w:p w14:paraId="11055CF7" w14:textId="77777777" w:rsidR="003032EB" w:rsidRDefault="003032EB" w:rsidP="003032EB">
      <w:pPr>
        <w:ind w:left="1416"/>
        <w:rPr>
          <w:rFonts w:cs="Arial"/>
          <w:lang w:val="es-CO"/>
        </w:rPr>
      </w:pPr>
    </w:p>
    <w:p w14:paraId="15CC2C6D" w14:textId="77777777" w:rsidR="003032EB" w:rsidRPr="00D154C1" w:rsidRDefault="003032EB" w:rsidP="003032EB">
      <w:pPr>
        <w:pStyle w:val="Prrafodelista"/>
        <w:numPr>
          <w:ilvl w:val="0"/>
          <w:numId w:val="19"/>
        </w:numPr>
        <w:rPr>
          <w:rFonts w:cs="Arial"/>
          <w:lang w:val="en-US"/>
        </w:rPr>
      </w:pPr>
      <w:r w:rsidRPr="00D154C1">
        <w:rPr>
          <w:rFonts w:cs="Arial"/>
          <w:szCs w:val="24"/>
          <w:lang w:val="en-US"/>
        </w:rPr>
        <w:t xml:space="preserve">De la </w:t>
      </w:r>
      <w:proofErr w:type="spellStart"/>
      <w:r w:rsidRPr="00D154C1">
        <w:rPr>
          <w:rFonts w:cs="Arial"/>
          <w:szCs w:val="24"/>
          <w:lang w:val="en-US"/>
        </w:rPr>
        <w:t>referencia</w:t>
      </w:r>
      <w:proofErr w:type="spellEnd"/>
      <w:r w:rsidRPr="00D154C1">
        <w:rPr>
          <w:rFonts w:cs="Arial"/>
          <w:szCs w:val="24"/>
          <w:lang w:val="en-US"/>
        </w:rPr>
        <w:t xml:space="preserve">: </w:t>
      </w:r>
      <w:r w:rsidRPr="004B5DD5">
        <w:rPr>
          <w:rFonts w:cs="Arial"/>
          <w:bCs/>
          <w:i/>
          <w:iCs/>
          <w:lang w:val="en-US"/>
        </w:rPr>
        <w:t>The Influence of the Wind Measurement Campaign Duration on a Measure- Correlate-Predict (</w:t>
      </w:r>
      <w:proofErr w:type="spellStart"/>
      <w:r w:rsidRPr="004B5DD5">
        <w:rPr>
          <w:rFonts w:cs="Arial"/>
          <w:bCs/>
          <w:i/>
          <w:iCs/>
          <w:lang w:val="en-US"/>
        </w:rPr>
        <w:t>MCP</w:t>
      </w:r>
      <w:proofErr w:type="spellEnd"/>
      <w:r w:rsidRPr="004B5DD5">
        <w:rPr>
          <w:rFonts w:cs="Arial"/>
          <w:bCs/>
          <w:i/>
          <w:iCs/>
          <w:lang w:val="en-US"/>
        </w:rPr>
        <w:t>)-Based Wind Resource Assessment, Energies, 2019</w:t>
      </w:r>
      <w:r>
        <w:rPr>
          <w:rFonts w:cs="Arial"/>
          <w:bCs/>
          <w:lang w:val="en-US"/>
        </w:rPr>
        <w:t xml:space="preserve">, se </w:t>
      </w:r>
      <w:proofErr w:type="spellStart"/>
      <w:r>
        <w:rPr>
          <w:rFonts w:cs="Arial"/>
          <w:bCs/>
          <w:lang w:val="en-US"/>
        </w:rPr>
        <w:t>obtienen</w:t>
      </w:r>
      <w:proofErr w:type="spellEnd"/>
      <w:r>
        <w:rPr>
          <w:rFonts w:cs="Arial"/>
          <w:bCs/>
          <w:lang w:val="en-US"/>
        </w:rPr>
        <w:t xml:space="preserve"> las </w:t>
      </w:r>
      <w:proofErr w:type="spellStart"/>
      <w:r>
        <w:rPr>
          <w:rFonts w:cs="Arial"/>
          <w:bCs/>
          <w:lang w:val="en-US"/>
        </w:rPr>
        <w:t>siguientes</w:t>
      </w:r>
      <w:proofErr w:type="spellEnd"/>
      <w:r>
        <w:rPr>
          <w:rFonts w:cs="Arial"/>
          <w:bCs/>
          <w:lang w:val="en-US"/>
        </w:rPr>
        <w:t xml:space="preserve"> </w:t>
      </w:r>
      <w:proofErr w:type="spellStart"/>
      <w:r>
        <w:rPr>
          <w:rFonts w:cs="Arial"/>
          <w:bCs/>
          <w:lang w:val="en-US"/>
        </w:rPr>
        <w:t>conclusiones</w:t>
      </w:r>
      <w:proofErr w:type="spellEnd"/>
      <w:r>
        <w:rPr>
          <w:rFonts w:cs="Arial"/>
          <w:bCs/>
          <w:lang w:val="en-US"/>
        </w:rPr>
        <w:t>:</w:t>
      </w:r>
    </w:p>
    <w:p w14:paraId="54D10A05" w14:textId="77777777" w:rsidR="003032EB" w:rsidRPr="00D154C1" w:rsidRDefault="003032EB" w:rsidP="003032EB">
      <w:pPr>
        <w:ind w:left="1080"/>
        <w:rPr>
          <w:rFonts w:cs="Arial"/>
          <w:lang w:val="en-US"/>
        </w:rPr>
      </w:pPr>
    </w:p>
    <w:p w14:paraId="727A3309" w14:textId="77777777" w:rsidR="003032EB" w:rsidRDefault="003032EB" w:rsidP="003032EB">
      <w:pPr>
        <w:pStyle w:val="Prrafodelista"/>
        <w:numPr>
          <w:ilvl w:val="0"/>
          <w:numId w:val="21"/>
        </w:numPr>
        <w:rPr>
          <w:rFonts w:cs="Arial"/>
          <w:lang w:val="es-CO"/>
        </w:rPr>
      </w:pPr>
      <w:r w:rsidRPr="00993173">
        <w:rPr>
          <w:rFonts w:cs="Arial"/>
          <w:lang w:val="es-CO"/>
        </w:rPr>
        <w:t xml:space="preserve">Analizan la incertidumbre teniendo </w:t>
      </w:r>
      <w:r>
        <w:rPr>
          <w:rFonts w:cs="Arial"/>
          <w:lang w:val="es-CO"/>
        </w:rPr>
        <w:t xml:space="preserve">en cuenta </w:t>
      </w:r>
      <w:r w:rsidRPr="00993173">
        <w:rPr>
          <w:rFonts w:cs="Arial"/>
          <w:lang w:val="es-CO"/>
        </w:rPr>
        <w:t xml:space="preserve">2, 3, 4, 5 y 6 años de datos en sitio </w:t>
      </w:r>
      <w:proofErr w:type="spellStart"/>
      <w:r w:rsidRPr="00993173">
        <w:rPr>
          <w:rFonts w:cs="Arial"/>
          <w:lang w:val="es-CO"/>
        </w:rPr>
        <w:t>10mintuales</w:t>
      </w:r>
      <w:proofErr w:type="spellEnd"/>
      <w:r w:rsidRPr="00993173">
        <w:rPr>
          <w:rFonts w:cs="Arial"/>
          <w:lang w:val="es-CO"/>
        </w:rPr>
        <w:t xml:space="preserve">. </w:t>
      </w:r>
    </w:p>
    <w:p w14:paraId="5504DC93" w14:textId="77777777" w:rsidR="003032EB" w:rsidRPr="00993173" w:rsidRDefault="003032EB" w:rsidP="003032EB">
      <w:pPr>
        <w:pStyle w:val="Prrafodelista"/>
        <w:ind w:left="2160"/>
        <w:rPr>
          <w:rFonts w:cs="Arial"/>
          <w:lang w:val="es-CO"/>
        </w:rPr>
      </w:pPr>
    </w:p>
    <w:p w14:paraId="368EDA6E" w14:textId="77777777" w:rsidR="003032EB" w:rsidRDefault="003032EB" w:rsidP="003032EB">
      <w:pPr>
        <w:pStyle w:val="Prrafodelista"/>
        <w:numPr>
          <w:ilvl w:val="0"/>
          <w:numId w:val="21"/>
        </w:numPr>
        <w:rPr>
          <w:rFonts w:cs="Arial"/>
          <w:lang w:val="es-CO"/>
        </w:rPr>
      </w:pPr>
      <w:r w:rsidRPr="00993173">
        <w:rPr>
          <w:rFonts w:cs="Arial"/>
          <w:lang w:val="es-CO"/>
        </w:rPr>
        <w:t xml:space="preserve">Con 2 años de medición en sitio la incertidumbre que se obtiene es de </w:t>
      </w:r>
      <w:r>
        <w:rPr>
          <w:rFonts w:cs="Arial"/>
          <w:lang w:val="es-CO"/>
        </w:rPr>
        <w:t xml:space="preserve">aproximadamente </w:t>
      </w:r>
      <w:r w:rsidRPr="00993173">
        <w:rPr>
          <w:rFonts w:cs="Arial"/>
          <w:lang w:val="es-CO"/>
        </w:rPr>
        <w:t xml:space="preserve">2,2%, de ahí en adelante (desde 3 hasta 6 años) </w:t>
      </w:r>
      <w:r>
        <w:rPr>
          <w:rFonts w:cs="Arial"/>
          <w:lang w:val="es-CO"/>
        </w:rPr>
        <w:t xml:space="preserve">se reduce </w:t>
      </w:r>
      <w:r w:rsidRPr="00993173">
        <w:rPr>
          <w:rFonts w:cs="Arial"/>
          <w:lang w:val="es-CO"/>
        </w:rPr>
        <w:t xml:space="preserve">la incertidumbre hasta valores </w:t>
      </w:r>
      <w:r>
        <w:rPr>
          <w:rFonts w:cs="Arial"/>
          <w:lang w:val="es-CO"/>
        </w:rPr>
        <w:t xml:space="preserve">de aproximadamente </w:t>
      </w:r>
      <w:r w:rsidRPr="00993173">
        <w:rPr>
          <w:rFonts w:cs="Arial"/>
          <w:lang w:val="es-CO"/>
        </w:rPr>
        <w:t xml:space="preserve">1.3%. </w:t>
      </w:r>
      <w:r>
        <w:rPr>
          <w:rFonts w:cs="Arial"/>
          <w:lang w:val="es-CO"/>
        </w:rPr>
        <w:t>La f</w:t>
      </w:r>
      <w:r w:rsidRPr="00993173">
        <w:rPr>
          <w:rFonts w:cs="Arial"/>
          <w:lang w:val="es-CO"/>
        </w:rPr>
        <w:t xml:space="preserve">uente secundaria </w:t>
      </w:r>
      <w:r>
        <w:rPr>
          <w:rFonts w:cs="Arial"/>
          <w:lang w:val="es-CO"/>
        </w:rPr>
        <w:t xml:space="preserve">es </w:t>
      </w:r>
      <w:proofErr w:type="spellStart"/>
      <w:r w:rsidRPr="00993173">
        <w:rPr>
          <w:rFonts w:cs="Arial"/>
          <w:lang w:val="es-CO"/>
        </w:rPr>
        <w:t>MERRA</w:t>
      </w:r>
      <w:proofErr w:type="spellEnd"/>
      <w:r w:rsidRPr="00993173">
        <w:rPr>
          <w:rFonts w:cs="Arial"/>
          <w:lang w:val="es-CO"/>
        </w:rPr>
        <w:t xml:space="preserve"> </w:t>
      </w:r>
      <w:r>
        <w:rPr>
          <w:rFonts w:cs="Arial"/>
          <w:lang w:val="es-CO"/>
        </w:rPr>
        <w:t xml:space="preserve">con </w:t>
      </w:r>
      <w:r w:rsidRPr="00993173">
        <w:rPr>
          <w:rFonts w:cs="Arial"/>
          <w:lang w:val="es-CO"/>
        </w:rPr>
        <w:t>30 años</w:t>
      </w:r>
      <w:r>
        <w:rPr>
          <w:rFonts w:cs="Arial"/>
          <w:lang w:val="es-CO"/>
        </w:rPr>
        <w:t xml:space="preserve"> de datos.</w:t>
      </w:r>
    </w:p>
    <w:p w14:paraId="215E7E70" w14:textId="77777777" w:rsidR="003032EB" w:rsidRPr="00993173" w:rsidRDefault="003032EB" w:rsidP="003032EB">
      <w:pPr>
        <w:pStyle w:val="Prrafodelista"/>
        <w:ind w:left="2160"/>
        <w:rPr>
          <w:rFonts w:cs="Arial"/>
          <w:lang w:val="es-CO"/>
        </w:rPr>
      </w:pPr>
    </w:p>
    <w:p w14:paraId="4125454F" w14:textId="77777777" w:rsidR="003032EB" w:rsidRDefault="003032EB" w:rsidP="003032EB">
      <w:pPr>
        <w:pStyle w:val="Prrafodelista"/>
        <w:numPr>
          <w:ilvl w:val="0"/>
          <w:numId w:val="21"/>
        </w:numPr>
        <w:rPr>
          <w:rFonts w:cs="Arial"/>
          <w:lang w:val="es-CO"/>
        </w:rPr>
      </w:pPr>
      <w:r w:rsidRPr="00993173">
        <w:rPr>
          <w:rFonts w:cs="Arial"/>
          <w:lang w:val="es-CO"/>
        </w:rPr>
        <w:lastRenderedPageBreak/>
        <w:t xml:space="preserve">Se hace referencia a que en Brasil piden 36 meses medidos </w:t>
      </w:r>
      <w:r>
        <w:rPr>
          <w:rFonts w:cs="Arial"/>
          <w:lang w:val="es-CO"/>
        </w:rPr>
        <w:t xml:space="preserve">en sitio </w:t>
      </w:r>
      <w:r w:rsidRPr="00993173">
        <w:rPr>
          <w:rFonts w:cs="Arial"/>
          <w:lang w:val="es-CO"/>
        </w:rPr>
        <w:t>para participar en subastas</w:t>
      </w:r>
      <w:r>
        <w:rPr>
          <w:rFonts w:cs="Arial"/>
          <w:lang w:val="es-CO"/>
        </w:rPr>
        <w:t>.</w:t>
      </w:r>
    </w:p>
    <w:p w14:paraId="4DE0D17F" w14:textId="77777777" w:rsidR="003032EB" w:rsidRPr="00993173" w:rsidRDefault="003032EB" w:rsidP="003032EB">
      <w:pPr>
        <w:pStyle w:val="Prrafodelista"/>
        <w:ind w:left="1440"/>
        <w:rPr>
          <w:rFonts w:cs="Arial"/>
          <w:lang w:val="es-CO"/>
        </w:rPr>
      </w:pPr>
    </w:p>
    <w:p w14:paraId="44D1E142" w14:textId="77777777" w:rsidR="003032EB" w:rsidRPr="008A6BD8" w:rsidRDefault="003032EB" w:rsidP="003032EB">
      <w:pPr>
        <w:pStyle w:val="Prrafodelista"/>
        <w:numPr>
          <w:ilvl w:val="0"/>
          <w:numId w:val="19"/>
        </w:numPr>
        <w:rPr>
          <w:rFonts w:cs="Arial"/>
          <w:szCs w:val="24"/>
          <w:lang w:val="es-CO"/>
        </w:rPr>
      </w:pPr>
      <w:r>
        <w:rPr>
          <w:rFonts w:cs="Arial"/>
          <w:szCs w:val="24"/>
          <w:lang w:val="es-MX"/>
        </w:rPr>
        <w:t>De la revisión de la literatura</w:t>
      </w:r>
      <w:r w:rsidRPr="008A6BD8">
        <w:rPr>
          <w:rFonts w:cs="Arial"/>
          <w:szCs w:val="24"/>
          <w:lang w:val="es-MX"/>
        </w:rPr>
        <w:t xml:space="preserve"> no se encuentran</w:t>
      </w:r>
      <w:r>
        <w:rPr>
          <w:rFonts w:cs="Arial"/>
          <w:szCs w:val="24"/>
          <w:lang w:val="es-MX"/>
        </w:rPr>
        <w:t xml:space="preserve"> </w:t>
      </w:r>
      <w:r w:rsidRPr="008A6BD8">
        <w:rPr>
          <w:rFonts w:cs="Arial"/>
          <w:szCs w:val="24"/>
          <w:lang w:val="es-MX"/>
        </w:rPr>
        <w:t>referencias</w:t>
      </w:r>
      <w:r>
        <w:rPr>
          <w:rFonts w:cs="Arial"/>
          <w:szCs w:val="24"/>
          <w:lang w:val="es-MX"/>
        </w:rPr>
        <w:t xml:space="preserve"> adicionales</w:t>
      </w:r>
      <w:r w:rsidRPr="008A6BD8">
        <w:rPr>
          <w:rFonts w:cs="Arial"/>
          <w:szCs w:val="24"/>
          <w:lang w:val="es-MX"/>
        </w:rPr>
        <w:t xml:space="preserve"> que tengan específicamente</w:t>
      </w:r>
      <w:r>
        <w:rPr>
          <w:rFonts w:cs="Arial"/>
          <w:szCs w:val="24"/>
          <w:lang w:val="es-MX"/>
        </w:rPr>
        <w:t xml:space="preserve"> la comparación del cálculo de energía </w:t>
      </w:r>
      <w:r w:rsidRPr="008A6BD8">
        <w:rPr>
          <w:rFonts w:cs="Arial"/>
          <w:szCs w:val="24"/>
          <w:lang w:val="es-MX"/>
        </w:rPr>
        <w:t xml:space="preserve">sin y con datos </w:t>
      </w:r>
      <w:r>
        <w:rPr>
          <w:rFonts w:cs="Arial"/>
          <w:szCs w:val="24"/>
          <w:lang w:val="es-MX"/>
        </w:rPr>
        <w:t xml:space="preserve">medidos </w:t>
      </w:r>
      <w:r w:rsidRPr="008A6BD8">
        <w:rPr>
          <w:rFonts w:cs="Arial"/>
          <w:szCs w:val="24"/>
          <w:lang w:val="es-MX"/>
        </w:rPr>
        <w:t>en sitio</w:t>
      </w:r>
      <w:r>
        <w:rPr>
          <w:rFonts w:cs="Arial"/>
          <w:szCs w:val="24"/>
          <w:lang w:val="es-MX"/>
        </w:rPr>
        <w:t>.</w:t>
      </w:r>
      <w:r w:rsidRPr="008A6BD8">
        <w:rPr>
          <w:rFonts w:cs="Arial"/>
          <w:szCs w:val="24"/>
          <w:lang w:val="es-MX"/>
        </w:rPr>
        <w:t xml:space="preserve"> </w:t>
      </w:r>
      <w:r>
        <w:rPr>
          <w:rFonts w:cs="Arial"/>
          <w:szCs w:val="24"/>
          <w:lang w:val="es-MX"/>
        </w:rPr>
        <w:t>L</w:t>
      </w:r>
      <w:r w:rsidRPr="008A6BD8">
        <w:rPr>
          <w:rFonts w:cs="Arial"/>
          <w:szCs w:val="24"/>
          <w:lang w:val="es-MX"/>
        </w:rPr>
        <w:t xml:space="preserve">os estudios encontrados parten de </w:t>
      </w:r>
      <w:r>
        <w:rPr>
          <w:rFonts w:cs="Arial"/>
          <w:szCs w:val="24"/>
          <w:lang w:val="es-MX"/>
        </w:rPr>
        <w:t xml:space="preserve">medición en sitio. </w:t>
      </w:r>
    </w:p>
    <w:p w14:paraId="42BB7EF0" w14:textId="77777777" w:rsidR="003032EB" w:rsidRDefault="003032EB" w:rsidP="003032EB">
      <w:pPr>
        <w:pStyle w:val="Prrafodelista"/>
        <w:ind w:left="720"/>
        <w:rPr>
          <w:rFonts w:cs="Arial"/>
          <w:szCs w:val="24"/>
        </w:rPr>
      </w:pPr>
    </w:p>
    <w:p w14:paraId="2E018E7C" w14:textId="77777777" w:rsidR="003032EB" w:rsidRPr="00D962F4" w:rsidRDefault="003032EB" w:rsidP="003032EB">
      <w:pPr>
        <w:rPr>
          <w:rFonts w:cs="Arial"/>
          <w:iCs/>
          <w:szCs w:val="24"/>
        </w:rPr>
      </w:pPr>
      <w:r>
        <w:rPr>
          <w:rFonts w:cs="Arial"/>
          <w:iCs/>
          <w:szCs w:val="24"/>
        </w:rPr>
        <w:t>Con base en toco lo anterior las alternativas planteadas son las siguientes:</w:t>
      </w:r>
    </w:p>
    <w:p w14:paraId="0CC407F6" w14:textId="77777777" w:rsidR="003032EB" w:rsidRDefault="003032EB" w:rsidP="003032EB">
      <w:pPr>
        <w:rPr>
          <w:rFonts w:cs="Arial"/>
          <w:iCs/>
          <w:szCs w:val="24"/>
          <w:highlight w:val="yellow"/>
        </w:rPr>
      </w:pPr>
    </w:p>
    <w:p w14:paraId="577224D5" w14:textId="77777777" w:rsidR="003032EB" w:rsidRPr="00D962F4" w:rsidRDefault="003032EB" w:rsidP="003032EB">
      <w:pPr>
        <w:pStyle w:val="Ttulo3"/>
      </w:pPr>
      <w:bookmarkStart w:id="11" w:name="_Toc167802964"/>
      <w:r>
        <w:t>Alternativa 1: No realizar cambios</w:t>
      </w:r>
      <w:bookmarkEnd w:id="11"/>
    </w:p>
    <w:p w14:paraId="50FBEF9F" w14:textId="37F129B1" w:rsidR="003032EB" w:rsidRPr="003A01C1" w:rsidRDefault="003032EB" w:rsidP="003032EB">
      <w:pPr>
        <w:pStyle w:val="Estilo5"/>
        <w:keepNext w:val="0"/>
        <w:tabs>
          <w:tab w:val="left" w:pos="1560"/>
        </w:tabs>
        <w:spacing w:before="0" w:after="0"/>
        <w:outlineLvl w:val="9"/>
        <w:rPr>
          <w:rFonts w:ascii="Arial" w:hAnsi="Arial" w:cs="Arial"/>
          <w:b w:val="0"/>
          <w:iCs/>
          <w:kern w:val="0"/>
          <w:szCs w:val="24"/>
          <w:lang w:eastAsia="es-ES"/>
        </w:rPr>
      </w:pPr>
      <w:r>
        <w:rPr>
          <w:rFonts w:ascii="Arial" w:hAnsi="Arial" w:cs="Arial"/>
          <w:b w:val="0"/>
          <w:iCs/>
          <w:kern w:val="0"/>
          <w:szCs w:val="24"/>
          <w:lang w:eastAsia="es-ES"/>
        </w:rPr>
        <w:t>Mantener la reglamentación vigente no permite contribuir en la solución del problema que se ha identificado.</w:t>
      </w:r>
    </w:p>
    <w:p w14:paraId="6C248458" w14:textId="77777777" w:rsidR="003032EB" w:rsidRPr="00D962F4" w:rsidRDefault="003032EB" w:rsidP="003032EB">
      <w:pPr>
        <w:rPr>
          <w:rFonts w:cs="Arial"/>
          <w:iCs/>
          <w:szCs w:val="24"/>
          <w:highlight w:val="yellow"/>
        </w:rPr>
      </w:pPr>
    </w:p>
    <w:p w14:paraId="4FF61F26" w14:textId="77777777" w:rsidR="003032EB" w:rsidRDefault="003032EB" w:rsidP="003032EB">
      <w:pPr>
        <w:pStyle w:val="Ttulo3"/>
      </w:pPr>
      <w:bookmarkStart w:id="12" w:name="_Toc167802965"/>
      <w:r>
        <w:t>Alternativa 2: Modificar factor de ajuste solo para plantas solares</w:t>
      </w:r>
      <w:bookmarkEnd w:id="12"/>
    </w:p>
    <w:p w14:paraId="3015E653" w14:textId="77777777" w:rsidR="003032EB" w:rsidRDefault="003032EB" w:rsidP="003032EB">
      <w:r>
        <w:t xml:space="preserve">Para esta alternativa se tienen las siguientes conclusiones de la información de literatura, estudio presentado por Ser Colombia y análisis </w:t>
      </w:r>
      <w:proofErr w:type="spellStart"/>
      <w:r>
        <w:t>CND</w:t>
      </w:r>
      <w:proofErr w:type="spellEnd"/>
      <w:r>
        <w:t>:</w:t>
      </w:r>
    </w:p>
    <w:p w14:paraId="5331B8BF" w14:textId="77777777" w:rsidR="003032EB" w:rsidRDefault="003032EB" w:rsidP="003032EB"/>
    <w:p w14:paraId="358952E0" w14:textId="74728F86" w:rsidR="003032EB" w:rsidRDefault="003032EB" w:rsidP="003032EB">
      <w:pPr>
        <w:pStyle w:val="Descripcin"/>
      </w:pPr>
      <w:bookmarkStart w:id="13" w:name="_Toc167802971"/>
      <w:r>
        <w:t xml:space="preserve">Tabla </w:t>
      </w:r>
      <w:r>
        <w:fldChar w:fldCharType="begin"/>
      </w:r>
      <w:r>
        <w:instrText xml:space="preserve"> SEQ Tabla \* ARABIC </w:instrText>
      </w:r>
      <w:r>
        <w:fldChar w:fldCharType="separate"/>
      </w:r>
      <w:r w:rsidR="00E64A19">
        <w:rPr>
          <w:noProof/>
        </w:rPr>
        <w:t>1</w:t>
      </w:r>
      <w:r>
        <w:fldChar w:fldCharType="end"/>
      </w:r>
      <w:r>
        <w:t xml:space="preserve"> Cuadro comparativo resumen para plantas eólicas: literatura, Estudio Ser Colombia y análisis </w:t>
      </w:r>
      <w:proofErr w:type="spellStart"/>
      <w:r>
        <w:t>CND</w:t>
      </w:r>
      <w:bookmarkEnd w:id="13"/>
      <w:proofErr w:type="spellEnd"/>
    </w:p>
    <w:tbl>
      <w:tblPr>
        <w:tblStyle w:val="Tablaconcuadrcula"/>
        <w:tblW w:w="9293" w:type="dxa"/>
        <w:jc w:val="center"/>
        <w:tblLook w:val="0420" w:firstRow="1" w:lastRow="0" w:firstColumn="0" w:lastColumn="0" w:noHBand="0" w:noVBand="1"/>
      </w:tblPr>
      <w:tblGrid>
        <w:gridCol w:w="1696"/>
        <w:gridCol w:w="7597"/>
      </w:tblGrid>
      <w:tr w:rsidR="003032EB" w:rsidRPr="00EC05AC" w14:paraId="1CAE0645" w14:textId="77777777" w:rsidTr="00BB1AA3">
        <w:trPr>
          <w:trHeight w:val="966"/>
          <w:tblHeader/>
          <w:jc w:val="center"/>
        </w:trPr>
        <w:tc>
          <w:tcPr>
            <w:tcW w:w="1696" w:type="dxa"/>
            <w:hideMark/>
          </w:tcPr>
          <w:p w14:paraId="703D2CE5" w14:textId="77777777" w:rsidR="003032EB" w:rsidRPr="00EC05AC" w:rsidRDefault="003032EB" w:rsidP="00BB1AA3">
            <w:pPr>
              <w:jc w:val="center"/>
              <w:rPr>
                <w:lang w:val="es-CO"/>
              </w:rPr>
            </w:pPr>
            <w:r w:rsidRPr="00EC05AC">
              <w:rPr>
                <w:b/>
                <w:bCs/>
                <w:lang w:val="es-CO"/>
              </w:rPr>
              <w:t>Resumen de Análisis</w:t>
            </w:r>
            <w:r>
              <w:rPr>
                <w:b/>
                <w:bCs/>
                <w:lang w:val="es-CO"/>
              </w:rPr>
              <w:t xml:space="preserve"> plantas eólicas</w:t>
            </w:r>
          </w:p>
        </w:tc>
        <w:tc>
          <w:tcPr>
            <w:tcW w:w="7597" w:type="dxa"/>
            <w:hideMark/>
          </w:tcPr>
          <w:p w14:paraId="75F03F01" w14:textId="77777777" w:rsidR="003032EB" w:rsidRPr="00EC05AC" w:rsidRDefault="003032EB" w:rsidP="00BB1AA3">
            <w:pPr>
              <w:rPr>
                <w:lang w:val="es-CO"/>
              </w:rPr>
            </w:pPr>
            <w:r>
              <w:rPr>
                <w:b/>
                <w:bCs/>
                <w:lang w:val="es-CO"/>
              </w:rPr>
              <w:t>Análisis de f</w:t>
            </w:r>
            <w:r w:rsidRPr="00EC05AC">
              <w:rPr>
                <w:b/>
                <w:bCs/>
                <w:lang w:val="es-CO"/>
              </w:rPr>
              <w:t>actor de ajuste % cuando no se tienen datos en sitio</w:t>
            </w:r>
            <w:r>
              <w:rPr>
                <w:b/>
                <w:bCs/>
                <w:lang w:val="es-CO"/>
              </w:rPr>
              <w:t xml:space="preserve"> plantas eólicas </w:t>
            </w:r>
          </w:p>
        </w:tc>
      </w:tr>
      <w:tr w:rsidR="003032EB" w:rsidRPr="00EC05AC" w14:paraId="5084C6BB" w14:textId="77777777" w:rsidTr="00BB1AA3">
        <w:trPr>
          <w:trHeight w:val="1687"/>
          <w:jc w:val="center"/>
        </w:trPr>
        <w:tc>
          <w:tcPr>
            <w:tcW w:w="1696" w:type="dxa"/>
            <w:hideMark/>
          </w:tcPr>
          <w:p w14:paraId="5B33571D" w14:textId="77777777" w:rsidR="003032EB" w:rsidRPr="00EC05AC" w:rsidRDefault="003032EB" w:rsidP="00BB1AA3">
            <w:pPr>
              <w:rPr>
                <w:lang w:val="es-CO"/>
              </w:rPr>
            </w:pPr>
            <w:r w:rsidRPr="00EC05AC">
              <w:rPr>
                <w:lang w:val="es-CO"/>
              </w:rPr>
              <w:t>Literatura</w:t>
            </w:r>
          </w:p>
          <w:p w14:paraId="5BA1C967" w14:textId="77777777" w:rsidR="003032EB" w:rsidRPr="00EC05AC" w:rsidRDefault="003032EB" w:rsidP="00BB1AA3">
            <w:pPr>
              <w:rPr>
                <w:lang w:val="es-CO"/>
              </w:rPr>
            </w:pPr>
          </w:p>
        </w:tc>
        <w:tc>
          <w:tcPr>
            <w:tcW w:w="7597" w:type="dxa"/>
            <w:hideMark/>
          </w:tcPr>
          <w:p w14:paraId="68B85466" w14:textId="77777777" w:rsidR="003032EB" w:rsidRDefault="003032EB" w:rsidP="00BB1AA3">
            <w:pPr>
              <w:numPr>
                <w:ilvl w:val="0"/>
                <w:numId w:val="23"/>
              </w:numPr>
              <w:rPr>
                <w:lang w:val="es-CO"/>
              </w:rPr>
            </w:pPr>
            <w:r w:rsidRPr="00EC05AC">
              <w:rPr>
                <w:lang w:val="es-CO"/>
              </w:rPr>
              <w:t xml:space="preserve">Con un mes de datos en sitio </w:t>
            </w:r>
            <w:r>
              <w:rPr>
                <w:lang w:val="es-CO"/>
              </w:rPr>
              <w:t xml:space="preserve">la </w:t>
            </w:r>
            <w:r w:rsidRPr="00EC05AC">
              <w:rPr>
                <w:lang w:val="es-CO"/>
              </w:rPr>
              <w:t>incertidumbre puede</w:t>
            </w:r>
            <w:r>
              <w:rPr>
                <w:lang w:val="es-CO"/>
              </w:rPr>
              <w:t xml:space="preserve"> llegar a</w:t>
            </w:r>
            <w:r w:rsidRPr="00EC05AC">
              <w:rPr>
                <w:lang w:val="es-CO"/>
              </w:rPr>
              <w:t xml:space="preserve"> variar en el rango [6,5% a 12%]; por lo que sin datos </w:t>
            </w:r>
            <w:r>
              <w:rPr>
                <w:lang w:val="es-CO"/>
              </w:rPr>
              <w:t xml:space="preserve">medidos en sitio </w:t>
            </w:r>
            <w:r w:rsidRPr="00EC05AC">
              <w:rPr>
                <w:lang w:val="es-CO"/>
              </w:rPr>
              <w:t>el error sería más alto que 12%</w:t>
            </w:r>
            <w:r>
              <w:rPr>
                <w:lang w:val="es-CO"/>
              </w:rPr>
              <w:t>.</w:t>
            </w:r>
          </w:p>
          <w:p w14:paraId="028AC10C" w14:textId="77777777" w:rsidR="003032EB" w:rsidRPr="00EC05AC" w:rsidRDefault="003032EB" w:rsidP="00BB1AA3">
            <w:pPr>
              <w:ind w:left="720"/>
              <w:rPr>
                <w:lang w:val="es-CO"/>
              </w:rPr>
            </w:pPr>
          </w:p>
          <w:p w14:paraId="201CA3BB" w14:textId="77777777" w:rsidR="003032EB" w:rsidRPr="00575ADE" w:rsidRDefault="003032EB" w:rsidP="00BB1AA3">
            <w:pPr>
              <w:numPr>
                <w:ilvl w:val="0"/>
                <w:numId w:val="23"/>
              </w:numPr>
              <w:rPr>
                <w:lang w:val="es-CO"/>
              </w:rPr>
            </w:pPr>
            <w:r w:rsidRPr="00EC05AC">
              <w:rPr>
                <w:lang w:val="es-CO"/>
              </w:rPr>
              <w:t>Un error en datos significa un error en el doble de cálculo de energía, por lo tanto, el error podría ser más alto que 24%</w:t>
            </w:r>
            <w:r w:rsidRPr="00575ADE">
              <w:rPr>
                <w:lang w:val="es-CO"/>
              </w:rPr>
              <w:t xml:space="preserve">. </w:t>
            </w:r>
            <w:r>
              <w:rPr>
                <w:lang w:val="es-CO"/>
              </w:rPr>
              <w:t>Lo anterior es</w:t>
            </w:r>
            <w:r w:rsidRPr="00575ADE">
              <w:rPr>
                <w:lang w:val="es-CO"/>
              </w:rPr>
              <w:t xml:space="preserve"> a nivel de energía promedio anual, por lo que a nivel horario se podría obtener un error más alto</w:t>
            </w:r>
            <w:r>
              <w:rPr>
                <w:lang w:val="es-CO"/>
              </w:rPr>
              <w:t xml:space="preserve">. Debe tenerse en cuenta </w:t>
            </w:r>
            <w:r>
              <w:rPr>
                <w:lang w:val="es-MX"/>
              </w:rPr>
              <w:t xml:space="preserve">que el modelo de cálculo de </w:t>
            </w:r>
            <w:proofErr w:type="spellStart"/>
            <w:r>
              <w:rPr>
                <w:lang w:val="es-MX"/>
              </w:rPr>
              <w:t>ENFICC</w:t>
            </w:r>
            <w:proofErr w:type="spellEnd"/>
            <w:r>
              <w:rPr>
                <w:lang w:val="es-MX"/>
              </w:rPr>
              <w:t xml:space="preserve"> obtiene energía horaria.</w:t>
            </w:r>
          </w:p>
          <w:p w14:paraId="05C20386" w14:textId="77777777" w:rsidR="003032EB" w:rsidRDefault="003032EB" w:rsidP="00BB1AA3">
            <w:pPr>
              <w:ind w:left="720"/>
              <w:rPr>
                <w:lang w:val="es-CO"/>
              </w:rPr>
            </w:pPr>
          </w:p>
          <w:p w14:paraId="7F0DD3D6" w14:textId="77777777" w:rsidR="003032EB" w:rsidRPr="00EC05AC" w:rsidRDefault="003032EB" w:rsidP="00BB1AA3">
            <w:pPr>
              <w:ind w:left="720"/>
              <w:rPr>
                <w:lang w:val="es-CO"/>
              </w:rPr>
            </w:pPr>
          </w:p>
        </w:tc>
      </w:tr>
      <w:tr w:rsidR="003032EB" w:rsidRPr="00EC05AC" w14:paraId="75861C57" w14:textId="77777777" w:rsidTr="00BB1AA3">
        <w:trPr>
          <w:trHeight w:val="1107"/>
          <w:jc w:val="center"/>
        </w:trPr>
        <w:tc>
          <w:tcPr>
            <w:tcW w:w="1696" w:type="dxa"/>
            <w:hideMark/>
          </w:tcPr>
          <w:p w14:paraId="10C8D5DE" w14:textId="77777777" w:rsidR="003032EB" w:rsidRPr="00EC05AC" w:rsidRDefault="003032EB" w:rsidP="00BB1AA3">
            <w:pPr>
              <w:rPr>
                <w:lang w:val="es-CO"/>
              </w:rPr>
            </w:pPr>
            <w:r w:rsidRPr="00EC05AC">
              <w:rPr>
                <w:lang w:val="es-CO"/>
              </w:rPr>
              <w:t>Ser Colombia</w:t>
            </w:r>
          </w:p>
          <w:p w14:paraId="03C168A3" w14:textId="77777777" w:rsidR="003032EB" w:rsidRPr="00EC05AC" w:rsidRDefault="003032EB" w:rsidP="00BB1AA3">
            <w:pPr>
              <w:rPr>
                <w:lang w:val="es-CO"/>
              </w:rPr>
            </w:pPr>
          </w:p>
        </w:tc>
        <w:tc>
          <w:tcPr>
            <w:tcW w:w="7597" w:type="dxa"/>
            <w:hideMark/>
          </w:tcPr>
          <w:p w14:paraId="2DD7F787" w14:textId="77777777" w:rsidR="003032EB" w:rsidRPr="00736EEA" w:rsidRDefault="003032EB" w:rsidP="00BB1AA3">
            <w:pPr>
              <w:numPr>
                <w:ilvl w:val="0"/>
                <w:numId w:val="24"/>
              </w:numPr>
              <w:rPr>
                <w:lang w:val="es-CO"/>
              </w:rPr>
            </w:pPr>
            <w:r w:rsidRPr="00EC05AC">
              <w:rPr>
                <w:lang w:val="es-MX"/>
              </w:rPr>
              <w:t>Se realiza un ejercicio con una planta con suposiciones</w:t>
            </w:r>
            <w:r>
              <w:rPr>
                <w:lang w:val="es-MX"/>
              </w:rPr>
              <w:t>, pero no se pueden tomar los resultados ya que se considera no representativos para Colombia. Se precisa más historia y datos de plantas.</w:t>
            </w:r>
          </w:p>
          <w:p w14:paraId="513FC65E" w14:textId="77777777" w:rsidR="003032EB" w:rsidRPr="00EC05AC" w:rsidRDefault="003032EB" w:rsidP="00BB1AA3">
            <w:pPr>
              <w:ind w:left="720"/>
              <w:rPr>
                <w:lang w:val="es-CO"/>
              </w:rPr>
            </w:pPr>
          </w:p>
          <w:p w14:paraId="16A9D333" w14:textId="77777777" w:rsidR="003032EB" w:rsidRPr="00B0174B" w:rsidRDefault="003032EB" w:rsidP="00BB1AA3">
            <w:pPr>
              <w:numPr>
                <w:ilvl w:val="0"/>
                <w:numId w:val="24"/>
              </w:numPr>
              <w:rPr>
                <w:lang w:val="es-CO"/>
              </w:rPr>
            </w:pPr>
            <w:r>
              <w:rPr>
                <w:lang w:val="es-MX"/>
              </w:rPr>
              <w:t>Se entiende que d</w:t>
            </w:r>
            <w:r w:rsidRPr="00EC05AC">
              <w:rPr>
                <w:lang w:val="es-MX"/>
              </w:rPr>
              <w:t xml:space="preserve">e los datos que envían los agentes se tienen desviaciones a nivel horario de los datos en sitio y satélite entre 27% y 52%, y a nivel diario de entre 14% y 17%. Esto podría </w:t>
            </w:r>
            <w:r w:rsidRPr="00EC05AC">
              <w:rPr>
                <w:lang w:val="es-MX"/>
              </w:rPr>
              <w:lastRenderedPageBreak/>
              <w:t>significar errores bastante elevados a nivel horario</w:t>
            </w:r>
            <w:r>
              <w:rPr>
                <w:lang w:val="es-MX"/>
              </w:rPr>
              <w:t xml:space="preserve">. Lo anterior recordando que el modelo de cálculo de </w:t>
            </w:r>
            <w:proofErr w:type="spellStart"/>
            <w:r>
              <w:rPr>
                <w:lang w:val="es-MX"/>
              </w:rPr>
              <w:t>ENFICC</w:t>
            </w:r>
            <w:proofErr w:type="spellEnd"/>
            <w:r>
              <w:rPr>
                <w:lang w:val="es-MX"/>
              </w:rPr>
              <w:t xml:space="preserve"> obtiene energía horaria.</w:t>
            </w:r>
          </w:p>
          <w:p w14:paraId="0C181735" w14:textId="77777777" w:rsidR="003032EB" w:rsidRPr="006E7DF1" w:rsidRDefault="003032EB" w:rsidP="00BB1AA3">
            <w:pPr>
              <w:ind w:left="720"/>
              <w:rPr>
                <w:lang w:val="es-CO"/>
              </w:rPr>
            </w:pPr>
          </w:p>
          <w:p w14:paraId="133F1144" w14:textId="77777777" w:rsidR="003032EB" w:rsidRPr="00EC05AC" w:rsidRDefault="003032EB" w:rsidP="00BB1AA3">
            <w:pPr>
              <w:ind w:left="720"/>
              <w:rPr>
                <w:lang w:val="es-CO"/>
              </w:rPr>
            </w:pPr>
          </w:p>
        </w:tc>
      </w:tr>
      <w:tr w:rsidR="003032EB" w:rsidRPr="00EC05AC" w14:paraId="2132A599" w14:textId="77777777" w:rsidTr="00BB1AA3">
        <w:trPr>
          <w:trHeight w:val="559"/>
          <w:jc w:val="center"/>
        </w:trPr>
        <w:tc>
          <w:tcPr>
            <w:tcW w:w="1696" w:type="dxa"/>
            <w:hideMark/>
          </w:tcPr>
          <w:p w14:paraId="34FA301D" w14:textId="77777777" w:rsidR="003032EB" w:rsidRPr="00EC05AC" w:rsidRDefault="003032EB" w:rsidP="00BB1AA3">
            <w:pPr>
              <w:rPr>
                <w:lang w:val="es-CO"/>
              </w:rPr>
            </w:pPr>
            <w:r w:rsidRPr="00EC05AC">
              <w:rPr>
                <w:lang w:val="es-CO"/>
              </w:rPr>
              <w:lastRenderedPageBreak/>
              <w:t xml:space="preserve">Análisis </w:t>
            </w:r>
            <w:proofErr w:type="spellStart"/>
            <w:r w:rsidRPr="00EC05AC">
              <w:rPr>
                <w:lang w:val="es-CO"/>
              </w:rPr>
              <w:t>CND</w:t>
            </w:r>
            <w:proofErr w:type="spellEnd"/>
          </w:p>
          <w:p w14:paraId="7D14A1C5" w14:textId="77777777" w:rsidR="003032EB" w:rsidRPr="00EC05AC" w:rsidRDefault="003032EB" w:rsidP="00BB1AA3">
            <w:pPr>
              <w:rPr>
                <w:lang w:val="es-CO"/>
              </w:rPr>
            </w:pPr>
          </w:p>
        </w:tc>
        <w:tc>
          <w:tcPr>
            <w:tcW w:w="7597" w:type="dxa"/>
            <w:hideMark/>
          </w:tcPr>
          <w:p w14:paraId="1B8F0F96" w14:textId="77777777" w:rsidR="003032EB" w:rsidRDefault="003032EB" w:rsidP="00BB1AA3">
            <w:pPr>
              <w:rPr>
                <w:lang w:val="es-CO"/>
              </w:rPr>
            </w:pPr>
            <w:proofErr w:type="spellStart"/>
            <w:r w:rsidRPr="00EC05AC">
              <w:rPr>
                <w:lang w:val="es-CO"/>
              </w:rPr>
              <w:t>CND</w:t>
            </w:r>
            <w:proofErr w:type="spellEnd"/>
            <w:r w:rsidRPr="00EC05AC">
              <w:rPr>
                <w:lang w:val="es-CO"/>
              </w:rPr>
              <w:t xml:space="preserve"> realiza un ejercicio con el nuevo modelo</w:t>
            </w:r>
            <w:r>
              <w:rPr>
                <w:lang w:val="es-CO"/>
              </w:rPr>
              <w:t xml:space="preserve">, Resolución CREG 101 006 de 2023. </w:t>
            </w:r>
            <w:r w:rsidRPr="00EC05AC">
              <w:rPr>
                <w:lang w:val="es-CO"/>
              </w:rPr>
              <w:t xml:space="preserve">Del análisis del </w:t>
            </w:r>
            <w:proofErr w:type="spellStart"/>
            <w:r w:rsidRPr="00EC05AC">
              <w:rPr>
                <w:lang w:val="es-CO"/>
              </w:rPr>
              <w:t>CND</w:t>
            </w:r>
            <w:proofErr w:type="spellEnd"/>
            <w:r w:rsidRPr="00EC05AC">
              <w:rPr>
                <w:lang w:val="es-CO"/>
              </w:rPr>
              <w:t xml:space="preserve"> no se pueden obtener conclusiones, pues </w:t>
            </w:r>
            <w:r>
              <w:rPr>
                <w:lang w:val="es-CO"/>
              </w:rPr>
              <w:t>es una planta de prueba al no contarse con datos suficientes.</w:t>
            </w:r>
          </w:p>
          <w:p w14:paraId="5A559B46" w14:textId="77777777" w:rsidR="003032EB" w:rsidRPr="00EC05AC" w:rsidRDefault="003032EB" w:rsidP="00BB1AA3">
            <w:pPr>
              <w:rPr>
                <w:lang w:val="es-CO"/>
              </w:rPr>
            </w:pPr>
          </w:p>
        </w:tc>
      </w:tr>
    </w:tbl>
    <w:p w14:paraId="2F0797E7" w14:textId="77777777" w:rsidR="003032EB" w:rsidRDefault="003032EB" w:rsidP="003032EB"/>
    <w:p w14:paraId="515B5108" w14:textId="77777777" w:rsidR="003032EB" w:rsidRDefault="003032EB" w:rsidP="003032EB"/>
    <w:p w14:paraId="37409120" w14:textId="45E0B7CA" w:rsidR="003032EB" w:rsidRDefault="003032EB" w:rsidP="003032EB">
      <w:pPr>
        <w:pStyle w:val="Descripcin"/>
      </w:pPr>
      <w:bookmarkStart w:id="14" w:name="_Toc167802972"/>
      <w:r>
        <w:t xml:space="preserve">Tabla </w:t>
      </w:r>
      <w:r>
        <w:fldChar w:fldCharType="begin"/>
      </w:r>
      <w:r>
        <w:instrText xml:space="preserve"> SEQ Tabla \* ARABIC </w:instrText>
      </w:r>
      <w:r>
        <w:fldChar w:fldCharType="separate"/>
      </w:r>
      <w:r w:rsidR="00E64A19">
        <w:rPr>
          <w:noProof/>
        </w:rPr>
        <w:t>2</w:t>
      </w:r>
      <w:r>
        <w:fldChar w:fldCharType="end"/>
      </w:r>
      <w:r>
        <w:t xml:space="preserve"> Cuadro comparativo resumen para plantas solares: literatura, Estudio Ser Colombia, </w:t>
      </w:r>
      <w:proofErr w:type="spellStart"/>
      <w:r>
        <w:t>SolarGIS</w:t>
      </w:r>
      <w:proofErr w:type="spellEnd"/>
      <w:r>
        <w:t xml:space="preserve"> y análisis </w:t>
      </w:r>
      <w:proofErr w:type="spellStart"/>
      <w:r>
        <w:t>CND</w:t>
      </w:r>
      <w:bookmarkEnd w:id="14"/>
      <w:proofErr w:type="spellEnd"/>
    </w:p>
    <w:tbl>
      <w:tblPr>
        <w:tblStyle w:val="Tablaconcuadrcula"/>
        <w:tblW w:w="9351" w:type="dxa"/>
        <w:tblLook w:val="0420" w:firstRow="1" w:lastRow="0" w:firstColumn="0" w:lastColumn="0" w:noHBand="0" w:noVBand="1"/>
      </w:tblPr>
      <w:tblGrid>
        <w:gridCol w:w="1980"/>
        <w:gridCol w:w="7371"/>
      </w:tblGrid>
      <w:tr w:rsidR="003032EB" w:rsidRPr="00CD1323" w14:paraId="405A07C2" w14:textId="77777777" w:rsidTr="00BB1AA3">
        <w:trPr>
          <w:trHeight w:val="584"/>
          <w:tblHeader/>
        </w:trPr>
        <w:tc>
          <w:tcPr>
            <w:tcW w:w="1980" w:type="dxa"/>
            <w:hideMark/>
          </w:tcPr>
          <w:p w14:paraId="430C3DB6" w14:textId="77777777" w:rsidR="003032EB" w:rsidRPr="00CD1323" w:rsidRDefault="003032EB" w:rsidP="00BB1AA3">
            <w:pPr>
              <w:rPr>
                <w:lang w:val="es-CO"/>
              </w:rPr>
            </w:pPr>
            <w:r w:rsidRPr="00CD1323">
              <w:rPr>
                <w:b/>
                <w:bCs/>
                <w:lang w:val="es-CO"/>
              </w:rPr>
              <w:t>Resumen de Análisis</w:t>
            </w:r>
          </w:p>
        </w:tc>
        <w:tc>
          <w:tcPr>
            <w:tcW w:w="7371" w:type="dxa"/>
            <w:hideMark/>
          </w:tcPr>
          <w:p w14:paraId="47A834BA" w14:textId="77777777" w:rsidR="003032EB" w:rsidRDefault="003032EB" w:rsidP="00BB1AA3">
            <w:pPr>
              <w:rPr>
                <w:b/>
                <w:bCs/>
                <w:lang w:val="es-CO"/>
              </w:rPr>
            </w:pPr>
            <w:r>
              <w:rPr>
                <w:b/>
                <w:bCs/>
                <w:lang w:val="es-CO"/>
              </w:rPr>
              <w:t>Análisis del f</w:t>
            </w:r>
            <w:r w:rsidRPr="00CD1323">
              <w:rPr>
                <w:b/>
                <w:bCs/>
                <w:lang w:val="es-CO"/>
              </w:rPr>
              <w:t>actor de ajuste % cuando no se tienen datos en sitio</w:t>
            </w:r>
            <w:r>
              <w:rPr>
                <w:b/>
                <w:bCs/>
                <w:lang w:val="es-CO"/>
              </w:rPr>
              <w:t xml:space="preserve"> plantas solares</w:t>
            </w:r>
          </w:p>
          <w:p w14:paraId="1AFB9399" w14:textId="77777777" w:rsidR="003032EB" w:rsidRPr="00CD1323" w:rsidRDefault="003032EB" w:rsidP="00BB1AA3">
            <w:pPr>
              <w:rPr>
                <w:lang w:val="es-CO"/>
              </w:rPr>
            </w:pPr>
          </w:p>
        </w:tc>
      </w:tr>
      <w:tr w:rsidR="003032EB" w:rsidRPr="00CD1323" w14:paraId="1A39E6AB" w14:textId="77777777" w:rsidTr="00BB1AA3">
        <w:trPr>
          <w:trHeight w:val="853"/>
        </w:trPr>
        <w:tc>
          <w:tcPr>
            <w:tcW w:w="1980" w:type="dxa"/>
            <w:hideMark/>
          </w:tcPr>
          <w:p w14:paraId="58E879A3" w14:textId="77777777" w:rsidR="003032EB" w:rsidRPr="00CD1323" w:rsidRDefault="003032EB" w:rsidP="00BB1AA3">
            <w:pPr>
              <w:rPr>
                <w:lang w:val="es-CO"/>
              </w:rPr>
            </w:pPr>
            <w:r w:rsidRPr="00CD1323">
              <w:rPr>
                <w:lang w:val="es-CO"/>
              </w:rPr>
              <w:t>Literatura</w:t>
            </w:r>
          </w:p>
          <w:p w14:paraId="698F4C16" w14:textId="77777777" w:rsidR="003032EB" w:rsidRPr="00CD1323" w:rsidRDefault="003032EB" w:rsidP="00BB1AA3">
            <w:pPr>
              <w:rPr>
                <w:lang w:val="es-CO"/>
              </w:rPr>
            </w:pPr>
          </w:p>
        </w:tc>
        <w:tc>
          <w:tcPr>
            <w:tcW w:w="7371" w:type="dxa"/>
            <w:hideMark/>
          </w:tcPr>
          <w:p w14:paraId="3966DB15" w14:textId="77777777" w:rsidR="003032EB" w:rsidRDefault="003032EB" w:rsidP="00BB1AA3">
            <w:pPr>
              <w:rPr>
                <w:lang w:val="es-CO"/>
              </w:rPr>
            </w:pPr>
            <w:r w:rsidRPr="00CD1323">
              <w:rPr>
                <w:lang w:val="es-CO"/>
              </w:rPr>
              <w:t xml:space="preserve">En general, se tienen incertidumbres documentadas cuando no se usan datos en sitio en el rango [5,7% a 20%], es decir un factor de ajuste </w:t>
            </w:r>
            <w:r>
              <w:rPr>
                <w:lang w:val="es-CO"/>
              </w:rPr>
              <w:t>máximo</w:t>
            </w:r>
            <w:r w:rsidRPr="00CD1323">
              <w:rPr>
                <w:lang w:val="es-CO"/>
              </w:rPr>
              <w:t xml:space="preserve"> de 80%.</w:t>
            </w:r>
            <w:r>
              <w:rPr>
                <w:lang w:val="es-CO"/>
              </w:rPr>
              <w:t xml:space="preserve"> </w:t>
            </w:r>
          </w:p>
          <w:p w14:paraId="39EF8E78" w14:textId="77777777" w:rsidR="003032EB" w:rsidRDefault="003032EB" w:rsidP="00BB1AA3">
            <w:pPr>
              <w:rPr>
                <w:lang w:val="es-CO"/>
              </w:rPr>
            </w:pPr>
          </w:p>
          <w:p w14:paraId="36396344" w14:textId="77777777" w:rsidR="003032EB" w:rsidRDefault="003032EB" w:rsidP="00BB1AA3">
            <w:pPr>
              <w:rPr>
                <w:lang w:val="es-CO"/>
              </w:rPr>
            </w:pPr>
            <w:r>
              <w:rPr>
                <w:lang w:val="es-CO"/>
              </w:rPr>
              <w:t>Se encuentra que la incertidumbre del recurso es aproximadamente igual a la incertidumbre en el pronóstico de la generación.</w:t>
            </w:r>
          </w:p>
          <w:p w14:paraId="52A20117" w14:textId="77777777" w:rsidR="003032EB" w:rsidRDefault="003032EB" w:rsidP="00BB1AA3">
            <w:pPr>
              <w:rPr>
                <w:lang w:val="es-CO"/>
              </w:rPr>
            </w:pPr>
          </w:p>
          <w:p w14:paraId="2C10C3F2" w14:textId="77777777" w:rsidR="003032EB" w:rsidRPr="00CD1323" w:rsidRDefault="003032EB" w:rsidP="00BB1AA3">
            <w:pPr>
              <w:rPr>
                <w:lang w:val="es-CO"/>
              </w:rPr>
            </w:pPr>
          </w:p>
        </w:tc>
      </w:tr>
      <w:tr w:rsidR="003032EB" w:rsidRPr="00CD1323" w14:paraId="682D1803" w14:textId="77777777" w:rsidTr="00BB1AA3">
        <w:trPr>
          <w:trHeight w:val="584"/>
        </w:trPr>
        <w:tc>
          <w:tcPr>
            <w:tcW w:w="1980" w:type="dxa"/>
            <w:hideMark/>
          </w:tcPr>
          <w:p w14:paraId="3A52FA19" w14:textId="77777777" w:rsidR="003032EB" w:rsidRPr="00CD1323" w:rsidRDefault="003032EB" w:rsidP="00BB1AA3">
            <w:pPr>
              <w:rPr>
                <w:lang w:val="es-CO"/>
              </w:rPr>
            </w:pPr>
            <w:r w:rsidRPr="00CD1323">
              <w:rPr>
                <w:lang w:val="es-CO"/>
              </w:rPr>
              <w:t>Ser Colombia</w:t>
            </w:r>
          </w:p>
          <w:p w14:paraId="1C5171F8" w14:textId="77777777" w:rsidR="003032EB" w:rsidRPr="00CD1323" w:rsidRDefault="003032EB" w:rsidP="00BB1AA3">
            <w:pPr>
              <w:rPr>
                <w:lang w:val="es-CO"/>
              </w:rPr>
            </w:pPr>
          </w:p>
        </w:tc>
        <w:tc>
          <w:tcPr>
            <w:tcW w:w="7371" w:type="dxa"/>
            <w:hideMark/>
          </w:tcPr>
          <w:p w14:paraId="7B8DE53F" w14:textId="77777777" w:rsidR="003032EB" w:rsidRPr="00CD1323" w:rsidRDefault="003032EB" w:rsidP="00BB1AA3">
            <w:pPr>
              <w:rPr>
                <w:lang w:val="es-CO"/>
              </w:rPr>
            </w:pPr>
            <w:r w:rsidRPr="00CD1323">
              <w:rPr>
                <w:lang w:val="es-CO"/>
              </w:rPr>
              <w:t>Proponen factor de ajuste de 90%</w:t>
            </w:r>
          </w:p>
          <w:p w14:paraId="0DA09DE5" w14:textId="77777777" w:rsidR="003032EB" w:rsidRDefault="003032EB" w:rsidP="00BB1AA3">
            <w:pPr>
              <w:rPr>
                <w:lang w:val="es-CO"/>
              </w:rPr>
            </w:pPr>
          </w:p>
          <w:p w14:paraId="65D62558" w14:textId="77777777" w:rsidR="003032EB" w:rsidRDefault="003032EB" w:rsidP="00BB1AA3">
            <w:pPr>
              <w:rPr>
                <w:lang w:val="es-CO"/>
              </w:rPr>
            </w:pPr>
            <w:r w:rsidRPr="00CD1323">
              <w:rPr>
                <w:lang w:val="es-CO"/>
              </w:rPr>
              <w:t xml:space="preserve">Realizan ejercicios con el modelo anterior </w:t>
            </w:r>
            <w:r>
              <w:rPr>
                <w:lang w:val="es-CO"/>
              </w:rPr>
              <w:t xml:space="preserve">(Resolución CREG 201 de 2017) </w:t>
            </w:r>
            <w:r w:rsidRPr="00CD1323">
              <w:rPr>
                <w:lang w:val="es-CO"/>
              </w:rPr>
              <w:t xml:space="preserve">calculando </w:t>
            </w:r>
            <w:r>
              <w:rPr>
                <w:lang w:val="es-CO"/>
              </w:rPr>
              <w:t xml:space="preserve">o simulando </w:t>
            </w:r>
            <w:r w:rsidRPr="00CD1323">
              <w:rPr>
                <w:lang w:val="es-CO"/>
              </w:rPr>
              <w:t xml:space="preserve">desviaciones en los datos, sin embargo, como </w:t>
            </w:r>
            <w:r>
              <w:rPr>
                <w:lang w:val="es-CO"/>
              </w:rPr>
              <w:t>actualmente rige</w:t>
            </w:r>
            <w:r w:rsidRPr="00CD1323">
              <w:rPr>
                <w:lang w:val="es-CO"/>
              </w:rPr>
              <w:t xml:space="preserve"> un nuevo modelo</w:t>
            </w:r>
            <w:r>
              <w:rPr>
                <w:lang w:val="es-CO"/>
              </w:rPr>
              <w:t xml:space="preserve"> (Resolución CREG 101 007 de 2023),</w:t>
            </w:r>
            <w:r w:rsidRPr="00CD1323">
              <w:rPr>
                <w:lang w:val="es-CO"/>
              </w:rPr>
              <w:t xml:space="preserve"> </w:t>
            </w:r>
            <w:r>
              <w:rPr>
                <w:lang w:val="es-CO"/>
              </w:rPr>
              <w:t>el resultado debe variar y no se tiene dicho cálculo de variación.</w:t>
            </w:r>
          </w:p>
          <w:p w14:paraId="636381ED" w14:textId="77777777" w:rsidR="003032EB" w:rsidRDefault="003032EB" w:rsidP="00BB1AA3">
            <w:pPr>
              <w:rPr>
                <w:lang w:val="es-CO"/>
              </w:rPr>
            </w:pPr>
          </w:p>
          <w:p w14:paraId="7B7C3C95" w14:textId="77777777" w:rsidR="003032EB" w:rsidRPr="00CD1323" w:rsidRDefault="003032EB" w:rsidP="00BB1AA3">
            <w:pPr>
              <w:rPr>
                <w:lang w:val="es-CO"/>
              </w:rPr>
            </w:pPr>
          </w:p>
        </w:tc>
      </w:tr>
      <w:tr w:rsidR="003032EB" w:rsidRPr="00CD1323" w14:paraId="1D504D15" w14:textId="77777777" w:rsidTr="00BB1AA3">
        <w:trPr>
          <w:trHeight w:val="584"/>
        </w:trPr>
        <w:tc>
          <w:tcPr>
            <w:tcW w:w="1980" w:type="dxa"/>
            <w:hideMark/>
          </w:tcPr>
          <w:p w14:paraId="24FF1CE8" w14:textId="77777777" w:rsidR="003032EB" w:rsidRPr="00CD1323" w:rsidRDefault="003032EB" w:rsidP="00BB1AA3">
            <w:pPr>
              <w:rPr>
                <w:lang w:val="es-CO"/>
              </w:rPr>
            </w:pPr>
            <w:proofErr w:type="spellStart"/>
            <w:r w:rsidRPr="00CD1323">
              <w:rPr>
                <w:lang w:val="es-CO"/>
              </w:rPr>
              <w:t>SolarGIS</w:t>
            </w:r>
            <w:proofErr w:type="spellEnd"/>
          </w:p>
        </w:tc>
        <w:tc>
          <w:tcPr>
            <w:tcW w:w="7371" w:type="dxa"/>
            <w:hideMark/>
          </w:tcPr>
          <w:p w14:paraId="6A04C6BF" w14:textId="77777777" w:rsidR="003032EB" w:rsidRDefault="003032EB" w:rsidP="00BB1AA3">
            <w:pPr>
              <w:rPr>
                <w:lang w:val="es-CO"/>
              </w:rPr>
            </w:pPr>
            <w:r w:rsidRPr="00CD1323">
              <w:rPr>
                <w:lang w:val="es-CO"/>
              </w:rPr>
              <w:t>En su informe tienen incertidumbres máximas de 20,8% horari</w:t>
            </w:r>
            <w:r>
              <w:rPr>
                <w:lang w:val="es-CO"/>
              </w:rPr>
              <w:t xml:space="preserve">as </w:t>
            </w:r>
            <w:r w:rsidRPr="00CD1323">
              <w:rPr>
                <w:lang w:val="es-CO"/>
              </w:rPr>
              <w:t xml:space="preserve">sólo de </w:t>
            </w:r>
            <w:proofErr w:type="spellStart"/>
            <w:r w:rsidRPr="00CD1323">
              <w:rPr>
                <w:lang w:val="es-CO"/>
              </w:rPr>
              <w:t>GHI</w:t>
            </w:r>
            <w:proofErr w:type="spellEnd"/>
            <w:r>
              <w:rPr>
                <w:lang w:val="es-CO"/>
              </w:rPr>
              <w:t xml:space="preserve">. </w:t>
            </w:r>
          </w:p>
          <w:p w14:paraId="54497EC1" w14:textId="77777777" w:rsidR="003032EB" w:rsidRDefault="003032EB" w:rsidP="00BB1AA3">
            <w:pPr>
              <w:rPr>
                <w:lang w:val="es-CO"/>
              </w:rPr>
            </w:pPr>
          </w:p>
          <w:p w14:paraId="22908523" w14:textId="77777777" w:rsidR="003032EB" w:rsidRPr="00CD1323" w:rsidRDefault="003032EB" w:rsidP="00BB1AA3">
            <w:pPr>
              <w:rPr>
                <w:lang w:val="es-CO"/>
              </w:rPr>
            </w:pPr>
          </w:p>
        </w:tc>
      </w:tr>
      <w:tr w:rsidR="003032EB" w:rsidRPr="00CD1323" w14:paraId="2A6C5C4B" w14:textId="77777777" w:rsidTr="00BB1AA3">
        <w:trPr>
          <w:trHeight w:val="584"/>
        </w:trPr>
        <w:tc>
          <w:tcPr>
            <w:tcW w:w="1980" w:type="dxa"/>
            <w:hideMark/>
          </w:tcPr>
          <w:p w14:paraId="2CA9EF67" w14:textId="77777777" w:rsidR="003032EB" w:rsidRPr="00CD1323" w:rsidRDefault="003032EB" w:rsidP="00BB1AA3">
            <w:pPr>
              <w:rPr>
                <w:lang w:val="es-CO"/>
              </w:rPr>
            </w:pPr>
            <w:r w:rsidRPr="00CD1323">
              <w:rPr>
                <w:lang w:val="es-CO"/>
              </w:rPr>
              <w:t xml:space="preserve">Análisis </w:t>
            </w:r>
            <w:proofErr w:type="spellStart"/>
            <w:r w:rsidRPr="00CD1323">
              <w:rPr>
                <w:lang w:val="es-CO"/>
              </w:rPr>
              <w:t>CND</w:t>
            </w:r>
            <w:proofErr w:type="spellEnd"/>
          </w:p>
          <w:p w14:paraId="0E5214EB" w14:textId="77777777" w:rsidR="003032EB" w:rsidRPr="00CD1323" w:rsidRDefault="003032EB" w:rsidP="00BB1AA3">
            <w:pPr>
              <w:rPr>
                <w:lang w:val="es-CO"/>
              </w:rPr>
            </w:pPr>
          </w:p>
        </w:tc>
        <w:tc>
          <w:tcPr>
            <w:tcW w:w="7371" w:type="dxa"/>
            <w:hideMark/>
          </w:tcPr>
          <w:p w14:paraId="7DF92E52" w14:textId="77777777" w:rsidR="003032EB" w:rsidRDefault="003032EB" w:rsidP="00BB1AA3">
            <w:pPr>
              <w:rPr>
                <w:lang w:val="es-CO"/>
              </w:rPr>
            </w:pPr>
            <w:r>
              <w:rPr>
                <w:lang w:val="es-CO"/>
              </w:rPr>
              <w:t>Con los análisis enviados, s</w:t>
            </w:r>
            <w:r w:rsidRPr="00CD1323">
              <w:rPr>
                <w:lang w:val="es-CO"/>
              </w:rPr>
              <w:t xml:space="preserve">e encuentra un máximo factor de ajuste </w:t>
            </w:r>
            <w:r>
              <w:rPr>
                <w:lang w:val="es-CO"/>
              </w:rPr>
              <w:t>que ronda el</w:t>
            </w:r>
            <w:r w:rsidRPr="00CD1323">
              <w:rPr>
                <w:lang w:val="es-CO"/>
              </w:rPr>
              <w:t xml:space="preserve"> 8</w:t>
            </w:r>
            <w:r>
              <w:rPr>
                <w:lang w:val="es-CO"/>
              </w:rPr>
              <w:t>0</w:t>
            </w:r>
            <w:r w:rsidRPr="00CD1323">
              <w:rPr>
                <w:lang w:val="es-CO"/>
              </w:rPr>
              <w:t xml:space="preserve">% en las plantas que se tienen datos en Colombia </w:t>
            </w:r>
          </w:p>
          <w:p w14:paraId="5B72ED68" w14:textId="77777777" w:rsidR="003032EB" w:rsidRPr="00CD1323" w:rsidRDefault="003032EB" w:rsidP="00BB1AA3">
            <w:pPr>
              <w:rPr>
                <w:lang w:val="es-CO"/>
              </w:rPr>
            </w:pPr>
          </w:p>
          <w:p w14:paraId="630AA517" w14:textId="77777777" w:rsidR="003032EB" w:rsidRPr="00CD1323" w:rsidRDefault="003032EB" w:rsidP="00BB1AA3">
            <w:pPr>
              <w:rPr>
                <w:lang w:val="es-CO"/>
              </w:rPr>
            </w:pPr>
          </w:p>
        </w:tc>
      </w:tr>
    </w:tbl>
    <w:p w14:paraId="1A1D632B" w14:textId="77777777" w:rsidR="003032EB" w:rsidRDefault="003032EB" w:rsidP="003032EB"/>
    <w:p w14:paraId="74722BC1" w14:textId="77777777" w:rsidR="003032EB" w:rsidRDefault="003032EB" w:rsidP="003032EB">
      <w:r>
        <w:t xml:space="preserve">Conforme a lo anterior y teniendo en cuenta que la </w:t>
      </w:r>
      <w:proofErr w:type="spellStart"/>
      <w:r>
        <w:t>ENFICC</w:t>
      </w:r>
      <w:proofErr w:type="spellEnd"/>
      <w:r>
        <w:t xml:space="preserve"> es la energía que con una probabilidad del 100% puede proporcionar una planta en cualquier momento del tiempo, la alternativa viable es:</w:t>
      </w:r>
    </w:p>
    <w:p w14:paraId="5B0581B9" w14:textId="77777777" w:rsidR="003032EB" w:rsidRDefault="003032EB" w:rsidP="003032EB"/>
    <w:p w14:paraId="7D4E84B9" w14:textId="77777777" w:rsidR="003032EB" w:rsidRDefault="003032EB" w:rsidP="003032EB">
      <w:pPr>
        <w:pStyle w:val="Prrafodelista"/>
        <w:numPr>
          <w:ilvl w:val="0"/>
          <w:numId w:val="22"/>
        </w:numPr>
        <w:ind w:left="567"/>
      </w:pPr>
      <w:r>
        <w:lastRenderedPageBreak/>
        <w:t>Plantas e</w:t>
      </w:r>
      <w:r w:rsidRPr="000F4D7F">
        <w:t>ólica</w:t>
      </w:r>
      <w:r>
        <w:t>s</w:t>
      </w:r>
      <w:r w:rsidRPr="000F4D7F">
        <w:t xml:space="preserve">: </w:t>
      </w:r>
      <w:r>
        <w:t>n</w:t>
      </w:r>
      <w:r w:rsidRPr="000F4D7F">
        <w:t xml:space="preserve">o se encontraron elementos para modificar el límite, se propone mantener el límite. No se tienen datos en Colombia. </w:t>
      </w:r>
    </w:p>
    <w:p w14:paraId="4846AA56" w14:textId="77777777" w:rsidR="003032EB" w:rsidRPr="000F4D7F" w:rsidRDefault="003032EB" w:rsidP="003032EB">
      <w:pPr>
        <w:pStyle w:val="Prrafodelista"/>
        <w:ind w:left="567"/>
      </w:pPr>
    </w:p>
    <w:p w14:paraId="5A018C44" w14:textId="77777777" w:rsidR="003032EB" w:rsidRDefault="003032EB" w:rsidP="003032EB">
      <w:pPr>
        <w:pStyle w:val="Prrafodelista"/>
        <w:numPr>
          <w:ilvl w:val="0"/>
          <w:numId w:val="22"/>
        </w:numPr>
        <w:ind w:left="567"/>
      </w:pPr>
      <w:r>
        <w:t>Plantas s</w:t>
      </w:r>
      <w:r w:rsidRPr="0089406B">
        <w:t>olar</w:t>
      </w:r>
      <w:r>
        <w:t>es</w:t>
      </w:r>
      <w:r w:rsidRPr="0089406B">
        <w:t>: el análisis concluye que el error en energía es similar al de incertidumbre y, en su mayoría, son próximos al 20%. Se propone tener un factor de ajuste de 80%</w:t>
      </w:r>
      <w:r>
        <w:t xml:space="preserve"> o 0,8</w:t>
      </w:r>
      <w:r w:rsidRPr="0089406B">
        <w:t>, para cubrir la incertidumbre e incentivar la medición.</w:t>
      </w:r>
    </w:p>
    <w:p w14:paraId="086F038B" w14:textId="77777777" w:rsidR="003032EB" w:rsidRDefault="003032EB" w:rsidP="003032EB">
      <w:pPr>
        <w:pStyle w:val="Prrafodelista"/>
      </w:pPr>
    </w:p>
    <w:p w14:paraId="25E7A21F" w14:textId="77777777" w:rsidR="003032EB" w:rsidRPr="00ED509A" w:rsidRDefault="003032EB" w:rsidP="003032EB">
      <w:pPr>
        <w:pStyle w:val="Ttulo2"/>
        <w:numPr>
          <w:ilvl w:val="1"/>
          <w:numId w:val="1"/>
        </w:numPr>
        <w:spacing w:after="0"/>
        <w:ind w:left="578" w:hanging="578"/>
        <w:rPr>
          <w:rFonts w:cs="Arial"/>
        </w:rPr>
      </w:pPr>
      <w:bookmarkStart w:id="15" w:name="_Toc167802966"/>
      <w:r w:rsidRPr="00ED509A">
        <w:rPr>
          <w:rFonts w:cs="Arial"/>
        </w:rPr>
        <w:t>Propuesta</w:t>
      </w:r>
      <w:r>
        <w:rPr>
          <w:rFonts w:cs="Arial"/>
        </w:rPr>
        <w:t xml:space="preserve"> proyecto de Resolución CREG 701 043 de 2024</w:t>
      </w:r>
      <w:bookmarkEnd w:id="15"/>
    </w:p>
    <w:p w14:paraId="424342B3" w14:textId="77777777" w:rsidR="003032EB" w:rsidRDefault="003032EB" w:rsidP="003032EB"/>
    <w:p w14:paraId="296292CA" w14:textId="77777777" w:rsidR="003032EB" w:rsidRDefault="003032EB" w:rsidP="003032EB">
      <w:r>
        <w:t>Conforme en los análisis adelantados, se propuso usar la alternativa 2 de este documento, con las siguientes indicaciones:</w:t>
      </w:r>
    </w:p>
    <w:p w14:paraId="45A606FB" w14:textId="77777777" w:rsidR="003032EB" w:rsidRDefault="003032EB" w:rsidP="003032EB"/>
    <w:p w14:paraId="0D669C7C" w14:textId="77777777" w:rsidR="003032EB" w:rsidRDefault="003032EB" w:rsidP="003032EB">
      <w:pPr>
        <w:pStyle w:val="Prrafodelista"/>
        <w:numPr>
          <w:ilvl w:val="0"/>
          <w:numId w:val="25"/>
        </w:numPr>
        <w:rPr>
          <w:szCs w:val="24"/>
        </w:rPr>
      </w:pPr>
      <w:r w:rsidRPr="005B0EE9">
        <w:rPr>
          <w:szCs w:val="24"/>
        </w:rPr>
        <w:t xml:space="preserve">Tiempo </w:t>
      </w:r>
      <w:r>
        <w:rPr>
          <w:szCs w:val="24"/>
        </w:rPr>
        <w:t xml:space="preserve">del </w:t>
      </w:r>
      <w:proofErr w:type="spellStart"/>
      <w:r w:rsidRPr="005B0EE9">
        <w:rPr>
          <w:szCs w:val="24"/>
        </w:rPr>
        <w:t>CND</w:t>
      </w:r>
      <w:proofErr w:type="spellEnd"/>
      <w:r>
        <w:rPr>
          <w:szCs w:val="24"/>
        </w:rPr>
        <w:t xml:space="preserve"> para realizar el</w:t>
      </w:r>
      <w:r w:rsidRPr="005B0EE9">
        <w:rPr>
          <w:szCs w:val="24"/>
        </w:rPr>
        <w:t xml:space="preserve"> ajuste</w:t>
      </w:r>
      <w:r>
        <w:rPr>
          <w:szCs w:val="24"/>
        </w:rPr>
        <w:t xml:space="preserve"> del </w:t>
      </w:r>
      <w:r w:rsidRPr="005B0EE9">
        <w:rPr>
          <w:szCs w:val="24"/>
        </w:rPr>
        <w:t>aplicativo</w:t>
      </w:r>
      <w:r>
        <w:rPr>
          <w:szCs w:val="24"/>
        </w:rPr>
        <w:t xml:space="preserve"> se fijaría en</w:t>
      </w:r>
      <w:r w:rsidRPr="005B0EE9">
        <w:rPr>
          <w:szCs w:val="24"/>
        </w:rPr>
        <w:t xml:space="preserve"> 10 días hábiles</w:t>
      </w:r>
      <w:r>
        <w:rPr>
          <w:szCs w:val="24"/>
        </w:rPr>
        <w:t>.</w:t>
      </w:r>
      <w:r w:rsidRPr="005B0EE9">
        <w:rPr>
          <w:szCs w:val="24"/>
        </w:rPr>
        <w:t xml:space="preserve"> </w:t>
      </w:r>
    </w:p>
    <w:p w14:paraId="348DF798" w14:textId="3CED43A6" w:rsidR="003032EB" w:rsidRPr="005B0EE9" w:rsidRDefault="003032EB" w:rsidP="003032EB">
      <w:pPr>
        <w:pStyle w:val="Prrafodelista"/>
        <w:ind w:left="720"/>
        <w:rPr>
          <w:szCs w:val="24"/>
        </w:rPr>
      </w:pPr>
      <w:r>
        <w:rPr>
          <w:szCs w:val="24"/>
        </w:rPr>
        <w:t>Esto puesto que e</w:t>
      </w:r>
      <w:r w:rsidRPr="005B0EE9">
        <w:rPr>
          <w:szCs w:val="24"/>
        </w:rPr>
        <w:t xml:space="preserve">l ajuste </w:t>
      </w:r>
      <w:r w:rsidR="00E357CA">
        <w:rPr>
          <w:szCs w:val="24"/>
        </w:rPr>
        <w:t>es</w:t>
      </w:r>
      <w:r w:rsidRPr="005B0EE9">
        <w:rPr>
          <w:szCs w:val="24"/>
        </w:rPr>
        <w:t xml:space="preserve"> menor</w:t>
      </w:r>
      <w:r>
        <w:rPr>
          <w:szCs w:val="24"/>
        </w:rPr>
        <w:t>, solo se debe cambiar un factor multiplicador.</w:t>
      </w:r>
    </w:p>
    <w:p w14:paraId="4560650D" w14:textId="77777777" w:rsidR="003032EB" w:rsidRPr="005B0EE9" w:rsidRDefault="003032EB" w:rsidP="003032EB">
      <w:pPr>
        <w:rPr>
          <w:szCs w:val="24"/>
        </w:rPr>
      </w:pPr>
    </w:p>
    <w:p w14:paraId="1E116D9B" w14:textId="303676D5" w:rsidR="003032EB" w:rsidRDefault="00E357CA" w:rsidP="003032EB">
      <w:pPr>
        <w:pStyle w:val="Prrafodelista"/>
        <w:numPr>
          <w:ilvl w:val="0"/>
          <w:numId w:val="25"/>
        </w:numPr>
        <w:rPr>
          <w:szCs w:val="24"/>
        </w:rPr>
      </w:pPr>
      <w:r>
        <w:rPr>
          <w:szCs w:val="24"/>
        </w:rPr>
        <w:t xml:space="preserve">Dado lo anterior, no se considera necesario </w:t>
      </w:r>
      <w:r w:rsidR="003032EB" w:rsidRPr="005B0EE9">
        <w:rPr>
          <w:szCs w:val="24"/>
        </w:rPr>
        <w:t>publicar otro modelo por parte de CREG</w:t>
      </w:r>
      <w:r w:rsidR="003032EB">
        <w:rPr>
          <w:szCs w:val="24"/>
        </w:rPr>
        <w:t xml:space="preserve"> mediante circular.</w:t>
      </w:r>
      <w:r w:rsidR="003032EB" w:rsidRPr="005B0EE9">
        <w:rPr>
          <w:szCs w:val="24"/>
        </w:rPr>
        <w:t xml:space="preserve"> </w:t>
      </w:r>
    </w:p>
    <w:p w14:paraId="1DA68A88" w14:textId="77777777" w:rsidR="003032EB" w:rsidRPr="00206A28" w:rsidRDefault="003032EB" w:rsidP="003032EB">
      <w:pPr>
        <w:pStyle w:val="Prrafodelista"/>
        <w:rPr>
          <w:szCs w:val="24"/>
        </w:rPr>
      </w:pPr>
    </w:p>
    <w:p w14:paraId="191D583A" w14:textId="30EC4668" w:rsidR="003032EB" w:rsidRDefault="00E357CA" w:rsidP="003032EB">
      <w:pPr>
        <w:pStyle w:val="Prrafodelista"/>
        <w:ind w:left="720"/>
        <w:rPr>
          <w:szCs w:val="24"/>
        </w:rPr>
      </w:pPr>
      <w:r>
        <w:rPr>
          <w:szCs w:val="24"/>
        </w:rPr>
        <w:t xml:space="preserve">Para que el modelo incorpore el ajuste previsto, </w:t>
      </w:r>
      <w:r w:rsidR="003032EB" w:rsidRPr="005B0EE9">
        <w:rPr>
          <w:szCs w:val="24"/>
        </w:rPr>
        <w:t xml:space="preserve">el </w:t>
      </w:r>
      <w:proofErr w:type="spellStart"/>
      <w:r w:rsidR="003032EB" w:rsidRPr="005B0EE9">
        <w:rPr>
          <w:szCs w:val="24"/>
        </w:rPr>
        <w:t>CND</w:t>
      </w:r>
      <w:proofErr w:type="spellEnd"/>
      <w:r w:rsidR="003032EB" w:rsidRPr="005B0EE9">
        <w:rPr>
          <w:szCs w:val="24"/>
        </w:rPr>
        <w:t xml:space="preserve"> deberá informar </w:t>
      </w:r>
      <w:r>
        <w:rPr>
          <w:szCs w:val="24"/>
        </w:rPr>
        <w:t xml:space="preserve">a la Comisión y al </w:t>
      </w:r>
      <w:proofErr w:type="spellStart"/>
      <w:r>
        <w:rPr>
          <w:szCs w:val="24"/>
        </w:rPr>
        <w:t>C.N.O</w:t>
      </w:r>
      <w:proofErr w:type="spellEnd"/>
      <w:r>
        <w:rPr>
          <w:szCs w:val="24"/>
        </w:rPr>
        <w:t xml:space="preserve">. que adelantó dicha tarea </w:t>
      </w:r>
      <w:r w:rsidR="003032EB" w:rsidRPr="005B0EE9">
        <w:rPr>
          <w:szCs w:val="24"/>
        </w:rPr>
        <w:t>e informarlo en su página web.</w:t>
      </w:r>
      <w:r>
        <w:rPr>
          <w:szCs w:val="24"/>
        </w:rPr>
        <w:t xml:space="preserve"> </w:t>
      </w:r>
    </w:p>
    <w:p w14:paraId="15CE743A" w14:textId="77777777" w:rsidR="003032EB" w:rsidRDefault="003032EB" w:rsidP="003032EB">
      <w:pPr>
        <w:pStyle w:val="Prrafodelista"/>
        <w:ind w:left="720"/>
        <w:rPr>
          <w:szCs w:val="24"/>
        </w:rPr>
      </w:pPr>
    </w:p>
    <w:p w14:paraId="2C4D8FAA" w14:textId="77777777" w:rsidR="003032EB" w:rsidRDefault="003032EB" w:rsidP="003032EB">
      <w:pPr>
        <w:pStyle w:val="Prrafodelista"/>
        <w:numPr>
          <w:ilvl w:val="0"/>
          <w:numId w:val="25"/>
        </w:numPr>
        <w:rPr>
          <w:szCs w:val="24"/>
        </w:rPr>
      </w:pPr>
      <w:r>
        <w:rPr>
          <w:szCs w:val="24"/>
        </w:rPr>
        <w:t xml:space="preserve">El </w:t>
      </w:r>
      <w:proofErr w:type="spellStart"/>
      <w:r w:rsidRPr="005B0EE9">
        <w:rPr>
          <w:szCs w:val="24"/>
        </w:rPr>
        <w:t>C.N.O</w:t>
      </w:r>
      <w:proofErr w:type="spellEnd"/>
      <w:r w:rsidRPr="005B0EE9">
        <w:rPr>
          <w:szCs w:val="24"/>
        </w:rPr>
        <w:t>. tendrá que ajustar</w:t>
      </w:r>
      <w:r>
        <w:rPr>
          <w:szCs w:val="24"/>
        </w:rPr>
        <w:t xml:space="preserve"> este cambio en sus Acuerdos que correspondan, para lo cual</w:t>
      </w:r>
      <w:r w:rsidRPr="005B0EE9">
        <w:rPr>
          <w:szCs w:val="24"/>
        </w:rPr>
        <w:t xml:space="preserve"> no se tiene límite de tiempo, pues se está dando </w:t>
      </w:r>
      <w:r>
        <w:rPr>
          <w:szCs w:val="24"/>
        </w:rPr>
        <w:t>lineamiento</w:t>
      </w:r>
      <w:r w:rsidRPr="005B0EE9">
        <w:rPr>
          <w:szCs w:val="24"/>
        </w:rPr>
        <w:t xml:space="preserve"> direct</w:t>
      </w:r>
      <w:r>
        <w:rPr>
          <w:szCs w:val="24"/>
        </w:rPr>
        <w:t>o</w:t>
      </w:r>
      <w:r w:rsidRPr="005B0EE9">
        <w:rPr>
          <w:szCs w:val="24"/>
        </w:rPr>
        <w:t xml:space="preserve"> a </w:t>
      </w:r>
      <w:proofErr w:type="spellStart"/>
      <w:r w:rsidRPr="005B0EE9">
        <w:rPr>
          <w:szCs w:val="24"/>
        </w:rPr>
        <w:t>CND</w:t>
      </w:r>
      <w:proofErr w:type="spellEnd"/>
      <w:r w:rsidRPr="005B0EE9">
        <w:rPr>
          <w:szCs w:val="24"/>
        </w:rPr>
        <w:t xml:space="preserve"> de modificación del aplicativo</w:t>
      </w:r>
      <w:r>
        <w:rPr>
          <w:szCs w:val="24"/>
        </w:rPr>
        <w:t xml:space="preserve"> con un único objetivo.</w:t>
      </w:r>
    </w:p>
    <w:p w14:paraId="368D483F" w14:textId="77777777" w:rsidR="003032EB" w:rsidRDefault="003032EB" w:rsidP="003032EB">
      <w:pPr>
        <w:pStyle w:val="Prrafodelista"/>
        <w:ind w:left="720"/>
        <w:rPr>
          <w:szCs w:val="24"/>
        </w:rPr>
      </w:pPr>
    </w:p>
    <w:p w14:paraId="65196A68" w14:textId="77777777" w:rsidR="003032EB" w:rsidRDefault="003032EB" w:rsidP="003032EB">
      <w:pPr>
        <w:pStyle w:val="Prrafodelista"/>
        <w:numPr>
          <w:ilvl w:val="0"/>
          <w:numId w:val="25"/>
        </w:numPr>
        <w:rPr>
          <w:szCs w:val="24"/>
        </w:rPr>
      </w:pPr>
      <w:r>
        <w:rPr>
          <w:szCs w:val="24"/>
        </w:rPr>
        <w:t xml:space="preserve">Debe usarse el mismo enlace de ingreso al aplicativo publicado en la Circular CREG 22 de 2024. Para tal fin, el </w:t>
      </w:r>
      <w:proofErr w:type="spellStart"/>
      <w:r>
        <w:rPr>
          <w:szCs w:val="24"/>
        </w:rPr>
        <w:t>CND</w:t>
      </w:r>
      <w:proofErr w:type="spellEnd"/>
      <w:r>
        <w:rPr>
          <w:szCs w:val="24"/>
        </w:rPr>
        <w:t xml:space="preserve"> tendrá que garantizar tal condición. Esto evita reprocesos al interior de la Comisión (comité - sesión CREG – Circular CREG), los cuales no son necesarios ante este menor cambio. </w:t>
      </w:r>
    </w:p>
    <w:p w14:paraId="1B14099A" w14:textId="77777777" w:rsidR="003032EB" w:rsidRDefault="003032EB" w:rsidP="003032EB">
      <w:pPr>
        <w:rPr>
          <w:rFonts w:cs="Arial"/>
          <w:iCs/>
          <w:szCs w:val="24"/>
          <w:highlight w:val="yellow"/>
        </w:rPr>
      </w:pPr>
    </w:p>
    <w:p w14:paraId="6AC1090C" w14:textId="77777777" w:rsidR="003032EB" w:rsidRPr="00D962F4" w:rsidRDefault="003032EB" w:rsidP="003032EB">
      <w:pPr>
        <w:pStyle w:val="Ttulo3"/>
      </w:pPr>
      <w:bookmarkStart w:id="16" w:name="_Toc167802967"/>
      <w:r>
        <w:t xml:space="preserve">Análisis de impacto de la propuesta en la </w:t>
      </w:r>
      <w:r>
        <w:rPr>
          <w:rFonts w:cs="Arial"/>
        </w:rPr>
        <w:t>Resolución CREG 701 043 de 2024</w:t>
      </w:r>
      <w:bookmarkEnd w:id="16"/>
    </w:p>
    <w:p w14:paraId="0A8502BB" w14:textId="77777777" w:rsidR="003032EB" w:rsidRDefault="003032EB" w:rsidP="003032EB">
      <w:pPr>
        <w:rPr>
          <w:rFonts w:cs="Arial"/>
          <w:iCs/>
          <w:szCs w:val="24"/>
        </w:rPr>
      </w:pPr>
      <w:r>
        <w:rPr>
          <w:rFonts w:cs="Arial"/>
          <w:iCs/>
          <w:szCs w:val="24"/>
        </w:rPr>
        <w:t xml:space="preserve">El análisis de impacto se mantiene de lo consultado. Esto es, inicialmente debería utilizar la nueva metodología, Resolución CREG 101 007 de 2023, sin embargo, no se cuenta con los datos para simulación. </w:t>
      </w:r>
    </w:p>
    <w:p w14:paraId="2BC66C98" w14:textId="77777777" w:rsidR="003032EB" w:rsidRDefault="003032EB" w:rsidP="003032EB">
      <w:pPr>
        <w:rPr>
          <w:rFonts w:cs="Arial"/>
          <w:iCs/>
          <w:szCs w:val="24"/>
        </w:rPr>
      </w:pPr>
    </w:p>
    <w:p w14:paraId="7640C095" w14:textId="77777777" w:rsidR="003032EB" w:rsidRDefault="003032EB" w:rsidP="003032EB">
      <w:pPr>
        <w:rPr>
          <w:rFonts w:cs="Arial"/>
          <w:iCs/>
          <w:szCs w:val="24"/>
        </w:rPr>
      </w:pPr>
      <w:r>
        <w:rPr>
          <w:rFonts w:cs="Arial"/>
          <w:iCs/>
          <w:szCs w:val="24"/>
        </w:rPr>
        <w:t xml:space="preserve">Así las cosas, el análisis se realizó con los resultados de las plantas que se presentaron en la última subasta y se observó cuanto podría incrementarse la </w:t>
      </w:r>
      <w:proofErr w:type="spellStart"/>
      <w:r>
        <w:rPr>
          <w:rFonts w:cs="Arial"/>
          <w:iCs/>
          <w:szCs w:val="24"/>
        </w:rPr>
        <w:t>ENFICC</w:t>
      </w:r>
      <w:proofErr w:type="spellEnd"/>
      <w:r>
        <w:rPr>
          <w:rFonts w:cs="Arial"/>
          <w:iCs/>
          <w:szCs w:val="24"/>
        </w:rPr>
        <w:t xml:space="preserve"> con dichas plantas cuando se considera un factor de 0,8 en lugar de 0,6; que fue con el valor con que participaron:</w:t>
      </w:r>
    </w:p>
    <w:p w14:paraId="2D290B44" w14:textId="77777777" w:rsidR="003032EB" w:rsidRDefault="003032EB" w:rsidP="003032EB">
      <w:pPr>
        <w:rPr>
          <w:rFonts w:cs="Arial"/>
          <w:iCs/>
          <w:szCs w:val="24"/>
        </w:rPr>
      </w:pPr>
    </w:p>
    <w:p w14:paraId="1AA2025A" w14:textId="4014F679" w:rsidR="003032EB" w:rsidRDefault="003032EB" w:rsidP="003032EB">
      <w:pPr>
        <w:pStyle w:val="Descripcin"/>
        <w:rPr>
          <w:rFonts w:cs="Arial"/>
          <w:iCs w:val="0"/>
          <w:szCs w:val="24"/>
        </w:rPr>
      </w:pPr>
      <w:bookmarkStart w:id="17" w:name="_Toc167802973"/>
      <w:r>
        <w:t xml:space="preserve">Tabla </w:t>
      </w:r>
      <w:r>
        <w:fldChar w:fldCharType="begin"/>
      </w:r>
      <w:r>
        <w:instrText xml:space="preserve"> SEQ Tabla \* ARABIC </w:instrText>
      </w:r>
      <w:r>
        <w:fldChar w:fldCharType="separate"/>
      </w:r>
      <w:r w:rsidR="00E64A19">
        <w:rPr>
          <w:noProof/>
        </w:rPr>
        <w:t>3</w:t>
      </w:r>
      <w:r>
        <w:fldChar w:fldCharType="end"/>
      </w:r>
      <w:r>
        <w:t xml:space="preserve"> Resultados </w:t>
      </w:r>
      <w:proofErr w:type="spellStart"/>
      <w:r>
        <w:t>ENFICC</w:t>
      </w:r>
      <w:proofErr w:type="spellEnd"/>
      <w:r>
        <w:t xml:space="preserve"> y </w:t>
      </w:r>
      <w:proofErr w:type="spellStart"/>
      <w:r>
        <w:t>OEF</w:t>
      </w:r>
      <w:proofErr w:type="spellEnd"/>
      <w:r>
        <w:t xml:space="preserve"> solo plantas solares Subasta Cargo por Confiabilidad 2027-2028</w:t>
      </w:r>
      <w:bookmarkEnd w:id="17"/>
    </w:p>
    <w:tbl>
      <w:tblPr>
        <w:tblW w:w="6936" w:type="dxa"/>
        <w:jc w:val="center"/>
        <w:tblCellMar>
          <w:left w:w="0" w:type="dxa"/>
          <w:right w:w="0" w:type="dxa"/>
        </w:tblCellMar>
        <w:tblLook w:val="0600" w:firstRow="0" w:lastRow="0" w:firstColumn="0" w:lastColumn="0" w:noHBand="1" w:noVBand="1"/>
      </w:tblPr>
      <w:tblGrid>
        <w:gridCol w:w="2967"/>
        <w:gridCol w:w="2466"/>
        <w:gridCol w:w="1503"/>
      </w:tblGrid>
      <w:tr w:rsidR="003032EB" w:rsidRPr="00073C96" w14:paraId="130442C2" w14:textId="77777777" w:rsidTr="00BB1AA3">
        <w:trPr>
          <w:trHeight w:val="230"/>
          <w:tblHeader/>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14:paraId="5440F795" w14:textId="77777777" w:rsidR="003032EB" w:rsidRPr="00073C96" w:rsidRDefault="003032EB" w:rsidP="00BB1AA3">
            <w:pPr>
              <w:jc w:val="center"/>
              <w:rPr>
                <w:rFonts w:cs="Arial"/>
                <w:iCs/>
                <w:szCs w:val="24"/>
                <w:lang w:val="es-CO"/>
              </w:rPr>
            </w:pPr>
            <w:r>
              <w:rPr>
                <w:rFonts w:cs="Arial"/>
                <w:iCs/>
                <w:szCs w:val="24"/>
                <w:lang w:val="es-CO"/>
              </w:rPr>
              <w:lastRenderedPageBreak/>
              <w:t xml:space="preserve">Fuente: </w:t>
            </w:r>
            <w:proofErr w:type="spellStart"/>
            <w:r w:rsidRPr="00073C96">
              <w:rPr>
                <w:rFonts w:cs="Arial"/>
                <w:iCs/>
                <w:szCs w:val="24"/>
                <w:lang w:val="es-CO"/>
              </w:rPr>
              <w:t>XM</w:t>
            </w:r>
            <w:proofErr w:type="spellEnd"/>
            <w:r>
              <w:rPr>
                <w:rFonts w:cs="Arial"/>
                <w:iCs/>
                <w:szCs w:val="24"/>
                <w:lang w:val="es-CO"/>
              </w:rPr>
              <w:t xml:space="preserve"> S.A. E.</w:t>
            </w:r>
            <w:proofErr w:type="gramStart"/>
            <w:r>
              <w:rPr>
                <w:rFonts w:cs="Arial"/>
                <w:iCs/>
                <w:szCs w:val="24"/>
                <w:lang w:val="es-CO"/>
              </w:rPr>
              <w:t>S.P</w:t>
            </w:r>
            <w:proofErr w:type="gramEnd"/>
          </w:p>
        </w:tc>
        <w:tc>
          <w:tcPr>
            <w:tcW w:w="2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14:paraId="5B66F481" w14:textId="77777777" w:rsidR="003032EB" w:rsidRPr="00073C96" w:rsidRDefault="003032EB" w:rsidP="00BB1AA3">
            <w:pPr>
              <w:jc w:val="center"/>
              <w:rPr>
                <w:rFonts w:cs="Arial"/>
                <w:iCs/>
                <w:szCs w:val="24"/>
                <w:lang w:val="es-CO"/>
              </w:rPr>
            </w:pPr>
            <w:proofErr w:type="spellStart"/>
            <w:r w:rsidRPr="00073C96">
              <w:rPr>
                <w:rFonts w:cs="Arial"/>
                <w:b/>
                <w:bCs/>
                <w:iCs/>
                <w:szCs w:val="24"/>
                <w:lang w:val="es-CO"/>
              </w:rPr>
              <w:t>ENFICC</w:t>
            </w:r>
            <w:proofErr w:type="spellEnd"/>
            <w:r w:rsidRPr="00073C96">
              <w:rPr>
                <w:rFonts w:cs="Arial"/>
                <w:b/>
                <w:bCs/>
                <w:iCs/>
                <w:szCs w:val="24"/>
                <w:lang w:val="es-CO"/>
              </w:rPr>
              <w:t xml:space="preserve"> máxima</w:t>
            </w:r>
            <w:r>
              <w:rPr>
                <w:rFonts w:cs="Arial"/>
                <w:b/>
                <w:bCs/>
                <w:iCs/>
                <w:szCs w:val="24"/>
                <w:lang w:val="es-CO"/>
              </w:rPr>
              <w:t xml:space="preserve"> (verificada </w:t>
            </w:r>
            <w:proofErr w:type="spellStart"/>
            <w:r>
              <w:rPr>
                <w:rFonts w:cs="Arial"/>
                <w:b/>
                <w:bCs/>
                <w:iCs/>
                <w:szCs w:val="24"/>
                <w:lang w:val="es-CO"/>
              </w:rPr>
              <w:t>CND</w:t>
            </w:r>
            <w:proofErr w:type="spellEnd"/>
            <w:r>
              <w:rPr>
                <w:rFonts w:cs="Arial"/>
                <w:b/>
                <w:bCs/>
                <w:iCs/>
                <w:szCs w:val="24"/>
                <w:lang w:val="es-CO"/>
              </w:rPr>
              <w:t>)</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14:paraId="17BEEFDA" w14:textId="77777777" w:rsidR="003032EB" w:rsidRPr="00073C96" w:rsidRDefault="003032EB" w:rsidP="00BB1AA3">
            <w:pPr>
              <w:jc w:val="center"/>
              <w:rPr>
                <w:rFonts w:cs="Arial"/>
                <w:iCs/>
                <w:szCs w:val="24"/>
                <w:lang w:val="es-CO"/>
              </w:rPr>
            </w:pPr>
            <w:proofErr w:type="spellStart"/>
            <w:r w:rsidRPr="00073C96">
              <w:rPr>
                <w:rFonts w:cs="Arial"/>
                <w:b/>
                <w:bCs/>
                <w:iCs/>
                <w:szCs w:val="24"/>
                <w:lang w:val="es-CO"/>
              </w:rPr>
              <w:t>OEF</w:t>
            </w:r>
            <w:proofErr w:type="spellEnd"/>
            <w:r>
              <w:rPr>
                <w:rFonts w:cs="Arial"/>
                <w:b/>
                <w:bCs/>
                <w:iCs/>
                <w:szCs w:val="24"/>
                <w:lang w:val="es-CO"/>
              </w:rPr>
              <w:t xml:space="preserve"> asignada</w:t>
            </w:r>
          </w:p>
        </w:tc>
      </w:tr>
      <w:tr w:rsidR="003032EB" w:rsidRPr="00073C96" w14:paraId="697CE040" w14:textId="77777777" w:rsidTr="00BB1AA3">
        <w:trPr>
          <w:trHeight w:val="23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81C7AC" w14:textId="77777777" w:rsidR="003032EB" w:rsidRPr="00073C96" w:rsidRDefault="003032EB" w:rsidP="00BB1AA3">
            <w:pPr>
              <w:jc w:val="center"/>
              <w:rPr>
                <w:rFonts w:cs="Arial"/>
                <w:iCs/>
                <w:szCs w:val="24"/>
                <w:lang w:val="es-CO"/>
              </w:rPr>
            </w:pPr>
            <w:r>
              <w:rPr>
                <w:rFonts w:cs="Arial"/>
                <w:iCs/>
                <w:szCs w:val="24"/>
                <w:lang w:val="es-MX"/>
              </w:rPr>
              <w:t>kWh/día</w:t>
            </w:r>
            <w:r>
              <w:rPr>
                <w:rFonts w:cs="Arial"/>
                <w:iCs/>
                <w:szCs w:val="24"/>
                <w:lang w:val="es-CO"/>
              </w:rPr>
              <w:t xml:space="preserve"> totales </w:t>
            </w:r>
            <w:r w:rsidRPr="00073C96">
              <w:rPr>
                <w:rFonts w:cs="Arial"/>
                <w:iCs/>
                <w:szCs w:val="24"/>
                <w:lang w:val="es-CO"/>
              </w:rPr>
              <w:t>Solar</w:t>
            </w:r>
            <w:r>
              <w:rPr>
                <w:rFonts w:cs="Arial"/>
                <w:iCs/>
                <w:szCs w:val="24"/>
                <w:lang w:val="es-CO"/>
              </w:rPr>
              <w:t>es en la</w:t>
            </w:r>
            <w:r w:rsidRPr="00073C96">
              <w:rPr>
                <w:rFonts w:cs="Arial"/>
                <w:iCs/>
                <w:szCs w:val="24"/>
                <w:lang w:val="es-CO"/>
              </w:rPr>
              <w:t xml:space="preserve"> Subasta 27-28</w:t>
            </w:r>
          </w:p>
        </w:tc>
        <w:tc>
          <w:tcPr>
            <w:tcW w:w="2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ED5D7FD" w14:textId="77777777" w:rsidR="003032EB" w:rsidRPr="00073C96" w:rsidRDefault="003032EB" w:rsidP="00BB1AA3">
            <w:pPr>
              <w:jc w:val="center"/>
              <w:rPr>
                <w:rFonts w:cs="Arial"/>
                <w:iCs/>
                <w:szCs w:val="24"/>
                <w:lang w:val="es-CO"/>
              </w:rPr>
            </w:pPr>
            <w:r w:rsidRPr="00073C96">
              <w:rPr>
                <w:rFonts w:cs="Arial"/>
                <w:iCs/>
                <w:szCs w:val="24"/>
                <w:lang w:val="es-CO"/>
              </w:rPr>
              <w:t>10.302.645</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CC0230" w14:textId="77777777" w:rsidR="003032EB" w:rsidRPr="00073C96" w:rsidRDefault="003032EB" w:rsidP="00BB1AA3">
            <w:pPr>
              <w:jc w:val="center"/>
              <w:rPr>
                <w:rFonts w:cs="Arial"/>
                <w:iCs/>
                <w:szCs w:val="24"/>
                <w:lang w:val="es-CO"/>
              </w:rPr>
            </w:pPr>
            <w:r w:rsidRPr="00073C96">
              <w:rPr>
                <w:rFonts w:cs="Arial"/>
                <w:iCs/>
                <w:szCs w:val="24"/>
                <w:lang w:val="es-CO"/>
              </w:rPr>
              <w:t>9.650.755</w:t>
            </w:r>
          </w:p>
        </w:tc>
      </w:tr>
      <w:tr w:rsidR="003032EB" w:rsidRPr="00073C96" w14:paraId="3C71DB85" w14:textId="77777777" w:rsidTr="00BB1AA3">
        <w:trPr>
          <w:trHeight w:val="23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6B3D7FB" w14:textId="77777777" w:rsidR="003032EB" w:rsidRPr="00073C96" w:rsidRDefault="003032EB" w:rsidP="00BB1AA3">
            <w:pPr>
              <w:jc w:val="center"/>
              <w:rPr>
                <w:rFonts w:cs="Arial"/>
                <w:iCs/>
                <w:szCs w:val="24"/>
                <w:lang w:val="es-CO"/>
              </w:rPr>
            </w:pPr>
            <w:r>
              <w:rPr>
                <w:rFonts w:cs="Arial"/>
                <w:iCs/>
                <w:szCs w:val="24"/>
                <w:lang w:val="es-MX"/>
              </w:rPr>
              <w:t>kWh/día</w:t>
            </w:r>
            <w:r w:rsidRPr="00073C96">
              <w:rPr>
                <w:rFonts w:cs="Arial"/>
                <w:iCs/>
                <w:szCs w:val="24"/>
                <w:lang w:val="es-MX"/>
              </w:rPr>
              <w:t xml:space="preserve"> Solar</w:t>
            </w:r>
            <w:r>
              <w:rPr>
                <w:rFonts w:cs="Arial"/>
                <w:iCs/>
                <w:szCs w:val="24"/>
                <w:lang w:val="es-MX"/>
              </w:rPr>
              <w:t>es en la</w:t>
            </w:r>
            <w:r w:rsidRPr="00073C96">
              <w:rPr>
                <w:rFonts w:cs="Arial"/>
                <w:iCs/>
                <w:szCs w:val="24"/>
                <w:lang w:val="es-MX"/>
              </w:rPr>
              <w:t xml:space="preserve"> Subasta 27-28 </w:t>
            </w:r>
            <w:r>
              <w:rPr>
                <w:rFonts w:cs="Arial"/>
                <w:iCs/>
                <w:szCs w:val="24"/>
                <w:lang w:val="es-MX"/>
              </w:rPr>
              <w:t xml:space="preserve">que participaron </w:t>
            </w:r>
            <w:r w:rsidRPr="00073C96">
              <w:rPr>
                <w:rFonts w:cs="Arial"/>
                <w:iCs/>
                <w:szCs w:val="24"/>
                <w:lang w:val="es-MX"/>
              </w:rPr>
              <w:t>sin datos en sitio</w:t>
            </w:r>
          </w:p>
        </w:tc>
        <w:tc>
          <w:tcPr>
            <w:tcW w:w="2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71A521" w14:textId="77777777" w:rsidR="003032EB" w:rsidRPr="00073C96" w:rsidRDefault="003032EB" w:rsidP="00BB1AA3">
            <w:pPr>
              <w:jc w:val="center"/>
              <w:rPr>
                <w:rFonts w:cs="Arial"/>
                <w:iCs/>
                <w:szCs w:val="24"/>
                <w:lang w:val="es-CO"/>
              </w:rPr>
            </w:pPr>
            <w:r w:rsidRPr="00073C96">
              <w:rPr>
                <w:rFonts w:cs="Arial"/>
                <w:iCs/>
                <w:szCs w:val="24"/>
                <w:lang w:val="es-CO"/>
              </w:rPr>
              <w:t>7.100.483</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ED8C106" w14:textId="77777777" w:rsidR="003032EB" w:rsidRPr="00073C96" w:rsidRDefault="003032EB" w:rsidP="00BB1AA3">
            <w:pPr>
              <w:jc w:val="center"/>
              <w:rPr>
                <w:rFonts w:cs="Arial"/>
                <w:iCs/>
                <w:szCs w:val="24"/>
                <w:lang w:val="es-CO"/>
              </w:rPr>
            </w:pPr>
            <w:r w:rsidRPr="00073C96">
              <w:rPr>
                <w:rFonts w:cs="Arial"/>
                <w:iCs/>
                <w:szCs w:val="24"/>
                <w:lang w:val="es-CO"/>
              </w:rPr>
              <w:t>6.448.593</w:t>
            </w:r>
          </w:p>
        </w:tc>
      </w:tr>
    </w:tbl>
    <w:p w14:paraId="76FF5D12" w14:textId="77777777" w:rsidR="003032EB" w:rsidRDefault="003032EB" w:rsidP="003032EB">
      <w:pPr>
        <w:rPr>
          <w:rFonts w:cs="Arial"/>
          <w:iCs/>
          <w:szCs w:val="24"/>
        </w:rPr>
      </w:pPr>
    </w:p>
    <w:p w14:paraId="3DA280FD" w14:textId="77777777" w:rsidR="003032EB" w:rsidRDefault="003032EB" w:rsidP="003032EB">
      <w:pPr>
        <w:rPr>
          <w:rFonts w:cs="Arial"/>
          <w:iCs/>
          <w:szCs w:val="24"/>
        </w:rPr>
      </w:pPr>
    </w:p>
    <w:p w14:paraId="1E3B30B8" w14:textId="2D9DE42E" w:rsidR="003032EB" w:rsidRDefault="003032EB" w:rsidP="003032EB">
      <w:pPr>
        <w:pStyle w:val="Descripcin"/>
        <w:rPr>
          <w:rFonts w:cs="Arial"/>
          <w:iCs w:val="0"/>
          <w:szCs w:val="24"/>
        </w:rPr>
      </w:pPr>
      <w:bookmarkStart w:id="18" w:name="_Toc167802974"/>
      <w:r>
        <w:t xml:space="preserve">Tabla </w:t>
      </w:r>
      <w:r>
        <w:fldChar w:fldCharType="begin"/>
      </w:r>
      <w:r>
        <w:instrText xml:space="preserve"> SEQ Tabla \* ARABIC </w:instrText>
      </w:r>
      <w:r>
        <w:fldChar w:fldCharType="separate"/>
      </w:r>
      <w:r w:rsidR="00E64A19">
        <w:rPr>
          <w:noProof/>
        </w:rPr>
        <w:t>4</w:t>
      </w:r>
      <w:r>
        <w:fldChar w:fldCharType="end"/>
      </w:r>
      <w:r>
        <w:t xml:space="preserve"> Resultados asumiendo un valor de 0,8 respecto de los resultados de la subasta 2027-2028</w:t>
      </w:r>
      <w:bookmarkEnd w:id="18"/>
    </w:p>
    <w:tbl>
      <w:tblPr>
        <w:tblW w:w="9346" w:type="dxa"/>
        <w:jc w:val="center"/>
        <w:tblCellMar>
          <w:left w:w="0" w:type="dxa"/>
          <w:right w:w="0" w:type="dxa"/>
        </w:tblCellMar>
        <w:tblLook w:val="0600" w:firstRow="0" w:lastRow="0" w:firstColumn="0" w:lastColumn="0" w:noHBand="1" w:noVBand="1"/>
      </w:tblPr>
      <w:tblGrid>
        <w:gridCol w:w="2258"/>
        <w:gridCol w:w="7088"/>
      </w:tblGrid>
      <w:tr w:rsidR="003032EB" w:rsidRPr="00C1248D" w14:paraId="4BCBFAD9" w14:textId="77777777" w:rsidTr="00BB1AA3">
        <w:trPr>
          <w:trHeight w:val="230"/>
          <w:tblHeade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C8CF45" w14:textId="77777777" w:rsidR="003032EB" w:rsidRPr="00C1248D" w:rsidRDefault="003032EB" w:rsidP="00BB1AA3">
            <w:pPr>
              <w:jc w:val="center"/>
              <w:rPr>
                <w:rFonts w:cs="Arial"/>
                <w:iCs/>
                <w:szCs w:val="24"/>
                <w:lang w:val="es-CO"/>
              </w:rPr>
            </w:pPr>
            <w:r w:rsidRPr="00C1248D">
              <w:rPr>
                <w:rFonts w:cs="Arial"/>
                <w:b/>
                <w:bCs/>
                <w:iCs/>
                <w:szCs w:val="24"/>
                <w:lang w:val="es-CO"/>
              </w:rPr>
              <w:t>Análisis aproximado</w:t>
            </w:r>
            <w:r>
              <w:rPr>
                <w:rFonts w:cs="Arial"/>
                <w:b/>
                <w:bCs/>
                <w:iCs/>
                <w:szCs w:val="24"/>
                <w:lang w:val="es-CO"/>
              </w:rPr>
              <w:t xml:space="preserve"> calculado CREG</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5C46E65" w14:textId="77777777" w:rsidR="003032EB" w:rsidRPr="00C1248D" w:rsidRDefault="003032EB" w:rsidP="00BB1AA3">
            <w:pPr>
              <w:jc w:val="center"/>
              <w:rPr>
                <w:rFonts w:cs="Arial"/>
                <w:iCs/>
                <w:szCs w:val="24"/>
                <w:lang w:val="es-CO"/>
              </w:rPr>
            </w:pPr>
            <w:proofErr w:type="spellStart"/>
            <w:r w:rsidRPr="00C1248D">
              <w:rPr>
                <w:rFonts w:cs="Arial"/>
                <w:b/>
                <w:bCs/>
                <w:iCs/>
                <w:szCs w:val="24"/>
                <w:lang w:val="es-CO"/>
              </w:rPr>
              <w:t>ENFICC</w:t>
            </w:r>
            <w:proofErr w:type="spellEnd"/>
            <w:r>
              <w:rPr>
                <w:rFonts w:cs="Arial"/>
                <w:b/>
                <w:bCs/>
                <w:iCs/>
                <w:szCs w:val="24"/>
                <w:lang w:val="es-CO"/>
              </w:rPr>
              <w:t xml:space="preserve"> Solar aproximada</w:t>
            </w:r>
          </w:p>
        </w:tc>
      </w:tr>
      <w:tr w:rsidR="003032EB" w:rsidRPr="00C1248D" w14:paraId="0780AF85" w14:textId="77777777" w:rsidTr="00BB1AA3">
        <w:trPr>
          <w:trHeight w:val="23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B632EB8" w14:textId="77777777" w:rsidR="003032EB" w:rsidRPr="00C1248D" w:rsidRDefault="003032EB" w:rsidP="00BB1AA3">
            <w:pPr>
              <w:jc w:val="center"/>
              <w:rPr>
                <w:rFonts w:cs="Arial"/>
                <w:iCs/>
                <w:szCs w:val="24"/>
                <w:lang w:val="es-CO"/>
              </w:rPr>
            </w:pPr>
            <w:r>
              <w:rPr>
                <w:rFonts w:cs="Arial"/>
                <w:iCs/>
                <w:szCs w:val="24"/>
                <w:lang w:val="es-MX"/>
              </w:rPr>
              <w:t>kWh/día</w:t>
            </w:r>
            <w:r>
              <w:rPr>
                <w:rFonts w:cs="Arial"/>
                <w:iCs/>
                <w:szCs w:val="24"/>
                <w:lang w:val="es-CO"/>
              </w:rPr>
              <w:t xml:space="preserve"> totales </w:t>
            </w:r>
            <w:r w:rsidRPr="00073C96">
              <w:rPr>
                <w:rFonts w:cs="Arial"/>
                <w:iCs/>
                <w:szCs w:val="24"/>
                <w:lang w:val="es-CO"/>
              </w:rPr>
              <w:t>Solar</w:t>
            </w:r>
            <w:r>
              <w:rPr>
                <w:rFonts w:cs="Arial"/>
                <w:iCs/>
                <w:szCs w:val="24"/>
                <w:lang w:val="es-CO"/>
              </w:rPr>
              <w:t xml:space="preserve">es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7044B85" w14:textId="77777777" w:rsidR="003032EB" w:rsidRDefault="003032EB" w:rsidP="00BB1AA3">
            <w:pPr>
              <w:jc w:val="center"/>
              <w:rPr>
                <w:rFonts w:cs="Arial"/>
                <w:iCs/>
                <w:szCs w:val="24"/>
                <w:lang w:val="es-CO"/>
              </w:rPr>
            </w:pPr>
          </w:p>
          <w:p w14:paraId="5AD1FEC3" w14:textId="77777777" w:rsidR="003032EB" w:rsidRDefault="003032EB" w:rsidP="00BB1AA3">
            <w:pPr>
              <w:jc w:val="center"/>
              <w:rPr>
                <w:rFonts w:cs="Arial"/>
                <w:iCs/>
                <w:szCs w:val="24"/>
                <w:lang w:val="es-CO"/>
              </w:rPr>
            </w:pPr>
            <w:r w:rsidRPr="00C1248D">
              <w:rPr>
                <w:rFonts w:cs="Arial"/>
                <w:iCs/>
                <w:szCs w:val="24"/>
                <w:lang w:val="es-CO"/>
              </w:rPr>
              <w:t>12.589.148</w:t>
            </w:r>
            <w:r>
              <w:rPr>
                <w:rFonts w:cs="Arial"/>
                <w:iCs/>
                <w:szCs w:val="24"/>
                <w:lang w:val="es-CO"/>
              </w:rPr>
              <w:t xml:space="preserve"> </w:t>
            </w:r>
            <w:r>
              <w:rPr>
                <w:rFonts w:cs="Arial"/>
                <w:iCs/>
                <w:szCs w:val="24"/>
                <w:lang w:val="es-MX"/>
              </w:rPr>
              <w:t>kWh/día</w:t>
            </w:r>
          </w:p>
          <w:p w14:paraId="452769B0" w14:textId="77777777" w:rsidR="003032EB" w:rsidRDefault="003032EB" w:rsidP="00BB1AA3">
            <w:pPr>
              <w:jc w:val="center"/>
              <w:rPr>
                <w:rFonts w:cs="Arial"/>
                <w:iCs/>
                <w:szCs w:val="24"/>
                <w:lang w:val="es-CO"/>
              </w:rPr>
            </w:pPr>
          </w:p>
          <w:p w14:paraId="140E5F87" w14:textId="77777777" w:rsidR="003032EB" w:rsidRDefault="003032EB" w:rsidP="00BB1AA3">
            <w:pPr>
              <w:jc w:val="center"/>
              <w:rPr>
                <w:rFonts w:cs="Arial"/>
                <w:iCs/>
                <w:szCs w:val="24"/>
                <w:lang w:val="es-CO"/>
              </w:rPr>
            </w:pPr>
            <w:r>
              <w:rPr>
                <w:rFonts w:cs="Arial"/>
                <w:iCs/>
                <w:szCs w:val="24"/>
                <w:lang w:val="es-CO"/>
              </w:rPr>
              <w:t xml:space="preserve">Corresponde a los </w:t>
            </w:r>
            <w:r>
              <w:rPr>
                <w:rFonts w:cs="Arial"/>
                <w:iCs/>
                <w:szCs w:val="24"/>
                <w:lang w:val="es-MX"/>
              </w:rPr>
              <w:t>kWh/día</w:t>
            </w:r>
            <w:r>
              <w:rPr>
                <w:rFonts w:cs="Arial"/>
                <w:iCs/>
                <w:szCs w:val="24"/>
                <w:lang w:val="es-CO"/>
              </w:rPr>
              <w:t xml:space="preserve"> de las que participaron con datos en sitio + el cambio en el factor de 0,8 de los que participaron sin datos en sitio. </w:t>
            </w:r>
          </w:p>
          <w:p w14:paraId="067388AD" w14:textId="77777777" w:rsidR="003032EB" w:rsidRDefault="003032EB" w:rsidP="00BB1AA3">
            <w:pPr>
              <w:jc w:val="center"/>
              <w:rPr>
                <w:rFonts w:cs="Arial"/>
                <w:iCs/>
                <w:szCs w:val="24"/>
                <w:lang w:val="es-CO"/>
              </w:rPr>
            </w:pPr>
          </w:p>
          <w:p w14:paraId="194F0507" w14:textId="77777777" w:rsidR="003032EB" w:rsidRPr="00C1248D" w:rsidRDefault="003032EB" w:rsidP="00BB1AA3">
            <w:pPr>
              <w:jc w:val="center"/>
              <w:rPr>
                <w:rFonts w:cs="Arial"/>
                <w:iCs/>
                <w:szCs w:val="24"/>
                <w:lang w:val="es-CO"/>
              </w:rPr>
            </w:pPr>
          </w:p>
        </w:tc>
      </w:tr>
      <w:tr w:rsidR="003032EB" w:rsidRPr="00C1248D" w14:paraId="2ADC41B5" w14:textId="77777777" w:rsidTr="00BB1AA3">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DA29DA" w14:textId="77777777" w:rsidR="003032EB" w:rsidRPr="00C1248D" w:rsidRDefault="003032EB" w:rsidP="00BB1AA3">
            <w:pPr>
              <w:jc w:val="center"/>
              <w:rPr>
                <w:rFonts w:cs="Arial"/>
                <w:iCs/>
                <w:szCs w:val="24"/>
                <w:lang w:val="es-CO"/>
              </w:rPr>
            </w:pPr>
            <w:r>
              <w:rPr>
                <w:rFonts w:cs="Arial"/>
                <w:iCs/>
                <w:szCs w:val="24"/>
                <w:lang w:val="es-MX"/>
              </w:rPr>
              <w:t>kWh/día</w:t>
            </w:r>
            <w:r w:rsidRPr="00C1248D">
              <w:rPr>
                <w:rFonts w:cs="Arial"/>
                <w:iCs/>
                <w:szCs w:val="24"/>
                <w:lang w:val="es-MX"/>
              </w:rPr>
              <w:t xml:space="preserve"> Solar</w:t>
            </w:r>
            <w:r>
              <w:rPr>
                <w:rFonts w:cs="Arial"/>
                <w:iCs/>
                <w:szCs w:val="24"/>
                <w:lang w:val="es-MX"/>
              </w:rPr>
              <w:t>es</w:t>
            </w:r>
            <w:r w:rsidRPr="00C1248D">
              <w:rPr>
                <w:rFonts w:cs="Arial"/>
                <w:iCs/>
                <w:szCs w:val="24"/>
                <w:lang w:val="es-MX"/>
              </w:rPr>
              <w:t xml:space="preserve"> para los que participaron sin datos en sitio</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284744D" w14:textId="77777777" w:rsidR="003032EB" w:rsidRDefault="003032EB" w:rsidP="00BB1AA3">
            <w:pPr>
              <w:jc w:val="center"/>
              <w:rPr>
                <w:rFonts w:cs="Arial"/>
                <w:iCs/>
                <w:szCs w:val="24"/>
                <w:lang w:val="es-MX"/>
              </w:rPr>
            </w:pPr>
            <w:r w:rsidRPr="00C1248D">
              <w:rPr>
                <w:rFonts w:cs="Arial"/>
                <w:iCs/>
                <w:szCs w:val="24"/>
                <w:lang w:val="es-CO"/>
              </w:rPr>
              <w:t>9.386.986</w:t>
            </w:r>
            <w:r>
              <w:rPr>
                <w:rFonts w:cs="Arial"/>
                <w:iCs/>
                <w:szCs w:val="24"/>
                <w:lang w:val="es-CO"/>
              </w:rPr>
              <w:t xml:space="preserve"> </w:t>
            </w:r>
            <w:r>
              <w:rPr>
                <w:rFonts w:cs="Arial"/>
                <w:iCs/>
                <w:szCs w:val="24"/>
                <w:lang w:val="es-MX"/>
              </w:rPr>
              <w:t>kWh/día</w:t>
            </w:r>
          </w:p>
          <w:p w14:paraId="6E6E7B39" w14:textId="77777777" w:rsidR="003032EB" w:rsidRDefault="003032EB" w:rsidP="00BB1AA3">
            <w:pPr>
              <w:jc w:val="center"/>
              <w:rPr>
                <w:rFonts w:cs="Arial"/>
                <w:iCs/>
                <w:szCs w:val="24"/>
                <w:lang w:val="es-MX"/>
              </w:rPr>
            </w:pPr>
          </w:p>
          <w:p w14:paraId="1F7A1DF7" w14:textId="77777777" w:rsidR="003032EB" w:rsidRPr="00C1248D" w:rsidRDefault="003032EB" w:rsidP="00BB1AA3">
            <w:pPr>
              <w:jc w:val="center"/>
              <w:rPr>
                <w:rFonts w:cs="Arial"/>
                <w:iCs/>
                <w:szCs w:val="24"/>
                <w:lang w:val="es-CO"/>
              </w:rPr>
            </w:pPr>
            <w:r>
              <w:rPr>
                <w:rFonts w:cs="Arial"/>
                <w:iCs/>
                <w:szCs w:val="24"/>
                <w:lang w:val="es-CO"/>
              </w:rPr>
              <w:t xml:space="preserve">Corresponde a los </w:t>
            </w:r>
            <w:r>
              <w:rPr>
                <w:rFonts w:cs="Arial"/>
                <w:iCs/>
                <w:szCs w:val="24"/>
                <w:lang w:val="es-MX"/>
              </w:rPr>
              <w:t>kWh/día</w:t>
            </w:r>
            <w:r>
              <w:rPr>
                <w:rFonts w:cs="Arial"/>
                <w:iCs/>
                <w:szCs w:val="24"/>
                <w:lang w:val="es-CO"/>
              </w:rPr>
              <w:t xml:space="preserve"> de las que participaron sin datos en sitio con un factor de 0,8</w:t>
            </w:r>
          </w:p>
        </w:tc>
      </w:tr>
      <w:tr w:rsidR="003032EB" w:rsidRPr="00C1248D" w14:paraId="4A8B4F37" w14:textId="77777777" w:rsidTr="00BB1AA3">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ED18056" w14:textId="77777777" w:rsidR="003032EB" w:rsidRDefault="003032EB" w:rsidP="00BB1AA3">
            <w:pPr>
              <w:jc w:val="center"/>
              <w:rPr>
                <w:rFonts w:cs="Arial"/>
                <w:iCs/>
                <w:szCs w:val="24"/>
                <w:lang w:val="es-MX"/>
              </w:rPr>
            </w:pPr>
            <w:r>
              <w:rPr>
                <w:rFonts w:cs="Arial"/>
                <w:iCs/>
                <w:szCs w:val="24"/>
                <w:lang w:val="es-MX"/>
              </w:rPr>
              <w:t xml:space="preserve">kWh/día - Aumento de </w:t>
            </w:r>
            <w:proofErr w:type="spellStart"/>
            <w:r>
              <w:rPr>
                <w:rFonts w:cs="Arial"/>
                <w:iCs/>
                <w:szCs w:val="24"/>
                <w:lang w:val="es-MX"/>
              </w:rPr>
              <w:t>ENFICC</w:t>
            </w:r>
            <w:proofErr w:type="spellEnd"/>
            <w:r>
              <w:rPr>
                <w:rFonts w:cs="Arial"/>
                <w:iCs/>
                <w:szCs w:val="24"/>
                <w:lang w:val="es-MX"/>
              </w:rPr>
              <w:t xml:space="preserve"> de solo los que participaron sin datos en sitio</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6355D4D" w14:textId="77777777" w:rsidR="003032EB" w:rsidRDefault="003032EB" w:rsidP="00BB1AA3">
            <w:pPr>
              <w:jc w:val="center"/>
              <w:rPr>
                <w:bCs/>
                <w:lang w:val="es-CO"/>
              </w:rPr>
            </w:pPr>
          </w:p>
          <w:p w14:paraId="684928B0" w14:textId="77777777" w:rsidR="003032EB" w:rsidRDefault="003032EB" w:rsidP="00BB1AA3">
            <w:pPr>
              <w:jc w:val="center"/>
              <w:rPr>
                <w:rFonts w:cs="Arial"/>
                <w:iCs/>
                <w:szCs w:val="24"/>
                <w:lang w:val="es-MX"/>
              </w:rPr>
            </w:pPr>
            <w:r>
              <w:rPr>
                <w:bCs/>
                <w:lang w:val="es-CO"/>
              </w:rPr>
              <w:t xml:space="preserve">2.286.503 </w:t>
            </w:r>
            <w:r>
              <w:rPr>
                <w:rFonts w:cs="Arial"/>
                <w:iCs/>
                <w:szCs w:val="24"/>
                <w:lang w:val="es-MX"/>
              </w:rPr>
              <w:t>kWh/día</w:t>
            </w:r>
          </w:p>
          <w:p w14:paraId="59AAE059" w14:textId="77777777" w:rsidR="003032EB" w:rsidRDefault="003032EB" w:rsidP="00BB1AA3">
            <w:pPr>
              <w:jc w:val="center"/>
              <w:rPr>
                <w:bCs/>
                <w:lang w:val="es-CO"/>
              </w:rPr>
            </w:pPr>
          </w:p>
          <w:p w14:paraId="0B6D8C34" w14:textId="77777777" w:rsidR="003032EB" w:rsidRDefault="003032EB" w:rsidP="00BB1AA3">
            <w:pPr>
              <w:jc w:val="center"/>
              <w:rPr>
                <w:rFonts w:cs="Arial"/>
                <w:iCs/>
                <w:szCs w:val="24"/>
                <w:lang w:val="es-CO"/>
              </w:rPr>
            </w:pPr>
            <w:r>
              <w:rPr>
                <w:rFonts w:cs="Arial"/>
                <w:iCs/>
                <w:szCs w:val="24"/>
                <w:lang w:val="es-CO"/>
              </w:rPr>
              <w:t xml:space="preserve">Corresponde a la </w:t>
            </w:r>
            <w:proofErr w:type="spellStart"/>
            <w:r>
              <w:rPr>
                <w:rFonts w:cs="Arial"/>
                <w:iCs/>
                <w:szCs w:val="24"/>
                <w:lang w:val="es-CO"/>
              </w:rPr>
              <w:t>ENFICC</w:t>
            </w:r>
            <w:proofErr w:type="spellEnd"/>
            <w:r>
              <w:rPr>
                <w:rFonts w:cs="Arial"/>
                <w:iCs/>
                <w:szCs w:val="24"/>
                <w:lang w:val="es-CO"/>
              </w:rPr>
              <w:t xml:space="preserve"> máxima probable (</w:t>
            </w:r>
            <w:r w:rsidRPr="00C1248D">
              <w:rPr>
                <w:rFonts w:cs="Arial"/>
                <w:iCs/>
                <w:szCs w:val="24"/>
                <w:lang w:val="es-CO"/>
              </w:rPr>
              <w:t>9.386.986</w:t>
            </w:r>
            <w:r>
              <w:rPr>
                <w:rFonts w:cs="Arial"/>
                <w:iCs/>
                <w:szCs w:val="24"/>
                <w:lang w:val="es-CO"/>
              </w:rPr>
              <w:t xml:space="preserve"> </w:t>
            </w:r>
            <w:r>
              <w:rPr>
                <w:rFonts w:cs="Arial"/>
                <w:iCs/>
                <w:szCs w:val="24"/>
                <w:lang w:val="es-MX"/>
              </w:rPr>
              <w:t>kWh/día</w:t>
            </w:r>
            <w:r>
              <w:rPr>
                <w:rFonts w:cs="Arial"/>
                <w:iCs/>
                <w:szCs w:val="24"/>
                <w:lang w:val="es-CO"/>
              </w:rPr>
              <w:t xml:space="preserve">) restándole la </w:t>
            </w:r>
            <w:proofErr w:type="spellStart"/>
            <w:r>
              <w:rPr>
                <w:rFonts w:cs="Arial"/>
                <w:iCs/>
                <w:szCs w:val="24"/>
                <w:lang w:val="es-CO"/>
              </w:rPr>
              <w:t>ENFICC</w:t>
            </w:r>
            <w:proofErr w:type="spellEnd"/>
            <w:r>
              <w:rPr>
                <w:rFonts w:cs="Arial"/>
                <w:iCs/>
                <w:szCs w:val="24"/>
                <w:lang w:val="es-CO"/>
              </w:rPr>
              <w:t xml:space="preserve"> máxima vigente de los que participaron sin datos en sitio (</w:t>
            </w:r>
            <w:r w:rsidRPr="00073C96">
              <w:rPr>
                <w:rFonts w:cs="Arial"/>
                <w:iCs/>
                <w:szCs w:val="24"/>
                <w:lang w:val="es-CO"/>
              </w:rPr>
              <w:t>7.100.483</w:t>
            </w:r>
            <w:r>
              <w:rPr>
                <w:rFonts w:cs="Arial"/>
                <w:iCs/>
                <w:szCs w:val="24"/>
                <w:lang w:val="es-CO"/>
              </w:rPr>
              <w:t xml:space="preserve"> </w:t>
            </w:r>
            <w:r>
              <w:rPr>
                <w:rFonts w:cs="Arial"/>
                <w:iCs/>
                <w:szCs w:val="24"/>
                <w:lang w:val="es-MX"/>
              </w:rPr>
              <w:t>kWh/día</w:t>
            </w:r>
            <w:r>
              <w:rPr>
                <w:rFonts w:cs="Arial"/>
                <w:iCs/>
                <w:szCs w:val="24"/>
                <w:lang w:val="es-CO"/>
              </w:rPr>
              <w:t>)</w:t>
            </w:r>
          </w:p>
          <w:p w14:paraId="04A86084" w14:textId="77777777" w:rsidR="003032EB" w:rsidRDefault="003032EB" w:rsidP="00BB1AA3">
            <w:pPr>
              <w:jc w:val="center"/>
              <w:rPr>
                <w:bCs/>
                <w:lang w:val="es-CO"/>
              </w:rPr>
            </w:pPr>
          </w:p>
        </w:tc>
      </w:tr>
      <w:tr w:rsidR="003032EB" w:rsidRPr="00C1248D" w14:paraId="029A84F8" w14:textId="77777777" w:rsidTr="00BB1AA3">
        <w:trPr>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D6AD1B6" w14:textId="77777777" w:rsidR="003032EB" w:rsidRDefault="003032EB" w:rsidP="00BB1AA3">
            <w:pPr>
              <w:jc w:val="center"/>
              <w:rPr>
                <w:rFonts w:cs="Arial"/>
                <w:iCs/>
                <w:szCs w:val="24"/>
                <w:lang w:val="es-MX"/>
              </w:rPr>
            </w:pPr>
            <w:proofErr w:type="spellStart"/>
            <w:r>
              <w:rPr>
                <w:rFonts w:cs="Arial"/>
                <w:iCs/>
                <w:szCs w:val="24"/>
                <w:lang w:val="es-MX"/>
              </w:rPr>
              <w:t>ENFICC</w:t>
            </w:r>
            <w:proofErr w:type="spellEnd"/>
            <w:r>
              <w:rPr>
                <w:rFonts w:cs="Arial"/>
                <w:iCs/>
                <w:szCs w:val="24"/>
                <w:lang w:val="es-MX"/>
              </w:rPr>
              <w:t xml:space="preserve"> disponible total</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5FC2010" w14:textId="77777777" w:rsidR="003032EB" w:rsidRDefault="003032EB" w:rsidP="00BB1AA3">
            <w:pPr>
              <w:jc w:val="center"/>
              <w:rPr>
                <w:bCs/>
                <w:lang w:val="es-CO"/>
              </w:rPr>
            </w:pPr>
          </w:p>
          <w:p w14:paraId="1466E3B3" w14:textId="77777777" w:rsidR="003032EB" w:rsidRDefault="003032EB" w:rsidP="00BB1AA3">
            <w:pPr>
              <w:jc w:val="center"/>
              <w:rPr>
                <w:bCs/>
                <w:lang w:val="es-CO"/>
              </w:rPr>
            </w:pPr>
            <w:r w:rsidRPr="00D469C2">
              <w:rPr>
                <w:bCs/>
                <w:lang w:val="es-CO"/>
              </w:rPr>
              <w:t>2.938.393 kWh</w:t>
            </w:r>
            <w:r>
              <w:rPr>
                <w:bCs/>
                <w:lang w:val="es-CO"/>
              </w:rPr>
              <w:t xml:space="preserve"> </w:t>
            </w:r>
            <w:r>
              <w:rPr>
                <w:rFonts w:cs="Arial"/>
                <w:iCs/>
                <w:szCs w:val="24"/>
                <w:lang w:val="es-MX"/>
              </w:rPr>
              <w:t>kWh/día</w:t>
            </w:r>
          </w:p>
          <w:p w14:paraId="4A3A145B" w14:textId="77777777" w:rsidR="003032EB" w:rsidRDefault="003032EB" w:rsidP="00BB1AA3">
            <w:pPr>
              <w:jc w:val="center"/>
              <w:rPr>
                <w:bCs/>
                <w:lang w:val="es-CO"/>
              </w:rPr>
            </w:pPr>
          </w:p>
          <w:p w14:paraId="312BC818" w14:textId="77777777" w:rsidR="003032EB" w:rsidRDefault="003032EB" w:rsidP="00BB1AA3">
            <w:pPr>
              <w:jc w:val="center"/>
              <w:rPr>
                <w:rFonts w:cs="Arial"/>
                <w:iCs/>
                <w:szCs w:val="24"/>
                <w:lang w:val="es-CO"/>
              </w:rPr>
            </w:pPr>
            <w:r>
              <w:rPr>
                <w:rFonts w:cs="Arial"/>
                <w:iCs/>
                <w:szCs w:val="24"/>
                <w:lang w:val="es-CO"/>
              </w:rPr>
              <w:t xml:space="preserve">Corresponde a la </w:t>
            </w:r>
            <w:proofErr w:type="spellStart"/>
            <w:r>
              <w:rPr>
                <w:rFonts w:cs="Arial"/>
                <w:iCs/>
                <w:szCs w:val="24"/>
                <w:lang w:val="es-CO"/>
              </w:rPr>
              <w:t>ENFICC</w:t>
            </w:r>
            <w:proofErr w:type="spellEnd"/>
            <w:r>
              <w:rPr>
                <w:rFonts w:cs="Arial"/>
                <w:iCs/>
                <w:szCs w:val="24"/>
                <w:lang w:val="es-CO"/>
              </w:rPr>
              <w:t xml:space="preserve"> total (</w:t>
            </w:r>
            <w:r w:rsidRPr="00273E57">
              <w:rPr>
                <w:rFonts w:cs="Arial"/>
                <w:iCs/>
                <w:szCs w:val="24"/>
                <w:lang w:val="es-CO"/>
              </w:rPr>
              <w:t>12.589.148</w:t>
            </w:r>
            <w:r>
              <w:rPr>
                <w:rFonts w:cs="Arial"/>
                <w:iCs/>
                <w:szCs w:val="24"/>
                <w:lang w:val="es-CO"/>
              </w:rPr>
              <w:t xml:space="preserve"> </w:t>
            </w:r>
            <w:r>
              <w:rPr>
                <w:rFonts w:cs="Arial"/>
                <w:iCs/>
                <w:szCs w:val="24"/>
                <w:lang w:val="es-MX"/>
              </w:rPr>
              <w:t>kWh/día</w:t>
            </w:r>
            <w:r>
              <w:rPr>
                <w:rFonts w:cs="Arial"/>
                <w:iCs/>
                <w:szCs w:val="24"/>
                <w:lang w:val="es-CO"/>
              </w:rPr>
              <w:t xml:space="preserve">) restándole la </w:t>
            </w:r>
            <w:proofErr w:type="spellStart"/>
            <w:r>
              <w:rPr>
                <w:rFonts w:cs="Arial"/>
                <w:iCs/>
                <w:szCs w:val="24"/>
                <w:lang w:val="es-CO"/>
              </w:rPr>
              <w:t>OEF</w:t>
            </w:r>
            <w:proofErr w:type="spellEnd"/>
            <w:r>
              <w:rPr>
                <w:rFonts w:cs="Arial"/>
                <w:iCs/>
                <w:szCs w:val="24"/>
                <w:lang w:val="es-CO"/>
              </w:rPr>
              <w:t xml:space="preserve"> actual asignada vigente (</w:t>
            </w:r>
            <w:r w:rsidRPr="00073C96">
              <w:rPr>
                <w:rFonts w:cs="Arial"/>
                <w:iCs/>
                <w:szCs w:val="24"/>
                <w:lang w:val="es-CO"/>
              </w:rPr>
              <w:t>9.650.755</w:t>
            </w:r>
            <w:r>
              <w:rPr>
                <w:rFonts w:cs="Arial"/>
                <w:iCs/>
                <w:szCs w:val="24"/>
                <w:lang w:val="es-CO"/>
              </w:rPr>
              <w:t xml:space="preserve"> </w:t>
            </w:r>
            <w:r>
              <w:rPr>
                <w:rFonts w:cs="Arial"/>
                <w:iCs/>
                <w:szCs w:val="24"/>
                <w:lang w:val="es-MX"/>
              </w:rPr>
              <w:t>kWh/día</w:t>
            </w:r>
            <w:r>
              <w:rPr>
                <w:rFonts w:cs="Arial"/>
                <w:iCs/>
                <w:szCs w:val="24"/>
                <w:lang w:val="es-CO"/>
              </w:rPr>
              <w:t>)</w:t>
            </w:r>
          </w:p>
          <w:p w14:paraId="77A7FCCF" w14:textId="77777777" w:rsidR="003032EB" w:rsidRDefault="003032EB" w:rsidP="00BB1AA3">
            <w:pPr>
              <w:jc w:val="center"/>
              <w:rPr>
                <w:rFonts w:cs="Arial"/>
                <w:iCs/>
                <w:szCs w:val="24"/>
                <w:lang w:val="es-CO"/>
              </w:rPr>
            </w:pPr>
          </w:p>
        </w:tc>
      </w:tr>
    </w:tbl>
    <w:p w14:paraId="7CEBC3A1" w14:textId="77777777" w:rsidR="003032EB" w:rsidRPr="00D469C2" w:rsidRDefault="003032EB" w:rsidP="003032EB"/>
    <w:p w14:paraId="7BBCF7C4" w14:textId="7F2D1289" w:rsidR="003032EB" w:rsidRDefault="003032EB" w:rsidP="003032EB">
      <w:r w:rsidRPr="00D469C2">
        <w:t xml:space="preserve">Con lo anterior se </w:t>
      </w:r>
      <w:r>
        <w:t>tuvo</w:t>
      </w:r>
      <w:r w:rsidRPr="00D469C2">
        <w:t xml:space="preserve"> un dato aproximado</w:t>
      </w:r>
      <w:r>
        <w:t xml:space="preserve"> de </w:t>
      </w:r>
      <w:r w:rsidR="00E357CA">
        <w:t xml:space="preserve">incremento </w:t>
      </w:r>
      <w:r>
        <w:t xml:space="preserve">de </w:t>
      </w:r>
      <w:proofErr w:type="spellStart"/>
      <w:r>
        <w:t>ENFICC</w:t>
      </w:r>
      <w:proofErr w:type="spellEnd"/>
      <w:r>
        <w:t xml:space="preserve"> disponible para nuevas asignaciones </w:t>
      </w:r>
      <w:r w:rsidR="00E357CA">
        <w:t xml:space="preserve">en los procesos de asignación </w:t>
      </w:r>
      <w:r>
        <w:t xml:space="preserve">del cargo por confiabilidad de </w:t>
      </w:r>
      <w:r w:rsidRPr="00D469C2">
        <w:rPr>
          <w:bCs/>
          <w:lang w:val="es-CO"/>
        </w:rPr>
        <w:t>2.938.393 kWh</w:t>
      </w:r>
      <w:r>
        <w:rPr>
          <w:bCs/>
          <w:lang w:val="es-CO"/>
        </w:rPr>
        <w:t>. Se aclara que este es un valor supuesto</w:t>
      </w:r>
      <w:r w:rsidRPr="00D469C2">
        <w:t xml:space="preserve">, puesto que </w:t>
      </w:r>
      <w:r>
        <w:t>actualmente</w:t>
      </w:r>
      <w:r w:rsidRPr="00D469C2">
        <w:t xml:space="preserve"> </w:t>
      </w:r>
      <w:r w:rsidRPr="00D469C2">
        <w:lastRenderedPageBreak/>
        <w:t>aplicaría la nueva metodología</w:t>
      </w:r>
      <w:r>
        <w:t xml:space="preserve"> y se obtendría un valor diferente que podría ser menor o mayor. </w:t>
      </w:r>
    </w:p>
    <w:p w14:paraId="1B7A09EC" w14:textId="77777777" w:rsidR="003032EB" w:rsidRPr="00D469C2" w:rsidRDefault="003032EB" w:rsidP="003032EB"/>
    <w:p w14:paraId="33DB75FB" w14:textId="77777777" w:rsidR="003032EB" w:rsidRDefault="003032EB" w:rsidP="003032EB">
      <w:pPr>
        <w:rPr>
          <w:rFonts w:cs="Arial"/>
          <w:iCs/>
          <w:szCs w:val="24"/>
          <w:highlight w:val="yellow"/>
        </w:rPr>
      </w:pPr>
    </w:p>
    <w:p w14:paraId="0549F075" w14:textId="77777777" w:rsidR="003032EB" w:rsidRDefault="003032EB" w:rsidP="003032EB">
      <w:pPr>
        <w:pStyle w:val="Ttulo1"/>
        <w:numPr>
          <w:ilvl w:val="0"/>
          <w:numId w:val="1"/>
        </w:numPr>
        <w:spacing w:after="0"/>
        <w:rPr>
          <w:rFonts w:cs="Arial"/>
          <w:szCs w:val="24"/>
        </w:rPr>
      </w:pPr>
      <w:bookmarkStart w:id="19" w:name="_Toc167802968"/>
      <w:r>
        <w:rPr>
          <w:rFonts w:cs="Arial"/>
          <w:szCs w:val="24"/>
        </w:rPr>
        <w:t>ANÁLISIS DE COMENTARIOS</w:t>
      </w:r>
      <w:bookmarkEnd w:id="19"/>
    </w:p>
    <w:p w14:paraId="009A7CEB" w14:textId="77777777" w:rsidR="003032EB" w:rsidRDefault="003032EB" w:rsidP="003032EB">
      <w:pPr>
        <w:pStyle w:val="Ttulo1"/>
        <w:numPr>
          <w:ilvl w:val="0"/>
          <w:numId w:val="0"/>
        </w:numPr>
        <w:spacing w:after="0"/>
        <w:rPr>
          <w:rFonts w:cs="Arial"/>
          <w:szCs w:val="24"/>
        </w:rPr>
      </w:pPr>
    </w:p>
    <w:p w14:paraId="41B6F0A1" w14:textId="77777777" w:rsidR="003032EB" w:rsidRDefault="003032EB" w:rsidP="003032EB">
      <w:r>
        <w:t>Una vez finalizó el proceso de consulta, se recibieron comentarios por parte de los siguientes interesados:</w:t>
      </w:r>
    </w:p>
    <w:p w14:paraId="223A1F3E" w14:textId="77777777" w:rsidR="003032EB" w:rsidRDefault="003032EB" w:rsidP="003032EB"/>
    <w:p w14:paraId="2ACD48CB" w14:textId="4E7DCA0D" w:rsidR="003032EB" w:rsidRDefault="003032EB" w:rsidP="003032EB">
      <w:pPr>
        <w:pStyle w:val="Descripcin"/>
        <w:rPr>
          <w:rFonts w:cs="Arial"/>
          <w:iCs w:val="0"/>
          <w:szCs w:val="24"/>
        </w:rPr>
      </w:pPr>
      <w:bookmarkStart w:id="20" w:name="_Toc167802975"/>
      <w:r>
        <w:t xml:space="preserve">Tabla </w:t>
      </w:r>
      <w:r>
        <w:fldChar w:fldCharType="begin"/>
      </w:r>
      <w:r>
        <w:instrText xml:space="preserve"> SEQ Tabla \* ARABIC </w:instrText>
      </w:r>
      <w:r>
        <w:fldChar w:fldCharType="separate"/>
      </w:r>
      <w:r w:rsidR="00E64A19">
        <w:rPr>
          <w:noProof/>
        </w:rPr>
        <w:t>5</w:t>
      </w:r>
      <w:r>
        <w:fldChar w:fldCharType="end"/>
      </w:r>
      <w:r>
        <w:t xml:space="preserve"> Lista de remitentes que enviaron comentarios a la consulta</w:t>
      </w:r>
      <w:bookmarkEnd w:id="20"/>
    </w:p>
    <w:tbl>
      <w:tblPr>
        <w:tblStyle w:val="Tablaconcuadrcula"/>
        <w:tblW w:w="6091" w:type="dxa"/>
        <w:jc w:val="center"/>
        <w:tblLook w:val="0420" w:firstRow="1" w:lastRow="0" w:firstColumn="0" w:lastColumn="0" w:noHBand="0" w:noVBand="1"/>
      </w:tblPr>
      <w:tblGrid>
        <w:gridCol w:w="3397"/>
        <w:gridCol w:w="2694"/>
      </w:tblGrid>
      <w:tr w:rsidR="003032EB" w:rsidRPr="00CE715C" w14:paraId="70F815AF" w14:textId="77777777" w:rsidTr="00BB1AA3">
        <w:trPr>
          <w:trHeight w:val="457"/>
          <w:jc w:val="center"/>
        </w:trPr>
        <w:tc>
          <w:tcPr>
            <w:tcW w:w="3397" w:type="dxa"/>
            <w:hideMark/>
          </w:tcPr>
          <w:p w14:paraId="206E6139" w14:textId="77777777" w:rsidR="003032EB" w:rsidRPr="00CE715C" w:rsidRDefault="003032EB" w:rsidP="00BB1AA3">
            <w:pPr>
              <w:rPr>
                <w:lang w:val="es-CO"/>
              </w:rPr>
            </w:pPr>
            <w:r w:rsidRPr="00CE715C">
              <w:rPr>
                <w:b/>
                <w:bCs/>
                <w:lang w:val="es-MX"/>
              </w:rPr>
              <w:t>Radicado</w:t>
            </w:r>
          </w:p>
        </w:tc>
        <w:tc>
          <w:tcPr>
            <w:tcW w:w="2694" w:type="dxa"/>
            <w:hideMark/>
          </w:tcPr>
          <w:p w14:paraId="45949A81" w14:textId="77777777" w:rsidR="003032EB" w:rsidRPr="00CE715C" w:rsidRDefault="003032EB" w:rsidP="00BB1AA3">
            <w:pPr>
              <w:rPr>
                <w:lang w:val="es-CO"/>
              </w:rPr>
            </w:pPr>
            <w:r w:rsidRPr="00CE715C">
              <w:rPr>
                <w:b/>
                <w:bCs/>
                <w:lang w:val="es-MX"/>
              </w:rPr>
              <w:t>Remitente</w:t>
            </w:r>
          </w:p>
        </w:tc>
      </w:tr>
      <w:tr w:rsidR="003032EB" w:rsidRPr="00CE715C" w14:paraId="641F5141" w14:textId="77777777" w:rsidTr="00BB1AA3">
        <w:trPr>
          <w:trHeight w:val="407"/>
          <w:jc w:val="center"/>
        </w:trPr>
        <w:tc>
          <w:tcPr>
            <w:tcW w:w="3397" w:type="dxa"/>
            <w:hideMark/>
          </w:tcPr>
          <w:p w14:paraId="7864DE12" w14:textId="77777777" w:rsidR="003032EB" w:rsidRPr="00CE715C" w:rsidRDefault="003032EB" w:rsidP="00BB1AA3">
            <w:pPr>
              <w:rPr>
                <w:lang w:val="es-CO"/>
              </w:rPr>
            </w:pPr>
            <w:proofErr w:type="spellStart"/>
            <w:r w:rsidRPr="00CE715C">
              <w:rPr>
                <w:lang w:val="es-CO"/>
              </w:rPr>
              <w:t>E2024006472</w:t>
            </w:r>
            <w:proofErr w:type="spellEnd"/>
          </w:p>
        </w:tc>
        <w:tc>
          <w:tcPr>
            <w:tcW w:w="2694" w:type="dxa"/>
            <w:hideMark/>
          </w:tcPr>
          <w:p w14:paraId="50A85059" w14:textId="77777777" w:rsidR="003032EB" w:rsidRPr="00CE715C" w:rsidRDefault="003032EB" w:rsidP="00BB1AA3">
            <w:pPr>
              <w:rPr>
                <w:lang w:val="es-CO"/>
              </w:rPr>
            </w:pPr>
            <w:proofErr w:type="spellStart"/>
            <w:r w:rsidRPr="00CE715C">
              <w:rPr>
                <w:lang w:val="es-CO"/>
              </w:rPr>
              <w:t>TERMOCARTAGENA</w:t>
            </w:r>
            <w:proofErr w:type="spellEnd"/>
            <w:r w:rsidRPr="00CE715C">
              <w:rPr>
                <w:lang w:val="es-CO"/>
              </w:rPr>
              <w:t xml:space="preserve"> </w:t>
            </w:r>
          </w:p>
        </w:tc>
      </w:tr>
      <w:tr w:rsidR="003032EB" w:rsidRPr="00CE715C" w14:paraId="19274AB1" w14:textId="77777777" w:rsidTr="00BB1AA3">
        <w:trPr>
          <w:trHeight w:val="271"/>
          <w:jc w:val="center"/>
        </w:trPr>
        <w:tc>
          <w:tcPr>
            <w:tcW w:w="3397" w:type="dxa"/>
            <w:hideMark/>
          </w:tcPr>
          <w:p w14:paraId="207D0C2C" w14:textId="77777777" w:rsidR="003032EB" w:rsidRPr="00CE715C" w:rsidRDefault="003032EB" w:rsidP="00BB1AA3">
            <w:pPr>
              <w:rPr>
                <w:lang w:val="es-CO"/>
              </w:rPr>
            </w:pPr>
            <w:proofErr w:type="spellStart"/>
            <w:r w:rsidRPr="00CE715C">
              <w:rPr>
                <w:lang w:val="es-CO"/>
              </w:rPr>
              <w:t>E2024006586</w:t>
            </w:r>
            <w:proofErr w:type="spellEnd"/>
            <w:r w:rsidRPr="00CE715C">
              <w:rPr>
                <w:lang w:val="es-CO"/>
              </w:rPr>
              <w:t>/</w:t>
            </w:r>
            <w:proofErr w:type="spellStart"/>
            <w:r w:rsidRPr="00CE715C">
              <w:rPr>
                <w:lang w:val="es-CO"/>
              </w:rPr>
              <w:t>E2024006689</w:t>
            </w:r>
            <w:proofErr w:type="spellEnd"/>
          </w:p>
        </w:tc>
        <w:tc>
          <w:tcPr>
            <w:tcW w:w="2694" w:type="dxa"/>
            <w:hideMark/>
          </w:tcPr>
          <w:p w14:paraId="7848BA7D" w14:textId="77777777" w:rsidR="003032EB" w:rsidRPr="00CE715C" w:rsidRDefault="003032EB" w:rsidP="00BB1AA3">
            <w:pPr>
              <w:rPr>
                <w:lang w:val="es-CO"/>
              </w:rPr>
            </w:pPr>
            <w:proofErr w:type="spellStart"/>
            <w:r w:rsidRPr="00CE715C">
              <w:rPr>
                <w:lang w:val="es-MX"/>
              </w:rPr>
              <w:t>SSPD</w:t>
            </w:r>
            <w:proofErr w:type="spellEnd"/>
          </w:p>
        </w:tc>
      </w:tr>
      <w:tr w:rsidR="003032EB" w:rsidRPr="00CE715C" w14:paraId="5C5B2FC2" w14:textId="77777777" w:rsidTr="00BB1AA3">
        <w:trPr>
          <w:trHeight w:val="275"/>
          <w:jc w:val="center"/>
        </w:trPr>
        <w:tc>
          <w:tcPr>
            <w:tcW w:w="3397" w:type="dxa"/>
            <w:hideMark/>
          </w:tcPr>
          <w:p w14:paraId="136936C1" w14:textId="77777777" w:rsidR="003032EB" w:rsidRPr="00CE715C" w:rsidRDefault="003032EB" w:rsidP="00BB1AA3">
            <w:pPr>
              <w:rPr>
                <w:lang w:val="es-CO"/>
              </w:rPr>
            </w:pPr>
            <w:proofErr w:type="spellStart"/>
            <w:r w:rsidRPr="00CE715C">
              <w:rPr>
                <w:lang w:val="es-CO"/>
              </w:rPr>
              <w:t>E2024006590</w:t>
            </w:r>
            <w:proofErr w:type="spellEnd"/>
          </w:p>
        </w:tc>
        <w:tc>
          <w:tcPr>
            <w:tcW w:w="2694" w:type="dxa"/>
            <w:hideMark/>
          </w:tcPr>
          <w:p w14:paraId="46664468" w14:textId="77777777" w:rsidR="003032EB" w:rsidRPr="00CE715C" w:rsidRDefault="003032EB" w:rsidP="00BB1AA3">
            <w:pPr>
              <w:rPr>
                <w:lang w:val="es-CO"/>
              </w:rPr>
            </w:pPr>
            <w:proofErr w:type="spellStart"/>
            <w:r w:rsidRPr="00CE715C">
              <w:rPr>
                <w:lang w:val="es-MX"/>
              </w:rPr>
              <w:t>ANDESCO</w:t>
            </w:r>
            <w:proofErr w:type="spellEnd"/>
          </w:p>
        </w:tc>
      </w:tr>
      <w:tr w:rsidR="003032EB" w:rsidRPr="00CE715C" w14:paraId="3E20E68E" w14:textId="77777777" w:rsidTr="00BB1AA3">
        <w:trPr>
          <w:trHeight w:val="279"/>
          <w:jc w:val="center"/>
        </w:trPr>
        <w:tc>
          <w:tcPr>
            <w:tcW w:w="3397" w:type="dxa"/>
            <w:hideMark/>
          </w:tcPr>
          <w:p w14:paraId="3144077C" w14:textId="77777777" w:rsidR="003032EB" w:rsidRPr="00CE715C" w:rsidRDefault="003032EB" w:rsidP="00BB1AA3">
            <w:pPr>
              <w:rPr>
                <w:lang w:val="es-CO"/>
              </w:rPr>
            </w:pPr>
            <w:proofErr w:type="spellStart"/>
            <w:r w:rsidRPr="00CE715C">
              <w:rPr>
                <w:lang w:val="es-CO"/>
              </w:rPr>
              <w:t>E2024006655</w:t>
            </w:r>
            <w:proofErr w:type="spellEnd"/>
          </w:p>
        </w:tc>
        <w:tc>
          <w:tcPr>
            <w:tcW w:w="2694" w:type="dxa"/>
            <w:hideMark/>
          </w:tcPr>
          <w:p w14:paraId="19DFEA01" w14:textId="77777777" w:rsidR="003032EB" w:rsidRPr="00CE715C" w:rsidRDefault="003032EB" w:rsidP="00BB1AA3">
            <w:pPr>
              <w:rPr>
                <w:lang w:val="es-CO"/>
              </w:rPr>
            </w:pPr>
            <w:r w:rsidRPr="00CE715C">
              <w:rPr>
                <w:lang w:val="es-MX"/>
              </w:rPr>
              <w:t>ENEL</w:t>
            </w:r>
          </w:p>
        </w:tc>
      </w:tr>
      <w:tr w:rsidR="003032EB" w:rsidRPr="00CE715C" w14:paraId="56674BCB" w14:textId="77777777" w:rsidTr="00BB1AA3">
        <w:trPr>
          <w:trHeight w:val="270"/>
          <w:jc w:val="center"/>
        </w:trPr>
        <w:tc>
          <w:tcPr>
            <w:tcW w:w="3397" w:type="dxa"/>
            <w:hideMark/>
          </w:tcPr>
          <w:p w14:paraId="0F39A649" w14:textId="77777777" w:rsidR="003032EB" w:rsidRPr="00CE715C" w:rsidRDefault="003032EB" w:rsidP="00BB1AA3">
            <w:pPr>
              <w:rPr>
                <w:lang w:val="es-CO"/>
              </w:rPr>
            </w:pPr>
            <w:proofErr w:type="spellStart"/>
            <w:r w:rsidRPr="00CE715C">
              <w:rPr>
                <w:lang w:val="es-CO"/>
              </w:rPr>
              <w:t>E2024006659</w:t>
            </w:r>
            <w:proofErr w:type="spellEnd"/>
          </w:p>
        </w:tc>
        <w:tc>
          <w:tcPr>
            <w:tcW w:w="2694" w:type="dxa"/>
            <w:hideMark/>
          </w:tcPr>
          <w:p w14:paraId="31AD0A0C" w14:textId="77777777" w:rsidR="003032EB" w:rsidRPr="00CE715C" w:rsidRDefault="003032EB" w:rsidP="00BB1AA3">
            <w:pPr>
              <w:rPr>
                <w:lang w:val="es-CO"/>
              </w:rPr>
            </w:pPr>
            <w:proofErr w:type="spellStart"/>
            <w:r w:rsidRPr="00CE715C">
              <w:rPr>
                <w:lang w:val="es-MX"/>
              </w:rPr>
              <w:t>TEBSA</w:t>
            </w:r>
            <w:proofErr w:type="spellEnd"/>
          </w:p>
        </w:tc>
      </w:tr>
      <w:tr w:rsidR="003032EB" w:rsidRPr="00CE715C" w14:paraId="3AF18654" w14:textId="77777777" w:rsidTr="00BB1AA3">
        <w:trPr>
          <w:trHeight w:val="273"/>
          <w:jc w:val="center"/>
        </w:trPr>
        <w:tc>
          <w:tcPr>
            <w:tcW w:w="3397" w:type="dxa"/>
            <w:hideMark/>
          </w:tcPr>
          <w:p w14:paraId="53D397FE" w14:textId="77777777" w:rsidR="003032EB" w:rsidRPr="00CE715C" w:rsidRDefault="003032EB" w:rsidP="00BB1AA3">
            <w:pPr>
              <w:rPr>
                <w:lang w:val="es-CO"/>
              </w:rPr>
            </w:pPr>
            <w:proofErr w:type="spellStart"/>
            <w:r w:rsidRPr="00CE715C">
              <w:rPr>
                <w:lang w:val="es-CO"/>
              </w:rPr>
              <w:t>E2024006669</w:t>
            </w:r>
            <w:proofErr w:type="spellEnd"/>
          </w:p>
        </w:tc>
        <w:tc>
          <w:tcPr>
            <w:tcW w:w="2694" w:type="dxa"/>
            <w:hideMark/>
          </w:tcPr>
          <w:p w14:paraId="777ABEAA" w14:textId="77777777" w:rsidR="003032EB" w:rsidRPr="00CE715C" w:rsidRDefault="003032EB" w:rsidP="00BB1AA3">
            <w:pPr>
              <w:rPr>
                <w:lang w:val="es-CO"/>
              </w:rPr>
            </w:pPr>
            <w:proofErr w:type="spellStart"/>
            <w:r w:rsidRPr="00CE715C">
              <w:rPr>
                <w:lang w:val="es-MX"/>
              </w:rPr>
              <w:t>ISAGEN</w:t>
            </w:r>
            <w:proofErr w:type="spellEnd"/>
          </w:p>
        </w:tc>
      </w:tr>
      <w:tr w:rsidR="003032EB" w:rsidRPr="00CE715C" w14:paraId="40F58CA4" w14:textId="77777777" w:rsidTr="00BB1AA3">
        <w:trPr>
          <w:trHeight w:val="263"/>
          <w:jc w:val="center"/>
        </w:trPr>
        <w:tc>
          <w:tcPr>
            <w:tcW w:w="3397" w:type="dxa"/>
            <w:hideMark/>
          </w:tcPr>
          <w:p w14:paraId="5EBB270B" w14:textId="77777777" w:rsidR="003032EB" w:rsidRPr="00CE715C" w:rsidRDefault="003032EB" w:rsidP="00BB1AA3">
            <w:pPr>
              <w:rPr>
                <w:lang w:val="es-CO"/>
              </w:rPr>
            </w:pPr>
            <w:proofErr w:type="spellStart"/>
            <w:r w:rsidRPr="00CE715C">
              <w:rPr>
                <w:lang w:val="es-CO"/>
              </w:rPr>
              <w:t>E2024006688</w:t>
            </w:r>
            <w:proofErr w:type="spellEnd"/>
          </w:p>
        </w:tc>
        <w:tc>
          <w:tcPr>
            <w:tcW w:w="2694" w:type="dxa"/>
            <w:hideMark/>
          </w:tcPr>
          <w:p w14:paraId="4CD5CBBA" w14:textId="77777777" w:rsidR="003032EB" w:rsidRPr="00CE715C" w:rsidRDefault="003032EB" w:rsidP="00BB1AA3">
            <w:pPr>
              <w:rPr>
                <w:lang w:val="es-CO"/>
              </w:rPr>
            </w:pPr>
            <w:r w:rsidRPr="00CE715C">
              <w:rPr>
                <w:lang w:val="es-MX"/>
              </w:rPr>
              <w:t>EPM</w:t>
            </w:r>
          </w:p>
        </w:tc>
      </w:tr>
      <w:tr w:rsidR="003032EB" w:rsidRPr="00CE715C" w14:paraId="06123467" w14:textId="77777777" w:rsidTr="00BB1AA3">
        <w:trPr>
          <w:trHeight w:val="263"/>
          <w:jc w:val="center"/>
        </w:trPr>
        <w:tc>
          <w:tcPr>
            <w:tcW w:w="3397" w:type="dxa"/>
          </w:tcPr>
          <w:p w14:paraId="272142E6" w14:textId="77777777" w:rsidR="003032EB" w:rsidRPr="00CE715C" w:rsidRDefault="003032EB" w:rsidP="00BB1AA3">
            <w:pPr>
              <w:rPr>
                <w:lang w:val="es-CO"/>
              </w:rPr>
            </w:pPr>
            <w:proofErr w:type="spellStart"/>
            <w:r w:rsidRPr="004171A1">
              <w:t>E2024006707</w:t>
            </w:r>
            <w:proofErr w:type="spellEnd"/>
          </w:p>
        </w:tc>
        <w:tc>
          <w:tcPr>
            <w:tcW w:w="2694" w:type="dxa"/>
          </w:tcPr>
          <w:p w14:paraId="42104ACB" w14:textId="77777777" w:rsidR="003032EB" w:rsidRPr="00CE715C" w:rsidRDefault="003032EB" w:rsidP="00BB1AA3">
            <w:pPr>
              <w:rPr>
                <w:lang w:val="es-MX"/>
              </w:rPr>
            </w:pPr>
            <w:proofErr w:type="spellStart"/>
            <w:r>
              <w:rPr>
                <w:lang w:val="es-MX"/>
              </w:rPr>
              <w:t>ACOLGEN</w:t>
            </w:r>
            <w:proofErr w:type="spellEnd"/>
          </w:p>
        </w:tc>
      </w:tr>
      <w:tr w:rsidR="003032EB" w:rsidRPr="00CE715C" w14:paraId="0010C435" w14:textId="77777777" w:rsidTr="00BB1AA3">
        <w:trPr>
          <w:trHeight w:val="263"/>
          <w:jc w:val="center"/>
        </w:trPr>
        <w:tc>
          <w:tcPr>
            <w:tcW w:w="3397" w:type="dxa"/>
          </w:tcPr>
          <w:p w14:paraId="0371010E" w14:textId="77777777" w:rsidR="003032EB" w:rsidRPr="004171A1" w:rsidRDefault="003032EB" w:rsidP="00BB1AA3">
            <w:proofErr w:type="spellStart"/>
            <w:r w:rsidRPr="004171A1">
              <w:t>E2024006712</w:t>
            </w:r>
            <w:proofErr w:type="spellEnd"/>
            <w:r w:rsidRPr="004171A1">
              <w:t>/</w:t>
            </w:r>
            <w:proofErr w:type="spellStart"/>
            <w:r w:rsidRPr="004171A1">
              <w:t>E2024006713</w:t>
            </w:r>
            <w:proofErr w:type="spellEnd"/>
          </w:p>
        </w:tc>
        <w:tc>
          <w:tcPr>
            <w:tcW w:w="2694" w:type="dxa"/>
          </w:tcPr>
          <w:p w14:paraId="21421AF4" w14:textId="77777777" w:rsidR="003032EB" w:rsidRDefault="003032EB" w:rsidP="00BB1AA3">
            <w:pPr>
              <w:rPr>
                <w:lang w:val="es-MX"/>
              </w:rPr>
            </w:pPr>
            <w:r w:rsidRPr="004171A1">
              <w:rPr>
                <w:lang w:val="es-MX"/>
              </w:rPr>
              <w:t>SER COLOMBIA</w:t>
            </w:r>
          </w:p>
        </w:tc>
      </w:tr>
      <w:tr w:rsidR="003032EB" w:rsidRPr="00CE715C" w14:paraId="538D2DF1" w14:textId="77777777" w:rsidTr="00BB1AA3">
        <w:trPr>
          <w:trHeight w:val="263"/>
          <w:jc w:val="center"/>
        </w:trPr>
        <w:tc>
          <w:tcPr>
            <w:tcW w:w="3397" w:type="dxa"/>
          </w:tcPr>
          <w:p w14:paraId="1E43D642" w14:textId="77777777" w:rsidR="003032EB" w:rsidRPr="004171A1" w:rsidRDefault="003032EB" w:rsidP="00BB1AA3">
            <w:proofErr w:type="spellStart"/>
            <w:r w:rsidRPr="004B7DA9">
              <w:t>E2024006714</w:t>
            </w:r>
            <w:proofErr w:type="spellEnd"/>
            <w:r w:rsidRPr="004B7DA9">
              <w:t>/</w:t>
            </w:r>
            <w:proofErr w:type="spellStart"/>
            <w:r w:rsidRPr="004B7DA9">
              <w:t>E2024006715</w:t>
            </w:r>
            <w:proofErr w:type="spellEnd"/>
          </w:p>
        </w:tc>
        <w:tc>
          <w:tcPr>
            <w:tcW w:w="2694" w:type="dxa"/>
          </w:tcPr>
          <w:p w14:paraId="2B7F73E0" w14:textId="77777777" w:rsidR="003032EB" w:rsidRPr="004171A1" w:rsidRDefault="003032EB" w:rsidP="00BB1AA3">
            <w:pPr>
              <w:rPr>
                <w:lang w:val="es-MX"/>
              </w:rPr>
            </w:pPr>
            <w:proofErr w:type="spellStart"/>
            <w:r>
              <w:rPr>
                <w:lang w:val="es-MX"/>
              </w:rPr>
              <w:t>XM</w:t>
            </w:r>
            <w:proofErr w:type="spellEnd"/>
          </w:p>
        </w:tc>
      </w:tr>
      <w:tr w:rsidR="003032EB" w:rsidRPr="00CE715C" w14:paraId="0281531F" w14:textId="77777777" w:rsidTr="00BB1AA3">
        <w:trPr>
          <w:trHeight w:val="263"/>
          <w:jc w:val="center"/>
        </w:trPr>
        <w:tc>
          <w:tcPr>
            <w:tcW w:w="3397" w:type="dxa"/>
          </w:tcPr>
          <w:p w14:paraId="6A286106" w14:textId="77777777" w:rsidR="003032EB" w:rsidRPr="004B7DA9" w:rsidRDefault="003032EB" w:rsidP="00BB1AA3">
            <w:proofErr w:type="spellStart"/>
            <w:r w:rsidRPr="004B7DA9">
              <w:rPr>
                <w:lang w:val="es-CO"/>
              </w:rPr>
              <w:t>E2024006716</w:t>
            </w:r>
            <w:proofErr w:type="spellEnd"/>
            <w:r w:rsidRPr="004B7DA9">
              <w:rPr>
                <w:lang w:val="es-CO"/>
              </w:rPr>
              <w:t>/</w:t>
            </w:r>
            <w:proofErr w:type="spellStart"/>
            <w:r w:rsidRPr="004B7DA9">
              <w:rPr>
                <w:lang w:val="es-CO"/>
              </w:rPr>
              <w:t>E2024006717</w:t>
            </w:r>
            <w:proofErr w:type="spellEnd"/>
          </w:p>
        </w:tc>
        <w:tc>
          <w:tcPr>
            <w:tcW w:w="2694" w:type="dxa"/>
          </w:tcPr>
          <w:p w14:paraId="2A1F014B" w14:textId="77777777" w:rsidR="003032EB" w:rsidRDefault="003032EB" w:rsidP="00BB1AA3">
            <w:pPr>
              <w:rPr>
                <w:lang w:val="es-MX"/>
              </w:rPr>
            </w:pPr>
            <w:proofErr w:type="spellStart"/>
            <w:r>
              <w:rPr>
                <w:lang w:val="es-MX"/>
              </w:rPr>
              <w:t>EDP</w:t>
            </w:r>
            <w:proofErr w:type="spellEnd"/>
          </w:p>
        </w:tc>
      </w:tr>
      <w:tr w:rsidR="003032EB" w:rsidRPr="00CE715C" w14:paraId="105DEDD2" w14:textId="77777777" w:rsidTr="00BB1AA3">
        <w:trPr>
          <w:trHeight w:val="263"/>
          <w:jc w:val="center"/>
        </w:trPr>
        <w:tc>
          <w:tcPr>
            <w:tcW w:w="3397" w:type="dxa"/>
          </w:tcPr>
          <w:p w14:paraId="365E7A91" w14:textId="77777777" w:rsidR="003032EB" w:rsidRPr="004B7DA9" w:rsidRDefault="003032EB" w:rsidP="00BB1AA3">
            <w:pPr>
              <w:rPr>
                <w:lang w:val="es-CO"/>
              </w:rPr>
            </w:pPr>
            <w:proofErr w:type="spellStart"/>
            <w:r w:rsidRPr="00E216A3">
              <w:t>E2024006701</w:t>
            </w:r>
            <w:proofErr w:type="spellEnd"/>
          </w:p>
        </w:tc>
        <w:tc>
          <w:tcPr>
            <w:tcW w:w="2694" w:type="dxa"/>
          </w:tcPr>
          <w:p w14:paraId="6190F042" w14:textId="77777777" w:rsidR="003032EB" w:rsidRDefault="003032EB" w:rsidP="00BB1AA3">
            <w:pPr>
              <w:rPr>
                <w:lang w:val="es-MX"/>
              </w:rPr>
            </w:pPr>
            <w:r>
              <w:rPr>
                <w:lang w:val="es-MX"/>
              </w:rPr>
              <w:t>CELSIA</w:t>
            </w:r>
          </w:p>
        </w:tc>
      </w:tr>
    </w:tbl>
    <w:p w14:paraId="7E793C98" w14:textId="77777777" w:rsidR="003032EB" w:rsidRDefault="003032EB" w:rsidP="003032EB"/>
    <w:p w14:paraId="02556D34" w14:textId="77777777" w:rsidR="003032EB" w:rsidRDefault="003032EB" w:rsidP="003032EB">
      <w:r>
        <w:t>Ahora bien, a continuación, se presenta el análisis y respuesta de los comentarios:</w:t>
      </w:r>
    </w:p>
    <w:p w14:paraId="224B0563" w14:textId="77777777" w:rsidR="003032EB" w:rsidRDefault="003032EB" w:rsidP="003032EB"/>
    <w:tbl>
      <w:tblPr>
        <w:tblStyle w:val="Tablaconcuadrcula"/>
        <w:tblW w:w="9351" w:type="dxa"/>
        <w:tblLook w:val="0420" w:firstRow="1" w:lastRow="0" w:firstColumn="0" w:lastColumn="0" w:noHBand="0" w:noVBand="1"/>
      </w:tblPr>
      <w:tblGrid>
        <w:gridCol w:w="4390"/>
        <w:gridCol w:w="4961"/>
      </w:tblGrid>
      <w:tr w:rsidR="003032EB" w:rsidRPr="00F17952" w14:paraId="42476812" w14:textId="77777777" w:rsidTr="00BB1AA3">
        <w:trPr>
          <w:trHeight w:val="584"/>
        </w:trPr>
        <w:tc>
          <w:tcPr>
            <w:tcW w:w="4390" w:type="dxa"/>
            <w:hideMark/>
          </w:tcPr>
          <w:p w14:paraId="331A61DD" w14:textId="77777777" w:rsidR="003032EB" w:rsidRPr="00F17952" w:rsidRDefault="003032EB" w:rsidP="00BB1AA3">
            <w:pPr>
              <w:jc w:val="center"/>
              <w:rPr>
                <w:lang w:val="es-CO"/>
              </w:rPr>
            </w:pPr>
            <w:r w:rsidRPr="00F17952">
              <w:rPr>
                <w:b/>
                <w:bCs/>
                <w:lang w:val="es-MX"/>
              </w:rPr>
              <w:t>Comentario</w:t>
            </w:r>
          </w:p>
        </w:tc>
        <w:tc>
          <w:tcPr>
            <w:tcW w:w="4961" w:type="dxa"/>
            <w:hideMark/>
          </w:tcPr>
          <w:p w14:paraId="16291CED" w14:textId="77777777" w:rsidR="003032EB" w:rsidRPr="00F17952" w:rsidRDefault="003032EB" w:rsidP="00BB1AA3">
            <w:pPr>
              <w:jc w:val="center"/>
              <w:rPr>
                <w:lang w:val="es-CO"/>
              </w:rPr>
            </w:pPr>
            <w:r w:rsidRPr="00F17952">
              <w:rPr>
                <w:b/>
                <w:bCs/>
                <w:lang w:val="es-MX"/>
              </w:rPr>
              <w:t>Respuesta</w:t>
            </w:r>
          </w:p>
        </w:tc>
      </w:tr>
      <w:tr w:rsidR="003032EB" w:rsidRPr="00F17952" w14:paraId="2188CE6C" w14:textId="77777777" w:rsidTr="00BB1AA3">
        <w:trPr>
          <w:trHeight w:val="584"/>
        </w:trPr>
        <w:tc>
          <w:tcPr>
            <w:tcW w:w="4390" w:type="dxa"/>
            <w:hideMark/>
          </w:tcPr>
          <w:p w14:paraId="48704850" w14:textId="77777777" w:rsidR="003032EB" w:rsidRPr="00F17952" w:rsidRDefault="003032EB" w:rsidP="00BB1AA3">
            <w:pPr>
              <w:rPr>
                <w:lang w:val="es-CO"/>
              </w:rPr>
            </w:pPr>
            <w:r>
              <w:rPr>
                <w:lang w:val="es-MX"/>
              </w:rPr>
              <w:t>El cambio es de</w:t>
            </w:r>
            <w:r w:rsidRPr="00F17952">
              <w:rPr>
                <w:lang w:val="es-MX"/>
              </w:rPr>
              <w:t xml:space="preserve"> </w:t>
            </w:r>
            <w:r>
              <w:rPr>
                <w:lang w:val="es-MX"/>
              </w:rPr>
              <w:t>riesgo</w:t>
            </w:r>
            <w:r w:rsidRPr="00F17952">
              <w:rPr>
                <w:lang w:val="es-MX"/>
              </w:rPr>
              <w:t xml:space="preserve">, esas plantas no ayudan en confiabilidad. Solo pueden ofrecer energía durante unas horas del día dependiendo del recurso. </w:t>
            </w:r>
            <w:r>
              <w:rPr>
                <w:lang w:val="es-MX"/>
              </w:rPr>
              <w:t>N</w:t>
            </w:r>
            <w:r w:rsidRPr="00F17952">
              <w:rPr>
                <w:lang w:val="es-MX"/>
              </w:rPr>
              <w:t>o se considera nubosidad.</w:t>
            </w:r>
          </w:p>
        </w:tc>
        <w:tc>
          <w:tcPr>
            <w:tcW w:w="4961" w:type="dxa"/>
            <w:vMerge w:val="restart"/>
            <w:hideMark/>
          </w:tcPr>
          <w:p w14:paraId="169313BC" w14:textId="1A8C05C8" w:rsidR="003032EB" w:rsidRDefault="003032EB" w:rsidP="00BB1AA3">
            <w:pPr>
              <w:rPr>
                <w:lang w:val="es-MX"/>
              </w:rPr>
            </w:pPr>
            <w:r w:rsidRPr="00F17952">
              <w:rPr>
                <w:lang w:val="es-MX"/>
              </w:rPr>
              <w:t xml:space="preserve">No se </w:t>
            </w:r>
            <w:r w:rsidR="00E357CA">
              <w:rPr>
                <w:lang w:val="es-MX"/>
              </w:rPr>
              <w:t xml:space="preserve">considera pertinente ajustar la propuesta por dichos </w:t>
            </w:r>
            <w:r w:rsidRPr="00F17952">
              <w:rPr>
                <w:lang w:val="es-MX"/>
              </w:rPr>
              <w:t>comentarios</w:t>
            </w:r>
            <w:r w:rsidR="00E357CA">
              <w:rPr>
                <w:lang w:val="es-MX"/>
              </w:rPr>
              <w:t xml:space="preserve"> por:</w:t>
            </w:r>
          </w:p>
          <w:p w14:paraId="2368D1A4" w14:textId="77777777" w:rsidR="003032EB" w:rsidRPr="00F17952" w:rsidRDefault="003032EB" w:rsidP="00BB1AA3">
            <w:pPr>
              <w:rPr>
                <w:lang w:val="es-CO"/>
              </w:rPr>
            </w:pPr>
            <w:r w:rsidRPr="00F17952">
              <w:rPr>
                <w:lang w:val="es-MX"/>
              </w:rPr>
              <w:t xml:space="preserve"> </w:t>
            </w:r>
          </w:p>
          <w:p w14:paraId="073F38DA" w14:textId="77777777" w:rsidR="003032EB" w:rsidRDefault="003032EB" w:rsidP="00BB1AA3">
            <w:pPr>
              <w:rPr>
                <w:lang w:val="es-MX"/>
              </w:rPr>
            </w:pPr>
            <w:r w:rsidRPr="00F17952">
              <w:rPr>
                <w:lang w:val="es-MX"/>
              </w:rPr>
              <w:t>* El modelo tiene en cuenta las horas en que puede entregar energía, el cual viene afectado por los factores citados.</w:t>
            </w:r>
          </w:p>
          <w:p w14:paraId="1F74C67C" w14:textId="77777777" w:rsidR="003032EB" w:rsidRPr="00F17952" w:rsidRDefault="003032EB" w:rsidP="00BB1AA3">
            <w:pPr>
              <w:rPr>
                <w:lang w:val="es-CO"/>
              </w:rPr>
            </w:pPr>
          </w:p>
          <w:p w14:paraId="5DEF3ADE" w14:textId="77777777" w:rsidR="003032EB" w:rsidRDefault="003032EB" w:rsidP="00BB1AA3">
            <w:pPr>
              <w:rPr>
                <w:lang w:val="es-MX"/>
              </w:rPr>
            </w:pPr>
            <w:r w:rsidRPr="00F17952">
              <w:rPr>
                <w:lang w:val="es-MX"/>
              </w:rPr>
              <w:t>* Se analizó la experiencia internacional y se hicieron ejercicios para plantas en Colombia y se encuentra puede elevarse el valor.</w:t>
            </w:r>
          </w:p>
          <w:p w14:paraId="3DB23CDA" w14:textId="77777777" w:rsidR="003032EB" w:rsidRDefault="003032EB" w:rsidP="00BB1AA3">
            <w:pPr>
              <w:rPr>
                <w:lang w:val="es-MX"/>
              </w:rPr>
            </w:pPr>
          </w:p>
          <w:p w14:paraId="79D547BD" w14:textId="77777777" w:rsidR="003032EB" w:rsidRDefault="003032EB" w:rsidP="00BB1AA3">
            <w:pPr>
              <w:rPr>
                <w:lang w:val="es-MX"/>
              </w:rPr>
            </w:pPr>
            <w:r w:rsidRPr="00F17952">
              <w:rPr>
                <w:lang w:val="es-MX"/>
              </w:rPr>
              <w:t>Además, la E</w:t>
            </w:r>
            <w:r>
              <w:rPr>
                <w:lang w:val="es-MX"/>
              </w:rPr>
              <w:t xml:space="preserve">nergía Disponible </w:t>
            </w:r>
            <w:r w:rsidRPr="00F17952">
              <w:rPr>
                <w:lang w:val="es-MX"/>
              </w:rPr>
              <w:t>A</w:t>
            </w:r>
            <w:r>
              <w:rPr>
                <w:lang w:val="es-MX"/>
              </w:rPr>
              <w:t>dicional (EDA)</w:t>
            </w:r>
            <w:r w:rsidRPr="00F17952">
              <w:rPr>
                <w:lang w:val="es-MX"/>
              </w:rPr>
              <w:t xml:space="preserve"> se considera en cero para dichas plantas cuando no tienen datos en sitio, esto incentiva aún más tener medición.</w:t>
            </w:r>
          </w:p>
          <w:p w14:paraId="062E27FB" w14:textId="77777777" w:rsidR="003032EB" w:rsidRPr="00F17952" w:rsidRDefault="003032EB" w:rsidP="00BB1AA3">
            <w:pPr>
              <w:rPr>
                <w:lang w:val="es-CO"/>
              </w:rPr>
            </w:pPr>
          </w:p>
          <w:p w14:paraId="33C087A6" w14:textId="77777777" w:rsidR="003032EB" w:rsidRDefault="003032EB" w:rsidP="00BB1AA3">
            <w:pPr>
              <w:rPr>
                <w:lang w:val="es-MX"/>
              </w:rPr>
            </w:pPr>
            <w:r w:rsidRPr="00F17952">
              <w:rPr>
                <w:lang w:val="es-MX"/>
              </w:rPr>
              <w:t xml:space="preserve">* </w:t>
            </w:r>
            <w:proofErr w:type="gramStart"/>
            <w:r w:rsidRPr="00F17952">
              <w:rPr>
                <w:lang w:val="es-MX"/>
              </w:rPr>
              <w:t>Recordar</w:t>
            </w:r>
            <w:proofErr w:type="gramEnd"/>
            <w:r w:rsidRPr="00F17952">
              <w:rPr>
                <w:lang w:val="es-MX"/>
              </w:rPr>
              <w:t xml:space="preserve"> que la </w:t>
            </w:r>
            <w:proofErr w:type="spellStart"/>
            <w:r w:rsidRPr="00F17952">
              <w:rPr>
                <w:lang w:val="es-MX"/>
              </w:rPr>
              <w:t>ENFICC</w:t>
            </w:r>
            <w:proofErr w:type="spellEnd"/>
            <w:r w:rsidRPr="00F17952">
              <w:rPr>
                <w:lang w:val="es-MX"/>
              </w:rPr>
              <w:t xml:space="preserve"> se calcula con el valor más bajo de todo el horizonte solicitado </w:t>
            </w:r>
            <w:r>
              <w:rPr>
                <w:lang w:val="es-MX"/>
              </w:rPr>
              <w:t xml:space="preserve">de datos, que es de </w:t>
            </w:r>
            <w:r w:rsidRPr="00F17952">
              <w:rPr>
                <w:lang w:val="es-MX"/>
              </w:rPr>
              <w:t xml:space="preserve">10 años y, además, la </w:t>
            </w:r>
            <w:proofErr w:type="spellStart"/>
            <w:r w:rsidRPr="00F17952">
              <w:rPr>
                <w:lang w:val="es-MX"/>
              </w:rPr>
              <w:t>ENFICC</w:t>
            </w:r>
            <w:proofErr w:type="spellEnd"/>
            <w:r w:rsidRPr="00F17952">
              <w:rPr>
                <w:lang w:val="es-MX"/>
              </w:rPr>
              <w:t xml:space="preserve"> se iría modificando entre más datos se tengan en sitio con el tiempo.</w:t>
            </w:r>
          </w:p>
          <w:p w14:paraId="7C20BF5F" w14:textId="77777777" w:rsidR="003032EB" w:rsidRPr="00F17952" w:rsidRDefault="003032EB" w:rsidP="00BB1AA3">
            <w:pPr>
              <w:rPr>
                <w:lang w:val="es-CO"/>
              </w:rPr>
            </w:pPr>
          </w:p>
          <w:p w14:paraId="0F5A9813" w14:textId="12AD3D2E" w:rsidR="003032EB" w:rsidRPr="00F17952" w:rsidRDefault="003032EB" w:rsidP="00BB1AA3">
            <w:pPr>
              <w:rPr>
                <w:lang w:val="es-CO"/>
              </w:rPr>
            </w:pPr>
          </w:p>
        </w:tc>
      </w:tr>
      <w:tr w:rsidR="003032EB" w:rsidRPr="00F17952" w14:paraId="51017A49" w14:textId="77777777" w:rsidTr="00BB1AA3">
        <w:trPr>
          <w:trHeight w:val="584"/>
        </w:trPr>
        <w:tc>
          <w:tcPr>
            <w:tcW w:w="4390" w:type="dxa"/>
            <w:hideMark/>
          </w:tcPr>
          <w:p w14:paraId="1863BD95" w14:textId="77777777" w:rsidR="003032EB" w:rsidRDefault="003032EB" w:rsidP="00BB1AA3">
            <w:pPr>
              <w:rPr>
                <w:lang w:val="es-MX"/>
              </w:rPr>
            </w:pPr>
            <w:r>
              <w:rPr>
                <w:lang w:val="es-MX"/>
              </w:rPr>
              <w:t>P</w:t>
            </w:r>
            <w:r w:rsidRPr="00F17952">
              <w:rPr>
                <w:lang w:val="es-MX"/>
              </w:rPr>
              <w:t xml:space="preserve">asar de 80% al 60% vigente, a proyectos que no tienen una información primaria puede resultar en un escenario engañoso de </w:t>
            </w:r>
            <w:proofErr w:type="spellStart"/>
            <w:r w:rsidRPr="00F17952">
              <w:rPr>
                <w:lang w:val="es-MX"/>
              </w:rPr>
              <w:t>ENFICC</w:t>
            </w:r>
            <w:proofErr w:type="spellEnd"/>
            <w:r w:rsidRPr="00F17952">
              <w:rPr>
                <w:lang w:val="es-MX"/>
              </w:rPr>
              <w:t xml:space="preserve">. </w:t>
            </w:r>
          </w:p>
          <w:p w14:paraId="456CC762" w14:textId="77777777" w:rsidR="003032EB" w:rsidRDefault="003032EB" w:rsidP="00BB1AA3">
            <w:pPr>
              <w:rPr>
                <w:lang w:val="es-MX"/>
              </w:rPr>
            </w:pPr>
          </w:p>
          <w:p w14:paraId="7929D4AA" w14:textId="77777777" w:rsidR="003032EB" w:rsidRPr="00F17952" w:rsidRDefault="003032EB" w:rsidP="00BB1AA3">
            <w:pPr>
              <w:rPr>
                <w:lang w:val="es-CO"/>
              </w:rPr>
            </w:pPr>
            <w:r w:rsidRPr="00F17952">
              <w:rPr>
                <w:lang w:val="es-MX"/>
              </w:rPr>
              <w:t>Debe tenerse algo conservador y que asegure confiabilidad. Existirá riesgo de capacidad en el corto y mediano plazo, sobre todo en la madrugada y noche (déficit de potencia).</w:t>
            </w:r>
          </w:p>
          <w:p w14:paraId="54D06455" w14:textId="77777777" w:rsidR="003032EB" w:rsidRPr="00F17952" w:rsidRDefault="003032EB" w:rsidP="00BB1AA3">
            <w:pPr>
              <w:rPr>
                <w:lang w:val="es-CO"/>
              </w:rPr>
            </w:pPr>
          </w:p>
        </w:tc>
        <w:tc>
          <w:tcPr>
            <w:tcW w:w="4961" w:type="dxa"/>
            <w:vMerge/>
            <w:hideMark/>
          </w:tcPr>
          <w:p w14:paraId="59A60458" w14:textId="77777777" w:rsidR="003032EB" w:rsidRPr="00F17952" w:rsidRDefault="003032EB" w:rsidP="00BB1AA3">
            <w:pPr>
              <w:rPr>
                <w:lang w:val="es-CO"/>
              </w:rPr>
            </w:pPr>
          </w:p>
        </w:tc>
      </w:tr>
      <w:tr w:rsidR="003032EB" w:rsidRPr="00F17952" w14:paraId="02EC3A34" w14:textId="77777777" w:rsidTr="00BB1AA3">
        <w:trPr>
          <w:trHeight w:val="584"/>
        </w:trPr>
        <w:tc>
          <w:tcPr>
            <w:tcW w:w="4390" w:type="dxa"/>
            <w:hideMark/>
          </w:tcPr>
          <w:p w14:paraId="40BD25F3" w14:textId="77777777" w:rsidR="003032EB" w:rsidRDefault="003032EB" w:rsidP="00BB1AA3">
            <w:pPr>
              <w:rPr>
                <w:lang w:val="es-MX"/>
              </w:rPr>
            </w:pPr>
            <w:r w:rsidRPr="00F17952">
              <w:rPr>
                <w:lang w:val="es-MX"/>
              </w:rPr>
              <w:lastRenderedPageBreak/>
              <w:t xml:space="preserve">Las plantas térmicas se pueden ver afectadas debido a una mayor </w:t>
            </w:r>
            <w:proofErr w:type="spellStart"/>
            <w:r w:rsidRPr="00F17952">
              <w:rPr>
                <w:lang w:val="es-MX"/>
              </w:rPr>
              <w:t>ENFICC</w:t>
            </w:r>
            <w:proofErr w:type="spellEnd"/>
            <w:r w:rsidRPr="00F17952">
              <w:rPr>
                <w:lang w:val="es-MX"/>
              </w:rPr>
              <w:t xml:space="preserve"> de estas plantas. Las térmicas si tienen </w:t>
            </w:r>
            <w:proofErr w:type="spellStart"/>
            <w:r w:rsidRPr="00F17952">
              <w:rPr>
                <w:lang w:val="es-MX"/>
              </w:rPr>
              <w:t>ENFICC</w:t>
            </w:r>
            <w:proofErr w:type="spellEnd"/>
            <w:r w:rsidRPr="00F17952">
              <w:rPr>
                <w:lang w:val="es-MX"/>
              </w:rPr>
              <w:t xml:space="preserve"> lo demuestran con sus contratos. Las plantas térmicas si respaldan ante fenómeno del niño, es un respaldo real, esto se ha evidenciado luego del racionamiento de los años 90.</w:t>
            </w:r>
          </w:p>
          <w:p w14:paraId="3365B68B" w14:textId="77777777" w:rsidR="003032EB" w:rsidRPr="00F17952" w:rsidRDefault="003032EB" w:rsidP="00BB1AA3">
            <w:pPr>
              <w:rPr>
                <w:lang w:val="es-CO"/>
              </w:rPr>
            </w:pPr>
          </w:p>
          <w:p w14:paraId="6018AF1D" w14:textId="77777777" w:rsidR="003032EB" w:rsidRDefault="003032EB" w:rsidP="00BB1AA3">
            <w:pPr>
              <w:rPr>
                <w:lang w:val="es-MX"/>
              </w:rPr>
            </w:pPr>
            <w:r w:rsidRPr="00F17952">
              <w:rPr>
                <w:lang w:val="es-MX"/>
              </w:rPr>
              <w:t xml:space="preserve">El incrementar el límite es contrario a la Ley 143 de 1994, en cuanto a que se deben crear las condiciones de confiabilidad para atención de la demanda sin interrupciones. </w:t>
            </w:r>
          </w:p>
          <w:p w14:paraId="2E02C35A" w14:textId="77777777" w:rsidR="003032EB" w:rsidRPr="00F17952" w:rsidRDefault="003032EB" w:rsidP="00BB1AA3">
            <w:pPr>
              <w:rPr>
                <w:lang w:val="es-CO"/>
              </w:rPr>
            </w:pPr>
          </w:p>
        </w:tc>
        <w:tc>
          <w:tcPr>
            <w:tcW w:w="4961" w:type="dxa"/>
            <w:vMerge/>
            <w:hideMark/>
          </w:tcPr>
          <w:p w14:paraId="3B0D290A" w14:textId="77777777" w:rsidR="003032EB" w:rsidRPr="00F17952" w:rsidRDefault="003032EB" w:rsidP="00BB1AA3">
            <w:pPr>
              <w:rPr>
                <w:lang w:val="es-CO"/>
              </w:rPr>
            </w:pPr>
          </w:p>
        </w:tc>
      </w:tr>
      <w:tr w:rsidR="003032EB" w:rsidRPr="00F17952" w14:paraId="31F6AB71" w14:textId="77777777" w:rsidTr="00BB1AA3">
        <w:trPr>
          <w:trHeight w:val="584"/>
        </w:trPr>
        <w:tc>
          <w:tcPr>
            <w:tcW w:w="4390" w:type="dxa"/>
          </w:tcPr>
          <w:p w14:paraId="3B81A100" w14:textId="77777777" w:rsidR="003032EB" w:rsidRPr="00F17952" w:rsidRDefault="003032EB" w:rsidP="00BB1AA3">
            <w:pPr>
              <w:rPr>
                <w:lang w:val="es-MX"/>
              </w:rPr>
            </w:pPr>
            <w:r w:rsidRPr="00B306F6">
              <w:rPr>
                <w:lang w:val="es-MX"/>
              </w:rPr>
              <w:t>Habilitar la energía disponible adicional</w:t>
            </w:r>
          </w:p>
        </w:tc>
        <w:tc>
          <w:tcPr>
            <w:tcW w:w="4961" w:type="dxa"/>
          </w:tcPr>
          <w:p w14:paraId="5EE27D88" w14:textId="4E65842A" w:rsidR="003032EB" w:rsidRPr="00F17952" w:rsidRDefault="009A08F5" w:rsidP="009A08F5">
            <w:pPr>
              <w:rPr>
                <w:lang w:val="es-CO"/>
              </w:rPr>
            </w:pPr>
            <w:r>
              <w:rPr>
                <w:lang w:val="es-MX"/>
              </w:rPr>
              <w:t>Esta energía se habilitará cuando se tengan datos en sitio.</w:t>
            </w:r>
          </w:p>
        </w:tc>
      </w:tr>
      <w:tr w:rsidR="003032EB" w:rsidRPr="00F17952" w14:paraId="16F41A59" w14:textId="77777777" w:rsidTr="00BB1AA3">
        <w:trPr>
          <w:trHeight w:val="584"/>
        </w:trPr>
        <w:tc>
          <w:tcPr>
            <w:tcW w:w="4390" w:type="dxa"/>
          </w:tcPr>
          <w:p w14:paraId="5F1BCA24" w14:textId="77777777" w:rsidR="003032EB" w:rsidRDefault="003032EB" w:rsidP="00BB1AA3">
            <w:pPr>
              <w:rPr>
                <w:lang w:val="es-MX"/>
              </w:rPr>
            </w:pPr>
            <w:r w:rsidRPr="00B306F6">
              <w:rPr>
                <w:lang w:val="es-MX"/>
              </w:rPr>
              <w:t xml:space="preserve">Especificar cuando se recalcularía la </w:t>
            </w:r>
            <w:proofErr w:type="spellStart"/>
            <w:r w:rsidRPr="00B306F6">
              <w:rPr>
                <w:lang w:val="es-MX"/>
              </w:rPr>
              <w:t>ENFICC</w:t>
            </w:r>
            <w:proofErr w:type="spellEnd"/>
            <w:r w:rsidRPr="00B306F6">
              <w:rPr>
                <w:lang w:val="es-MX"/>
              </w:rPr>
              <w:t xml:space="preserve">, por ejemplo, de los que participaron </w:t>
            </w:r>
            <w:r>
              <w:rPr>
                <w:lang w:val="es-MX"/>
              </w:rPr>
              <w:t xml:space="preserve">en </w:t>
            </w:r>
            <w:r w:rsidRPr="00B306F6">
              <w:rPr>
                <w:lang w:val="es-MX"/>
              </w:rPr>
              <w:t xml:space="preserve">la subasta, o en un próximo mecanismo de tomadores. </w:t>
            </w:r>
          </w:p>
          <w:p w14:paraId="4826BAD8" w14:textId="77777777" w:rsidR="003032EB" w:rsidRPr="00B306F6" w:rsidRDefault="003032EB" w:rsidP="00BB1AA3">
            <w:pPr>
              <w:rPr>
                <w:lang w:val="es-CO"/>
              </w:rPr>
            </w:pPr>
          </w:p>
          <w:p w14:paraId="10DABC4D" w14:textId="77777777" w:rsidR="003032EB" w:rsidRDefault="003032EB" w:rsidP="00BB1AA3">
            <w:pPr>
              <w:rPr>
                <w:lang w:val="es-MX"/>
              </w:rPr>
            </w:pPr>
            <w:proofErr w:type="gramStart"/>
            <w:r w:rsidRPr="00B306F6">
              <w:rPr>
                <w:lang w:val="es-MX"/>
              </w:rPr>
              <w:t xml:space="preserve">Esto afecta </w:t>
            </w:r>
            <w:proofErr w:type="spellStart"/>
            <w:r w:rsidRPr="00B306F6">
              <w:rPr>
                <w:lang w:val="es-MX"/>
              </w:rPr>
              <w:t>OEF</w:t>
            </w:r>
            <w:proofErr w:type="spellEnd"/>
            <w:r w:rsidRPr="00B306F6">
              <w:rPr>
                <w:lang w:val="es-MX"/>
              </w:rPr>
              <w:t xml:space="preserve"> asignada previamente, por ejemplo, para aumentar o disminuir?</w:t>
            </w:r>
            <w:proofErr w:type="gramEnd"/>
          </w:p>
          <w:p w14:paraId="3276828E" w14:textId="77777777" w:rsidR="003032EB" w:rsidRPr="00B306F6" w:rsidRDefault="003032EB" w:rsidP="00BB1AA3">
            <w:pPr>
              <w:rPr>
                <w:lang w:val="es-CO"/>
              </w:rPr>
            </w:pPr>
          </w:p>
          <w:p w14:paraId="077B5E5A" w14:textId="77777777" w:rsidR="003032EB" w:rsidRPr="00F17952" w:rsidRDefault="003032EB" w:rsidP="00BB1AA3">
            <w:pPr>
              <w:rPr>
                <w:lang w:val="es-MX"/>
              </w:rPr>
            </w:pPr>
            <w:r>
              <w:rPr>
                <w:lang w:val="es-MX"/>
              </w:rPr>
              <w:t>S</w:t>
            </w:r>
            <w:r w:rsidRPr="00B306F6">
              <w:rPr>
                <w:lang w:val="es-MX"/>
              </w:rPr>
              <w:t xml:space="preserve">e entiende que un </w:t>
            </w:r>
            <w:proofErr w:type="gramStart"/>
            <w:r w:rsidRPr="00B306F6">
              <w:rPr>
                <w:lang w:val="es-MX"/>
              </w:rPr>
              <w:t xml:space="preserve">re </w:t>
            </w:r>
            <w:proofErr w:type="spellStart"/>
            <w:r w:rsidRPr="00B306F6">
              <w:rPr>
                <w:lang w:val="es-MX"/>
              </w:rPr>
              <w:t>calculo</w:t>
            </w:r>
            <w:proofErr w:type="spellEnd"/>
            <w:proofErr w:type="gramEnd"/>
            <w:r w:rsidRPr="00B306F6">
              <w:rPr>
                <w:lang w:val="es-MX"/>
              </w:rPr>
              <w:t xml:space="preserve"> de </w:t>
            </w:r>
            <w:proofErr w:type="spellStart"/>
            <w:r w:rsidRPr="00B306F6">
              <w:rPr>
                <w:lang w:val="es-MX"/>
              </w:rPr>
              <w:t>ENFICC</w:t>
            </w:r>
            <w:proofErr w:type="spellEnd"/>
            <w:r w:rsidRPr="00B306F6">
              <w:rPr>
                <w:lang w:val="es-MX"/>
              </w:rPr>
              <w:t xml:space="preserve"> solo es posible cuando se convoque a una nueva asignación o mediante el mecanismo de la Res. CREG 71/2006.</w:t>
            </w:r>
          </w:p>
        </w:tc>
        <w:tc>
          <w:tcPr>
            <w:tcW w:w="4961" w:type="dxa"/>
          </w:tcPr>
          <w:p w14:paraId="22DF513A" w14:textId="77777777" w:rsidR="003032EB" w:rsidRDefault="003032EB" w:rsidP="00BB1AA3">
            <w:pPr>
              <w:rPr>
                <w:lang w:val="es-MX"/>
              </w:rPr>
            </w:pPr>
            <w:r w:rsidRPr="009560B6">
              <w:rPr>
                <w:lang w:val="es-MX"/>
              </w:rPr>
              <w:t>No es necesario especificar.</w:t>
            </w:r>
          </w:p>
          <w:p w14:paraId="6C3BF030" w14:textId="77777777" w:rsidR="003032EB" w:rsidRPr="009560B6" w:rsidRDefault="003032EB" w:rsidP="00BB1AA3">
            <w:pPr>
              <w:rPr>
                <w:lang w:val="es-CO"/>
              </w:rPr>
            </w:pPr>
          </w:p>
          <w:p w14:paraId="527A64A3" w14:textId="77777777" w:rsidR="003032EB" w:rsidRDefault="003032EB" w:rsidP="00BB1AA3">
            <w:pPr>
              <w:rPr>
                <w:lang w:val="es-MX"/>
              </w:rPr>
            </w:pPr>
            <w:r w:rsidRPr="009560B6">
              <w:rPr>
                <w:lang w:val="es-MX"/>
              </w:rPr>
              <w:t xml:space="preserve">Esto se realiza conforme los procedimientos vigentes, por ejemplo, cuando se convoca a algún método de asignación de </w:t>
            </w:r>
            <w:proofErr w:type="spellStart"/>
            <w:r w:rsidRPr="009560B6">
              <w:rPr>
                <w:lang w:val="es-MX"/>
              </w:rPr>
              <w:t>OEF</w:t>
            </w:r>
            <w:proofErr w:type="spellEnd"/>
            <w:r w:rsidRPr="009560B6">
              <w:rPr>
                <w:lang w:val="es-MX"/>
              </w:rPr>
              <w:t xml:space="preserve"> se deben declarar parámetros, con lo cual se verificaría la </w:t>
            </w:r>
            <w:proofErr w:type="spellStart"/>
            <w:r w:rsidRPr="009560B6">
              <w:rPr>
                <w:lang w:val="es-MX"/>
              </w:rPr>
              <w:t>ENFICC</w:t>
            </w:r>
            <w:proofErr w:type="spellEnd"/>
            <w:r w:rsidRPr="009560B6">
              <w:rPr>
                <w:lang w:val="es-MX"/>
              </w:rPr>
              <w:t>.</w:t>
            </w:r>
          </w:p>
          <w:p w14:paraId="3C739D27" w14:textId="77777777" w:rsidR="003032EB" w:rsidRPr="009560B6" w:rsidRDefault="003032EB" w:rsidP="00BB1AA3">
            <w:pPr>
              <w:rPr>
                <w:lang w:val="es-CO"/>
              </w:rPr>
            </w:pPr>
          </w:p>
          <w:p w14:paraId="3A60B623" w14:textId="77777777" w:rsidR="003032EB" w:rsidRDefault="003032EB" w:rsidP="00BB1AA3">
            <w:pPr>
              <w:rPr>
                <w:lang w:val="es-MX"/>
              </w:rPr>
            </w:pPr>
            <w:r w:rsidRPr="009560B6">
              <w:rPr>
                <w:lang w:val="es-MX"/>
              </w:rPr>
              <w:t xml:space="preserve">La forma de obtener más </w:t>
            </w:r>
            <w:proofErr w:type="spellStart"/>
            <w:r w:rsidRPr="009560B6">
              <w:rPr>
                <w:lang w:val="es-MX"/>
              </w:rPr>
              <w:t>OEF</w:t>
            </w:r>
            <w:proofErr w:type="spellEnd"/>
            <w:r w:rsidRPr="009560B6">
              <w:rPr>
                <w:lang w:val="es-MX"/>
              </w:rPr>
              <w:t xml:space="preserve"> con </w:t>
            </w:r>
            <w:proofErr w:type="gramStart"/>
            <w:r w:rsidRPr="009560B6">
              <w:rPr>
                <w:lang w:val="es-MX"/>
              </w:rPr>
              <w:t xml:space="preserve">la  </w:t>
            </w:r>
            <w:proofErr w:type="spellStart"/>
            <w:r w:rsidRPr="009560B6">
              <w:rPr>
                <w:lang w:val="es-MX"/>
              </w:rPr>
              <w:t>ENFICC</w:t>
            </w:r>
            <w:proofErr w:type="spellEnd"/>
            <w:proofErr w:type="gramEnd"/>
            <w:r w:rsidRPr="009560B6">
              <w:rPr>
                <w:lang w:val="es-MX"/>
              </w:rPr>
              <w:t xml:space="preserve"> adicional del nuevo factor es en nuevos mecanismos que aplican hacia el futuro. Así mismo, en caso se tenga un aumento de </w:t>
            </w:r>
            <w:proofErr w:type="spellStart"/>
            <w:r w:rsidRPr="009560B6">
              <w:rPr>
                <w:lang w:val="es-MX"/>
              </w:rPr>
              <w:t>ENFICC</w:t>
            </w:r>
            <w:proofErr w:type="spellEnd"/>
            <w:r w:rsidRPr="009560B6">
              <w:rPr>
                <w:lang w:val="es-MX"/>
              </w:rPr>
              <w:t>, la Res. CREG 71/2006 ya incluye el mecanismo de cambio.</w:t>
            </w:r>
          </w:p>
          <w:p w14:paraId="2B3835CE" w14:textId="77777777" w:rsidR="003032EB" w:rsidRPr="009560B6" w:rsidRDefault="003032EB" w:rsidP="00BB1AA3">
            <w:pPr>
              <w:rPr>
                <w:lang w:val="es-CO"/>
              </w:rPr>
            </w:pPr>
          </w:p>
          <w:p w14:paraId="2674F88E" w14:textId="77777777" w:rsidR="003032EB" w:rsidRPr="009560B6" w:rsidRDefault="003032EB" w:rsidP="00BB1AA3">
            <w:pPr>
              <w:rPr>
                <w:lang w:val="es-CO"/>
              </w:rPr>
            </w:pPr>
            <w:r w:rsidRPr="009560B6">
              <w:rPr>
                <w:lang w:val="es-MX"/>
              </w:rPr>
              <w:t xml:space="preserve">De igual forma, la Res. 101 007 2023 y la 101 024 de 2022 tienen el mecanismo de ajuste </w:t>
            </w:r>
            <w:proofErr w:type="spellStart"/>
            <w:r w:rsidRPr="009560B6">
              <w:rPr>
                <w:lang w:val="es-MX"/>
              </w:rPr>
              <w:t>OEF</w:t>
            </w:r>
            <w:proofErr w:type="spellEnd"/>
            <w:r w:rsidRPr="009560B6">
              <w:rPr>
                <w:lang w:val="es-MX"/>
              </w:rPr>
              <w:t xml:space="preserve">, pero este aplica para disminución, cuando se encuentra que por sus propios parámetros </w:t>
            </w:r>
            <w:r>
              <w:rPr>
                <w:lang w:val="es-MX"/>
              </w:rPr>
              <w:t>se tiene un valor inferior</w:t>
            </w:r>
            <w:r w:rsidRPr="009560B6">
              <w:rPr>
                <w:lang w:val="es-MX"/>
              </w:rPr>
              <w:t>.</w:t>
            </w:r>
          </w:p>
          <w:p w14:paraId="70701575" w14:textId="77777777" w:rsidR="003032EB" w:rsidRPr="00F17952" w:rsidRDefault="003032EB" w:rsidP="00BB1AA3">
            <w:pPr>
              <w:rPr>
                <w:lang w:val="es-CO"/>
              </w:rPr>
            </w:pPr>
          </w:p>
        </w:tc>
      </w:tr>
      <w:tr w:rsidR="003032EB" w:rsidRPr="00F17952" w14:paraId="7DBE7B18" w14:textId="77777777" w:rsidTr="00BB1AA3">
        <w:trPr>
          <w:trHeight w:val="584"/>
        </w:trPr>
        <w:tc>
          <w:tcPr>
            <w:tcW w:w="4390" w:type="dxa"/>
          </w:tcPr>
          <w:p w14:paraId="2DA39117" w14:textId="77777777" w:rsidR="003032EB" w:rsidRDefault="003032EB" w:rsidP="00BB1AA3">
            <w:pPr>
              <w:rPr>
                <w:lang w:val="es-MX"/>
              </w:rPr>
            </w:pPr>
            <w:r w:rsidRPr="009560B6">
              <w:rPr>
                <w:lang w:val="es-MX"/>
              </w:rPr>
              <w:t xml:space="preserve">Que se realice una subasta lo más pronto posible que se prioricen plantas térmicas. </w:t>
            </w:r>
          </w:p>
          <w:p w14:paraId="7701E124" w14:textId="77777777" w:rsidR="003032EB" w:rsidRPr="009560B6" w:rsidRDefault="003032EB" w:rsidP="00BB1AA3">
            <w:pPr>
              <w:rPr>
                <w:lang w:val="es-CO"/>
              </w:rPr>
            </w:pPr>
          </w:p>
          <w:p w14:paraId="1E270E5A" w14:textId="77777777" w:rsidR="003032EB" w:rsidRPr="009560B6" w:rsidRDefault="003032EB" w:rsidP="00BB1AA3">
            <w:pPr>
              <w:rPr>
                <w:lang w:val="es-CO"/>
              </w:rPr>
            </w:pPr>
            <w:r w:rsidRPr="009560B6">
              <w:rPr>
                <w:lang w:val="es-MX"/>
              </w:rPr>
              <w:t>Realizar un balance de energía con los nuevos valores.</w:t>
            </w:r>
          </w:p>
          <w:p w14:paraId="5B5E584D" w14:textId="77777777" w:rsidR="003032EB" w:rsidRPr="00F17952" w:rsidRDefault="003032EB" w:rsidP="00BB1AA3">
            <w:pPr>
              <w:rPr>
                <w:lang w:val="es-MX"/>
              </w:rPr>
            </w:pPr>
          </w:p>
        </w:tc>
        <w:tc>
          <w:tcPr>
            <w:tcW w:w="4961" w:type="dxa"/>
          </w:tcPr>
          <w:p w14:paraId="4D6E785C" w14:textId="77777777" w:rsidR="003032EB" w:rsidRDefault="003032EB" w:rsidP="00BB1AA3">
            <w:pPr>
              <w:rPr>
                <w:lang w:val="es-MX"/>
              </w:rPr>
            </w:pPr>
            <w:r w:rsidRPr="009560B6">
              <w:rPr>
                <w:lang w:val="es-MX"/>
              </w:rPr>
              <w:t xml:space="preserve">La Comisión realizará el análisis de una nueva subasta con nuevo balance y será presentado en otro proyecto normativo. </w:t>
            </w:r>
          </w:p>
          <w:p w14:paraId="220C3AF7" w14:textId="77777777" w:rsidR="003032EB" w:rsidRDefault="003032EB" w:rsidP="00BB1AA3">
            <w:pPr>
              <w:rPr>
                <w:lang w:val="es-MX"/>
              </w:rPr>
            </w:pPr>
          </w:p>
          <w:p w14:paraId="4A3ECB87" w14:textId="77777777" w:rsidR="003032EB" w:rsidRPr="009560B6" w:rsidRDefault="003032EB" w:rsidP="00BB1AA3">
            <w:pPr>
              <w:rPr>
                <w:lang w:val="es-CO"/>
              </w:rPr>
            </w:pPr>
            <w:r w:rsidRPr="009560B6">
              <w:rPr>
                <w:lang w:val="es-MX"/>
              </w:rPr>
              <w:t>Sobre la aplicación a una tecnología especifica, no es este el espacio para dicha discusión.</w:t>
            </w:r>
          </w:p>
          <w:p w14:paraId="6612E3EA" w14:textId="77777777" w:rsidR="003032EB" w:rsidRPr="00F17952" w:rsidRDefault="003032EB" w:rsidP="00BB1AA3">
            <w:pPr>
              <w:rPr>
                <w:lang w:val="es-CO"/>
              </w:rPr>
            </w:pPr>
          </w:p>
        </w:tc>
      </w:tr>
      <w:tr w:rsidR="003032EB" w:rsidRPr="00F17952" w14:paraId="415F1990" w14:textId="77777777" w:rsidTr="00BB1AA3">
        <w:trPr>
          <w:trHeight w:val="584"/>
        </w:trPr>
        <w:tc>
          <w:tcPr>
            <w:tcW w:w="4390" w:type="dxa"/>
          </w:tcPr>
          <w:p w14:paraId="0F8547ED" w14:textId="77777777" w:rsidR="003032EB" w:rsidRPr="00531528" w:rsidRDefault="003032EB" w:rsidP="00BB1AA3">
            <w:pPr>
              <w:rPr>
                <w:lang w:val="es-CO"/>
              </w:rPr>
            </w:pPr>
            <w:r w:rsidRPr="00531528">
              <w:rPr>
                <w:lang w:val="es-MX"/>
              </w:rPr>
              <w:lastRenderedPageBreak/>
              <w:t>Ampliar ejercicio con más plantas solares que han entrado en operación y que hayan participado en la subasta</w:t>
            </w:r>
          </w:p>
          <w:p w14:paraId="0724FA7C" w14:textId="77777777" w:rsidR="003032EB" w:rsidRDefault="003032EB" w:rsidP="00BB1AA3">
            <w:pPr>
              <w:rPr>
                <w:lang w:val="es-MX"/>
              </w:rPr>
            </w:pPr>
          </w:p>
          <w:p w14:paraId="30AA210B" w14:textId="77777777" w:rsidR="003032EB" w:rsidRPr="00531528" w:rsidRDefault="003032EB" w:rsidP="00BB1AA3">
            <w:pPr>
              <w:rPr>
                <w:lang w:val="es-CO"/>
              </w:rPr>
            </w:pPr>
            <w:proofErr w:type="gramStart"/>
            <w:r>
              <w:rPr>
                <w:lang w:val="es-MX"/>
              </w:rPr>
              <w:t>E</w:t>
            </w:r>
            <w:r w:rsidRPr="00531528">
              <w:rPr>
                <w:lang w:val="es-MX"/>
              </w:rPr>
              <w:t>ste  factor</w:t>
            </w:r>
            <w:proofErr w:type="gramEnd"/>
            <w:r w:rsidRPr="00531528">
              <w:rPr>
                <w:lang w:val="es-MX"/>
              </w:rPr>
              <w:t xml:space="preserve">  debe  ser  el  resultado  de  un  estudio profundo  en  donde  se  ponga  a  disposición  y  discusión  de  todos  los agentes  la información utilizada, los supuestos, los escenarios, las variables, entre otros. Que los estudios se deleguen en el </w:t>
            </w:r>
            <w:proofErr w:type="spellStart"/>
            <w:r w:rsidRPr="00531528">
              <w:rPr>
                <w:lang w:val="es-MX"/>
              </w:rPr>
              <w:t>C.N.O</w:t>
            </w:r>
            <w:proofErr w:type="spellEnd"/>
            <w:r w:rsidRPr="00531528">
              <w:rPr>
                <w:lang w:val="es-MX"/>
              </w:rPr>
              <w:t>.</w:t>
            </w:r>
          </w:p>
          <w:p w14:paraId="09C26D1B" w14:textId="77777777" w:rsidR="003032EB" w:rsidRPr="009560B6" w:rsidRDefault="003032EB" w:rsidP="00BB1AA3">
            <w:pPr>
              <w:rPr>
                <w:lang w:val="es-MX"/>
              </w:rPr>
            </w:pPr>
          </w:p>
        </w:tc>
        <w:tc>
          <w:tcPr>
            <w:tcW w:w="4961" w:type="dxa"/>
          </w:tcPr>
          <w:p w14:paraId="02E04A94" w14:textId="4D95A99C" w:rsidR="003032EB" w:rsidRDefault="003032EB" w:rsidP="00BB1AA3">
            <w:pPr>
              <w:rPr>
                <w:lang w:val="es-MX"/>
              </w:rPr>
            </w:pPr>
            <w:r w:rsidRPr="00531528">
              <w:rPr>
                <w:lang w:val="es-MX"/>
              </w:rPr>
              <w:t xml:space="preserve">Se realizó el ejercicio con 5 plantas en Colombia, </w:t>
            </w:r>
            <w:r w:rsidR="00C526FB">
              <w:rPr>
                <w:lang w:val="es-MX"/>
              </w:rPr>
              <w:t xml:space="preserve">las cuales cuentan con </w:t>
            </w:r>
            <w:proofErr w:type="spellStart"/>
            <w:r w:rsidR="00C526FB">
              <w:rPr>
                <w:lang w:val="es-MX"/>
              </w:rPr>
              <w:t>OEF</w:t>
            </w:r>
            <w:proofErr w:type="spellEnd"/>
            <w:r w:rsidR="00B11495">
              <w:rPr>
                <w:lang w:val="es-MX"/>
              </w:rPr>
              <w:t xml:space="preserve"> y que usaron datos medidos en sitio declarados por los agentes</w:t>
            </w:r>
            <w:r w:rsidRPr="00531528">
              <w:rPr>
                <w:lang w:val="es-MX"/>
              </w:rPr>
              <w:t>. Se considera dicho análisis suficiente junto con la experiencia internacional (la cual si se tuvo recopilación suficiente) para tomar la decisión.</w:t>
            </w:r>
          </w:p>
          <w:p w14:paraId="7199B1DB" w14:textId="77777777" w:rsidR="003032EB" w:rsidRPr="00531528" w:rsidRDefault="003032EB" w:rsidP="00BB1AA3">
            <w:pPr>
              <w:rPr>
                <w:lang w:val="es-CO"/>
              </w:rPr>
            </w:pPr>
          </w:p>
          <w:p w14:paraId="30491134" w14:textId="278C24CA" w:rsidR="003032EB" w:rsidRDefault="003032EB" w:rsidP="00BB1AA3">
            <w:pPr>
              <w:rPr>
                <w:lang w:val="es-MX"/>
              </w:rPr>
            </w:pPr>
            <w:r w:rsidRPr="00531528">
              <w:rPr>
                <w:lang w:val="es-MX"/>
              </w:rPr>
              <w:t xml:space="preserve">Así mismo, no se considera necesario incluir más plantas, puesto que ya el mecanismo considera la autoactualización de la </w:t>
            </w:r>
            <w:proofErr w:type="spellStart"/>
            <w:r w:rsidRPr="00531528">
              <w:rPr>
                <w:lang w:val="es-MX"/>
              </w:rPr>
              <w:t>ENFICC</w:t>
            </w:r>
            <w:proofErr w:type="spellEnd"/>
            <w:r w:rsidRPr="00531528">
              <w:rPr>
                <w:lang w:val="es-MX"/>
              </w:rPr>
              <w:t xml:space="preserve"> cada vez que se tengan más datos en sitio.  Con esto se obtendrá </w:t>
            </w:r>
            <w:r w:rsidR="009A08F5" w:rsidRPr="00531528">
              <w:rPr>
                <w:lang w:val="es-MX"/>
              </w:rPr>
              <w:t>más experiencia</w:t>
            </w:r>
            <w:r w:rsidRPr="00531528">
              <w:rPr>
                <w:lang w:val="es-MX"/>
              </w:rPr>
              <w:t xml:space="preserve"> para que con el tiempo se tenga un mejor factor de ajuste.</w:t>
            </w:r>
          </w:p>
          <w:p w14:paraId="7E25BEFE" w14:textId="77777777" w:rsidR="003032EB" w:rsidRPr="00531528" w:rsidRDefault="003032EB" w:rsidP="00BB1AA3">
            <w:pPr>
              <w:rPr>
                <w:lang w:val="es-CO"/>
              </w:rPr>
            </w:pPr>
          </w:p>
          <w:p w14:paraId="091D24F1" w14:textId="77777777" w:rsidR="003032EB" w:rsidRPr="00531528" w:rsidRDefault="003032EB" w:rsidP="00BB1AA3">
            <w:pPr>
              <w:rPr>
                <w:lang w:val="es-CO"/>
              </w:rPr>
            </w:pPr>
            <w:r w:rsidRPr="00531528">
              <w:rPr>
                <w:lang w:val="es-CO"/>
              </w:rPr>
              <w:t>Del análisis</w:t>
            </w:r>
            <w:r>
              <w:rPr>
                <w:lang w:val="es-CO"/>
              </w:rPr>
              <w:t>,</w:t>
            </w:r>
            <w:r w:rsidRPr="00531528">
              <w:rPr>
                <w:lang w:val="es-CO"/>
              </w:rPr>
              <w:t xml:space="preserve"> </w:t>
            </w:r>
            <w:r>
              <w:rPr>
                <w:lang w:val="es-CO"/>
              </w:rPr>
              <w:t xml:space="preserve">el factor de ajuste considerado </w:t>
            </w:r>
            <w:r w:rsidRPr="00531528">
              <w:rPr>
                <w:lang w:val="es-CO"/>
              </w:rPr>
              <w:t>es un valor conservador,</w:t>
            </w:r>
            <w:r>
              <w:rPr>
                <w:lang w:val="es-CO"/>
              </w:rPr>
              <w:t xml:space="preserve"> desde luego reconociendo </w:t>
            </w:r>
            <w:r w:rsidRPr="00531528">
              <w:rPr>
                <w:lang w:val="es-CO"/>
              </w:rPr>
              <w:t xml:space="preserve">que es confiabilidad y debemos tener certeza de lo que van a entregar las plantas. </w:t>
            </w:r>
          </w:p>
          <w:p w14:paraId="3E1EDF08" w14:textId="77777777" w:rsidR="003032EB" w:rsidRPr="009560B6" w:rsidRDefault="003032EB" w:rsidP="00BB1AA3">
            <w:pPr>
              <w:rPr>
                <w:lang w:val="es-MX"/>
              </w:rPr>
            </w:pPr>
          </w:p>
        </w:tc>
      </w:tr>
      <w:tr w:rsidR="003032EB" w:rsidRPr="00F17952" w14:paraId="28C5D5E0" w14:textId="77777777" w:rsidTr="00BB1AA3">
        <w:trPr>
          <w:trHeight w:val="584"/>
        </w:trPr>
        <w:tc>
          <w:tcPr>
            <w:tcW w:w="4390" w:type="dxa"/>
          </w:tcPr>
          <w:p w14:paraId="7864731D" w14:textId="77777777" w:rsidR="003032EB" w:rsidRPr="00531528" w:rsidRDefault="003032EB" w:rsidP="00BB1AA3">
            <w:pPr>
              <w:rPr>
                <w:lang w:val="es-MX"/>
              </w:rPr>
            </w:pPr>
            <w:r w:rsidRPr="00775E86">
              <w:rPr>
                <w:lang w:val="es-MX"/>
              </w:rPr>
              <w:t>Que se incluya la revisión documental que cita la Comisión en el documento soporte, en aras de ampliar el análisis de la propuesta por parte de los interesados</w:t>
            </w:r>
          </w:p>
        </w:tc>
        <w:tc>
          <w:tcPr>
            <w:tcW w:w="4961" w:type="dxa"/>
          </w:tcPr>
          <w:p w14:paraId="40A11C84" w14:textId="77777777" w:rsidR="003032EB" w:rsidRDefault="003032EB" w:rsidP="00BB1AA3">
            <w:pPr>
              <w:rPr>
                <w:lang w:val="es-MX"/>
              </w:rPr>
            </w:pPr>
            <w:r w:rsidRPr="00775E86">
              <w:rPr>
                <w:lang w:val="es-MX"/>
              </w:rPr>
              <w:t xml:space="preserve">Respecto de los artículos de investigación, se incluyó la principal conclusión en el documento soporte. </w:t>
            </w:r>
          </w:p>
          <w:p w14:paraId="7FCFCCE4" w14:textId="77777777" w:rsidR="003032EB" w:rsidRPr="00775E86" w:rsidRDefault="003032EB" w:rsidP="00BB1AA3">
            <w:pPr>
              <w:rPr>
                <w:lang w:val="es-CO"/>
              </w:rPr>
            </w:pPr>
          </w:p>
          <w:p w14:paraId="61F437F8" w14:textId="77777777" w:rsidR="003032EB" w:rsidRDefault="003032EB" w:rsidP="00BB1AA3">
            <w:pPr>
              <w:rPr>
                <w:lang w:val="es-MX"/>
              </w:rPr>
            </w:pPr>
            <w:r w:rsidRPr="00775E86">
              <w:rPr>
                <w:lang w:val="es-MX"/>
              </w:rPr>
              <w:t xml:space="preserve">En cuanto al estudio de Ser Colombia, no se pueden incluir mayores detalles a los presentados de forma general porque los derechos son de estos. </w:t>
            </w:r>
          </w:p>
          <w:p w14:paraId="711409B8" w14:textId="77777777" w:rsidR="003032EB" w:rsidRPr="00531528" w:rsidRDefault="003032EB" w:rsidP="00BB1AA3">
            <w:pPr>
              <w:rPr>
                <w:lang w:val="es-MX"/>
              </w:rPr>
            </w:pPr>
          </w:p>
        </w:tc>
      </w:tr>
      <w:tr w:rsidR="003032EB" w:rsidRPr="00F17952" w14:paraId="7F311A6D" w14:textId="77777777" w:rsidTr="00BB1AA3">
        <w:trPr>
          <w:trHeight w:val="584"/>
        </w:trPr>
        <w:tc>
          <w:tcPr>
            <w:tcW w:w="4390" w:type="dxa"/>
          </w:tcPr>
          <w:p w14:paraId="48AAB9EE" w14:textId="77777777" w:rsidR="003032EB" w:rsidRPr="00775E86" w:rsidRDefault="003032EB" w:rsidP="00BB1AA3">
            <w:pPr>
              <w:rPr>
                <w:lang w:val="es-CO"/>
              </w:rPr>
            </w:pPr>
            <w:r w:rsidRPr="00775E86">
              <w:rPr>
                <w:lang w:val="es-MX"/>
              </w:rPr>
              <w:t>Que se realice el ejercicio para eólicas y se realicen estudios.</w:t>
            </w:r>
          </w:p>
          <w:p w14:paraId="58ABCB35" w14:textId="77777777" w:rsidR="003032EB" w:rsidRDefault="003032EB" w:rsidP="00BB1AA3">
            <w:pPr>
              <w:rPr>
                <w:lang w:val="es-MX"/>
              </w:rPr>
            </w:pPr>
          </w:p>
          <w:p w14:paraId="519F91BC" w14:textId="77777777" w:rsidR="003032EB" w:rsidRDefault="003032EB" w:rsidP="00BB1AA3">
            <w:pPr>
              <w:rPr>
                <w:lang w:val="es-MX"/>
              </w:rPr>
            </w:pPr>
            <w:r w:rsidRPr="00775E86">
              <w:rPr>
                <w:lang w:val="es-MX"/>
              </w:rPr>
              <w:t>Que se soliciten datos de las plantas eólicas que llevan años compilando datos en la Guajira</w:t>
            </w:r>
          </w:p>
          <w:p w14:paraId="71A6BF32" w14:textId="77777777" w:rsidR="003032EB" w:rsidRDefault="003032EB" w:rsidP="00BB1AA3">
            <w:pPr>
              <w:rPr>
                <w:lang w:val="es-CO"/>
              </w:rPr>
            </w:pPr>
          </w:p>
          <w:p w14:paraId="2501E291" w14:textId="77777777" w:rsidR="003032EB" w:rsidRDefault="003032EB" w:rsidP="00BB1AA3">
            <w:pPr>
              <w:rPr>
                <w:lang w:val="es-MX"/>
              </w:rPr>
            </w:pPr>
            <w:r w:rsidRPr="00775E86">
              <w:rPr>
                <w:lang w:val="es-MX"/>
              </w:rPr>
              <w:t xml:space="preserve">Preocupa que se den incentivos sobre las solares y no las eólicas.  </w:t>
            </w:r>
          </w:p>
          <w:p w14:paraId="545DA2D3" w14:textId="77777777" w:rsidR="003032EB" w:rsidRDefault="003032EB" w:rsidP="00BB1AA3">
            <w:pPr>
              <w:rPr>
                <w:lang w:val="es-MX"/>
              </w:rPr>
            </w:pPr>
          </w:p>
          <w:p w14:paraId="273C63CD" w14:textId="77777777" w:rsidR="003032EB" w:rsidRPr="00775E86" w:rsidRDefault="003032EB" w:rsidP="00BB1AA3">
            <w:pPr>
              <w:rPr>
                <w:lang w:val="es-CO"/>
              </w:rPr>
            </w:pPr>
            <w:r w:rsidRPr="00775E86">
              <w:rPr>
                <w:lang w:val="es-MX"/>
              </w:rPr>
              <w:t xml:space="preserve">Nos ponemos en su disposición para participar en una mesa de trabajo </w:t>
            </w:r>
            <w:r w:rsidRPr="00775E86">
              <w:rPr>
                <w:lang w:val="es-MX"/>
              </w:rPr>
              <w:lastRenderedPageBreak/>
              <w:t>conjunta en la que pongamos en su conocimiento todas las mediciones de viento que tenemos en la Guajira</w:t>
            </w:r>
          </w:p>
          <w:p w14:paraId="52CD7F92" w14:textId="77777777" w:rsidR="003032EB" w:rsidRPr="00775E86" w:rsidRDefault="003032EB" w:rsidP="00BB1AA3">
            <w:pPr>
              <w:rPr>
                <w:lang w:val="es-MX"/>
              </w:rPr>
            </w:pPr>
          </w:p>
        </w:tc>
        <w:tc>
          <w:tcPr>
            <w:tcW w:w="4961" w:type="dxa"/>
          </w:tcPr>
          <w:p w14:paraId="30A3E48C" w14:textId="77777777" w:rsidR="003032EB" w:rsidRDefault="003032EB" w:rsidP="00BB1AA3">
            <w:pPr>
              <w:rPr>
                <w:lang w:val="es-MX"/>
              </w:rPr>
            </w:pPr>
            <w:r w:rsidRPr="001B1505">
              <w:rPr>
                <w:lang w:val="es-MX"/>
              </w:rPr>
              <w:lastRenderedPageBreak/>
              <w:t>Ser Colombia solicitó los datos a los agentes asociados y estos los entregaron, evidenciando los errores que se presentaron en el documento</w:t>
            </w:r>
            <w:r>
              <w:rPr>
                <w:lang w:val="es-MX"/>
              </w:rPr>
              <w:t xml:space="preserve"> anteriormente. Estos errores</w:t>
            </w:r>
            <w:r w:rsidRPr="001B1505">
              <w:rPr>
                <w:lang w:val="es-MX"/>
              </w:rPr>
              <w:t xml:space="preserve"> llegan</w:t>
            </w:r>
            <w:r>
              <w:rPr>
                <w:lang w:val="es-MX"/>
              </w:rPr>
              <w:t xml:space="preserve"> hasta el</w:t>
            </w:r>
            <w:r w:rsidRPr="001B1505">
              <w:rPr>
                <w:lang w:val="es-MX"/>
              </w:rPr>
              <w:t xml:space="preserve"> orden del 50% de diferencia entre medición en sitio y de satélite.</w:t>
            </w:r>
          </w:p>
          <w:p w14:paraId="1A83A6E7" w14:textId="77777777" w:rsidR="003032EB" w:rsidRPr="001B1505" w:rsidRDefault="003032EB" w:rsidP="00BB1AA3">
            <w:pPr>
              <w:rPr>
                <w:lang w:val="es-CO"/>
              </w:rPr>
            </w:pPr>
          </w:p>
          <w:p w14:paraId="47A6AFCE" w14:textId="77777777" w:rsidR="003032EB" w:rsidRDefault="003032EB" w:rsidP="00BB1AA3">
            <w:pPr>
              <w:rPr>
                <w:lang w:val="es-MX"/>
              </w:rPr>
            </w:pPr>
            <w:r w:rsidRPr="001B1505">
              <w:rPr>
                <w:lang w:val="es-MX"/>
              </w:rPr>
              <w:t xml:space="preserve">La energía eólica, a diferencia de la solar, varía en función de la velocidad al cubo, por lo tanto, errores en su pronóstico </w:t>
            </w:r>
            <w:r>
              <w:rPr>
                <w:lang w:val="es-MX"/>
              </w:rPr>
              <w:t xml:space="preserve">de las variables </w:t>
            </w:r>
            <w:r w:rsidRPr="001B1505">
              <w:rPr>
                <w:lang w:val="es-MX"/>
              </w:rPr>
              <w:t xml:space="preserve">generan un error mucho más </w:t>
            </w:r>
            <w:r w:rsidRPr="001B1505">
              <w:rPr>
                <w:lang w:val="es-MX"/>
              </w:rPr>
              <w:lastRenderedPageBreak/>
              <w:t>grande</w:t>
            </w:r>
            <w:r>
              <w:rPr>
                <w:lang w:val="es-MX"/>
              </w:rPr>
              <w:t xml:space="preserve"> en energía</w:t>
            </w:r>
            <w:r w:rsidRPr="001B1505">
              <w:rPr>
                <w:lang w:val="es-MX"/>
              </w:rPr>
              <w:t xml:space="preserve">. Al contrario, en la literatura se encontró para solares que dicho error de pronóstico de las variables </w:t>
            </w:r>
            <w:r>
              <w:rPr>
                <w:lang w:val="es-MX"/>
              </w:rPr>
              <w:t>es</w:t>
            </w:r>
            <w:r w:rsidRPr="001B1505">
              <w:rPr>
                <w:lang w:val="es-MX"/>
              </w:rPr>
              <w:t xml:space="preserve"> aproximadamente lineal </w:t>
            </w:r>
            <w:r>
              <w:rPr>
                <w:lang w:val="es-MX"/>
              </w:rPr>
              <w:t>a</w:t>
            </w:r>
            <w:r w:rsidRPr="001B1505">
              <w:rPr>
                <w:lang w:val="es-MX"/>
              </w:rPr>
              <w:t>l cálculo de la energía. Por esta razón, son tecnologías que por su naturaleza no se modelan igual.</w:t>
            </w:r>
          </w:p>
          <w:p w14:paraId="60B33B0A" w14:textId="77777777" w:rsidR="003032EB" w:rsidRPr="001B1505" w:rsidRDefault="003032EB" w:rsidP="00BB1AA3">
            <w:pPr>
              <w:rPr>
                <w:lang w:val="es-CO"/>
              </w:rPr>
            </w:pPr>
          </w:p>
          <w:p w14:paraId="56ECDA3B" w14:textId="77777777" w:rsidR="003032EB" w:rsidRDefault="003032EB" w:rsidP="00BB1AA3">
            <w:pPr>
              <w:rPr>
                <w:lang w:val="es-MX"/>
              </w:rPr>
            </w:pPr>
            <w:r w:rsidRPr="001B1505">
              <w:rPr>
                <w:lang w:val="es-MX"/>
              </w:rPr>
              <w:t xml:space="preserve">Se tendrá que contar con </w:t>
            </w:r>
            <w:proofErr w:type="gramStart"/>
            <w:r w:rsidRPr="001B1505">
              <w:rPr>
                <w:lang w:val="es-MX"/>
              </w:rPr>
              <w:t>mayor información</w:t>
            </w:r>
            <w:proofErr w:type="gramEnd"/>
            <w:r w:rsidRPr="001B1505">
              <w:rPr>
                <w:lang w:val="es-MX"/>
              </w:rPr>
              <w:t>, no se observa otra posibilidad.</w:t>
            </w:r>
          </w:p>
          <w:p w14:paraId="577CDCFA" w14:textId="77777777" w:rsidR="003032EB" w:rsidRPr="001B1505" w:rsidRDefault="003032EB" w:rsidP="00BB1AA3">
            <w:pPr>
              <w:rPr>
                <w:lang w:val="es-CO"/>
              </w:rPr>
            </w:pPr>
          </w:p>
          <w:p w14:paraId="6C3650F6" w14:textId="77777777" w:rsidR="003032EB" w:rsidRDefault="003032EB" w:rsidP="00BB1AA3">
            <w:pPr>
              <w:rPr>
                <w:lang w:val="es-MX"/>
              </w:rPr>
            </w:pPr>
            <w:r w:rsidRPr="001B1505">
              <w:rPr>
                <w:lang w:val="es-MX"/>
              </w:rPr>
              <w:t xml:space="preserve">Por lo tanto, se invita a las empresas que envíen la información disponible de mediciones en sitio y satelital con copia al </w:t>
            </w:r>
            <w:proofErr w:type="spellStart"/>
            <w:r w:rsidRPr="001B1505">
              <w:rPr>
                <w:lang w:val="es-MX"/>
              </w:rPr>
              <w:t>CND</w:t>
            </w:r>
            <w:proofErr w:type="spellEnd"/>
            <w:r w:rsidRPr="001B1505">
              <w:rPr>
                <w:lang w:val="es-MX"/>
              </w:rPr>
              <w:t xml:space="preserve"> para iniciar los estudios y</w:t>
            </w:r>
            <w:r>
              <w:rPr>
                <w:lang w:val="es-MX"/>
              </w:rPr>
              <w:t>, además,</w:t>
            </w:r>
            <w:r w:rsidRPr="001B1505">
              <w:rPr>
                <w:lang w:val="es-MX"/>
              </w:rPr>
              <w:t xml:space="preserve"> toda aquella información para modelar conforme la Resolución CREG 101 006 de 2023.</w:t>
            </w:r>
          </w:p>
          <w:p w14:paraId="7ACCEE04" w14:textId="77777777" w:rsidR="003032EB" w:rsidRPr="001B1505" w:rsidRDefault="003032EB" w:rsidP="00BB1AA3">
            <w:pPr>
              <w:rPr>
                <w:lang w:val="es-CO"/>
              </w:rPr>
            </w:pPr>
          </w:p>
          <w:p w14:paraId="22D40B03" w14:textId="77777777" w:rsidR="003032EB" w:rsidRPr="001B1505" w:rsidRDefault="003032EB" w:rsidP="00BB1AA3">
            <w:pPr>
              <w:rPr>
                <w:lang w:val="es-CO"/>
              </w:rPr>
            </w:pPr>
            <w:r w:rsidRPr="001B1505">
              <w:rPr>
                <w:lang w:val="es-MX"/>
              </w:rPr>
              <w:t>Esto se analizaría en resolución independiente y un nuevo proyecto regulatorio.</w:t>
            </w:r>
          </w:p>
          <w:p w14:paraId="3BB739CC" w14:textId="77777777" w:rsidR="003032EB" w:rsidRPr="00775E86" w:rsidRDefault="003032EB" w:rsidP="00BB1AA3">
            <w:pPr>
              <w:rPr>
                <w:lang w:val="es-MX"/>
              </w:rPr>
            </w:pPr>
          </w:p>
        </w:tc>
      </w:tr>
      <w:tr w:rsidR="003032EB" w:rsidRPr="00F17952" w14:paraId="32BF7D50" w14:textId="77777777" w:rsidTr="00BB1AA3">
        <w:trPr>
          <w:trHeight w:val="584"/>
        </w:trPr>
        <w:tc>
          <w:tcPr>
            <w:tcW w:w="4390" w:type="dxa"/>
          </w:tcPr>
          <w:p w14:paraId="19CFC734" w14:textId="56810C9C" w:rsidR="003032EB" w:rsidRDefault="003032EB" w:rsidP="00BB1AA3">
            <w:pPr>
              <w:rPr>
                <w:lang w:val="es-MX"/>
              </w:rPr>
            </w:pPr>
            <w:r>
              <w:rPr>
                <w:lang w:val="es-MX"/>
              </w:rPr>
              <w:t>P</w:t>
            </w:r>
            <w:r w:rsidRPr="0073446F">
              <w:rPr>
                <w:lang w:val="es-MX"/>
              </w:rPr>
              <w:t xml:space="preserve">ara maximizar el impacto de esta medida, </w:t>
            </w:r>
            <w:r>
              <w:rPr>
                <w:lang w:val="es-MX"/>
              </w:rPr>
              <w:t xml:space="preserve">que </w:t>
            </w:r>
            <w:r w:rsidRPr="0073446F">
              <w:rPr>
                <w:lang w:val="es-MX"/>
              </w:rPr>
              <w:t xml:space="preserve">se habilite el </w:t>
            </w:r>
            <w:r w:rsidR="009A08F5" w:rsidRPr="0073446F">
              <w:rPr>
                <w:lang w:val="es-MX"/>
              </w:rPr>
              <w:t xml:space="preserve">mecanismo de tomadores de cargo con un precio de referencia basado </w:t>
            </w:r>
            <w:proofErr w:type="gramStart"/>
            <w:r w:rsidR="009A08F5" w:rsidRPr="0073446F">
              <w:rPr>
                <w:lang w:val="es-MX"/>
              </w:rPr>
              <w:t>en</w:t>
            </w:r>
            <w:r w:rsidRPr="0073446F">
              <w:rPr>
                <w:lang w:val="es-MX"/>
              </w:rPr>
              <w:t xml:space="preserve">  la</w:t>
            </w:r>
            <w:proofErr w:type="gramEnd"/>
            <w:r w:rsidRPr="0073446F">
              <w:rPr>
                <w:lang w:val="es-MX"/>
              </w:rPr>
              <w:t xml:space="preserve">  última  subasta adjudicada, menos un valor establecido, y se permita la participación de  los proyectos en otros mecanismos  de  asignación  de  </w:t>
            </w:r>
            <w:proofErr w:type="spellStart"/>
            <w:r w:rsidRPr="0073446F">
              <w:rPr>
                <w:lang w:val="es-MX"/>
              </w:rPr>
              <w:t>OEF</w:t>
            </w:r>
            <w:proofErr w:type="spellEnd"/>
            <w:r w:rsidRPr="0073446F">
              <w:rPr>
                <w:lang w:val="es-MX"/>
              </w:rPr>
              <w:t>,  como  futuras  subasta</w:t>
            </w:r>
            <w:r>
              <w:rPr>
                <w:lang w:val="es-MX"/>
              </w:rPr>
              <w:t>.</w:t>
            </w:r>
          </w:p>
          <w:p w14:paraId="5319D641" w14:textId="77777777" w:rsidR="003032EB" w:rsidRPr="00775E86" w:rsidRDefault="003032EB" w:rsidP="00BB1AA3">
            <w:pPr>
              <w:rPr>
                <w:lang w:val="es-MX"/>
              </w:rPr>
            </w:pPr>
          </w:p>
        </w:tc>
        <w:tc>
          <w:tcPr>
            <w:tcW w:w="4961" w:type="dxa"/>
          </w:tcPr>
          <w:p w14:paraId="213D5694" w14:textId="77777777" w:rsidR="003032EB" w:rsidRPr="0073446F" w:rsidRDefault="003032EB" w:rsidP="00BB1AA3">
            <w:pPr>
              <w:rPr>
                <w:lang w:val="es-CO"/>
              </w:rPr>
            </w:pPr>
            <w:r w:rsidRPr="0073446F">
              <w:rPr>
                <w:lang w:val="es-MX"/>
              </w:rPr>
              <w:t>Esto no es parte de la propuesta. Se analizará en el mecanismo de tomadores del cargo.</w:t>
            </w:r>
          </w:p>
          <w:p w14:paraId="492F32DF" w14:textId="77777777" w:rsidR="003032EB" w:rsidRPr="001B1505" w:rsidRDefault="003032EB" w:rsidP="00BB1AA3">
            <w:pPr>
              <w:rPr>
                <w:lang w:val="es-MX"/>
              </w:rPr>
            </w:pPr>
          </w:p>
        </w:tc>
      </w:tr>
      <w:tr w:rsidR="003032EB" w:rsidRPr="00F17952" w14:paraId="11CEF1B4" w14:textId="77777777" w:rsidTr="00BB1AA3">
        <w:trPr>
          <w:trHeight w:val="584"/>
        </w:trPr>
        <w:tc>
          <w:tcPr>
            <w:tcW w:w="4390" w:type="dxa"/>
          </w:tcPr>
          <w:p w14:paraId="773739E7" w14:textId="77777777" w:rsidR="003032EB" w:rsidRDefault="003032EB" w:rsidP="00BB1AA3">
            <w:pPr>
              <w:rPr>
                <w:lang w:val="es-MX"/>
              </w:rPr>
            </w:pPr>
            <w:r w:rsidRPr="008A518F">
              <w:rPr>
                <w:lang w:val="es-MX"/>
              </w:rPr>
              <w:t>Incluir en los análisis de Energía Firme de dichas plantas la pérdida de capacidad asociada a la degradación de los paneles solares en el horizonte de asignación de las obligaciones</w:t>
            </w:r>
            <w:r>
              <w:rPr>
                <w:lang w:val="es-MX"/>
              </w:rPr>
              <w:t>.</w:t>
            </w:r>
          </w:p>
          <w:p w14:paraId="1CB55CF0" w14:textId="77777777" w:rsidR="003032EB" w:rsidRPr="0073446F" w:rsidRDefault="003032EB" w:rsidP="00BB1AA3">
            <w:pPr>
              <w:rPr>
                <w:lang w:val="es-MX"/>
              </w:rPr>
            </w:pPr>
          </w:p>
        </w:tc>
        <w:tc>
          <w:tcPr>
            <w:tcW w:w="4961" w:type="dxa"/>
          </w:tcPr>
          <w:p w14:paraId="74BB2D24" w14:textId="77777777" w:rsidR="003032EB" w:rsidRPr="008A518F" w:rsidRDefault="003032EB" w:rsidP="00BB1AA3">
            <w:pPr>
              <w:rPr>
                <w:lang w:val="es-CO"/>
              </w:rPr>
            </w:pPr>
            <w:r w:rsidRPr="008A518F">
              <w:rPr>
                <w:lang w:val="es-MX"/>
              </w:rPr>
              <w:t xml:space="preserve">El modelo </w:t>
            </w:r>
            <w:r>
              <w:rPr>
                <w:lang w:val="es-MX"/>
              </w:rPr>
              <w:t xml:space="preserve">actual publicado en la Circular CREG 22 de 2024 </w:t>
            </w:r>
            <w:r w:rsidRPr="008A518F">
              <w:rPr>
                <w:lang w:val="es-MX"/>
              </w:rPr>
              <w:t>ya incluye la degradación dada por fabricante</w:t>
            </w:r>
            <w:r>
              <w:rPr>
                <w:lang w:val="es-MX"/>
              </w:rPr>
              <w:t>. Esto se incluyó dentro de las condiciones del modelo en la Res. CREG 101 007 de 2023.</w:t>
            </w:r>
          </w:p>
          <w:p w14:paraId="4BBFA2A2" w14:textId="77777777" w:rsidR="003032EB" w:rsidRPr="0073446F" w:rsidRDefault="003032EB" w:rsidP="00BB1AA3">
            <w:pPr>
              <w:rPr>
                <w:lang w:val="es-MX"/>
              </w:rPr>
            </w:pPr>
          </w:p>
        </w:tc>
      </w:tr>
      <w:tr w:rsidR="003032EB" w:rsidRPr="00F17952" w14:paraId="316E4E27" w14:textId="77777777" w:rsidTr="00BB1AA3">
        <w:trPr>
          <w:trHeight w:val="584"/>
        </w:trPr>
        <w:tc>
          <w:tcPr>
            <w:tcW w:w="4390" w:type="dxa"/>
          </w:tcPr>
          <w:p w14:paraId="4B1B397E" w14:textId="77777777" w:rsidR="003032EB" w:rsidRDefault="003032EB" w:rsidP="00BB1AA3">
            <w:pPr>
              <w:rPr>
                <w:lang w:val="es-MX"/>
              </w:rPr>
            </w:pPr>
            <w:r w:rsidRPr="008A518F">
              <w:rPr>
                <w:lang w:val="es-MX"/>
              </w:rPr>
              <w:t xml:space="preserve">Que se </w:t>
            </w:r>
            <w:proofErr w:type="gramStart"/>
            <w:r w:rsidRPr="008A518F">
              <w:rPr>
                <w:lang w:val="es-MX"/>
              </w:rPr>
              <w:t>consideren  medidas</w:t>
            </w:r>
            <w:proofErr w:type="gramEnd"/>
            <w:r w:rsidRPr="008A518F">
              <w:rPr>
                <w:lang w:val="es-MX"/>
              </w:rPr>
              <w:t xml:space="preserve">  adicionales  que permitan  mejorar  el  desarrollo  de  las  </w:t>
            </w:r>
            <w:proofErr w:type="spellStart"/>
            <w:r w:rsidRPr="008A518F">
              <w:rPr>
                <w:lang w:val="es-MX"/>
              </w:rPr>
              <w:t>FNCER</w:t>
            </w:r>
            <w:proofErr w:type="spellEnd"/>
            <w:r w:rsidRPr="008A518F">
              <w:rPr>
                <w:lang w:val="es-MX"/>
              </w:rPr>
              <w:t xml:space="preserve">  en  el  país.  </w:t>
            </w:r>
            <w:proofErr w:type="gramStart"/>
            <w:r w:rsidRPr="008A518F">
              <w:rPr>
                <w:lang w:val="es-MX"/>
              </w:rPr>
              <w:t>Estas  medidas</w:t>
            </w:r>
            <w:proofErr w:type="gramEnd"/>
            <w:r w:rsidRPr="008A518F">
              <w:rPr>
                <w:lang w:val="es-MX"/>
              </w:rPr>
              <w:t xml:space="preserve">  incluyen  el  cobro  de penalizaciones  por  desviaciones  en  la  generación  variable,  el  reconocimiento  de  </w:t>
            </w:r>
            <w:proofErr w:type="spellStart"/>
            <w:r w:rsidRPr="008A518F">
              <w:rPr>
                <w:lang w:val="es-MX"/>
              </w:rPr>
              <w:t>ENFICC</w:t>
            </w:r>
            <w:proofErr w:type="spellEnd"/>
            <w:r w:rsidRPr="008A518F">
              <w:rPr>
                <w:lang w:val="es-MX"/>
              </w:rPr>
              <w:t xml:space="preserve">  por </w:t>
            </w:r>
            <w:r w:rsidRPr="008A518F">
              <w:rPr>
                <w:lang w:val="es-MX"/>
              </w:rPr>
              <w:lastRenderedPageBreak/>
              <w:t>complementariedad entre las energías solar y eólica con la matriz energética de Colombia</w:t>
            </w:r>
            <w:r>
              <w:rPr>
                <w:lang w:val="es-MX"/>
              </w:rPr>
              <w:t>.</w:t>
            </w:r>
          </w:p>
          <w:p w14:paraId="6E796BF7" w14:textId="77777777" w:rsidR="003032EB" w:rsidRDefault="003032EB" w:rsidP="00BB1AA3">
            <w:pPr>
              <w:rPr>
                <w:lang w:val="es-CO"/>
              </w:rPr>
            </w:pPr>
          </w:p>
          <w:p w14:paraId="432FD0BA" w14:textId="77777777" w:rsidR="003032EB" w:rsidRPr="008A518F" w:rsidRDefault="003032EB" w:rsidP="00BB1AA3">
            <w:pPr>
              <w:rPr>
                <w:lang w:val="es-CO"/>
              </w:rPr>
            </w:pPr>
            <w:r w:rsidRPr="0073446F">
              <w:rPr>
                <w:lang w:val="es-MX"/>
              </w:rPr>
              <w:t>Hoy las desviaciones son difíciles de pronosticar, el largo plazo es más difícil. Conservar lo propuesto inicialmente mientras se tiene experiencia y más datos. En específico la preocupación es para revisar los aspectos de la operación diaria sobre desviaciones dado que les está siendo difícil hacer el pronóstico.</w:t>
            </w:r>
          </w:p>
          <w:p w14:paraId="1C673BED" w14:textId="77777777" w:rsidR="003032EB" w:rsidRPr="008A518F" w:rsidRDefault="003032EB" w:rsidP="00BB1AA3">
            <w:pPr>
              <w:rPr>
                <w:lang w:val="es-MX"/>
              </w:rPr>
            </w:pPr>
          </w:p>
        </w:tc>
        <w:tc>
          <w:tcPr>
            <w:tcW w:w="4961" w:type="dxa"/>
          </w:tcPr>
          <w:p w14:paraId="3F72AA18" w14:textId="77777777" w:rsidR="003032EB" w:rsidRPr="008A518F" w:rsidRDefault="003032EB" w:rsidP="00BB1AA3">
            <w:pPr>
              <w:rPr>
                <w:lang w:val="es-CO"/>
              </w:rPr>
            </w:pPr>
            <w:r w:rsidRPr="008A518F">
              <w:rPr>
                <w:lang w:val="es-MX"/>
              </w:rPr>
              <w:lastRenderedPageBreak/>
              <w:t>Esto no es parte de la propuesta. Se analizará en el mecanismo de desviaciones</w:t>
            </w:r>
          </w:p>
          <w:p w14:paraId="2CF440FF" w14:textId="77777777" w:rsidR="003032EB" w:rsidRPr="008A518F" w:rsidRDefault="003032EB" w:rsidP="00BB1AA3">
            <w:pPr>
              <w:rPr>
                <w:lang w:val="es-MX"/>
              </w:rPr>
            </w:pPr>
          </w:p>
        </w:tc>
      </w:tr>
      <w:tr w:rsidR="003032EB" w:rsidRPr="00F17952" w14:paraId="68ACC7A1" w14:textId="77777777" w:rsidTr="00BB1AA3">
        <w:trPr>
          <w:trHeight w:val="584"/>
        </w:trPr>
        <w:tc>
          <w:tcPr>
            <w:tcW w:w="4390" w:type="dxa"/>
          </w:tcPr>
          <w:p w14:paraId="6FB90E00" w14:textId="77777777" w:rsidR="003032EB" w:rsidRDefault="003032EB" w:rsidP="00BB1AA3">
            <w:pPr>
              <w:rPr>
                <w:lang w:val="es-MX"/>
              </w:rPr>
            </w:pPr>
            <w:r w:rsidRPr="00F86E86">
              <w:rPr>
                <w:lang w:val="es-MX"/>
              </w:rPr>
              <w:lastRenderedPageBreak/>
              <w:t xml:space="preserve">es importante que el </w:t>
            </w:r>
            <w:proofErr w:type="spellStart"/>
            <w:r w:rsidRPr="00F86E86">
              <w:rPr>
                <w:lang w:val="es-MX"/>
              </w:rPr>
              <w:t>CND</w:t>
            </w:r>
            <w:proofErr w:type="spellEnd"/>
            <w:r w:rsidRPr="00F86E86">
              <w:rPr>
                <w:lang w:val="es-MX"/>
              </w:rPr>
              <w:t xml:space="preserve"> </w:t>
            </w:r>
            <w:proofErr w:type="gramStart"/>
            <w:r w:rsidRPr="00F86E86">
              <w:rPr>
                <w:lang w:val="es-MX"/>
              </w:rPr>
              <w:t>lleve  a</w:t>
            </w:r>
            <w:proofErr w:type="gramEnd"/>
            <w:r w:rsidRPr="00F86E86">
              <w:rPr>
                <w:lang w:val="es-MX"/>
              </w:rPr>
              <w:t xml:space="preserve">  cabo  un  monitoreo  y  seguimiento  riguroso  de  la integración de recursos de energías renovables de fuentes variables en el sistema eléctrico colombiano. Esto implica realizar un análisis de potencia durante la operación del SIN, lo que permitirá a la CREG llevar a cabo evaluación de riesgos para el sistema</w:t>
            </w:r>
            <w:r>
              <w:rPr>
                <w:lang w:val="es-MX"/>
              </w:rPr>
              <w:t>.</w:t>
            </w:r>
          </w:p>
          <w:p w14:paraId="295AFC0E" w14:textId="77777777" w:rsidR="003032EB" w:rsidRPr="008A518F" w:rsidRDefault="003032EB" w:rsidP="00BB1AA3">
            <w:pPr>
              <w:rPr>
                <w:lang w:val="es-MX"/>
              </w:rPr>
            </w:pPr>
          </w:p>
        </w:tc>
        <w:tc>
          <w:tcPr>
            <w:tcW w:w="4961" w:type="dxa"/>
          </w:tcPr>
          <w:p w14:paraId="228467D9" w14:textId="77777777" w:rsidR="003032EB" w:rsidRPr="00F86E86" w:rsidRDefault="003032EB" w:rsidP="00BB1AA3">
            <w:pPr>
              <w:rPr>
                <w:lang w:val="es-CO"/>
              </w:rPr>
            </w:pPr>
            <w:proofErr w:type="spellStart"/>
            <w:r w:rsidRPr="00F86E86">
              <w:rPr>
                <w:lang w:val="es-MX"/>
              </w:rPr>
              <w:t>CND</w:t>
            </w:r>
            <w:proofErr w:type="spellEnd"/>
            <w:r w:rsidRPr="00F86E86">
              <w:rPr>
                <w:lang w:val="es-MX"/>
              </w:rPr>
              <w:t xml:space="preserve"> tiene por Ley para</w:t>
            </w:r>
            <w:r>
              <w:rPr>
                <w:lang w:val="es-MX"/>
              </w:rPr>
              <w:t xml:space="preserve"> garantizar</w:t>
            </w:r>
            <w:r w:rsidRPr="00F86E86">
              <w:rPr>
                <w:lang w:val="es-MX"/>
              </w:rPr>
              <w:t xml:space="preserve"> la operación segura y confiable. Actualmente estos realizan seguimiento y envían propuestas a la CREG</w:t>
            </w:r>
            <w:r>
              <w:rPr>
                <w:lang w:val="es-MX"/>
              </w:rPr>
              <w:t xml:space="preserve"> y presentan su informe de flexibilidad, donde se analiza la penetración de </w:t>
            </w:r>
            <w:proofErr w:type="spellStart"/>
            <w:r>
              <w:rPr>
                <w:lang w:val="es-MX"/>
              </w:rPr>
              <w:t>FNCER</w:t>
            </w:r>
            <w:proofErr w:type="spellEnd"/>
            <w:r>
              <w:rPr>
                <w:lang w:val="es-MX"/>
              </w:rPr>
              <w:t>.</w:t>
            </w:r>
          </w:p>
          <w:p w14:paraId="4C90C39A" w14:textId="77777777" w:rsidR="003032EB" w:rsidRPr="008A518F" w:rsidRDefault="003032EB" w:rsidP="00BB1AA3">
            <w:pPr>
              <w:rPr>
                <w:lang w:val="es-MX"/>
              </w:rPr>
            </w:pPr>
          </w:p>
        </w:tc>
      </w:tr>
    </w:tbl>
    <w:p w14:paraId="47735FC7" w14:textId="77777777" w:rsidR="003032EB" w:rsidRDefault="003032EB" w:rsidP="003032EB"/>
    <w:p w14:paraId="302E2B89" w14:textId="77777777" w:rsidR="003032EB" w:rsidRPr="00575ABD" w:rsidRDefault="003032EB" w:rsidP="003032EB"/>
    <w:p w14:paraId="7649033A" w14:textId="77777777" w:rsidR="003032EB" w:rsidRPr="00D962F4" w:rsidRDefault="003032EB" w:rsidP="003032EB">
      <w:pPr>
        <w:pStyle w:val="Ttulo1"/>
        <w:numPr>
          <w:ilvl w:val="0"/>
          <w:numId w:val="1"/>
        </w:numPr>
        <w:spacing w:after="0"/>
        <w:rPr>
          <w:rFonts w:cs="Arial"/>
          <w:szCs w:val="24"/>
        </w:rPr>
      </w:pPr>
      <w:bookmarkStart w:id="21" w:name="_Toc167802969"/>
      <w:r>
        <w:rPr>
          <w:rFonts w:cs="Arial"/>
          <w:szCs w:val="24"/>
        </w:rPr>
        <w:t>CONCLUSIÓN</w:t>
      </w:r>
      <w:bookmarkEnd w:id="21"/>
      <w:r>
        <w:rPr>
          <w:rFonts w:cs="Arial"/>
          <w:szCs w:val="24"/>
        </w:rPr>
        <w:t xml:space="preserve"> </w:t>
      </w:r>
    </w:p>
    <w:p w14:paraId="6A0DCDD1" w14:textId="77777777" w:rsidR="003032EB" w:rsidRPr="00D962F4" w:rsidRDefault="003032EB" w:rsidP="003032EB">
      <w:pPr>
        <w:rPr>
          <w:rFonts w:cs="Arial"/>
          <w:b/>
          <w:szCs w:val="24"/>
          <w:highlight w:val="yellow"/>
        </w:rPr>
      </w:pPr>
    </w:p>
    <w:p w14:paraId="2E9DAD9C" w14:textId="77777777" w:rsidR="003032EB" w:rsidRDefault="003032EB" w:rsidP="003032EB">
      <w:r>
        <w:t>Con base en los análisis, se recomienda publicar en versión definitiva la alternativa presentada en el proyecto de Resolución CREG 701 043 de 2024 sin modificaciones.</w:t>
      </w:r>
    </w:p>
    <w:p w14:paraId="7219F59D" w14:textId="77777777" w:rsidR="003032EB" w:rsidRDefault="003032EB" w:rsidP="003032EB"/>
    <w:p w14:paraId="68F06DDC" w14:textId="77777777" w:rsidR="003032EB" w:rsidRDefault="003032EB" w:rsidP="003032EB">
      <w:r>
        <w:t xml:space="preserve">Se encuentra que dentro del tipo de recurso analizado que es </w:t>
      </w:r>
      <w:proofErr w:type="spellStart"/>
      <w:r>
        <w:t>FNCER</w:t>
      </w:r>
      <w:proofErr w:type="spellEnd"/>
      <w:r>
        <w:t xml:space="preserve">, para las plantas eólicas no se tienen datos para poder simular. En todo caso se entiende tienen un factor de ajuste más elevado respecto de las plantas solares, cuando no se usan datos en sitio para el pronóstico de la energía, esto debido a que su energía varía en función del cubo de la velocidad del viento y un error en el pronóstico de dicha variable genera errores mucho más elevados en el pronóstico de su energía. </w:t>
      </w:r>
    </w:p>
    <w:p w14:paraId="6AB38B6D" w14:textId="77777777" w:rsidR="003032EB" w:rsidRDefault="003032EB" w:rsidP="003032EB"/>
    <w:p w14:paraId="04F8D421" w14:textId="015B36FF" w:rsidR="003032EB" w:rsidRDefault="003032EB" w:rsidP="003032EB">
      <w:r>
        <w:t xml:space="preserve">Se deben tener datos para la simulación de plantas eólicas, las cuales </w:t>
      </w:r>
      <w:r w:rsidR="009A08F5">
        <w:t>podrán</w:t>
      </w:r>
      <w:r>
        <w:t xml:space="preserve"> analizarse en otro proyecto normativo</w:t>
      </w:r>
      <w:r w:rsidR="009A08F5">
        <w:t xml:space="preserve"> en la medida que se tenga información suficiente para adelantar análisis complementarios y se concluya que es necesario ajustar el factor que se tiene actualmente reglado</w:t>
      </w:r>
      <w:r>
        <w:t xml:space="preserve">. </w:t>
      </w:r>
      <w:r w:rsidR="009A08F5">
        <w:t>En ese sentido, s</w:t>
      </w:r>
      <w:r>
        <w:t xml:space="preserve">e invita a las empresas interesadas a enviar los datos y parámetros a CREG y </w:t>
      </w:r>
      <w:proofErr w:type="spellStart"/>
      <w:r>
        <w:t>CND</w:t>
      </w:r>
      <w:proofErr w:type="spellEnd"/>
      <w:r>
        <w:t xml:space="preserve"> para realizar simulaciones completas conforme la Resolución CREG 101 006 de 2023. </w:t>
      </w:r>
    </w:p>
    <w:p w14:paraId="58EEAF4F" w14:textId="77777777" w:rsidR="003032EB" w:rsidRDefault="003032EB" w:rsidP="003032EB">
      <w:pPr>
        <w:tabs>
          <w:tab w:val="left" w:pos="2528"/>
        </w:tabs>
      </w:pPr>
      <w:r>
        <w:lastRenderedPageBreak/>
        <w:tab/>
      </w:r>
    </w:p>
    <w:p w14:paraId="57C841D0" w14:textId="77777777" w:rsidR="003032EB" w:rsidRDefault="003032EB" w:rsidP="003032EB">
      <w:r>
        <w:t xml:space="preserve">Por otra parte, en el caso solar, se encuentra más información disponible, dentro de la cual se encuentra que el error en el cálculo de la energía es aproximadamente lineal respecto del error en el pronóstico de su recurso. Esto marca una diferencia respecto de las plantas eólicas, lo cual es natural de su recurso y forma de generar y modelar su energía. </w:t>
      </w:r>
    </w:p>
    <w:p w14:paraId="3891B9C8" w14:textId="77777777" w:rsidR="003032EB" w:rsidRDefault="003032EB" w:rsidP="003032EB"/>
    <w:p w14:paraId="4990F2BD" w14:textId="77777777" w:rsidR="003032EB" w:rsidRDefault="003032EB" w:rsidP="003032EB">
      <w:r>
        <w:t>Adicionalmente se tienen datos y ejercicios con la nueva modelación para plantas solares en Colombia que concuerdan con la mayoría de información consultada en la literatura y el estudio presentado por Ser Colombia.</w:t>
      </w:r>
    </w:p>
    <w:p w14:paraId="58BD28A1" w14:textId="77777777" w:rsidR="003032EB" w:rsidRDefault="003032EB" w:rsidP="003032EB"/>
    <w:p w14:paraId="6BCC9EDF" w14:textId="77777777" w:rsidR="003032EB" w:rsidRDefault="003032EB" w:rsidP="003032EB"/>
    <w:p w14:paraId="23F7D0EB" w14:textId="1ABABF87" w:rsidR="003032EB" w:rsidRPr="00D962F4" w:rsidRDefault="003032EB" w:rsidP="003032EB">
      <w:pPr>
        <w:pStyle w:val="Ttulo1"/>
        <w:numPr>
          <w:ilvl w:val="0"/>
          <w:numId w:val="1"/>
        </w:numPr>
        <w:spacing w:after="0"/>
        <w:rPr>
          <w:rFonts w:cs="Arial"/>
          <w:szCs w:val="24"/>
        </w:rPr>
      </w:pPr>
      <w:bookmarkStart w:id="22" w:name="_Toc167802970"/>
      <w:r>
        <w:rPr>
          <w:rFonts w:cs="Arial"/>
          <w:szCs w:val="24"/>
        </w:rPr>
        <w:t xml:space="preserve">CUESTIONARIO DE </w:t>
      </w:r>
      <w:r w:rsidR="00C95552">
        <w:rPr>
          <w:rFonts w:cs="Arial"/>
          <w:szCs w:val="24"/>
        </w:rPr>
        <w:t>ABOGACÍA</w:t>
      </w:r>
      <w:r>
        <w:rPr>
          <w:rFonts w:cs="Arial"/>
          <w:szCs w:val="24"/>
        </w:rPr>
        <w:t xml:space="preserve"> DE LA COMPETENCIA -SIC</w:t>
      </w:r>
      <w:bookmarkEnd w:id="22"/>
    </w:p>
    <w:p w14:paraId="75167D3E" w14:textId="77777777" w:rsidR="003032EB" w:rsidRDefault="003032EB" w:rsidP="003032EB"/>
    <w:p w14:paraId="7ACFA45D" w14:textId="77777777" w:rsidR="003032EB" w:rsidRDefault="003032EB" w:rsidP="003032EB"/>
    <w:tbl>
      <w:tblPr>
        <w:tblStyle w:val="Tablaconcuadrcula"/>
        <w:tblW w:w="0" w:type="auto"/>
        <w:tblLook w:val="04A0" w:firstRow="1" w:lastRow="0" w:firstColumn="1" w:lastColumn="0" w:noHBand="0" w:noVBand="1"/>
      </w:tblPr>
      <w:tblGrid>
        <w:gridCol w:w="916"/>
        <w:gridCol w:w="976"/>
        <w:gridCol w:w="3037"/>
        <w:gridCol w:w="390"/>
        <w:gridCol w:w="492"/>
        <w:gridCol w:w="1756"/>
        <w:gridCol w:w="1829"/>
      </w:tblGrid>
      <w:tr w:rsidR="003032EB" w:rsidRPr="009F56F3" w14:paraId="0B9432EE" w14:textId="77777777" w:rsidTr="00BB1AA3">
        <w:trPr>
          <w:trHeight w:val="1453"/>
        </w:trPr>
        <w:tc>
          <w:tcPr>
            <w:tcW w:w="4756" w:type="dxa"/>
            <w:gridSpan w:val="3"/>
            <w:noWrap/>
            <w:hideMark/>
          </w:tcPr>
          <w:p w14:paraId="0AE172E8" w14:textId="77777777" w:rsidR="003032EB" w:rsidRPr="00B51AB3" w:rsidRDefault="003032EB" w:rsidP="00BB1AA3">
            <w:pPr>
              <w:spacing w:line="360" w:lineRule="auto"/>
              <w:rPr>
                <w:sz w:val="20"/>
                <w:lang w:val="es-CO"/>
              </w:rPr>
            </w:pPr>
          </w:p>
          <w:tbl>
            <w:tblPr>
              <w:tblW w:w="0" w:type="auto"/>
              <w:tblCellSpacing w:w="0" w:type="dxa"/>
              <w:tblCellMar>
                <w:left w:w="0" w:type="dxa"/>
                <w:right w:w="0" w:type="dxa"/>
              </w:tblCellMar>
              <w:tblLook w:val="04A0" w:firstRow="1" w:lastRow="0" w:firstColumn="1" w:lastColumn="0" w:noHBand="0" w:noVBand="1"/>
            </w:tblPr>
            <w:tblGrid>
              <w:gridCol w:w="4703"/>
            </w:tblGrid>
            <w:tr w:rsidR="003032EB" w:rsidRPr="009F56F3" w14:paraId="13668852" w14:textId="77777777" w:rsidTr="00BB1AA3">
              <w:trPr>
                <w:trHeight w:val="1453"/>
                <w:tblCellSpacing w:w="0" w:type="dxa"/>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F026" w14:textId="77777777" w:rsidR="003032EB" w:rsidRPr="009F56F3" w:rsidRDefault="003032EB" w:rsidP="00BB1AA3">
                  <w:pPr>
                    <w:spacing w:line="360" w:lineRule="auto"/>
                    <w:rPr>
                      <w:rFonts w:cs="Arial"/>
                      <w:sz w:val="20"/>
                    </w:rPr>
                  </w:pPr>
                  <w:bookmarkStart w:id="23" w:name="RANGE!A1:G27"/>
                  <w:r w:rsidRPr="009F56F3">
                    <w:rPr>
                      <w:rFonts w:cs="Arial"/>
                      <w:noProof/>
                      <w:sz w:val="20"/>
                    </w:rPr>
                    <w:drawing>
                      <wp:anchor distT="0" distB="0" distL="114300" distR="114300" simplePos="0" relativeHeight="251658241" behindDoc="0" locked="0" layoutInCell="1" allowOverlap="1" wp14:anchorId="715B404A" wp14:editId="488D3643">
                        <wp:simplePos x="0" y="0"/>
                        <wp:positionH relativeFrom="column">
                          <wp:posOffset>701675</wp:posOffset>
                        </wp:positionH>
                        <wp:positionV relativeFrom="paragraph">
                          <wp:posOffset>-27940</wp:posOffset>
                        </wp:positionV>
                        <wp:extent cx="1695450" cy="781050"/>
                        <wp:effectExtent l="0" t="0" r="0" b="0"/>
                        <wp:wrapNone/>
                        <wp:docPr id="3" name="Picture 6" descr="\\Abeltran\publico\Logo completo.gif">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1" descr="\\Abeltran\publico\Logo completo.gif">
                                  <a:extLst>
                                    <a:ext uri="{FF2B5EF4-FFF2-40B4-BE49-F238E27FC236}">
                                      <a16:creationId xmlns:a16="http://schemas.microsoft.com/office/drawing/2014/main" id="{00000000-0008-0000-0000-000003000000}"/>
                                    </a:ext>
                                  </a:extLst>
                                </pic:cNvPr>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6F3">
                    <w:rPr>
                      <w:rFonts w:cs="Arial"/>
                      <w:sz w:val="20"/>
                    </w:rPr>
                    <w:t> </w:t>
                  </w:r>
                  <w:bookmarkEnd w:id="23"/>
                </w:p>
              </w:tc>
            </w:tr>
          </w:tbl>
          <w:p w14:paraId="5F887333" w14:textId="77777777" w:rsidR="003032EB" w:rsidRPr="009F56F3" w:rsidRDefault="003032EB" w:rsidP="00BB1AA3">
            <w:pPr>
              <w:spacing w:line="360" w:lineRule="auto"/>
              <w:rPr>
                <w:sz w:val="20"/>
              </w:rPr>
            </w:pPr>
          </w:p>
        </w:tc>
        <w:tc>
          <w:tcPr>
            <w:tcW w:w="4640" w:type="dxa"/>
            <w:gridSpan w:val="4"/>
            <w:hideMark/>
          </w:tcPr>
          <w:p w14:paraId="10B85B53" w14:textId="77777777" w:rsidR="003032EB" w:rsidRPr="009F56F3" w:rsidRDefault="003032EB" w:rsidP="00BB1AA3">
            <w:pPr>
              <w:spacing w:line="360" w:lineRule="auto"/>
              <w:rPr>
                <w:b/>
                <w:bCs/>
                <w:sz w:val="20"/>
              </w:rPr>
            </w:pPr>
            <w:r w:rsidRPr="009F56F3">
              <w:rPr>
                <w:b/>
                <w:bCs/>
                <w:sz w:val="20"/>
              </w:rPr>
              <w:t>CUESTIONARIO DE ABOGACÍA DE LA COMPETENCIA - ACTOS ADMINISTRATIVOS EXPEDIDOS CON FINES REGULATORIOS</w:t>
            </w:r>
          </w:p>
        </w:tc>
      </w:tr>
      <w:tr w:rsidR="003032EB" w:rsidRPr="009F56F3" w14:paraId="0BD3C89E" w14:textId="77777777" w:rsidTr="00BB1AA3">
        <w:trPr>
          <w:trHeight w:val="300"/>
        </w:trPr>
        <w:tc>
          <w:tcPr>
            <w:tcW w:w="4756" w:type="dxa"/>
            <w:gridSpan w:val="3"/>
            <w:hideMark/>
          </w:tcPr>
          <w:p w14:paraId="4F729BA4" w14:textId="77777777" w:rsidR="003032EB" w:rsidRPr="009F56F3" w:rsidRDefault="003032EB" w:rsidP="00BB1AA3">
            <w:pPr>
              <w:spacing w:line="360" w:lineRule="auto"/>
              <w:rPr>
                <w:b/>
                <w:bCs/>
                <w:sz w:val="20"/>
              </w:rPr>
            </w:pPr>
            <w:r w:rsidRPr="009F56F3">
              <w:rPr>
                <w:b/>
                <w:bCs/>
                <w:sz w:val="20"/>
              </w:rPr>
              <w:t>OBJETO DEL PROYECTO DE REGULACIÓN:</w:t>
            </w:r>
          </w:p>
        </w:tc>
        <w:tc>
          <w:tcPr>
            <w:tcW w:w="2756" w:type="dxa"/>
            <w:gridSpan w:val="3"/>
            <w:noWrap/>
            <w:hideMark/>
          </w:tcPr>
          <w:p w14:paraId="7AC9D1D8" w14:textId="77777777" w:rsidR="003032EB" w:rsidRPr="009F56F3" w:rsidRDefault="003032EB" w:rsidP="00BB1AA3">
            <w:pPr>
              <w:spacing w:line="360" w:lineRule="auto"/>
              <w:rPr>
                <w:sz w:val="20"/>
              </w:rPr>
            </w:pPr>
            <w:r w:rsidRPr="0042005C">
              <w:rPr>
                <w:sz w:val="20"/>
                <w:u w:val="single"/>
              </w:rPr>
              <w:t xml:space="preserve">Por la cual se ajusta el cálculo de </w:t>
            </w:r>
            <w:proofErr w:type="spellStart"/>
            <w:r w:rsidRPr="0042005C">
              <w:rPr>
                <w:sz w:val="20"/>
                <w:u w:val="single"/>
              </w:rPr>
              <w:t>ENFICC</w:t>
            </w:r>
            <w:proofErr w:type="spellEnd"/>
            <w:r w:rsidRPr="0042005C">
              <w:rPr>
                <w:sz w:val="20"/>
                <w:u w:val="single"/>
              </w:rPr>
              <w:t xml:space="preserve"> de plantas solares fotovoltaicas cuando solo se usa información secundaria</w:t>
            </w:r>
          </w:p>
        </w:tc>
        <w:tc>
          <w:tcPr>
            <w:tcW w:w="1884" w:type="dxa"/>
            <w:hideMark/>
          </w:tcPr>
          <w:p w14:paraId="2B84418F" w14:textId="77777777" w:rsidR="003032EB" w:rsidRPr="009F56F3" w:rsidRDefault="003032EB" w:rsidP="00BB1AA3">
            <w:pPr>
              <w:spacing w:line="360" w:lineRule="auto"/>
              <w:rPr>
                <w:b/>
                <w:bCs/>
                <w:sz w:val="20"/>
              </w:rPr>
            </w:pPr>
            <w:commentRangeStart w:id="24"/>
            <w:r w:rsidRPr="009F56F3">
              <w:rPr>
                <w:b/>
                <w:bCs/>
                <w:sz w:val="20"/>
              </w:rPr>
              <w:t>No. DE RESOLUCIÓN O ACTO:</w:t>
            </w:r>
            <w:commentRangeEnd w:id="24"/>
            <w:r>
              <w:rPr>
                <w:rStyle w:val="Refdecomentario"/>
              </w:rPr>
              <w:commentReference w:id="24"/>
            </w:r>
          </w:p>
        </w:tc>
      </w:tr>
      <w:tr w:rsidR="003032EB" w:rsidRPr="009F56F3" w14:paraId="3B630ADF" w14:textId="77777777" w:rsidTr="00BB1AA3">
        <w:trPr>
          <w:trHeight w:val="300"/>
        </w:trPr>
        <w:tc>
          <w:tcPr>
            <w:tcW w:w="4756" w:type="dxa"/>
            <w:gridSpan w:val="3"/>
            <w:hideMark/>
          </w:tcPr>
          <w:p w14:paraId="56C41BAE" w14:textId="77777777" w:rsidR="003032EB" w:rsidRPr="009F56F3" w:rsidRDefault="003032EB" w:rsidP="00BB1AA3">
            <w:pPr>
              <w:spacing w:line="360" w:lineRule="auto"/>
              <w:rPr>
                <w:b/>
                <w:bCs/>
                <w:sz w:val="20"/>
              </w:rPr>
            </w:pPr>
            <w:r w:rsidRPr="009F56F3">
              <w:rPr>
                <w:b/>
                <w:bCs/>
                <w:sz w:val="20"/>
              </w:rPr>
              <w:t>ENTIDAD QUE REMITE:</w:t>
            </w:r>
          </w:p>
        </w:tc>
        <w:tc>
          <w:tcPr>
            <w:tcW w:w="2756" w:type="dxa"/>
            <w:gridSpan w:val="3"/>
            <w:noWrap/>
            <w:hideMark/>
          </w:tcPr>
          <w:p w14:paraId="3C66CA96" w14:textId="77777777" w:rsidR="003032EB" w:rsidRPr="009F56F3" w:rsidRDefault="003032EB" w:rsidP="00BB1AA3">
            <w:pPr>
              <w:spacing w:line="360" w:lineRule="auto"/>
              <w:rPr>
                <w:b/>
                <w:bCs/>
                <w:sz w:val="20"/>
              </w:rPr>
            </w:pPr>
            <w:r w:rsidRPr="009F56F3">
              <w:rPr>
                <w:b/>
                <w:bCs/>
                <w:sz w:val="20"/>
              </w:rPr>
              <w:t>COMISIÓN DE REGULACIÓN DE ENERGÍA Y GAS</w:t>
            </w:r>
          </w:p>
        </w:tc>
        <w:tc>
          <w:tcPr>
            <w:tcW w:w="1884" w:type="dxa"/>
            <w:noWrap/>
            <w:hideMark/>
          </w:tcPr>
          <w:p w14:paraId="4E76B74E" w14:textId="77777777" w:rsidR="003032EB" w:rsidRPr="009F56F3" w:rsidRDefault="003032EB" w:rsidP="00BB1AA3">
            <w:pPr>
              <w:spacing w:line="360" w:lineRule="auto"/>
              <w:rPr>
                <w:b/>
                <w:bCs/>
                <w:sz w:val="20"/>
              </w:rPr>
            </w:pPr>
            <w:r w:rsidRPr="009F56F3">
              <w:rPr>
                <w:b/>
                <w:bCs/>
                <w:sz w:val="20"/>
              </w:rPr>
              <w:t> </w:t>
            </w:r>
          </w:p>
        </w:tc>
      </w:tr>
      <w:tr w:rsidR="003032EB" w:rsidRPr="009F56F3" w14:paraId="0BE045E6" w14:textId="77777777" w:rsidTr="00BB1AA3">
        <w:trPr>
          <w:trHeight w:val="300"/>
        </w:trPr>
        <w:tc>
          <w:tcPr>
            <w:tcW w:w="9396" w:type="dxa"/>
            <w:gridSpan w:val="7"/>
            <w:noWrap/>
            <w:hideMark/>
          </w:tcPr>
          <w:p w14:paraId="61A4D730" w14:textId="77777777" w:rsidR="003032EB" w:rsidRPr="009F56F3" w:rsidRDefault="003032EB" w:rsidP="00BB1AA3">
            <w:pPr>
              <w:spacing w:line="360" w:lineRule="auto"/>
              <w:rPr>
                <w:b/>
                <w:bCs/>
                <w:sz w:val="20"/>
              </w:rPr>
            </w:pPr>
            <w:r w:rsidRPr="009F56F3">
              <w:rPr>
                <w:b/>
                <w:bCs/>
                <w:sz w:val="20"/>
              </w:rPr>
              <w:t>CUESTIONARIO</w:t>
            </w:r>
          </w:p>
        </w:tc>
      </w:tr>
      <w:tr w:rsidR="003032EB" w:rsidRPr="009F56F3" w14:paraId="4EEB163C" w14:textId="77777777" w:rsidTr="00BB1AA3">
        <w:trPr>
          <w:trHeight w:val="300"/>
        </w:trPr>
        <w:tc>
          <w:tcPr>
            <w:tcW w:w="4756" w:type="dxa"/>
            <w:gridSpan w:val="3"/>
            <w:noWrap/>
            <w:hideMark/>
          </w:tcPr>
          <w:p w14:paraId="35E64CE4" w14:textId="77777777" w:rsidR="003032EB" w:rsidRPr="009F56F3" w:rsidRDefault="003032EB" w:rsidP="00BB1AA3">
            <w:pPr>
              <w:spacing w:line="360" w:lineRule="auto"/>
              <w:rPr>
                <w:b/>
                <w:bCs/>
                <w:sz w:val="20"/>
              </w:rPr>
            </w:pPr>
            <w:r w:rsidRPr="009F56F3">
              <w:rPr>
                <w:b/>
                <w:bCs/>
                <w:sz w:val="20"/>
              </w:rPr>
              <w:t>PREGUNTA</w:t>
            </w:r>
          </w:p>
        </w:tc>
        <w:tc>
          <w:tcPr>
            <w:tcW w:w="383" w:type="dxa"/>
            <w:noWrap/>
            <w:hideMark/>
          </w:tcPr>
          <w:p w14:paraId="5F20937A" w14:textId="77777777" w:rsidR="003032EB" w:rsidRPr="009F56F3" w:rsidRDefault="003032EB" w:rsidP="00BB1AA3">
            <w:pPr>
              <w:spacing w:line="360" w:lineRule="auto"/>
              <w:rPr>
                <w:b/>
                <w:bCs/>
                <w:sz w:val="20"/>
              </w:rPr>
            </w:pPr>
            <w:r w:rsidRPr="009F56F3">
              <w:rPr>
                <w:b/>
                <w:bCs/>
                <w:sz w:val="20"/>
              </w:rPr>
              <w:t>SI</w:t>
            </w:r>
          </w:p>
        </w:tc>
        <w:tc>
          <w:tcPr>
            <w:tcW w:w="480" w:type="dxa"/>
            <w:noWrap/>
            <w:hideMark/>
          </w:tcPr>
          <w:p w14:paraId="7FC6A88D" w14:textId="77777777" w:rsidR="003032EB" w:rsidRPr="009F56F3" w:rsidRDefault="003032EB" w:rsidP="00BB1AA3">
            <w:pPr>
              <w:spacing w:line="360" w:lineRule="auto"/>
              <w:rPr>
                <w:b/>
                <w:bCs/>
                <w:sz w:val="20"/>
              </w:rPr>
            </w:pPr>
            <w:r w:rsidRPr="009F56F3">
              <w:rPr>
                <w:b/>
                <w:bCs/>
                <w:sz w:val="20"/>
              </w:rPr>
              <w:t>NO</w:t>
            </w:r>
          </w:p>
        </w:tc>
        <w:tc>
          <w:tcPr>
            <w:tcW w:w="1893" w:type="dxa"/>
            <w:noWrap/>
            <w:hideMark/>
          </w:tcPr>
          <w:p w14:paraId="033D2562" w14:textId="77777777" w:rsidR="003032EB" w:rsidRPr="009F56F3" w:rsidRDefault="003032EB" w:rsidP="00BB1AA3">
            <w:pPr>
              <w:spacing w:line="360" w:lineRule="auto"/>
              <w:rPr>
                <w:b/>
                <w:bCs/>
                <w:sz w:val="20"/>
              </w:rPr>
            </w:pPr>
            <w:r w:rsidRPr="009F56F3">
              <w:rPr>
                <w:b/>
                <w:bCs/>
                <w:sz w:val="20"/>
              </w:rPr>
              <w:t xml:space="preserve">EXPLICACIÓN </w:t>
            </w:r>
          </w:p>
        </w:tc>
        <w:tc>
          <w:tcPr>
            <w:tcW w:w="1884" w:type="dxa"/>
            <w:noWrap/>
            <w:hideMark/>
          </w:tcPr>
          <w:p w14:paraId="5BCFD354" w14:textId="77777777" w:rsidR="003032EB" w:rsidRPr="009F56F3" w:rsidRDefault="003032EB" w:rsidP="00BB1AA3">
            <w:pPr>
              <w:spacing w:line="360" w:lineRule="auto"/>
              <w:rPr>
                <w:b/>
                <w:bCs/>
                <w:sz w:val="20"/>
              </w:rPr>
            </w:pPr>
            <w:r w:rsidRPr="009F56F3">
              <w:rPr>
                <w:b/>
                <w:bCs/>
                <w:sz w:val="20"/>
              </w:rPr>
              <w:t>OBSERVACIONES</w:t>
            </w:r>
          </w:p>
        </w:tc>
      </w:tr>
      <w:tr w:rsidR="003032EB" w:rsidRPr="009F56F3" w14:paraId="1BFD11C6" w14:textId="77777777" w:rsidTr="00BB1AA3">
        <w:trPr>
          <w:trHeight w:val="600"/>
        </w:trPr>
        <w:tc>
          <w:tcPr>
            <w:tcW w:w="1508" w:type="dxa"/>
            <w:gridSpan w:val="2"/>
            <w:noWrap/>
            <w:hideMark/>
          </w:tcPr>
          <w:p w14:paraId="2BC0C8AD" w14:textId="77777777" w:rsidR="003032EB" w:rsidRPr="009F56F3" w:rsidRDefault="003032EB" w:rsidP="00BB1AA3">
            <w:pPr>
              <w:spacing w:line="360" w:lineRule="auto"/>
              <w:rPr>
                <w:b/>
                <w:bCs/>
                <w:sz w:val="20"/>
              </w:rPr>
            </w:pPr>
            <w:r w:rsidRPr="009F56F3">
              <w:rPr>
                <w:b/>
                <w:bCs/>
                <w:sz w:val="20"/>
              </w:rPr>
              <w:t>1.</w:t>
            </w:r>
          </w:p>
        </w:tc>
        <w:tc>
          <w:tcPr>
            <w:tcW w:w="7888" w:type="dxa"/>
            <w:gridSpan w:val="5"/>
            <w:hideMark/>
          </w:tcPr>
          <w:p w14:paraId="1DDF5643" w14:textId="77777777" w:rsidR="003032EB" w:rsidRPr="009F56F3" w:rsidRDefault="003032EB" w:rsidP="00BB1AA3">
            <w:pPr>
              <w:spacing w:line="360" w:lineRule="auto"/>
              <w:rPr>
                <w:b/>
                <w:bCs/>
                <w:sz w:val="20"/>
              </w:rPr>
            </w:pPr>
            <w:r w:rsidRPr="009F56F3">
              <w:rPr>
                <w:b/>
                <w:bCs/>
                <w:sz w:val="20"/>
              </w:rPr>
              <w:t>¿La regulación limita el número o la variedad de las empresas en uno o varios mercados relevantes relacionados?</w:t>
            </w:r>
            <w:r w:rsidRPr="009F56F3">
              <w:rPr>
                <w:b/>
                <w:bCs/>
                <w:sz w:val="20"/>
              </w:rPr>
              <w:br/>
              <w:t>Es posible que esto suceda, entre otros eventos, cuando el proyecto de acto:</w:t>
            </w:r>
          </w:p>
        </w:tc>
      </w:tr>
      <w:tr w:rsidR="003032EB" w:rsidRPr="009F56F3" w14:paraId="01D73F06" w14:textId="77777777" w:rsidTr="00BB1AA3">
        <w:trPr>
          <w:trHeight w:val="600"/>
        </w:trPr>
        <w:tc>
          <w:tcPr>
            <w:tcW w:w="1508" w:type="dxa"/>
            <w:gridSpan w:val="2"/>
            <w:noWrap/>
            <w:hideMark/>
          </w:tcPr>
          <w:p w14:paraId="569F8CB4" w14:textId="77777777" w:rsidR="003032EB" w:rsidRPr="009F56F3" w:rsidRDefault="003032EB" w:rsidP="00BB1AA3">
            <w:pPr>
              <w:spacing w:line="360" w:lineRule="auto"/>
              <w:rPr>
                <w:sz w:val="20"/>
              </w:rPr>
            </w:pPr>
            <w:r w:rsidRPr="009F56F3">
              <w:rPr>
                <w:sz w:val="20"/>
              </w:rPr>
              <w:t>a)</w:t>
            </w:r>
          </w:p>
        </w:tc>
        <w:tc>
          <w:tcPr>
            <w:tcW w:w="3248" w:type="dxa"/>
            <w:hideMark/>
          </w:tcPr>
          <w:p w14:paraId="41E5C2F0" w14:textId="77777777" w:rsidR="003032EB" w:rsidRPr="009F56F3" w:rsidRDefault="003032EB" w:rsidP="00BB1AA3">
            <w:pPr>
              <w:spacing w:line="360" w:lineRule="auto"/>
              <w:rPr>
                <w:sz w:val="20"/>
              </w:rPr>
            </w:pPr>
            <w:r w:rsidRPr="009F56F3">
              <w:rPr>
                <w:sz w:val="20"/>
              </w:rPr>
              <w:t xml:space="preserve">Otorga derechos exclusivos a una empresa para prestar servicios o para ofrecer bienes.    </w:t>
            </w:r>
          </w:p>
        </w:tc>
        <w:tc>
          <w:tcPr>
            <w:tcW w:w="383" w:type="dxa"/>
            <w:noWrap/>
            <w:hideMark/>
          </w:tcPr>
          <w:p w14:paraId="26743A18" w14:textId="77777777" w:rsidR="003032EB" w:rsidRPr="009F56F3" w:rsidRDefault="003032EB" w:rsidP="00BB1AA3">
            <w:pPr>
              <w:spacing w:line="360" w:lineRule="auto"/>
              <w:rPr>
                <w:sz w:val="20"/>
              </w:rPr>
            </w:pPr>
            <w:r w:rsidRPr="009F56F3">
              <w:rPr>
                <w:sz w:val="20"/>
              </w:rPr>
              <w:t> </w:t>
            </w:r>
          </w:p>
        </w:tc>
        <w:tc>
          <w:tcPr>
            <w:tcW w:w="480" w:type="dxa"/>
            <w:noWrap/>
            <w:hideMark/>
          </w:tcPr>
          <w:p w14:paraId="53E57A71" w14:textId="77777777" w:rsidR="003032EB" w:rsidRPr="009F56F3" w:rsidRDefault="003032EB" w:rsidP="00BB1AA3">
            <w:pPr>
              <w:spacing w:line="360" w:lineRule="auto"/>
              <w:rPr>
                <w:sz w:val="20"/>
              </w:rPr>
            </w:pPr>
            <w:r w:rsidRPr="009F56F3">
              <w:rPr>
                <w:sz w:val="20"/>
              </w:rPr>
              <w:t>X</w:t>
            </w:r>
          </w:p>
        </w:tc>
        <w:tc>
          <w:tcPr>
            <w:tcW w:w="1893" w:type="dxa"/>
            <w:noWrap/>
            <w:hideMark/>
          </w:tcPr>
          <w:p w14:paraId="25972515" w14:textId="77777777" w:rsidR="003032EB" w:rsidRPr="009F56F3" w:rsidRDefault="003032EB" w:rsidP="00BB1AA3">
            <w:pPr>
              <w:spacing w:line="360" w:lineRule="auto"/>
              <w:rPr>
                <w:sz w:val="20"/>
              </w:rPr>
            </w:pPr>
            <w:r w:rsidRPr="009F56F3">
              <w:rPr>
                <w:sz w:val="20"/>
              </w:rPr>
              <w:t> </w:t>
            </w:r>
          </w:p>
        </w:tc>
        <w:tc>
          <w:tcPr>
            <w:tcW w:w="1884" w:type="dxa"/>
            <w:noWrap/>
            <w:hideMark/>
          </w:tcPr>
          <w:p w14:paraId="32765CEA" w14:textId="77777777" w:rsidR="003032EB" w:rsidRPr="009F56F3" w:rsidRDefault="003032EB" w:rsidP="00BB1AA3">
            <w:pPr>
              <w:spacing w:line="360" w:lineRule="auto"/>
              <w:rPr>
                <w:sz w:val="20"/>
              </w:rPr>
            </w:pPr>
            <w:r w:rsidRPr="009F56F3">
              <w:rPr>
                <w:sz w:val="20"/>
              </w:rPr>
              <w:t> </w:t>
            </w:r>
          </w:p>
        </w:tc>
      </w:tr>
      <w:tr w:rsidR="003032EB" w:rsidRPr="009F56F3" w14:paraId="5750BCF1" w14:textId="77777777" w:rsidTr="00BB1AA3">
        <w:trPr>
          <w:trHeight w:val="580"/>
        </w:trPr>
        <w:tc>
          <w:tcPr>
            <w:tcW w:w="1508" w:type="dxa"/>
            <w:gridSpan w:val="2"/>
            <w:noWrap/>
            <w:hideMark/>
          </w:tcPr>
          <w:p w14:paraId="39997DA1" w14:textId="77777777" w:rsidR="003032EB" w:rsidRPr="009F56F3" w:rsidRDefault="003032EB" w:rsidP="00BB1AA3">
            <w:pPr>
              <w:spacing w:line="360" w:lineRule="auto"/>
              <w:rPr>
                <w:sz w:val="20"/>
              </w:rPr>
            </w:pPr>
            <w:r w:rsidRPr="009F56F3">
              <w:rPr>
                <w:sz w:val="20"/>
              </w:rPr>
              <w:lastRenderedPageBreak/>
              <w:t>b)</w:t>
            </w:r>
          </w:p>
        </w:tc>
        <w:tc>
          <w:tcPr>
            <w:tcW w:w="3248" w:type="dxa"/>
            <w:hideMark/>
          </w:tcPr>
          <w:p w14:paraId="50756906" w14:textId="77777777" w:rsidR="003032EB" w:rsidRPr="009F56F3" w:rsidRDefault="003032EB" w:rsidP="00BB1AA3">
            <w:pPr>
              <w:spacing w:line="360" w:lineRule="auto"/>
              <w:rPr>
                <w:sz w:val="20"/>
              </w:rPr>
            </w:pPr>
            <w:r w:rsidRPr="009F56F3">
              <w:rPr>
                <w:sz w:val="20"/>
              </w:rPr>
              <w:t>Establece licencias, permisos, autorizaciones para operar o cuotas de producción o de venta.</w:t>
            </w:r>
          </w:p>
        </w:tc>
        <w:tc>
          <w:tcPr>
            <w:tcW w:w="383" w:type="dxa"/>
            <w:noWrap/>
            <w:hideMark/>
          </w:tcPr>
          <w:p w14:paraId="434AEC5D" w14:textId="77777777" w:rsidR="003032EB" w:rsidRPr="009F56F3" w:rsidRDefault="003032EB" w:rsidP="00BB1AA3">
            <w:pPr>
              <w:spacing w:line="360" w:lineRule="auto"/>
              <w:rPr>
                <w:sz w:val="20"/>
              </w:rPr>
            </w:pPr>
            <w:r w:rsidRPr="009F56F3">
              <w:rPr>
                <w:sz w:val="20"/>
              </w:rPr>
              <w:t> </w:t>
            </w:r>
          </w:p>
        </w:tc>
        <w:tc>
          <w:tcPr>
            <w:tcW w:w="480" w:type="dxa"/>
            <w:noWrap/>
            <w:hideMark/>
          </w:tcPr>
          <w:p w14:paraId="2C5A75D1" w14:textId="77777777" w:rsidR="003032EB" w:rsidRPr="009F56F3" w:rsidRDefault="003032EB" w:rsidP="00BB1AA3">
            <w:pPr>
              <w:spacing w:line="360" w:lineRule="auto"/>
              <w:rPr>
                <w:sz w:val="20"/>
              </w:rPr>
            </w:pPr>
            <w:r w:rsidRPr="009F56F3">
              <w:rPr>
                <w:sz w:val="20"/>
              </w:rPr>
              <w:t>X</w:t>
            </w:r>
          </w:p>
        </w:tc>
        <w:tc>
          <w:tcPr>
            <w:tcW w:w="1893" w:type="dxa"/>
            <w:noWrap/>
            <w:hideMark/>
          </w:tcPr>
          <w:p w14:paraId="25669816" w14:textId="77777777" w:rsidR="003032EB" w:rsidRPr="009F56F3" w:rsidRDefault="003032EB" w:rsidP="00BB1AA3">
            <w:pPr>
              <w:spacing w:line="360" w:lineRule="auto"/>
              <w:rPr>
                <w:sz w:val="20"/>
              </w:rPr>
            </w:pPr>
            <w:r w:rsidRPr="009F56F3">
              <w:rPr>
                <w:sz w:val="20"/>
              </w:rPr>
              <w:t> </w:t>
            </w:r>
          </w:p>
        </w:tc>
        <w:tc>
          <w:tcPr>
            <w:tcW w:w="1884" w:type="dxa"/>
            <w:noWrap/>
            <w:hideMark/>
          </w:tcPr>
          <w:p w14:paraId="6BE55091" w14:textId="77777777" w:rsidR="003032EB" w:rsidRPr="009F56F3" w:rsidRDefault="003032EB" w:rsidP="00BB1AA3">
            <w:pPr>
              <w:spacing w:line="360" w:lineRule="auto"/>
              <w:rPr>
                <w:sz w:val="20"/>
              </w:rPr>
            </w:pPr>
            <w:r w:rsidRPr="009F56F3">
              <w:rPr>
                <w:sz w:val="20"/>
              </w:rPr>
              <w:t> </w:t>
            </w:r>
          </w:p>
        </w:tc>
      </w:tr>
      <w:tr w:rsidR="003032EB" w:rsidRPr="009F56F3" w14:paraId="39EA482E" w14:textId="77777777" w:rsidTr="00BB1AA3">
        <w:trPr>
          <w:trHeight w:val="580"/>
        </w:trPr>
        <w:tc>
          <w:tcPr>
            <w:tcW w:w="1508" w:type="dxa"/>
            <w:gridSpan w:val="2"/>
            <w:noWrap/>
            <w:hideMark/>
          </w:tcPr>
          <w:p w14:paraId="4F6D438A" w14:textId="77777777" w:rsidR="003032EB" w:rsidRPr="009F56F3" w:rsidRDefault="003032EB" w:rsidP="00BB1AA3">
            <w:pPr>
              <w:spacing w:line="360" w:lineRule="auto"/>
              <w:rPr>
                <w:sz w:val="20"/>
              </w:rPr>
            </w:pPr>
            <w:r w:rsidRPr="009F56F3">
              <w:rPr>
                <w:sz w:val="20"/>
              </w:rPr>
              <w:t>c)</w:t>
            </w:r>
          </w:p>
        </w:tc>
        <w:tc>
          <w:tcPr>
            <w:tcW w:w="3248" w:type="dxa"/>
            <w:hideMark/>
          </w:tcPr>
          <w:p w14:paraId="2DC4E4BE" w14:textId="77777777" w:rsidR="003032EB" w:rsidRPr="009F56F3" w:rsidRDefault="003032EB" w:rsidP="00BB1AA3">
            <w:pPr>
              <w:spacing w:line="360" w:lineRule="auto"/>
              <w:rPr>
                <w:sz w:val="20"/>
              </w:rPr>
            </w:pPr>
            <w:r w:rsidRPr="009F56F3">
              <w:rPr>
                <w:sz w:val="20"/>
              </w:rPr>
              <w:t>Limita la capacidad de cierto tipo de empresas para ofrecer un bien o prestar un servicio.</w:t>
            </w:r>
          </w:p>
        </w:tc>
        <w:tc>
          <w:tcPr>
            <w:tcW w:w="383" w:type="dxa"/>
            <w:noWrap/>
            <w:hideMark/>
          </w:tcPr>
          <w:p w14:paraId="75881E2B" w14:textId="77777777" w:rsidR="003032EB" w:rsidRPr="009F56F3" w:rsidRDefault="003032EB" w:rsidP="00BB1AA3">
            <w:pPr>
              <w:spacing w:line="360" w:lineRule="auto"/>
              <w:rPr>
                <w:sz w:val="20"/>
              </w:rPr>
            </w:pPr>
            <w:r w:rsidRPr="009F56F3">
              <w:rPr>
                <w:sz w:val="20"/>
              </w:rPr>
              <w:t> </w:t>
            </w:r>
          </w:p>
        </w:tc>
        <w:tc>
          <w:tcPr>
            <w:tcW w:w="480" w:type="dxa"/>
            <w:noWrap/>
            <w:hideMark/>
          </w:tcPr>
          <w:p w14:paraId="01FA4CF7" w14:textId="77777777" w:rsidR="003032EB" w:rsidRPr="009F56F3" w:rsidRDefault="003032EB" w:rsidP="00BB1AA3">
            <w:pPr>
              <w:spacing w:line="360" w:lineRule="auto"/>
              <w:rPr>
                <w:sz w:val="20"/>
              </w:rPr>
            </w:pPr>
            <w:r w:rsidRPr="009F56F3">
              <w:rPr>
                <w:sz w:val="20"/>
              </w:rPr>
              <w:t>X</w:t>
            </w:r>
          </w:p>
        </w:tc>
        <w:tc>
          <w:tcPr>
            <w:tcW w:w="1893" w:type="dxa"/>
            <w:noWrap/>
            <w:hideMark/>
          </w:tcPr>
          <w:p w14:paraId="7A673E39" w14:textId="77777777" w:rsidR="003032EB" w:rsidRPr="009F56F3" w:rsidRDefault="003032EB" w:rsidP="00BB1AA3">
            <w:pPr>
              <w:spacing w:line="360" w:lineRule="auto"/>
              <w:rPr>
                <w:sz w:val="20"/>
              </w:rPr>
            </w:pPr>
            <w:r w:rsidRPr="009F56F3">
              <w:rPr>
                <w:sz w:val="20"/>
              </w:rPr>
              <w:t> </w:t>
            </w:r>
          </w:p>
        </w:tc>
        <w:tc>
          <w:tcPr>
            <w:tcW w:w="1884" w:type="dxa"/>
            <w:noWrap/>
            <w:hideMark/>
          </w:tcPr>
          <w:p w14:paraId="65CB0E23" w14:textId="77777777" w:rsidR="003032EB" w:rsidRPr="009F56F3" w:rsidRDefault="003032EB" w:rsidP="00BB1AA3">
            <w:pPr>
              <w:spacing w:line="360" w:lineRule="auto"/>
              <w:rPr>
                <w:sz w:val="20"/>
              </w:rPr>
            </w:pPr>
            <w:r w:rsidRPr="009F56F3">
              <w:rPr>
                <w:sz w:val="20"/>
              </w:rPr>
              <w:t> </w:t>
            </w:r>
          </w:p>
        </w:tc>
      </w:tr>
      <w:tr w:rsidR="003032EB" w:rsidRPr="009F56F3" w14:paraId="3115AC20" w14:textId="77777777" w:rsidTr="00BB1AA3">
        <w:trPr>
          <w:trHeight w:val="870"/>
        </w:trPr>
        <w:tc>
          <w:tcPr>
            <w:tcW w:w="1508" w:type="dxa"/>
            <w:gridSpan w:val="2"/>
            <w:noWrap/>
            <w:hideMark/>
          </w:tcPr>
          <w:p w14:paraId="6BDFE307" w14:textId="77777777" w:rsidR="003032EB" w:rsidRPr="009F56F3" w:rsidRDefault="003032EB" w:rsidP="00BB1AA3">
            <w:pPr>
              <w:spacing w:line="360" w:lineRule="auto"/>
              <w:rPr>
                <w:sz w:val="20"/>
              </w:rPr>
            </w:pPr>
            <w:r w:rsidRPr="009F56F3">
              <w:rPr>
                <w:sz w:val="20"/>
              </w:rPr>
              <w:t>d)</w:t>
            </w:r>
          </w:p>
        </w:tc>
        <w:tc>
          <w:tcPr>
            <w:tcW w:w="3248" w:type="dxa"/>
            <w:hideMark/>
          </w:tcPr>
          <w:p w14:paraId="071566FA" w14:textId="77777777" w:rsidR="003032EB" w:rsidRPr="009F56F3" w:rsidRDefault="003032EB" w:rsidP="00BB1AA3">
            <w:pPr>
              <w:spacing w:line="360" w:lineRule="auto"/>
              <w:rPr>
                <w:sz w:val="20"/>
              </w:rPr>
            </w:pPr>
            <w:r w:rsidRPr="009F56F3">
              <w:rPr>
                <w:sz w:val="20"/>
              </w:rPr>
              <w:t>Eleva de manera significativa los costos de entrada o salida del mercado para las empresas.</w:t>
            </w:r>
          </w:p>
        </w:tc>
        <w:tc>
          <w:tcPr>
            <w:tcW w:w="383" w:type="dxa"/>
            <w:noWrap/>
            <w:hideMark/>
          </w:tcPr>
          <w:p w14:paraId="5B1C39CB" w14:textId="77777777" w:rsidR="003032EB" w:rsidRPr="009F56F3" w:rsidRDefault="003032EB" w:rsidP="00BB1AA3">
            <w:pPr>
              <w:spacing w:line="360" w:lineRule="auto"/>
              <w:rPr>
                <w:sz w:val="20"/>
              </w:rPr>
            </w:pPr>
            <w:r w:rsidRPr="009F56F3">
              <w:rPr>
                <w:sz w:val="20"/>
              </w:rPr>
              <w:t> </w:t>
            </w:r>
          </w:p>
        </w:tc>
        <w:tc>
          <w:tcPr>
            <w:tcW w:w="480" w:type="dxa"/>
            <w:noWrap/>
            <w:hideMark/>
          </w:tcPr>
          <w:p w14:paraId="64E20AB1" w14:textId="77777777" w:rsidR="003032EB" w:rsidRPr="009F56F3" w:rsidRDefault="003032EB" w:rsidP="00BB1AA3">
            <w:pPr>
              <w:spacing w:line="360" w:lineRule="auto"/>
              <w:rPr>
                <w:sz w:val="20"/>
              </w:rPr>
            </w:pPr>
            <w:r w:rsidRPr="009F56F3">
              <w:rPr>
                <w:sz w:val="20"/>
              </w:rPr>
              <w:t>X</w:t>
            </w:r>
          </w:p>
        </w:tc>
        <w:tc>
          <w:tcPr>
            <w:tcW w:w="1893" w:type="dxa"/>
            <w:noWrap/>
            <w:hideMark/>
          </w:tcPr>
          <w:p w14:paraId="4EC1225C" w14:textId="77777777" w:rsidR="003032EB" w:rsidRPr="009F56F3" w:rsidRDefault="003032EB" w:rsidP="00BB1AA3">
            <w:pPr>
              <w:spacing w:line="360" w:lineRule="auto"/>
              <w:rPr>
                <w:sz w:val="20"/>
              </w:rPr>
            </w:pPr>
            <w:r w:rsidRPr="009F56F3">
              <w:rPr>
                <w:sz w:val="20"/>
              </w:rPr>
              <w:t> </w:t>
            </w:r>
          </w:p>
        </w:tc>
        <w:tc>
          <w:tcPr>
            <w:tcW w:w="1884" w:type="dxa"/>
            <w:noWrap/>
            <w:hideMark/>
          </w:tcPr>
          <w:p w14:paraId="624FF923" w14:textId="77777777" w:rsidR="003032EB" w:rsidRPr="009F56F3" w:rsidRDefault="003032EB" w:rsidP="00BB1AA3">
            <w:pPr>
              <w:spacing w:line="360" w:lineRule="auto"/>
              <w:rPr>
                <w:sz w:val="20"/>
              </w:rPr>
            </w:pPr>
            <w:r w:rsidRPr="009F56F3">
              <w:rPr>
                <w:sz w:val="20"/>
              </w:rPr>
              <w:t> </w:t>
            </w:r>
          </w:p>
        </w:tc>
      </w:tr>
      <w:tr w:rsidR="003032EB" w:rsidRPr="009F56F3" w14:paraId="2D5F34AF" w14:textId="77777777" w:rsidTr="00BB1AA3">
        <w:trPr>
          <w:trHeight w:val="870"/>
        </w:trPr>
        <w:tc>
          <w:tcPr>
            <w:tcW w:w="1508" w:type="dxa"/>
            <w:gridSpan w:val="2"/>
            <w:noWrap/>
            <w:hideMark/>
          </w:tcPr>
          <w:p w14:paraId="27791D7F" w14:textId="77777777" w:rsidR="003032EB" w:rsidRPr="009F56F3" w:rsidRDefault="003032EB" w:rsidP="00BB1AA3">
            <w:pPr>
              <w:spacing w:line="360" w:lineRule="auto"/>
              <w:rPr>
                <w:sz w:val="20"/>
              </w:rPr>
            </w:pPr>
            <w:r w:rsidRPr="009F56F3">
              <w:rPr>
                <w:sz w:val="20"/>
              </w:rPr>
              <w:t>e)</w:t>
            </w:r>
          </w:p>
        </w:tc>
        <w:tc>
          <w:tcPr>
            <w:tcW w:w="3248" w:type="dxa"/>
            <w:hideMark/>
          </w:tcPr>
          <w:p w14:paraId="6C6D4AC1" w14:textId="77777777" w:rsidR="003032EB" w:rsidRPr="009F56F3" w:rsidRDefault="003032EB" w:rsidP="00BB1AA3">
            <w:pPr>
              <w:spacing w:line="360" w:lineRule="auto"/>
              <w:rPr>
                <w:sz w:val="20"/>
              </w:rPr>
            </w:pPr>
            <w:r w:rsidRPr="009F56F3">
              <w:rPr>
                <w:sz w:val="20"/>
              </w:rPr>
              <w:t xml:space="preserve">Crea una barrera geográfica a la libre circulación de bienes o servicios o a </w:t>
            </w:r>
            <w:proofErr w:type="gramStart"/>
            <w:r w:rsidRPr="009F56F3">
              <w:rPr>
                <w:sz w:val="20"/>
              </w:rPr>
              <w:t>la  inversión</w:t>
            </w:r>
            <w:proofErr w:type="gramEnd"/>
            <w:r w:rsidRPr="009F56F3">
              <w:rPr>
                <w:sz w:val="20"/>
              </w:rPr>
              <w:t>.</w:t>
            </w:r>
          </w:p>
        </w:tc>
        <w:tc>
          <w:tcPr>
            <w:tcW w:w="383" w:type="dxa"/>
            <w:noWrap/>
            <w:hideMark/>
          </w:tcPr>
          <w:p w14:paraId="37D9C21A" w14:textId="77777777" w:rsidR="003032EB" w:rsidRPr="009F56F3" w:rsidRDefault="003032EB" w:rsidP="00BB1AA3">
            <w:pPr>
              <w:spacing w:line="360" w:lineRule="auto"/>
              <w:rPr>
                <w:sz w:val="20"/>
              </w:rPr>
            </w:pPr>
            <w:r w:rsidRPr="009F56F3">
              <w:rPr>
                <w:sz w:val="20"/>
              </w:rPr>
              <w:t> </w:t>
            </w:r>
          </w:p>
        </w:tc>
        <w:tc>
          <w:tcPr>
            <w:tcW w:w="480" w:type="dxa"/>
            <w:noWrap/>
            <w:hideMark/>
          </w:tcPr>
          <w:p w14:paraId="37F8402E" w14:textId="77777777" w:rsidR="003032EB" w:rsidRPr="009F56F3" w:rsidRDefault="003032EB" w:rsidP="00BB1AA3">
            <w:pPr>
              <w:spacing w:line="360" w:lineRule="auto"/>
              <w:rPr>
                <w:sz w:val="20"/>
              </w:rPr>
            </w:pPr>
            <w:r w:rsidRPr="009F56F3">
              <w:rPr>
                <w:sz w:val="20"/>
              </w:rPr>
              <w:t>X</w:t>
            </w:r>
          </w:p>
        </w:tc>
        <w:tc>
          <w:tcPr>
            <w:tcW w:w="1893" w:type="dxa"/>
            <w:noWrap/>
            <w:hideMark/>
          </w:tcPr>
          <w:p w14:paraId="49C2EB4B" w14:textId="77777777" w:rsidR="003032EB" w:rsidRPr="009F56F3" w:rsidRDefault="003032EB" w:rsidP="00BB1AA3">
            <w:pPr>
              <w:spacing w:line="360" w:lineRule="auto"/>
              <w:rPr>
                <w:sz w:val="20"/>
              </w:rPr>
            </w:pPr>
            <w:r w:rsidRPr="009F56F3">
              <w:rPr>
                <w:sz w:val="20"/>
              </w:rPr>
              <w:t> </w:t>
            </w:r>
          </w:p>
        </w:tc>
        <w:tc>
          <w:tcPr>
            <w:tcW w:w="1884" w:type="dxa"/>
            <w:noWrap/>
            <w:hideMark/>
          </w:tcPr>
          <w:p w14:paraId="55C97A21" w14:textId="77777777" w:rsidR="003032EB" w:rsidRPr="009F56F3" w:rsidRDefault="003032EB" w:rsidP="00BB1AA3">
            <w:pPr>
              <w:spacing w:line="360" w:lineRule="auto"/>
              <w:rPr>
                <w:sz w:val="20"/>
              </w:rPr>
            </w:pPr>
            <w:r w:rsidRPr="009F56F3">
              <w:rPr>
                <w:sz w:val="20"/>
              </w:rPr>
              <w:t> </w:t>
            </w:r>
          </w:p>
        </w:tc>
      </w:tr>
      <w:tr w:rsidR="003032EB" w:rsidRPr="009F56F3" w14:paraId="2A31CB70" w14:textId="77777777" w:rsidTr="00BB1AA3">
        <w:trPr>
          <w:trHeight w:val="300"/>
        </w:trPr>
        <w:tc>
          <w:tcPr>
            <w:tcW w:w="729" w:type="dxa"/>
            <w:vMerge w:val="restart"/>
            <w:noWrap/>
            <w:hideMark/>
          </w:tcPr>
          <w:p w14:paraId="3874D83E" w14:textId="77777777" w:rsidR="003032EB" w:rsidRPr="009F56F3" w:rsidRDefault="003032EB" w:rsidP="00BB1AA3">
            <w:pPr>
              <w:spacing w:line="360" w:lineRule="auto"/>
              <w:rPr>
                <w:sz w:val="20"/>
              </w:rPr>
            </w:pPr>
            <w:r w:rsidRPr="009F56F3">
              <w:rPr>
                <w:sz w:val="20"/>
              </w:rPr>
              <w:t>f)</w:t>
            </w:r>
          </w:p>
        </w:tc>
        <w:tc>
          <w:tcPr>
            <w:tcW w:w="4027" w:type="dxa"/>
            <w:gridSpan w:val="2"/>
            <w:hideMark/>
          </w:tcPr>
          <w:p w14:paraId="7598A4FA" w14:textId="77777777" w:rsidR="003032EB" w:rsidRPr="009F56F3" w:rsidRDefault="003032EB" w:rsidP="00BB1AA3">
            <w:pPr>
              <w:spacing w:line="360" w:lineRule="auto"/>
              <w:rPr>
                <w:sz w:val="20"/>
              </w:rPr>
            </w:pPr>
            <w:r w:rsidRPr="009F56F3">
              <w:rPr>
                <w:sz w:val="20"/>
              </w:rPr>
              <w:t>Incrementa de manera significativa los costos:</w:t>
            </w:r>
          </w:p>
        </w:tc>
        <w:tc>
          <w:tcPr>
            <w:tcW w:w="383" w:type="dxa"/>
            <w:noWrap/>
            <w:hideMark/>
          </w:tcPr>
          <w:p w14:paraId="7BFDFE95" w14:textId="77777777" w:rsidR="003032EB" w:rsidRPr="009F56F3" w:rsidRDefault="003032EB" w:rsidP="00BB1AA3">
            <w:pPr>
              <w:spacing w:line="360" w:lineRule="auto"/>
              <w:rPr>
                <w:sz w:val="20"/>
              </w:rPr>
            </w:pPr>
            <w:r w:rsidRPr="009F56F3">
              <w:rPr>
                <w:sz w:val="20"/>
              </w:rPr>
              <w:t> </w:t>
            </w:r>
          </w:p>
        </w:tc>
        <w:tc>
          <w:tcPr>
            <w:tcW w:w="480" w:type="dxa"/>
            <w:noWrap/>
            <w:hideMark/>
          </w:tcPr>
          <w:p w14:paraId="5A1C8C65" w14:textId="77777777" w:rsidR="003032EB" w:rsidRPr="009F56F3" w:rsidRDefault="003032EB" w:rsidP="00BB1AA3">
            <w:pPr>
              <w:spacing w:line="360" w:lineRule="auto"/>
              <w:rPr>
                <w:sz w:val="20"/>
              </w:rPr>
            </w:pPr>
            <w:r w:rsidRPr="009F56F3">
              <w:rPr>
                <w:sz w:val="20"/>
              </w:rPr>
              <w:t> </w:t>
            </w:r>
          </w:p>
        </w:tc>
        <w:tc>
          <w:tcPr>
            <w:tcW w:w="1893" w:type="dxa"/>
            <w:noWrap/>
            <w:hideMark/>
          </w:tcPr>
          <w:p w14:paraId="1442D8AF" w14:textId="77777777" w:rsidR="003032EB" w:rsidRPr="009F56F3" w:rsidRDefault="003032EB" w:rsidP="00BB1AA3">
            <w:pPr>
              <w:spacing w:line="360" w:lineRule="auto"/>
              <w:rPr>
                <w:sz w:val="20"/>
              </w:rPr>
            </w:pPr>
            <w:r w:rsidRPr="009F56F3">
              <w:rPr>
                <w:sz w:val="20"/>
              </w:rPr>
              <w:t> </w:t>
            </w:r>
          </w:p>
        </w:tc>
        <w:tc>
          <w:tcPr>
            <w:tcW w:w="1884" w:type="dxa"/>
            <w:noWrap/>
            <w:hideMark/>
          </w:tcPr>
          <w:p w14:paraId="637F6AD1" w14:textId="77777777" w:rsidR="003032EB" w:rsidRPr="009F56F3" w:rsidRDefault="003032EB" w:rsidP="00BB1AA3">
            <w:pPr>
              <w:spacing w:line="360" w:lineRule="auto"/>
              <w:rPr>
                <w:sz w:val="20"/>
              </w:rPr>
            </w:pPr>
            <w:r w:rsidRPr="009F56F3">
              <w:rPr>
                <w:sz w:val="20"/>
              </w:rPr>
              <w:t> </w:t>
            </w:r>
          </w:p>
        </w:tc>
      </w:tr>
      <w:tr w:rsidR="003032EB" w:rsidRPr="009F56F3" w14:paraId="3A0A34D6" w14:textId="77777777" w:rsidTr="00BB1AA3">
        <w:trPr>
          <w:trHeight w:val="870"/>
        </w:trPr>
        <w:tc>
          <w:tcPr>
            <w:tcW w:w="729" w:type="dxa"/>
            <w:vMerge/>
            <w:hideMark/>
          </w:tcPr>
          <w:p w14:paraId="535656A9" w14:textId="77777777" w:rsidR="003032EB" w:rsidRPr="009F56F3" w:rsidRDefault="003032EB" w:rsidP="00BB1AA3">
            <w:pPr>
              <w:spacing w:line="360" w:lineRule="auto"/>
              <w:rPr>
                <w:sz w:val="20"/>
              </w:rPr>
            </w:pPr>
          </w:p>
        </w:tc>
        <w:tc>
          <w:tcPr>
            <w:tcW w:w="779" w:type="dxa"/>
            <w:noWrap/>
            <w:hideMark/>
          </w:tcPr>
          <w:p w14:paraId="32477C78" w14:textId="77777777" w:rsidR="003032EB" w:rsidRPr="009F56F3" w:rsidRDefault="003032EB" w:rsidP="00BB1AA3">
            <w:pPr>
              <w:spacing w:line="360" w:lineRule="auto"/>
              <w:rPr>
                <w:sz w:val="20"/>
              </w:rPr>
            </w:pPr>
            <w:r w:rsidRPr="009F56F3">
              <w:rPr>
                <w:sz w:val="20"/>
              </w:rPr>
              <w:t>i)</w:t>
            </w:r>
          </w:p>
        </w:tc>
        <w:tc>
          <w:tcPr>
            <w:tcW w:w="3248" w:type="dxa"/>
            <w:hideMark/>
          </w:tcPr>
          <w:p w14:paraId="7B7ED0B8" w14:textId="77777777" w:rsidR="003032EB" w:rsidRPr="009F56F3" w:rsidRDefault="003032EB" w:rsidP="00BB1AA3">
            <w:pPr>
              <w:spacing w:line="360" w:lineRule="auto"/>
              <w:rPr>
                <w:sz w:val="20"/>
              </w:rPr>
            </w:pPr>
            <w:r w:rsidRPr="009F56F3">
              <w:rPr>
                <w:sz w:val="20"/>
              </w:rPr>
              <w:t>Para nuevas empresas en relación con las empresas que ya operan en un mercado o mercados relevantes relacionados, o</w:t>
            </w:r>
          </w:p>
        </w:tc>
        <w:tc>
          <w:tcPr>
            <w:tcW w:w="383" w:type="dxa"/>
            <w:noWrap/>
            <w:hideMark/>
          </w:tcPr>
          <w:p w14:paraId="4B1A2DD6" w14:textId="77777777" w:rsidR="003032EB" w:rsidRPr="009F56F3" w:rsidRDefault="003032EB" w:rsidP="00BB1AA3">
            <w:pPr>
              <w:spacing w:line="360" w:lineRule="auto"/>
              <w:rPr>
                <w:sz w:val="20"/>
              </w:rPr>
            </w:pPr>
            <w:r w:rsidRPr="009F56F3">
              <w:rPr>
                <w:sz w:val="20"/>
              </w:rPr>
              <w:t> </w:t>
            </w:r>
          </w:p>
        </w:tc>
        <w:tc>
          <w:tcPr>
            <w:tcW w:w="480" w:type="dxa"/>
            <w:noWrap/>
            <w:hideMark/>
          </w:tcPr>
          <w:p w14:paraId="465D427C" w14:textId="77777777" w:rsidR="003032EB" w:rsidRPr="009F56F3" w:rsidRDefault="003032EB" w:rsidP="00BB1AA3">
            <w:pPr>
              <w:spacing w:line="360" w:lineRule="auto"/>
              <w:rPr>
                <w:sz w:val="20"/>
              </w:rPr>
            </w:pPr>
            <w:r w:rsidRPr="009F56F3">
              <w:rPr>
                <w:sz w:val="20"/>
              </w:rPr>
              <w:t>X</w:t>
            </w:r>
          </w:p>
        </w:tc>
        <w:tc>
          <w:tcPr>
            <w:tcW w:w="1893" w:type="dxa"/>
            <w:noWrap/>
            <w:hideMark/>
          </w:tcPr>
          <w:p w14:paraId="02CC5D6D" w14:textId="77777777" w:rsidR="003032EB" w:rsidRPr="009F56F3" w:rsidRDefault="003032EB" w:rsidP="00BB1AA3">
            <w:pPr>
              <w:spacing w:line="360" w:lineRule="auto"/>
              <w:rPr>
                <w:sz w:val="20"/>
              </w:rPr>
            </w:pPr>
            <w:r w:rsidRPr="009F56F3">
              <w:rPr>
                <w:sz w:val="20"/>
              </w:rPr>
              <w:t> </w:t>
            </w:r>
          </w:p>
        </w:tc>
        <w:tc>
          <w:tcPr>
            <w:tcW w:w="1884" w:type="dxa"/>
            <w:noWrap/>
            <w:hideMark/>
          </w:tcPr>
          <w:p w14:paraId="7528D1EC" w14:textId="77777777" w:rsidR="003032EB" w:rsidRPr="009F56F3" w:rsidRDefault="003032EB" w:rsidP="00BB1AA3">
            <w:pPr>
              <w:spacing w:line="360" w:lineRule="auto"/>
              <w:rPr>
                <w:sz w:val="20"/>
              </w:rPr>
            </w:pPr>
            <w:r w:rsidRPr="009F56F3">
              <w:rPr>
                <w:sz w:val="20"/>
              </w:rPr>
              <w:t> </w:t>
            </w:r>
          </w:p>
        </w:tc>
      </w:tr>
      <w:tr w:rsidR="003032EB" w:rsidRPr="009F56F3" w14:paraId="76FDA351" w14:textId="77777777" w:rsidTr="00BB1AA3">
        <w:trPr>
          <w:trHeight w:val="870"/>
        </w:trPr>
        <w:tc>
          <w:tcPr>
            <w:tcW w:w="729" w:type="dxa"/>
            <w:vMerge/>
            <w:hideMark/>
          </w:tcPr>
          <w:p w14:paraId="3499C817" w14:textId="77777777" w:rsidR="003032EB" w:rsidRPr="009F56F3" w:rsidRDefault="003032EB" w:rsidP="00BB1AA3">
            <w:pPr>
              <w:spacing w:line="360" w:lineRule="auto"/>
              <w:rPr>
                <w:sz w:val="20"/>
              </w:rPr>
            </w:pPr>
          </w:p>
        </w:tc>
        <w:tc>
          <w:tcPr>
            <w:tcW w:w="779" w:type="dxa"/>
            <w:noWrap/>
            <w:hideMark/>
          </w:tcPr>
          <w:p w14:paraId="0A9DE5BD" w14:textId="77777777" w:rsidR="003032EB" w:rsidRPr="009F56F3" w:rsidRDefault="003032EB" w:rsidP="00BB1AA3">
            <w:pPr>
              <w:spacing w:line="360" w:lineRule="auto"/>
              <w:rPr>
                <w:sz w:val="20"/>
              </w:rPr>
            </w:pPr>
            <w:proofErr w:type="spellStart"/>
            <w:r w:rsidRPr="009F56F3">
              <w:rPr>
                <w:sz w:val="20"/>
              </w:rPr>
              <w:t>ii</w:t>
            </w:r>
            <w:proofErr w:type="spellEnd"/>
            <w:r w:rsidRPr="009F56F3">
              <w:rPr>
                <w:sz w:val="20"/>
              </w:rPr>
              <w:t>)</w:t>
            </w:r>
          </w:p>
        </w:tc>
        <w:tc>
          <w:tcPr>
            <w:tcW w:w="3248" w:type="dxa"/>
            <w:hideMark/>
          </w:tcPr>
          <w:p w14:paraId="66832CCB" w14:textId="77777777" w:rsidR="003032EB" w:rsidRPr="009F56F3" w:rsidRDefault="003032EB" w:rsidP="00BB1AA3">
            <w:pPr>
              <w:spacing w:line="360" w:lineRule="auto"/>
              <w:rPr>
                <w:sz w:val="20"/>
              </w:rPr>
            </w:pPr>
            <w:r w:rsidRPr="009F56F3">
              <w:rPr>
                <w:sz w:val="20"/>
              </w:rPr>
              <w:t xml:space="preserve">Para unas empresas en relación con otras cuando el conjunto ya opera en uno o varios mercados relevantes relacionados. </w:t>
            </w:r>
          </w:p>
        </w:tc>
        <w:tc>
          <w:tcPr>
            <w:tcW w:w="383" w:type="dxa"/>
            <w:noWrap/>
            <w:hideMark/>
          </w:tcPr>
          <w:p w14:paraId="515A5D3C" w14:textId="77777777" w:rsidR="003032EB" w:rsidRPr="009F56F3" w:rsidRDefault="003032EB" w:rsidP="00BB1AA3">
            <w:pPr>
              <w:spacing w:line="360" w:lineRule="auto"/>
              <w:rPr>
                <w:sz w:val="20"/>
              </w:rPr>
            </w:pPr>
            <w:r w:rsidRPr="009F56F3">
              <w:rPr>
                <w:sz w:val="20"/>
              </w:rPr>
              <w:t> </w:t>
            </w:r>
          </w:p>
        </w:tc>
        <w:tc>
          <w:tcPr>
            <w:tcW w:w="480" w:type="dxa"/>
            <w:noWrap/>
            <w:hideMark/>
          </w:tcPr>
          <w:p w14:paraId="12B79972" w14:textId="77777777" w:rsidR="003032EB" w:rsidRPr="009F56F3" w:rsidRDefault="003032EB" w:rsidP="00BB1AA3">
            <w:pPr>
              <w:spacing w:line="360" w:lineRule="auto"/>
              <w:rPr>
                <w:sz w:val="20"/>
              </w:rPr>
            </w:pPr>
            <w:r w:rsidRPr="009F56F3">
              <w:rPr>
                <w:sz w:val="20"/>
              </w:rPr>
              <w:t>X</w:t>
            </w:r>
          </w:p>
        </w:tc>
        <w:tc>
          <w:tcPr>
            <w:tcW w:w="1893" w:type="dxa"/>
            <w:noWrap/>
            <w:hideMark/>
          </w:tcPr>
          <w:p w14:paraId="28866B4E" w14:textId="77777777" w:rsidR="003032EB" w:rsidRPr="009F56F3" w:rsidRDefault="003032EB" w:rsidP="00BB1AA3">
            <w:pPr>
              <w:spacing w:line="360" w:lineRule="auto"/>
              <w:rPr>
                <w:sz w:val="20"/>
              </w:rPr>
            </w:pPr>
            <w:r w:rsidRPr="009F56F3">
              <w:rPr>
                <w:sz w:val="20"/>
              </w:rPr>
              <w:t> </w:t>
            </w:r>
          </w:p>
        </w:tc>
        <w:tc>
          <w:tcPr>
            <w:tcW w:w="1884" w:type="dxa"/>
            <w:noWrap/>
            <w:hideMark/>
          </w:tcPr>
          <w:p w14:paraId="47CF4E5A" w14:textId="77777777" w:rsidR="003032EB" w:rsidRPr="009F56F3" w:rsidRDefault="003032EB" w:rsidP="00BB1AA3">
            <w:pPr>
              <w:spacing w:line="360" w:lineRule="auto"/>
              <w:rPr>
                <w:sz w:val="20"/>
              </w:rPr>
            </w:pPr>
            <w:r w:rsidRPr="009F56F3">
              <w:rPr>
                <w:sz w:val="20"/>
              </w:rPr>
              <w:t> </w:t>
            </w:r>
          </w:p>
        </w:tc>
      </w:tr>
      <w:tr w:rsidR="003032EB" w:rsidRPr="009F56F3" w14:paraId="632FF948" w14:textId="77777777" w:rsidTr="00BB1AA3">
        <w:trPr>
          <w:trHeight w:val="290"/>
        </w:trPr>
        <w:tc>
          <w:tcPr>
            <w:tcW w:w="1508" w:type="dxa"/>
            <w:gridSpan w:val="2"/>
            <w:noWrap/>
            <w:hideMark/>
          </w:tcPr>
          <w:p w14:paraId="7B6F4558" w14:textId="77777777" w:rsidR="003032EB" w:rsidRPr="009F56F3" w:rsidRDefault="003032EB" w:rsidP="00BB1AA3">
            <w:pPr>
              <w:spacing w:line="360" w:lineRule="auto"/>
              <w:rPr>
                <w:b/>
                <w:bCs/>
                <w:sz w:val="20"/>
              </w:rPr>
            </w:pPr>
            <w:r w:rsidRPr="009F56F3">
              <w:rPr>
                <w:b/>
                <w:bCs/>
                <w:sz w:val="20"/>
              </w:rPr>
              <w:t>2.</w:t>
            </w:r>
          </w:p>
        </w:tc>
        <w:tc>
          <w:tcPr>
            <w:tcW w:w="7888" w:type="dxa"/>
            <w:gridSpan w:val="5"/>
            <w:hideMark/>
          </w:tcPr>
          <w:p w14:paraId="76C448F6" w14:textId="77777777" w:rsidR="003032EB" w:rsidRPr="009F56F3" w:rsidRDefault="003032EB" w:rsidP="00BB1AA3">
            <w:pPr>
              <w:spacing w:line="360" w:lineRule="auto"/>
              <w:rPr>
                <w:b/>
                <w:bCs/>
                <w:sz w:val="20"/>
              </w:rPr>
            </w:pPr>
            <w:r w:rsidRPr="009F56F3">
              <w:rPr>
                <w:b/>
                <w:bCs/>
                <w:sz w:val="20"/>
              </w:rPr>
              <w:t>¿La regulación limita la capacidad de las empresas para competir en uno o varios mercados relevantes relacionados?</w:t>
            </w:r>
            <w:r w:rsidRPr="009F56F3">
              <w:rPr>
                <w:b/>
                <w:bCs/>
                <w:sz w:val="20"/>
              </w:rPr>
              <w:br/>
              <w:t>Es posible que esto suceda, entre otros eventos, cuando el proyecto de acto:</w:t>
            </w:r>
          </w:p>
        </w:tc>
      </w:tr>
      <w:tr w:rsidR="003032EB" w:rsidRPr="009F56F3" w14:paraId="5EA2A94C" w14:textId="77777777" w:rsidTr="00BB1AA3">
        <w:trPr>
          <w:trHeight w:val="870"/>
        </w:trPr>
        <w:tc>
          <w:tcPr>
            <w:tcW w:w="1508" w:type="dxa"/>
            <w:gridSpan w:val="2"/>
            <w:noWrap/>
            <w:hideMark/>
          </w:tcPr>
          <w:p w14:paraId="427B18FF" w14:textId="77777777" w:rsidR="003032EB" w:rsidRPr="009F56F3" w:rsidRDefault="003032EB" w:rsidP="00BB1AA3">
            <w:pPr>
              <w:spacing w:line="360" w:lineRule="auto"/>
              <w:rPr>
                <w:sz w:val="20"/>
              </w:rPr>
            </w:pPr>
            <w:r w:rsidRPr="009F56F3">
              <w:rPr>
                <w:sz w:val="20"/>
              </w:rPr>
              <w:t>a)</w:t>
            </w:r>
          </w:p>
        </w:tc>
        <w:tc>
          <w:tcPr>
            <w:tcW w:w="3248" w:type="dxa"/>
            <w:hideMark/>
          </w:tcPr>
          <w:p w14:paraId="077AC050" w14:textId="77777777" w:rsidR="003032EB" w:rsidRPr="009F56F3" w:rsidRDefault="003032EB" w:rsidP="00BB1AA3">
            <w:pPr>
              <w:spacing w:line="360" w:lineRule="auto"/>
              <w:rPr>
                <w:sz w:val="20"/>
              </w:rPr>
            </w:pPr>
            <w:r w:rsidRPr="009F56F3">
              <w:rPr>
                <w:sz w:val="20"/>
              </w:rPr>
              <w:t>Controla o influye sustancialmente sobre los precios de los bienes o servicios o el nivel de producción.</w:t>
            </w:r>
          </w:p>
        </w:tc>
        <w:tc>
          <w:tcPr>
            <w:tcW w:w="383" w:type="dxa"/>
            <w:noWrap/>
            <w:hideMark/>
          </w:tcPr>
          <w:p w14:paraId="0B307018" w14:textId="77777777" w:rsidR="003032EB" w:rsidRPr="009F56F3" w:rsidRDefault="003032EB" w:rsidP="00BB1AA3">
            <w:pPr>
              <w:spacing w:line="360" w:lineRule="auto"/>
              <w:rPr>
                <w:sz w:val="20"/>
              </w:rPr>
            </w:pPr>
            <w:r w:rsidRPr="009F56F3">
              <w:rPr>
                <w:sz w:val="20"/>
              </w:rPr>
              <w:t> </w:t>
            </w:r>
          </w:p>
        </w:tc>
        <w:tc>
          <w:tcPr>
            <w:tcW w:w="480" w:type="dxa"/>
            <w:noWrap/>
            <w:hideMark/>
          </w:tcPr>
          <w:p w14:paraId="5C48F094" w14:textId="77777777" w:rsidR="003032EB" w:rsidRPr="009F56F3" w:rsidRDefault="003032EB" w:rsidP="00BB1AA3">
            <w:pPr>
              <w:spacing w:line="360" w:lineRule="auto"/>
              <w:rPr>
                <w:sz w:val="20"/>
              </w:rPr>
            </w:pPr>
            <w:r w:rsidRPr="009F56F3">
              <w:rPr>
                <w:sz w:val="20"/>
              </w:rPr>
              <w:t>X</w:t>
            </w:r>
          </w:p>
        </w:tc>
        <w:tc>
          <w:tcPr>
            <w:tcW w:w="1893" w:type="dxa"/>
            <w:hideMark/>
          </w:tcPr>
          <w:p w14:paraId="75424FE1" w14:textId="77777777" w:rsidR="003032EB" w:rsidRPr="009F56F3" w:rsidRDefault="003032EB" w:rsidP="00BB1AA3">
            <w:pPr>
              <w:spacing w:line="360" w:lineRule="auto"/>
              <w:rPr>
                <w:sz w:val="20"/>
              </w:rPr>
            </w:pPr>
            <w:r w:rsidRPr="009F56F3">
              <w:rPr>
                <w:sz w:val="20"/>
              </w:rPr>
              <w:t> </w:t>
            </w:r>
          </w:p>
        </w:tc>
        <w:tc>
          <w:tcPr>
            <w:tcW w:w="1884" w:type="dxa"/>
            <w:hideMark/>
          </w:tcPr>
          <w:p w14:paraId="0BFF5D15" w14:textId="77777777" w:rsidR="003032EB" w:rsidRPr="009F56F3" w:rsidRDefault="003032EB" w:rsidP="00BB1AA3">
            <w:pPr>
              <w:spacing w:line="360" w:lineRule="auto"/>
              <w:rPr>
                <w:sz w:val="20"/>
              </w:rPr>
            </w:pPr>
            <w:r w:rsidRPr="009F56F3">
              <w:rPr>
                <w:sz w:val="20"/>
              </w:rPr>
              <w:t> </w:t>
            </w:r>
          </w:p>
        </w:tc>
      </w:tr>
      <w:tr w:rsidR="003032EB" w:rsidRPr="009F56F3" w14:paraId="53AEA73D" w14:textId="77777777" w:rsidTr="00BB1AA3">
        <w:trPr>
          <w:trHeight w:val="580"/>
        </w:trPr>
        <w:tc>
          <w:tcPr>
            <w:tcW w:w="1508" w:type="dxa"/>
            <w:gridSpan w:val="2"/>
            <w:noWrap/>
            <w:hideMark/>
          </w:tcPr>
          <w:p w14:paraId="2145AB11" w14:textId="77777777" w:rsidR="003032EB" w:rsidRPr="009F56F3" w:rsidRDefault="003032EB" w:rsidP="00BB1AA3">
            <w:pPr>
              <w:spacing w:line="360" w:lineRule="auto"/>
              <w:rPr>
                <w:sz w:val="20"/>
              </w:rPr>
            </w:pPr>
            <w:r w:rsidRPr="009F56F3">
              <w:rPr>
                <w:sz w:val="20"/>
              </w:rPr>
              <w:t>b)</w:t>
            </w:r>
          </w:p>
        </w:tc>
        <w:tc>
          <w:tcPr>
            <w:tcW w:w="3248" w:type="dxa"/>
            <w:hideMark/>
          </w:tcPr>
          <w:p w14:paraId="08C07895" w14:textId="77777777" w:rsidR="003032EB" w:rsidRPr="009F56F3" w:rsidRDefault="003032EB" w:rsidP="00BB1AA3">
            <w:pPr>
              <w:spacing w:line="360" w:lineRule="auto"/>
              <w:rPr>
                <w:sz w:val="20"/>
              </w:rPr>
            </w:pPr>
            <w:r w:rsidRPr="009F56F3">
              <w:rPr>
                <w:sz w:val="20"/>
              </w:rPr>
              <w:t xml:space="preserve">Limita a las empresas la posibilidad de distribuir o comercializar sus productos.  </w:t>
            </w:r>
          </w:p>
        </w:tc>
        <w:tc>
          <w:tcPr>
            <w:tcW w:w="383" w:type="dxa"/>
            <w:noWrap/>
            <w:hideMark/>
          </w:tcPr>
          <w:p w14:paraId="5ADE9197" w14:textId="77777777" w:rsidR="003032EB" w:rsidRPr="009F56F3" w:rsidRDefault="003032EB" w:rsidP="00BB1AA3">
            <w:pPr>
              <w:spacing w:line="360" w:lineRule="auto"/>
              <w:rPr>
                <w:sz w:val="20"/>
              </w:rPr>
            </w:pPr>
            <w:r w:rsidRPr="009F56F3">
              <w:rPr>
                <w:sz w:val="20"/>
              </w:rPr>
              <w:t> </w:t>
            </w:r>
          </w:p>
        </w:tc>
        <w:tc>
          <w:tcPr>
            <w:tcW w:w="480" w:type="dxa"/>
            <w:noWrap/>
            <w:hideMark/>
          </w:tcPr>
          <w:p w14:paraId="2784472B" w14:textId="77777777" w:rsidR="003032EB" w:rsidRPr="009F56F3" w:rsidRDefault="003032EB" w:rsidP="00BB1AA3">
            <w:pPr>
              <w:spacing w:line="360" w:lineRule="auto"/>
              <w:rPr>
                <w:sz w:val="20"/>
              </w:rPr>
            </w:pPr>
            <w:r w:rsidRPr="009F56F3">
              <w:rPr>
                <w:sz w:val="20"/>
              </w:rPr>
              <w:t>X</w:t>
            </w:r>
          </w:p>
        </w:tc>
        <w:tc>
          <w:tcPr>
            <w:tcW w:w="1893" w:type="dxa"/>
            <w:noWrap/>
            <w:hideMark/>
          </w:tcPr>
          <w:p w14:paraId="18AAF306" w14:textId="77777777" w:rsidR="003032EB" w:rsidRPr="009F56F3" w:rsidRDefault="003032EB" w:rsidP="00BB1AA3">
            <w:pPr>
              <w:spacing w:line="360" w:lineRule="auto"/>
              <w:rPr>
                <w:sz w:val="20"/>
              </w:rPr>
            </w:pPr>
            <w:r w:rsidRPr="009F56F3">
              <w:rPr>
                <w:sz w:val="20"/>
              </w:rPr>
              <w:t> </w:t>
            </w:r>
          </w:p>
        </w:tc>
        <w:tc>
          <w:tcPr>
            <w:tcW w:w="1884" w:type="dxa"/>
            <w:noWrap/>
            <w:hideMark/>
          </w:tcPr>
          <w:p w14:paraId="7139DBB5" w14:textId="77777777" w:rsidR="003032EB" w:rsidRPr="009F56F3" w:rsidRDefault="003032EB" w:rsidP="00BB1AA3">
            <w:pPr>
              <w:spacing w:line="360" w:lineRule="auto"/>
              <w:rPr>
                <w:sz w:val="20"/>
              </w:rPr>
            </w:pPr>
            <w:r w:rsidRPr="009F56F3">
              <w:rPr>
                <w:sz w:val="20"/>
              </w:rPr>
              <w:t> </w:t>
            </w:r>
          </w:p>
        </w:tc>
      </w:tr>
      <w:tr w:rsidR="003032EB" w:rsidRPr="009F56F3" w14:paraId="34018E71" w14:textId="77777777" w:rsidTr="00BB1AA3">
        <w:trPr>
          <w:trHeight w:val="580"/>
        </w:trPr>
        <w:tc>
          <w:tcPr>
            <w:tcW w:w="1508" w:type="dxa"/>
            <w:gridSpan w:val="2"/>
            <w:noWrap/>
            <w:hideMark/>
          </w:tcPr>
          <w:p w14:paraId="6E52ABFE" w14:textId="77777777" w:rsidR="003032EB" w:rsidRPr="009F56F3" w:rsidRDefault="003032EB" w:rsidP="00BB1AA3">
            <w:pPr>
              <w:spacing w:line="360" w:lineRule="auto"/>
              <w:rPr>
                <w:sz w:val="20"/>
              </w:rPr>
            </w:pPr>
            <w:r w:rsidRPr="009F56F3">
              <w:rPr>
                <w:sz w:val="20"/>
              </w:rPr>
              <w:lastRenderedPageBreak/>
              <w:t>c)</w:t>
            </w:r>
          </w:p>
        </w:tc>
        <w:tc>
          <w:tcPr>
            <w:tcW w:w="3248" w:type="dxa"/>
            <w:hideMark/>
          </w:tcPr>
          <w:p w14:paraId="749D317F" w14:textId="77777777" w:rsidR="003032EB" w:rsidRPr="009F56F3" w:rsidRDefault="003032EB" w:rsidP="00BB1AA3">
            <w:pPr>
              <w:spacing w:line="360" w:lineRule="auto"/>
              <w:rPr>
                <w:sz w:val="20"/>
              </w:rPr>
            </w:pPr>
            <w:r w:rsidRPr="009F56F3">
              <w:rPr>
                <w:sz w:val="20"/>
              </w:rPr>
              <w:t>Limita la libertad de las empresas para promocionar sus productos.</w:t>
            </w:r>
          </w:p>
        </w:tc>
        <w:tc>
          <w:tcPr>
            <w:tcW w:w="383" w:type="dxa"/>
            <w:noWrap/>
            <w:hideMark/>
          </w:tcPr>
          <w:p w14:paraId="4D80C9A6" w14:textId="77777777" w:rsidR="003032EB" w:rsidRPr="009F56F3" w:rsidRDefault="003032EB" w:rsidP="00BB1AA3">
            <w:pPr>
              <w:spacing w:line="360" w:lineRule="auto"/>
              <w:rPr>
                <w:sz w:val="20"/>
              </w:rPr>
            </w:pPr>
            <w:r w:rsidRPr="009F56F3">
              <w:rPr>
                <w:sz w:val="20"/>
              </w:rPr>
              <w:t> </w:t>
            </w:r>
          </w:p>
        </w:tc>
        <w:tc>
          <w:tcPr>
            <w:tcW w:w="480" w:type="dxa"/>
            <w:noWrap/>
            <w:hideMark/>
          </w:tcPr>
          <w:p w14:paraId="60C4D087" w14:textId="77777777" w:rsidR="003032EB" w:rsidRPr="009F56F3" w:rsidRDefault="003032EB" w:rsidP="00BB1AA3">
            <w:pPr>
              <w:spacing w:line="360" w:lineRule="auto"/>
              <w:rPr>
                <w:sz w:val="20"/>
              </w:rPr>
            </w:pPr>
            <w:r w:rsidRPr="009F56F3">
              <w:rPr>
                <w:sz w:val="20"/>
              </w:rPr>
              <w:t>X</w:t>
            </w:r>
          </w:p>
        </w:tc>
        <w:tc>
          <w:tcPr>
            <w:tcW w:w="1893" w:type="dxa"/>
            <w:noWrap/>
            <w:hideMark/>
          </w:tcPr>
          <w:p w14:paraId="7980A21B" w14:textId="77777777" w:rsidR="003032EB" w:rsidRPr="009F56F3" w:rsidRDefault="003032EB" w:rsidP="00BB1AA3">
            <w:pPr>
              <w:spacing w:line="360" w:lineRule="auto"/>
              <w:rPr>
                <w:sz w:val="20"/>
              </w:rPr>
            </w:pPr>
            <w:r w:rsidRPr="009F56F3">
              <w:rPr>
                <w:sz w:val="20"/>
              </w:rPr>
              <w:t> </w:t>
            </w:r>
          </w:p>
        </w:tc>
        <w:tc>
          <w:tcPr>
            <w:tcW w:w="1884" w:type="dxa"/>
            <w:noWrap/>
            <w:hideMark/>
          </w:tcPr>
          <w:p w14:paraId="56D7E88F" w14:textId="77777777" w:rsidR="003032EB" w:rsidRPr="009F56F3" w:rsidRDefault="003032EB" w:rsidP="00BB1AA3">
            <w:pPr>
              <w:spacing w:line="360" w:lineRule="auto"/>
              <w:rPr>
                <w:sz w:val="20"/>
              </w:rPr>
            </w:pPr>
            <w:r w:rsidRPr="009F56F3">
              <w:rPr>
                <w:sz w:val="20"/>
              </w:rPr>
              <w:t> </w:t>
            </w:r>
          </w:p>
        </w:tc>
      </w:tr>
      <w:tr w:rsidR="003032EB" w:rsidRPr="009F56F3" w14:paraId="1156265D" w14:textId="77777777" w:rsidTr="00BB1AA3">
        <w:trPr>
          <w:trHeight w:val="870"/>
        </w:trPr>
        <w:tc>
          <w:tcPr>
            <w:tcW w:w="1508" w:type="dxa"/>
            <w:gridSpan w:val="2"/>
            <w:noWrap/>
            <w:hideMark/>
          </w:tcPr>
          <w:p w14:paraId="3AC24C62" w14:textId="77777777" w:rsidR="003032EB" w:rsidRPr="009F56F3" w:rsidRDefault="003032EB" w:rsidP="00BB1AA3">
            <w:pPr>
              <w:spacing w:line="360" w:lineRule="auto"/>
              <w:rPr>
                <w:sz w:val="20"/>
              </w:rPr>
            </w:pPr>
            <w:r w:rsidRPr="009F56F3">
              <w:rPr>
                <w:sz w:val="20"/>
              </w:rPr>
              <w:t>d)</w:t>
            </w:r>
          </w:p>
        </w:tc>
        <w:tc>
          <w:tcPr>
            <w:tcW w:w="3248" w:type="dxa"/>
            <w:hideMark/>
          </w:tcPr>
          <w:p w14:paraId="4AF92271" w14:textId="77777777" w:rsidR="003032EB" w:rsidRPr="009F56F3" w:rsidRDefault="003032EB" w:rsidP="00BB1AA3">
            <w:pPr>
              <w:spacing w:line="360" w:lineRule="auto"/>
              <w:rPr>
                <w:sz w:val="20"/>
              </w:rPr>
            </w:pPr>
            <w:r w:rsidRPr="009F56F3">
              <w:rPr>
                <w:sz w:val="20"/>
              </w:rPr>
              <w:t>Otorga a los operadores actuales en el mercado un trato diferenciado con respecto a las empresas entrantes.</w:t>
            </w:r>
          </w:p>
        </w:tc>
        <w:tc>
          <w:tcPr>
            <w:tcW w:w="383" w:type="dxa"/>
            <w:noWrap/>
            <w:hideMark/>
          </w:tcPr>
          <w:p w14:paraId="52AB36E5" w14:textId="77777777" w:rsidR="003032EB" w:rsidRPr="009F56F3" w:rsidRDefault="003032EB" w:rsidP="00BB1AA3">
            <w:pPr>
              <w:spacing w:line="360" w:lineRule="auto"/>
              <w:rPr>
                <w:sz w:val="20"/>
              </w:rPr>
            </w:pPr>
            <w:r w:rsidRPr="009F56F3">
              <w:rPr>
                <w:sz w:val="20"/>
              </w:rPr>
              <w:t> </w:t>
            </w:r>
          </w:p>
        </w:tc>
        <w:tc>
          <w:tcPr>
            <w:tcW w:w="480" w:type="dxa"/>
            <w:noWrap/>
            <w:hideMark/>
          </w:tcPr>
          <w:p w14:paraId="0D65D3F9" w14:textId="77777777" w:rsidR="003032EB" w:rsidRPr="009F56F3" w:rsidRDefault="003032EB" w:rsidP="00BB1AA3">
            <w:pPr>
              <w:spacing w:line="360" w:lineRule="auto"/>
              <w:rPr>
                <w:sz w:val="20"/>
              </w:rPr>
            </w:pPr>
            <w:r w:rsidRPr="009F56F3">
              <w:rPr>
                <w:sz w:val="20"/>
              </w:rPr>
              <w:t>X</w:t>
            </w:r>
          </w:p>
        </w:tc>
        <w:tc>
          <w:tcPr>
            <w:tcW w:w="1893" w:type="dxa"/>
            <w:noWrap/>
            <w:hideMark/>
          </w:tcPr>
          <w:p w14:paraId="1681B6B3" w14:textId="77777777" w:rsidR="003032EB" w:rsidRPr="009F56F3" w:rsidRDefault="003032EB" w:rsidP="00BB1AA3">
            <w:pPr>
              <w:spacing w:line="360" w:lineRule="auto"/>
              <w:rPr>
                <w:sz w:val="20"/>
              </w:rPr>
            </w:pPr>
            <w:r w:rsidRPr="009F56F3">
              <w:rPr>
                <w:sz w:val="20"/>
              </w:rPr>
              <w:t> </w:t>
            </w:r>
          </w:p>
        </w:tc>
        <w:tc>
          <w:tcPr>
            <w:tcW w:w="1884" w:type="dxa"/>
            <w:noWrap/>
            <w:hideMark/>
          </w:tcPr>
          <w:p w14:paraId="094AB032" w14:textId="77777777" w:rsidR="003032EB" w:rsidRPr="009F56F3" w:rsidRDefault="003032EB" w:rsidP="00BB1AA3">
            <w:pPr>
              <w:spacing w:line="360" w:lineRule="auto"/>
              <w:rPr>
                <w:sz w:val="20"/>
              </w:rPr>
            </w:pPr>
            <w:r w:rsidRPr="009F56F3">
              <w:rPr>
                <w:sz w:val="20"/>
              </w:rPr>
              <w:t> </w:t>
            </w:r>
          </w:p>
        </w:tc>
      </w:tr>
      <w:tr w:rsidR="003032EB" w:rsidRPr="009F56F3" w14:paraId="6C902A08" w14:textId="77777777" w:rsidTr="00BB1AA3">
        <w:trPr>
          <w:trHeight w:val="580"/>
        </w:trPr>
        <w:tc>
          <w:tcPr>
            <w:tcW w:w="1508" w:type="dxa"/>
            <w:gridSpan w:val="2"/>
            <w:noWrap/>
            <w:hideMark/>
          </w:tcPr>
          <w:p w14:paraId="310A7A1B" w14:textId="77777777" w:rsidR="003032EB" w:rsidRPr="009F56F3" w:rsidRDefault="003032EB" w:rsidP="00BB1AA3">
            <w:pPr>
              <w:spacing w:line="360" w:lineRule="auto"/>
              <w:rPr>
                <w:sz w:val="20"/>
              </w:rPr>
            </w:pPr>
            <w:r w:rsidRPr="009F56F3">
              <w:rPr>
                <w:sz w:val="20"/>
              </w:rPr>
              <w:t>e)</w:t>
            </w:r>
          </w:p>
        </w:tc>
        <w:tc>
          <w:tcPr>
            <w:tcW w:w="3248" w:type="dxa"/>
            <w:hideMark/>
          </w:tcPr>
          <w:p w14:paraId="79FB19BF" w14:textId="77777777" w:rsidR="003032EB" w:rsidRPr="009F56F3" w:rsidRDefault="003032EB" w:rsidP="00BB1AA3">
            <w:pPr>
              <w:spacing w:line="360" w:lineRule="auto"/>
              <w:rPr>
                <w:sz w:val="20"/>
              </w:rPr>
            </w:pPr>
            <w:r w:rsidRPr="009F56F3">
              <w:rPr>
                <w:sz w:val="20"/>
              </w:rPr>
              <w:t xml:space="preserve">Otorga trato diferenciado a unas empresas con respecto a otras. </w:t>
            </w:r>
          </w:p>
        </w:tc>
        <w:tc>
          <w:tcPr>
            <w:tcW w:w="383" w:type="dxa"/>
            <w:noWrap/>
            <w:hideMark/>
          </w:tcPr>
          <w:p w14:paraId="3117C094" w14:textId="77777777" w:rsidR="003032EB" w:rsidRPr="009F56F3" w:rsidRDefault="003032EB" w:rsidP="00BB1AA3">
            <w:pPr>
              <w:spacing w:line="360" w:lineRule="auto"/>
              <w:rPr>
                <w:sz w:val="20"/>
              </w:rPr>
            </w:pPr>
            <w:r w:rsidRPr="009F56F3">
              <w:rPr>
                <w:sz w:val="20"/>
              </w:rPr>
              <w:t> </w:t>
            </w:r>
          </w:p>
        </w:tc>
        <w:tc>
          <w:tcPr>
            <w:tcW w:w="480" w:type="dxa"/>
            <w:noWrap/>
            <w:hideMark/>
          </w:tcPr>
          <w:p w14:paraId="7743C1E8" w14:textId="77777777" w:rsidR="003032EB" w:rsidRPr="009F56F3" w:rsidRDefault="003032EB" w:rsidP="00BB1AA3">
            <w:pPr>
              <w:spacing w:line="360" w:lineRule="auto"/>
              <w:rPr>
                <w:sz w:val="20"/>
              </w:rPr>
            </w:pPr>
            <w:r w:rsidRPr="009F56F3">
              <w:rPr>
                <w:sz w:val="20"/>
              </w:rPr>
              <w:t>X</w:t>
            </w:r>
          </w:p>
        </w:tc>
        <w:tc>
          <w:tcPr>
            <w:tcW w:w="1893" w:type="dxa"/>
            <w:noWrap/>
            <w:hideMark/>
          </w:tcPr>
          <w:p w14:paraId="7D72E0CE" w14:textId="77777777" w:rsidR="003032EB" w:rsidRPr="009F56F3" w:rsidRDefault="003032EB" w:rsidP="00BB1AA3">
            <w:pPr>
              <w:spacing w:line="360" w:lineRule="auto"/>
              <w:rPr>
                <w:sz w:val="20"/>
              </w:rPr>
            </w:pPr>
            <w:r w:rsidRPr="009F56F3">
              <w:rPr>
                <w:sz w:val="20"/>
              </w:rPr>
              <w:t> </w:t>
            </w:r>
          </w:p>
        </w:tc>
        <w:tc>
          <w:tcPr>
            <w:tcW w:w="1884" w:type="dxa"/>
            <w:noWrap/>
            <w:hideMark/>
          </w:tcPr>
          <w:p w14:paraId="3B274508" w14:textId="77777777" w:rsidR="003032EB" w:rsidRPr="009F56F3" w:rsidRDefault="003032EB" w:rsidP="00BB1AA3">
            <w:pPr>
              <w:spacing w:line="360" w:lineRule="auto"/>
              <w:rPr>
                <w:sz w:val="20"/>
              </w:rPr>
            </w:pPr>
            <w:r w:rsidRPr="009F56F3">
              <w:rPr>
                <w:sz w:val="20"/>
              </w:rPr>
              <w:t> </w:t>
            </w:r>
          </w:p>
        </w:tc>
      </w:tr>
      <w:tr w:rsidR="003032EB" w:rsidRPr="009F56F3" w14:paraId="5EE8B3A5" w14:textId="77777777" w:rsidTr="00BB1AA3">
        <w:trPr>
          <w:trHeight w:val="870"/>
        </w:trPr>
        <w:tc>
          <w:tcPr>
            <w:tcW w:w="1508" w:type="dxa"/>
            <w:gridSpan w:val="2"/>
            <w:noWrap/>
            <w:hideMark/>
          </w:tcPr>
          <w:p w14:paraId="71A964D9" w14:textId="77777777" w:rsidR="003032EB" w:rsidRPr="009F56F3" w:rsidRDefault="003032EB" w:rsidP="00BB1AA3">
            <w:pPr>
              <w:spacing w:line="360" w:lineRule="auto"/>
              <w:rPr>
                <w:sz w:val="20"/>
              </w:rPr>
            </w:pPr>
            <w:r w:rsidRPr="009F56F3">
              <w:rPr>
                <w:sz w:val="20"/>
              </w:rPr>
              <w:t>f)</w:t>
            </w:r>
          </w:p>
        </w:tc>
        <w:tc>
          <w:tcPr>
            <w:tcW w:w="3248" w:type="dxa"/>
            <w:hideMark/>
          </w:tcPr>
          <w:p w14:paraId="0A8EC110" w14:textId="77777777" w:rsidR="003032EB" w:rsidRPr="009F56F3" w:rsidRDefault="003032EB" w:rsidP="00BB1AA3">
            <w:pPr>
              <w:spacing w:line="360" w:lineRule="auto"/>
              <w:rPr>
                <w:sz w:val="20"/>
              </w:rPr>
            </w:pPr>
            <w:r w:rsidRPr="009F56F3">
              <w:rPr>
                <w:sz w:val="20"/>
              </w:rPr>
              <w:t xml:space="preserve">Limita la libertad de las empresas para elegir sus procesos de producción </w:t>
            </w:r>
            <w:proofErr w:type="gramStart"/>
            <w:r w:rsidRPr="009F56F3">
              <w:rPr>
                <w:sz w:val="20"/>
              </w:rPr>
              <w:t>o  su</w:t>
            </w:r>
            <w:proofErr w:type="gramEnd"/>
            <w:r w:rsidRPr="009F56F3">
              <w:rPr>
                <w:sz w:val="20"/>
              </w:rPr>
              <w:t xml:space="preserve"> forma de organización industrial.</w:t>
            </w:r>
          </w:p>
        </w:tc>
        <w:tc>
          <w:tcPr>
            <w:tcW w:w="383" w:type="dxa"/>
            <w:noWrap/>
            <w:hideMark/>
          </w:tcPr>
          <w:p w14:paraId="21912967" w14:textId="77777777" w:rsidR="003032EB" w:rsidRPr="009F56F3" w:rsidRDefault="003032EB" w:rsidP="00BB1AA3">
            <w:pPr>
              <w:spacing w:line="360" w:lineRule="auto"/>
              <w:rPr>
                <w:sz w:val="20"/>
              </w:rPr>
            </w:pPr>
            <w:r w:rsidRPr="009F56F3">
              <w:rPr>
                <w:sz w:val="20"/>
              </w:rPr>
              <w:t> </w:t>
            </w:r>
          </w:p>
        </w:tc>
        <w:tc>
          <w:tcPr>
            <w:tcW w:w="480" w:type="dxa"/>
            <w:noWrap/>
            <w:hideMark/>
          </w:tcPr>
          <w:p w14:paraId="58EE1CCC" w14:textId="77777777" w:rsidR="003032EB" w:rsidRPr="009F56F3" w:rsidRDefault="003032EB" w:rsidP="00BB1AA3">
            <w:pPr>
              <w:spacing w:line="360" w:lineRule="auto"/>
              <w:rPr>
                <w:sz w:val="20"/>
              </w:rPr>
            </w:pPr>
            <w:r w:rsidRPr="009F56F3">
              <w:rPr>
                <w:sz w:val="20"/>
              </w:rPr>
              <w:t>X</w:t>
            </w:r>
          </w:p>
        </w:tc>
        <w:tc>
          <w:tcPr>
            <w:tcW w:w="1893" w:type="dxa"/>
            <w:noWrap/>
            <w:hideMark/>
          </w:tcPr>
          <w:p w14:paraId="41D3A9C8" w14:textId="77777777" w:rsidR="003032EB" w:rsidRPr="009F56F3" w:rsidRDefault="003032EB" w:rsidP="00BB1AA3">
            <w:pPr>
              <w:spacing w:line="360" w:lineRule="auto"/>
              <w:rPr>
                <w:sz w:val="20"/>
              </w:rPr>
            </w:pPr>
            <w:r w:rsidRPr="009F56F3">
              <w:rPr>
                <w:sz w:val="20"/>
              </w:rPr>
              <w:t> </w:t>
            </w:r>
          </w:p>
        </w:tc>
        <w:tc>
          <w:tcPr>
            <w:tcW w:w="1884" w:type="dxa"/>
            <w:noWrap/>
            <w:hideMark/>
          </w:tcPr>
          <w:p w14:paraId="7025382B" w14:textId="77777777" w:rsidR="003032EB" w:rsidRPr="009F56F3" w:rsidRDefault="003032EB" w:rsidP="00BB1AA3">
            <w:pPr>
              <w:spacing w:line="360" w:lineRule="auto"/>
              <w:rPr>
                <w:sz w:val="20"/>
              </w:rPr>
            </w:pPr>
            <w:r w:rsidRPr="009F56F3">
              <w:rPr>
                <w:sz w:val="20"/>
              </w:rPr>
              <w:t> </w:t>
            </w:r>
          </w:p>
        </w:tc>
      </w:tr>
      <w:tr w:rsidR="003032EB" w:rsidRPr="009F56F3" w14:paraId="5EC5A7A1" w14:textId="77777777" w:rsidTr="00BB1AA3">
        <w:trPr>
          <w:trHeight w:val="870"/>
        </w:trPr>
        <w:tc>
          <w:tcPr>
            <w:tcW w:w="1508" w:type="dxa"/>
            <w:gridSpan w:val="2"/>
            <w:noWrap/>
            <w:hideMark/>
          </w:tcPr>
          <w:p w14:paraId="20409BAF" w14:textId="77777777" w:rsidR="003032EB" w:rsidRPr="009F56F3" w:rsidRDefault="003032EB" w:rsidP="00BB1AA3">
            <w:pPr>
              <w:spacing w:line="360" w:lineRule="auto"/>
              <w:rPr>
                <w:sz w:val="20"/>
              </w:rPr>
            </w:pPr>
            <w:r w:rsidRPr="009F56F3">
              <w:rPr>
                <w:sz w:val="20"/>
              </w:rPr>
              <w:t>g)</w:t>
            </w:r>
          </w:p>
        </w:tc>
        <w:tc>
          <w:tcPr>
            <w:tcW w:w="3248" w:type="dxa"/>
            <w:hideMark/>
          </w:tcPr>
          <w:p w14:paraId="69A13AC6" w14:textId="77777777" w:rsidR="003032EB" w:rsidRPr="009F56F3" w:rsidRDefault="003032EB" w:rsidP="00BB1AA3">
            <w:pPr>
              <w:spacing w:line="360" w:lineRule="auto"/>
              <w:rPr>
                <w:sz w:val="20"/>
              </w:rPr>
            </w:pPr>
            <w:r w:rsidRPr="009F56F3">
              <w:rPr>
                <w:sz w:val="20"/>
              </w:rPr>
              <w:t xml:space="preserve">Limita la innovación para ofrecer nuevos productos o productos </w:t>
            </w:r>
            <w:proofErr w:type="gramStart"/>
            <w:r w:rsidRPr="009F56F3">
              <w:rPr>
                <w:sz w:val="20"/>
              </w:rPr>
              <w:t>existentes</w:t>
            </w:r>
            <w:proofErr w:type="gramEnd"/>
            <w:r w:rsidRPr="009F56F3">
              <w:rPr>
                <w:sz w:val="20"/>
              </w:rPr>
              <w:t xml:space="preserve"> pero bajo nuevas formas.   </w:t>
            </w:r>
          </w:p>
        </w:tc>
        <w:tc>
          <w:tcPr>
            <w:tcW w:w="383" w:type="dxa"/>
            <w:noWrap/>
            <w:hideMark/>
          </w:tcPr>
          <w:p w14:paraId="6958B297" w14:textId="77777777" w:rsidR="003032EB" w:rsidRPr="009F56F3" w:rsidRDefault="003032EB" w:rsidP="00BB1AA3">
            <w:pPr>
              <w:spacing w:line="360" w:lineRule="auto"/>
              <w:rPr>
                <w:sz w:val="20"/>
              </w:rPr>
            </w:pPr>
            <w:r w:rsidRPr="009F56F3">
              <w:rPr>
                <w:sz w:val="20"/>
              </w:rPr>
              <w:t> </w:t>
            </w:r>
          </w:p>
        </w:tc>
        <w:tc>
          <w:tcPr>
            <w:tcW w:w="480" w:type="dxa"/>
            <w:noWrap/>
            <w:hideMark/>
          </w:tcPr>
          <w:p w14:paraId="0AC843F1" w14:textId="77777777" w:rsidR="003032EB" w:rsidRPr="009F56F3" w:rsidRDefault="003032EB" w:rsidP="00BB1AA3">
            <w:pPr>
              <w:spacing w:line="360" w:lineRule="auto"/>
              <w:rPr>
                <w:sz w:val="20"/>
              </w:rPr>
            </w:pPr>
            <w:r w:rsidRPr="009F56F3">
              <w:rPr>
                <w:sz w:val="20"/>
              </w:rPr>
              <w:t>X</w:t>
            </w:r>
          </w:p>
        </w:tc>
        <w:tc>
          <w:tcPr>
            <w:tcW w:w="1893" w:type="dxa"/>
            <w:noWrap/>
            <w:hideMark/>
          </w:tcPr>
          <w:p w14:paraId="3FE33C68" w14:textId="77777777" w:rsidR="003032EB" w:rsidRPr="009F56F3" w:rsidRDefault="003032EB" w:rsidP="00BB1AA3">
            <w:pPr>
              <w:spacing w:line="360" w:lineRule="auto"/>
              <w:rPr>
                <w:sz w:val="20"/>
              </w:rPr>
            </w:pPr>
            <w:r w:rsidRPr="009F56F3">
              <w:rPr>
                <w:sz w:val="20"/>
              </w:rPr>
              <w:t> </w:t>
            </w:r>
          </w:p>
        </w:tc>
        <w:tc>
          <w:tcPr>
            <w:tcW w:w="1884" w:type="dxa"/>
            <w:noWrap/>
            <w:hideMark/>
          </w:tcPr>
          <w:p w14:paraId="0B91430B" w14:textId="77777777" w:rsidR="003032EB" w:rsidRPr="009F56F3" w:rsidRDefault="003032EB" w:rsidP="00BB1AA3">
            <w:pPr>
              <w:spacing w:line="360" w:lineRule="auto"/>
              <w:rPr>
                <w:sz w:val="20"/>
              </w:rPr>
            </w:pPr>
            <w:r w:rsidRPr="009F56F3">
              <w:rPr>
                <w:sz w:val="20"/>
              </w:rPr>
              <w:t> </w:t>
            </w:r>
          </w:p>
        </w:tc>
      </w:tr>
      <w:tr w:rsidR="003032EB" w:rsidRPr="009F56F3" w14:paraId="3C763E0A" w14:textId="77777777" w:rsidTr="00BB1AA3">
        <w:trPr>
          <w:trHeight w:val="290"/>
        </w:trPr>
        <w:tc>
          <w:tcPr>
            <w:tcW w:w="1508" w:type="dxa"/>
            <w:gridSpan w:val="2"/>
            <w:noWrap/>
            <w:hideMark/>
          </w:tcPr>
          <w:p w14:paraId="5FBCB2E3" w14:textId="77777777" w:rsidR="003032EB" w:rsidRPr="009F56F3" w:rsidRDefault="003032EB" w:rsidP="00BB1AA3">
            <w:pPr>
              <w:spacing w:line="360" w:lineRule="auto"/>
              <w:rPr>
                <w:b/>
                <w:bCs/>
                <w:sz w:val="20"/>
              </w:rPr>
            </w:pPr>
            <w:r w:rsidRPr="009F56F3">
              <w:rPr>
                <w:b/>
                <w:bCs/>
                <w:sz w:val="20"/>
              </w:rPr>
              <w:t>3.</w:t>
            </w:r>
          </w:p>
        </w:tc>
        <w:tc>
          <w:tcPr>
            <w:tcW w:w="7888" w:type="dxa"/>
            <w:gridSpan w:val="5"/>
            <w:hideMark/>
          </w:tcPr>
          <w:p w14:paraId="6527A1C7" w14:textId="77777777" w:rsidR="003032EB" w:rsidRPr="009F56F3" w:rsidRDefault="003032EB" w:rsidP="00BB1AA3">
            <w:pPr>
              <w:spacing w:line="360" w:lineRule="auto"/>
              <w:rPr>
                <w:b/>
                <w:bCs/>
                <w:sz w:val="20"/>
              </w:rPr>
            </w:pPr>
            <w:r w:rsidRPr="009F56F3">
              <w:rPr>
                <w:b/>
                <w:bCs/>
                <w:sz w:val="20"/>
              </w:rPr>
              <w:t xml:space="preserve">¿La regulación implica reducir los incentivos de las empresas para competir en uno o varios mercados relevantes relacionados? </w:t>
            </w:r>
            <w:r w:rsidRPr="009F56F3">
              <w:rPr>
                <w:b/>
                <w:bCs/>
                <w:sz w:val="20"/>
              </w:rPr>
              <w:br/>
              <w:t>Es posible que esto suceda, entre otros eventos, cuando el proyecto de acto:</w:t>
            </w:r>
          </w:p>
        </w:tc>
      </w:tr>
      <w:tr w:rsidR="003032EB" w:rsidRPr="009F56F3" w14:paraId="73F55485" w14:textId="77777777" w:rsidTr="00BB1AA3">
        <w:trPr>
          <w:trHeight w:val="580"/>
        </w:trPr>
        <w:tc>
          <w:tcPr>
            <w:tcW w:w="1508" w:type="dxa"/>
            <w:gridSpan w:val="2"/>
            <w:noWrap/>
            <w:hideMark/>
          </w:tcPr>
          <w:p w14:paraId="1F36CAF2" w14:textId="77777777" w:rsidR="003032EB" w:rsidRPr="009F56F3" w:rsidRDefault="003032EB" w:rsidP="00BB1AA3">
            <w:pPr>
              <w:spacing w:line="360" w:lineRule="auto"/>
              <w:rPr>
                <w:sz w:val="20"/>
              </w:rPr>
            </w:pPr>
            <w:r w:rsidRPr="009F56F3">
              <w:rPr>
                <w:sz w:val="20"/>
              </w:rPr>
              <w:t>a)</w:t>
            </w:r>
          </w:p>
        </w:tc>
        <w:tc>
          <w:tcPr>
            <w:tcW w:w="3248" w:type="dxa"/>
            <w:hideMark/>
          </w:tcPr>
          <w:p w14:paraId="14145A11" w14:textId="77777777" w:rsidR="003032EB" w:rsidRPr="009F56F3" w:rsidRDefault="003032EB" w:rsidP="00BB1AA3">
            <w:pPr>
              <w:spacing w:line="360" w:lineRule="auto"/>
              <w:rPr>
                <w:sz w:val="20"/>
              </w:rPr>
            </w:pPr>
            <w:r w:rsidRPr="009F56F3">
              <w:rPr>
                <w:sz w:val="20"/>
              </w:rPr>
              <w:t xml:space="preserve">Genera un régimen de autorregulación o </w:t>
            </w:r>
            <w:proofErr w:type="spellStart"/>
            <w:r w:rsidRPr="009F56F3">
              <w:rPr>
                <w:sz w:val="20"/>
              </w:rPr>
              <w:t>corregulación</w:t>
            </w:r>
            <w:proofErr w:type="spellEnd"/>
            <w:r w:rsidRPr="009F56F3">
              <w:rPr>
                <w:sz w:val="20"/>
              </w:rPr>
              <w:t>.</w:t>
            </w:r>
          </w:p>
        </w:tc>
        <w:tc>
          <w:tcPr>
            <w:tcW w:w="383" w:type="dxa"/>
            <w:noWrap/>
            <w:hideMark/>
          </w:tcPr>
          <w:p w14:paraId="6BD001D5" w14:textId="77777777" w:rsidR="003032EB" w:rsidRPr="009F56F3" w:rsidRDefault="003032EB" w:rsidP="00BB1AA3">
            <w:pPr>
              <w:spacing w:line="360" w:lineRule="auto"/>
              <w:rPr>
                <w:sz w:val="20"/>
              </w:rPr>
            </w:pPr>
            <w:r w:rsidRPr="009F56F3">
              <w:rPr>
                <w:sz w:val="20"/>
              </w:rPr>
              <w:t> </w:t>
            </w:r>
          </w:p>
        </w:tc>
        <w:tc>
          <w:tcPr>
            <w:tcW w:w="480" w:type="dxa"/>
            <w:noWrap/>
            <w:hideMark/>
          </w:tcPr>
          <w:p w14:paraId="25E34968" w14:textId="77777777" w:rsidR="003032EB" w:rsidRPr="009F56F3" w:rsidRDefault="003032EB" w:rsidP="00BB1AA3">
            <w:pPr>
              <w:spacing w:line="360" w:lineRule="auto"/>
              <w:rPr>
                <w:sz w:val="20"/>
              </w:rPr>
            </w:pPr>
            <w:r w:rsidRPr="009F56F3">
              <w:rPr>
                <w:sz w:val="20"/>
              </w:rPr>
              <w:t>X</w:t>
            </w:r>
          </w:p>
        </w:tc>
        <w:tc>
          <w:tcPr>
            <w:tcW w:w="1893" w:type="dxa"/>
            <w:noWrap/>
            <w:hideMark/>
          </w:tcPr>
          <w:p w14:paraId="1B83EC88" w14:textId="77777777" w:rsidR="003032EB" w:rsidRPr="009F56F3" w:rsidRDefault="003032EB" w:rsidP="00BB1AA3">
            <w:pPr>
              <w:spacing w:line="360" w:lineRule="auto"/>
              <w:rPr>
                <w:sz w:val="20"/>
              </w:rPr>
            </w:pPr>
            <w:r w:rsidRPr="009F56F3">
              <w:rPr>
                <w:sz w:val="20"/>
              </w:rPr>
              <w:t> </w:t>
            </w:r>
          </w:p>
        </w:tc>
        <w:tc>
          <w:tcPr>
            <w:tcW w:w="1884" w:type="dxa"/>
            <w:noWrap/>
            <w:hideMark/>
          </w:tcPr>
          <w:p w14:paraId="2F15D767" w14:textId="77777777" w:rsidR="003032EB" w:rsidRPr="009F56F3" w:rsidRDefault="003032EB" w:rsidP="00BB1AA3">
            <w:pPr>
              <w:spacing w:line="360" w:lineRule="auto"/>
              <w:rPr>
                <w:sz w:val="20"/>
              </w:rPr>
            </w:pPr>
            <w:r w:rsidRPr="009F56F3">
              <w:rPr>
                <w:sz w:val="20"/>
              </w:rPr>
              <w:t> </w:t>
            </w:r>
          </w:p>
        </w:tc>
      </w:tr>
      <w:tr w:rsidR="003032EB" w:rsidRPr="009F56F3" w14:paraId="3725EB0B" w14:textId="77777777" w:rsidTr="00BB1AA3">
        <w:trPr>
          <w:trHeight w:val="1160"/>
        </w:trPr>
        <w:tc>
          <w:tcPr>
            <w:tcW w:w="1508" w:type="dxa"/>
            <w:gridSpan w:val="2"/>
            <w:noWrap/>
            <w:hideMark/>
          </w:tcPr>
          <w:p w14:paraId="25B864CF" w14:textId="77777777" w:rsidR="003032EB" w:rsidRPr="009F56F3" w:rsidRDefault="003032EB" w:rsidP="00BB1AA3">
            <w:pPr>
              <w:spacing w:line="360" w:lineRule="auto"/>
              <w:rPr>
                <w:sz w:val="20"/>
              </w:rPr>
            </w:pPr>
            <w:r w:rsidRPr="009F56F3">
              <w:rPr>
                <w:sz w:val="20"/>
              </w:rPr>
              <w:t>b)</w:t>
            </w:r>
          </w:p>
        </w:tc>
        <w:tc>
          <w:tcPr>
            <w:tcW w:w="3248" w:type="dxa"/>
            <w:hideMark/>
          </w:tcPr>
          <w:p w14:paraId="2E0021A8" w14:textId="77777777" w:rsidR="003032EB" w:rsidRPr="009F56F3" w:rsidRDefault="003032EB" w:rsidP="00BB1AA3">
            <w:pPr>
              <w:spacing w:line="360" w:lineRule="auto"/>
              <w:rPr>
                <w:sz w:val="20"/>
              </w:rPr>
            </w:pPr>
            <w:r w:rsidRPr="009F56F3">
              <w:rPr>
                <w:sz w:val="20"/>
              </w:rPr>
              <w:t xml:space="preserve">Impone la obligación de dar publicidad sobre información sensible para una empresa que podría ser conocida por sus competidores (por </w:t>
            </w:r>
            <w:proofErr w:type="gramStart"/>
            <w:r w:rsidRPr="009F56F3">
              <w:rPr>
                <w:sz w:val="20"/>
              </w:rPr>
              <w:t>ejemplo</w:t>
            </w:r>
            <w:proofErr w:type="gramEnd"/>
            <w:r w:rsidRPr="009F56F3">
              <w:rPr>
                <w:sz w:val="20"/>
              </w:rPr>
              <w:t xml:space="preserve"> precios, nivel de ventas, costos, etc.)</w:t>
            </w:r>
          </w:p>
        </w:tc>
        <w:tc>
          <w:tcPr>
            <w:tcW w:w="383" w:type="dxa"/>
            <w:noWrap/>
            <w:hideMark/>
          </w:tcPr>
          <w:p w14:paraId="5617F64F" w14:textId="77777777" w:rsidR="003032EB" w:rsidRPr="009F56F3" w:rsidRDefault="003032EB" w:rsidP="00BB1AA3">
            <w:pPr>
              <w:spacing w:line="360" w:lineRule="auto"/>
              <w:rPr>
                <w:sz w:val="20"/>
              </w:rPr>
            </w:pPr>
            <w:r w:rsidRPr="009F56F3">
              <w:rPr>
                <w:sz w:val="20"/>
              </w:rPr>
              <w:t> </w:t>
            </w:r>
          </w:p>
        </w:tc>
        <w:tc>
          <w:tcPr>
            <w:tcW w:w="480" w:type="dxa"/>
            <w:noWrap/>
            <w:hideMark/>
          </w:tcPr>
          <w:p w14:paraId="70510B17" w14:textId="77777777" w:rsidR="003032EB" w:rsidRPr="009F56F3" w:rsidRDefault="003032EB" w:rsidP="00BB1AA3">
            <w:pPr>
              <w:spacing w:line="360" w:lineRule="auto"/>
              <w:rPr>
                <w:sz w:val="20"/>
              </w:rPr>
            </w:pPr>
            <w:r w:rsidRPr="009F56F3">
              <w:rPr>
                <w:sz w:val="20"/>
              </w:rPr>
              <w:t>X</w:t>
            </w:r>
          </w:p>
        </w:tc>
        <w:tc>
          <w:tcPr>
            <w:tcW w:w="1893" w:type="dxa"/>
            <w:noWrap/>
            <w:hideMark/>
          </w:tcPr>
          <w:p w14:paraId="70235BC0" w14:textId="77777777" w:rsidR="003032EB" w:rsidRPr="009F56F3" w:rsidRDefault="003032EB" w:rsidP="00BB1AA3">
            <w:pPr>
              <w:spacing w:line="360" w:lineRule="auto"/>
              <w:rPr>
                <w:sz w:val="20"/>
              </w:rPr>
            </w:pPr>
            <w:r w:rsidRPr="009F56F3">
              <w:rPr>
                <w:sz w:val="20"/>
              </w:rPr>
              <w:t> </w:t>
            </w:r>
          </w:p>
        </w:tc>
        <w:tc>
          <w:tcPr>
            <w:tcW w:w="1884" w:type="dxa"/>
            <w:noWrap/>
            <w:hideMark/>
          </w:tcPr>
          <w:p w14:paraId="1783D242" w14:textId="77777777" w:rsidR="003032EB" w:rsidRPr="009F56F3" w:rsidRDefault="003032EB" w:rsidP="00BB1AA3">
            <w:pPr>
              <w:spacing w:line="360" w:lineRule="auto"/>
              <w:rPr>
                <w:sz w:val="20"/>
              </w:rPr>
            </w:pPr>
            <w:r w:rsidRPr="009F56F3">
              <w:rPr>
                <w:sz w:val="20"/>
              </w:rPr>
              <w:t> </w:t>
            </w:r>
          </w:p>
        </w:tc>
      </w:tr>
      <w:tr w:rsidR="003032EB" w:rsidRPr="009F56F3" w14:paraId="36C626F5" w14:textId="77777777" w:rsidTr="00BB1AA3">
        <w:trPr>
          <w:trHeight w:val="290"/>
        </w:trPr>
        <w:tc>
          <w:tcPr>
            <w:tcW w:w="9396" w:type="dxa"/>
            <w:gridSpan w:val="7"/>
            <w:noWrap/>
            <w:hideMark/>
          </w:tcPr>
          <w:p w14:paraId="44B6E042" w14:textId="77777777" w:rsidR="003032EB" w:rsidRPr="009F56F3" w:rsidRDefault="003032EB" w:rsidP="00BB1AA3">
            <w:pPr>
              <w:spacing w:line="360" w:lineRule="auto"/>
              <w:rPr>
                <w:b/>
                <w:bCs/>
                <w:sz w:val="20"/>
              </w:rPr>
            </w:pPr>
            <w:r w:rsidRPr="009F56F3">
              <w:rPr>
                <w:b/>
                <w:bCs/>
                <w:sz w:val="20"/>
              </w:rPr>
              <w:t>CONCLUSIONES</w:t>
            </w:r>
          </w:p>
        </w:tc>
      </w:tr>
      <w:tr w:rsidR="003032EB" w:rsidRPr="009F56F3" w14:paraId="7CE2B9A1" w14:textId="77777777" w:rsidTr="00BB1AA3">
        <w:trPr>
          <w:trHeight w:val="960"/>
        </w:trPr>
        <w:tc>
          <w:tcPr>
            <w:tcW w:w="9396" w:type="dxa"/>
            <w:gridSpan w:val="7"/>
            <w:hideMark/>
          </w:tcPr>
          <w:p w14:paraId="6AD15CD1" w14:textId="77777777" w:rsidR="003032EB" w:rsidRPr="009F56F3" w:rsidRDefault="003032EB" w:rsidP="00BB1AA3">
            <w:pPr>
              <w:spacing w:line="360" w:lineRule="auto"/>
              <w:rPr>
                <w:sz w:val="20"/>
              </w:rPr>
            </w:pPr>
            <w:r w:rsidRPr="009D6678">
              <w:rPr>
                <w:sz w:val="20"/>
              </w:rPr>
              <w:t xml:space="preserve">Se concluye que </w:t>
            </w:r>
            <w:r>
              <w:rPr>
                <w:sz w:val="20"/>
              </w:rPr>
              <w:t>no es</w:t>
            </w:r>
            <w:r w:rsidRPr="009D6678">
              <w:rPr>
                <w:sz w:val="20"/>
              </w:rPr>
              <w:t xml:space="preserve"> necesario remitir a la abogacía de la competencia de la Superintendencia de Industria y Comercio.</w:t>
            </w:r>
          </w:p>
        </w:tc>
      </w:tr>
    </w:tbl>
    <w:p w14:paraId="03F1D79E" w14:textId="77777777" w:rsidR="003032EB" w:rsidRPr="003032EB" w:rsidRDefault="003032EB" w:rsidP="003032EB"/>
    <w:sectPr w:rsidR="003032EB" w:rsidRPr="003032EB" w:rsidSect="00DD7346">
      <w:headerReference w:type="default" r:id="rId18"/>
      <w:footerReference w:type="default" r:id="rId19"/>
      <w:pgSz w:w="12242" w:h="15842" w:code="1"/>
      <w:pgMar w:top="1418" w:right="1418" w:bottom="1418" w:left="1418" w:header="851" w:footer="56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Andres Hernando Dominguez" w:date="2023-01-06T11:22:00Z" w:initials="AHD">
    <w:p w14:paraId="20710EBF" w14:textId="77777777" w:rsidR="003032EB" w:rsidRDefault="003032EB" w:rsidP="003032EB">
      <w:pPr>
        <w:pStyle w:val="Textocomentario"/>
        <w:jc w:val="left"/>
      </w:pPr>
      <w:r>
        <w:rPr>
          <w:rStyle w:val="Refdecomentario"/>
        </w:rPr>
        <w:annotationRef/>
      </w:r>
      <w:r>
        <w:t>Diana, Aura, o quien enumere: aquí va el # de Res. Que quede para esta resolución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710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282E3" w16cex:dateUtc="2023-01-06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710EBF" w16cid:durableId="276282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3CAD1" w14:textId="77777777" w:rsidR="009F7D66" w:rsidRDefault="009F7D66">
      <w:r>
        <w:separator/>
      </w:r>
    </w:p>
  </w:endnote>
  <w:endnote w:type="continuationSeparator" w:id="0">
    <w:p w14:paraId="0D7D936F" w14:textId="77777777" w:rsidR="009F7D66" w:rsidRDefault="009F7D66">
      <w:r>
        <w:continuationSeparator/>
      </w:r>
    </w:p>
  </w:endnote>
  <w:endnote w:type="continuationNotice" w:id="1">
    <w:p w14:paraId="483505CB" w14:textId="77777777" w:rsidR="009F7D66" w:rsidRDefault="009F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4FA09B01" w:rsidR="0077100C" w:rsidRPr="00C95552" w:rsidRDefault="00C95552" w:rsidP="00C95552">
    <w:pPr>
      <w:pStyle w:val="Piedepgina"/>
      <w:rPr>
        <w:sz w:val="16"/>
        <w:lang w:val="es-CO"/>
      </w:rPr>
    </w:pPr>
    <w:r>
      <w:rPr>
        <w:sz w:val="16"/>
        <w:lang w:val="es-CO"/>
      </w:rPr>
      <w:t xml:space="preserve">D - </w:t>
    </w:r>
    <w:r w:rsidRPr="00C95552">
      <w:rPr>
        <w:sz w:val="16"/>
        <w:lang w:val="es-CO"/>
      </w:rPr>
      <w:t>901 101</w:t>
    </w:r>
    <w:r>
      <w:rPr>
        <w:sz w:val="16"/>
        <w:lang w:val="es-CO"/>
      </w:rPr>
      <w:t xml:space="preserve"> DE 2024 - </w:t>
    </w:r>
    <w:r w:rsidRPr="00C95552">
      <w:rPr>
        <w:sz w:val="16"/>
        <w:lang w:val="es-CO"/>
      </w:rPr>
      <w:t xml:space="preserve">AJUSTE AL CÁLCULO DE </w:t>
    </w:r>
    <w:proofErr w:type="spellStart"/>
    <w:r w:rsidRPr="00C95552">
      <w:rPr>
        <w:sz w:val="16"/>
        <w:lang w:val="es-CO"/>
      </w:rPr>
      <w:t>ENFICC</w:t>
    </w:r>
    <w:proofErr w:type="spellEnd"/>
    <w:r w:rsidRPr="00C95552">
      <w:rPr>
        <w:sz w:val="16"/>
        <w:lang w:val="es-CO"/>
      </w:rPr>
      <w:t xml:space="preserve"> DE PLANTAS SOLARES FOTOVOLTAICAS Y EÓLICAS SOLAMENTE CON INFORMACIÓN SECUNDARIA</w:t>
    </w:r>
    <w:r>
      <w:rPr>
        <w:sz w:val="16"/>
        <w:lang w:val="es-CO"/>
      </w:rPr>
      <w:t xml:space="preserve"> </w:t>
    </w:r>
    <w:r w:rsidRPr="00C95552">
      <w:rPr>
        <w:sz w:val="16"/>
        <w:lang w:val="es-CO"/>
      </w:rPr>
      <w:t>-</w:t>
    </w:r>
    <w:r>
      <w:rPr>
        <w:sz w:val="16"/>
        <w:lang w:val="es-CO"/>
      </w:rPr>
      <w:t xml:space="preserve"> </w:t>
    </w:r>
    <w:r w:rsidRPr="00C95552">
      <w:rPr>
        <w:sz w:val="16"/>
        <w:lang w:val="es-CO"/>
      </w:rPr>
      <w:t>ANÁLISIS DE COMENTARIOS RESOLUCIÓN CREG 701 043 DE 2024</w:t>
    </w:r>
    <w:r>
      <w:rPr>
        <w:sz w:val="16"/>
        <w:lang w:val="es-CO"/>
      </w:rPr>
      <w:t xml:space="preserve"> </w:t>
    </w:r>
    <w:r w:rsidRPr="00C95552">
      <w:rPr>
        <w:sz w:val="16"/>
        <w:lang w:val="es-CO"/>
      </w:rPr>
      <w:t>-</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6D5C" w14:textId="77777777" w:rsidR="009F7D66" w:rsidRDefault="009F7D66">
      <w:r>
        <w:separator/>
      </w:r>
    </w:p>
  </w:footnote>
  <w:footnote w:type="continuationSeparator" w:id="0">
    <w:p w14:paraId="70A54AF8" w14:textId="77777777" w:rsidR="009F7D66" w:rsidRDefault="009F7D66">
      <w:r>
        <w:continuationSeparator/>
      </w:r>
    </w:p>
  </w:footnote>
  <w:footnote w:type="continuationNotice" w:id="1">
    <w:p w14:paraId="1CF6BCF2" w14:textId="77777777" w:rsidR="009F7D66" w:rsidRDefault="009F7D66"/>
  </w:footnote>
  <w:footnote w:id="2">
    <w:p w14:paraId="2C4F6E7C" w14:textId="77777777" w:rsidR="003032EB" w:rsidRPr="00C95552" w:rsidRDefault="003032EB" w:rsidP="003032EB">
      <w:pPr>
        <w:pStyle w:val="Textonotapie"/>
        <w:rPr>
          <w:rFonts w:cs="Arial"/>
          <w:szCs w:val="24"/>
          <w:lang w:val="en-US"/>
        </w:rPr>
      </w:pPr>
      <w:r>
        <w:rPr>
          <w:rStyle w:val="Refdenotaalpie"/>
        </w:rPr>
        <w:footnoteRef/>
      </w:r>
      <w:r w:rsidRPr="00C95552">
        <w:rPr>
          <w:lang w:val="en-US"/>
        </w:rPr>
        <w:t xml:space="preserve"> </w:t>
      </w:r>
      <w:r w:rsidRPr="00C95552">
        <w:rPr>
          <w:rFonts w:cs="Arial"/>
          <w:i/>
          <w:iCs/>
          <w:szCs w:val="24"/>
          <w:lang w:val="en-US"/>
        </w:rPr>
        <w:t xml:space="preserve">Asian Development Bank (2014). Guidelines for Wind Resource Assessment: Best Practices for Countries Initiating Wind Development. Mandaluyong, Philippines: Asian Development Bank. </w:t>
      </w:r>
      <w:proofErr w:type="spellStart"/>
      <w:r w:rsidRPr="00C95552">
        <w:rPr>
          <w:rFonts w:cs="Arial"/>
          <w:i/>
          <w:iCs/>
          <w:szCs w:val="24"/>
          <w:lang w:val="en-US"/>
        </w:rPr>
        <w:t>Obtenido</w:t>
      </w:r>
      <w:proofErr w:type="spellEnd"/>
      <w:r w:rsidRPr="00C95552">
        <w:rPr>
          <w:rFonts w:cs="Arial"/>
          <w:i/>
          <w:iCs/>
          <w:szCs w:val="24"/>
          <w:lang w:val="en-US"/>
        </w:rPr>
        <w:t xml:space="preserve"> de </w:t>
      </w:r>
      <w:hyperlink r:id="rId1" w:history="1">
        <w:r w:rsidRPr="00C95552">
          <w:rPr>
            <w:rStyle w:val="Hipervnculo"/>
            <w:rFonts w:cs="Arial"/>
            <w:i/>
            <w:iCs/>
            <w:szCs w:val="24"/>
            <w:lang w:val="en-US"/>
          </w:rPr>
          <w:t>https://www.adb.org/publications/guidelines-windresource-assessment-best-practices-countries-initiating-wind-dev</w:t>
        </w:r>
      </w:hyperlink>
      <w:r w:rsidRPr="00C95552">
        <w:rPr>
          <w:rFonts w:cs="Arial"/>
          <w:szCs w:val="24"/>
          <w:lang w:val="en-US"/>
        </w:rPr>
        <w:t xml:space="preserve"> </w:t>
      </w:r>
    </w:p>
    <w:p w14:paraId="7E4E4E41" w14:textId="77777777" w:rsidR="003032EB" w:rsidRPr="00C95552" w:rsidRDefault="003032EB" w:rsidP="003032EB">
      <w:pPr>
        <w:pStyle w:val="Textonotapie"/>
        <w:rPr>
          <w:lang w:val="en-US"/>
        </w:rPr>
      </w:pPr>
    </w:p>
  </w:footnote>
  <w:footnote w:id="3">
    <w:p w14:paraId="1D1D1132" w14:textId="77777777" w:rsidR="003032EB" w:rsidRPr="00C95552" w:rsidRDefault="003032EB" w:rsidP="003032EB">
      <w:pPr>
        <w:pStyle w:val="Textonotapie"/>
        <w:rPr>
          <w:lang w:val="en-US"/>
        </w:rPr>
      </w:pPr>
      <w:r>
        <w:rPr>
          <w:rStyle w:val="Refdenotaalpie"/>
        </w:rPr>
        <w:footnoteRef/>
      </w:r>
      <w:r w:rsidRPr="00C95552">
        <w:rPr>
          <w:lang w:val="en-US"/>
        </w:rPr>
        <w:t xml:space="preserve"> </w:t>
      </w:r>
      <w:hyperlink r:id="rId2" w:history="1">
        <w:r w:rsidRPr="00C95552">
          <w:rPr>
            <w:rStyle w:val="Hipervnculo"/>
            <w:lang w:val="en-US"/>
          </w:rPr>
          <w:t>https://gestornormativo.creg.gov.co/Publicac.nsf/1c09d18d2d5ffb5b05256eee00709c02/e3f320f5a00a35bc0525888400782e0c.html</w:t>
        </w:r>
      </w:hyperlink>
      <w:r w:rsidRPr="00C95552">
        <w:rPr>
          <w:lang w:val="en-US"/>
        </w:rPr>
        <w:t xml:space="preserve"> </w:t>
      </w:r>
    </w:p>
  </w:footnote>
  <w:footnote w:id="4">
    <w:p w14:paraId="7F296F1F" w14:textId="77777777" w:rsidR="003032EB" w:rsidRPr="00C95552" w:rsidRDefault="003032EB" w:rsidP="003032EB">
      <w:pPr>
        <w:pStyle w:val="Textonotapie"/>
        <w:rPr>
          <w:lang w:val="en-US"/>
        </w:rPr>
      </w:pPr>
      <w:r>
        <w:rPr>
          <w:rStyle w:val="Refdenotaalpie"/>
        </w:rPr>
        <w:footnoteRef/>
      </w:r>
      <w:r w:rsidRPr="00C95552">
        <w:rPr>
          <w:lang w:val="en-US"/>
        </w:rPr>
        <w:t xml:space="preserve"> M Schnitzer et al. Solar input data for photovoltaic performance modeling. IEEE, 2012. 33 </w:t>
      </w:r>
      <w:hyperlink r:id="rId3" w:history="1">
        <w:r w:rsidRPr="00C95552">
          <w:rPr>
            <w:rStyle w:val="Hipervnculo"/>
            <w:lang w:val="en-US"/>
          </w:rPr>
          <w:t>https://ieeexplore.ieee.org/abstract/document/6318227</w:t>
        </w:r>
      </w:hyperlink>
      <w:r w:rsidRPr="00C95552">
        <w:rPr>
          <w:lang w:val="en-US"/>
        </w:rPr>
        <w:t xml:space="preserve">   </w:t>
      </w:r>
    </w:p>
    <w:p w14:paraId="7398EECC" w14:textId="77777777" w:rsidR="003032EB" w:rsidRPr="00C95552" w:rsidRDefault="003032EB" w:rsidP="003032EB">
      <w:pPr>
        <w:pStyle w:val="Textonotapie"/>
        <w:rPr>
          <w:lang w:val="en-US"/>
        </w:rPr>
      </w:pPr>
    </w:p>
  </w:footnote>
  <w:footnote w:id="5">
    <w:p w14:paraId="4D0DEFBC" w14:textId="77777777" w:rsidR="003032EB" w:rsidRPr="00D36D21" w:rsidRDefault="003032EB" w:rsidP="003032EB">
      <w:pPr>
        <w:pStyle w:val="Textonotapie"/>
        <w:rPr>
          <w:lang w:val="es-MX"/>
        </w:rPr>
      </w:pPr>
      <w:r>
        <w:rPr>
          <w:rStyle w:val="Refdenotaalpie"/>
        </w:rPr>
        <w:footnoteRef/>
      </w:r>
      <w:r w:rsidRPr="00C95552">
        <w:rPr>
          <w:lang w:val="en-US"/>
        </w:rPr>
        <w:t xml:space="preserve">  GLOBAL SOLAR ATLAS 2.0, VALIDATION REPORT, November 2019. </w:t>
      </w:r>
      <w:proofErr w:type="spellStart"/>
      <w:r w:rsidRPr="00D36D21">
        <w:t>The</w:t>
      </w:r>
      <w:proofErr w:type="spellEnd"/>
      <w:r w:rsidRPr="00D36D21">
        <w:t xml:space="preserve"> </w:t>
      </w:r>
      <w:proofErr w:type="spellStart"/>
      <w:r w:rsidRPr="00D36D21">
        <w:t>World</w:t>
      </w:r>
      <w:proofErr w:type="spellEnd"/>
      <w:r w:rsidRPr="00D36D21">
        <w:t xml:space="preserve"> Bank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794BBC10" w:rsidR="00020441" w:rsidRDefault="00020441">
    <w:pPr>
      <w:pStyle w:val="Encabezado"/>
    </w:pPr>
    <w:r>
      <w:rPr>
        <w:rFonts w:cs="Arial"/>
        <w:b/>
        <w:i/>
        <w:color w:val="808080"/>
        <w:sz w:val="16"/>
      </w:rPr>
      <w:t>Sesión No.</w:t>
    </w:r>
    <w:r w:rsidR="00C95552">
      <w:rPr>
        <w:rFonts w:cs="Arial"/>
        <w:b/>
        <w:i/>
        <w:color w:val="808080"/>
        <w:sz w:val="16"/>
      </w:rPr>
      <w:t xml:space="preserve"> 1321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A9148C"/>
    <w:multiLevelType w:val="hybridMultilevel"/>
    <w:tmpl w:val="00CCCDA6"/>
    <w:lvl w:ilvl="0" w:tplc="D3308516">
      <w:start w:val="1"/>
      <w:numFmt w:val="bullet"/>
      <w:lvlText w:val=""/>
      <w:lvlJc w:val="left"/>
      <w:pPr>
        <w:tabs>
          <w:tab w:val="num" w:pos="720"/>
        </w:tabs>
        <w:ind w:left="720" w:hanging="360"/>
      </w:pPr>
      <w:rPr>
        <w:rFonts w:ascii="Wingdings" w:hAnsi="Wingdings" w:hint="default"/>
      </w:rPr>
    </w:lvl>
    <w:lvl w:ilvl="1" w:tplc="0456C70A" w:tentative="1">
      <w:start w:val="1"/>
      <w:numFmt w:val="bullet"/>
      <w:lvlText w:val=""/>
      <w:lvlJc w:val="left"/>
      <w:pPr>
        <w:tabs>
          <w:tab w:val="num" w:pos="1440"/>
        </w:tabs>
        <w:ind w:left="1440" w:hanging="360"/>
      </w:pPr>
      <w:rPr>
        <w:rFonts w:ascii="Wingdings" w:hAnsi="Wingdings" w:hint="default"/>
      </w:rPr>
    </w:lvl>
    <w:lvl w:ilvl="2" w:tplc="7326ED52" w:tentative="1">
      <w:start w:val="1"/>
      <w:numFmt w:val="bullet"/>
      <w:lvlText w:val=""/>
      <w:lvlJc w:val="left"/>
      <w:pPr>
        <w:tabs>
          <w:tab w:val="num" w:pos="2160"/>
        </w:tabs>
        <w:ind w:left="2160" w:hanging="360"/>
      </w:pPr>
      <w:rPr>
        <w:rFonts w:ascii="Wingdings" w:hAnsi="Wingdings" w:hint="default"/>
      </w:rPr>
    </w:lvl>
    <w:lvl w:ilvl="3" w:tplc="E378222E" w:tentative="1">
      <w:start w:val="1"/>
      <w:numFmt w:val="bullet"/>
      <w:lvlText w:val=""/>
      <w:lvlJc w:val="left"/>
      <w:pPr>
        <w:tabs>
          <w:tab w:val="num" w:pos="2880"/>
        </w:tabs>
        <w:ind w:left="2880" w:hanging="360"/>
      </w:pPr>
      <w:rPr>
        <w:rFonts w:ascii="Wingdings" w:hAnsi="Wingdings" w:hint="default"/>
      </w:rPr>
    </w:lvl>
    <w:lvl w:ilvl="4" w:tplc="8A36C84A" w:tentative="1">
      <w:start w:val="1"/>
      <w:numFmt w:val="bullet"/>
      <w:lvlText w:val=""/>
      <w:lvlJc w:val="left"/>
      <w:pPr>
        <w:tabs>
          <w:tab w:val="num" w:pos="3600"/>
        </w:tabs>
        <w:ind w:left="3600" w:hanging="360"/>
      </w:pPr>
      <w:rPr>
        <w:rFonts w:ascii="Wingdings" w:hAnsi="Wingdings" w:hint="default"/>
      </w:rPr>
    </w:lvl>
    <w:lvl w:ilvl="5" w:tplc="37AAEE48" w:tentative="1">
      <w:start w:val="1"/>
      <w:numFmt w:val="bullet"/>
      <w:lvlText w:val=""/>
      <w:lvlJc w:val="left"/>
      <w:pPr>
        <w:tabs>
          <w:tab w:val="num" w:pos="4320"/>
        </w:tabs>
        <w:ind w:left="4320" w:hanging="360"/>
      </w:pPr>
      <w:rPr>
        <w:rFonts w:ascii="Wingdings" w:hAnsi="Wingdings" w:hint="default"/>
      </w:rPr>
    </w:lvl>
    <w:lvl w:ilvl="6" w:tplc="D450998A" w:tentative="1">
      <w:start w:val="1"/>
      <w:numFmt w:val="bullet"/>
      <w:lvlText w:val=""/>
      <w:lvlJc w:val="left"/>
      <w:pPr>
        <w:tabs>
          <w:tab w:val="num" w:pos="5040"/>
        </w:tabs>
        <w:ind w:left="5040" w:hanging="360"/>
      </w:pPr>
      <w:rPr>
        <w:rFonts w:ascii="Wingdings" w:hAnsi="Wingdings" w:hint="default"/>
      </w:rPr>
    </w:lvl>
    <w:lvl w:ilvl="7" w:tplc="E40E814C" w:tentative="1">
      <w:start w:val="1"/>
      <w:numFmt w:val="bullet"/>
      <w:lvlText w:val=""/>
      <w:lvlJc w:val="left"/>
      <w:pPr>
        <w:tabs>
          <w:tab w:val="num" w:pos="5760"/>
        </w:tabs>
        <w:ind w:left="5760" w:hanging="360"/>
      </w:pPr>
      <w:rPr>
        <w:rFonts w:ascii="Wingdings" w:hAnsi="Wingdings" w:hint="default"/>
      </w:rPr>
    </w:lvl>
    <w:lvl w:ilvl="8" w:tplc="DD42D3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27F349C4"/>
    <w:multiLevelType w:val="hybridMultilevel"/>
    <w:tmpl w:val="C3CE3A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5326FD"/>
    <w:multiLevelType w:val="hybridMultilevel"/>
    <w:tmpl w:val="FE5A7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1F5557"/>
    <w:multiLevelType w:val="hybridMultilevel"/>
    <w:tmpl w:val="CFA0E98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3C84FF6"/>
    <w:multiLevelType w:val="hybridMultilevel"/>
    <w:tmpl w:val="C4D83D1A"/>
    <w:lvl w:ilvl="0" w:tplc="57D4D7EE">
      <w:start w:val="1"/>
      <w:numFmt w:val="bullet"/>
      <w:lvlText w:val=""/>
      <w:lvlJc w:val="left"/>
      <w:pPr>
        <w:tabs>
          <w:tab w:val="num" w:pos="720"/>
        </w:tabs>
        <w:ind w:left="720" w:hanging="360"/>
      </w:pPr>
      <w:rPr>
        <w:rFonts w:ascii="Wingdings" w:hAnsi="Wingdings" w:hint="default"/>
      </w:rPr>
    </w:lvl>
    <w:lvl w:ilvl="1" w:tplc="51EEAE40" w:tentative="1">
      <w:start w:val="1"/>
      <w:numFmt w:val="bullet"/>
      <w:lvlText w:val=""/>
      <w:lvlJc w:val="left"/>
      <w:pPr>
        <w:tabs>
          <w:tab w:val="num" w:pos="1440"/>
        </w:tabs>
        <w:ind w:left="1440" w:hanging="360"/>
      </w:pPr>
      <w:rPr>
        <w:rFonts w:ascii="Wingdings" w:hAnsi="Wingdings" w:hint="default"/>
      </w:rPr>
    </w:lvl>
    <w:lvl w:ilvl="2" w:tplc="54A8298E" w:tentative="1">
      <w:start w:val="1"/>
      <w:numFmt w:val="bullet"/>
      <w:lvlText w:val=""/>
      <w:lvlJc w:val="left"/>
      <w:pPr>
        <w:tabs>
          <w:tab w:val="num" w:pos="2160"/>
        </w:tabs>
        <w:ind w:left="2160" w:hanging="360"/>
      </w:pPr>
      <w:rPr>
        <w:rFonts w:ascii="Wingdings" w:hAnsi="Wingdings" w:hint="default"/>
      </w:rPr>
    </w:lvl>
    <w:lvl w:ilvl="3" w:tplc="7A7ED66E" w:tentative="1">
      <w:start w:val="1"/>
      <w:numFmt w:val="bullet"/>
      <w:lvlText w:val=""/>
      <w:lvlJc w:val="left"/>
      <w:pPr>
        <w:tabs>
          <w:tab w:val="num" w:pos="2880"/>
        </w:tabs>
        <w:ind w:left="2880" w:hanging="360"/>
      </w:pPr>
      <w:rPr>
        <w:rFonts w:ascii="Wingdings" w:hAnsi="Wingdings" w:hint="default"/>
      </w:rPr>
    </w:lvl>
    <w:lvl w:ilvl="4" w:tplc="DE62D2C0" w:tentative="1">
      <w:start w:val="1"/>
      <w:numFmt w:val="bullet"/>
      <w:lvlText w:val=""/>
      <w:lvlJc w:val="left"/>
      <w:pPr>
        <w:tabs>
          <w:tab w:val="num" w:pos="3600"/>
        </w:tabs>
        <w:ind w:left="3600" w:hanging="360"/>
      </w:pPr>
      <w:rPr>
        <w:rFonts w:ascii="Wingdings" w:hAnsi="Wingdings" w:hint="default"/>
      </w:rPr>
    </w:lvl>
    <w:lvl w:ilvl="5" w:tplc="AE3488A2" w:tentative="1">
      <w:start w:val="1"/>
      <w:numFmt w:val="bullet"/>
      <w:lvlText w:val=""/>
      <w:lvlJc w:val="left"/>
      <w:pPr>
        <w:tabs>
          <w:tab w:val="num" w:pos="4320"/>
        </w:tabs>
        <w:ind w:left="4320" w:hanging="360"/>
      </w:pPr>
      <w:rPr>
        <w:rFonts w:ascii="Wingdings" w:hAnsi="Wingdings" w:hint="default"/>
      </w:rPr>
    </w:lvl>
    <w:lvl w:ilvl="6" w:tplc="3DB25F6C" w:tentative="1">
      <w:start w:val="1"/>
      <w:numFmt w:val="bullet"/>
      <w:lvlText w:val=""/>
      <w:lvlJc w:val="left"/>
      <w:pPr>
        <w:tabs>
          <w:tab w:val="num" w:pos="5040"/>
        </w:tabs>
        <w:ind w:left="5040" w:hanging="360"/>
      </w:pPr>
      <w:rPr>
        <w:rFonts w:ascii="Wingdings" w:hAnsi="Wingdings" w:hint="default"/>
      </w:rPr>
    </w:lvl>
    <w:lvl w:ilvl="7" w:tplc="07083468" w:tentative="1">
      <w:start w:val="1"/>
      <w:numFmt w:val="bullet"/>
      <w:lvlText w:val=""/>
      <w:lvlJc w:val="left"/>
      <w:pPr>
        <w:tabs>
          <w:tab w:val="num" w:pos="5760"/>
        </w:tabs>
        <w:ind w:left="5760" w:hanging="360"/>
      </w:pPr>
      <w:rPr>
        <w:rFonts w:ascii="Wingdings" w:hAnsi="Wingdings" w:hint="default"/>
      </w:rPr>
    </w:lvl>
    <w:lvl w:ilvl="8" w:tplc="E7C4FB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8422F"/>
    <w:multiLevelType w:val="hybridMultilevel"/>
    <w:tmpl w:val="7902B1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57B20260"/>
    <w:multiLevelType w:val="hybridMultilevel"/>
    <w:tmpl w:val="D3806E30"/>
    <w:lvl w:ilvl="0" w:tplc="24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6B5D9A"/>
    <w:multiLevelType w:val="hybridMultilevel"/>
    <w:tmpl w:val="3A30935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5" w15:restartNumberingAfterBreak="0">
    <w:nsid w:val="61F82B44"/>
    <w:multiLevelType w:val="hybridMultilevel"/>
    <w:tmpl w:val="34D4235A"/>
    <w:lvl w:ilvl="0" w:tplc="FA52ABB8">
      <w:numFmt w:val="bullet"/>
      <w:lvlText w:val="-"/>
      <w:lvlJc w:val="left"/>
      <w:pPr>
        <w:ind w:left="2203" w:hanging="360"/>
      </w:pPr>
      <w:rPr>
        <w:rFonts w:ascii="Arial" w:eastAsia="Times New Roman" w:hAnsi="Arial" w:cs="Arial" w:hint="default"/>
      </w:rPr>
    </w:lvl>
    <w:lvl w:ilvl="1" w:tplc="240A0003" w:tentative="1">
      <w:start w:val="1"/>
      <w:numFmt w:val="bullet"/>
      <w:lvlText w:val="o"/>
      <w:lvlJc w:val="left"/>
      <w:pPr>
        <w:ind w:left="2923" w:hanging="360"/>
      </w:pPr>
      <w:rPr>
        <w:rFonts w:ascii="Courier New" w:hAnsi="Courier New" w:cs="Courier New" w:hint="default"/>
      </w:rPr>
    </w:lvl>
    <w:lvl w:ilvl="2" w:tplc="240A0005" w:tentative="1">
      <w:start w:val="1"/>
      <w:numFmt w:val="bullet"/>
      <w:lvlText w:val=""/>
      <w:lvlJc w:val="left"/>
      <w:pPr>
        <w:ind w:left="3643" w:hanging="360"/>
      </w:pPr>
      <w:rPr>
        <w:rFonts w:ascii="Wingdings" w:hAnsi="Wingdings" w:hint="default"/>
      </w:rPr>
    </w:lvl>
    <w:lvl w:ilvl="3" w:tplc="240A0001" w:tentative="1">
      <w:start w:val="1"/>
      <w:numFmt w:val="bullet"/>
      <w:lvlText w:val=""/>
      <w:lvlJc w:val="left"/>
      <w:pPr>
        <w:ind w:left="4363" w:hanging="360"/>
      </w:pPr>
      <w:rPr>
        <w:rFonts w:ascii="Symbol" w:hAnsi="Symbol" w:hint="default"/>
      </w:rPr>
    </w:lvl>
    <w:lvl w:ilvl="4" w:tplc="240A0003" w:tentative="1">
      <w:start w:val="1"/>
      <w:numFmt w:val="bullet"/>
      <w:lvlText w:val="o"/>
      <w:lvlJc w:val="left"/>
      <w:pPr>
        <w:ind w:left="5083" w:hanging="360"/>
      </w:pPr>
      <w:rPr>
        <w:rFonts w:ascii="Courier New" w:hAnsi="Courier New" w:cs="Courier New" w:hint="default"/>
      </w:rPr>
    </w:lvl>
    <w:lvl w:ilvl="5" w:tplc="240A0005" w:tentative="1">
      <w:start w:val="1"/>
      <w:numFmt w:val="bullet"/>
      <w:lvlText w:val=""/>
      <w:lvlJc w:val="left"/>
      <w:pPr>
        <w:ind w:left="5803" w:hanging="360"/>
      </w:pPr>
      <w:rPr>
        <w:rFonts w:ascii="Wingdings" w:hAnsi="Wingdings" w:hint="default"/>
      </w:rPr>
    </w:lvl>
    <w:lvl w:ilvl="6" w:tplc="240A0001" w:tentative="1">
      <w:start w:val="1"/>
      <w:numFmt w:val="bullet"/>
      <w:lvlText w:val=""/>
      <w:lvlJc w:val="left"/>
      <w:pPr>
        <w:ind w:left="6523" w:hanging="360"/>
      </w:pPr>
      <w:rPr>
        <w:rFonts w:ascii="Symbol" w:hAnsi="Symbol" w:hint="default"/>
      </w:rPr>
    </w:lvl>
    <w:lvl w:ilvl="7" w:tplc="240A0003" w:tentative="1">
      <w:start w:val="1"/>
      <w:numFmt w:val="bullet"/>
      <w:lvlText w:val="o"/>
      <w:lvlJc w:val="left"/>
      <w:pPr>
        <w:ind w:left="7243" w:hanging="360"/>
      </w:pPr>
      <w:rPr>
        <w:rFonts w:ascii="Courier New" w:hAnsi="Courier New" w:cs="Courier New" w:hint="default"/>
      </w:rPr>
    </w:lvl>
    <w:lvl w:ilvl="8" w:tplc="240A0005" w:tentative="1">
      <w:start w:val="1"/>
      <w:numFmt w:val="bullet"/>
      <w:lvlText w:val=""/>
      <w:lvlJc w:val="left"/>
      <w:pPr>
        <w:ind w:left="7963" w:hanging="360"/>
      </w:pPr>
      <w:rPr>
        <w:rFonts w:ascii="Wingdings" w:hAnsi="Wingdings" w:hint="default"/>
      </w:rPr>
    </w:lvl>
  </w:abstractNum>
  <w:abstractNum w:abstractNumId="16"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432BD8"/>
    <w:multiLevelType w:val="hybridMultilevel"/>
    <w:tmpl w:val="38F4791E"/>
    <w:lvl w:ilvl="0" w:tplc="3E349DFC">
      <w:start w:val="1"/>
      <w:numFmt w:val="decimal"/>
      <w:pStyle w:val="ARTICULOS"/>
      <w:lvlText w:val="Artículo %1."/>
      <w:lvlJc w:val="left"/>
      <w:pPr>
        <w:ind w:left="360"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01">
      <w:start w:val="1"/>
      <w:numFmt w:val="bullet"/>
      <w:lvlText w:val=""/>
      <w:lvlJc w:val="left"/>
      <w:pPr>
        <w:ind w:left="939" w:hanging="360"/>
      </w:pPr>
      <w:rPr>
        <w:rFonts w:ascii="Symbol" w:hAnsi="Symbol" w:hint="default"/>
      </w:rPr>
    </w:lvl>
    <w:lvl w:ilvl="2" w:tplc="C7AC98A2">
      <w:start w:val="1"/>
      <w:numFmt w:val="decimal"/>
      <w:lvlText w:val="%3."/>
      <w:lvlJc w:val="left"/>
      <w:pPr>
        <w:ind w:left="1659" w:hanging="180"/>
      </w:pPr>
      <w:rPr>
        <w:b w:val="0"/>
      </w:rPr>
    </w:lvl>
    <w:lvl w:ilvl="3" w:tplc="94AE6346">
      <w:start w:val="1"/>
      <w:numFmt w:val="upperLetter"/>
      <w:lvlText w:val="%4."/>
      <w:lvlJc w:val="left"/>
      <w:pPr>
        <w:ind w:left="2379" w:hanging="360"/>
      </w:pPr>
      <w:rPr>
        <w:rFonts w:hint="default"/>
      </w:rPr>
    </w:lvl>
    <w:lvl w:ilvl="4" w:tplc="D0C6F998">
      <w:start w:val="1"/>
      <w:numFmt w:val="lowerLetter"/>
      <w:lvlText w:val="%5)"/>
      <w:lvlJc w:val="left"/>
      <w:pPr>
        <w:ind w:left="3099" w:hanging="360"/>
      </w:pPr>
      <w:rPr>
        <w:rFonts w:hint="default"/>
      </w:rPr>
    </w:lvl>
    <w:lvl w:ilvl="5" w:tplc="240A001B">
      <w:start w:val="1"/>
      <w:numFmt w:val="lowerRoman"/>
      <w:lvlText w:val="%6."/>
      <w:lvlJc w:val="right"/>
      <w:pPr>
        <w:ind w:left="3819" w:hanging="180"/>
      </w:pPr>
    </w:lvl>
    <w:lvl w:ilvl="6" w:tplc="240A000F">
      <w:start w:val="1"/>
      <w:numFmt w:val="decimal"/>
      <w:lvlText w:val="%7."/>
      <w:lvlJc w:val="left"/>
      <w:pPr>
        <w:ind w:left="4539" w:hanging="360"/>
      </w:pPr>
    </w:lvl>
    <w:lvl w:ilvl="7" w:tplc="240A0001">
      <w:start w:val="1"/>
      <w:numFmt w:val="bullet"/>
      <w:lvlText w:val=""/>
      <w:lvlJc w:val="left"/>
      <w:pPr>
        <w:ind w:left="2629" w:hanging="360"/>
      </w:pPr>
      <w:rPr>
        <w:rFonts w:ascii="Symbol" w:hAnsi="Symbol" w:hint="default"/>
      </w:rPr>
    </w:lvl>
    <w:lvl w:ilvl="8" w:tplc="240A001B">
      <w:start w:val="1"/>
      <w:numFmt w:val="lowerRoman"/>
      <w:lvlText w:val="%9."/>
      <w:lvlJc w:val="right"/>
      <w:pPr>
        <w:ind w:left="5979" w:hanging="180"/>
      </w:pPr>
    </w:lvl>
  </w:abstractNum>
  <w:abstractNum w:abstractNumId="18"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065EB4"/>
    <w:multiLevelType w:val="hybridMultilevel"/>
    <w:tmpl w:val="45B0C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01872976">
    <w:abstractNumId w:val="2"/>
  </w:num>
  <w:num w:numId="2" w16cid:durableId="801968684">
    <w:abstractNumId w:val="2"/>
  </w:num>
  <w:num w:numId="3" w16cid:durableId="2073001526">
    <w:abstractNumId w:val="2"/>
  </w:num>
  <w:num w:numId="4" w16cid:durableId="780993275">
    <w:abstractNumId w:val="2"/>
  </w:num>
  <w:num w:numId="5" w16cid:durableId="493184022">
    <w:abstractNumId w:val="2"/>
  </w:num>
  <w:num w:numId="6" w16cid:durableId="449592109">
    <w:abstractNumId w:val="2"/>
  </w:num>
  <w:num w:numId="7" w16cid:durableId="1909227231">
    <w:abstractNumId w:val="14"/>
  </w:num>
  <w:num w:numId="8" w16cid:durableId="467629627">
    <w:abstractNumId w:val="11"/>
  </w:num>
  <w:num w:numId="9" w16cid:durableId="959071692">
    <w:abstractNumId w:val="16"/>
  </w:num>
  <w:num w:numId="10" w16cid:durableId="2118718905">
    <w:abstractNumId w:val="18"/>
  </w:num>
  <w:num w:numId="11" w16cid:durableId="811794889">
    <w:abstractNumId w:val="12"/>
  </w:num>
  <w:num w:numId="12" w16cid:durableId="196089711">
    <w:abstractNumId w:val="10"/>
  </w:num>
  <w:num w:numId="13" w16cid:durableId="983437049">
    <w:abstractNumId w:val="0"/>
  </w:num>
  <w:num w:numId="14" w16cid:durableId="1867281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8"/>
  </w:num>
  <w:num w:numId="16" w16cid:durableId="781455523">
    <w:abstractNumId w:val="4"/>
  </w:num>
  <w:num w:numId="17" w16cid:durableId="1444299245">
    <w:abstractNumId w:val="3"/>
  </w:num>
  <w:num w:numId="18" w16cid:durableId="1116483284">
    <w:abstractNumId w:val="7"/>
  </w:num>
  <w:num w:numId="19" w16cid:durableId="930435798">
    <w:abstractNumId w:val="5"/>
  </w:num>
  <w:num w:numId="20" w16cid:durableId="1193106143">
    <w:abstractNumId w:val="9"/>
  </w:num>
  <w:num w:numId="21" w16cid:durableId="960113308">
    <w:abstractNumId w:val="13"/>
  </w:num>
  <w:num w:numId="22" w16cid:durableId="720862145">
    <w:abstractNumId w:val="15"/>
  </w:num>
  <w:num w:numId="23" w16cid:durableId="549265438">
    <w:abstractNumId w:val="6"/>
  </w:num>
  <w:num w:numId="24" w16cid:durableId="1807774146">
    <w:abstractNumId w:val="1"/>
  </w:num>
  <w:num w:numId="25" w16cid:durableId="1204295420">
    <w:abstractNumId w:val="19"/>
  </w:num>
  <w:num w:numId="26" w16cid:durableId="1701513754">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s Hernando Dominguez">
    <w15:presenceInfo w15:providerId="AD" w15:userId="S::adominguez@creg.gov.co::5ddea36a-72d9-492e-964a-7e86b501e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52C88"/>
    <w:rsid w:val="00056DFC"/>
    <w:rsid w:val="00066421"/>
    <w:rsid w:val="000A0B91"/>
    <w:rsid w:val="000B47B0"/>
    <w:rsid w:val="000B5AD2"/>
    <w:rsid w:val="000C44FE"/>
    <w:rsid w:val="000E157A"/>
    <w:rsid w:val="000E6A9D"/>
    <w:rsid w:val="0010544E"/>
    <w:rsid w:val="0012697F"/>
    <w:rsid w:val="0013295A"/>
    <w:rsid w:val="0013668A"/>
    <w:rsid w:val="001507E2"/>
    <w:rsid w:val="0015231C"/>
    <w:rsid w:val="00157B26"/>
    <w:rsid w:val="001700C2"/>
    <w:rsid w:val="00172DD4"/>
    <w:rsid w:val="00186477"/>
    <w:rsid w:val="00194F02"/>
    <w:rsid w:val="001C3FDE"/>
    <w:rsid w:val="00210949"/>
    <w:rsid w:val="00220D0D"/>
    <w:rsid w:val="00242826"/>
    <w:rsid w:val="00277DD8"/>
    <w:rsid w:val="0028466C"/>
    <w:rsid w:val="002E19C4"/>
    <w:rsid w:val="002E361C"/>
    <w:rsid w:val="003032EB"/>
    <w:rsid w:val="003227EA"/>
    <w:rsid w:val="0032444A"/>
    <w:rsid w:val="003320D3"/>
    <w:rsid w:val="00332F1C"/>
    <w:rsid w:val="00342D19"/>
    <w:rsid w:val="00346BC3"/>
    <w:rsid w:val="003642B0"/>
    <w:rsid w:val="0038050C"/>
    <w:rsid w:val="003C55ED"/>
    <w:rsid w:val="003D2CCB"/>
    <w:rsid w:val="00402949"/>
    <w:rsid w:val="0040539F"/>
    <w:rsid w:val="00420F87"/>
    <w:rsid w:val="0042648F"/>
    <w:rsid w:val="00446983"/>
    <w:rsid w:val="00456730"/>
    <w:rsid w:val="004914CA"/>
    <w:rsid w:val="004A733B"/>
    <w:rsid w:val="004B0F92"/>
    <w:rsid w:val="004C001C"/>
    <w:rsid w:val="004E3965"/>
    <w:rsid w:val="004E4022"/>
    <w:rsid w:val="004F0E6A"/>
    <w:rsid w:val="005042D3"/>
    <w:rsid w:val="005074C3"/>
    <w:rsid w:val="00517002"/>
    <w:rsid w:val="0054039F"/>
    <w:rsid w:val="00587047"/>
    <w:rsid w:val="005A4F42"/>
    <w:rsid w:val="005D26BC"/>
    <w:rsid w:val="005E21FD"/>
    <w:rsid w:val="005E7345"/>
    <w:rsid w:val="0060207B"/>
    <w:rsid w:val="00621713"/>
    <w:rsid w:val="00640798"/>
    <w:rsid w:val="00650478"/>
    <w:rsid w:val="0066453F"/>
    <w:rsid w:val="006864FD"/>
    <w:rsid w:val="006E1029"/>
    <w:rsid w:val="006E1AB3"/>
    <w:rsid w:val="006F6017"/>
    <w:rsid w:val="00717554"/>
    <w:rsid w:val="007319DB"/>
    <w:rsid w:val="0074297C"/>
    <w:rsid w:val="00765B90"/>
    <w:rsid w:val="0077100C"/>
    <w:rsid w:val="007864F4"/>
    <w:rsid w:val="007B1E5C"/>
    <w:rsid w:val="007E0711"/>
    <w:rsid w:val="00811AFE"/>
    <w:rsid w:val="00836DB7"/>
    <w:rsid w:val="00841F2F"/>
    <w:rsid w:val="00842447"/>
    <w:rsid w:val="00844067"/>
    <w:rsid w:val="008A3820"/>
    <w:rsid w:val="008B734F"/>
    <w:rsid w:val="008E4B18"/>
    <w:rsid w:val="008F5A0E"/>
    <w:rsid w:val="008F7D49"/>
    <w:rsid w:val="00933069"/>
    <w:rsid w:val="00935705"/>
    <w:rsid w:val="00954B4E"/>
    <w:rsid w:val="00956F71"/>
    <w:rsid w:val="009640AD"/>
    <w:rsid w:val="0098175C"/>
    <w:rsid w:val="009A08F5"/>
    <w:rsid w:val="009C08C1"/>
    <w:rsid w:val="009E4049"/>
    <w:rsid w:val="009F44D1"/>
    <w:rsid w:val="009F7D66"/>
    <w:rsid w:val="00A15852"/>
    <w:rsid w:val="00A2276C"/>
    <w:rsid w:val="00A30D43"/>
    <w:rsid w:val="00A75117"/>
    <w:rsid w:val="00AC6109"/>
    <w:rsid w:val="00AC6BAE"/>
    <w:rsid w:val="00AD41A0"/>
    <w:rsid w:val="00AE4628"/>
    <w:rsid w:val="00B11495"/>
    <w:rsid w:val="00B425AB"/>
    <w:rsid w:val="00B465B5"/>
    <w:rsid w:val="00B60742"/>
    <w:rsid w:val="00B60C56"/>
    <w:rsid w:val="00B81BF9"/>
    <w:rsid w:val="00B94CF0"/>
    <w:rsid w:val="00BA1998"/>
    <w:rsid w:val="00BE2C84"/>
    <w:rsid w:val="00C40736"/>
    <w:rsid w:val="00C526FB"/>
    <w:rsid w:val="00C75665"/>
    <w:rsid w:val="00C93BF1"/>
    <w:rsid w:val="00C95552"/>
    <w:rsid w:val="00CA5CE2"/>
    <w:rsid w:val="00CB67B8"/>
    <w:rsid w:val="00CB7AD8"/>
    <w:rsid w:val="00CD3AA7"/>
    <w:rsid w:val="00CE1F58"/>
    <w:rsid w:val="00D02B58"/>
    <w:rsid w:val="00D154C1"/>
    <w:rsid w:val="00D15CD1"/>
    <w:rsid w:val="00D16CD3"/>
    <w:rsid w:val="00D3123C"/>
    <w:rsid w:val="00D45984"/>
    <w:rsid w:val="00D70E20"/>
    <w:rsid w:val="00D9256A"/>
    <w:rsid w:val="00DB5FB9"/>
    <w:rsid w:val="00DB6372"/>
    <w:rsid w:val="00DC4CA3"/>
    <w:rsid w:val="00DD12AF"/>
    <w:rsid w:val="00DD7346"/>
    <w:rsid w:val="00DF25B4"/>
    <w:rsid w:val="00E166D7"/>
    <w:rsid w:val="00E357CA"/>
    <w:rsid w:val="00E47A91"/>
    <w:rsid w:val="00E528E4"/>
    <w:rsid w:val="00E5451A"/>
    <w:rsid w:val="00E64A19"/>
    <w:rsid w:val="00E7209B"/>
    <w:rsid w:val="00EA424C"/>
    <w:rsid w:val="00EA6A61"/>
    <w:rsid w:val="00EA6C1E"/>
    <w:rsid w:val="00EB5413"/>
    <w:rsid w:val="00EC73C0"/>
    <w:rsid w:val="00EF7184"/>
    <w:rsid w:val="00F03A5A"/>
    <w:rsid w:val="00F12D6B"/>
    <w:rsid w:val="00F24455"/>
    <w:rsid w:val="00F40D91"/>
    <w:rsid w:val="00F57719"/>
    <w:rsid w:val="00F83DE5"/>
    <w:rsid w:val="00FA61B5"/>
    <w:rsid w:val="00FA625C"/>
    <w:rsid w:val="00FA78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3032EB"/>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PrrafodelistaCar">
    <w:name w:val="Párrafo de lista Car"/>
    <w:aliases w:val="Párrafo de lista1 Car"/>
    <w:link w:val="Prrafodelista"/>
    <w:uiPriority w:val="34"/>
    <w:rsid w:val="003032EB"/>
    <w:rPr>
      <w:rFonts w:ascii="Arial" w:hAnsi="Arial"/>
      <w:sz w:val="24"/>
      <w:lang w:val="es-ES_tradnl" w:eastAsia="es-ES"/>
    </w:rPr>
  </w:style>
  <w:style w:type="paragraph" w:styleId="Descripcin">
    <w:name w:val="caption"/>
    <w:basedOn w:val="Normal"/>
    <w:next w:val="Normal"/>
    <w:uiPriority w:val="35"/>
    <w:qFormat/>
    <w:rsid w:val="003032EB"/>
    <w:pPr>
      <w:spacing w:after="200"/>
    </w:pPr>
    <w:rPr>
      <w:i/>
      <w:iCs/>
      <w:color w:val="44546A" w:themeColor="text2"/>
      <w:sz w:val="18"/>
      <w:szCs w:val="18"/>
    </w:rPr>
  </w:style>
  <w:style w:type="paragraph" w:customStyle="1" w:styleId="Estilo5">
    <w:name w:val="Estilo5"/>
    <w:basedOn w:val="Normal"/>
    <w:qFormat/>
    <w:rsid w:val="003032EB"/>
    <w:pPr>
      <w:keepNext/>
      <w:spacing w:before="240" w:after="60"/>
      <w:outlineLvl w:val="0"/>
    </w:pPr>
    <w:rPr>
      <w:rFonts w:ascii="Bookman Old Style" w:hAnsi="Bookman Old Style"/>
      <w:b/>
      <w:kern w:val="28"/>
      <w:szCs w:val="22"/>
      <w:lang w:eastAsia="es-CO"/>
    </w:rPr>
  </w:style>
  <w:style w:type="table" w:styleId="Tablaconcuadrcula">
    <w:name w:val="Table Grid"/>
    <w:basedOn w:val="Tablanormal"/>
    <w:uiPriority w:val="59"/>
    <w:rsid w:val="0030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032EB"/>
    <w:rPr>
      <w:color w:val="605E5C"/>
      <w:shd w:val="clear" w:color="auto" w:fill="E1DFDD"/>
    </w:rPr>
  </w:style>
  <w:style w:type="paragraph" w:customStyle="1" w:styleId="ARTICULOS">
    <w:name w:val="ARTICULOS"/>
    <w:basedOn w:val="Normal"/>
    <w:qFormat/>
    <w:rsid w:val="003032EB"/>
    <w:pPr>
      <w:widowControl w:val="0"/>
      <w:numPr>
        <w:numId w:val="26"/>
      </w:numPr>
      <w:tabs>
        <w:tab w:val="left" w:pos="1559"/>
      </w:tabs>
      <w:adjustRightInd w:val="0"/>
      <w:textAlignment w:val="baseline"/>
    </w:pPr>
    <w:rPr>
      <w:rFonts w:ascii="Bookman Old Style" w:hAnsi="Bookman Old Style"/>
      <w:bCs/>
      <w:szCs w:val="24"/>
      <w:lang w:val="x-none" w:eastAsia="x-none"/>
    </w:rPr>
  </w:style>
  <w:style w:type="paragraph" w:styleId="Revisin">
    <w:name w:val="Revision"/>
    <w:hidden/>
    <w:uiPriority w:val="99"/>
    <w:semiHidden/>
    <w:rsid w:val="00D154C1"/>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Abeltran\publico\Logo%20completo.gi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gestornormativo.creg.gov.co/gestor/entorno/docs/originales/Circular_CREG_022_2024/"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eeexplore.ieee.org/abstract/document/6318227" TargetMode="External"/><Relationship Id="rId2" Type="http://schemas.openxmlformats.org/officeDocument/2006/relationships/hyperlink" Target="https://gestornormativo.creg.gov.co/Publicac.nsf/1c09d18d2d5ffb5b05256eee00709c02/e3f320f5a00a35bc0525888400782e0c.html" TargetMode="External"/><Relationship Id="rId1" Type="http://schemas.openxmlformats.org/officeDocument/2006/relationships/hyperlink" Target="https://www.adb.org/publications/guidelines-windresource-assessment-best-practices-countries-initiating-wind-de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E76B2195-D2B8-43C1-9D05-40BF88366D60}">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046A695F-3862-41A8-A722-E09051ED97C2}">
  <ds:schemaRefs>
    <ds:schemaRef ds:uri="http://schemas.microsoft.com/sharepoint/v3/contenttype/forms"/>
  </ds:schemaRefs>
</ds:datastoreItem>
</file>

<file path=customXml/itemProps4.xml><?xml version="1.0" encoding="utf-8"?>
<ds:datastoreItem xmlns:ds="http://schemas.openxmlformats.org/officeDocument/2006/customXml" ds:itemID="{DB328130-2D1B-4A58-8D52-6FBECB4F9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5643</Words>
  <Characters>31040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Wilson Sanchez Sanchez</cp:lastModifiedBy>
  <cp:revision>69</cp:revision>
  <cp:lastPrinted>2021-11-22T22:07:00Z</cp:lastPrinted>
  <dcterms:created xsi:type="dcterms:W3CDTF">2017-10-23T19:43:00Z</dcterms:created>
  <dcterms:modified xsi:type="dcterms:W3CDTF">2024-07-10T13:53:00Z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