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C4A6" w14:textId="1033F9F2" w:rsidR="00714562" w:rsidRDefault="00821A85" w:rsidP="00714562">
      <w:pPr>
        <w:pStyle w:val="Ttulo4"/>
        <w:tabs>
          <w:tab w:val="left" w:pos="0"/>
          <w:tab w:val="right" w:pos="9356"/>
        </w:tabs>
        <w:ind w:left="0"/>
        <w:rPr>
          <w:rFonts w:ascii="Bookman Old Style" w:hAnsi="Bookman Old Style"/>
          <w:b w:val="0"/>
          <w:bCs/>
          <w:sz w:val="24"/>
          <w:szCs w:val="24"/>
        </w:rPr>
      </w:pPr>
      <w:r>
        <w:rPr>
          <w:rFonts w:ascii="Bookman Old Style" w:hAnsi="Bookman Old Style"/>
          <w:b w:val="0"/>
          <w:bCs/>
          <w:sz w:val="24"/>
          <w:szCs w:val="24"/>
        </w:rPr>
        <w:t xml:space="preserve">    </w:t>
      </w:r>
    </w:p>
    <w:p w14:paraId="04FDF12D" w14:textId="77777777" w:rsidR="00714562" w:rsidRDefault="00714562" w:rsidP="00714562">
      <w:pPr>
        <w:pStyle w:val="Ttulo4"/>
        <w:tabs>
          <w:tab w:val="left" w:pos="0"/>
          <w:tab w:val="right" w:pos="9356"/>
        </w:tabs>
        <w:ind w:left="0"/>
        <w:rPr>
          <w:rFonts w:ascii="Bookman Old Style" w:hAnsi="Bookman Old Style"/>
          <w:b w:val="0"/>
          <w:bCs/>
          <w:sz w:val="24"/>
          <w:szCs w:val="24"/>
        </w:rPr>
      </w:pPr>
    </w:p>
    <w:p w14:paraId="0B7C7D5E" w14:textId="77777777" w:rsidR="00714562" w:rsidRDefault="00714562" w:rsidP="00714562">
      <w:pPr>
        <w:pStyle w:val="Ttulo4"/>
        <w:tabs>
          <w:tab w:val="left" w:pos="0"/>
          <w:tab w:val="right" w:pos="9356"/>
        </w:tabs>
        <w:ind w:left="0"/>
        <w:rPr>
          <w:rFonts w:ascii="Bookman Old Style" w:hAnsi="Bookman Old Style"/>
          <w:b w:val="0"/>
          <w:bCs/>
          <w:sz w:val="24"/>
          <w:szCs w:val="24"/>
        </w:rPr>
      </w:pPr>
    </w:p>
    <w:p w14:paraId="3BA13797" w14:textId="1D1A0D49" w:rsidR="00714562" w:rsidRPr="0032163A" w:rsidRDefault="00714562" w:rsidP="00714562">
      <w:pPr>
        <w:pStyle w:val="Ttulo4"/>
        <w:tabs>
          <w:tab w:val="left" w:pos="0"/>
          <w:tab w:val="right" w:pos="9356"/>
        </w:tabs>
        <w:ind w:left="0"/>
        <w:rPr>
          <w:rFonts w:ascii="Bookman Old Style" w:hAnsi="Bookman Old Style"/>
          <w:b w:val="0"/>
          <w:bCs/>
          <w:noProof/>
          <w:sz w:val="24"/>
          <w:szCs w:val="24"/>
          <w:lang w:val="es-ES"/>
        </w:rPr>
      </w:pPr>
      <w:r w:rsidRPr="0032163A">
        <w:rPr>
          <w:rFonts w:ascii="Bookman Old Style" w:hAnsi="Bookman Old Style"/>
          <w:b w:val="0"/>
          <w:bCs/>
          <w:sz w:val="24"/>
          <w:szCs w:val="24"/>
        </w:rPr>
        <w:t>Ministerio de Minas y Energía</w:t>
      </w:r>
    </w:p>
    <w:p w14:paraId="32DE6EB1" w14:textId="77777777" w:rsidR="00714562" w:rsidRPr="00F41483" w:rsidRDefault="00714562" w:rsidP="00714562">
      <w:pPr>
        <w:pStyle w:val="Encabezado"/>
        <w:tabs>
          <w:tab w:val="clear" w:pos="8504"/>
          <w:tab w:val="left" w:pos="0"/>
          <w:tab w:val="right" w:pos="9356"/>
        </w:tabs>
        <w:ind w:left="4252" w:hanging="4252"/>
        <w:jc w:val="center"/>
        <w:rPr>
          <w:rFonts w:ascii="Bookman Old Style" w:hAnsi="Bookman Old Style"/>
        </w:rPr>
      </w:pPr>
    </w:p>
    <w:p w14:paraId="1A493B65" w14:textId="77777777" w:rsidR="00714562" w:rsidRPr="00F41483" w:rsidRDefault="00714562" w:rsidP="00714562">
      <w:pPr>
        <w:pStyle w:val="Ttulo3"/>
        <w:tabs>
          <w:tab w:val="left" w:pos="0"/>
          <w:tab w:val="right" w:pos="9356"/>
        </w:tabs>
        <w:ind w:left="0"/>
        <w:rPr>
          <w:rFonts w:ascii="Bookman Old Style" w:hAnsi="Bookman Old Style" w:cs="Arial"/>
          <w:spacing w:val="20"/>
          <w:szCs w:val="24"/>
        </w:rPr>
      </w:pPr>
      <w:r w:rsidRPr="00F41483">
        <w:rPr>
          <w:rFonts w:ascii="Bookman Old Style" w:hAnsi="Bookman Old Style" w:cs="Arial"/>
          <w:spacing w:val="20"/>
          <w:szCs w:val="24"/>
        </w:rPr>
        <w:t>COMISIÓN DE REGULACIÓN DE ENERGÍA Y GAS</w:t>
      </w:r>
    </w:p>
    <w:p w14:paraId="067842EC" w14:textId="77777777" w:rsidR="00714562" w:rsidRDefault="00714562" w:rsidP="00714562">
      <w:pPr>
        <w:pStyle w:val="Encabezado"/>
        <w:tabs>
          <w:tab w:val="clear" w:pos="8504"/>
          <w:tab w:val="left" w:pos="0"/>
          <w:tab w:val="right" w:pos="9356"/>
        </w:tabs>
        <w:ind w:left="4252" w:hanging="4252"/>
        <w:jc w:val="center"/>
        <w:rPr>
          <w:rFonts w:ascii="Bookman Old Style" w:hAnsi="Bookman Old Style"/>
          <w:szCs w:val="24"/>
        </w:rPr>
      </w:pPr>
    </w:p>
    <w:p w14:paraId="4EAC182C" w14:textId="77777777" w:rsidR="00714562" w:rsidRPr="00564F10" w:rsidRDefault="00714562" w:rsidP="00714562">
      <w:pPr>
        <w:pStyle w:val="Encabezado"/>
        <w:tabs>
          <w:tab w:val="clear" w:pos="8504"/>
          <w:tab w:val="left" w:pos="0"/>
          <w:tab w:val="right" w:pos="9356"/>
        </w:tabs>
        <w:ind w:left="4252" w:hanging="4252"/>
        <w:jc w:val="center"/>
        <w:rPr>
          <w:rFonts w:ascii="Bookman Old Style" w:hAnsi="Bookman Old Style"/>
          <w:szCs w:val="24"/>
        </w:rPr>
      </w:pPr>
    </w:p>
    <w:p w14:paraId="3B2831EB" w14:textId="2669FD3C" w:rsidR="00714562" w:rsidRPr="00056B1F" w:rsidRDefault="00714562" w:rsidP="00714562">
      <w:pPr>
        <w:pStyle w:val="Ttulo5"/>
        <w:tabs>
          <w:tab w:val="left" w:pos="0"/>
          <w:tab w:val="right" w:pos="9356"/>
        </w:tabs>
        <w:ind w:left="0"/>
        <w:rPr>
          <w:rFonts w:ascii="Bookman Old Style" w:hAnsi="Bookman Old Style"/>
          <w:szCs w:val="28"/>
        </w:rPr>
      </w:pPr>
      <w:r w:rsidRPr="00056B1F">
        <w:rPr>
          <w:rFonts w:ascii="Bookman Old Style" w:hAnsi="Bookman Old Style"/>
          <w:sz w:val="24"/>
          <w:szCs w:val="24"/>
        </w:rPr>
        <w:t xml:space="preserve">PROYECTO DE RESOLUCIÓN No. </w:t>
      </w:r>
      <w:r w:rsidRPr="00056B1F">
        <w:rPr>
          <w:rFonts w:ascii="Bookman Old Style" w:hAnsi="Bookman Old Style"/>
          <w:szCs w:val="28"/>
        </w:rPr>
        <w:t xml:space="preserve">702 </w:t>
      </w:r>
      <w:r w:rsidR="00C80FB8" w:rsidRPr="00C80FB8">
        <w:rPr>
          <w:rFonts w:ascii="Bookman Old Style" w:hAnsi="Bookman Old Style"/>
          <w:szCs w:val="28"/>
        </w:rPr>
        <w:t>006</w:t>
      </w:r>
      <w:r w:rsidR="00632A62">
        <w:rPr>
          <w:rFonts w:ascii="Bookman Old Style" w:hAnsi="Bookman Old Style"/>
          <w:szCs w:val="28"/>
        </w:rPr>
        <w:t xml:space="preserve"> DE 2024</w:t>
      </w:r>
      <w:r w:rsidRPr="00056B1F">
        <w:rPr>
          <w:rFonts w:ascii="Bookman Old Style" w:hAnsi="Bookman Old Style"/>
          <w:szCs w:val="28"/>
        </w:rPr>
        <w:t xml:space="preserve"> </w:t>
      </w:r>
    </w:p>
    <w:p w14:paraId="100FC75C" w14:textId="77777777" w:rsidR="00714562" w:rsidRPr="00F41483" w:rsidRDefault="00714562" w:rsidP="00714562">
      <w:pPr>
        <w:tabs>
          <w:tab w:val="left" w:pos="0"/>
          <w:tab w:val="right" w:pos="9356"/>
        </w:tabs>
        <w:ind w:left="0"/>
        <w:jc w:val="center"/>
        <w:rPr>
          <w:rFonts w:ascii="Bookman Old Style" w:hAnsi="Bookman Old Style" w:cs="Arial"/>
          <w:b/>
          <w:snapToGrid w:val="0"/>
          <w:color w:val="000000"/>
          <w:lang w:val="es-ES_tradnl"/>
        </w:rPr>
      </w:pPr>
    </w:p>
    <w:p w14:paraId="485FD6BC" w14:textId="1C1616D9" w:rsidR="00714562" w:rsidRDefault="00714562" w:rsidP="00714562">
      <w:pPr>
        <w:pStyle w:val="Ttulo3"/>
        <w:tabs>
          <w:tab w:val="left" w:pos="0"/>
          <w:tab w:val="right" w:pos="9356"/>
        </w:tabs>
        <w:ind w:left="0"/>
        <w:rPr>
          <w:rFonts w:ascii="Bookman Old Style" w:hAnsi="Bookman Old Style"/>
          <w:b w:val="0"/>
          <w:szCs w:val="24"/>
        </w:rPr>
      </w:pPr>
      <w:r w:rsidRPr="00F41483">
        <w:rPr>
          <w:rFonts w:ascii="Bookman Old Style" w:hAnsi="Bookman Old Style"/>
          <w:b w:val="0"/>
          <w:szCs w:val="24"/>
        </w:rPr>
        <w:t>(</w:t>
      </w:r>
      <w:r w:rsidR="00211769">
        <w:rPr>
          <w:rFonts w:ascii="Bookman Old Style" w:hAnsi="Bookman Old Style" w:cs="Arial"/>
          <w:spacing w:val="20"/>
          <w:szCs w:val="24"/>
        </w:rPr>
        <w:t>16</w:t>
      </w:r>
      <w:r w:rsidRPr="00056B1F">
        <w:rPr>
          <w:rFonts w:ascii="Bookman Old Style" w:hAnsi="Bookman Old Style" w:cs="Arial"/>
          <w:spacing w:val="20"/>
          <w:szCs w:val="24"/>
        </w:rPr>
        <w:t xml:space="preserve"> MAY. 202</w:t>
      </w:r>
      <w:r>
        <w:rPr>
          <w:rFonts w:ascii="Bookman Old Style" w:hAnsi="Bookman Old Style" w:cs="Arial"/>
          <w:spacing w:val="20"/>
          <w:szCs w:val="24"/>
        </w:rPr>
        <w:t>4</w:t>
      </w:r>
      <w:r w:rsidRPr="00056B1F">
        <w:rPr>
          <w:rFonts w:ascii="Bookman Old Style" w:hAnsi="Bookman Old Style" w:cs="Arial"/>
          <w:spacing w:val="20"/>
          <w:szCs w:val="24"/>
        </w:rPr>
        <w:t>)</w:t>
      </w:r>
    </w:p>
    <w:p w14:paraId="1FBDBA9F" w14:textId="77777777" w:rsidR="00714562" w:rsidRPr="00564F10" w:rsidRDefault="00714562" w:rsidP="00714562">
      <w:pPr>
        <w:pStyle w:val="Encabezado"/>
        <w:tabs>
          <w:tab w:val="clear" w:pos="8504"/>
          <w:tab w:val="left" w:pos="0"/>
          <w:tab w:val="right" w:pos="9356"/>
        </w:tabs>
        <w:ind w:left="4252" w:hanging="4252"/>
        <w:jc w:val="center"/>
        <w:rPr>
          <w:rFonts w:ascii="Bookman Old Style" w:hAnsi="Bookman Old Style"/>
          <w:szCs w:val="24"/>
        </w:rPr>
      </w:pPr>
    </w:p>
    <w:p w14:paraId="4CAD34D0" w14:textId="77777777" w:rsidR="00714562" w:rsidRPr="00564F10" w:rsidRDefault="00714562" w:rsidP="00714562">
      <w:pPr>
        <w:pStyle w:val="Encabezado"/>
        <w:tabs>
          <w:tab w:val="clear" w:pos="8504"/>
          <w:tab w:val="left" w:pos="0"/>
          <w:tab w:val="right" w:pos="9356"/>
        </w:tabs>
        <w:ind w:left="4252" w:hanging="4252"/>
        <w:jc w:val="center"/>
        <w:rPr>
          <w:rFonts w:ascii="Bookman Old Style" w:hAnsi="Bookman Old Style"/>
          <w:szCs w:val="24"/>
        </w:rPr>
      </w:pPr>
    </w:p>
    <w:p w14:paraId="2BCFDB3E" w14:textId="2724F252" w:rsidR="00714562" w:rsidRPr="001621F7" w:rsidRDefault="00714562" w:rsidP="00714562">
      <w:pPr>
        <w:ind w:left="0"/>
        <w:jc w:val="both"/>
        <w:rPr>
          <w:rFonts w:ascii="Bookman Old Style" w:hAnsi="Bookman Old Style" w:cs="Arial"/>
          <w:color w:val="000000"/>
        </w:rPr>
      </w:pPr>
      <w:r w:rsidRPr="001621F7">
        <w:rPr>
          <w:rFonts w:ascii="Bookman Old Style" w:hAnsi="Bookman Old Style" w:cs="Arial"/>
          <w:color w:val="000000"/>
        </w:rPr>
        <w:t xml:space="preserve">La Comisión de </w:t>
      </w:r>
      <w:r w:rsidRPr="006D12AB">
        <w:rPr>
          <w:rFonts w:ascii="Bookman Old Style" w:hAnsi="Bookman Old Style" w:cs="Arial"/>
          <w:color w:val="000000" w:themeColor="text1"/>
          <w:lang w:eastAsia="es-CO"/>
        </w:rPr>
        <w:t>Regulación</w:t>
      </w:r>
      <w:r w:rsidRPr="001621F7">
        <w:rPr>
          <w:rFonts w:ascii="Bookman Old Style" w:hAnsi="Bookman Old Style" w:cs="Arial"/>
          <w:color w:val="000000"/>
        </w:rPr>
        <w:t xml:space="preserve"> de Energía y Gas, en su sesión</w:t>
      </w:r>
      <w:r w:rsidR="0030524F">
        <w:rPr>
          <w:rFonts w:ascii="Bookman Old Style" w:hAnsi="Bookman Old Style" w:cs="Arial"/>
          <w:color w:val="000000"/>
        </w:rPr>
        <w:t xml:space="preserve"> 1316</w:t>
      </w:r>
      <w:r w:rsidRPr="001621F7">
        <w:rPr>
          <w:rFonts w:ascii="Bookman Old Style" w:hAnsi="Bookman Old Style" w:cs="Arial"/>
          <w:color w:val="000000"/>
        </w:rPr>
        <w:t xml:space="preserve"> del </w:t>
      </w:r>
      <w:r w:rsidR="0030524F">
        <w:rPr>
          <w:rFonts w:ascii="Bookman Old Style" w:hAnsi="Bookman Old Style" w:cs="Arial"/>
          <w:color w:val="000000"/>
        </w:rPr>
        <w:t>16</w:t>
      </w:r>
      <w:r w:rsidRPr="001621F7">
        <w:rPr>
          <w:rFonts w:ascii="Bookman Old Style" w:hAnsi="Bookman Old Style" w:cs="Arial"/>
          <w:color w:val="000000"/>
        </w:rPr>
        <w:t xml:space="preserve"> de </w:t>
      </w:r>
      <w:r>
        <w:rPr>
          <w:rFonts w:ascii="Bookman Old Style" w:hAnsi="Bookman Old Style" w:cs="Arial"/>
          <w:color w:val="000000"/>
        </w:rPr>
        <w:t>mayo</w:t>
      </w:r>
      <w:r w:rsidRPr="001621F7">
        <w:rPr>
          <w:rFonts w:ascii="Bookman Old Style" w:hAnsi="Bookman Old Style" w:cs="Arial"/>
          <w:color w:val="000000"/>
        </w:rPr>
        <w:t xml:space="preserve"> de 202</w:t>
      </w:r>
      <w:r>
        <w:rPr>
          <w:rFonts w:ascii="Bookman Old Style" w:hAnsi="Bookman Old Style" w:cs="Arial"/>
          <w:color w:val="000000"/>
        </w:rPr>
        <w:t>4</w:t>
      </w:r>
      <w:r w:rsidRPr="001621F7">
        <w:rPr>
          <w:rFonts w:ascii="Bookman Old Style" w:hAnsi="Bookman Old Style" w:cs="Arial"/>
          <w:color w:val="000000"/>
        </w:rPr>
        <w:t xml:space="preserve">, aprobó someter a consulta pública, durante los </w:t>
      </w:r>
      <w:r>
        <w:rPr>
          <w:rFonts w:ascii="Bookman Old Style" w:hAnsi="Bookman Old Style" w:cs="Arial"/>
          <w:color w:val="000000"/>
          <w:lang w:val="es-CO"/>
        </w:rPr>
        <w:t>diez</w:t>
      </w:r>
      <w:r w:rsidRPr="001621F7">
        <w:rPr>
          <w:rFonts w:ascii="Bookman Old Style" w:hAnsi="Bookman Old Style" w:cs="Arial"/>
          <w:color w:val="000000"/>
        </w:rPr>
        <w:t xml:space="preserve"> (</w:t>
      </w:r>
      <w:r>
        <w:rPr>
          <w:rFonts w:ascii="Bookman Old Style" w:hAnsi="Bookman Old Style" w:cs="Arial"/>
          <w:color w:val="000000"/>
          <w:lang w:val="es-CO"/>
        </w:rPr>
        <w:t>10</w:t>
      </w:r>
      <w:r w:rsidRPr="001621F7">
        <w:rPr>
          <w:rFonts w:ascii="Bookman Old Style" w:hAnsi="Bookman Old Style" w:cs="Arial"/>
          <w:color w:val="000000"/>
        </w:rPr>
        <w:t>) días hábiles siguientes a su publicación en el portal web de la CREG, el presente proyecto de resolución</w:t>
      </w:r>
      <w:r>
        <w:rPr>
          <w:rFonts w:ascii="Bookman Old Style" w:hAnsi="Bookman Old Style" w:cs="Arial"/>
          <w:color w:val="000000"/>
          <w:lang w:val="es-CO"/>
        </w:rPr>
        <w:t xml:space="preserve"> </w:t>
      </w:r>
      <w:r w:rsidRPr="001621F7">
        <w:rPr>
          <w:rFonts w:ascii="Bookman Old Style" w:hAnsi="Bookman Old Style" w:cs="Arial"/>
          <w:i/>
          <w:iCs/>
          <w:color w:val="000000"/>
        </w:rPr>
        <w:t>“</w:t>
      </w:r>
      <w:r w:rsidR="00747ABB" w:rsidRPr="00747ABB">
        <w:rPr>
          <w:rFonts w:ascii="Bookman Old Style" w:hAnsi="Bookman Old Style" w:cs="Arial"/>
          <w:i/>
          <w:iCs/>
        </w:rPr>
        <w:t>Por la cual se modifica la Resolución CREG 186 de 2020</w:t>
      </w:r>
      <w:r w:rsidRPr="001621F7">
        <w:rPr>
          <w:rFonts w:ascii="Bookman Old Style" w:hAnsi="Bookman Old Style" w:cs="Arial"/>
          <w:color w:val="000000"/>
        </w:rPr>
        <w:t xml:space="preserve">”. </w:t>
      </w:r>
    </w:p>
    <w:p w14:paraId="601A9E88" w14:textId="77777777" w:rsidR="00714562" w:rsidRPr="001621F7" w:rsidRDefault="00714562" w:rsidP="00714562">
      <w:pPr>
        <w:ind w:left="0"/>
        <w:jc w:val="both"/>
        <w:rPr>
          <w:rFonts w:ascii="Bookman Old Style" w:hAnsi="Bookman Old Style" w:cs="Arial"/>
          <w:color w:val="000000"/>
        </w:rPr>
      </w:pPr>
    </w:p>
    <w:p w14:paraId="7840AC68" w14:textId="3727F890" w:rsidR="00714562" w:rsidRPr="001621F7" w:rsidRDefault="00714562" w:rsidP="00714562">
      <w:pPr>
        <w:ind w:left="0"/>
        <w:jc w:val="both"/>
        <w:rPr>
          <w:rFonts w:ascii="Bookman Old Style" w:hAnsi="Bookman Old Style" w:cs="Arial"/>
          <w:color w:val="000000"/>
        </w:rPr>
      </w:pPr>
      <w:r w:rsidRPr="001621F7">
        <w:rPr>
          <w:rFonts w:ascii="Bookman Old Style" w:hAnsi="Bookman Old Style" w:cs="Arial"/>
          <w:color w:val="000000"/>
        </w:rPr>
        <w:t xml:space="preserve">Se invita a las empresas, los usuarios, las autoridades y demás partes interesadas a presentar sus observaciones y sugerencias dentro del plazo establecido, mediante comunicaciones electrónicas dirigidas al </w:t>
      </w:r>
      <w:proofErr w:type="gramStart"/>
      <w:r w:rsidRPr="001621F7">
        <w:rPr>
          <w:rFonts w:ascii="Bookman Old Style" w:hAnsi="Bookman Old Style" w:cs="Arial"/>
          <w:color w:val="000000"/>
        </w:rPr>
        <w:t>Director</w:t>
      </w:r>
      <w:r>
        <w:rPr>
          <w:rFonts w:ascii="Bookman Old Style" w:hAnsi="Bookman Old Style" w:cs="Arial"/>
          <w:color w:val="000000"/>
        </w:rPr>
        <w:t xml:space="preserve"> </w:t>
      </w:r>
      <w:r w:rsidRPr="001621F7">
        <w:rPr>
          <w:rFonts w:ascii="Bookman Old Style" w:hAnsi="Bookman Old Style" w:cs="Arial"/>
          <w:color w:val="000000"/>
        </w:rPr>
        <w:t>Ejecutivo</w:t>
      </w:r>
      <w:proofErr w:type="gramEnd"/>
      <w:r>
        <w:rPr>
          <w:rFonts w:ascii="Bookman Old Style" w:hAnsi="Bookman Old Style" w:cs="Arial"/>
          <w:color w:val="000000"/>
        </w:rPr>
        <w:t xml:space="preserve"> </w:t>
      </w:r>
      <w:r w:rsidRPr="001621F7">
        <w:rPr>
          <w:rFonts w:ascii="Bookman Old Style" w:hAnsi="Bookman Old Style" w:cs="Arial"/>
          <w:color w:val="000000"/>
        </w:rPr>
        <w:t xml:space="preserve">de la CREG, al correo electrónico </w:t>
      </w:r>
      <w:hyperlink r:id="rId10" w:history="1">
        <w:r w:rsidRPr="001621F7">
          <w:rPr>
            <w:rStyle w:val="Hipervnculo"/>
            <w:rFonts w:ascii="Bookman Old Style" w:hAnsi="Bookman Old Style" w:cs="Arial"/>
          </w:rPr>
          <w:t>creg@creg.gov.co</w:t>
        </w:r>
      </w:hyperlink>
      <w:r w:rsidR="00711E86">
        <w:rPr>
          <w:rFonts w:ascii="Bookman Old Style" w:hAnsi="Bookman Old Style" w:cs="Arial"/>
          <w:color w:val="000000"/>
        </w:rPr>
        <w:t>,</w:t>
      </w:r>
      <w:r w:rsidRPr="001621F7">
        <w:rPr>
          <w:rFonts w:ascii="Bookman Old Style" w:hAnsi="Bookman Old Style" w:cs="Arial"/>
          <w:color w:val="000000"/>
        </w:rPr>
        <w:t xml:space="preserve"> </w:t>
      </w:r>
      <w:r>
        <w:rPr>
          <w:rFonts w:ascii="Bookman Old Style" w:hAnsi="Bookman Old Style" w:cs="Arial"/>
          <w:color w:val="000000"/>
        </w:rPr>
        <w:t>utilizando el formato</w:t>
      </w:r>
      <w:r w:rsidRPr="00CA5D09">
        <w:rPr>
          <w:rFonts w:ascii="Bookman Old Style" w:hAnsi="Bookman Old Style" w:cs="Arial"/>
          <w:color w:val="000000"/>
        </w:rPr>
        <w:t xml:space="preserve"> Excel </w:t>
      </w:r>
      <w:r>
        <w:rPr>
          <w:rFonts w:ascii="Bookman Old Style" w:hAnsi="Bookman Old Style" w:cs="Arial"/>
          <w:color w:val="000000"/>
        </w:rPr>
        <w:t xml:space="preserve">publicado para ello.  </w:t>
      </w:r>
    </w:p>
    <w:p w14:paraId="64230C4A" w14:textId="77777777" w:rsidR="00714562" w:rsidRPr="001621F7" w:rsidRDefault="00714562" w:rsidP="00714562">
      <w:pPr>
        <w:ind w:left="0"/>
        <w:jc w:val="both"/>
        <w:rPr>
          <w:rFonts w:ascii="Bookman Old Style" w:hAnsi="Bookman Old Style" w:cs="Arial"/>
          <w:color w:val="000000"/>
        </w:rPr>
      </w:pPr>
    </w:p>
    <w:p w14:paraId="2F9B4C20" w14:textId="2E53B0C1" w:rsidR="00714562" w:rsidRPr="001621F7" w:rsidRDefault="00714562" w:rsidP="00714562">
      <w:pPr>
        <w:ind w:left="0"/>
        <w:jc w:val="both"/>
        <w:rPr>
          <w:rFonts w:ascii="Bookman Old Style" w:hAnsi="Bookman Old Style" w:cs="Arial"/>
          <w:color w:val="000000"/>
        </w:rPr>
      </w:pPr>
      <w:r w:rsidRPr="001621F7">
        <w:rPr>
          <w:rFonts w:ascii="Bookman Old Style" w:hAnsi="Bookman Old Style" w:cs="Arial"/>
          <w:color w:val="000000"/>
        </w:rPr>
        <w:t xml:space="preserve">Al </w:t>
      </w:r>
      <w:r w:rsidRPr="006D12AB">
        <w:rPr>
          <w:rFonts w:ascii="Bookman Old Style" w:hAnsi="Bookman Old Style" w:cs="Arial"/>
          <w:color w:val="000000" w:themeColor="text1"/>
          <w:lang w:eastAsia="es-CO"/>
        </w:rPr>
        <w:t>vencimiento</w:t>
      </w:r>
      <w:r w:rsidRPr="001621F7">
        <w:rPr>
          <w:rFonts w:ascii="Bookman Old Style" w:hAnsi="Bookman Old Style" w:cs="Arial"/>
          <w:color w:val="000000"/>
        </w:rPr>
        <w:t xml:space="preserve"> de la consulta pública, la CREG determinará si el proyecto debe ser informado a la Superintendencia de Industria y Comercio, para el ejercicio de la Abogacía de la Competencia, con fundamento en las disposiciones del artículo 2.2.2.30.5</w:t>
      </w:r>
      <w:r w:rsidR="00E238C8">
        <w:rPr>
          <w:rFonts w:ascii="Bookman Old Style" w:hAnsi="Bookman Old Style" w:cs="Arial"/>
          <w:color w:val="000000"/>
        </w:rPr>
        <w:t xml:space="preserve"> del </w:t>
      </w:r>
      <w:r w:rsidR="00E238C8" w:rsidRPr="001621F7">
        <w:rPr>
          <w:rFonts w:ascii="Bookman Old Style" w:hAnsi="Bookman Old Style" w:cs="Arial"/>
          <w:color w:val="000000"/>
        </w:rPr>
        <w:t>Decreto 1074 de 2015</w:t>
      </w:r>
      <w:r w:rsidRPr="001621F7">
        <w:rPr>
          <w:rFonts w:ascii="Bookman Old Style" w:hAnsi="Bookman Old Style" w:cs="Arial"/>
          <w:color w:val="000000"/>
        </w:rPr>
        <w:t xml:space="preserve">.  </w:t>
      </w:r>
    </w:p>
    <w:p w14:paraId="73C427E9" w14:textId="77777777" w:rsidR="00714562" w:rsidRPr="00F41483" w:rsidRDefault="00714562" w:rsidP="00714562">
      <w:pPr>
        <w:tabs>
          <w:tab w:val="left" w:pos="3418"/>
        </w:tabs>
        <w:spacing w:after="180"/>
        <w:ind w:left="0"/>
        <w:rPr>
          <w:rFonts w:ascii="Bookman Old Style" w:hAnsi="Bookman Old Style"/>
          <w:bCs/>
          <w:lang w:val="es-CO"/>
        </w:rPr>
      </w:pPr>
    </w:p>
    <w:p w14:paraId="025EA9F5" w14:textId="77777777" w:rsidR="00714562" w:rsidRDefault="00714562" w:rsidP="00F438C3">
      <w:pPr>
        <w:pStyle w:val="Encabezado"/>
        <w:tabs>
          <w:tab w:val="clear" w:pos="8504"/>
          <w:tab w:val="left" w:pos="0"/>
          <w:tab w:val="right" w:pos="9356"/>
        </w:tabs>
        <w:ind w:left="0"/>
        <w:rPr>
          <w:rFonts w:ascii="Bookman Old Style" w:hAnsi="Bookman Old Style"/>
          <w:szCs w:val="24"/>
        </w:rPr>
      </w:pPr>
    </w:p>
    <w:p w14:paraId="31166039" w14:textId="0DAB7C90" w:rsidR="00564F10" w:rsidRPr="003720D0" w:rsidRDefault="00175FEB" w:rsidP="00F26899">
      <w:pPr>
        <w:ind w:left="0" w:right="51"/>
        <w:jc w:val="center"/>
        <w:rPr>
          <w:rFonts w:ascii="Bookman Old Style" w:hAnsi="Bookman Old Style"/>
          <w:bCs/>
        </w:rPr>
      </w:pPr>
      <w:bookmarkStart w:id="0" w:name="_Hlk141687398"/>
      <w:r w:rsidRPr="003720D0">
        <w:rPr>
          <w:rFonts w:ascii="Bookman Old Style" w:hAnsi="Bookman Old Style"/>
          <w:bCs/>
        </w:rPr>
        <w:t xml:space="preserve">Por la cual se </w:t>
      </w:r>
      <w:r w:rsidR="004646A2" w:rsidRPr="003720D0">
        <w:rPr>
          <w:rFonts w:ascii="Bookman Old Style" w:hAnsi="Bookman Old Style"/>
          <w:bCs/>
        </w:rPr>
        <w:t xml:space="preserve">modifica </w:t>
      </w:r>
      <w:r w:rsidRPr="003720D0">
        <w:rPr>
          <w:rFonts w:ascii="Bookman Old Style" w:hAnsi="Bookman Old Style"/>
          <w:bCs/>
        </w:rPr>
        <w:t>la Resolución CREG 186 de 2020</w:t>
      </w:r>
      <w:r w:rsidR="00853AC2" w:rsidRPr="003720D0">
        <w:rPr>
          <w:rFonts w:ascii="Bookman Old Style" w:hAnsi="Bookman Old Style"/>
          <w:bCs/>
        </w:rPr>
        <w:t>.</w:t>
      </w:r>
    </w:p>
    <w:bookmarkEnd w:id="0"/>
    <w:p w14:paraId="26E1D76E" w14:textId="77777777" w:rsidR="00B851D2" w:rsidRDefault="00B851D2" w:rsidP="00F26899">
      <w:pPr>
        <w:ind w:left="0" w:right="51"/>
        <w:jc w:val="center"/>
        <w:rPr>
          <w:rFonts w:ascii="Bookman Old Style" w:hAnsi="Bookman Old Style"/>
          <w:b/>
        </w:rPr>
      </w:pPr>
    </w:p>
    <w:p w14:paraId="7722EC52" w14:textId="77777777" w:rsidR="00B851D2" w:rsidRPr="00F41483" w:rsidRDefault="00B851D2" w:rsidP="00F26899">
      <w:pPr>
        <w:ind w:left="0" w:right="51"/>
        <w:jc w:val="center"/>
        <w:rPr>
          <w:rFonts w:ascii="Bookman Old Style" w:hAnsi="Bookman Old Style"/>
          <w:b/>
        </w:rPr>
      </w:pPr>
    </w:p>
    <w:p w14:paraId="0F20497C" w14:textId="77777777" w:rsidR="00F26899" w:rsidRPr="00F41483" w:rsidRDefault="00F26899" w:rsidP="00F26899">
      <w:pPr>
        <w:ind w:left="0" w:right="51"/>
        <w:jc w:val="center"/>
        <w:rPr>
          <w:rFonts w:ascii="Bookman Old Style" w:hAnsi="Bookman Old Style"/>
          <w:b/>
        </w:rPr>
      </w:pPr>
      <w:r w:rsidRPr="00F41483">
        <w:rPr>
          <w:rFonts w:ascii="Bookman Old Style" w:hAnsi="Bookman Old Style"/>
          <w:b/>
        </w:rPr>
        <w:t>LA COMISIÓN DE REGULACIÓN DE ENERGÍA Y GAS</w:t>
      </w:r>
    </w:p>
    <w:p w14:paraId="0CFE0F20" w14:textId="77777777" w:rsidR="00270C0E" w:rsidRDefault="00270C0E" w:rsidP="00F438C3">
      <w:pPr>
        <w:ind w:left="0" w:right="51"/>
        <w:rPr>
          <w:rFonts w:ascii="Bookman Old Style" w:hAnsi="Bookman Old Style"/>
        </w:rPr>
      </w:pPr>
    </w:p>
    <w:p w14:paraId="4A1D0F7A" w14:textId="4FAB2F02" w:rsidR="00564F10" w:rsidRDefault="00F26899" w:rsidP="00F438C3">
      <w:pPr>
        <w:ind w:left="0" w:right="51"/>
        <w:jc w:val="center"/>
        <w:rPr>
          <w:rFonts w:ascii="Bookman Old Style" w:hAnsi="Bookman Old Style"/>
        </w:rPr>
      </w:pPr>
      <w:r w:rsidRPr="00F41483">
        <w:rPr>
          <w:rFonts w:ascii="Bookman Old Style" w:hAnsi="Bookman Old Style"/>
        </w:rPr>
        <w:t xml:space="preserve">En ejercicio de sus atribuciones constitucionales y legales, en especial las conferidas por la Ley 142 de 1994, y en desarrollo de los decretos 1524 y 2253 de 1994, 1260 </w:t>
      </w:r>
      <w:r w:rsidR="00252B56">
        <w:rPr>
          <w:rFonts w:ascii="Bookman Old Style" w:hAnsi="Bookman Old Style"/>
        </w:rPr>
        <w:t xml:space="preserve">de 2013 </w:t>
      </w:r>
      <w:r w:rsidRPr="00F41483">
        <w:rPr>
          <w:rFonts w:ascii="Bookman Old Style" w:hAnsi="Bookman Old Style"/>
        </w:rPr>
        <w:t xml:space="preserve">y </w:t>
      </w:r>
      <w:r w:rsidR="00A61921">
        <w:rPr>
          <w:rFonts w:ascii="Bookman Old Style" w:hAnsi="Bookman Old Style"/>
        </w:rPr>
        <w:t>1073 de 2015</w:t>
      </w:r>
    </w:p>
    <w:p w14:paraId="01B28004" w14:textId="77777777" w:rsidR="00270C0E" w:rsidRPr="00564F10" w:rsidRDefault="00270C0E" w:rsidP="00564F10">
      <w:pPr>
        <w:ind w:left="0" w:right="51"/>
        <w:jc w:val="center"/>
        <w:rPr>
          <w:rFonts w:ascii="Bookman Old Style" w:hAnsi="Bookman Old Style"/>
        </w:rPr>
      </w:pPr>
    </w:p>
    <w:p w14:paraId="66F623A6" w14:textId="77777777" w:rsidR="00F26899" w:rsidRPr="00F41483" w:rsidRDefault="00F26899" w:rsidP="00564F10">
      <w:pPr>
        <w:ind w:left="0" w:right="51"/>
        <w:jc w:val="center"/>
        <w:rPr>
          <w:rFonts w:ascii="Bookman Old Style" w:hAnsi="Bookman Old Style"/>
          <w:b/>
        </w:rPr>
      </w:pPr>
      <w:r w:rsidRPr="00F41483">
        <w:rPr>
          <w:rFonts w:ascii="Bookman Old Style" w:hAnsi="Bookman Old Style"/>
          <w:b/>
        </w:rPr>
        <w:t>C O N S I D E R A N D O   Q U E:</w:t>
      </w:r>
    </w:p>
    <w:p w14:paraId="03027A06" w14:textId="77777777" w:rsidR="00270C0E" w:rsidRDefault="00270C0E" w:rsidP="00F26899">
      <w:pPr>
        <w:ind w:left="0"/>
        <w:jc w:val="both"/>
        <w:rPr>
          <w:rFonts w:ascii="Bookman Old Style" w:hAnsi="Bookman Old Style"/>
          <w:lang w:val="es-CO" w:eastAsia="es-CO"/>
        </w:rPr>
      </w:pPr>
    </w:p>
    <w:p w14:paraId="430D29F8" w14:textId="37E5B94C" w:rsidR="00F26899" w:rsidRPr="00F41483" w:rsidRDefault="00F26899" w:rsidP="00F26899">
      <w:pPr>
        <w:ind w:left="0"/>
        <w:jc w:val="both"/>
        <w:rPr>
          <w:rFonts w:ascii="Bookman Old Style" w:hAnsi="Bookman Old Style"/>
          <w:lang w:val="es-CO" w:eastAsia="es-CO"/>
        </w:rPr>
      </w:pPr>
      <w:r w:rsidRPr="00F41483">
        <w:rPr>
          <w:rFonts w:ascii="Bookman Old Style" w:hAnsi="Bookman Old Style"/>
          <w:lang w:val="es-CO" w:eastAsia="es-CO"/>
        </w:rPr>
        <w:t xml:space="preserve">El artículo 365 de la Constitución Política establece que los servicios públicos son inherentes a la finalidad social del Estado, y que es deber de este asegurar su prestación eficiente a todos los habitantes del territorio nacional. </w:t>
      </w:r>
    </w:p>
    <w:p w14:paraId="6B0FDDB1" w14:textId="77777777" w:rsidR="00F26899" w:rsidRPr="00F41483" w:rsidRDefault="00F26899" w:rsidP="00F26899">
      <w:pPr>
        <w:ind w:left="0"/>
        <w:jc w:val="both"/>
        <w:rPr>
          <w:rFonts w:ascii="Bookman Old Style" w:hAnsi="Bookman Old Style"/>
          <w:spacing w:val="-3"/>
          <w:lang w:val="es-CO"/>
        </w:rPr>
      </w:pPr>
    </w:p>
    <w:p w14:paraId="5AB8BDE5" w14:textId="77777777" w:rsidR="00F26899" w:rsidRPr="00F41483" w:rsidRDefault="00F26899" w:rsidP="00F26899">
      <w:pPr>
        <w:ind w:left="0"/>
        <w:jc w:val="both"/>
        <w:rPr>
          <w:rFonts w:ascii="Bookman Old Style" w:hAnsi="Bookman Old Style"/>
          <w:spacing w:val="-3"/>
          <w:lang w:val="es-ES_tradnl"/>
        </w:rPr>
      </w:pPr>
      <w:r w:rsidRPr="00F41483">
        <w:rPr>
          <w:rFonts w:ascii="Bookman Old Style" w:hAnsi="Bookman Old Style"/>
          <w:spacing w:val="-3"/>
          <w:lang w:val="es-ES_tradnl"/>
        </w:rPr>
        <w:t>El servicio público domiciliario de gas combustible ha sido definido por la Ley 142 de 1994 como “</w:t>
      </w:r>
      <w:r w:rsidRPr="00F41483">
        <w:rPr>
          <w:rFonts w:ascii="Bookman Old Style" w:hAnsi="Bookman Old Style"/>
          <w:i/>
          <w:iCs/>
          <w:spacing w:val="-3"/>
          <w:lang w:val="es-ES_tradnl"/>
        </w:rPr>
        <w:t>el conjunto de actividades ordenadas a la distribución de gas combustible, por tubería u otro medio, desde un sitio de acopio de grandes volúmenes o desde un gasoducto central hasta la instalación de un consumidor final, incluyendo su conexión y medición (…)</w:t>
      </w:r>
      <w:r w:rsidRPr="00F41483">
        <w:rPr>
          <w:rFonts w:ascii="Bookman Old Style" w:hAnsi="Bookman Old Style"/>
          <w:spacing w:val="-3"/>
          <w:lang w:val="es-ES_tradnl"/>
        </w:rPr>
        <w:t>”.</w:t>
      </w:r>
    </w:p>
    <w:p w14:paraId="7C59D7EC" w14:textId="77777777" w:rsidR="00F26899" w:rsidRPr="00F41483" w:rsidRDefault="00F26899" w:rsidP="00F26899">
      <w:pPr>
        <w:widowControl w:val="0"/>
        <w:adjustRightInd w:val="0"/>
        <w:ind w:left="0"/>
        <w:jc w:val="both"/>
        <w:textAlignment w:val="baseline"/>
        <w:rPr>
          <w:rFonts w:ascii="Bookman Old Style" w:hAnsi="Bookman Old Style"/>
          <w:spacing w:val="-3"/>
          <w:lang w:val="es-ES_tradnl"/>
        </w:rPr>
      </w:pPr>
    </w:p>
    <w:p w14:paraId="169F4933" w14:textId="77777777" w:rsidR="0069244A" w:rsidRPr="00C12877" w:rsidRDefault="0069244A" w:rsidP="0069244A">
      <w:pPr>
        <w:ind w:left="0"/>
        <w:jc w:val="both"/>
        <w:rPr>
          <w:rFonts w:ascii="Bookman Old Style" w:hAnsi="Bookman Old Style"/>
        </w:rPr>
      </w:pPr>
      <w:r w:rsidRPr="00C12877">
        <w:rPr>
          <w:rFonts w:ascii="Bookman Old Style" w:hAnsi="Bookman Old Style"/>
        </w:rPr>
        <w:lastRenderedPageBreak/>
        <w:t>El artículo 34 de la Ley 142 de 1994 dispone que “</w:t>
      </w:r>
      <w:r w:rsidRPr="00C12877">
        <w:rPr>
          <w:rFonts w:ascii="Bookman Old Style" w:hAnsi="Bookman Old Style"/>
          <w:i/>
          <w:iCs/>
        </w:rPr>
        <w:t>las empresas de servicios públicos, en todos sus actos y contratos, deben evitar privilegios y discriminaciones injustificadas, y abstenerse de toda práctica que tenga la capacidad, el propósito o el efecto de generar competencia desleal o de restringir en forma indebida la competencia</w:t>
      </w:r>
      <w:r w:rsidRPr="00C12877">
        <w:rPr>
          <w:rFonts w:ascii="Bookman Old Style" w:hAnsi="Bookman Old Style"/>
        </w:rPr>
        <w:t>”, estableciendo para el efecto, entre otras, qué prácticas son consideradas como restricción indebida a la competencia, dentro de las que se destaca la establecida en su numeral 34.6, que estipula como una de ellas, “</w:t>
      </w:r>
      <w:r w:rsidRPr="00C12877">
        <w:rPr>
          <w:rFonts w:ascii="Bookman Old Style" w:hAnsi="Bookman Old Style"/>
          <w:i/>
          <w:iCs/>
        </w:rPr>
        <w:t>el abuso de la posición dominante al que se refiere el artículo 133 de esta Ley, cualquiera que sea la otra parte contratante y en cualquier clase de contratos</w:t>
      </w:r>
      <w:r w:rsidRPr="00C12877">
        <w:rPr>
          <w:rFonts w:ascii="Bookman Old Style" w:hAnsi="Bookman Old Style"/>
        </w:rPr>
        <w:t>”.</w:t>
      </w:r>
    </w:p>
    <w:p w14:paraId="57774BAE" w14:textId="77777777" w:rsidR="0069244A" w:rsidRPr="00C12877" w:rsidRDefault="0069244A" w:rsidP="00F26899">
      <w:pPr>
        <w:ind w:left="0"/>
        <w:jc w:val="both"/>
        <w:rPr>
          <w:rFonts w:ascii="Bookman Old Style" w:hAnsi="Bookman Old Style"/>
          <w:lang w:val="es-ES_tradnl"/>
        </w:rPr>
      </w:pPr>
    </w:p>
    <w:p w14:paraId="10FE5F4F" w14:textId="0655304C" w:rsidR="00442B76" w:rsidRPr="00C12877" w:rsidRDefault="00442B76" w:rsidP="00442B76">
      <w:pPr>
        <w:ind w:left="0"/>
        <w:jc w:val="both"/>
        <w:rPr>
          <w:rFonts w:ascii="Bookman Old Style" w:hAnsi="Bookman Old Style"/>
          <w:i/>
          <w:iCs/>
        </w:rPr>
      </w:pPr>
      <w:r w:rsidRPr="00C12877">
        <w:rPr>
          <w:rFonts w:ascii="Bookman Old Style" w:hAnsi="Bookman Old Style"/>
        </w:rPr>
        <w:t xml:space="preserve">El </w:t>
      </w:r>
      <w:r w:rsidR="00146DFD" w:rsidRPr="00C12877">
        <w:rPr>
          <w:rFonts w:ascii="Bookman Old Style" w:hAnsi="Bookman Old Style"/>
        </w:rPr>
        <w:t xml:space="preserve">literal a) del </w:t>
      </w:r>
      <w:r w:rsidRPr="00C12877">
        <w:rPr>
          <w:rFonts w:ascii="Bookman Old Style" w:hAnsi="Bookman Old Style"/>
        </w:rPr>
        <w:t xml:space="preserve">numeral </w:t>
      </w:r>
      <w:r w:rsidR="0074487B" w:rsidRPr="00C12877">
        <w:rPr>
          <w:rFonts w:ascii="Bookman Old Style" w:hAnsi="Bookman Old Style"/>
        </w:rPr>
        <w:t xml:space="preserve">74.1 del </w:t>
      </w:r>
      <w:r w:rsidRPr="00C12877">
        <w:rPr>
          <w:rFonts w:ascii="Bookman Old Style" w:hAnsi="Bookman Old Style"/>
        </w:rPr>
        <w:t xml:space="preserve">artículo </w:t>
      </w:r>
      <w:r w:rsidR="0074487B" w:rsidRPr="00C12877">
        <w:rPr>
          <w:rFonts w:ascii="Bookman Old Style" w:hAnsi="Bookman Old Style"/>
        </w:rPr>
        <w:t>74 de la</w:t>
      </w:r>
      <w:r w:rsidR="00056D33">
        <w:rPr>
          <w:rFonts w:ascii="Bookman Old Style" w:hAnsi="Bookman Old Style"/>
        </w:rPr>
        <w:t xml:space="preserve"> </w:t>
      </w:r>
      <w:r w:rsidR="0074487B" w:rsidRPr="00C12877">
        <w:rPr>
          <w:rFonts w:ascii="Bookman Old Style" w:hAnsi="Bookman Old Style"/>
        </w:rPr>
        <w:t xml:space="preserve">Ley 142 de 1994 </w:t>
      </w:r>
      <w:r w:rsidR="00CC4591" w:rsidRPr="00C12877">
        <w:rPr>
          <w:rFonts w:ascii="Bookman Old Style" w:hAnsi="Bookman Old Style"/>
        </w:rPr>
        <w:t>determina</w:t>
      </w:r>
      <w:r w:rsidR="009E7F44" w:rsidRPr="00C12877">
        <w:rPr>
          <w:rFonts w:ascii="Bookman Old Style" w:hAnsi="Bookman Old Style"/>
        </w:rPr>
        <w:t>, entre otras,</w:t>
      </w:r>
      <w:r w:rsidR="0074487B" w:rsidRPr="00C12877">
        <w:rPr>
          <w:rFonts w:ascii="Bookman Old Style" w:hAnsi="Bookman Old Style"/>
        </w:rPr>
        <w:t xml:space="preserve"> como función </w:t>
      </w:r>
      <w:r w:rsidR="009E7F44" w:rsidRPr="00C12877">
        <w:rPr>
          <w:rFonts w:ascii="Bookman Old Style" w:hAnsi="Bookman Old Style"/>
        </w:rPr>
        <w:t>e</w:t>
      </w:r>
      <w:r w:rsidR="0074487B" w:rsidRPr="00C12877">
        <w:rPr>
          <w:rFonts w:ascii="Bookman Old Style" w:hAnsi="Bookman Old Style"/>
        </w:rPr>
        <w:t>sp</w:t>
      </w:r>
      <w:r w:rsidR="009E7F44" w:rsidRPr="00C12877">
        <w:rPr>
          <w:rFonts w:ascii="Bookman Old Style" w:hAnsi="Bookman Old Style"/>
        </w:rPr>
        <w:t>e</w:t>
      </w:r>
      <w:r w:rsidR="0074487B" w:rsidRPr="00C12877">
        <w:rPr>
          <w:rFonts w:ascii="Bookman Old Style" w:hAnsi="Bookman Old Style"/>
        </w:rPr>
        <w:t xml:space="preserve">cial de la </w:t>
      </w:r>
      <w:r w:rsidR="009E7F44" w:rsidRPr="00C12877">
        <w:rPr>
          <w:rFonts w:ascii="Bookman Old Style" w:hAnsi="Bookman Old Style"/>
        </w:rPr>
        <w:t>CREG “</w:t>
      </w:r>
      <w:r w:rsidR="009E7F44" w:rsidRPr="00C12877">
        <w:rPr>
          <w:rFonts w:ascii="Bookman Old Style" w:hAnsi="Bookman Old Style"/>
          <w:i/>
          <w:iCs/>
        </w:rPr>
        <w:t>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La comisión podrá adoptar reglas de comportamiento diferencial, según la posición de las empresas en el mercado”</w:t>
      </w:r>
      <w:r w:rsidR="00101E88">
        <w:rPr>
          <w:rFonts w:ascii="Bookman Old Style" w:hAnsi="Bookman Old Style"/>
          <w:i/>
          <w:iCs/>
        </w:rPr>
        <w:t>.</w:t>
      </w:r>
    </w:p>
    <w:p w14:paraId="28D45CD2" w14:textId="77777777" w:rsidR="009E7F44" w:rsidRPr="00C12877" w:rsidRDefault="009E7F44" w:rsidP="00442B76">
      <w:pPr>
        <w:ind w:left="0"/>
        <w:jc w:val="both"/>
        <w:rPr>
          <w:rFonts w:ascii="Bookman Old Style" w:hAnsi="Bookman Old Style"/>
          <w:i/>
          <w:iCs/>
        </w:rPr>
      </w:pPr>
    </w:p>
    <w:p w14:paraId="079B59B3" w14:textId="5618C5C0" w:rsidR="009E7F44" w:rsidRPr="00C12877" w:rsidRDefault="009E7F44" w:rsidP="00442B76">
      <w:pPr>
        <w:ind w:left="0"/>
        <w:jc w:val="both"/>
        <w:rPr>
          <w:rFonts w:ascii="Bookman Old Style" w:hAnsi="Bookman Old Style"/>
        </w:rPr>
      </w:pPr>
      <w:r w:rsidRPr="00C12877">
        <w:rPr>
          <w:rFonts w:ascii="Bookman Old Style" w:hAnsi="Bookman Old Style"/>
        </w:rPr>
        <w:t xml:space="preserve">Asimismo, </w:t>
      </w:r>
      <w:r w:rsidR="00971A83" w:rsidRPr="00C12877">
        <w:rPr>
          <w:rFonts w:ascii="Bookman Old Style" w:hAnsi="Bookman Old Style"/>
        </w:rPr>
        <w:t xml:space="preserve">el literal c) del numeral antes mencionado, </w:t>
      </w:r>
      <w:r w:rsidR="00CC4591" w:rsidRPr="00C12877">
        <w:rPr>
          <w:rFonts w:ascii="Bookman Old Style" w:hAnsi="Bookman Old Style"/>
        </w:rPr>
        <w:t>determina</w:t>
      </w:r>
      <w:r w:rsidR="005A5C34">
        <w:rPr>
          <w:rFonts w:ascii="Bookman Old Style" w:hAnsi="Bookman Old Style"/>
        </w:rPr>
        <w:t xml:space="preserve"> también</w:t>
      </w:r>
      <w:r w:rsidR="00971A83" w:rsidRPr="00C12877">
        <w:rPr>
          <w:rFonts w:ascii="Bookman Old Style" w:hAnsi="Bookman Old Style"/>
        </w:rPr>
        <w:t>, como función especial de la CREG “</w:t>
      </w:r>
      <w:r w:rsidR="00CC4591" w:rsidRPr="00C12877">
        <w:rPr>
          <w:rFonts w:ascii="Bookman Old Style" w:hAnsi="Bookman Old Style"/>
          <w:i/>
          <w:iCs/>
        </w:rPr>
        <w:t>Establecer el reglamento de operación para realizar el planeamiento y la coordinación de la operación del sistema interconectado nacional y para regular el funcionamiento del mercado mayorista de energía y gas combustible</w:t>
      </w:r>
      <w:r w:rsidR="00726CBD" w:rsidRPr="00C12877">
        <w:rPr>
          <w:rFonts w:ascii="Bookman Old Style" w:hAnsi="Bookman Old Style"/>
          <w:i/>
          <w:iCs/>
        </w:rPr>
        <w:t>”</w:t>
      </w:r>
      <w:r w:rsidR="00101E88">
        <w:rPr>
          <w:rFonts w:ascii="Bookman Old Style" w:hAnsi="Bookman Old Style"/>
          <w:i/>
          <w:iCs/>
        </w:rPr>
        <w:t>.</w:t>
      </w:r>
    </w:p>
    <w:p w14:paraId="713A9288" w14:textId="77777777" w:rsidR="00442B76" w:rsidRPr="00C12877" w:rsidRDefault="00442B76" w:rsidP="00F26899">
      <w:pPr>
        <w:ind w:left="0"/>
        <w:jc w:val="both"/>
        <w:rPr>
          <w:rFonts w:ascii="Bookman Old Style" w:hAnsi="Bookman Old Style"/>
          <w:lang w:val="es-ES_tradnl"/>
        </w:rPr>
      </w:pPr>
    </w:p>
    <w:p w14:paraId="33F87786" w14:textId="1BE8B9C2" w:rsidR="00654AF2" w:rsidRPr="00C12877" w:rsidRDefault="0095348F" w:rsidP="00654AF2">
      <w:pPr>
        <w:ind w:left="0"/>
        <w:jc w:val="both"/>
        <w:rPr>
          <w:rFonts w:ascii="Bookman Old Style" w:hAnsi="Bookman Old Style"/>
        </w:rPr>
      </w:pPr>
      <w:r>
        <w:rPr>
          <w:rFonts w:ascii="Bookman Old Style" w:hAnsi="Bookman Old Style"/>
        </w:rPr>
        <w:t>El parágrafo 2 del artículo 11 de l</w:t>
      </w:r>
      <w:r w:rsidR="00654AF2" w:rsidRPr="00C12877">
        <w:rPr>
          <w:rFonts w:ascii="Bookman Old Style" w:hAnsi="Bookman Old Style"/>
        </w:rPr>
        <w:t>a Ley 401 de 1997 dispuso</w:t>
      </w:r>
      <w:r>
        <w:rPr>
          <w:rFonts w:ascii="Bookman Old Style" w:hAnsi="Bookman Old Style"/>
        </w:rPr>
        <w:t xml:space="preserve"> </w:t>
      </w:r>
      <w:r w:rsidR="00654AF2" w:rsidRPr="00C12877">
        <w:rPr>
          <w:rFonts w:ascii="Bookman Old Style" w:hAnsi="Bookman Old Style"/>
        </w:rPr>
        <w:t>que “</w:t>
      </w:r>
      <w:r w:rsidR="00654AF2" w:rsidRPr="00C12877">
        <w:rPr>
          <w:rFonts w:ascii="Bookman Old Style" w:hAnsi="Bookman Old Style"/>
          <w:i/>
          <w:iCs/>
        </w:rPr>
        <w:t>las competencias previstas en la Ley 142 de 1994 en lo relacionado con el servicio público domiciliario, comercial e industrial de gas combustible, sólo se predicarán en los casos en que el gas se utilice efectivamente como combustible y no como materia prima de procesos industriales petroquímicos</w:t>
      </w:r>
      <w:r w:rsidR="00654AF2" w:rsidRPr="00C12877">
        <w:rPr>
          <w:rFonts w:ascii="Bookman Old Style" w:hAnsi="Bookman Old Style"/>
        </w:rPr>
        <w:t>”.</w:t>
      </w:r>
    </w:p>
    <w:p w14:paraId="5E0E24F2" w14:textId="77777777" w:rsidR="00654AF2" w:rsidRPr="00C12877" w:rsidRDefault="00654AF2" w:rsidP="00654AF2">
      <w:pPr>
        <w:ind w:left="0"/>
        <w:jc w:val="both"/>
        <w:rPr>
          <w:rFonts w:ascii="Bookman Old Style" w:hAnsi="Bookman Old Style"/>
        </w:rPr>
      </w:pPr>
    </w:p>
    <w:p w14:paraId="2CF23CA2" w14:textId="4DF7549D" w:rsidR="00442B76" w:rsidRPr="00C12877" w:rsidRDefault="00654AF2" w:rsidP="00654AF2">
      <w:pPr>
        <w:ind w:left="0"/>
        <w:jc w:val="both"/>
        <w:rPr>
          <w:rFonts w:ascii="Bookman Old Style" w:hAnsi="Bookman Old Style"/>
          <w:lang w:val="es-ES_tradnl"/>
        </w:rPr>
      </w:pPr>
      <w:r w:rsidRPr="00C12877">
        <w:rPr>
          <w:rFonts w:ascii="Bookman Old Style" w:hAnsi="Bookman Old Style"/>
        </w:rPr>
        <w:t>De acuerdo con lo establecido en el artículo 978 del Código de Comercio, cuando la prestación de un servicio público está regulada por el Gobierno, las condiciones de los contratos deberán sujetarse a los respectivos reglamentos</w:t>
      </w:r>
      <w:r w:rsidR="00C12877" w:rsidRPr="00C12877">
        <w:rPr>
          <w:rFonts w:ascii="Bookman Old Style" w:hAnsi="Bookman Old Style"/>
        </w:rPr>
        <w:t>.</w:t>
      </w:r>
    </w:p>
    <w:p w14:paraId="5D010992" w14:textId="77777777" w:rsidR="00442B76" w:rsidRPr="00F41483" w:rsidRDefault="00442B76" w:rsidP="00F26899">
      <w:pPr>
        <w:ind w:left="0"/>
        <w:jc w:val="both"/>
        <w:rPr>
          <w:rFonts w:ascii="Bookman Old Style" w:hAnsi="Bookman Old Style"/>
          <w:lang w:val="es-ES_tradnl"/>
        </w:rPr>
      </w:pPr>
    </w:p>
    <w:p w14:paraId="550957F3" w14:textId="566A55B5" w:rsidR="00F26899" w:rsidRPr="00F41483" w:rsidRDefault="00F26899" w:rsidP="00F26899">
      <w:pPr>
        <w:pStyle w:val="paragraph"/>
        <w:spacing w:before="0" w:beforeAutospacing="0" w:after="0" w:afterAutospacing="0"/>
        <w:jc w:val="both"/>
        <w:textAlignment w:val="baseline"/>
        <w:rPr>
          <w:rFonts w:ascii="Segoe UI" w:hAnsi="Segoe UI" w:cs="Segoe UI"/>
        </w:rPr>
      </w:pPr>
      <w:r>
        <w:rPr>
          <w:rStyle w:val="normaltextrun"/>
          <w:rFonts w:ascii="Bookman Old Style" w:hAnsi="Bookman Old Style" w:cs="Segoe UI"/>
          <w:color w:val="000000"/>
          <w:lang w:val="es-ES"/>
        </w:rPr>
        <w:t>El</w:t>
      </w:r>
      <w:r w:rsidRPr="00F41483">
        <w:rPr>
          <w:rStyle w:val="normaltextrun"/>
          <w:rFonts w:ascii="Bookman Old Style" w:hAnsi="Bookman Old Style" w:cs="Segoe UI"/>
          <w:color w:val="000000"/>
          <w:lang w:val="es-ES"/>
        </w:rPr>
        <w:t xml:space="preserve"> artículo 11</w:t>
      </w:r>
      <w:r>
        <w:rPr>
          <w:rStyle w:val="normaltextrun"/>
          <w:rFonts w:ascii="Bookman Old Style" w:hAnsi="Bookman Old Style" w:cs="Segoe UI"/>
          <w:color w:val="000000"/>
          <w:lang w:val="es-ES"/>
        </w:rPr>
        <w:t xml:space="preserve"> d</w:t>
      </w:r>
      <w:r w:rsidRPr="00F41483">
        <w:rPr>
          <w:rStyle w:val="normaltextrun"/>
          <w:rFonts w:ascii="Bookman Old Style" w:hAnsi="Bookman Old Style" w:cs="Segoe UI"/>
          <w:color w:val="000000"/>
          <w:lang w:val="es-ES"/>
        </w:rPr>
        <w:t>el Decreto 2100 de 2011</w:t>
      </w:r>
      <w:r>
        <w:rPr>
          <w:rStyle w:val="normaltextrun"/>
          <w:rFonts w:ascii="Bookman Old Style" w:hAnsi="Bookman Old Style" w:cs="Segoe UI"/>
          <w:color w:val="000000"/>
          <w:lang w:val="es-ES"/>
        </w:rPr>
        <w:t>,</w:t>
      </w:r>
      <w:r w:rsidRPr="00F41483">
        <w:rPr>
          <w:rStyle w:val="normaltextrun"/>
          <w:rFonts w:ascii="Bookman Old Style" w:hAnsi="Bookman Old Style" w:cs="Segoe UI"/>
          <w:color w:val="000000"/>
          <w:lang w:val="es-ES"/>
        </w:rPr>
        <w:t xml:space="preserve"> compilado por el Decreto 1073 de 2015, </w:t>
      </w:r>
      <w:r w:rsidR="004E43D9">
        <w:rPr>
          <w:rStyle w:val="normaltextrun"/>
          <w:rFonts w:ascii="Bookman Old Style" w:hAnsi="Bookman Old Style" w:cs="Segoe UI"/>
          <w:color w:val="000000"/>
          <w:lang w:val="es-ES"/>
        </w:rPr>
        <w:t>dispuso</w:t>
      </w:r>
      <w:r w:rsidRPr="00F41483">
        <w:rPr>
          <w:rStyle w:val="normaltextrun"/>
          <w:rFonts w:ascii="Bookman Old Style" w:hAnsi="Bookman Old Style" w:cs="Segoe UI"/>
          <w:color w:val="000000"/>
          <w:lang w:val="es-ES"/>
        </w:rPr>
        <w:t xml:space="preserve"> que la CREG establecerá los mecanismos y procedimientos de comercialización de la producción total disponible para la venta, PTDV, y de las cantidades importadas disponibles para la venta, CIDV, conforme a los lineamientos </w:t>
      </w:r>
      <w:r>
        <w:rPr>
          <w:rStyle w:val="normaltextrun"/>
          <w:rFonts w:ascii="Bookman Old Style" w:hAnsi="Bookman Old Style" w:cs="Segoe UI"/>
          <w:color w:val="000000"/>
          <w:lang w:val="es-ES"/>
        </w:rPr>
        <w:t>previstos</w:t>
      </w:r>
      <w:r w:rsidRPr="00F41483">
        <w:rPr>
          <w:rStyle w:val="normaltextrun"/>
          <w:rFonts w:ascii="Bookman Old Style" w:hAnsi="Bookman Old Style" w:cs="Segoe UI"/>
          <w:color w:val="000000"/>
          <w:lang w:val="es-ES"/>
        </w:rPr>
        <w:t xml:space="preserve"> en dicha norma.</w:t>
      </w:r>
      <w:r w:rsidRPr="00F41483">
        <w:rPr>
          <w:rStyle w:val="eop"/>
          <w:rFonts w:ascii="Bookman Old Style" w:hAnsi="Bookman Old Style" w:cs="Segoe UI"/>
        </w:rPr>
        <w:t> </w:t>
      </w:r>
    </w:p>
    <w:p w14:paraId="627FF3CB" w14:textId="77777777" w:rsidR="00F26899" w:rsidRPr="00F41483" w:rsidRDefault="00F26899" w:rsidP="00F26899">
      <w:pPr>
        <w:pStyle w:val="paragraph"/>
        <w:spacing w:before="0" w:beforeAutospacing="0" w:after="0" w:afterAutospacing="0"/>
        <w:jc w:val="both"/>
        <w:textAlignment w:val="baseline"/>
        <w:rPr>
          <w:rFonts w:ascii="Segoe UI" w:hAnsi="Segoe UI" w:cs="Segoe UI"/>
        </w:rPr>
      </w:pPr>
      <w:r w:rsidRPr="00F41483">
        <w:rPr>
          <w:rStyle w:val="eop"/>
          <w:rFonts w:ascii="Bookman Old Style" w:hAnsi="Bookman Old Style" w:cs="Segoe UI"/>
        </w:rPr>
        <w:t> </w:t>
      </w:r>
    </w:p>
    <w:p w14:paraId="61B8AFE0" w14:textId="4F712ADD" w:rsidR="00F26899" w:rsidRPr="00F41483" w:rsidRDefault="00F26899" w:rsidP="00F26899">
      <w:pPr>
        <w:pStyle w:val="paragraph"/>
        <w:spacing w:before="0" w:beforeAutospacing="0" w:after="0" w:afterAutospacing="0"/>
        <w:jc w:val="both"/>
        <w:textAlignment w:val="baseline"/>
        <w:rPr>
          <w:rFonts w:ascii="Segoe UI" w:hAnsi="Segoe UI" w:cs="Segoe UI"/>
        </w:rPr>
      </w:pPr>
      <w:r w:rsidRPr="00F41483">
        <w:rPr>
          <w:rStyle w:val="normaltextrun"/>
          <w:rFonts w:ascii="Bookman Old Style" w:hAnsi="Bookman Old Style" w:cs="Segoe UI"/>
          <w:color w:val="000000"/>
          <w:lang w:val="es-ES"/>
        </w:rPr>
        <w:t xml:space="preserve">El artículo 12 del Decreto 2100 de 2011, compilado por el Decreto 1073 de 2015, establece las actividades a las que no se les aplicarán los mecanismos y procedimientos de comercialización de que trata el </w:t>
      </w:r>
      <w:r w:rsidR="00746F74">
        <w:rPr>
          <w:rStyle w:val="normaltextrun"/>
          <w:rFonts w:ascii="Bookman Old Style" w:hAnsi="Bookman Old Style" w:cs="Segoe UI"/>
          <w:color w:val="000000"/>
          <w:lang w:val="es-ES"/>
        </w:rPr>
        <w:t>artículo</w:t>
      </w:r>
      <w:r w:rsidRPr="00F41483">
        <w:rPr>
          <w:rStyle w:val="normaltextrun"/>
          <w:rFonts w:ascii="Bookman Old Style" w:hAnsi="Bookman Old Style" w:cs="Segoe UI"/>
          <w:color w:val="000000"/>
          <w:lang w:val="es-ES"/>
        </w:rPr>
        <w:t xml:space="preserve"> 11 </w:t>
      </w:r>
      <w:r w:rsidR="00B6136D">
        <w:rPr>
          <w:rStyle w:val="normaltextrun"/>
          <w:rFonts w:ascii="Bookman Old Style" w:hAnsi="Bookman Old Style" w:cs="Segoe UI"/>
          <w:color w:val="000000"/>
          <w:lang w:val="es-ES"/>
        </w:rPr>
        <w:t>de dicho</w:t>
      </w:r>
      <w:r w:rsidRPr="00F41483">
        <w:rPr>
          <w:rStyle w:val="normaltextrun"/>
          <w:rFonts w:ascii="Bookman Old Style" w:hAnsi="Bookman Old Style" w:cs="Segoe UI"/>
          <w:color w:val="000000"/>
          <w:lang w:val="es-ES"/>
        </w:rPr>
        <w:t xml:space="preserve"> Decreto.</w:t>
      </w:r>
      <w:r w:rsidRPr="00F41483">
        <w:rPr>
          <w:rStyle w:val="eop"/>
          <w:rFonts w:ascii="Bookman Old Style" w:hAnsi="Bookman Old Style" w:cs="Segoe UI"/>
        </w:rPr>
        <w:t> </w:t>
      </w:r>
    </w:p>
    <w:p w14:paraId="05400B41" w14:textId="77777777" w:rsidR="00F26899" w:rsidRPr="00F41483" w:rsidRDefault="00F26899" w:rsidP="00F26899">
      <w:pPr>
        <w:pStyle w:val="paragraph"/>
        <w:spacing w:before="0" w:beforeAutospacing="0" w:after="0" w:afterAutospacing="0"/>
        <w:jc w:val="both"/>
        <w:textAlignment w:val="baseline"/>
        <w:rPr>
          <w:rFonts w:ascii="Segoe UI" w:hAnsi="Segoe UI" w:cs="Segoe UI"/>
        </w:rPr>
      </w:pPr>
      <w:r w:rsidRPr="00F41483">
        <w:rPr>
          <w:rStyle w:val="eop"/>
          <w:rFonts w:ascii="Bookman Old Style" w:hAnsi="Bookman Old Style" w:cs="Segoe UI"/>
        </w:rPr>
        <w:t> </w:t>
      </w:r>
    </w:p>
    <w:p w14:paraId="04FC7F27" w14:textId="77777777" w:rsidR="00F26899" w:rsidRPr="00F41483" w:rsidRDefault="00F26899" w:rsidP="00F26899">
      <w:pPr>
        <w:pStyle w:val="paragraph"/>
        <w:spacing w:before="0" w:beforeAutospacing="0" w:after="0" w:afterAutospacing="0"/>
        <w:jc w:val="both"/>
        <w:textAlignment w:val="baseline"/>
        <w:rPr>
          <w:rFonts w:ascii="Segoe UI" w:hAnsi="Segoe UI" w:cs="Segoe UI"/>
        </w:rPr>
      </w:pPr>
      <w:r w:rsidRPr="00F41483">
        <w:rPr>
          <w:rStyle w:val="normaltextrun"/>
          <w:rFonts w:ascii="Bookman Old Style" w:hAnsi="Bookman Old Style" w:cs="Segoe UI"/>
          <w:color w:val="000000"/>
          <w:lang w:val="es-ES"/>
        </w:rPr>
        <w:t xml:space="preserve">En el artículo 13 del Decreto 2100 de 2011, compilado por el Decreto 1073 de 2015, se establecen los lineamientos para la expedición de los mecanismos y procedimientos de comercialización, determinándose que la CREG “(…) </w:t>
      </w:r>
      <w:r w:rsidRPr="00F41483">
        <w:rPr>
          <w:rStyle w:val="normaltextrun"/>
          <w:rFonts w:ascii="Bookman Old Style" w:hAnsi="Bookman Old Style" w:cs="Segoe UI"/>
          <w:i/>
          <w:iCs/>
          <w:color w:val="000000"/>
          <w:lang w:val="es-ES"/>
        </w:rPr>
        <w:t xml:space="preserve">deberá promover la competencia, propiciar la formación de precios eficientes a través de procesos que reflejen el costo de oportunidad del recurso, considerando las </w:t>
      </w:r>
      <w:r w:rsidRPr="00F41483">
        <w:rPr>
          <w:rStyle w:val="normaltextrun"/>
          <w:rFonts w:ascii="Bookman Old Style" w:hAnsi="Bookman Old Style" w:cs="Segoe UI"/>
          <w:i/>
          <w:iCs/>
          <w:color w:val="000000"/>
          <w:lang w:val="es-ES"/>
        </w:rPr>
        <w:lastRenderedPageBreak/>
        <w:t>diferentes variables que inciden en su formación, así como mitigar los efectos de la concentración del mercado y generar información oportuna y suficiente para los agentes</w:t>
      </w:r>
      <w:r w:rsidRPr="00F41483">
        <w:rPr>
          <w:rStyle w:val="normaltextrun"/>
          <w:rFonts w:ascii="Bookman Old Style" w:hAnsi="Bookman Old Style" w:cs="Segoe UI"/>
          <w:color w:val="000000"/>
          <w:lang w:val="es-ES"/>
        </w:rPr>
        <w:t>”. </w:t>
      </w:r>
      <w:r w:rsidRPr="00F41483">
        <w:rPr>
          <w:rStyle w:val="eop"/>
          <w:rFonts w:ascii="Bookman Old Style" w:hAnsi="Bookman Old Style" w:cs="Segoe UI"/>
        </w:rPr>
        <w:t> </w:t>
      </w:r>
    </w:p>
    <w:p w14:paraId="65A6BA08" w14:textId="77777777" w:rsidR="00F26899" w:rsidRPr="00F41483" w:rsidRDefault="00F26899" w:rsidP="00F26899">
      <w:pPr>
        <w:pStyle w:val="paragraph"/>
        <w:spacing w:before="0" w:beforeAutospacing="0" w:after="0" w:afterAutospacing="0"/>
        <w:jc w:val="both"/>
        <w:textAlignment w:val="baseline"/>
        <w:rPr>
          <w:rFonts w:ascii="Segoe UI" w:hAnsi="Segoe UI" w:cs="Segoe UI"/>
        </w:rPr>
      </w:pPr>
      <w:r w:rsidRPr="00F41483">
        <w:rPr>
          <w:rStyle w:val="eop"/>
          <w:rFonts w:ascii="Bookman Old Style" w:hAnsi="Bookman Old Style" w:cs="Segoe UI"/>
        </w:rPr>
        <w:t> </w:t>
      </w:r>
    </w:p>
    <w:p w14:paraId="483BADF5" w14:textId="77777777" w:rsidR="00F26899" w:rsidRDefault="00F26899" w:rsidP="00F26899">
      <w:pPr>
        <w:pStyle w:val="paragraph"/>
        <w:spacing w:before="0" w:beforeAutospacing="0" w:after="0" w:afterAutospacing="0"/>
        <w:jc w:val="both"/>
        <w:textAlignment w:val="baseline"/>
        <w:rPr>
          <w:rStyle w:val="normaltextrun"/>
          <w:rFonts w:ascii="Bookman Old Style" w:hAnsi="Bookman Old Style" w:cs="Segoe UI"/>
          <w:color w:val="000000"/>
          <w:lang w:val="es-ES"/>
        </w:rPr>
      </w:pPr>
      <w:r w:rsidRPr="00F41483">
        <w:rPr>
          <w:rStyle w:val="normaltextrun"/>
          <w:rFonts w:ascii="Bookman Old Style" w:hAnsi="Bookman Old Style" w:cs="Segoe UI"/>
          <w:color w:val="000000"/>
          <w:lang w:val="es-ES"/>
        </w:rPr>
        <w:t>El artículo 14 del Decreto 2100 de 2011, compilado por el Decreto 1073 de 2015, establece que “</w:t>
      </w:r>
      <w:r w:rsidRPr="00F41483">
        <w:rPr>
          <w:rStyle w:val="normaltextrun"/>
          <w:rFonts w:ascii="Bookman Old Style" w:hAnsi="Bookman Old Style" w:cs="Segoe UI"/>
          <w:i/>
          <w:iCs/>
          <w:color w:val="000000"/>
          <w:lang w:val="es-ES"/>
        </w:rPr>
        <w:t>con el fin de propender por el equilibrio de las relaciones contractuales entre los Agentes Operacionales, la CREG establecerá los requisitos mínimos para cada una de las modalidades de contratos previstos en la regulación</w:t>
      </w:r>
      <w:r w:rsidRPr="00F41483">
        <w:rPr>
          <w:rStyle w:val="normaltextrun"/>
          <w:rFonts w:ascii="Bookman Old Style" w:hAnsi="Bookman Old Style" w:cs="Segoe UI"/>
          <w:color w:val="000000"/>
          <w:lang w:val="es-ES"/>
        </w:rPr>
        <w:t xml:space="preserve">”. </w:t>
      </w:r>
    </w:p>
    <w:p w14:paraId="0ADFB0AC" w14:textId="77777777" w:rsidR="00795F43" w:rsidRDefault="00795F43" w:rsidP="00F26899">
      <w:pPr>
        <w:pStyle w:val="paragraph"/>
        <w:spacing w:before="0" w:beforeAutospacing="0" w:after="0" w:afterAutospacing="0"/>
        <w:jc w:val="both"/>
        <w:textAlignment w:val="baseline"/>
        <w:rPr>
          <w:rStyle w:val="normaltextrun"/>
          <w:rFonts w:ascii="Bookman Old Style" w:hAnsi="Bookman Old Style" w:cs="Segoe UI"/>
          <w:color w:val="000000"/>
          <w:lang w:val="es-ES"/>
        </w:rPr>
      </w:pPr>
    </w:p>
    <w:p w14:paraId="2AF827F5" w14:textId="5152F2B4" w:rsidR="00795F43" w:rsidRPr="00C12877" w:rsidRDefault="00125BA7" w:rsidP="00F26899">
      <w:pPr>
        <w:pStyle w:val="paragraph"/>
        <w:spacing w:before="0" w:beforeAutospacing="0" w:after="0" w:afterAutospacing="0"/>
        <w:jc w:val="both"/>
        <w:textAlignment w:val="baseline"/>
        <w:rPr>
          <w:rFonts w:ascii="Segoe UI" w:hAnsi="Segoe UI" w:cs="Segoe UI"/>
        </w:rPr>
      </w:pPr>
      <w:r w:rsidRPr="00C12877">
        <w:rPr>
          <w:rStyle w:val="normaltextrun"/>
          <w:rFonts w:ascii="Bookman Old Style" w:hAnsi="Bookman Old Style" w:cs="Segoe UI"/>
          <w:color w:val="000000"/>
          <w:lang w:val="es-ES"/>
        </w:rPr>
        <w:t xml:space="preserve">El parágrafo 2° del Artículo 5° del Decreto 2100 de 2011, compilado por el Decreto 1073 de 2015, establece que </w:t>
      </w:r>
      <w:r w:rsidR="003B63C6" w:rsidRPr="00C12877">
        <w:rPr>
          <w:rStyle w:val="normaltextrun"/>
          <w:rFonts w:ascii="Bookman Old Style" w:hAnsi="Bookman Old Style" w:cs="Segoe UI"/>
          <w:color w:val="000000"/>
          <w:lang w:val="es-ES"/>
        </w:rPr>
        <w:t>“</w:t>
      </w:r>
      <w:r w:rsidR="003B63C6" w:rsidRPr="00C12877">
        <w:rPr>
          <w:rStyle w:val="normaltextrun"/>
          <w:rFonts w:ascii="Bookman Old Style" w:hAnsi="Bookman Old Style" w:cs="Segoe UI"/>
          <w:i/>
          <w:iCs/>
          <w:color w:val="000000"/>
          <w:lang w:val="es-ES"/>
        </w:rPr>
        <w:t>La CREG, siguiendo los lineamientos establecidos en el artículo 13 de este decreto, definirá los mecanismos que permitan a los Agentes que atiendan a la Demanda Esencial tener acceso a los contratos de suministro y/o transporte de gas natural a que se refiere este artículo”</w:t>
      </w:r>
      <w:r w:rsidR="00AF0825">
        <w:rPr>
          <w:rStyle w:val="normaltextrun"/>
          <w:rFonts w:ascii="Bookman Old Style" w:hAnsi="Bookman Old Style" w:cs="Segoe UI"/>
          <w:i/>
          <w:iCs/>
          <w:color w:val="000000"/>
          <w:lang w:val="es-ES"/>
        </w:rPr>
        <w:t>.</w:t>
      </w:r>
    </w:p>
    <w:p w14:paraId="348D5CCE" w14:textId="77777777" w:rsidR="00F26899" w:rsidRPr="00F41483" w:rsidRDefault="00F26899" w:rsidP="00F26899">
      <w:pPr>
        <w:pStyle w:val="paragraph"/>
        <w:spacing w:before="0" w:beforeAutospacing="0" w:after="0" w:afterAutospacing="0"/>
        <w:jc w:val="both"/>
        <w:textAlignment w:val="baseline"/>
        <w:rPr>
          <w:rStyle w:val="eop"/>
          <w:rFonts w:ascii="Bookman Old Style" w:hAnsi="Bookman Old Style" w:cs="Segoe UI"/>
        </w:rPr>
      </w:pPr>
    </w:p>
    <w:p w14:paraId="2E2E2BA5" w14:textId="76D578E0" w:rsidR="00F26899" w:rsidRDefault="00F26899" w:rsidP="00F26899">
      <w:pPr>
        <w:ind w:left="0"/>
        <w:jc w:val="both"/>
        <w:rPr>
          <w:rFonts w:ascii="Bookman Old Style" w:hAnsi="Bookman Old Style" w:cs="Arial"/>
          <w:color w:val="000000"/>
        </w:rPr>
      </w:pPr>
      <w:r w:rsidRPr="00F41483">
        <w:rPr>
          <w:rFonts w:ascii="Bookman Old Style" w:hAnsi="Bookman Old Style" w:cs="Arial"/>
          <w:color w:val="000000"/>
        </w:rPr>
        <w:t>El artículo 1 del Decreto 1710 de 2013</w:t>
      </w:r>
      <w:r>
        <w:rPr>
          <w:rFonts w:ascii="Bookman Old Style" w:hAnsi="Bookman Old Style" w:cs="Arial"/>
          <w:color w:val="000000"/>
        </w:rPr>
        <w:t>, compilado por el Decreto 1073 de 2015,</w:t>
      </w:r>
      <w:r w:rsidRPr="00F41483">
        <w:rPr>
          <w:rFonts w:ascii="Bookman Old Style" w:hAnsi="Bookman Old Style" w:cs="Arial"/>
          <w:color w:val="000000"/>
        </w:rPr>
        <w:t xml:space="preserve"> establece que, al expedir el reglamento de operación del </w:t>
      </w:r>
      <w:r w:rsidR="001D68B0">
        <w:rPr>
          <w:rFonts w:ascii="Bookman Old Style" w:hAnsi="Bookman Old Style" w:cs="Arial"/>
          <w:color w:val="000000"/>
        </w:rPr>
        <w:t>Mercado Mayorista</w:t>
      </w:r>
      <w:r w:rsidRPr="00F41483">
        <w:rPr>
          <w:rFonts w:ascii="Bookman Old Style" w:hAnsi="Bookman Old Style" w:cs="Arial"/>
          <w:color w:val="000000"/>
        </w:rPr>
        <w:t xml:space="preserve"> de gas natural, la CREG podrá </w:t>
      </w:r>
      <w:r w:rsidRPr="00F41483">
        <w:rPr>
          <w:rFonts w:ascii="Bookman Old Style" w:hAnsi="Bookman Old Style" w:cs="Arial"/>
          <w:i/>
          <w:iCs/>
          <w:color w:val="000000"/>
        </w:rPr>
        <w:t xml:space="preserve">“a) Establecer los lineamientos y las condiciones de participación en el </w:t>
      </w:r>
      <w:r w:rsidR="001D68B0">
        <w:rPr>
          <w:rFonts w:ascii="Bookman Old Style" w:hAnsi="Bookman Old Style" w:cs="Arial"/>
          <w:i/>
          <w:iCs/>
          <w:color w:val="000000"/>
        </w:rPr>
        <w:t>Mercado Mayorista</w:t>
      </w:r>
      <w:r w:rsidRPr="00F41483">
        <w:rPr>
          <w:rFonts w:ascii="Bookman Old Style" w:hAnsi="Bookman Old Style" w:cs="Arial"/>
          <w:i/>
          <w:iCs/>
          <w:color w:val="000000"/>
        </w:rPr>
        <w:t xml:space="preserve">, las modalidades y requisitos mínimos de ofertas y contratos, los procedimientos y los demás aspectos que requieran los mecanismos de comercialización de gas natural y de su transporte en el </w:t>
      </w:r>
      <w:r w:rsidR="001D68B0">
        <w:rPr>
          <w:rFonts w:ascii="Bookman Old Style" w:hAnsi="Bookman Old Style" w:cs="Arial"/>
          <w:i/>
          <w:iCs/>
          <w:color w:val="000000"/>
        </w:rPr>
        <w:t>Mercado Mayorista</w:t>
      </w:r>
      <w:r w:rsidRPr="00F41483">
        <w:rPr>
          <w:rFonts w:ascii="Bookman Old Style" w:hAnsi="Bookman Old Style" w:cs="Arial"/>
          <w:color w:val="000000"/>
        </w:rPr>
        <w:t xml:space="preserve">” y </w:t>
      </w:r>
      <w:r w:rsidRPr="00F41483">
        <w:rPr>
          <w:rFonts w:ascii="Bookman Old Style" w:hAnsi="Bookman Old Style" w:cs="Arial"/>
          <w:i/>
          <w:iCs/>
          <w:color w:val="000000"/>
        </w:rPr>
        <w:t xml:space="preserve">“b) Señalar la información que será declarada por los participantes del mercado y establecer los mecanismos y procedimientos para obtener, organizar, revisar y divulgar dicha información en forma oportuna para el funcionamiento del </w:t>
      </w:r>
      <w:r w:rsidR="001D68B0">
        <w:rPr>
          <w:rFonts w:ascii="Bookman Old Style" w:hAnsi="Bookman Old Style" w:cs="Arial"/>
          <w:i/>
          <w:iCs/>
          <w:color w:val="000000"/>
        </w:rPr>
        <w:t>Mercado Mayorista</w:t>
      </w:r>
      <w:r w:rsidRPr="00F41483">
        <w:rPr>
          <w:rFonts w:ascii="Bookman Old Style" w:hAnsi="Bookman Old Style" w:cs="Arial"/>
          <w:i/>
          <w:iCs/>
          <w:color w:val="000000"/>
        </w:rPr>
        <w:t xml:space="preserve"> de gas natural</w:t>
      </w:r>
      <w:r w:rsidRPr="00F41483">
        <w:rPr>
          <w:rFonts w:ascii="Bookman Old Style" w:hAnsi="Bookman Old Style" w:cs="Arial"/>
          <w:color w:val="000000"/>
        </w:rPr>
        <w:t>”.</w:t>
      </w:r>
    </w:p>
    <w:p w14:paraId="3C4D267E" w14:textId="77777777" w:rsidR="00F26899" w:rsidRPr="00F41483" w:rsidRDefault="00F26899" w:rsidP="00F26899">
      <w:pPr>
        <w:ind w:left="0"/>
        <w:jc w:val="both"/>
        <w:rPr>
          <w:rFonts w:ascii="Bookman Old Style" w:hAnsi="Bookman Old Style" w:cs="Arial"/>
          <w:color w:val="000000"/>
        </w:rPr>
      </w:pPr>
    </w:p>
    <w:p w14:paraId="76CA8989" w14:textId="2475FBF4" w:rsidR="00F26899" w:rsidRPr="00F41483" w:rsidRDefault="00F26899" w:rsidP="00F26899">
      <w:pPr>
        <w:ind w:left="0"/>
        <w:jc w:val="both"/>
        <w:rPr>
          <w:rFonts w:ascii="Bookman Old Style" w:hAnsi="Bookman Old Style" w:cs="Arial"/>
          <w:iCs/>
        </w:rPr>
      </w:pPr>
      <w:r w:rsidRPr="00F41483">
        <w:rPr>
          <w:rFonts w:ascii="Bookman Old Style" w:hAnsi="Bookman Old Style" w:cs="Arial"/>
        </w:rPr>
        <w:t xml:space="preserve">Mediante la Resolución CREG </w:t>
      </w:r>
      <w:r>
        <w:rPr>
          <w:rFonts w:ascii="Bookman Old Style" w:hAnsi="Bookman Old Style" w:cs="Arial"/>
        </w:rPr>
        <w:t xml:space="preserve">186 de </w:t>
      </w:r>
      <w:r w:rsidRPr="00C12877">
        <w:rPr>
          <w:rFonts w:ascii="Bookman Old Style" w:hAnsi="Bookman Old Style" w:cs="Arial"/>
        </w:rPr>
        <w:t xml:space="preserve">2020 </w:t>
      </w:r>
      <w:r w:rsidR="004646A2" w:rsidRPr="00C12877">
        <w:rPr>
          <w:rFonts w:ascii="Bookman Old Style" w:hAnsi="Bookman Old Style" w:cs="Arial"/>
        </w:rPr>
        <w:t>establece la regulación de</w:t>
      </w:r>
      <w:r w:rsidRPr="00C12877">
        <w:rPr>
          <w:rFonts w:ascii="Bookman Old Style" w:hAnsi="Bookman Old Style" w:cs="Arial"/>
        </w:rPr>
        <w:t xml:space="preserve"> los</w:t>
      </w:r>
      <w:r>
        <w:rPr>
          <w:rFonts w:ascii="Bookman Old Style" w:hAnsi="Bookman Old Style" w:cs="Arial"/>
        </w:rPr>
        <w:t xml:space="preserve"> </w:t>
      </w:r>
      <w:r w:rsidRPr="00631FD1">
        <w:rPr>
          <w:rFonts w:ascii="Bookman Old Style" w:hAnsi="Bookman Old Style" w:cs="Arial"/>
        </w:rPr>
        <w:t xml:space="preserve">aspectos comerciales del </w:t>
      </w:r>
      <w:r w:rsidR="001D68B0">
        <w:rPr>
          <w:rFonts w:ascii="Bookman Old Style" w:hAnsi="Bookman Old Style" w:cs="Arial"/>
        </w:rPr>
        <w:t>Mercado Mayorista</w:t>
      </w:r>
      <w:r w:rsidRPr="00631FD1">
        <w:rPr>
          <w:rFonts w:ascii="Bookman Old Style" w:hAnsi="Bookman Old Style" w:cs="Arial"/>
        </w:rPr>
        <w:t xml:space="preserve"> de gas natural como parte del reglamento de operación de gas natural. </w:t>
      </w:r>
      <w:r>
        <w:rPr>
          <w:rFonts w:ascii="Bookman Old Style" w:hAnsi="Bookman Old Style" w:cs="Arial"/>
        </w:rPr>
        <w:t>Dich</w:t>
      </w:r>
      <w:r w:rsidRPr="00631FD1">
        <w:rPr>
          <w:rFonts w:ascii="Bookman Old Style" w:hAnsi="Bookman Old Style" w:cs="Arial"/>
        </w:rPr>
        <w:t xml:space="preserve">a Resolución contiene el conjunto de disposiciones aplicables a las negociaciones del suministro de gas natural utilizado efectivamente como combustible que se realicen en el </w:t>
      </w:r>
      <w:r w:rsidR="001D68B0">
        <w:rPr>
          <w:rFonts w:ascii="Bookman Old Style" w:hAnsi="Bookman Old Style" w:cs="Arial"/>
        </w:rPr>
        <w:t>Mercado Primario</w:t>
      </w:r>
      <w:r w:rsidRPr="00631FD1">
        <w:rPr>
          <w:rFonts w:ascii="Bookman Old Style" w:hAnsi="Bookman Old Style" w:cs="Arial"/>
        </w:rPr>
        <w:t xml:space="preserve"> y en el </w:t>
      </w:r>
      <w:r w:rsidR="001D68B0">
        <w:rPr>
          <w:rFonts w:ascii="Bookman Old Style" w:hAnsi="Bookman Old Style" w:cs="Arial"/>
        </w:rPr>
        <w:t>Mercado Secundario</w:t>
      </w:r>
      <w:r w:rsidRPr="00F41483">
        <w:rPr>
          <w:rFonts w:ascii="Bookman Old Style" w:hAnsi="Bookman Old Style" w:cs="Arial"/>
          <w:iCs/>
        </w:rPr>
        <w:t>.</w:t>
      </w:r>
    </w:p>
    <w:p w14:paraId="530B3DD6" w14:textId="77777777" w:rsidR="00F26899" w:rsidRPr="00F41483" w:rsidRDefault="00F26899" w:rsidP="00F26899">
      <w:pPr>
        <w:ind w:left="0"/>
        <w:jc w:val="both"/>
        <w:rPr>
          <w:rFonts w:ascii="Bookman Old Style" w:hAnsi="Bookman Old Style" w:cs="Arial"/>
          <w:color w:val="000000"/>
          <w:sz w:val="28"/>
          <w:szCs w:val="28"/>
        </w:rPr>
      </w:pPr>
    </w:p>
    <w:p w14:paraId="71501853" w14:textId="77777777" w:rsidR="00F26899" w:rsidRPr="00F41483" w:rsidRDefault="00F26899" w:rsidP="00F26899">
      <w:pPr>
        <w:ind w:left="0"/>
        <w:jc w:val="both"/>
        <w:rPr>
          <w:rFonts w:ascii="Bookman Old Style" w:hAnsi="Bookman Old Style" w:cs="Arial"/>
          <w:color w:val="000000"/>
        </w:rPr>
      </w:pPr>
      <w:r w:rsidRPr="00F41483">
        <w:rPr>
          <w:rFonts w:ascii="Bookman Old Style" w:hAnsi="Bookman Old Style" w:cs="Arial"/>
          <w:color w:val="000000" w:themeColor="text1"/>
        </w:rPr>
        <w:t>La Resolución CREG 080 de 2019 establece reglas generales de comportamiento de mercado para los agentes que desarrollen las actividades de los servicios públicos domiciliarios de energía eléctrica y gas combustible.</w:t>
      </w:r>
    </w:p>
    <w:p w14:paraId="28C22356" w14:textId="17F22762" w:rsidR="00F26899" w:rsidRDefault="00F26899" w:rsidP="00AA19FF">
      <w:pPr>
        <w:ind w:left="0"/>
        <w:jc w:val="both"/>
        <w:rPr>
          <w:rFonts w:ascii="Bookman Old Style" w:hAnsi="Bookman Old Style" w:cs="Arial"/>
        </w:rPr>
      </w:pPr>
    </w:p>
    <w:p w14:paraId="5BEFC2E3" w14:textId="3DA50E73" w:rsidR="000E7A48" w:rsidRPr="00C12877" w:rsidRDefault="000E7A48" w:rsidP="000E7A48">
      <w:pPr>
        <w:ind w:left="0"/>
        <w:jc w:val="both"/>
        <w:rPr>
          <w:rFonts w:ascii="Bookman Old Style" w:hAnsi="Bookman Old Style" w:cs="Arial"/>
          <w:color w:val="000000"/>
        </w:rPr>
      </w:pPr>
      <w:r w:rsidRPr="00C12877">
        <w:rPr>
          <w:rFonts w:ascii="Bookman Old Style" w:hAnsi="Bookman Old Style" w:cs="Arial"/>
          <w:color w:val="000000"/>
        </w:rPr>
        <w:t xml:space="preserve">El Decreto 484 de 2024 modificó el Artículo 2.2.2.2.14 del Decreto 1073 de 2015, adicionando una </w:t>
      </w:r>
      <w:r w:rsidR="00AC459A" w:rsidRPr="00C12877">
        <w:rPr>
          <w:rFonts w:ascii="Bookman Old Style" w:hAnsi="Bookman Old Style" w:cs="Arial"/>
          <w:color w:val="000000"/>
        </w:rPr>
        <w:t xml:space="preserve">nueva </w:t>
      </w:r>
      <w:r w:rsidRPr="00C12877">
        <w:rPr>
          <w:rFonts w:ascii="Bookman Old Style" w:hAnsi="Bookman Old Style" w:cs="Arial"/>
          <w:color w:val="000000"/>
        </w:rPr>
        <w:t>actividad a la que no se aplicarán los mecanismos y procedimientos de comercialización de la PTDV</w:t>
      </w:r>
      <w:r w:rsidR="00273346" w:rsidRPr="00C12877">
        <w:rPr>
          <w:rFonts w:ascii="Bookman Old Style" w:hAnsi="Bookman Old Style" w:cs="Arial"/>
          <w:color w:val="000000"/>
        </w:rPr>
        <w:t>,</w:t>
      </w:r>
      <w:r w:rsidRPr="00C12877">
        <w:rPr>
          <w:rFonts w:ascii="Bookman Old Style" w:hAnsi="Bookman Old Style" w:cs="Arial"/>
          <w:color w:val="000000"/>
        </w:rPr>
        <w:t xml:space="preserve"> establecidos por la CREG, así como otros aspectos relacionados. </w:t>
      </w:r>
    </w:p>
    <w:p w14:paraId="1BC9E294" w14:textId="77777777" w:rsidR="000E7A48" w:rsidRPr="00C12877" w:rsidRDefault="000E7A48" w:rsidP="00AA19FF">
      <w:pPr>
        <w:ind w:left="0"/>
        <w:jc w:val="both"/>
        <w:rPr>
          <w:rFonts w:ascii="Bookman Old Style" w:hAnsi="Bookman Old Style" w:cs="Arial"/>
        </w:rPr>
      </w:pPr>
    </w:p>
    <w:p w14:paraId="5EBBEAA0" w14:textId="39F1C70A" w:rsidR="006003D5" w:rsidRPr="00C12877" w:rsidRDefault="00AC459A" w:rsidP="00AA19FF">
      <w:pPr>
        <w:ind w:left="0"/>
        <w:jc w:val="both"/>
        <w:rPr>
          <w:rFonts w:ascii="Bookman Old Style" w:hAnsi="Bookman Old Style" w:cs="Arial"/>
        </w:rPr>
      </w:pPr>
      <w:r w:rsidRPr="00C12877">
        <w:rPr>
          <w:rFonts w:ascii="Bookman Old Style" w:hAnsi="Bookman Old Style" w:cs="Arial"/>
        </w:rPr>
        <w:t xml:space="preserve">La CREG </w:t>
      </w:r>
      <w:r w:rsidR="00575C12" w:rsidRPr="00C12877">
        <w:rPr>
          <w:rFonts w:ascii="Bookman Old Style" w:hAnsi="Bookman Old Style" w:cs="Arial"/>
        </w:rPr>
        <w:t xml:space="preserve">ha adoptado </w:t>
      </w:r>
      <w:r w:rsidR="00942723" w:rsidRPr="00C12877">
        <w:rPr>
          <w:rFonts w:ascii="Bookman Old Style" w:hAnsi="Bookman Old Style" w:cs="Arial"/>
        </w:rPr>
        <w:t>por diversas razones coyunturales</w:t>
      </w:r>
      <w:r w:rsidR="00942723">
        <w:rPr>
          <w:rFonts w:ascii="Bookman Old Style" w:hAnsi="Bookman Old Style" w:cs="Arial"/>
        </w:rPr>
        <w:t xml:space="preserve">, </w:t>
      </w:r>
      <w:r w:rsidR="00506017" w:rsidRPr="00C12877">
        <w:rPr>
          <w:rFonts w:ascii="Bookman Old Style" w:hAnsi="Bookman Old Style" w:cs="Arial"/>
        </w:rPr>
        <w:t xml:space="preserve">resoluciones de aplicación transitoria, </w:t>
      </w:r>
      <w:r w:rsidR="00575C12" w:rsidRPr="00C12877">
        <w:rPr>
          <w:rFonts w:ascii="Bookman Old Style" w:hAnsi="Bookman Old Style" w:cs="Arial"/>
        </w:rPr>
        <w:t xml:space="preserve">que han adicionado </w:t>
      </w:r>
      <w:r w:rsidR="007D5B33" w:rsidRPr="00C12877">
        <w:rPr>
          <w:rFonts w:ascii="Bookman Old Style" w:hAnsi="Bookman Old Style" w:cs="Arial"/>
        </w:rPr>
        <w:t xml:space="preserve">reglas </w:t>
      </w:r>
      <w:r w:rsidR="00575C12" w:rsidRPr="00C12877">
        <w:rPr>
          <w:rFonts w:ascii="Bookman Old Style" w:hAnsi="Bookman Old Style" w:cs="Arial"/>
        </w:rPr>
        <w:t>e</w:t>
      </w:r>
      <w:r w:rsidR="007D5B33" w:rsidRPr="00C12877">
        <w:rPr>
          <w:rFonts w:ascii="Bookman Old Style" w:hAnsi="Bookman Old Style" w:cs="Arial"/>
        </w:rPr>
        <w:t>n la</w:t>
      </w:r>
      <w:r w:rsidR="00575C12" w:rsidRPr="00C12877">
        <w:rPr>
          <w:rFonts w:ascii="Bookman Old Style" w:hAnsi="Bookman Old Style" w:cs="Arial"/>
        </w:rPr>
        <w:t xml:space="preserve"> comercialización del mercado mayorista de gas natural, buscando </w:t>
      </w:r>
      <w:r w:rsidR="00942723">
        <w:rPr>
          <w:rFonts w:ascii="Bookman Old Style" w:hAnsi="Bookman Old Style" w:cs="Arial"/>
        </w:rPr>
        <w:t xml:space="preserve">dar </w:t>
      </w:r>
      <w:r w:rsidR="00187B29" w:rsidRPr="00C12877">
        <w:rPr>
          <w:rFonts w:ascii="Bookman Old Style" w:hAnsi="Bookman Old Style" w:cs="Arial"/>
        </w:rPr>
        <w:t xml:space="preserve">mayor flexibilidad en las negociaciones directas del </w:t>
      </w:r>
      <w:r w:rsidR="00506017" w:rsidRPr="00C12877">
        <w:rPr>
          <w:rFonts w:ascii="Bookman Old Style" w:hAnsi="Bookman Old Style" w:cs="Arial"/>
        </w:rPr>
        <w:t>M</w:t>
      </w:r>
      <w:r w:rsidR="00187B29" w:rsidRPr="00C12877">
        <w:rPr>
          <w:rFonts w:ascii="Bookman Old Style" w:hAnsi="Bookman Old Style" w:cs="Arial"/>
        </w:rPr>
        <w:t xml:space="preserve">ercado </w:t>
      </w:r>
      <w:r w:rsidR="00506017" w:rsidRPr="00C12877">
        <w:rPr>
          <w:rFonts w:ascii="Bookman Old Style" w:hAnsi="Bookman Old Style" w:cs="Arial"/>
        </w:rPr>
        <w:t>Primario</w:t>
      </w:r>
      <w:r w:rsidR="00187B29" w:rsidRPr="00C12877">
        <w:rPr>
          <w:rFonts w:ascii="Bookman Old Style" w:hAnsi="Bookman Old Style" w:cs="Arial"/>
        </w:rPr>
        <w:t xml:space="preserve">, así como </w:t>
      </w:r>
      <w:r w:rsidR="00506017" w:rsidRPr="00C12877">
        <w:rPr>
          <w:rFonts w:ascii="Bookman Old Style" w:hAnsi="Bookman Old Style" w:cs="Arial"/>
        </w:rPr>
        <w:t xml:space="preserve">la publicación de </w:t>
      </w:r>
      <w:proofErr w:type="gramStart"/>
      <w:r w:rsidR="00506017" w:rsidRPr="00C12877">
        <w:rPr>
          <w:rFonts w:ascii="Bookman Old Style" w:hAnsi="Bookman Old Style" w:cs="Arial"/>
        </w:rPr>
        <w:t xml:space="preserve">mayor </w:t>
      </w:r>
      <w:r w:rsidR="00E4678F" w:rsidRPr="00C12877">
        <w:rPr>
          <w:rFonts w:ascii="Bookman Old Style" w:hAnsi="Bookman Old Style" w:cs="Arial"/>
        </w:rPr>
        <w:t>información</w:t>
      </w:r>
      <w:proofErr w:type="gramEnd"/>
      <w:r w:rsidR="00E4678F" w:rsidRPr="00C12877">
        <w:rPr>
          <w:rFonts w:ascii="Bookman Old Style" w:hAnsi="Bookman Old Style" w:cs="Arial"/>
        </w:rPr>
        <w:t xml:space="preserve"> de la oferta</w:t>
      </w:r>
      <w:r w:rsidR="007D5B33" w:rsidRPr="00C12877">
        <w:rPr>
          <w:rFonts w:ascii="Bookman Old Style" w:hAnsi="Bookman Old Style" w:cs="Arial"/>
        </w:rPr>
        <w:t>,</w:t>
      </w:r>
      <w:r w:rsidR="00E4678F" w:rsidRPr="00C12877">
        <w:rPr>
          <w:rFonts w:ascii="Bookman Old Style" w:hAnsi="Bookman Old Style" w:cs="Arial"/>
        </w:rPr>
        <w:t xml:space="preserve"> en forma oportuna y completa. Así</w:t>
      </w:r>
      <w:r w:rsidR="007D5B33" w:rsidRPr="00C12877">
        <w:rPr>
          <w:rFonts w:ascii="Bookman Old Style" w:hAnsi="Bookman Old Style" w:cs="Arial"/>
        </w:rPr>
        <w:t>,</w:t>
      </w:r>
      <w:r w:rsidR="00E4678F" w:rsidRPr="00C12877">
        <w:rPr>
          <w:rFonts w:ascii="Bookman Old Style" w:hAnsi="Bookman Old Style" w:cs="Arial"/>
        </w:rPr>
        <w:t xml:space="preserve"> se </w:t>
      </w:r>
      <w:r w:rsidR="00606107">
        <w:rPr>
          <w:rFonts w:ascii="Bookman Old Style" w:hAnsi="Bookman Old Style" w:cs="Arial"/>
        </w:rPr>
        <w:t>expidieron</w:t>
      </w:r>
      <w:r w:rsidR="00E4678F" w:rsidRPr="00C12877">
        <w:rPr>
          <w:rFonts w:ascii="Bookman Old Style" w:hAnsi="Bookman Old Style" w:cs="Arial"/>
        </w:rPr>
        <w:t xml:space="preserve"> las resoluciones CREG</w:t>
      </w:r>
      <w:r w:rsidR="00DC729E" w:rsidRPr="00C12877">
        <w:rPr>
          <w:rFonts w:ascii="Bookman Old Style" w:hAnsi="Bookman Old Style" w:cs="Arial"/>
        </w:rPr>
        <w:t xml:space="preserve"> </w:t>
      </w:r>
      <w:r w:rsidR="007F6FDF" w:rsidRPr="00C12877">
        <w:rPr>
          <w:rFonts w:ascii="Bookman Old Style" w:hAnsi="Bookman Old Style" w:cs="Arial"/>
        </w:rPr>
        <w:t>138 de 2020, 084 de 2021, 102 007 de 2022 y 102 004 de 2023</w:t>
      </w:r>
      <w:r w:rsidR="007D5B33" w:rsidRPr="00C12877">
        <w:rPr>
          <w:rFonts w:ascii="Bookman Old Style" w:hAnsi="Bookman Old Style" w:cs="Arial"/>
        </w:rPr>
        <w:t>. Por lo anterior</w:t>
      </w:r>
      <w:r w:rsidR="00D11177" w:rsidRPr="00C12877">
        <w:rPr>
          <w:rFonts w:ascii="Bookman Old Style" w:hAnsi="Bookman Old Style" w:cs="Arial"/>
        </w:rPr>
        <w:t xml:space="preserve"> y ante los resultados observados, </w:t>
      </w:r>
      <w:r w:rsidR="007F6FDF" w:rsidRPr="00C12877">
        <w:rPr>
          <w:rFonts w:ascii="Bookman Old Style" w:hAnsi="Bookman Old Style" w:cs="Arial"/>
        </w:rPr>
        <w:t xml:space="preserve">se considera </w:t>
      </w:r>
      <w:r w:rsidR="005100A5" w:rsidRPr="00C12877">
        <w:rPr>
          <w:rFonts w:ascii="Bookman Old Style" w:hAnsi="Bookman Old Style" w:cs="Arial"/>
        </w:rPr>
        <w:t>necesario</w:t>
      </w:r>
      <w:r w:rsidR="00D11177" w:rsidRPr="00C12877">
        <w:rPr>
          <w:rFonts w:ascii="Bookman Old Style" w:hAnsi="Bookman Old Style" w:cs="Arial"/>
        </w:rPr>
        <w:t xml:space="preserve"> </w:t>
      </w:r>
      <w:r w:rsidR="00675F4D" w:rsidRPr="00C12877">
        <w:rPr>
          <w:rFonts w:ascii="Bookman Old Style" w:hAnsi="Bookman Old Style" w:cs="Arial"/>
        </w:rPr>
        <w:lastRenderedPageBreak/>
        <w:t>incorporar en la Resolución CREG 186 de 2020 las medidas adoptadas en dichas resoluciones</w:t>
      </w:r>
      <w:r w:rsidR="00830430">
        <w:rPr>
          <w:rFonts w:ascii="Bookman Old Style" w:hAnsi="Bookman Old Style" w:cs="Arial"/>
        </w:rPr>
        <w:t xml:space="preserve">, sin embargo, </w:t>
      </w:r>
      <w:r w:rsidR="00302FD2">
        <w:rPr>
          <w:rFonts w:ascii="Bookman Old Style" w:hAnsi="Bookman Old Style" w:cs="Arial"/>
        </w:rPr>
        <w:t xml:space="preserve">no se identifica la razonabilidad de </w:t>
      </w:r>
      <w:r w:rsidR="00EF3AE0">
        <w:rPr>
          <w:rFonts w:ascii="Bookman Old Style" w:hAnsi="Bookman Old Style" w:cs="Arial"/>
        </w:rPr>
        <w:t>que se adoptadas por un tiempo determinado o para un fin específico, sino que por el contrario</w:t>
      </w:r>
      <w:r w:rsidR="00E43CA2">
        <w:rPr>
          <w:rFonts w:ascii="Bookman Old Style" w:hAnsi="Bookman Old Style" w:cs="Arial"/>
        </w:rPr>
        <w:t xml:space="preserve">, </w:t>
      </w:r>
      <w:r w:rsidR="00E52651">
        <w:rPr>
          <w:rFonts w:ascii="Bookman Old Style" w:hAnsi="Bookman Old Style" w:cs="Arial"/>
        </w:rPr>
        <w:t xml:space="preserve">que </w:t>
      </w:r>
      <w:r w:rsidR="00E43CA2">
        <w:rPr>
          <w:rFonts w:ascii="Bookman Old Style" w:hAnsi="Bookman Old Style" w:cs="Arial"/>
        </w:rPr>
        <w:t xml:space="preserve">estas tengan un carácter permanente dada la finalidad de </w:t>
      </w:r>
      <w:r w:rsidR="00070D42">
        <w:rPr>
          <w:rFonts w:ascii="Bookman Old Style" w:hAnsi="Bookman Old Style" w:cs="Arial"/>
        </w:rPr>
        <w:t>c</w:t>
      </w:r>
      <w:r w:rsidR="001A76F5" w:rsidRPr="001A76F5">
        <w:rPr>
          <w:rFonts w:ascii="Bookman Old Style" w:hAnsi="Bookman Old Style" w:cs="Arial"/>
        </w:rPr>
        <w:t xml:space="preserve">ontratar el suministro en firme de todo el gas </w:t>
      </w:r>
      <w:r w:rsidR="00070D42">
        <w:rPr>
          <w:rFonts w:ascii="Bookman Old Style" w:hAnsi="Bookman Old Style" w:cs="Arial"/>
        </w:rPr>
        <w:t xml:space="preserve">natural </w:t>
      </w:r>
      <w:r w:rsidR="001A76F5" w:rsidRPr="001A76F5">
        <w:rPr>
          <w:rFonts w:ascii="Bookman Old Style" w:hAnsi="Bookman Old Style" w:cs="Arial"/>
        </w:rPr>
        <w:t>potencialmente producible a la fecha</w:t>
      </w:r>
      <w:r w:rsidR="00070D42">
        <w:rPr>
          <w:rFonts w:ascii="Bookman Old Style" w:hAnsi="Bookman Old Style" w:cs="Arial"/>
        </w:rPr>
        <w:t xml:space="preserve"> de la expedición del presente acto administrativo, ya sea de</w:t>
      </w:r>
      <w:r w:rsidR="001A76F5" w:rsidRPr="001A76F5">
        <w:rPr>
          <w:rFonts w:ascii="Bookman Old Style" w:hAnsi="Bookman Old Style" w:cs="Arial"/>
        </w:rPr>
        <w:t xml:space="preserve"> corto, mediano y largo plazo</w:t>
      </w:r>
      <w:r w:rsidR="007F6FDF" w:rsidRPr="00C12877">
        <w:rPr>
          <w:rFonts w:ascii="Bookman Old Style" w:hAnsi="Bookman Old Style" w:cs="Arial"/>
        </w:rPr>
        <w:t xml:space="preserve">. </w:t>
      </w:r>
      <w:r w:rsidR="00E4678F" w:rsidRPr="00C12877">
        <w:rPr>
          <w:rFonts w:ascii="Bookman Old Style" w:hAnsi="Bookman Old Style" w:cs="Arial"/>
        </w:rPr>
        <w:t xml:space="preserve"> </w:t>
      </w:r>
      <w:r w:rsidR="00506017" w:rsidRPr="00C12877">
        <w:rPr>
          <w:rFonts w:ascii="Bookman Old Style" w:hAnsi="Bookman Old Style" w:cs="Arial"/>
        </w:rPr>
        <w:t xml:space="preserve"> </w:t>
      </w:r>
    </w:p>
    <w:p w14:paraId="7A45851A" w14:textId="0B6D99E9" w:rsidR="004C2C3D" w:rsidRPr="00C12877" w:rsidRDefault="00D07C8F" w:rsidP="00B851D2">
      <w:pPr>
        <w:spacing w:before="240"/>
        <w:ind w:left="0"/>
        <w:jc w:val="both"/>
        <w:rPr>
          <w:rFonts w:ascii="Bookman Old Style" w:hAnsi="Bookman Old Style"/>
        </w:rPr>
      </w:pPr>
      <w:r>
        <w:rPr>
          <w:rFonts w:ascii="Bookman Old Style" w:hAnsi="Bookman Old Style"/>
        </w:rPr>
        <w:t>Ahora, d</w:t>
      </w:r>
      <w:r w:rsidR="004C2C3D" w:rsidRPr="00C12877">
        <w:rPr>
          <w:rFonts w:ascii="Bookman Old Style" w:hAnsi="Bookman Old Style"/>
        </w:rPr>
        <w:t>urante la implementación de las negociaciones directas de</w:t>
      </w:r>
      <w:r w:rsidR="00A52778" w:rsidRPr="00C12877">
        <w:rPr>
          <w:rFonts w:ascii="Bookman Old Style" w:hAnsi="Bookman Old Style"/>
        </w:rPr>
        <w:t xml:space="preserve"> </w:t>
      </w:r>
      <w:r w:rsidR="004C2C3D" w:rsidRPr="00C12877">
        <w:rPr>
          <w:rFonts w:ascii="Bookman Old Style" w:hAnsi="Bookman Old Style"/>
        </w:rPr>
        <w:t>los vendedores del Mercado Primario en el año 2023</w:t>
      </w:r>
      <w:r w:rsidR="00A52778" w:rsidRPr="00C12877">
        <w:rPr>
          <w:rFonts w:ascii="Bookman Old Style" w:hAnsi="Bookman Old Style"/>
        </w:rPr>
        <w:t>,</w:t>
      </w:r>
      <w:r w:rsidR="004C2C3D" w:rsidRPr="00C12877">
        <w:rPr>
          <w:rFonts w:ascii="Bookman Old Style" w:hAnsi="Bookman Old Style"/>
        </w:rPr>
        <w:t xml:space="preserve"> se observaron resultados </w:t>
      </w:r>
      <w:r w:rsidR="00632111" w:rsidRPr="00C12877">
        <w:rPr>
          <w:rFonts w:ascii="Bookman Old Style" w:hAnsi="Bookman Old Style"/>
        </w:rPr>
        <w:t xml:space="preserve">de asignación de cantidades ofertadas, </w:t>
      </w:r>
      <w:r w:rsidR="004C2C3D" w:rsidRPr="00C12877">
        <w:rPr>
          <w:rFonts w:ascii="Bookman Old Style" w:hAnsi="Bookman Old Style"/>
        </w:rPr>
        <w:t xml:space="preserve">que </w:t>
      </w:r>
      <w:r w:rsidR="00632111" w:rsidRPr="00C12877">
        <w:rPr>
          <w:rFonts w:ascii="Bookman Old Style" w:hAnsi="Bookman Old Style"/>
        </w:rPr>
        <w:t xml:space="preserve">permiten </w:t>
      </w:r>
      <w:r w:rsidR="00A52778" w:rsidRPr="00C12877">
        <w:rPr>
          <w:rFonts w:ascii="Bookman Old Style" w:hAnsi="Bookman Old Style"/>
        </w:rPr>
        <w:t>evidencia</w:t>
      </w:r>
      <w:r w:rsidR="00632111" w:rsidRPr="00C12877">
        <w:rPr>
          <w:rFonts w:ascii="Bookman Old Style" w:hAnsi="Bookman Old Style"/>
        </w:rPr>
        <w:t>r</w:t>
      </w:r>
      <w:r w:rsidR="00A52778" w:rsidRPr="00C12877">
        <w:rPr>
          <w:rFonts w:ascii="Bookman Old Style" w:hAnsi="Bookman Old Style"/>
        </w:rPr>
        <w:t xml:space="preserve"> un</w:t>
      </w:r>
      <w:r w:rsidR="00F362E2" w:rsidRPr="00C12877">
        <w:rPr>
          <w:rFonts w:ascii="Bookman Old Style" w:hAnsi="Bookman Old Style"/>
        </w:rPr>
        <w:t xml:space="preserve"> riesgo </w:t>
      </w:r>
      <w:r w:rsidR="00A52778" w:rsidRPr="00C12877">
        <w:rPr>
          <w:rFonts w:ascii="Bookman Old Style" w:hAnsi="Bookman Old Style"/>
        </w:rPr>
        <w:t>en e</w:t>
      </w:r>
      <w:r w:rsidR="00F362E2" w:rsidRPr="00C12877">
        <w:rPr>
          <w:rFonts w:ascii="Bookman Old Style" w:hAnsi="Bookman Old Style"/>
        </w:rPr>
        <w:t xml:space="preserve">l acceso a </w:t>
      </w:r>
      <w:r w:rsidR="00CF54EF" w:rsidRPr="00C12877">
        <w:rPr>
          <w:rFonts w:ascii="Bookman Old Style" w:hAnsi="Bookman Old Style"/>
        </w:rPr>
        <w:t>los contratos</w:t>
      </w:r>
      <w:r w:rsidR="00F362E2" w:rsidRPr="00C12877">
        <w:rPr>
          <w:rFonts w:ascii="Bookman Old Style" w:hAnsi="Bookman Old Style"/>
        </w:rPr>
        <w:t xml:space="preserve"> </w:t>
      </w:r>
      <w:r w:rsidR="00CF54EF" w:rsidRPr="00C12877">
        <w:rPr>
          <w:rFonts w:ascii="Bookman Old Style" w:hAnsi="Bookman Old Style"/>
        </w:rPr>
        <w:t>de suministro en</w:t>
      </w:r>
      <w:r w:rsidR="00F362E2" w:rsidRPr="00C12877">
        <w:rPr>
          <w:rFonts w:ascii="Bookman Old Style" w:hAnsi="Bookman Old Style"/>
        </w:rPr>
        <w:t xml:space="preserve"> firme</w:t>
      </w:r>
      <w:r w:rsidR="00A52778" w:rsidRPr="00C12877">
        <w:rPr>
          <w:rFonts w:ascii="Bookman Old Style" w:hAnsi="Bookman Old Style"/>
        </w:rPr>
        <w:t>,</w:t>
      </w:r>
      <w:r w:rsidR="00F362E2" w:rsidRPr="00C12877">
        <w:rPr>
          <w:rFonts w:ascii="Bookman Old Style" w:hAnsi="Bookman Old Style"/>
        </w:rPr>
        <w:t xml:space="preserve"> </w:t>
      </w:r>
      <w:r w:rsidR="00A52778" w:rsidRPr="00C12877">
        <w:rPr>
          <w:rFonts w:ascii="Bookman Old Style" w:hAnsi="Bookman Old Style"/>
        </w:rPr>
        <w:t>para</w:t>
      </w:r>
      <w:r w:rsidR="00F362E2" w:rsidRPr="00C12877">
        <w:rPr>
          <w:rFonts w:ascii="Bookman Old Style" w:hAnsi="Bookman Old Style"/>
        </w:rPr>
        <w:t xml:space="preserve"> la</w:t>
      </w:r>
      <w:r w:rsidR="00696AED" w:rsidRPr="00C12877">
        <w:rPr>
          <w:rFonts w:ascii="Bookman Old Style" w:hAnsi="Bookman Old Style"/>
        </w:rPr>
        <w:t>s</w:t>
      </w:r>
      <w:r w:rsidR="00F362E2" w:rsidRPr="00C12877">
        <w:rPr>
          <w:rFonts w:ascii="Bookman Old Style" w:hAnsi="Bookman Old Style"/>
        </w:rPr>
        <w:t xml:space="preserve"> </w:t>
      </w:r>
      <w:r w:rsidR="00696AED" w:rsidRPr="00C12877">
        <w:rPr>
          <w:rFonts w:ascii="Bookman Old Style" w:hAnsi="Bookman Old Style"/>
        </w:rPr>
        <w:t>cantidades totales requeridas por los compradores del M</w:t>
      </w:r>
      <w:r w:rsidR="0045765B" w:rsidRPr="00C12877">
        <w:rPr>
          <w:rFonts w:ascii="Bookman Old Style" w:hAnsi="Bookman Old Style"/>
        </w:rPr>
        <w:t>e</w:t>
      </w:r>
      <w:r w:rsidR="00696AED" w:rsidRPr="00C12877">
        <w:rPr>
          <w:rFonts w:ascii="Bookman Old Style" w:hAnsi="Bookman Old Style"/>
        </w:rPr>
        <w:t>rcado Primario</w:t>
      </w:r>
      <w:r w:rsidR="0045765B" w:rsidRPr="00C12877">
        <w:rPr>
          <w:rFonts w:ascii="Bookman Old Style" w:hAnsi="Bookman Old Style"/>
        </w:rPr>
        <w:t xml:space="preserve"> </w:t>
      </w:r>
      <w:r w:rsidR="00CF54EF" w:rsidRPr="00C12877">
        <w:rPr>
          <w:rFonts w:ascii="Bookman Old Style" w:hAnsi="Bookman Old Style"/>
        </w:rPr>
        <w:t xml:space="preserve">que atienden o son parte de los usuarios </w:t>
      </w:r>
      <w:r w:rsidR="0042509F" w:rsidRPr="00C12877">
        <w:rPr>
          <w:rFonts w:ascii="Bookman Old Style" w:hAnsi="Bookman Old Style"/>
        </w:rPr>
        <w:t xml:space="preserve">incluidos en la definición de </w:t>
      </w:r>
      <w:r w:rsidR="00CF54EF" w:rsidRPr="00C12877">
        <w:rPr>
          <w:rFonts w:ascii="Bookman Old Style" w:hAnsi="Bookman Old Style"/>
        </w:rPr>
        <w:t>la Demanda Esencial</w:t>
      </w:r>
      <w:r w:rsidR="002D36AF">
        <w:rPr>
          <w:rFonts w:ascii="Bookman Old Style" w:hAnsi="Bookman Old Style"/>
        </w:rPr>
        <w:t xml:space="preserve">, desarrollada </w:t>
      </w:r>
      <w:r w:rsidR="00CF54EF" w:rsidRPr="00C12877">
        <w:rPr>
          <w:rFonts w:ascii="Bookman Old Style" w:hAnsi="Bookman Old Style"/>
        </w:rPr>
        <w:t>por el Ministerio de Minas y Energía.</w:t>
      </w:r>
    </w:p>
    <w:p w14:paraId="4AF45101" w14:textId="1608477A" w:rsidR="00906164" w:rsidRPr="00C12877" w:rsidRDefault="00495812" w:rsidP="00B851D2">
      <w:pPr>
        <w:spacing w:before="240"/>
        <w:ind w:left="0"/>
        <w:jc w:val="both"/>
        <w:rPr>
          <w:rFonts w:ascii="Bookman Old Style" w:hAnsi="Bookman Old Style"/>
        </w:rPr>
      </w:pPr>
      <w:r w:rsidRPr="00C12877">
        <w:rPr>
          <w:rFonts w:ascii="Bookman Old Style" w:hAnsi="Bookman Old Style"/>
        </w:rPr>
        <w:t xml:space="preserve">Se considera necesario, para </w:t>
      </w:r>
      <w:r w:rsidR="00B27489" w:rsidRPr="00C12877">
        <w:rPr>
          <w:rFonts w:ascii="Bookman Old Style" w:hAnsi="Bookman Old Style"/>
        </w:rPr>
        <w:t xml:space="preserve">alcanzar mayor efectividad de </w:t>
      </w:r>
      <w:r w:rsidR="002D36AF">
        <w:rPr>
          <w:rFonts w:ascii="Bookman Old Style" w:hAnsi="Bookman Old Style"/>
        </w:rPr>
        <w:t xml:space="preserve">las </w:t>
      </w:r>
      <w:r w:rsidR="00B27489" w:rsidRPr="00C12877">
        <w:rPr>
          <w:rFonts w:ascii="Bookman Old Style" w:hAnsi="Bookman Old Style"/>
        </w:rPr>
        <w:t xml:space="preserve">medidas de flexibilización en las negociaciones del Mercado Primario, </w:t>
      </w:r>
      <w:r w:rsidR="00C557CF" w:rsidRPr="00C12877">
        <w:rPr>
          <w:rFonts w:ascii="Bookman Old Style" w:hAnsi="Bookman Old Style"/>
        </w:rPr>
        <w:t>aumentar el período de duración an</w:t>
      </w:r>
      <w:r w:rsidR="009E42E5" w:rsidRPr="00C12877">
        <w:rPr>
          <w:rFonts w:ascii="Bookman Old Style" w:hAnsi="Bookman Old Style"/>
        </w:rPr>
        <w:t>u</w:t>
      </w:r>
      <w:r w:rsidR="00C557CF" w:rsidRPr="00C12877">
        <w:rPr>
          <w:rFonts w:ascii="Bookman Old Style" w:hAnsi="Bookman Old Style"/>
        </w:rPr>
        <w:t>al en que se desarrollan tales negociaciones y retirar aquellos mecanismos de comercialización actualmente establecidos</w:t>
      </w:r>
      <w:r w:rsidR="008D627C" w:rsidRPr="00C12877">
        <w:rPr>
          <w:rFonts w:ascii="Bookman Old Style" w:hAnsi="Bookman Old Style"/>
        </w:rPr>
        <w:t>,</w:t>
      </w:r>
      <w:r w:rsidR="00C557CF" w:rsidRPr="00C12877">
        <w:rPr>
          <w:rFonts w:ascii="Bookman Old Style" w:hAnsi="Bookman Old Style"/>
        </w:rPr>
        <w:t xml:space="preserve"> </w:t>
      </w:r>
      <w:r w:rsidR="0030759E" w:rsidRPr="00C12877">
        <w:rPr>
          <w:rFonts w:ascii="Bookman Old Style" w:hAnsi="Bookman Old Style"/>
        </w:rPr>
        <w:t>en particular las subastas anuales de los contratos d</w:t>
      </w:r>
      <w:r w:rsidR="00B1791D">
        <w:rPr>
          <w:rFonts w:ascii="Bookman Old Style" w:hAnsi="Bookman Old Style"/>
        </w:rPr>
        <w:t>e</w:t>
      </w:r>
      <w:r w:rsidR="0030759E" w:rsidRPr="00C12877">
        <w:rPr>
          <w:rFonts w:ascii="Bookman Old Style" w:hAnsi="Bookman Old Style"/>
        </w:rPr>
        <w:t xml:space="preserve"> las modalidades C1 y C2</w:t>
      </w:r>
      <w:r w:rsidR="00B1791D">
        <w:rPr>
          <w:rFonts w:ascii="Bookman Old Style" w:hAnsi="Bookman Old Style"/>
        </w:rPr>
        <w:t xml:space="preserve"> de duración anual</w:t>
      </w:r>
      <w:r w:rsidR="0030759E" w:rsidRPr="00C12877">
        <w:rPr>
          <w:rFonts w:ascii="Bookman Old Style" w:hAnsi="Bookman Old Style"/>
        </w:rPr>
        <w:t xml:space="preserve">, </w:t>
      </w:r>
      <w:r w:rsidR="00C557CF" w:rsidRPr="00C12877">
        <w:rPr>
          <w:rFonts w:ascii="Bookman Old Style" w:hAnsi="Bookman Old Style"/>
        </w:rPr>
        <w:t>que no han sido efectivos y que pueden ser sustituidos de manera</w:t>
      </w:r>
      <w:r w:rsidR="0030759E" w:rsidRPr="00C12877">
        <w:rPr>
          <w:rFonts w:ascii="Bookman Old Style" w:hAnsi="Bookman Old Style"/>
        </w:rPr>
        <w:t xml:space="preserve"> más efectiva,</w:t>
      </w:r>
      <w:r w:rsidR="00C557CF" w:rsidRPr="00C12877">
        <w:rPr>
          <w:rFonts w:ascii="Bookman Old Style" w:hAnsi="Bookman Old Style"/>
        </w:rPr>
        <w:t xml:space="preserve"> </w:t>
      </w:r>
      <w:r w:rsidR="008D627C" w:rsidRPr="00C12877">
        <w:rPr>
          <w:rFonts w:ascii="Bookman Old Style" w:hAnsi="Bookman Old Style"/>
        </w:rPr>
        <w:t xml:space="preserve">a través de las negociaciones directas del Mercado Primario. </w:t>
      </w:r>
      <w:r w:rsidR="00C557CF" w:rsidRPr="00C12877">
        <w:rPr>
          <w:rFonts w:ascii="Bookman Old Style" w:hAnsi="Bookman Old Style"/>
        </w:rPr>
        <w:t xml:space="preserve"> </w:t>
      </w:r>
    </w:p>
    <w:p w14:paraId="7D5D6C79" w14:textId="541C01E5" w:rsidR="00495812" w:rsidRPr="00C12877" w:rsidRDefault="00A120BD" w:rsidP="00B851D2">
      <w:pPr>
        <w:spacing w:before="240"/>
        <w:ind w:left="0"/>
        <w:jc w:val="both"/>
        <w:rPr>
          <w:rFonts w:ascii="Bookman Old Style" w:hAnsi="Bookman Old Style"/>
        </w:rPr>
      </w:pPr>
      <w:r w:rsidRPr="00C12877">
        <w:rPr>
          <w:rFonts w:ascii="Bookman Old Style" w:hAnsi="Bookman Old Style"/>
        </w:rPr>
        <w:t>D</w:t>
      </w:r>
      <w:r w:rsidR="003F4EAD" w:rsidRPr="00C12877">
        <w:rPr>
          <w:rFonts w:ascii="Bookman Old Style" w:hAnsi="Bookman Old Style"/>
        </w:rPr>
        <w:t xml:space="preserve">entro de las medidas </w:t>
      </w:r>
      <w:r w:rsidRPr="00C12877">
        <w:rPr>
          <w:rFonts w:ascii="Bookman Old Style" w:hAnsi="Bookman Old Style"/>
        </w:rPr>
        <w:t xml:space="preserve">a adoptar </w:t>
      </w:r>
      <w:r w:rsidR="003F4EAD" w:rsidRPr="00C12877">
        <w:rPr>
          <w:rFonts w:ascii="Bookman Old Style" w:hAnsi="Bookman Old Style"/>
        </w:rPr>
        <w:t>para impedir abusos de posición dominante,</w:t>
      </w:r>
      <w:r w:rsidR="00965180" w:rsidRPr="00C12877">
        <w:rPr>
          <w:rFonts w:ascii="Bookman Old Style" w:hAnsi="Bookman Old Style"/>
        </w:rPr>
        <w:t xml:space="preserve"> </w:t>
      </w:r>
      <w:r w:rsidRPr="00C12877">
        <w:rPr>
          <w:rFonts w:ascii="Bookman Old Style" w:hAnsi="Bookman Old Style"/>
        </w:rPr>
        <w:t xml:space="preserve">se considera necesario </w:t>
      </w:r>
      <w:r w:rsidR="00906164" w:rsidRPr="00C12877">
        <w:rPr>
          <w:rFonts w:ascii="Bookman Old Style" w:hAnsi="Bookman Old Style"/>
        </w:rPr>
        <w:t xml:space="preserve">precisar las condiciones de aplicación de las excepciones establecidas en la </w:t>
      </w:r>
      <w:r w:rsidR="007C4934" w:rsidRPr="00C12877">
        <w:rPr>
          <w:rFonts w:ascii="Bookman Old Style" w:hAnsi="Bookman Old Style"/>
        </w:rPr>
        <w:t>contratación del suministro de gas natural</w:t>
      </w:r>
      <w:r w:rsidR="006F128D" w:rsidRPr="00C12877">
        <w:rPr>
          <w:rFonts w:ascii="Bookman Old Style" w:hAnsi="Bookman Old Style"/>
        </w:rPr>
        <w:t>,</w:t>
      </w:r>
      <w:r w:rsidR="002739B9" w:rsidRPr="00C12877">
        <w:rPr>
          <w:rFonts w:ascii="Bookman Old Style" w:hAnsi="Bookman Old Style"/>
        </w:rPr>
        <w:t xml:space="preserve"> para aquell</w:t>
      </w:r>
      <w:r w:rsidR="009362A0" w:rsidRPr="00C12877">
        <w:rPr>
          <w:rFonts w:ascii="Bookman Old Style" w:hAnsi="Bookman Old Style"/>
        </w:rPr>
        <w:t>a</w:t>
      </w:r>
      <w:r w:rsidR="002739B9" w:rsidRPr="00C12877">
        <w:rPr>
          <w:rFonts w:ascii="Bookman Old Style" w:hAnsi="Bookman Old Style"/>
        </w:rPr>
        <w:t xml:space="preserve">s </w:t>
      </w:r>
      <w:r w:rsidR="009362A0" w:rsidRPr="00C12877">
        <w:rPr>
          <w:rFonts w:ascii="Bookman Old Style" w:hAnsi="Bookman Old Style"/>
        </w:rPr>
        <w:t>fuentes de suministro</w:t>
      </w:r>
      <w:r w:rsidR="00382645" w:rsidRPr="00C12877">
        <w:rPr>
          <w:rFonts w:ascii="Bookman Old Style" w:hAnsi="Bookman Old Style"/>
        </w:rPr>
        <w:t xml:space="preserve"> </w:t>
      </w:r>
      <w:r w:rsidR="00BE1796" w:rsidRPr="00C12877">
        <w:rPr>
          <w:rFonts w:ascii="Bookman Old Style" w:hAnsi="Bookman Old Style"/>
        </w:rPr>
        <w:t xml:space="preserve">que </w:t>
      </w:r>
      <w:r w:rsidR="00612AB7" w:rsidRPr="00C12877">
        <w:rPr>
          <w:rFonts w:ascii="Bookman Old Style" w:hAnsi="Bookman Old Style"/>
        </w:rPr>
        <w:t xml:space="preserve">se encuentran </w:t>
      </w:r>
      <w:r w:rsidR="009362A0" w:rsidRPr="00C12877">
        <w:rPr>
          <w:rFonts w:ascii="Bookman Old Style" w:hAnsi="Bookman Old Style"/>
        </w:rPr>
        <w:t>e</w:t>
      </w:r>
      <w:r w:rsidR="00612AB7" w:rsidRPr="00C12877">
        <w:rPr>
          <w:rFonts w:ascii="Bookman Old Style" w:hAnsi="Bookman Old Style"/>
        </w:rPr>
        <w:t>n</w:t>
      </w:r>
      <w:r w:rsidR="009362A0" w:rsidRPr="00C12877">
        <w:rPr>
          <w:rFonts w:ascii="Bookman Old Style" w:hAnsi="Bookman Old Style"/>
        </w:rPr>
        <w:t xml:space="preserve"> la realización de </w:t>
      </w:r>
      <w:r w:rsidR="00BE1796" w:rsidRPr="00C12877">
        <w:rPr>
          <w:rFonts w:ascii="Bookman Old Style" w:hAnsi="Bookman Old Style"/>
        </w:rPr>
        <w:t xml:space="preserve">las </w:t>
      </w:r>
      <w:r w:rsidR="009362A0" w:rsidRPr="00C12877">
        <w:rPr>
          <w:rFonts w:ascii="Bookman Old Style" w:hAnsi="Bookman Old Style"/>
        </w:rPr>
        <w:t>pruebas extensas</w:t>
      </w:r>
      <w:r w:rsidR="00CC0545" w:rsidRPr="00C12877">
        <w:rPr>
          <w:rFonts w:ascii="Bookman Old Style" w:hAnsi="Bookman Old Style"/>
        </w:rPr>
        <w:t xml:space="preserve">, </w:t>
      </w:r>
      <w:r w:rsidR="00BE1796" w:rsidRPr="00C12877">
        <w:rPr>
          <w:rFonts w:ascii="Bookman Old Style" w:hAnsi="Bookman Old Style"/>
        </w:rPr>
        <w:t xml:space="preserve">en particular </w:t>
      </w:r>
      <w:r w:rsidR="00CC0545" w:rsidRPr="00C12877">
        <w:rPr>
          <w:rFonts w:ascii="Bookman Old Style" w:hAnsi="Bookman Old Style"/>
        </w:rPr>
        <w:t xml:space="preserve">cuando se trata de la </w:t>
      </w:r>
      <w:r w:rsidR="00BE1796" w:rsidRPr="00C12877">
        <w:rPr>
          <w:rFonts w:ascii="Bookman Old Style" w:hAnsi="Bookman Old Style"/>
        </w:rPr>
        <w:t xml:space="preserve">ejecución </w:t>
      </w:r>
      <w:r w:rsidR="00612AB7" w:rsidRPr="00C12877">
        <w:rPr>
          <w:rFonts w:ascii="Bookman Old Style" w:hAnsi="Bookman Old Style"/>
        </w:rPr>
        <w:t xml:space="preserve">durante dichas pruebas, </w:t>
      </w:r>
      <w:r w:rsidR="00BE1796" w:rsidRPr="00C12877">
        <w:rPr>
          <w:rFonts w:ascii="Bookman Old Style" w:hAnsi="Bookman Old Style"/>
        </w:rPr>
        <w:t>de co</w:t>
      </w:r>
      <w:r w:rsidR="00CC0545" w:rsidRPr="00C12877">
        <w:rPr>
          <w:rFonts w:ascii="Bookman Old Style" w:hAnsi="Bookman Old Style"/>
        </w:rPr>
        <w:t>ntratos de suministro de tipo firme o que garantizan firmeza.</w:t>
      </w:r>
      <w:r w:rsidR="007C4934" w:rsidRPr="00C12877">
        <w:rPr>
          <w:rFonts w:ascii="Bookman Old Style" w:hAnsi="Bookman Old Style"/>
        </w:rPr>
        <w:t xml:space="preserve"> </w:t>
      </w:r>
      <w:r w:rsidR="00906164" w:rsidRPr="00C12877">
        <w:rPr>
          <w:rFonts w:ascii="Bookman Old Style" w:hAnsi="Bookman Old Style"/>
        </w:rPr>
        <w:t xml:space="preserve">  </w:t>
      </w:r>
      <w:r w:rsidR="00C557CF" w:rsidRPr="00C12877">
        <w:rPr>
          <w:rFonts w:ascii="Bookman Old Style" w:hAnsi="Bookman Old Style"/>
        </w:rPr>
        <w:t xml:space="preserve"> </w:t>
      </w:r>
    </w:p>
    <w:p w14:paraId="185F79D7" w14:textId="5D97984A" w:rsidR="006F128D" w:rsidRDefault="006F128D" w:rsidP="00B851D2">
      <w:pPr>
        <w:spacing w:before="240"/>
        <w:ind w:left="0"/>
        <w:jc w:val="both"/>
        <w:rPr>
          <w:rFonts w:ascii="Bookman Old Style" w:hAnsi="Bookman Old Style"/>
        </w:rPr>
      </w:pPr>
      <w:r w:rsidRPr="00C12877">
        <w:rPr>
          <w:rFonts w:ascii="Bookman Old Style" w:hAnsi="Bookman Old Style"/>
        </w:rPr>
        <w:t xml:space="preserve">Para lograr </w:t>
      </w:r>
      <w:r w:rsidR="0079644E" w:rsidRPr="00C12877">
        <w:rPr>
          <w:rFonts w:ascii="Bookman Old Style" w:hAnsi="Bookman Old Style"/>
        </w:rPr>
        <w:t>mayor efectividad en el funcionamiento del Mercado Secundario a partir de las reglas vigentes</w:t>
      </w:r>
      <w:r w:rsidR="009D3BF6" w:rsidRPr="00C12877">
        <w:rPr>
          <w:rFonts w:ascii="Bookman Old Style" w:hAnsi="Bookman Old Style"/>
        </w:rPr>
        <w:t xml:space="preserve"> de publicación</w:t>
      </w:r>
      <w:r w:rsidR="00542910">
        <w:rPr>
          <w:rFonts w:ascii="Bookman Old Style" w:hAnsi="Bookman Old Style"/>
        </w:rPr>
        <w:t xml:space="preserve"> de información</w:t>
      </w:r>
      <w:r w:rsidR="009D3BF6" w:rsidRPr="00C12877">
        <w:rPr>
          <w:rFonts w:ascii="Bookman Old Style" w:hAnsi="Bookman Old Style"/>
        </w:rPr>
        <w:t xml:space="preserve"> </w:t>
      </w:r>
      <w:r w:rsidR="00E23675" w:rsidRPr="00C12877">
        <w:rPr>
          <w:rFonts w:ascii="Bookman Old Style" w:hAnsi="Bookman Old Style"/>
        </w:rPr>
        <w:t xml:space="preserve">por parte del gestor del mercado, </w:t>
      </w:r>
      <w:r w:rsidR="00A57F23" w:rsidRPr="00C12877">
        <w:rPr>
          <w:rFonts w:ascii="Bookman Old Style" w:hAnsi="Bookman Old Style"/>
        </w:rPr>
        <w:t>para la</w:t>
      </w:r>
      <w:r w:rsidR="009D3BF6" w:rsidRPr="00C12877">
        <w:rPr>
          <w:rFonts w:ascii="Bookman Old Style" w:hAnsi="Bookman Old Style"/>
        </w:rPr>
        <w:t xml:space="preserve"> </w:t>
      </w:r>
      <w:r w:rsidR="00E23675" w:rsidRPr="00C12877">
        <w:rPr>
          <w:rFonts w:ascii="Bookman Old Style" w:hAnsi="Bookman Old Style"/>
        </w:rPr>
        <w:t xml:space="preserve">entrega </w:t>
      </w:r>
      <w:r w:rsidR="00A57F23" w:rsidRPr="00C12877">
        <w:rPr>
          <w:rFonts w:ascii="Bookman Old Style" w:hAnsi="Bookman Old Style"/>
        </w:rPr>
        <w:t xml:space="preserve">oportuna </w:t>
      </w:r>
      <w:r w:rsidR="00E23675" w:rsidRPr="00C12877">
        <w:rPr>
          <w:rFonts w:ascii="Bookman Old Style" w:hAnsi="Bookman Old Style"/>
        </w:rPr>
        <w:t xml:space="preserve">de la </w:t>
      </w:r>
      <w:r w:rsidR="009D3BF6" w:rsidRPr="00C12877">
        <w:rPr>
          <w:rFonts w:ascii="Bookman Old Style" w:hAnsi="Bookman Old Style"/>
        </w:rPr>
        <w:t xml:space="preserve">información </w:t>
      </w:r>
      <w:r w:rsidR="00E23675" w:rsidRPr="00C12877">
        <w:rPr>
          <w:rFonts w:ascii="Bookman Old Style" w:hAnsi="Bookman Old Style"/>
        </w:rPr>
        <w:t>requerida a</w:t>
      </w:r>
      <w:r w:rsidR="009D3BF6" w:rsidRPr="00C12877">
        <w:rPr>
          <w:rFonts w:ascii="Bookman Old Style" w:hAnsi="Bookman Old Style"/>
        </w:rPr>
        <w:t xml:space="preserve"> los vende</w:t>
      </w:r>
      <w:r w:rsidR="00E23675" w:rsidRPr="00C12877">
        <w:rPr>
          <w:rFonts w:ascii="Bookman Old Style" w:hAnsi="Bookman Old Style"/>
        </w:rPr>
        <w:t>d</w:t>
      </w:r>
      <w:r w:rsidR="009D3BF6" w:rsidRPr="00C12877">
        <w:rPr>
          <w:rFonts w:ascii="Bookman Old Style" w:hAnsi="Bookman Old Style"/>
        </w:rPr>
        <w:t xml:space="preserve">ores y </w:t>
      </w:r>
      <w:r w:rsidR="00E23675" w:rsidRPr="00C12877">
        <w:rPr>
          <w:rFonts w:ascii="Bookman Old Style" w:hAnsi="Bookman Old Style"/>
        </w:rPr>
        <w:t>a</w:t>
      </w:r>
      <w:r w:rsidR="009D3BF6" w:rsidRPr="00C12877">
        <w:rPr>
          <w:rFonts w:ascii="Bookman Old Style" w:hAnsi="Bookman Old Style"/>
        </w:rPr>
        <w:t xml:space="preserve"> los compradores</w:t>
      </w:r>
      <w:r w:rsidR="0079644E" w:rsidRPr="00C12877">
        <w:rPr>
          <w:rFonts w:ascii="Bookman Old Style" w:hAnsi="Bookman Old Style"/>
        </w:rPr>
        <w:t xml:space="preserve">, se </w:t>
      </w:r>
      <w:r w:rsidR="00A57F23" w:rsidRPr="00C12877">
        <w:rPr>
          <w:rFonts w:ascii="Bookman Old Style" w:hAnsi="Bookman Old Style"/>
        </w:rPr>
        <w:t xml:space="preserve">hace necesario especificar </w:t>
      </w:r>
      <w:r w:rsidR="009D3BF6" w:rsidRPr="00C12877">
        <w:rPr>
          <w:rFonts w:ascii="Bookman Old Style" w:hAnsi="Bookman Old Style"/>
        </w:rPr>
        <w:t>la</w:t>
      </w:r>
      <w:r w:rsidR="00A57F23" w:rsidRPr="00C12877">
        <w:rPr>
          <w:rFonts w:ascii="Bookman Old Style" w:hAnsi="Bookman Old Style"/>
        </w:rPr>
        <w:t>s</w:t>
      </w:r>
      <w:r w:rsidR="009D3BF6" w:rsidRPr="00C12877">
        <w:rPr>
          <w:rFonts w:ascii="Bookman Old Style" w:hAnsi="Bookman Old Style"/>
        </w:rPr>
        <w:t xml:space="preserve"> consecuencia</w:t>
      </w:r>
      <w:r w:rsidR="00A57F23" w:rsidRPr="00C12877">
        <w:rPr>
          <w:rFonts w:ascii="Bookman Old Style" w:hAnsi="Bookman Old Style"/>
        </w:rPr>
        <w:t>s</w:t>
      </w:r>
      <w:r w:rsidR="009D3BF6" w:rsidRPr="00C12877">
        <w:rPr>
          <w:rFonts w:ascii="Bookman Old Style" w:hAnsi="Bookman Old Style"/>
        </w:rPr>
        <w:t xml:space="preserve"> de no </w:t>
      </w:r>
      <w:r w:rsidR="009E79A2" w:rsidRPr="009E79A2">
        <w:rPr>
          <w:rFonts w:ascii="Bookman Old Style" w:hAnsi="Bookman Old Style"/>
        </w:rPr>
        <w:t>cumplir con la entrega de dicha información al gestor del mercado, previo a la negociación y registro de los contratos</w:t>
      </w:r>
      <w:r w:rsidR="003E2642" w:rsidRPr="00C12877">
        <w:rPr>
          <w:rFonts w:ascii="Bookman Old Style" w:hAnsi="Bookman Old Style"/>
        </w:rPr>
        <w:t>.</w:t>
      </w:r>
      <w:r w:rsidR="0079644E" w:rsidRPr="00C12877">
        <w:rPr>
          <w:rFonts w:ascii="Bookman Old Style" w:hAnsi="Bookman Old Style"/>
        </w:rPr>
        <w:t xml:space="preserve">  </w:t>
      </w:r>
    </w:p>
    <w:p w14:paraId="514BD73A" w14:textId="77777777" w:rsidR="00245A3D" w:rsidRDefault="00245A3D" w:rsidP="009542A8">
      <w:pPr>
        <w:ind w:left="0"/>
        <w:jc w:val="both"/>
        <w:rPr>
          <w:rFonts w:ascii="Bookman Old Style" w:hAnsi="Bookman Old Style"/>
        </w:rPr>
      </w:pPr>
    </w:p>
    <w:p w14:paraId="02C0591D" w14:textId="301A9628" w:rsidR="0050360F" w:rsidRDefault="00BE5D3E" w:rsidP="0050360F">
      <w:pPr>
        <w:ind w:left="0"/>
        <w:jc w:val="both"/>
        <w:rPr>
          <w:rFonts w:ascii="Bookman Old Style" w:hAnsi="Bookman Old Style"/>
        </w:rPr>
      </w:pPr>
      <w:r>
        <w:rPr>
          <w:rFonts w:ascii="Bookman Old Style" w:hAnsi="Bookman Old Style"/>
        </w:rPr>
        <w:t>De acuerdo con lo anterior, la</w:t>
      </w:r>
      <w:r w:rsidR="003C46FB">
        <w:rPr>
          <w:rFonts w:ascii="Bookman Old Style" w:hAnsi="Bookman Old Style"/>
        </w:rPr>
        <w:t xml:space="preserve">s disposiciones de </w:t>
      </w:r>
      <w:r>
        <w:rPr>
          <w:rFonts w:ascii="Bookman Old Style" w:hAnsi="Bookman Old Style"/>
        </w:rPr>
        <w:t xml:space="preserve">la presente propuesta regulatoria </w:t>
      </w:r>
      <w:r w:rsidR="00E8210B">
        <w:rPr>
          <w:rFonts w:ascii="Bookman Old Style" w:hAnsi="Bookman Old Style"/>
        </w:rPr>
        <w:t xml:space="preserve">que modifica la Resolución CREG 186 de 2020 </w:t>
      </w:r>
      <w:r>
        <w:rPr>
          <w:rFonts w:ascii="Bookman Old Style" w:hAnsi="Bookman Old Style"/>
        </w:rPr>
        <w:t>incorpora</w:t>
      </w:r>
      <w:r w:rsidR="006C447E">
        <w:rPr>
          <w:rFonts w:ascii="Bookman Old Style" w:hAnsi="Bookman Old Style"/>
        </w:rPr>
        <w:t>n</w:t>
      </w:r>
      <w:r>
        <w:rPr>
          <w:rFonts w:ascii="Bookman Old Style" w:hAnsi="Bookman Old Style"/>
        </w:rPr>
        <w:t xml:space="preserve"> </w:t>
      </w:r>
      <w:r w:rsidR="00062717">
        <w:rPr>
          <w:rFonts w:ascii="Bookman Old Style" w:hAnsi="Bookman Old Style"/>
        </w:rPr>
        <w:t>medidas regulatorias de carácter permanen</w:t>
      </w:r>
      <w:r w:rsidR="002816D2">
        <w:rPr>
          <w:rFonts w:ascii="Bookman Old Style" w:hAnsi="Bookman Old Style"/>
        </w:rPr>
        <w:t>te</w:t>
      </w:r>
      <w:r w:rsidR="00062717">
        <w:rPr>
          <w:rFonts w:ascii="Bookman Old Style" w:hAnsi="Bookman Old Style"/>
        </w:rPr>
        <w:t xml:space="preserve"> con el fin de: </w:t>
      </w:r>
      <w:r w:rsidR="0050360F">
        <w:rPr>
          <w:rFonts w:ascii="Bookman Old Style" w:hAnsi="Bookman Old Style"/>
        </w:rPr>
        <w:t>i) D</w:t>
      </w:r>
      <w:r w:rsidR="0050360F" w:rsidRPr="0050360F">
        <w:rPr>
          <w:rFonts w:ascii="Bookman Old Style" w:hAnsi="Bookman Old Style"/>
        </w:rPr>
        <w:t>ar mayor flexibilidad para negociaciones del Mercado Primario</w:t>
      </w:r>
      <w:r w:rsidR="005E5E90">
        <w:rPr>
          <w:rFonts w:ascii="Bookman Old Style" w:hAnsi="Bookman Old Style"/>
        </w:rPr>
        <w:t xml:space="preserve">; </w:t>
      </w:r>
      <w:proofErr w:type="spellStart"/>
      <w:r w:rsidR="005E5E90">
        <w:rPr>
          <w:rFonts w:ascii="Bookman Old Style" w:hAnsi="Bookman Old Style"/>
        </w:rPr>
        <w:t>ii</w:t>
      </w:r>
      <w:proofErr w:type="spellEnd"/>
      <w:r w:rsidR="005E5E90">
        <w:rPr>
          <w:rFonts w:ascii="Bookman Old Style" w:hAnsi="Bookman Old Style"/>
        </w:rPr>
        <w:t xml:space="preserve">) </w:t>
      </w:r>
      <w:r w:rsidR="0050360F" w:rsidRPr="0050360F">
        <w:rPr>
          <w:rFonts w:ascii="Bookman Old Style" w:hAnsi="Bookman Old Style"/>
        </w:rPr>
        <w:t>Dar mayores señales para la contratación en el M</w:t>
      </w:r>
      <w:r w:rsidR="005F3F04">
        <w:rPr>
          <w:rFonts w:ascii="Bookman Old Style" w:hAnsi="Bookman Old Style"/>
        </w:rPr>
        <w:t xml:space="preserve">ercado </w:t>
      </w:r>
      <w:r w:rsidR="0050360F" w:rsidRPr="0050360F">
        <w:rPr>
          <w:rFonts w:ascii="Bookman Old Style" w:hAnsi="Bookman Old Style"/>
        </w:rPr>
        <w:t>P</w:t>
      </w:r>
      <w:r w:rsidR="005F3F04">
        <w:rPr>
          <w:rFonts w:ascii="Bookman Old Style" w:hAnsi="Bookman Old Style"/>
        </w:rPr>
        <w:t>rimario</w:t>
      </w:r>
      <w:r w:rsidR="0050360F" w:rsidRPr="0050360F">
        <w:rPr>
          <w:rFonts w:ascii="Bookman Old Style" w:hAnsi="Bookman Old Style"/>
        </w:rPr>
        <w:t>, que lleven a reducir los excedentes de compra</w:t>
      </w:r>
      <w:r w:rsidR="002E36B9">
        <w:rPr>
          <w:rFonts w:ascii="Bookman Old Style" w:hAnsi="Bookman Old Style"/>
        </w:rPr>
        <w:t xml:space="preserve">; </w:t>
      </w:r>
      <w:proofErr w:type="spellStart"/>
      <w:r w:rsidR="002E36B9">
        <w:rPr>
          <w:rFonts w:ascii="Bookman Old Style" w:hAnsi="Bookman Old Style"/>
        </w:rPr>
        <w:t>ii</w:t>
      </w:r>
      <w:r w:rsidR="0061733A">
        <w:rPr>
          <w:rFonts w:ascii="Bookman Old Style" w:hAnsi="Bookman Old Style"/>
        </w:rPr>
        <w:t>i</w:t>
      </w:r>
      <w:proofErr w:type="spellEnd"/>
      <w:r w:rsidR="002E36B9">
        <w:rPr>
          <w:rFonts w:ascii="Bookman Old Style" w:hAnsi="Bookman Old Style"/>
        </w:rPr>
        <w:t xml:space="preserve">) </w:t>
      </w:r>
      <w:r w:rsidR="0050360F" w:rsidRPr="0050360F">
        <w:rPr>
          <w:rFonts w:ascii="Bookman Old Style" w:hAnsi="Bookman Old Style"/>
        </w:rPr>
        <w:t>Priorizar la atención de la Demanda Esencial por parte de los vendedores del M</w:t>
      </w:r>
      <w:r w:rsidR="002E36B9">
        <w:rPr>
          <w:rFonts w:ascii="Bookman Old Style" w:hAnsi="Bookman Old Style"/>
        </w:rPr>
        <w:t xml:space="preserve">ercado </w:t>
      </w:r>
      <w:r w:rsidR="0050360F" w:rsidRPr="0050360F">
        <w:rPr>
          <w:rFonts w:ascii="Bookman Old Style" w:hAnsi="Bookman Old Style"/>
        </w:rPr>
        <w:t>P</w:t>
      </w:r>
      <w:r w:rsidR="002E36B9">
        <w:rPr>
          <w:rFonts w:ascii="Bookman Old Style" w:hAnsi="Bookman Old Style"/>
        </w:rPr>
        <w:t xml:space="preserve">rimario; </w:t>
      </w:r>
      <w:proofErr w:type="spellStart"/>
      <w:r w:rsidR="00114261">
        <w:rPr>
          <w:rFonts w:ascii="Bookman Old Style" w:hAnsi="Bookman Old Style"/>
        </w:rPr>
        <w:t>iv</w:t>
      </w:r>
      <w:proofErr w:type="spellEnd"/>
      <w:r w:rsidR="00114261">
        <w:rPr>
          <w:rFonts w:ascii="Bookman Old Style" w:hAnsi="Bookman Old Style"/>
        </w:rPr>
        <w:t xml:space="preserve">) </w:t>
      </w:r>
      <w:r w:rsidR="0050360F" w:rsidRPr="0050360F">
        <w:rPr>
          <w:rFonts w:ascii="Bookman Old Style" w:hAnsi="Bookman Old Style"/>
        </w:rPr>
        <w:t>Aumentar la suficiencia y transparencia de la información en las negociaciones del Mercado Secundario</w:t>
      </w:r>
      <w:r w:rsidR="00CF5EA3">
        <w:rPr>
          <w:rFonts w:ascii="Bookman Old Style" w:hAnsi="Bookman Old Style"/>
        </w:rPr>
        <w:t xml:space="preserve">; </w:t>
      </w:r>
      <w:r w:rsidR="006C605D">
        <w:rPr>
          <w:rFonts w:ascii="Bookman Old Style" w:hAnsi="Bookman Old Style"/>
        </w:rPr>
        <w:t xml:space="preserve">v) </w:t>
      </w:r>
      <w:r w:rsidR="009D0DDD" w:rsidRPr="009D0DDD">
        <w:rPr>
          <w:rFonts w:ascii="Bookman Old Style" w:hAnsi="Bookman Old Style"/>
        </w:rPr>
        <w:t xml:space="preserve">adecuar la regulación a lo establecido </w:t>
      </w:r>
      <w:r w:rsidR="005179D4">
        <w:rPr>
          <w:rFonts w:ascii="Bookman Old Style" w:hAnsi="Bookman Old Style"/>
        </w:rPr>
        <w:t xml:space="preserve">en </w:t>
      </w:r>
      <w:r w:rsidR="009D0DDD" w:rsidRPr="009D0DDD">
        <w:rPr>
          <w:rFonts w:ascii="Bookman Old Style" w:hAnsi="Bookman Old Style"/>
        </w:rPr>
        <w:t>el Decreto 484 de 2024</w:t>
      </w:r>
      <w:r w:rsidR="001973EE">
        <w:rPr>
          <w:rFonts w:ascii="Bookman Old Style" w:hAnsi="Bookman Old Style"/>
        </w:rPr>
        <w:t xml:space="preserve"> en relación con las </w:t>
      </w:r>
      <w:r w:rsidR="0050360F" w:rsidRPr="0050360F">
        <w:rPr>
          <w:rFonts w:ascii="Bookman Old Style" w:hAnsi="Bookman Old Style"/>
        </w:rPr>
        <w:t>excepci</w:t>
      </w:r>
      <w:r w:rsidR="001973EE">
        <w:rPr>
          <w:rFonts w:ascii="Bookman Old Style" w:hAnsi="Bookman Old Style"/>
        </w:rPr>
        <w:t>ones</w:t>
      </w:r>
      <w:r w:rsidR="0050360F" w:rsidRPr="0050360F">
        <w:rPr>
          <w:rFonts w:ascii="Bookman Old Style" w:hAnsi="Bookman Old Style"/>
        </w:rPr>
        <w:t xml:space="preserve"> a la aplicación de los mecanismos de comercialización establecidos por la CREG</w:t>
      </w:r>
      <w:r w:rsidR="001973EE">
        <w:rPr>
          <w:rFonts w:ascii="Bookman Old Style" w:hAnsi="Bookman Old Style"/>
        </w:rPr>
        <w:t>.</w:t>
      </w:r>
    </w:p>
    <w:p w14:paraId="7A353892" w14:textId="77777777" w:rsidR="00BE5D3E" w:rsidRDefault="00BE5D3E" w:rsidP="009542A8">
      <w:pPr>
        <w:ind w:left="0"/>
        <w:jc w:val="both"/>
        <w:rPr>
          <w:rFonts w:ascii="Bookman Old Style" w:hAnsi="Bookman Old Style"/>
        </w:rPr>
      </w:pPr>
    </w:p>
    <w:p w14:paraId="0CA62E7C" w14:textId="77777777" w:rsidR="003E2642" w:rsidRDefault="003E2642" w:rsidP="00564F10">
      <w:pPr>
        <w:ind w:left="0"/>
        <w:jc w:val="center"/>
        <w:rPr>
          <w:rFonts w:ascii="Bookman Old Style" w:hAnsi="Bookman Old Style"/>
        </w:rPr>
      </w:pPr>
    </w:p>
    <w:p w14:paraId="47ADF179" w14:textId="77777777" w:rsidR="009542A8" w:rsidRPr="00F41483" w:rsidRDefault="009542A8" w:rsidP="00564F10">
      <w:pPr>
        <w:ind w:left="0"/>
        <w:jc w:val="center"/>
        <w:rPr>
          <w:rFonts w:ascii="Bookman Old Style" w:hAnsi="Bookman Old Style"/>
        </w:rPr>
      </w:pPr>
    </w:p>
    <w:p w14:paraId="2AB062DC" w14:textId="77777777" w:rsidR="006E7D28" w:rsidRDefault="006E7D28" w:rsidP="00F438C3">
      <w:pPr>
        <w:suppressAutoHyphens/>
        <w:ind w:left="0"/>
        <w:jc w:val="center"/>
        <w:rPr>
          <w:rFonts w:ascii="Bookman Old Style" w:hAnsi="Bookman Old Style"/>
          <w:b/>
          <w:spacing w:val="-3"/>
        </w:rPr>
      </w:pPr>
    </w:p>
    <w:p w14:paraId="0F5ED7C5" w14:textId="32D1838C" w:rsidR="00270C0E" w:rsidRDefault="00F26899" w:rsidP="00F438C3">
      <w:pPr>
        <w:suppressAutoHyphens/>
        <w:ind w:left="0"/>
        <w:jc w:val="center"/>
        <w:rPr>
          <w:rFonts w:ascii="Bookman Old Style" w:hAnsi="Bookman Old Style"/>
          <w:b/>
          <w:spacing w:val="-3"/>
        </w:rPr>
      </w:pPr>
      <w:r w:rsidRPr="00F41483">
        <w:rPr>
          <w:rFonts w:ascii="Bookman Old Style" w:hAnsi="Bookman Old Style"/>
          <w:b/>
          <w:spacing w:val="-3"/>
        </w:rPr>
        <w:lastRenderedPageBreak/>
        <w:t>R E S U E L V E:</w:t>
      </w:r>
    </w:p>
    <w:p w14:paraId="76256F87" w14:textId="77777777" w:rsidR="00F438C3" w:rsidRPr="00F438C3" w:rsidRDefault="00F438C3" w:rsidP="00F438C3">
      <w:pPr>
        <w:suppressAutoHyphens/>
        <w:ind w:left="0"/>
        <w:jc w:val="center"/>
        <w:rPr>
          <w:rFonts w:ascii="Bookman Old Style" w:hAnsi="Bookman Old Style"/>
          <w:b/>
          <w:spacing w:val="-3"/>
        </w:rPr>
      </w:pPr>
    </w:p>
    <w:p w14:paraId="15CAAA0C" w14:textId="3C63D31F" w:rsidR="00383600" w:rsidRDefault="00383600" w:rsidP="000620E1">
      <w:pPr>
        <w:pStyle w:val="ARTICULOS"/>
        <w:numPr>
          <w:ilvl w:val="0"/>
          <w:numId w:val="0"/>
        </w:numPr>
        <w:tabs>
          <w:tab w:val="clear" w:pos="1559"/>
        </w:tabs>
        <w:outlineLvl w:val="0"/>
        <w:rPr>
          <w:b/>
          <w:highlight w:val="green"/>
          <w:lang w:val="es-ES"/>
        </w:rPr>
      </w:pPr>
      <w:r w:rsidRPr="00E83D03">
        <w:rPr>
          <w:b/>
          <w:lang w:val="es-ES"/>
        </w:rPr>
        <w:t xml:space="preserve">ARTÍCULO </w:t>
      </w:r>
      <w:r>
        <w:rPr>
          <w:b/>
          <w:lang w:val="es-ES"/>
        </w:rPr>
        <w:t>1</w:t>
      </w:r>
      <w:r w:rsidRPr="009F7CB7">
        <w:rPr>
          <w:b/>
          <w:lang w:val="es-ES"/>
        </w:rPr>
        <w:t xml:space="preserve">. </w:t>
      </w:r>
      <w:r w:rsidRPr="00C12877">
        <w:rPr>
          <w:bCs w:val="0"/>
          <w:lang w:val="es-ES"/>
        </w:rPr>
        <w:t xml:space="preserve">Modificar la siguiente definición del artículo 3 de la Resolución CREG 186 de 2020, </w:t>
      </w:r>
      <w:r w:rsidR="005C0587">
        <w:rPr>
          <w:bCs w:val="0"/>
          <w:lang w:val="es-ES"/>
        </w:rPr>
        <w:t>la</w:t>
      </w:r>
      <w:r w:rsidRPr="00C12877">
        <w:rPr>
          <w:bCs w:val="0"/>
          <w:lang w:val="es-ES"/>
        </w:rPr>
        <w:t xml:space="preserve"> cual quedará así:</w:t>
      </w:r>
    </w:p>
    <w:p w14:paraId="44D18795" w14:textId="77777777" w:rsidR="0083282B" w:rsidRDefault="0083282B" w:rsidP="000620E1">
      <w:pPr>
        <w:pStyle w:val="ARTICULOS"/>
        <w:numPr>
          <w:ilvl w:val="0"/>
          <w:numId w:val="0"/>
        </w:numPr>
        <w:tabs>
          <w:tab w:val="clear" w:pos="1559"/>
        </w:tabs>
        <w:outlineLvl w:val="0"/>
        <w:rPr>
          <w:b/>
          <w:highlight w:val="green"/>
          <w:lang w:val="es-ES"/>
        </w:rPr>
      </w:pPr>
    </w:p>
    <w:p w14:paraId="4F59799A" w14:textId="77777777" w:rsidR="009D00C2" w:rsidRPr="0013707D" w:rsidRDefault="009D00C2" w:rsidP="000620E1">
      <w:pPr>
        <w:pStyle w:val="ARTICULOS"/>
        <w:numPr>
          <w:ilvl w:val="0"/>
          <w:numId w:val="0"/>
        </w:numPr>
        <w:ind w:left="708"/>
        <w:rPr>
          <w:rFonts w:cs="Arial"/>
          <w:bCs w:val="0"/>
          <w:color w:val="000000" w:themeColor="text1"/>
          <w:lang w:val="es-CO"/>
        </w:rPr>
      </w:pPr>
      <w:r w:rsidRPr="00C12877">
        <w:rPr>
          <w:b/>
          <w:color w:val="000000" w:themeColor="text1"/>
          <w:lang w:val="es-CO"/>
        </w:rPr>
        <w:t>Contrato de suministro de contingencia, CSC:</w:t>
      </w:r>
      <w:r w:rsidRPr="00C12877">
        <w:rPr>
          <w:color w:val="000000" w:themeColor="text1"/>
          <w:lang w:val="es-CO"/>
        </w:rPr>
        <w:t xml:space="preserve"> contrato escrito en el que un vendedor garantiza el suministro de una cantidad máxima de gas natural desde una fuente alterna de suministro, sin interrupciones, cuando el mismo agente u otro Participante del Mercado que suministra gas natural se enfrenta a un evento que le impide la prestación del servicio desde la(s) fuente(s) de suministro pactada(s). El suministro de gas natural desde la fuente alterna y mediante esta modalidad contractual sólo se realizará durante el período en que se presente el mencionado impedimento para la prestación del servicio. </w:t>
      </w:r>
      <w:r w:rsidRPr="00C12877">
        <w:rPr>
          <w:rFonts w:cs="Arial"/>
          <w:color w:val="000000" w:themeColor="text1"/>
          <w:lang w:val="es-CO"/>
        </w:rPr>
        <w:t>Esta modalidad contractual requiere de Respaldo Físico, de acuerdo con definición establecida en la presente resolución, y deberá estar suscrito únicamente entre los Participantes del Mercado Mayorista.</w:t>
      </w:r>
    </w:p>
    <w:p w14:paraId="24959415" w14:textId="77777777" w:rsidR="0083282B" w:rsidRDefault="0083282B" w:rsidP="000620E1">
      <w:pPr>
        <w:pStyle w:val="ARTICULOS"/>
        <w:numPr>
          <w:ilvl w:val="0"/>
          <w:numId w:val="0"/>
        </w:numPr>
        <w:tabs>
          <w:tab w:val="clear" w:pos="1559"/>
        </w:tabs>
        <w:outlineLvl w:val="0"/>
        <w:rPr>
          <w:b/>
          <w:highlight w:val="green"/>
          <w:lang w:val="es-ES"/>
        </w:rPr>
      </w:pPr>
    </w:p>
    <w:p w14:paraId="724775E7" w14:textId="30C9FCB3" w:rsidR="00C65C8F" w:rsidRPr="00C12877" w:rsidRDefault="00C65C8F" w:rsidP="000620E1">
      <w:pPr>
        <w:pStyle w:val="ARTICULOS"/>
        <w:numPr>
          <w:ilvl w:val="0"/>
          <w:numId w:val="0"/>
        </w:numPr>
        <w:tabs>
          <w:tab w:val="clear" w:pos="1559"/>
        </w:tabs>
        <w:outlineLvl w:val="0"/>
        <w:rPr>
          <w:bCs w:val="0"/>
          <w:lang w:val="es-ES"/>
        </w:rPr>
      </w:pPr>
      <w:r w:rsidRPr="00E83D03">
        <w:rPr>
          <w:b/>
          <w:lang w:val="es-ES"/>
        </w:rPr>
        <w:t xml:space="preserve">ARTÍCULO </w:t>
      </w:r>
      <w:r w:rsidR="00383600" w:rsidRPr="009F7CB7">
        <w:rPr>
          <w:b/>
          <w:lang w:val="es-ES"/>
        </w:rPr>
        <w:t>2</w:t>
      </w:r>
      <w:r w:rsidRPr="009F7CB7">
        <w:rPr>
          <w:b/>
          <w:lang w:val="es-ES"/>
        </w:rPr>
        <w:t xml:space="preserve">. </w:t>
      </w:r>
      <w:r w:rsidRPr="00C12877">
        <w:rPr>
          <w:bCs w:val="0"/>
          <w:lang w:val="es-ES"/>
        </w:rPr>
        <w:t xml:space="preserve">Adicionar las siguientes definiciones al artículo 3 de la Resolución CREG 186 de 2020, </w:t>
      </w:r>
      <w:r w:rsidR="00E960C0">
        <w:rPr>
          <w:bCs w:val="0"/>
          <w:lang w:val="es-ES"/>
        </w:rPr>
        <w:t>las</w:t>
      </w:r>
      <w:r w:rsidRPr="00C12877">
        <w:rPr>
          <w:bCs w:val="0"/>
          <w:lang w:val="es-ES"/>
        </w:rPr>
        <w:t xml:space="preserve"> cual</w:t>
      </w:r>
      <w:r w:rsidR="00E960C0">
        <w:rPr>
          <w:bCs w:val="0"/>
          <w:lang w:val="es-ES"/>
        </w:rPr>
        <w:t>es</w:t>
      </w:r>
      <w:r w:rsidRPr="00C12877">
        <w:rPr>
          <w:bCs w:val="0"/>
          <w:lang w:val="es-ES"/>
        </w:rPr>
        <w:t xml:space="preserve"> quedará</w:t>
      </w:r>
      <w:r w:rsidR="00E960C0">
        <w:rPr>
          <w:bCs w:val="0"/>
          <w:lang w:val="es-ES"/>
        </w:rPr>
        <w:t>n</w:t>
      </w:r>
      <w:r w:rsidRPr="00C12877">
        <w:rPr>
          <w:bCs w:val="0"/>
          <w:lang w:val="es-ES"/>
        </w:rPr>
        <w:t xml:space="preserve"> así:</w:t>
      </w:r>
    </w:p>
    <w:p w14:paraId="5C209F2A" w14:textId="77777777" w:rsidR="00C65C8F" w:rsidRDefault="00C65C8F" w:rsidP="000620E1">
      <w:pPr>
        <w:pStyle w:val="ARTICULOS"/>
        <w:numPr>
          <w:ilvl w:val="0"/>
          <w:numId w:val="0"/>
        </w:numPr>
        <w:tabs>
          <w:tab w:val="clear" w:pos="1559"/>
        </w:tabs>
        <w:outlineLvl w:val="0"/>
        <w:rPr>
          <w:b/>
          <w:lang w:val="es-ES"/>
        </w:rPr>
      </w:pPr>
    </w:p>
    <w:p w14:paraId="5502E4E1" w14:textId="1DBC1EA3" w:rsidR="00A12A7C" w:rsidRPr="00C12877" w:rsidRDefault="00A12A7C" w:rsidP="000620E1">
      <w:pPr>
        <w:jc w:val="both"/>
        <w:rPr>
          <w:rFonts w:ascii="Bookman Old Style" w:hAnsi="Bookman Old Style" w:cs="Arial"/>
          <w:color w:val="000000" w:themeColor="text1"/>
        </w:rPr>
      </w:pPr>
      <w:r w:rsidRPr="00C12877">
        <w:rPr>
          <w:rFonts w:ascii="Bookman Old Style" w:hAnsi="Bookman Old Style" w:cs="Arial"/>
          <w:b/>
          <w:bCs/>
          <w:color w:val="000000" w:themeColor="text1"/>
        </w:rPr>
        <w:t>Demanda Esencial</w:t>
      </w:r>
      <w:r w:rsidRPr="00C12877">
        <w:rPr>
          <w:rFonts w:ascii="Bookman Old Style" w:hAnsi="Bookman Old Style" w:cs="Arial"/>
          <w:color w:val="000000" w:themeColor="text1"/>
        </w:rPr>
        <w:t xml:space="preserve">: de acuerdo con lo definido en el artículo 2.2.2.1.4. del Decreto 1073 de 2015 corresponde a: i) la demanda de gas natural para la operación de las estaciones de compresión del </w:t>
      </w:r>
      <w:proofErr w:type="spellStart"/>
      <w:r w:rsidRPr="00C12877">
        <w:rPr>
          <w:rFonts w:ascii="Bookman Old Style" w:hAnsi="Bookman Old Style" w:cs="Arial"/>
          <w:color w:val="000000" w:themeColor="text1"/>
        </w:rPr>
        <w:t>SNT</w:t>
      </w:r>
      <w:proofErr w:type="spellEnd"/>
      <w:r w:rsidRPr="00C12877">
        <w:rPr>
          <w:rFonts w:ascii="Bookman Old Style" w:hAnsi="Bookman Old Style" w:cs="Arial"/>
          <w:color w:val="000000" w:themeColor="text1"/>
        </w:rPr>
        <w:t xml:space="preserve">; </w:t>
      </w:r>
      <w:proofErr w:type="spellStart"/>
      <w:r w:rsidRPr="00C12877">
        <w:rPr>
          <w:rFonts w:ascii="Bookman Old Style" w:hAnsi="Bookman Old Style" w:cs="Arial"/>
          <w:color w:val="000000" w:themeColor="text1"/>
        </w:rPr>
        <w:t>ii</w:t>
      </w:r>
      <w:proofErr w:type="spellEnd"/>
      <w:r w:rsidRPr="00C12877">
        <w:rPr>
          <w:rFonts w:ascii="Bookman Old Style" w:hAnsi="Bookman Old Style" w:cs="Arial"/>
          <w:color w:val="000000" w:themeColor="text1"/>
        </w:rPr>
        <w:t xml:space="preserve">) la demanda de gas natural de usuarios residenciales y pequeños usuarios comerciales inmersos en la red de distribución; </w:t>
      </w:r>
      <w:proofErr w:type="spellStart"/>
      <w:r w:rsidRPr="00C12877">
        <w:rPr>
          <w:rFonts w:ascii="Bookman Old Style" w:hAnsi="Bookman Old Style" w:cs="Arial"/>
          <w:color w:val="000000" w:themeColor="text1"/>
        </w:rPr>
        <w:t>iii</w:t>
      </w:r>
      <w:proofErr w:type="spellEnd"/>
      <w:r w:rsidRPr="00C12877">
        <w:rPr>
          <w:rFonts w:ascii="Bookman Old Style" w:hAnsi="Bookman Old Style" w:cs="Arial"/>
          <w:color w:val="000000" w:themeColor="text1"/>
        </w:rPr>
        <w:t xml:space="preserve">) la demanda de </w:t>
      </w:r>
      <w:proofErr w:type="spellStart"/>
      <w:r w:rsidRPr="00C12877">
        <w:rPr>
          <w:rFonts w:ascii="Bookman Old Style" w:hAnsi="Bookman Old Style" w:cs="Arial"/>
          <w:color w:val="000000" w:themeColor="text1"/>
        </w:rPr>
        <w:t>GNCV</w:t>
      </w:r>
      <w:proofErr w:type="spellEnd"/>
      <w:r w:rsidRPr="00C12877">
        <w:rPr>
          <w:rFonts w:ascii="Bookman Old Style" w:hAnsi="Bookman Old Style" w:cs="Arial"/>
          <w:color w:val="000000" w:themeColor="text1"/>
        </w:rPr>
        <w:t xml:space="preserve">; y, </w:t>
      </w:r>
      <w:proofErr w:type="spellStart"/>
      <w:r w:rsidRPr="00C12877">
        <w:rPr>
          <w:rFonts w:ascii="Bookman Old Style" w:hAnsi="Bookman Old Style" w:cs="Arial"/>
          <w:color w:val="000000" w:themeColor="text1"/>
        </w:rPr>
        <w:t>iv</w:t>
      </w:r>
      <w:proofErr w:type="spellEnd"/>
      <w:r w:rsidRPr="00C12877">
        <w:rPr>
          <w:rFonts w:ascii="Bookman Old Style" w:hAnsi="Bookman Old Style" w:cs="Arial"/>
          <w:color w:val="000000" w:themeColor="text1"/>
        </w:rPr>
        <w:t>) la demanda de gas natural de las refinerías, excluyendo aquella con destino a autogeneración de energía eléctrica que pueda ser reemplazada con energía del Sistema Interconectado Nacional.</w:t>
      </w:r>
    </w:p>
    <w:p w14:paraId="6B135EED" w14:textId="77777777" w:rsidR="00A12A7C" w:rsidRPr="00C12877" w:rsidRDefault="00A12A7C" w:rsidP="000620E1">
      <w:pPr>
        <w:ind w:left="142"/>
        <w:jc w:val="both"/>
        <w:rPr>
          <w:rFonts w:ascii="Bookman Old Style" w:hAnsi="Bookman Old Style" w:cs="Arial"/>
          <w:color w:val="000000" w:themeColor="text1"/>
        </w:rPr>
      </w:pPr>
    </w:p>
    <w:p w14:paraId="0EC69A8B" w14:textId="77777777" w:rsidR="00A12A7C" w:rsidRPr="00C12877" w:rsidRDefault="00A12A7C" w:rsidP="000620E1">
      <w:pPr>
        <w:pStyle w:val="ARTICULOS"/>
        <w:numPr>
          <w:ilvl w:val="0"/>
          <w:numId w:val="0"/>
        </w:numPr>
        <w:tabs>
          <w:tab w:val="clear" w:pos="1559"/>
          <w:tab w:val="left" w:pos="1560"/>
        </w:tabs>
        <w:ind w:left="567"/>
        <w:rPr>
          <w:rFonts w:cs="Arial"/>
          <w:bCs w:val="0"/>
          <w:iCs/>
          <w:color w:val="000000" w:themeColor="text1"/>
          <w:lang w:val="es-CO"/>
        </w:rPr>
      </w:pPr>
      <w:r w:rsidRPr="00C12877">
        <w:rPr>
          <w:rFonts w:cs="Arial"/>
          <w:b/>
          <w:iCs/>
          <w:color w:val="000000" w:themeColor="text1"/>
          <w:lang w:val="es-CO"/>
        </w:rPr>
        <w:t>Infraestructura de Regasificación:</w:t>
      </w:r>
      <w:r w:rsidRPr="00C12877">
        <w:rPr>
          <w:rFonts w:cs="Arial"/>
          <w:bCs w:val="0"/>
          <w:iCs/>
          <w:color w:val="000000" w:themeColor="text1"/>
          <w:lang w:val="es-CO"/>
        </w:rPr>
        <w:t xml:space="preserve"> conjunto de instalaciones que permiten transformar el gas natural de estado líquido a estado gaseoso, que incluyen, entre otras, las requeridas para descargar, transportar, almacenar, procesar y/o tratar el gas natural líquido, bien sea importado o de fuente de suministro nacional.</w:t>
      </w:r>
    </w:p>
    <w:p w14:paraId="07EECCE8" w14:textId="77777777" w:rsidR="00A12A7C" w:rsidRPr="00C12877" w:rsidRDefault="00A12A7C" w:rsidP="000620E1">
      <w:pPr>
        <w:jc w:val="both"/>
        <w:rPr>
          <w:rFonts w:ascii="Bookman Old Style" w:hAnsi="Bookman Old Style" w:cs="Arial"/>
          <w:color w:val="000000" w:themeColor="text1"/>
        </w:rPr>
      </w:pPr>
    </w:p>
    <w:p w14:paraId="0695C8A3" w14:textId="5906D949" w:rsidR="00A12A7C" w:rsidRPr="00C12877" w:rsidRDefault="00A12A7C" w:rsidP="007504B0">
      <w:pPr>
        <w:jc w:val="both"/>
        <w:rPr>
          <w:rFonts w:ascii="Bookman Old Style" w:hAnsi="Bookman Old Style" w:cs="Arial"/>
          <w:color w:val="000000" w:themeColor="text1"/>
        </w:rPr>
      </w:pPr>
      <w:r w:rsidRPr="00C12877">
        <w:rPr>
          <w:rFonts w:ascii="Bookman Old Style" w:hAnsi="Bookman Old Style" w:cs="Arial"/>
          <w:b/>
          <w:bCs/>
          <w:color w:val="000000" w:themeColor="text1"/>
        </w:rPr>
        <w:t>Interconexión Internacional de Gas Natural</w:t>
      </w:r>
      <w:r w:rsidRPr="00C12877">
        <w:rPr>
          <w:rFonts w:ascii="Bookman Old Style" w:hAnsi="Bookman Old Style" w:cs="Arial"/>
          <w:color w:val="000000" w:themeColor="text1"/>
        </w:rPr>
        <w:t>: Gasoducto o grupo de gasoductos dedicados exclusivamente a los Intercambios Comerciales</w:t>
      </w:r>
      <w:r w:rsidR="007504B0">
        <w:rPr>
          <w:rFonts w:ascii="Bookman Old Style" w:hAnsi="Bookman Old Style" w:cs="Arial"/>
          <w:color w:val="000000" w:themeColor="text1"/>
        </w:rPr>
        <w:t xml:space="preserve"> </w:t>
      </w:r>
      <w:r w:rsidRPr="00C12877">
        <w:rPr>
          <w:rFonts w:ascii="Bookman Old Style" w:hAnsi="Bookman Old Style" w:cs="Arial"/>
          <w:color w:val="000000" w:themeColor="text1"/>
        </w:rPr>
        <w:t>Internacionales de Gas, que puede estar o no, conectada físicamente al SNT y que no hace parte de dicho Sistema.</w:t>
      </w:r>
    </w:p>
    <w:p w14:paraId="705B9A5A" w14:textId="77777777" w:rsidR="00A12A7C" w:rsidRPr="00C12877" w:rsidRDefault="00A12A7C" w:rsidP="000620E1">
      <w:pPr>
        <w:jc w:val="both"/>
        <w:rPr>
          <w:rFonts w:ascii="Bookman Old Style" w:hAnsi="Bookman Old Style" w:cs="Arial"/>
          <w:color w:val="000000" w:themeColor="text1"/>
        </w:rPr>
      </w:pPr>
    </w:p>
    <w:p w14:paraId="612D93E5" w14:textId="4B0D6EFA" w:rsidR="00A12A7C" w:rsidRPr="00C12877" w:rsidRDefault="00A12A7C" w:rsidP="000620E1">
      <w:pPr>
        <w:jc w:val="both"/>
        <w:rPr>
          <w:rFonts w:ascii="Bookman Old Style" w:hAnsi="Bookman Old Style" w:cs="Arial"/>
          <w:color w:val="000000" w:themeColor="text1"/>
        </w:rPr>
      </w:pPr>
      <w:r w:rsidRPr="00C12877">
        <w:rPr>
          <w:rFonts w:ascii="Bookman Old Style" w:hAnsi="Bookman Old Style" w:cs="Arial"/>
          <w:b/>
          <w:bCs/>
          <w:color w:val="000000" w:themeColor="text1"/>
        </w:rPr>
        <w:t xml:space="preserve">Precio de </w:t>
      </w:r>
      <w:r w:rsidR="009E05FD" w:rsidRPr="00C12877">
        <w:rPr>
          <w:rFonts w:ascii="Bookman Old Style" w:hAnsi="Bookman Old Style" w:cs="Arial"/>
          <w:b/>
          <w:bCs/>
          <w:color w:val="000000" w:themeColor="text1"/>
        </w:rPr>
        <w:t>R</w:t>
      </w:r>
      <w:r w:rsidRPr="00C12877">
        <w:rPr>
          <w:rFonts w:ascii="Bookman Old Style" w:hAnsi="Bookman Old Style" w:cs="Arial"/>
          <w:b/>
          <w:bCs/>
          <w:color w:val="000000" w:themeColor="text1"/>
        </w:rPr>
        <w:t>eserva</w:t>
      </w:r>
      <w:r w:rsidRPr="00C12877">
        <w:rPr>
          <w:rFonts w:ascii="Bookman Old Style" w:hAnsi="Bookman Old Style" w:cs="Arial"/>
          <w:color w:val="000000" w:themeColor="text1"/>
        </w:rPr>
        <w:t xml:space="preserve">: equivale a aquel precio </w:t>
      </w:r>
      <w:r w:rsidR="00B117D6" w:rsidRPr="00C12877">
        <w:rPr>
          <w:rFonts w:ascii="Bookman Old Style" w:hAnsi="Bookman Old Style" w:cs="Arial"/>
          <w:color w:val="000000" w:themeColor="text1"/>
        </w:rPr>
        <w:t>mínimo al cual se ofrece para la venta el gas natural</w:t>
      </w:r>
      <w:r w:rsidR="00B117D6">
        <w:rPr>
          <w:rFonts w:ascii="Bookman Old Style" w:hAnsi="Bookman Old Style" w:cs="Arial"/>
          <w:color w:val="000000" w:themeColor="text1"/>
        </w:rPr>
        <w:t>, para ser usado</w:t>
      </w:r>
      <w:r w:rsidRPr="00C12877">
        <w:rPr>
          <w:rFonts w:ascii="Bookman Old Style" w:hAnsi="Bookman Old Style" w:cs="Arial"/>
          <w:color w:val="000000" w:themeColor="text1"/>
        </w:rPr>
        <w:t xml:space="preserve"> en un proceso de subasta o en un mecanismo de concurrencia de interesados en comprar gas, que sea desarrollado</w:t>
      </w:r>
      <w:r w:rsidR="00B117D6">
        <w:rPr>
          <w:rFonts w:ascii="Bookman Old Style" w:hAnsi="Bookman Old Style" w:cs="Arial"/>
          <w:color w:val="000000" w:themeColor="text1"/>
        </w:rPr>
        <w:t xml:space="preserve"> en negociaciones directas</w:t>
      </w:r>
      <w:r w:rsidRPr="00C12877">
        <w:rPr>
          <w:rFonts w:ascii="Bookman Old Style" w:hAnsi="Bookman Old Style" w:cs="Arial"/>
          <w:color w:val="000000" w:themeColor="text1"/>
        </w:rPr>
        <w:t xml:space="preserve"> por un vendedor del Mercado Mayorista.  </w:t>
      </w:r>
    </w:p>
    <w:p w14:paraId="54C7D5A6" w14:textId="113FBB58" w:rsidR="00C65C8F" w:rsidRPr="00C12877" w:rsidRDefault="00C65C8F" w:rsidP="000620E1">
      <w:pPr>
        <w:pStyle w:val="ARTICULOS"/>
        <w:numPr>
          <w:ilvl w:val="0"/>
          <w:numId w:val="0"/>
        </w:numPr>
        <w:tabs>
          <w:tab w:val="clear" w:pos="1559"/>
        </w:tabs>
        <w:outlineLvl w:val="0"/>
        <w:rPr>
          <w:bCs w:val="0"/>
          <w:lang w:val="es-ES"/>
        </w:rPr>
      </w:pPr>
    </w:p>
    <w:p w14:paraId="724CBDCA" w14:textId="6A6D0B35" w:rsidR="00A12A7C" w:rsidRPr="00C12877" w:rsidRDefault="00A12A7C" w:rsidP="000620E1">
      <w:pPr>
        <w:pStyle w:val="ARTICULOS"/>
        <w:numPr>
          <w:ilvl w:val="0"/>
          <w:numId w:val="0"/>
        </w:numPr>
        <w:ind w:left="567"/>
        <w:rPr>
          <w:rFonts w:cs="Arial"/>
          <w:bCs w:val="0"/>
          <w:color w:val="000000" w:themeColor="text1"/>
          <w:lang w:val="es-CO"/>
        </w:rPr>
      </w:pPr>
      <w:r w:rsidRPr="00C12877">
        <w:rPr>
          <w:rFonts w:cs="Arial"/>
          <w:b/>
          <w:color w:val="000000" w:themeColor="text1"/>
          <w:lang w:val="es-CO"/>
        </w:rPr>
        <w:t>Respaldo Físico</w:t>
      </w:r>
      <w:r w:rsidRPr="00C12877">
        <w:rPr>
          <w:rFonts w:cs="Arial"/>
          <w:bCs w:val="0"/>
          <w:color w:val="000000" w:themeColor="text1"/>
          <w:lang w:val="es-CO"/>
        </w:rPr>
        <w:t xml:space="preserve">: </w:t>
      </w:r>
      <w:r w:rsidRPr="00C12877">
        <w:rPr>
          <w:rFonts w:ascii="Times New Roman" w:hAnsi="Times New Roman"/>
          <w:bCs w:val="0"/>
          <w:lang w:val="es-ES" w:eastAsia="es-ES"/>
        </w:rPr>
        <w:t xml:space="preserve"> </w:t>
      </w:r>
      <w:r w:rsidR="00597002" w:rsidRPr="004E7CE4">
        <w:rPr>
          <w:bCs w:val="0"/>
          <w:lang w:val="es-ES" w:eastAsia="es-ES"/>
        </w:rPr>
        <w:t>corresponde a la definición establ</w:t>
      </w:r>
      <w:r w:rsidR="00597002">
        <w:rPr>
          <w:bCs w:val="0"/>
          <w:lang w:val="es-ES" w:eastAsia="es-ES"/>
        </w:rPr>
        <w:t>e</w:t>
      </w:r>
      <w:r w:rsidR="00597002" w:rsidRPr="004E7CE4">
        <w:rPr>
          <w:bCs w:val="0"/>
          <w:lang w:val="es-ES" w:eastAsia="es-ES"/>
        </w:rPr>
        <w:t xml:space="preserve">cida </w:t>
      </w:r>
      <w:r w:rsidRPr="00C12877">
        <w:rPr>
          <w:rFonts w:cs="Arial"/>
          <w:bCs w:val="0"/>
          <w:color w:val="000000" w:themeColor="text1"/>
        </w:rPr>
        <w:t>en el artículo 2.2.2.1.4. del Decreto 1073 de 2015</w:t>
      </w:r>
      <w:r w:rsidR="00597002">
        <w:rPr>
          <w:rFonts w:cs="Arial"/>
          <w:bCs w:val="0"/>
          <w:color w:val="000000" w:themeColor="text1"/>
        </w:rPr>
        <w:t xml:space="preserve"> o aquellos que lo modifiquen o sustituyan</w:t>
      </w:r>
      <w:r w:rsidRPr="00C12877">
        <w:rPr>
          <w:rFonts w:cs="Arial"/>
          <w:bCs w:val="0"/>
          <w:color w:val="000000" w:themeColor="text1"/>
          <w:lang w:val="es-CO"/>
        </w:rPr>
        <w:t>. Además, para efectos de esta resolución, se entenderá que un comercializador de gas natural</w:t>
      </w:r>
      <w:r w:rsidR="00CD48C6" w:rsidRPr="00C12877">
        <w:rPr>
          <w:rFonts w:cs="Arial"/>
          <w:bCs w:val="0"/>
          <w:color w:val="000000" w:themeColor="text1"/>
          <w:lang w:val="es-CO"/>
        </w:rPr>
        <w:t>,</w:t>
      </w:r>
      <w:r w:rsidRPr="00C12877">
        <w:rPr>
          <w:rFonts w:cs="Arial"/>
          <w:bCs w:val="0"/>
          <w:color w:val="000000" w:themeColor="text1"/>
          <w:lang w:val="es-CO"/>
        </w:rPr>
        <w:t xml:space="preserve"> cuenta con Respaldo Físico cuando tenga </w:t>
      </w:r>
      <w:r w:rsidRPr="00C12877">
        <w:rPr>
          <w:rFonts w:cs="Arial"/>
          <w:bCs w:val="0"/>
          <w:color w:val="000000" w:themeColor="text1"/>
          <w:lang w:val="es-CO"/>
        </w:rPr>
        <w:lastRenderedPageBreak/>
        <w:t xml:space="preserve">registrados ante el </w:t>
      </w:r>
      <w:r w:rsidR="00B46EB7" w:rsidRPr="00C12877">
        <w:rPr>
          <w:rFonts w:cs="Arial"/>
          <w:bCs w:val="0"/>
          <w:color w:val="000000" w:themeColor="text1"/>
          <w:lang w:val="es-CO"/>
        </w:rPr>
        <w:t>g</w:t>
      </w:r>
      <w:r w:rsidRPr="00C12877">
        <w:rPr>
          <w:rFonts w:cs="Arial"/>
          <w:bCs w:val="0"/>
          <w:color w:val="000000" w:themeColor="text1"/>
          <w:lang w:val="es-CO"/>
        </w:rPr>
        <w:t xml:space="preserve">estor del </w:t>
      </w:r>
      <w:r w:rsidR="00B46EB7" w:rsidRPr="00C12877">
        <w:rPr>
          <w:rFonts w:cs="Arial"/>
          <w:bCs w:val="0"/>
          <w:color w:val="000000" w:themeColor="text1"/>
          <w:lang w:val="es-CO"/>
        </w:rPr>
        <w:t>m</w:t>
      </w:r>
      <w:r w:rsidRPr="00C12877">
        <w:rPr>
          <w:rFonts w:cs="Arial"/>
          <w:bCs w:val="0"/>
          <w:color w:val="000000" w:themeColor="text1"/>
          <w:lang w:val="es-CO"/>
        </w:rPr>
        <w:t xml:space="preserve">ercado </w:t>
      </w:r>
      <w:r w:rsidR="00B46EB7" w:rsidRPr="00C12877">
        <w:rPr>
          <w:rFonts w:cs="Arial"/>
          <w:bCs w:val="0"/>
          <w:color w:val="000000" w:themeColor="text1"/>
          <w:lang w:val="es-CO"/>
        </w:rPr>
        <w:t xml:space="preserve">como parte compradora, </w:t>
      </w:r>
      <w:r w:rsidRPr="00C12877">
        <w:rPr>
          <w:rFonts w:cs="Arial"/>
          <w:bCs w:val="0"/>
          <w:color w:val="000000" w:themeColor="text1"/>
          <w:lang w:val="es-CO"/>
        </w:rPr>
        <w:t xml:space="preserve">contratos </w:t>
      </w:r>
      <w:r w:rsidR="00681BDE" w:rsidRPr="00C12877">
        <w:rPr>
          <w:rFonts w:cs="Arial"/>
          <w:bCs w:val="0"/>
          <w:color w:val="000000" w:themeColor="text1"/>
          <w:lang w:val="es-CO"/>
        </w:rPr>
        <w:t>de suministro f</w:t>
      </w:r>
      <w:r w:rsidRPr="00C12877">
        <w:rPr>
          <w:rFonts w:cs="Arial"/>
          <w:bCs w:val="0"/>
          <w:color w:val="000000" w:themeColor="text1"/>
          <w:lang w:val="es-CO"/>
        </w:rPr>
        <w:t>irmes o que garantizan firmeza</w:t>
      </w:r>
      <w:r w:rsidR="00517B53" w:rsidRPr="00C12877">
        <w:rPr>
          <w:rFonts w:cs="Arial"/>
          <w:bCs w:val="0"/>
          <w:color w:val="000000" w:themeColor="text1"/>
          <w:lang w:val="es-CO"/>
        </w:rPr>
        <w:t>,</w:t>
      </w:r>
      <w:r w:rsidR="00B46EB7" w:rsidRPr="00C12877">
        <w:rPr>
          <w:rFonts w:cs="Arial"/>
          <w:bCs w:val="0"/>
          <w:color w:val="000000" w:themeColor="text1"/>
          <w:lang w:val="es-CO"/>
        </w:rPr>
        <w:t xml:space="preserve"> de gas de producción nacional </w:t>
      </w:r>
      <w:r w:rsidR="007C16CF" w:rsidRPr="00C12877">
        <w:rPr>
          <w:rFonts w:cs="Arial"/>
          <w:bCs w:val="0"/>
          <w:color w:val="000000" w:themeColor="text1"/>
          <w:lang w:val="es-CO"/>
        </w:rPr>
        <w:t>o de gas o</w:t>
      </w:r>
      <w:r w:rsidR="00B46EB7" w:rsidRPr="00C12877">
        <w:rPr>
          <w:rFonts w:cs="Arial"/>
          <w:bCs w:val="0"/>
          <w:color w:val="000000" w:themeColor="text1"/>
          <w:lang w:val="es-CO"/>
        </w:rPr>
        <w:t>btenido en el exterior</w:t>
      </w:r>
      <w:r w:rsidRPr="00C12877">
        <w:rPr>
          <w:rFonts w:cs="Arial"/>
          <w:bCs w:val="0"/>
          <w:color w:val="000000" w:themeColor="text1"/>
          <w:lang w:val="es-CO"/>
        </w:rPr>
        <w:t xml:space="preserve">, </w:t>
      </w:r>
      <w:r w:rsidR="00CE49C7" w:rsidRPr="00C12877">
        <w:rPr>
          <w:rFonts w:cs="Arial"/>
          <w:bCs w:val="0"/>
          <w:color w:val="000000" w:themeColor="text1"/>
          <w:lang w:val="es-CO"/>
        </w:rPr>
        <w:t>qu</w:t>
      </w:r>
      <w:r w:rsidR="00C94E95" w:rsidRPr="00C12877">
        <w:rPr>
          <w:rFonts w:cs="Arial"/>
          <w:bCs w:val="0"/>
          <w:color w:val="000000" w:themeColor="text1"/>
          <w:lang w:val="es-CO"/>
        </w:rPr>
        <w:t>e</w:t>
      </w:r>
      <w:r w:rsidR="00CE49C7" w:rsidRPr="00C12877">
        <w:rPr>
          <w:rFonts w:cs="Arial"/>
          <w:bCs w:val="0"/>
          <w:color w:val="000000" w:themeColor="text1"/>
          <w:lang w:val="es-CO"/>
        </w:rPr>
        <w:t xml:space="preserve"> respaldan sus </w:t>
      </w:r>
      <w:r w:rsidR="00C94E95" w:rsidRPr="00C12877">
        <w:rPr>
          <w:rFonts w:cs="Arial"/>
          <w:bCs w:val="0"/>
          <w:color w:val="000000" w:themeColor="text1"/>
          <w:lang w:val="es-CO"/>
        </w:rPr>
        <w:t>compromisos</w:t>
      </w:r>
      <w:r w:rsidR="00CE49C7" w:rsidRPr="00C12877">
        <w:rPr>
          <w:rFonts w:cs="Arial"/>
          <w:bCs w:val="0"/>
          <w:color w:val="000000" w:themeColor="text1"/>
          <w:lang w:val="es-CO"/>
        </w:rPr>
        <w:t xml:space="preserve"> </w:t>
      </w:r>
      <w:r w:rsidR="00C94E95" w:rsidRPr="00C12877">
        <w:rPr>
          <w:rFonts w:cs="Arial"/>
          <w:bCs w:val="0"/>
          <w:color w:val="000000" w:themeColor="text1"/>
          <w:lang w:val="es-CO"/>
        </w:rPr>
        <w:t>de venta en firme</w:t>
      </w:r>
      <w:r w:rsidR="00660628" w:rsidRPr="00C12877">
        <w:rPr>
          <w:rFonts w:cs="Arial"/>
          <w:bCs w:val="0"/>
          <w:color w:val="000000" w:themeColor="text1"/>
          <w:lang w:val="es-CO"/>
        </w:rPr>
        <w:t xml:space="preserve"> o que garantizan firmeza</w:t>
      </w:r>
      <w:r w:rsidR="00AA1BE2" w:rsidRPr="00C12877">
        <w:rPr>
          <w:rFonts w:cs="Arial"/>
          <w:bCs w:val="0"/>
          <w:color w:val="000000" w:themeColor="text1"/>
          <w:lang w:val="es-CO"/>
        </w:rPr>
        <w:t xml:space="preserve"> en el Mercado Mayorista</w:t>
      </w:r>
      <w:r w:rsidRPr="00C12877">
        <w:rPr>
          <w:rFonts w:cs="Arial"/>
          <w:bCs w:val="0"/>
          <w:color w:val="000000" w:themeColor="text1"/>
          <w:lang w:val="es-CO"/>
        </w:rPr>
        <w:t>.</w:t>
      </w:r>
      <w:r w:rsidR="0088082C" w:rsidRPr="00C12877">
        <w:rPr>
          <w:rFonts w:cs="Arial"/>
          <w:bCs w:val="0"/>
          <w:color w:val="000000" w:themeColor="text1"/>
          <w:lang w:val="es-CO"/>
        </w:rPr>
        <w:t xml:space="preserve"> </w:t>
      </w:r>
    </w:p>
    <w:p w14:paraId="52DB5B35" w14:textId="77777777" w:rsidR="00C65C8F" w:rsidRDefault="00C65C8F" w:rsidP="000620E1">
      <w:pPr>
        <w:pStyle w:val="ARTICULOS"/>
        <w:numPr>
          <w:ilvl w:val="0"/>
          <w:numId w:val="0"/>
        </w:numPr>
        <w:tabs>
          <w:tab w:val="clear" w:pos="1559"/>
        </w:tabs>
        <w:outlineLvl w:val="0"/>
        <w:rPr>
          <w:b/>
          <w:lang w:val="es-ES"/>
        </w:rPr>
      </w:pPr>
    </w:p>
    <w:p w14:paraId="55111F1B" w14:textId="6168AC2A" w:rsidR="00621BAD" w:rsidRPr="009F7CB7" w:rsidRDefault="00621BAD" w:rsidP="000620E1">
      <w:pPr>
        <w:pStyle w:val="ARTICULOS"/>
        <w:numPr>
          <w:ilvl w:val="0"/>
          <w:numId w:val="0"/>
        </w:numPr>
        <w:tabs>
          <w:tab w:val="clear" w:pos="1559"/>
        </w:tabs>
        <w:outlineLvl w:val="0"/>
        <w:rPr>
          <w:b/>
          <w:lang w:val="es-ES"/>
        </w:rPr>
      </w:pPr>
      <w:r w:rsidRPr="00E83D03">
        <w:rPr>
          <w:b/>
          <w:lang w:val="es-ES"/>
        </w:rPr>
        <w:t xml:space="preserve">ARTÍCULO </w:t>
      </w:r>
      <w:r>
        <w:rPr>
          <w:b/>
          <w:lang w:val="es-ES"/>
        </w:rPr>
        <w:t>3</w:t>
      </w:r>
      <w:r w:rsidRPr="009F7CB7">
        <w:rPr>
          <w:b/>
          <w:lang w:val="es-ES"/>
        </w:rPr>
        <w:t xml:space="preserve">. </w:t>
      </w:r>
      <w:r w:rsidRPr="00C12877">
        <w:rPr>
          <w:bCs w:val="0"/>
          <w:lang w:val="es-ES"/>
        </w:rPr>
        <w:t xml:space="preserve">Adicionar el parágrafo 2 al artículo </w:t>
      </w:r>
      <w:r w:rsidR="00EF5269" w:rsidRPr="00C12877">
        <w:rPr>
          <w:bCs w:val="0"/>
          <w:lang w:val="es-ES"/>
        </w:rPr>
        <w:t>9</w:t>
      </w:r>
      <w:r w:rsidRPr="00C12877">
        <w:rPr>
          <w:bCs w:val="0"/>
          <w:lang w:val="es-ES"/>
        </w:rPr>
        <w:t xml:space="preserve"> de la Resolución CREG 186 de 2020, </w:t>
      </w:r>
      <w:r w:rsidR="00EF5269" w:rsidRPr="00C12877">
        <w:rPr>
          <w:bCs w:val="0"/>
          <w:lang w:val="es-ES"/>
        </w:rPr>
        <w:t>el cual</w:t>
      </w:r>
      <w:r w:rsidRPr="00C12877">
        <w:rPr>
          <w:bCs w:val="0"/>
          <w:lang w:val="es-ES"/>
        </w:rPr>
        <w:t xml:space="preserve"> quedará así:</w:t>
      </w:r>
    </w:p>
    <w:p w14:paraId="61BB3364" w14:textId="77777777" w:rsidR="001228D6" w:rsidRDefault="001228D6" w:rsidP="000620E1">
      <w:pPr>
        <w:pStyle w:val="ARTICULOS"/>
        <w:numPr>
          <w:ilvl w:val="0"/>
          <w:numId w:val="0"/>
        </w:numPr>
        <w:tabs>
          <w:tab w:val="clear" w:pos="1559"/>
        </w:tabs>
        <w:ind w:left="567"/>
        <w:outlineLvl w:val="0"/>
        <w:rPr>
          <w:b/>
          <w:highlight w:val="green"/>
          <w:lang w:val="es-ES"/>
        </w:rPr>
      </w:pPr>
    </w:p>
    <w:p w14:paraId="620C66F4" w14:textId="77A9BEC1" w:rsidR="00EF5269" w:rsidRPr="00C12877" w:rsidRDefault="008851AA" w:rsidP="000620E1">
      <w:pPr>
        <w:pStyle w:val="ARTICULOS"/>
        <w:numPr>
          <w:ilvl w:val="0"/>
          <w:numId w:val="0"/>
        </w:numPr>
        <w:tabs>
          <w:tab w:val="clear" w:pos="1559"/>
        </w:tabs>
        <w:ind w:left="567"/>
        <w:outlineLvl w:val="0"/>
        <w:rPr>
          <w:bCs w:val="0"/>
          <w:lang w:val="es-ES"/>
        </w:rPr>
      </w:pPr>
      <w:r w:rsidRPr="00C12877">
        <w:rPr>
          <w:b/>
          <w:lang w:val="es-ES"/>
        </w:rPr>
        <w:t>Parágrafo 2.</w:t>
      </w:r>
      <w:r w:rsidRPr="00C12877">
        <w:rPr>
          <w:bCs w:val="0"/>
          <w:lang w:val="es-ES"/>
        </w:rPr>
        <w:t xml:space="preserve"> L</w:t>
      </w:r>
      <w:r w:rsidR="00D1286F" w:rsidRPr="00C12877">
        <w:rPr>
          <w:bCs w:val="0"/>
          <w:lang w:val="es-ES"/>
        </w:rPr>
        <w:t>o</w:t>
      </w:r>
      <w:r w:rsidRPr="00C12877">
        <w:rPr>
          <w:bCs w:val="0"/>
          <w:lang w:val="es-ES"/>
        </w:rPr>
        <w:t xml:space="preserve">s </w:t>
      </w:r>
      <w:r w:rsidR="00D1286F" w:rsidRPr="00C12877">
        <w:rPr>
          <w:bCs w:val="0"/>
          <w:lang w:val="es-ES"/>
        </w:rPr>
        <w:t>requisitos</w:t>
      </w:r>
      <w:r w:rsidRPr="00C12877">
        <w:rPr>
          <w:bCs w:val="0"/>
          <w:lang w:val="es-ES"/>
        </w:rPr>
        <w:t xml:space="preserve"> mínim</w:t>
      </w:r>
      <w:r w:rsidR="00D1286F" w:rsidRPr="00C12877">
        <w:rPr>
          <w:bCs w:val="0"/>
          <w:lang w:val="es-ES"/>
        </w:rPr>
        <w:t>o</w:t>
      </w:r>
      <w:r w:rsidRPr="00C12877">
        <w:rPr>
          <w:bCs w:val="0"/>
          <w:lang w:val="es-ES"/>
        </w:rPr>
        <w:t xml:space="preserve">s de la CREG </w:t>
      </w:r>
      <w:r w:rsidR="00E03384">
        <w:rPr>
          <w:bCs w:val="0"/>
          <w:lang w:val="es-ES"/>
        </w:rPr>
        <w:t>que se apliquen</w:t>
      </w:r>
      <w:r w:rsidRPr="00C12877">
        <w:rPr>
          <w:bCs w:val="0"/>
          <w:lang w:val="es-ES"/>
        </w:rPr>
        <w:t xml:space="preserve"> </w:t>
      </w:r>
      <w:r w:rsidR="00D11CCD">
        <w:rPr>
          <w:bCs w:val="0"/>
          <w:lang w:val="es-ES"/>
        </w:rPr>
        <w:t>durante</w:t>
      </w:r>
      <w:r w:rsidRPr="00C12877">
        <w:rPr>
          <w:bCs w:val="0"/>
          <w:lang w:val="es-ES"/>
        </w:rPr>
        <w:t xml:space="preserve"> la ejecución de</w:t>
      </w:r>
      <w:r w:rsidR="00350C8C" w:rsidRPr="00C12877">
        <w:rPr>
          <w:bCs w:val="0"/>
          <w:lang w:val="es-ES"/>
        </w:rPr>
        <w:t xml:space="preserve"> </w:t>
      </w:r>
      <w:r w:rsidRPr="00C12877">
        <w:rPr>
          <w:bCs w:val="0"/>
          <w:lang w:val="es-ES"/>
        </w:rPr>
        <w:t>l</w:t>
      </w:r>
      <w:r w:rsidR="00350C8C" w:rsidRPr="00C12877">
        <w:rPr>
          <w:bCs w:val="0"/>
          <w:lang w:val="es-ES"/>
        </w:rPr>
        <w:t>os</w:t>
      </w:r>
      <w:r w:rsidRPr="00C12877">
        <w:rPr>
          <w:bCs w:val="0"/>
          <w:lang w:val="es-ES"/>
        </w:rPr>
        <w:t xml:space="preserve"> contrato</w:t>
      </w:r>
      <w:r w:rsidR="00350C8C" w:rsidRPr="00C12877">
        <w:rPr>
          <w:bCs w:val="0"/>
          <w:lang w:val="es-ES"/>
        </w:rPr>
        <w:t>s</w:t>
      </w:r>
      <w:r w:rsidRPr="00C12877">
        <w:rPr>
          <w:bCs w:val="0"/>
          <w:lang w:val="es-ES"/>
        </w:rPr>
        <w:t xml:space="preserve"> de suministro</w:t>
      </w:r>
      <w:r w:rsidR="00597BDB">
        <w:rPr>
          <w:bCs w:val="0"/>
          <w:lang w:val="es-ES"/>
        </w:rPr>
        <w:t xml:space="preserve"> de tipo </w:t>
      </w:r>
      <w:proofErr w:type="gramStart"/>
      <w:r w:rsidR="00597BDB">
        <w:rPr>
          <w:bCs w:val="0"/>
          <w:lang w:val="es-ES"/>
        </w:rPr>
        <w:t>firme</w:t>
      </w:r>
      <w:r w:rsidRPr="00C12877">
        <w:rPr>
          <w:bCs w:val="0"/>
          <w:lang w:val="es-ES"/>
        </w:rPr>
        <w:t>,</w:t>
      </w:r>
      <w:proofErr w:type="gramEnd"/>
      <w:r w:rsidRPr="00C12877">
        <w:rPr>
          <w:bCs w:val="0"/>
          <w:lang w:val="es-ES"/>
        </w:rPr>
        <w:t xml:space="preserve"> serán l</w:t>
      </w:r>
      <w:r w:rsidR="008D5FE4" w:rsidRPr="00C12877">
        <w:rPr>
          <w:bCs w:val="0"/>
          <w:lang w:val="es-ES"/>
        </w:rPr>
        <w:t>o</w:t>
      </w:r>
      <w:r w:rsidRPr="00C12877">
        <w:rPr>
          <w:bCs w:val="0"/>
          <w:lang w:val="es-ES"/>
        </w:rPr>
        <w:t>s establecid</w:t>
      </w:r>
      <w:r w:rsidR="006E4B79" w:rsidRPr="00C12877">
        <w:rPr>
          <w:bCs w:val="0"/>
          <w:lang w:val="es-ES"/>
        </w:rPr>
        <w:t>o</w:t>
      </w:r>
      <w:r w:rsidRPr="00C12877">
        <w:rPr>
          <w:bCs w:val="0"/>
          <w:lang w:val="es-ES"/>
        </w:rPr>
        <w:t xml:space="preserve">s al momento </w:t>
      </w:r>
      <w:r w:rsidR="008E1DCA" w:rsidRPr="00C12877">
        <w:rPr>
          <w:bCs w:val="0"/>
          <w:lang w:val="es-ES"/>
        </w:rPr>
        <w:t>de la suscripción</w:t>
      </w:r>
      <w:r w:rsidRPr="00C12877">
        <w:rPr>
          <w:bCs w:val="0"/>
          <w:lang w:val="es-ES"/>
        </w:rPr>
        <w:t xml:space="preserve"> del contrato </w:t>
      </w:r>
      <w:r w:rsidR="00AA001B">
        <w:rPr>
          <w:bCs w:val="0"/>
          <w:lang w:val="es-ES"/>
        </w:rPr>
        <w:t xml:space="preserve">realizado </w:t>
      </w:r>
      <w:r w:rsidR="006E4B79" w:rsidRPr="00C12877">
        <w:rPr>
          <w:bCs w:val="0"/>
          <w:lang w:val="es-ES"/>
        </w:rPr>
        <w:t>entre las partes</w:t>
      </w:r>
      <w:r w:rsidRPr="00C12877">
        <w:rPr>
          <w:bCs w:val="0"/>
          <w:lang w:val="es-ES"/>
        </w:rPr>
        <w:t>.</w:t>
      </w:r>
      <w:r w:rsidR="00350C8C" w:rsidRPr="00C12877">
        <w:rPr>
          <w:bCs w:val="0"/>
          <w:lang w:val="es-ES"/>
        </w:rPr>
        <w:t xml:space="preserve"> En todo caso, las partes podrán acogerse voluntariamente a l</w:t>
      </w:r>
      <w:r w:rsidR="0064685C" w:rsidRPr="00C12877">
        <w:rPr>
          <w:bCs w:val="0"/>
          <w:lang w:val="es-ES"/>
        </w:rPr>
        <w:t>o</w:t>
      </w:r>
      <w:r w:rsidR="00350C8C" w:rsidRPr="00C12877">
        <w:rPr>
          <w:bCs w:val="0"/>
          <w:lang w:val="es-ES"/>
        </w:rPr>
        <w:t xml:space="preserve">s </w:t>
      </w:r>
      <w:r w:rsidR="00E23982" w:rsidRPr="00C12877">
        <w:rPr>
          <w:bCs w:val="0"/>
          <w:lang w:val="es-ES"/>
        </w:rPr>
        <w:t xml:space="preserve">nuevos </w:t>
      </w:r>
      <w:r w:rsidR="0064685C" w:rsidRPr="00C12877">
        <w:rPr>
          <w:bCs w:val="0"/>
          <w:lang w:val="es-ES"/>
        </w:rPr>
        <w:t>requisitos</w:t>
      </w:r>
      <w:r w:rsidR="008D00FC">
        <w:rPr>
          <w:bCs w:val="0"/>
          <w:lang w:val="es-ES"/>
        </w:rPr>
        <w:t>,</w:t>
      </w:r>
      <w:r w:rsidR="0064685C" w:rsidRPr="00C12877">
        <w:rPr>
          <w:bCs w:val="0"/>
          <w:lang w:val="es-ES"/>
        </w:rPr>
        <w:t xml:space="preserve"> en caso de que</w:t>
      </w:r>
      <w:r w:rsidR="00350C8C" w:rsidRPr="00C12877">
        <w:rPr>
          <w:bCs w:val="0"/>
          <w:lang w:val="es-ES"/>
        </w:rPr>
        <w:t xml:space="preserve"> la CREG</w:t>
      </w:r>
      <w:r w:rsidR="0064685C" w:rsidRPr="00C12877">
        <w:rPr>
          <w:bCs w:val="0"/>
          <w:lang w:val="es-ES"/>
        </w:rPr>
        <w:t xml:space="preserve"> los modifique</w:t>
      </w:r>
      <w:r w:rsidR="00A73848" w:rsidRPr="00C12877">
        <w:rPr>
          <w:bCs w:val="0"/>
          <w:lang w:val="es-ES"/>
        </w:rPr>
        <w:t xml:space="preserve"> de manera general </w:t>
      </w:r>
      <w:r w:rsidR="00C12877" w:rsidRPr="00C12877">
        <w:rPr>
          <w:bCs w:val="0"/>
          <w:lang w:val="es-ES"/>
        </w:rPr>
        <w:t xml:space="preserve">en forme </w:t>
      </w:r>
      <w:r w:rsidR="00A73848" w:rsidRPr="00C12877">
        <w:rPr>
          <w:bCs w:val="0"/>
          <w:lang w:val="es-ES"/>
        </w:rPr>
        <w:t xml:space="preserve">posterior, </w:t>
      </w:r>
      <w:r w:rsidR="008D00FC">
        <w:rPr>
          <w:bCs w:val="0"/>
          <w:lang w:val="es-ES"/>
        </w:rPr>
        <w:t xml:space="preserve">previo al inicio de ejecución o </w:t>
      </w:r>
      <w:r w:rsidR="0064685C" w:rsidRPr="00C12877">
        <w:rPr>
          <w:bCs w:val="0"/>
          <w:lang w:val="es-ES"/>
        </w:rPr>
        <w:t xml:space="preserve">durante </w:t>
      </w:r>
      <w:r w:rsidR="008D00FC">
        <w:rPr>
          <w:bCs w:val="0"/>
          <w:lang w:val="es-ES"/>
        </w:rPr>
        <w:t>la misma</w:t>
      </w:r>
      <w:r w:rsidR="00350C8C" w:rsidRPr="00C12877">
        <w:rPr>
          <w:bCs w:val="0"/>
          <w:lang w:val="es-ES"/>
        </w:rPr>
        <w:t>.</w:t>
      </w:r>
      <w:r w:rsidR="008D00FC">
        <w:rPr>
          <w:bCs w:val="0"/>
          <w:lang w:val="es-ES"/>
        </w:rPr>
        <w:t xml:space="preserve"> </w:t>
      </w:r>
      <w:r w:rsidR="007C4634">
        <w:rPr>
          <w:bCs w:val="0"/>
          <w:lang w:val="es-ES"/>
        </w:rPr>
        <w:t xml:space="preserve">Para efectos de lo anterior, los vendedores deberán comunicar al gestor del mercado que se ha suscrito </w:t>
      </w:r>
      <w:r w:rsidR="00FD1C2F">
        <w:rPr>
          <w:bCs w:val="0"/>
          <w:lang w:val="es-ES"/>
        </w:rPr>
        <w:t xml:space="preserve">el contrato o acuerdo comercial de largo plazo o similares, </w:t>
      </w:r>
      <w:r w:rsidR="009B2CFE">
        <w:rPr>
          <w:bCs w:val="0"/>
          <w:lang w:val="es-ES"/>
        </w:rPr>
        <w:t>dentro de los diez (10) días hábiles siguientes</w:t>
      </w:r>
      <w:r w:rsidR="00A4101C">
        <w:rPr>
          <w:bCs w:val="0"/>
          <w:lang w:val="es-ES"/>
        </w:rPr>
        <w:t>, anexando la información con que se cuente de la establecida en el</w:t>
      </w:r>
      <w:r w:rsidR="003A7B63">
        <w:rPr>
          <w:bCs w:val="0"/>
          <w:lang w:val="es-ES"/>
        </w:rPr>
        <w:t xml:space="preserve"> numeral 1.1 del</w:t>
      </w:r>
      <w:r w:rsidR="00A4101C">
        <w:rPr>
          <w:bCs w:val="0"/>
          <w:lang w:val="es-ES"/>
        </w:rPr>
        <w:t xml:space="preserve"> Anexo 1 de la presente Resolución</w:t>
      </w:r>
      <w:r w:rsidR="009B2CFE">
        <w:rPr>
          <w:bCs w:val="0"/>
          <w:lang w:val="es-ES"/>
        </w:rPr>
        <w:t xml:space="preserve">. </w:t>
      </w:r>
    </w:p>
    <w:p w14:paraId="5020DD15" w14:textId="77777777" w:rsidR="00EF5269" w:rsidRDefault="00EF5269" w:rsidP="000620E1">
      <w:pPr>
        <w:pStyle w:val="ARTICULOS"/>
        <w:numPr>
          <w:ilvl w:val="0"/>
          <w:numId w:val="0"/>
        </w:numPr>
        <w:tabs>
          <w:tab w:val="clear" w:pos="1559"/>
        </w:tabs>
        <w:outlineLvl w:val="0"/>
        <w:rPr>
          <w:b/>
          <w:lang w:val="es-ES"/>
        </w:rPr>
      </w:pPr>
    </w:p>
    <w:p w14:paraId="2242CF8C" w14:textId="5B8F1E69" w:rsidR="003921F8" w:rsidRPr="00C12877" w:rsidRDefault="00F26899" w:rsidP="000620E1">
      <w:pPr>
        <w:pStyle w:val="ARTICULOS"/>
        <w:numPr>
          <w:ilvl w:val="0"/>
          <w:numId w:val="0"/>
        </w:numPr>
        <w:tabs>
          <w:tab w:val="clear" w:pos="1559"/>
        </w:tabs>
        <w:outlineLvl w:val="0"/>
        <w:rPr>
          <w:bCs w:val="0"/>
          <w:lang w:val="es-ES"/>
        </w:rPr>
      </w:pPr>
      <w:r w:rsidRPr="009F7CB7">
        <w:rPr>
          <w:b/>
          <w:lang w:val="es-ES"/>
        </w:rPr>
        <w:t xml:space="preserve">ARTÍCULO </w:t>
      </w:r>
      <w:r w:rsidR="00621BAD" w:rsidRPr="009F7CB7">
        <w:rPr>
          <w:b/>
          <w:lang w:val="es-ES"/>
        </w:rPr>
        <w:t>4</w:t>
      </w:r>
      <w:r w:rsidRPr="009F7CB7">
        <w:rPr>
          <w:b/>
          <w:lang w:val="es-ES"/>
        </w:rPr>
        <w:t xml:space="preserve">. </w:t>
      </w:r>
      <w:r w:rsidR="001100BC" w:rsidRPr="00C12877">
        <w:rPr>
          <w:bCs w:val="0"/>
          <w:lang w:val="es-ES"/>
        </w:rPr>
        <w:t>Adiciona</w:t>
      </w:r>
      <w:r w:rsidR="00403492" w:rsidRPr="00C12877">
        <w:rPr>
          <w:bCs w:val="0"/>
          <w:lang w:val="es-ES"/>
        </w:rPr>
        <w:t>r</w:t>
      </w:r>
      <w:r w:rsidR="001100BC" w:rsidRPr="00C12877">
        <w:rPr>
          <w:bCs w:val="0"/>
          <w:lang w:val="es-ES"/>
        </w:rPr>
        <w:t xml:space="preserve"> </w:t>
      </w:r>
      <w:r w:rsidR="005102A2" w:rsidRPr="00C12877">
        <w:rPr>
          <w:bCs w:val="0"/>
          <w:lang w:val="es-ES"/>
        </w:rPr>
        <w:t>los</w:t>
      </w:r>
      <w:r w:rsidR="003921F8" w:rsidRPr="00C12877">
        <w:rPr>
          <w:bCs w:val="0"/>
          <w:lang w:val="es-ES"/>
        </w:rPr>
        <w:t xml:space="preserve"> </w:t>
      </w:r>
      <w:r w:rsidR="00A30926" w:rsidRPr="00C12877">
        <w:rPr>
          <w:bCs w:val="0"/>
          <w:lang w:val="es-ES"/>
        </w:rPr>
        <w:t>numeral</w:t>
      </w:r>
      <w:r w:rsidR="005102A2" w:rsidRPr="00C12877">
        <w:rPr>
          <w:bCs w:val="0"/>
          <w:lang w:val="es-ES"/>
        </w:rPr>
        <w:t>es</w:t>
      </w:r>
      <w:r w:rsidR="00A30926" w:rsidRPr="00C12877">
        <w:rPr>
          <w:bCs w:val="0"/>
          <w:lang w:val="es-ES"/>
        </w:rPr>
        <w:t xml:space="preserve"> 5</w:t>
      </w:r>
      <w:r w:rsidR="005102A2" w:rsidRPr="00C12877">
        <w:rPr>
          <w:bCs w:val="0"/>
          <w:lang w:val="es-ES"/>
        </w:rPr>
        <w:t xml:space="preserve"> y 6</w:t>
      </w:r>
      <w:r w:rsidR="00A30926" w:rsidRPr="00C12877">
        <w:rPr>
          <w:bCs w:val="0"/>
          <w:lang w:val="es-ES"/>
        </w:rPr>
        <w:t xml:space="preserve"> a</w:t>
      </w:r>
      <w:r w:rsidR="00AD2AB3" w:rsidRPr="00C12877">
        <w:rPr>
          <w:bCs w:val="0"/>
          <w:lang w:val="es-ES"/>
        </w:rPr>
        <w:t>l</w:t>
      </w:r>
      <w:r w:rsidR="00A30926" w:rsidRPr="00C12877">
        <w:rPr>
          <w:bCs w:val="0"/>
          <w:lang w:val="es-ES"/>
        </w:rPr>
        <w:t xml:space="preserve"> </w:t>
      </w:r>
      <w:r w:rsidR="008F11E3" w:rsidRPr="00C12877">
        <w:rPr>
          <w:bCs w:val="0"/>
          <w:lang w:val="es-ES"/>
        </w:rPr>
        <w:t>artículo</w:t>
      </w:r>
      <w:r w:rsidR="003921F8" w:rsidRPr="00C12877">
        <w:rPr>
          <w:bCs w:val="0"/>
          <w:lang w:val="es-ES"/>
        </w:rPr>
        <w:t xml:space="preserve"> 1</w:t>
      </w:r>
      <w:r w:rsidR="00A30926" w:rsidRPr="00C12877">
        <w:rPr>
          <w:bCs w:val="0"/>
          <w:lang w:val="es-ES"/>
        </w:rPr>
        <w:t>1</w:t>
      </w:r>
      <w:r w:rsidR="003921F8" w:rsidRPr="00C12877">
        <w:rPr>
          <w:bCs w:val="0"/>
          <w:lang w:val="es-ES"/>
        </w:rPr>
        <w:t xml:space="preserve"> de la Resolución CREG 186 de 2020, </w:t>
      </w:r>
      <w:r w:rsidR="005102A2" w:rsidRPr="00C12877">
        <w:rPr>
          <w:bCs w:val="0"/>
          <w:lang w:val="es-ES"/>
        </w:rPr>
        <w:t>los</w:t>
      </w:r>
      <w:r w:rsidR="003921F8" w:rsidRPr="00C12877">
        <w:rPr>
          <w:bCs w:val="0"/>
          <w:lang w:val="es-ES"/>
        </w:rPr>
        <w:t xml:space="preserve"> cual</w:t>
      </w:r>
      <w:r w:rsidR="005102A2" w:rsidRPr="00C12877">
        <w:rPr>
          <w:bCs w:val="0"/>
          <w:lang w:val="es-ES"/>
        </w:rPr>
        <w:t>es</w:t>
      </w:r>
      <w:r w:rsidR="003921F8" w:rsidRPr="00C12877">
        <w:rPr>
          <w:bCs w:val="0"/>
          <w:lang w:val="es-ES"/>
        </w:rPr>
        <w:t xml:space="preserve"> quedará</w:t>
      </w:r>
      <w:r w:rsidR="005102A2" w:rsidRPr="00C12877">
        <w:rPr>
          <w:bCs w:val="0"/>
          <w:lang w:val="es-ES"/>
        </w:rPr>
        <w:t>n</w:t>
      </w:r>
      <w:r w:rsidR="003921F8" w:rsidRPr="00C12877">
        <w:rPr>
          <w:bCs w:val="0"/>
          <w:lang w:val="es-ES"/>
        </w:rPr>
        <w:t xml:space="preserve"> así:</w:t>
      </w:r>
    </w:p>
    <w:p w14:paraId="5AA29ECA" w14:textId="77777777" w:rsidR="00A30926" w:rsidRDefault="00A30926" w:rsidP="000620E1">
      <w:pPr>
        <w:pStyle w:val="ARTICULOS"/>
        <w:numPr>
          <w:ilvl w:val="0"/>
          <w:numId w:val="0"/>
        </w:numPr>
        <w:outlineLvl w:val="0"/>
        <w:rPr>
          <w:b/>
          <w:highlight w:val="green"/>
          <w:lang w:val="es-ES"/>
        </w:rPr>
      </w:pPr>
    </w:p>
    <w:p w14:paraId="5D15A06A" w14:textId="1A61A522" w:rsidR="005102A2" w:rsidRPr="00C12877" w:rsidRDefault="00A30926" w:rsidP="000620E1">
      <w:pPr>
        <w:pStyle w:val="ARTICULOS"/>
        <w:numPr>
          <w:ilvl w:val="0"/>
          <w:numId w:val="0"/>
        </w:numPr>
        <w:ind w:left="1134" w:hanging="567"/>
        <w:outlineLvl w:val="0"/>
        <w:rPr>
          <w:bCs w:val="0"/>
          <w:lang w:val="es-ES"/>
        </w:rPr>
      </w:pPr>
      <w:r w:rsidRPr="00C12877">
        <w:rPr>
          <w:bCs w:val="0"/>
          <w:lang w:val="es-ES"/>
        </w:rPr>
        <w:t xml:space="preserve">5. </w:t>
      </w:r>
      <w:r w:rsidR="004E66A2" w:rsidRPr="00C12877">
        <w:rPr>
          <w:bCs w:val="0"/>
          <w:lang w:val="es-ES"/>
        </w:rPr>
        <w:tab/>
      </w:r>
      <w:r w:rsidR="001E26A3" w:rsidRPr="00C12877">
        <w:rPr>
          <w:bCs w:val="0"/>
          <w:lang w:val="es-ES"/>
        </w:rPr>
        <w:t>Lo</w:t>
      </w:r>
      <w:r w:rsidR="006E79CE" w:rsidRPr="00C12877">
        <w:rPr>
          <w:bCs w:val="0"/>
          <w:lang w:val="es-ES"/>
        </w:rPr>
        <w:t xml:space="preserve">s </w:t>
      </w:r>
      <w:r w:rsidR="001E26A3" w:rsidRPr="00C12877">
        <w:rPr>
          <w:bCs w:val="0"/>
          <w:lang w:val="es-ES"/>
        </w:rPr>
        <w:t>eventos de fuerza mayor, caso fortuito o causa extraña, eventos eximentes y labores programadas para reparaciones técnicas o mantenimientos periódicos de la infraestructura de transporte del SNT, incluida la infraestructura de importación, que contiene el punto de entrada que sirve como punto de entrega del respectivo contrato de suministro, siempre que de ello se dé aviso amplio y oportuno conforme al protocolo al que se hace referencia en el parágrafo 3 de este artículo, y el parágrafo 3 del artículo 11 de la Resolución CREG 185 de 2020, o aquellas que la modifiquen o sustituyan.</w:t>
      </w:r>
    </w:p>
    <w:p w14:paraId="29A0850F" w14:textId="77777777" w:rsidR="005102A2" w:rsidRPr="00C12877" w:rsidRDefault="005102A2" w:rsidP="000620E1">
      <w:pPr>
        <w:pStyle w:val="ARTICULOS"/>
        <w:numPr>
          <w:ilvl w:val="0"/>
          <w:numId w:val="0"/>
        </w:numPr>
        <w:ind w:left="993" w:hanging="426"/>
        <w:outlineLvl w:val="0"/>
        <w:rPr>
          <w:bCs w:val="0"/>
          <w:lang w:val="es-ES"/>
        </w:rPr>
      </w:pPr>
    </w:p>
    <w:p w14:paraId="6590E86C" w14:textId="5B8347F4" w:rsidR="00322C30" w:rsidRDefault="005102A2" w:rsidP="000620E1">
      <w:pPr>
        <w:pStyle w:val="ARTICULOS"/>
        <w:numPr>
          <w:ilvl w:val="0"/>
          <w:numId w:val="0"/>
        </w:numPr>
        <w:ind w:left="1134" w:hanging="567"/>
        <w:outlineLvl w:val="0"/>
        <w:rPr>
          <w:bCs w:val="0"/>
          <w:lang w:val="es-ES"/>
        </w:rPr>
      </w:pPr>
      <w:r w:rsidRPr="00C12877">
        <w:rPr>
          <w:bCs w:val="0"/>
          <w:lang w:val="es-ES"/>
        </w:rPr>
        <w:t xml:space="preserve">6. </w:t>
      </w:r>
      <w:r w:rsidRPr="00C12877">
        <w:rPr>
          <w:bCs w:val="0"/>
          <w:lang w:val="es-ES"/>
        </w:rPr>
        <w:tab/>
      </w:r>
      <w:r w:rsidR="00A30926" w:rsidRPr="00C12877">
        <w:rPr>
          <w:bCs w:val="0"/>
          <w:lang w:val="es-ES"/>
        </w:rPr>
        <w:t>En el caso de los contratos de tipo firme que se registren por parte de los comercializadores de gas importado, con compradores que no lo destinan para la atención de la Demanda Esencial, se podrá pactar como un evento eximente de entrega del gas</w:t>
      </w:r>
      <w:r w:rsidR="00497029" w:rsidRPr="00C12877">
        <w:rPr>
          <w:bCs w:val="0"/>
          <w:lang w:val="es-ES"/>
        </w:rPr>
        <w:t xml:space="preserve"> y si así lo acuerdan las partes</w:t>
      </w:r>
      <w:r w:rsidR="00A30926" w:rsidRPr="00C12877">
        <w:rPr>
          <w:bCs w:val="0"/>
          <w:lang w:val="es-ES"/>
        </w:rPr>
        <w:t xml:space="preserve">, la situación que se presenta cuando la nominación total recibida por el operador de la infraestructura de regasificación para un mismo día de gas, no sea igual o superior al valor del mínimo operativo técnico requerido para la regasificación del gas natural licuado. </w:t>
      </w:r>
    </w:p>
    <w:p w14:paraId="705105A2" w14:textId="77777777" w:rsidR="00944D3D" w:rsidRPr="00C12877" w:rsidRDefault="00944D3D" w:rsidP="000620E1">
      <w:pPr>
        <w:pStyle w:val="ARTICULOS"/>
        <w:numPr>
          <w:ilvl w:val="0"/>
          <w:numId w:val="0"/>
        </w:numPr>
        <w:ind w:left="1134" w:hanging="567"/>
        <w:outlineLvl w:val="0"/>
        <w:rPr>
          <w:bCs w:val="0"/>
          <w:lang w:val="es-ES"/>
        </w:rPr>
      </w:pPr>
    </w:p>
    <w:p w14:paraId="4A7F50A6" w14:textId="665BD221" w:rsidR="00A30926" w:rsidRPr="00C12877" w:rsidRDefault="00A30926" w:rsidP="000620E1">
      <w:pPr>
        <w:pStyle w:val="ARTICULOS"/>
        <w:numPr>
          <w:ilvl w:val="0"/>
          <w:numId w:val="0"/>
        </w:numPr>
        <w:tabs>
          <w:tab w:val="clear" w:pos="1559"/>
        </w:tabs>
        <w:ind w:left="1134"/>
        <w:outlineLvl w:val="0"/>
        <w:rPr>
          <w:bCs w:val="0"/>
          <w:lang w:val="es-ES"/>
        </w:rPr>
      </w:pPr>
      <w:r w:rsidRPr="00C12877">
        <w:rPr>
          <w:bCs w:val="0"/>
          <w:lang w:val="es-ES"/>
        </w:rPr>
        <w:t xml:space="preserve">En los contratos de tipo firme </w:t>
      </w:r>
      <w:r w:rsidR="00322C30" w:rsidRPr="00C12877">
        <w:rPr>
          <w:bCs w:val="0"/>
          <w:lang w:val="es-ES"/>
        </w:rPr>
        <w:t>que se registren por parte de los comercializadores de gas importado, con compradores que lo destinan para la atención de</w:t>
      </w:r>
      <w:r w:rsidRPr="00C12877">
        <w:rPr>
          <w:bCs w:val="0"/>
          <w:lang w:val="es-ES"/>
        </w:rPr>
        <w:t xml:space="preserve"> la Demanda Esencial</w:t>
      </w:r>
      <w:r w:rsidR="00322C30" w:rsidRPr="00C12877">
        <w:rPr>
          <w:bCs w:val="0"/>
          <w:lang w:val="es-ES"/>
        </w:rPr>
        <w:t>,</w:t>
      </w:r>
      <w:r w:rsidRPr="00C12877">
        <w:rPr>
          <w:bCs w:val="0"/>
          <w:lang w:val="es-ES"/>
        </w:rPr>
        <w:t xml:space="preserve"> se</w:t>
      </w:r>
      <w:r w:rsidR="00322C30" w:rsidRPr="00C12877">
        <w:rPr>
          <w:bCs w:val="0"/>
          <w:lang w:val="es-ES"/>
        </w:rPr>
        <w:t xml:space="preserve"> </w:t>
      </w:r>
      <w:r w:rsidRPr="00C12877">
        <w:rPr>
          <w:bCs w:val="0"/>
          <w:lang w:val="es-ES"/>
        </w:rPr>
        <w:t xml:space="preserve">considerará como incumplimiento </w:t>
      </w:r>
      <w:r w:rsidR="00322C30" w:rsidRPr="00C12877">
        <w:rPr>
          <w:bCs w:val="0"/>
          <w:lang w:val="es-ES"/>
        </w:rPr>
        <w:t xml:space="preserve">por parte del vendedor, </w:t>
      </w:r>
      <w:r w:rsidRPr="00C12877">
        <w:rPr>
          <w:bCs w:val="0"/>
          <w:lang w:val="es-ES"/>
        </w:rPr>
        <w:t>la no entrega del gas nominado por el comprador, cualquiera sea dicha cantidad</w:t>
      </w:r>
      <w:r w:rsidR="00194D01">
        <w:rPr>
          <w:bCs w:val="0"/>
          <w:lang w:val="es-ES"/>
        </w:rPr>
        <w:t>,</w:t>
      </w:r>
      <w:r w:rsidRPr="00C12877">
        <w:rPr>
          <w:bCs w:val="0"/>
          <w:lang w:val="es-ES"/>
        </w:rPr>
        <w:t xml:space="preserve"> siempre que no supere la cantidad </w:t>
      </w:r>
      <w:r w:rsidR="00AB37C6" w:rsidRPr="00C12877">
        <w:rPr>
          <w:bCs w:val="0"/>
          <w:lang w:val="es-ES"/>
        </w:rPr>
        <w:t xml:space="preserve">máxima </w:t>
      </w:r>
      <w:r w:rsidRPr="00C12877">
        <w:rPr>
          <w:bCs w:val="0"/>
          <w:lang w:val="es-ES"/>
        </w:rPr>
        <w:t>contratada, sin excepción alguna</w:t>
      </w:r>
      <w:r w:rsidR="00AB37C6" w:rsidRPr="00C12877">
        <w:rPr>
          <w:bCs w:val="0"/>
          <w:lang w:val="es-ES"/>
        </w:rPr>
        <w:t>,</w:t>
      </w:r>
      <w:r w:rsidR="00322C30" w:rsidRPr="00C12877">
        <w:rPr>
          <w:bCs w:val="0"/>
          <w:lang w:val="es-ES"/>
        </w:rPr>
        <w:t xml:space="preserve"> incluso cuando la nominación total recibida por el operador de la infraestructura de regasificación para un mismo día de gas, no sea igual o superior al valor del mínimo operativo técnico requerido para la </w:t>
      </w:r>
      <w:r w:rsidR="00322C30" w:rsidRPr="00C12877">
        <w:rPr>
          <w:bCs w:val="0"/>
          <w:lang w:val="es-ES"/>
        </w:rPr>
        <w:lastRenderedPageBreak/>
        <w:t>regasificación del gas natural licuado.</w:t>
      </w:r>
    </w:p>
    <w:p w14:paraId="1145C341" w14:textId="77777777" w:rsidR="00A30926" w:rsidRPr="00C12877" w:rsidRDefault="00A30926" w:rsidP="000620E1">
      <w:pPr>
        <w:pStyle w:val="ARTICULOS"/>
        <w:numPr>
          <w:ilvl w:val="0"/>
          <w:numId w:val="0"/>
        </w:numPr>
        <w:ind w:left="567"/>
        <w:outlineLvl w:val="0"/>
        <w:rPr>
          <w:bCs w:val="0"/>
          <w:lang w:val="es-ES"/>
        </w:rPr>
      </w:pPr>
    </w:p>
    <w:p w14:paraId="04962C37" w14:textId="7DAD2AD8" w:rsidR="003921F8" w:rsidRDefault="00A30926" w:rsidP="000620E1">
      <w:pPr>
        <w:pStyle w:val="ARTICULOS"/>
        <w:numPr>
          <w:ilvl w:val="0"/>
          <w:numId w:val="0"/>
        </w:numPr>
        <w:tabs>
          <w:tab w:val="clear" w:pos="1559"/>
        </w:tabs>
        <w:ind w:left="1134"/>
        <w:outlineLvl w:val="0"/>
        <w:rPr>
          <w:b/>
          <w:highlight w:val="green"/>
          <w:lang w:val="es-ES"/>
        </w:rPr>
      </w:pPr>
      <w:r w:rsidRPr="00C12877">
        <w:rPr>
          <w:bCs w:val="0"/>
          <w:lang w:val="es-ES"/>
        </w:rPr>
        <w:t>La cantidad del mínimo operativo técnico deberá ser establecida en el contrato de suministro y deberá ser igual en cualquier contrato de suministro, siempre y cuando se trate de la misma infraestructura de regasificación</w:t>
      </w:r>
      <w:r w:rsidRPr="00C12877">
        <w:rPr>
          <w:b/>
          <w:lang w:val="es-ES"/>
        </w:rPr>
        <w:t>.</w:t>
      </w:r>
      <w:r w:rsidR="003921F8" w:rsidRPr="00C12877">
        <w:rPr>
          <w:b/>
          <w:lang w:val="es-ES"/>
        </w:rPr>
        <w:t xml:space="preserve"> </w:t>
      </w:r>
    </w:p>
    <w:p w14:paraId="3F0E9CBF" w14:textId="77777777" w:rsidR="003921F8" w:rsidRDefault="003921F8" w:rsidP="000620E1">
      <w:pPr>
        <w:pStyle w:val="ARTICULOS"/>
        <w:numPr>
          <w:ilvl w:val="0"/>
          <w:numId w:val="0"/>
        </w:numPr>
        <w:tabs>
          <w:tab w:val="clear" w:pos="1559"/>
        </w:tabs>
        <w:outlineLvl w:val="0"/>
        <w:rPr>
          <w:b/>
          <w:highlight w:val="green"/>
          <w:lang w:val="es-ES"/>
        </w:rPr>
      </w:pPr>
    </w:p>
    <w:p w14:paraId="5F0E3868" w14:textId="07390EAF" w:rsidR="00F77EE1" w:rsidRPr="009F7CB7" w:rsidRDefault="00F77EE1" w:rsidP="000620E1">
      <w:pPr>
        <w:pStyle w:val="ARTICULOS"/>
        <w:numPr>
          <w:ilvl w:val="0"/>
          <w:numId w:val="0"/>
        </w:numPr>
        <w:tabs>
          <w:tab w:val="clear" w:pos="1559"/>
        </w:tabs>
        <w:outlineLvl w:val="0"/>
        <w:rPr>
          <w:bCs w:val="0"/>
          <w:lang w:val="es-ES"/>
        </w:rPr>
      </w:pPr>
      <w:r w:rsidRPr="009F7CB7">
        <w:rPr>
          <w:b/>
          <w:lang w:val="es-ES"/>
        </w:rPr>
        <w:t xml:space="preserve">ARTÍCULO </w:t>
      </w:r>
      <w:r w:rsidR="00175FDC" w:rsidRPr="009F7CB7">
        <w:rPr>
          <w:b/>
          <w:lang w:val="es-ES"/>
        </w:rPr>
        <w:t>5</w:t>
      </w:r>
      <w:r w:rsidRPr="009F7CB7">
        <w:rPr>
          <w:b/>
          <w:lang w:val="es-ES"/>
        </w:rPr>
        <w:t xml:space="preserve">. </w:t>
      </w:r>
      <w:r w:rsidRPr="00C12877">
        <w:rPr>
          <w:bCs w:val="0"/>
          <w:lang w:val="es-ES"/>
        </w:rPr>
        <w:t xml:space="preserve">Adicionar el parágrafo 6 al </w:t>
      </w:r>
      <w:r w:rsidR="008F11E3" w:rsidRPr="00C12877">
        <w:rPr>
          <w:bCs w:val="0"/>
          <w:lang w:val="es-ES"/>
        </w:rPr>
        <w:t>artículo</w:t>
      </w:r>
      <w:r w:rsidRPr="00C12877">
        <w:rPr>
          <w:bCs w:val="0"/>
          <w:lang w:val="es-ES"/>
        </w:rPr>
        <w:t xml:space="preserve"> 13 de la Resolución CREG 186 de 2020, el cual quedará así:</w:t>
      </w:r>
    </w:p>
    <w:p w14:paraId="48EE64AA" w14:textId="77777777" w:rsidR="00F77EE1" w:rsidRDefault="00F77EE1" w:rsidP="000620E1">
      <w:pPr>
        <w:pStyle w:val="ARTICULOS"/>
        <w:numPr>
          <w:ilvl w:val="0"/>
          <w:numId w:val="0"/>
        </w:numPr>
        <w:tabs>
          <w:tab w:val="clear" w:pos="1559"/>
        </w:tabs>
        <w:outlineLvl w:val="0"/>
        <w:rPr>
          <w:b/>
          <w:highlight w:val="green"/>
          <w:lang w:val="es-ES"/>
        </w:rPr>
      </w:pPr>
    </w:p>
    <w:p w14:paraId="0029A428" w14:textId="6144B629" w:rsidR="00F77EE1" w:rsidRPr="00C12877" w:rsidRDefault="00F77EE1" w:rsidP="000620E1">
      <w:pPr>
        <w:pStyle w:val="ARTICULOS"/>
        <w:numPr>
          <w:ilvl w:val="0"/>
          <w:numId w:val="0"/>
        </w:numPr>
        <w:tabs>
          <w:tab w:val="clear" w:pos="1559"/>
        </w:tabs>
        <w:ind w:left="567"/>
        <w:outlineLvl w:val="0"/>
        <w:rPr>
          <w:b/>
          <w:lang w:val="es-ES"/>
        </w:rPr>
      </w:pPr>
      <w:r w:rsidRPr="00C12877">
        <w:rPr>
          <w:b/>
          <w:lang w:val="es-ES"/>
        </w:rPr>
        <w:t xml:space="preserve">Parágrafo 6. </w:t>
      </w:r>
      <w:r w:rsidRPr="00C12877">
        <w:rPr>
          <w:bCs w:val="0"/>
          <w:lang w:val="es-ES"/>
        </w:rPr>
        <w:t xml:space="preserve">No habrá incumplimiento del contrato de suministro, cuando el vendedor atienda las cantidades contractuales nominadas </w:t>
      </w:r>
      <w:r w:rsidR="00DB6003">
        <w:rPr>
          <w:bCs w:val="0"/>
          <w:lang w:val="es-ES"/>
        </w:rPr>
        <w:t>por el comprador,</w:t>
      </w:r>
      <w:r w:rsidRPr="00C12877">
        <w:rPr>
          <w:bCs w:val="0"/>
          <w:lang w:val="es-ES"/>
        </w:rPr>
        <w:t xml:space="preserve"> con gas natural proveniente de otra fuente de suministro, propia o de un tercero, diferente a la que se previó en el contrato de suministro, siempre y cuando esto no le implique al comprador asumir por esta razón, mayores costos en las demás actividades de la cadena de prestación del servicio.</w:t>
      </w:r>
    </w:p>
    <w:p w14:paraId="7120B6DF" w14:textId="77777777" w:rsidR="00F77EE1" w:rsidRDefault="00F77EE1" w:rsidP="000620E1">
      <w:pPr>
        <w:pStyle w:val="ARTICULOS"/>
        <w:numPr>
          <w:ilvl w:val="0"/>
          <w:numId w:val="0"/>
        </w:numPr>
        <w:tabs>
          <w:tab w:val="clear" w:pos="1559"/>
        </w:tabs>
        <w:outlineLvl w:val="0"/>
        <w:rPr>
          <w:b/>
          <w:highlight w:val="green"/>
          <w:lang w:val="es-ES"/>
        </w:rPr>
      </w:pPr>
    </w:p>
    <w:p w14:paraId="69DE266F" w14:textId="3AA2B6B1" w:rsidR="006D10B4" w:rsidRPr="009F7CB7" w:rsidRDefault="006D10B4" w:rsidP="000620E1">
      <w:pPr>
        <w:pStyle w:val="ARTICULOS"/>
        <w:numPr>
          <w:ilvl w:val="0"/>
          <w:numId w:val="0"/>
        </w:numPr>
        <w:tabs>
          <w:tab w:val="clear" w:pos="1559"/>
        </w:tabs>
        <w:outlineLvl w:val="0"/>
        <w:rPr>
          <w:bCs w:val="0"/>
          <w:lang w:val="es-ES"/>
        </w:rPr>
      </w:pPr>
      <w:r w:rsidRPr="009F7CB7">
        <w:rPr>
          <w:b/>
          <w:lang w:val="es-ES"/>
        </w:rPr>
        <w:t xml:space="preserve">ARTÍCULO 6. </w:t>
      </w:r>
      <w:r w:rsidRPr="00D7745A">
        <w:rPr>
          <w:bCs w:val="0"/>
          <w:lang w:val="es-ES"/>
        </w:rPr>
        <w:t xml:space="preserve">Modificar el </w:t>
      </w:r>
      <w:r w:rsidR="00BA7092" w:rsidRPr="00D7745A">
        <w:rPr>
          <w:bCs w:val="0"/>
          <w:lang w:val="es-ES"/>
        </w:rPr>
        <w:t xml:space="preserve">literal a) </w:t>
      </w:r>
      <w:r w:rsidR="004D7705" w:rsidRPr="00D7745A">
        <w:rPr>
          <w:bCs w:val="0"/>
          <w:lang w:val="es-ES"/>
        </w:rPr>
        <w:t>del numeral 1</w:t>
      </w:r>
      <w:r w:rsidR="005D6EAC">
        <w:rPr>
          <w:bCs w:val="0"/>
          <w:lang w:val="es-ES"/>
        </w:rPr>
        <w:t>.</w:t>
      </w:r>
      <w:r w:rsidR="004D7705" w:rsidRPr="00D7745A">
        <w:rPr>
          <w:bCs w:val="0"/>
          <w:lang w:val="es-ES"/>
        </w:rPr>
        <w:t xml:space="preserve"> </w:t>
      </w:r>
      <w:r w:rsidRPr="00D7745A">
        <w:rPr>
          <w:bCs w:val="0"/>
          <w:lang w:val="es-ES"/>
        </w:rPr>
        <w:t xml:space="preserve">del artículo </w:t>
      </w:r>
      <w:r w:rsidR="004D7705" w:rsidRPr="00D7745A">
        <w:rPr>
          <w:bCs w:val="0"/>
          <w:lang w:val="es-ES"/>
        </w:rPr>
        <w:t>19</w:t>
      </w:r>
      <w:r w:rsidRPr="00D7745A">
        <w:rPr>
          <w:bCs w:val="0"/>
          <w:lang w:val="es-ES"/>
        </w:rPr>
        <w:t xml:space="preserve"> de la Resolución CREG 186 de 2020, el cual quedará así:</w:t>
      </w:r>
    </w:p>
    <w:p w14:paraId="15FEAA47" w14:textId="77777777" w:rsidR="006D10B4" w:rsidRDefault="006D10B4" w:rsidP="000620E1">
      <w:pPr>
        <w:pStyle w:val="ARTICULOS"/>
        <w:numPr>
          <w:ilvl w:val="0"/>
          <w:numId w:val="0"/>
        </w:numPr>
        <w:tabs>
          <w:tab w:val="clear" w:pos="1559"/>
        </w:tabs>
        <w:outlineLvl w:val="0"/>
        <w:rPr>
          <w:b/>
          <w:highlight w:val="green"/>
          <w:lang w:val="es-ES"/>
        </w:rPr>
      </w:pPr>
    </w:p>
    <w:p w14:paraId="4801BB86" w14:textId="01D3D640" w:rsidR="00C065C1" w:rsidRPr="00C12877" w:rsidRDefault="00C065C1" w:rsidP="000620E1">
      <w:pPr>
        <w:numPr>
          <w:ilvl w:val="0"/>
          <w:numId w:val="35"/>
        </w:numPr>
        <w:autoSpaceDE w:val="0"/>
        <w:autoSpaceDN w:val="0"/>
        <w:adjustRightInd w:val="0"/>
        <w:ind w:left="1134" w:hanging="567"/>
        <w:jc w:val="both"/>
        <w:rPr>
          <w:rFonts w:ascii="Bookman Old Style" w:hAnsi="Bookman Old Style" w:cs="Arial"/>
          <w:color w:val="000000" w:themeColor="text1"/>
          <w:lang w:val="es-CO"/>
        </w:rPr>
      </w:pPr>
      <w:bookmarkStart w:id="1" w:name="_Ref334174684"/>
      <w:r w:rsidRPr="00C12877">
        <w:rPr>
          <w:rFonts w:ascii="Bookman Old Style" w:hAnsi="Bookman Old Style" w:cs="Arial"/>
          <w:color w:val="000000" w:themeColor="text1"/>
          <w:lang w:val="es-CO"/>
        </w:rPr>
        <w:t xml:space="preserve">Cuando, de conformidad con lo establecido en el artículo </w:t>
      </w:r>
      <w:r w:rsidR="00473E1B" w:rsidRPr="00C12877">
        <w:rPr>
          <w:rFonts w:ascii="Bookman Old Style" w:hAnsi="Bookman Old Style" w:cs="Arial"/>
          <w:color w:val="000000" w:themeColor="text1"/>
          <w:lang w:val="es-CO"/>
        </w:rPr>
        <w:t>2.2.2.2.24 del Decreto 1073 de 2015</w:t>
      </w:r>
      <w:r w:rsidRPr="00C12877">
        <w:rPr>
          <w:rFonts w:ascii="Bookman Old Style" w:hAnsi="Bookman Old Style" w:cs="Arial"/>
          <w:color w:val="000000" w:themeColor="text1"/>
          <w:lang w:val="es-CO"/>
        </w:rPr>
        <w:t xml:space="preserve">, o aquel que lo modifique, complemente o sustituya, </w:t>
      </w:r>
      <w:r w:rsidR="00A25D77" w:rsidRPr="00C12877">
        <w:rPr>
          <w:rFonts w:ascii="Bookman Old Style" w:hAnsi="Bookman Old Style" w:cs="Arial"/>
          <w:color w:val="000000" w:themeColor="text1"/>
          <w:lang w:val="es-CO"/>
        </w:rPr>
        <w:t xml:space="preserve">el suministro del gas natural </w:t>
      </w:r>
      <w:r w:rsidRPr="00C12877">
        <w:rPr>
          <w:rFonts w:ascii="Bookman Old Style" w:hAnsi="Bookman Old Style" w:cs="Arial"/>
          <w:color w:val="000000" w:themeColor="text1"/>
          <w:lang w:val="es-CO"/>
        </w:rPr>
        <w:t>provenga de las</w:t>
      </w:r>
      <w:r w:rsidR="00473E1B" w:rsidRPr="00C12877">
        <w:rPr>
          <w:rFonts w:ascii="Bookman Old Style" w:hAnsi="Bookman Old Style" w:cs="Arial"/>
          <w:color w:val="000000" w:themeColor="text1"/>
          <w:lang w:val="es-CO"/>
        </w:rPr>
        <w:t xml:space="preserve"> actividades que se relaciona</w:t>
      </w:r>
      <w:r w:rsidR="002E73CC" w:rsidRPr="00C12877">
        <w:rPr>
          <w:rFonts w:ascii="Bookman Old Style" w:hAnsi="Bookman Old Style" w:cs="Arial"/>
          <w:color w:val="000000" w:themeColor="text1"/>
          <w:lang w:val="es-CO"/>
        </w:rPr>
        <w:t>n</w:t>
      </w:r>
      <w:r w:rsidR="00473E1B" w:rsidRPr="00C12877">
        <w:rPr>
          <w:rFonts w:ascii="Bookman Old Style" w:hAnsi="Bookman Old Style" w:cs="Arial"/>
          <w:color w:val="000000" w:themeColor="text1"/>
          <w:lang w:val="es-CO"/>
        </w:rPr>
        <w:t xml:space="preserve"> a</w:t>
      </w:r>
      <w:r w:rsidR="002E73CC" w:rsidRPr="00C12877">
        <w:rPr>
          <w:rFonts w:ascii="Bookman Old Style" w:hAnsi="Bookman Old Style" w:cs="Arial"/>
          <w:color w:val="000000" w:themeColor="text1"/>
          <w:lang w:val="es-CO"/>
        </w:rPr>
        <w:t xml:space="preserve"> continuación</w:t>
      </w:r>
      <w:r w:rsidRPr="00C12877">
        <w:rPr>
          <w:rFonts w:ascii="Bookman Old Style" w:hAnsi="Bookman Old Style" w:cs="Arial"/>
          <w:color w:val="000000" w:themeColor="text1"/>
          <w:lang w:val="es-CO"/>
        </w:rPr>
        <w:t>:</w:t>
      </w:r>
      <w:bookmarkEnd w:id="1"/>
    </w:p>
    <w:p w14:paraId="0583EB9C" w14:textId="77777777" w:rsidR="00C065C1" w:rsidRPr="00C12877" w:rsidRDefault="00C065C1" w:rsidP="000620E1">
      <w:pPr>
        <w:pStyle w:val="Prrafodelista"/>
        <w:ind w:left="993"/>
        <w:contextualSpacing/>
        <w:jc w:val="both"/>
        <w:rPr>
          <w:rFonts w:ascii="Bookman Old Style" w:hAnsi="Bookman Old Style" w:cs="Arial"/>
          <w:color w:val="000000" w:themeColor="text1"/>
          <w:sz w:val="24"/>
          <w:szCs w:val="24"/>
        </w:rPr>
      </w:pPr>
    </w:p>
    <w:p w14:paraId="30F270AD" w14:textId="73A0CD76" w:rsidR="00C065C1" w:rsidRPr="00C12877" w:rsidRDefault="00D43ECD" w:rsidP="000620E1">
      <w:pPr>
        <w:pStyle w:val="Prrafodelista"/>
        <w:numPr>
          <w:ilvl w:val="0"/>
          <w:numId w:val="36"/>
        </w:numPr>
        <w:ind w:left="1701" w:hanging="567"/>
        <w:contextualSpacing/>
        <w:jc w:val="both"/>
        <w:rPr>
          <w:rFonts w:ascii="Bookman Old Style" w:hAnsi="Bookman Old Style" w:cs="Arial"/>
          <w:color w:val="000000" w:themeColor="text1"/>
          <w:sz w:val="24"/>
          <w:szCs w:val="24"/>
        </w:rPr>
      </w:pPr>
      <w:bookmarkStart w:id="2" w:name="_Ref355862189"/>
      <w:r w:rsidRPr="00C12877">
        <w:rPr>
          <w:rFonts w:ascii="Bookman Old Style" w:hAnsi="Bookman Old Style" w:cs="Arial"/>
          <w:color w:val="000000" w:themeColor="text1"/>
          <w:sz w:val="24"/>
          <w:szCs w:val="24"/>
        </w:rPr>
        <w:t xml:space="preserve">La comercialización </w:t>
      </w:r>
      <w:r w:rsidR="00EF4DFF" w:rsidRPr="00C12877">
        <w:rPr>
          <w:rFonts w:ascii="Bookman Old Style" w:hAnsi="Bookman Old Style" w:cs="Arial"/>
          <w:color w:val="000000" w:themeColor="text1"/>
          <w:sz w:val="24"/>
          <w:szCs w:val="24"/>
        </w:rPr>
        <w:t xml:space="preserve">de </w:t>
      </w:r>
      <w:r w:rsidR="00555CF5" w:rsidRPr="00C12877">
        <w:rPr>
          <w:rFonts w:ascii="Bookman Old Style" w:hAnsi="Bookman Old Style" w:cs="Arial"/>
          <w:color w:val="000000" w:themeColor="text1"/>
          <w:sz w:val="24"/>
          <w:szCs w:val="24"/>
        </w:rPr>
        <w:t>gas en c</w:t>
      </w:r>
      <w:r w:rsidR="00C065C1" w:rsidRPr="00C12877">
        <w:rPr>
          <w:rFonts w:ascii="Bookman Old Style" w:hAnsi="Bookman Old Style" w:cs="Arial"/>
          <w:color w:val="000000" w:themeColor="text1"/>
          <w:sz w:val="24"/>
          <w:szCs w:val="24"/>
        </w:rPr>
        <w:t xml:space="preserve">ampos </w:t>
      </w:r>
      <w:r w:rsidR="00555CF5" w:rsidRPr="00C12877">
        <w:rPr>
          <w:rFonts w:ascii="Bookman Old Style" w:hAnsi="Bookman Old Style" w:cs="Arial"/>
          <w:color w:val="000000" w:themeColor="text1"/>
          <w:sz w:val="24"/>
          <w:szCs w:val="24"/>
        </w:rPr>
        <w:t xml:space="preserve">de hidrocarburos </w:t>
      </w:r>
      <w:r w:rsidR="00C065C1" w:rsidRPr="00C12877">
        <w:rPr>
          <w:rFonts w:ascii="Bookman Old Style" w:hAnsi="Bookman Old Style" w:cs="Arial"/>
          <w:color w:val="000000" w:themeColor="text1"/>
          <w:sz w:val="24"/>
          <w:szCs w:val="24"/>
        </w:rPr>
        <w:t>que se encuentren en pruebas extensas o sobre los cuales no se haya declarado su comercialidad.</w:t>
      </w:r>
      <w:bookmarkEnd w:id="2"/>
    </w:p>
    <w:p w14:paraId="5FD96EBE" w14:textId="77777777" w:rsidR="00C065C1" w:rsidRPr="00C12877" w:rsidRDefault="00C065C1" w:rsidP="000620E1">
      <w:pPr>
        <w:pStyle w:val="Prrafodelista"/>
        <w:ind w:left="1701"/>
        <w:contextualSpacing/>
        <w:jc w:val="both"/>
        <w:rPr>
          <w:rFonts w:ascii="Bookman Old Style" w:hAnsi="Bookman Old Style" w:cs="Arial"/>
          <w:color w:val="000000" w:themeColor="text1"/>
          <w:sz w:val="24"/>
          <w:szCs w:val="24"/>
        </w:rPr>
      </w:pPr>
    </w:p>
    <w:p w14:paraId="337A5D52" w14:textId="1CAEE1EA" w:rsidR="00C065C1" w:rsidRPr="00C12877" w:rsidRDefault="009B0328" w:rsidP="000620E1">
      <w:pPr>
        <w:pStyle w:val="Prrafodelista"/>
        <w:numPr>
          <w:ilvl w:val="0"/>
          <w:numId w:val="36"/>
        </w:numPr>
        <w:ind w:left="1701" w:hanging="567"/>
        <w:contextualSpacing/>
        <w:jc w:val="both"/>
        <w:rPr>
          <w:rFonts w:ascii="Bookman Old Style" w:hAnsi="Bookman Old Style" w:cs="Arial"/>
          <w:color w:val="000000" w:themeColor="text1"/>
          <w:sz w:val="24"/>
          <w:szCs w:val="24"/>
        </w:rPr>
      </w:pPr>
      <w:r w:rsidRPr="00C12877">
        <w:rPr>
          <w:rFonts w:ascii="Bookman Old Style" w:hAnsi="Bookman Old Style" w:cs="Arial"/>
          <w:color w:val="000000" w:themeColor="text1"/>
          <w:sz w:val="24"/>
          <w:szCs w:val="24"/>
        </w:rPr>
        <w:t xml:space="preserve">La comercialización de gas en </w:t>
      </w:r>
      <w:r w:rsidR="00C065C1" w:rsidRPr="00C12877">
        <w:rPr>
          <w:rFonts w:ascii="Bookman Old Style" w:hAnsi="Bookman Old Style" w:cs="Arial"/>
          <w:color w:val="000000" w:themeColor="text1"/>
          <w:sz w:val="24"/>
          <w:szCs w:val="24"/>
        </w:rPr>
        <w:t xml:space="preserve">Campos </w:t>
      </w:r>
      <w:r w:rsidRPr="00C12877">
        <w:rPr>
          <w:rFonts w:ascii="Bookman Old Style" w:hAnsi="Bookman Old Style" w:cs="Arial"/>
          <w:color w:val="000000" w:themeColor="text1"/>
          <w:sz w:val="24"/>
          <w:szCs w:val="24"/>
        </w:rPr>
        <w:t>M</w:t>
      </w:r>
      <w:r w:rsidR="00C065C1" w:rsidRPr="00C12877">
        <w:rPr>
          <w:rFonts w:ascii="Bookman Old Style" w:hAnsi="Bookman Old Style" w:cs="Arial"/>
          <w:color w:val="000000" w:themeColor="text1"/>
          <w:sz w:val="24"/>
          <w:szCs w:val="24"/>
        </w:rPr>
        <w:t>enores.</w:t>
      </w:r>
    </w:p>
    <w:p w14:paraId="785AD4A6" w14:textId="77777777" w:rsidR="00C065C1" w:rsidRPr="00C12877" w:rsidRDefault="00C065C1" w:rsidP="000620E1">
      <w:pPr>
        <w:pStyle w:val="Prrafodelista"/>
        <w:rPr>
          <w:rFonts w:ascii="Bookman Old Style" w:hAnsi="Bookman Old Style" w:cs="Arial"/>
          <w:color w:val="000000" w:themeColor="text1"/>
          <w:sz w:val="24"/>
          <w:szCs w:val="24"/>
        </w:rPr>
      </w:pPr>
    </w:p>
    <w:p w14:paraId="4F9CD78B" w14:textId="0BBEC9C5" w:rsidR="00C065C1" w:rsidRPr="00C12877" w:rsidRDefault="009B0328" w:rsidP="000620E1">
      <w:pPr>
        <w:pStyle w:val="Prrafodelista"/>
        <w:numPr>
          <w:ilvl w:val="0"/>
          <w:numId w:val="36"/>
        </w:numPr>
        <w:ind w:left="1701" w:hanging="567"/>
        <w:contextualSpacing/>
        <w:jc w:val="both"/>
        <w:rPr>
          <w:rFonts w:ascii="Bookman Old Style" w:hAnsi="Bookman Old Style" w:cs="Arial"/>
          <w:color w:val="000000" w:themeColor="text1"/>
          <w:sz w:val="24"/>
          <w:szCs w:val="24"/>
        </w:rPr>
      </w:pPr>
      <w:r w:rsidRPr="00C12877">
        <w:rPr>
          <w:rFonts w:ascii="Bookman Old Style" w:hAnsi="Bookman Old Style" w:cs="Arial"/>
          <w:color w:val="000000" w:themeColor="text1"/>
          <w:sz w:val="24"/>
          <w:szCs w:val="24"/>
        </w:rPr>
        <w:t>La comercialización de gas en y</w:t>
      </w:r>
      <w:r w:rsidR="00C065C1" w:rsidRPr="00C12877">
        <w:rPr>
          <w:rFonts w:ascii="Bookman Old Style" w:hAnsi="Bookman Old Style" w:cs="Arial"/>
          <w:color w:val="000000" w:themeColor="text1"/>
          <w:sz w:val="24"/>
          <w:szCs w:val="24"/>
        </w:rPr>
        <w:t>acimientos no convencionales.</w:t>
      </w:r>
    </w:p>
    <w:p w14:paraId="590D6428" w14:textId="77777777" w:rsidR="00C065C1" w:rsidRPr="00C12877" w:rsidRDefault="00C065C1" w:rsidP="000620E1">
      <w:pPr>
        <w:pStyle w:val="Prrafodelista"/>
        <w:rPr>
          <w:rFonts w:ascii="Bookman Old Style" w:hAnsi="Bookman Old Style" w:cs="Arial"/>
          <w:color w:val="000000" w:themeColor="text1"/>
          <w:sz w:val="24"/>
          <w:szCs w:val="24"/>
        </w:rPr>
      </w:pPr>
    </w:p>
    <w:p w14:paraId="52E64A11" w14:textId="18081F02" w:rsidR="00C065C1" w:rsidRPr="00C12877" w:rsidRDefault="00D7511B" w:rsidP="000620E1">
      <w:pPr>
        <w:pStyle w:val="Prrafodelista"/>
        <w:numPr>
          <w:ilvl w:val="0"/>
          <w:numId w:val="36"/>
        </w:numPr>
        <w:ind w:left="1701" w:hanging="567"/>
        <w:contextualSpacing/>
        <w:jc w:val="both"/>
        <w:rPr>
          <w:rFonts w:ascii="Bookman Old Style" w:hAnsi="Bookman Old Style" w:cs="Arial"/>
          <w:color w:val="000000" w:themeColor="text1"/>
          <w:sz w:val="24"/>
          <w:szCs w:val="24"/>
        </w:rPr>
      </w:pPr>
      <w:r w:rsidRPr="00C12877">
        <w:rPr>
          <w:rFonts w:ascii="Bookman Old Style" w:hAnsi="Bookman Old Style" w:cs="Arial"/>
          <w:color w:val="000000" w:themeColor="text1"/>
          <w:sz w:val="24"/>
          <w:szCs w:val="24"/>
        </w:rPr>
        <w:t xml:space="preserve">La comercialización con destino a la demanda de gas natural eléctrica que permita inyectar energía adicional a la respaldada con Obligaciones de Energía Firme, utilizando gas de la Producción Total Disponible para la Venta (PTDV) y de la Cantidad Importada Disponible para la Venta (CIDV), </w:t>
      </w:r>
      <w:r w:rsidR="00FC4147" w:rsidRPr="00C12877">
        <w:rPr>
          <w:rFonts w:ascii="Bookman Old Style" w:hAnsi="Bookman Old Style" w:cs="Arial"/>
          <w:color w:val="000000" w:themeColor="text1"/>
          <w:sz w:val="24"/>
          <w:szCs w:val="24"/>
        </w:rPr>
        <w:t xml:space="preserve">en los términos y condiciones establecidos en </w:t>
      </w:r>
      <w:r w:rsidR="00502F8E" w:rsidRPr="00C12877">
        <w:rPr>
          <w:rFonts w:ascii="Bookman Old Style" w:hAnsi="Bookman Old Style" w:cs="Arial"/>
          <w:color w:val="000000" w:themeColor="text1"/>
          <w:sz w:val="24"/>
          <w:szCs w:val="24"/>
        </w:rPr>
        <w:t>el artículo en mención</w:t>
      </w:r>
      <w:r w:rsidR="00C47EBF" w:rsidRPr="00C12877">
        <w:rPr>
          <w:rFonts w:ascii="Bookman Old Style" w:hAnsi="Bookman Old Style" w:cs="Arial"/>
          <w:color w:val="000000" w:themeColor="text1"/>
          <w:sz w:val="24"/>
          <w:szCs w:val="24"/>
        </w:rPr>
        <w:t xml:space="preserve"> del Decreto 1073 de 2015</w:t>
      </w:r>
      <w:r w:rsidR="00502F8E" w:rsidRPr="00C12877">
        <w:rPr>
          <w:rFonts w:ascii="Bookman Old Style" w:hAnsi="Bookman Old Style" w:cs="Arial"/>
          <w:color w:val="000000" w:themeColor="text1"/>
          <w:sz w:val="24"/>
          <w:szCs w:val="24"/>
        </w:rPr>
        <w:t>.</w:t>
      </w:r>
    </w:p>
    <w:p w14:paraId="4F05D76C" w14:textId="77777777" w:rsidR="00C065C1" w:rsidRPr="0013707D" w:rsidRDefault="00C065C1" w:rsidP="000620E1">
      <w:pPr>
        <w:pStyle w:val="ARTICULOS"/>
        <w:numPr>
          <w:ilvl w:val="0"/>
          <w:numId w:val="0"/>
        </w:numPr>
        <w:ind w:left="993"/>
        <w:rPr>
          <w:color w:val="000000" w:themeColor="text1"/>
          <w:lang w:val="es-CO"/>
        </w:rPr>
      </w:pPr>
    </w:p>
    <w:p w14:paraId="3E1E58C3" w14:textId="1203DEB6" w:rsidR="002E70A6" w:rsidRPr="009F7CB7" w:rsidRDefault="003921F8" w:rsidP="000620E1">
      <w:pPr>
        <w:pStyle w:val="ARTICULOS"/>
        <w:numPr>
          <w:ilvl w:val="0"/>
          <w:numId w:val="0"/>
        </w:numPr>
        <w:tabs>
          <w:tab w:val="clear" w:pos="1559"/>
        </w:tabs>
        <w:outlineLvl w:val="0"/>
        <w:rPr>
          <w:bCs w:val="0"/>
          <w:lang w:val="es-ES"/>
        </w:rPr>
      </w:pPr>
      <w:r w:rsidRPr="009F7CB7">
        <w:rPr>
          <w:b/>
          <w:lang w:val="es-ES"/>
        </w:rPr>
        <w:t xml:space="preserve">ARTÍCULO </w:t>
      </w:r>
      <w:r w:rsidR="005D56D2" w:rsidRPr="009F7CB7">
        <w:rPr>
          <w:b/>
          <w:lang w:val="es-ES"/>
        </w:rPr>
        <w:t>7</w:t>
      </w:r>
      <w:r w:rsidRPr="009F7CB7">
        <w:rPr>
          <w:b/>
          <w:lang w:val="es-ES"/>
        </w:rPr>
        <w:t xml:space="preserve">. </w:t>
      </w:r>
      <w:r w:rsidR="002E70A6" w:rsidRPr="00C12877">
        <w:rPr>
          <w:bCs w:val="0"/>
          <w:lang w:val="es-ES"/>
        </w:rPr>
        <w:t xml:space="preserve">Modificar el Parágrafo del </w:t>
      </w:r>
      <w:r w:rsidR="008F11E3" w:rsidRPr="00C12877">
        <w:rPr>
          <w:bCs w:val="0"/>
          <w:lang w:val="es-ES"/>
        </w:rPr>
        <w:t>artículo</w:t>
      </w:r>
      <w:r w:rsidR="002E70A6" w:rsidRPr="00C12877">
        <w:rPr>
          <w:bCs w:val="0"/>
          <w:lang w:val="es-ES"/>
        </w:rPr>
        <w:t xml:space="preserve"> 20 de la Resolución CREG 186 </w:t>
      </w:r>
      <w:r w:rsidRPr="00C12877">
        <w:rPr>
          <w:bCs w:val="0"/>
          <w:lang w:val="es-ES"/>
        </w:rPr>
        <w:t>d</w:t>
      </w:r>
      <w:r w:rsidR="002E70A6" w:rsidRPr="00C12877">
        <w:rPr>
          <w:bCs w:val="0"/>
          <w:lang w:val="es-ES"/>
        </w:rPr>
        <w:t>e 2020, el cual quedará así:</w:t>
      </w:r>
    </w:p>
    <w:p w14:paraId="6BD6CC05" w14:textId="77777777" w:rsidR="002E70A6" w:rsidRDefault="002E70A6" w:rsidP="000620E1">
      <w:pPr>
        <w:pStyle w:val="ARTICULOS"/>
        <w:numPr>
          <w:ilvl w:val="0"/>
          <w:numId w:val="0"/>
        </w:numPr>
        <w:tabs>
          <w:tab w:val="clear" w:pos="1559"/>
        </w:tabs>
        <w:outlineLvl w:val="0"/>
        <w:rPr>
          <w:bCs w:val="0"/>
          <w:highlight w:val="green"/>
          <w:lang w:val="es-ES"/>
        </w:rPr>
      </w:pPr>
    </w:p>
    <w:p w14:paraId="6D05469D" w14:textId="5EDED2F3" w:rsidR="002E70A6" w:rsidRPr="002E70A6" w:rsidRDefault="002E70A6" w:rsidP="000620E1">
      <w:pPr>
        <w:pStyle w:val="ARTICULOS"/>
        <w:numPr>
          <w:ilvl w:val="0"/>
          <w:numId w:val="0"/>
        </w:numPr>
        <w:ind w:left="567"/>
        <w:outlineLvl w:val="0"/>
        <w:rPr>
          <w:bCs w:val="0"/>
          <w:highlight w:val="green"/>
          <w:lang w:val="es-ES"/>
        </w:rPr>
      </w:pPr>
      <w:r w:rsidRPr="002E70A6">
        <w:rPr>
          <w:b/>
          <w:bCs w:val="0"/>
          <w:color w:val="000000" w:themeColor="text1"/>
          <w:lang w:val="es-CO" w:eastAsia="es-ES"/>
        </w:rPr>
        <w:t>Parágrafo.</w:t>
      </w:r>
      <w:r w:rsidRPr="002E70A6">
        <w:rPr>
          <w:bCs w:val="0"/>
          <w:color w:val="000000" w:themeColor="text1"/>
          <w:lang w:val="es-CO" w:eastAsia="es-ES"/>
        </w:rPr>
        <w:t xml:space="preserve"> De esta disposición se exceptúan los casos señalados en </w:t>
      </w:r>
      <w:r w:rsidRPr="002E70A6">
        <w:rPr>
          <w:color w:val="000000" w:themeColor="text1"/>
          <w:lang w:val="es-CO"/>
        </w:rPr>
        <w:t xml:space="preserve">el numeral </w:t>
      </w:r>
      <w:r w:rsidRPr="002E70A6">
        <w:rPr>
          <w:color w:val="000000" w:themeColor="text1"/>
          <w:lang w:val="es-CO"/>
        </w:rPr>
        <w:fldChar w:fldCharType="begin"/>
      </w:r>
      <w:r w:rsidRPr="002E70A6">
        <w:rPr>
          <w:color w:val="000000" w:themeColor="text1"/>
          <w:lang w:val="es-CO"/>
        </w:rPr>
        <w:instrText xml:space="preserve"> REF _Ref355862189 \r \h  \* MERGEFORMAT </w:instrText>
      </w:r>
      <w:r w:rsidRPr="002E70A6">
        <w:rPr>
          <w:color w:val="000000" w:themeColor="text1"/>
          <w:lang w:val="es-CO"/>
        </w:rPr>
      </w:r>
      <w:r w:rsidRPr="002E70A6">
        <w:rPr>
          <w:color w:val="000000" w:themeColor="text1"/>
          <w:lang w:val="es-CO"/>
        </w:rPr>
        <w:fldChar w:fldCharType="separate"/>
      </w:r>
      <w:r w:rsidRPr="002E70A6">
        <w:rPr>
          <w:color w:val="000000" w:themeColor="text1"/>
          <w:lang w:val="es-CO"/>
        </w:rPr>
        <w:t>i</w:t>
      </w:r>
      <w:r w:rsidRPr="002E70A6">
        <w:rPr>
          <w:color w:val="000000" w:themeColor="text1"/>
          <w:lang w:val="es-CO"/>
        </w:rPr>
        <w:fldChar w:fldCharType="end"/>
      </w:r>
      <w:r w:rsidRPr="002E70A6">
        <w:rPr>
          <w:color w:val="000000" w:themeColor="text1"/>
          <w:lang w:val="es-CO"/>
        </w:rPr>
        <w:t xml:space="preserve"> del literal </w:t>
      </w:r>
      <w:r w:rsidRPr="002E70A6">
        <w:rPr>
          <w:color w:val="000000" w:themeColor="text1"/>
          <w:lang w:val="es-CO"/>
        </w:rPr>
        <w:fldChar w:fldCharType="begin"/>
      </w:r>
      <w:r w:rsidRPr="002E70A6">
        <w:rPr>
          <w:color w:val="000000" w:themeColor="text1"/>
          <w:lang w:val="es-CO"/>
        </w:rPr>
        <w:instrText xml:space="preserve"> REF _Ref334174684 \r \h  \* MERGEFORMAT </w:instrText>
      </w:r>
      <w:r w:rsidRPr="002E70A6">
        <w:rPr>
          <w:color w:val="000000" w:themeColor="text1"/>
          <w:lang w:val="es-CO"/>
        </w:rPr>
      </w:r>
      <w:r w:rsidRPr="002E70A6">
        <w:rPr>
          <w:color w:val="000000" w:themeColor="text1"/>
          <w:lang w:val="es-CO"/>
        </w:rPr>
        <w:fldChar w:fldCharType="separate"/>
      </w:r>
      <w:r w:rsidRPr="002E70A6">
        <w:rPr>
          <w:color w:val="000000" w:themeColor="text1"/>
          <w:lang w:val="es-CO"/>
        </w:rPr>
        <w:t>a)</w:t>
      </w:r>
      <w:r w:rsidRPr="002E70A6">
        <w:rPr>
          <w:color w:val="000000" w:themeColor="text1"/>
          <w:lang w:val="es-CO"/>
        </w:rPr>
        <w:fldChar w:fldCharType="end"/>
      </w:r>
      <w:r w:rsidRPr="002E70A6">
        <w:rPr>
          <w:color w:val="000000" w:themeColor="text1"/>
          <w:lang w:val="es-CO"/>
        </w:rPr>
        <w:t xml:space="preserve"> del numeral </w:t>
      </w:r>
      <w:r w:rsidRPr="002E70A6">
        <w:rPr>
          <w:color w:val="000000" w:themeColor="text1"/>
          <w:lang w:val="es-CO"/>
        </w:rPr>
        <w:fldChar w:fldCharType="begin"/>
      </w:r>
      <w:r w:rsidRPr="002E70A6">
        <w:rPr>
          <w:color w:val="000000" w:themeColor="text1"/>
          <w:lang w:val="es-CO"/>
        </w:rPr>
        <w:instrText xml:space="preserve"> REF _Ref334174068 \r \h  \* MERGEFORMAT </w:instrText>
      </w:r>
      <w:r w:rsidRPr="002E70A6">
        <w:rPr>
          <w:color w:val="000000" w:themeColor="text1"/>
          <w:lang w:val="es-CO"/>
        </w:rPr>
      </w:r>
      <w:r w:rsidRPr="002E70A6">
        <w:rPr>
          <w:color w:val="000000" w:themeColor="text1"/>
          <w:lang w:val="es-CO"/>
        </w:rPr>
        <w:fldChar w:fldCharType="separate"/>
      </w:r>
      <w:r w:rsidRPr="002E70A6">
        <w:rPr>
          <w:color w:val="000000" w:themeColor="text1"/>
          <w:lang w:val="es-CO"/>
        </w:rPr>
        <w:t>1</w:t>
      </w:r>
      <w:r w:rsidRPr="002E70A6">
        <w:rPr>
          <w:color w:val="000000" w:themeColor="text1"/>
          <w:lang w:val="es-CO"/>
        </w:rPr>
        <w:fldChar w:fldCharType="end"/>
      </w:r>
      <w:r w:rsidRPr="002E70A6">
        <w:rPr>
          <w:color w:val="000000" w:themeColor="text1"/>
          <w:lang w:val="es-CO"/>
        </w:rPr>
        <w:t xml:space="preserve">, en </w:t>
      </w:r>
      <w:r w:rsidRPr="002E70A6">
        <w:rPr>
          <w:bCs w:val="0"/>
          <w:color w:val="000000" w:themeColor="text1"/>
          <w:lang w:val="es-CO" w:eastAsia="es-ES"/>
        </w:rPr>
        <w:t xml:space="preserve">el literal </w:t>
      </w:r>
      <w:r w:rsidRPr="002E70A6">
        <w:rPr>
          <w:bCs w:val="0"/>
          <w:color w:val="000000" w:themeColor="text1"/>
          <w:lang w:val="es-CO" w:eastAsia="es-ES"/>
        </w:rPr>
        <w:fldChar w:fldCharType="begin"/>
      </w:r>
      <w:r w:rsidRPr="002E70A6">
        <w:rPr>
          <w:bCs w:val="0"/>
          <w:color w:val="000000" w:themeColor="text1"/>
          <w:lang w:val="es-CO" w:eastAsia="es-ES"/>
        </w:rPr>
        <w:instrText xml:space="preserve"> REF _Ref355783737 \r \h  \* MERGEFORMAT </w:instrText>
      </w:r>
      <w:r w:rsidRPr="002E70A6">
        <w:rPr>
          <w:bCs w:val="0"/>
          <w:color w:val="000000" w:themeColor="text1"/>
          <w:lang w:val="es-CO" w:eastAsia="es-ES"/>
        </w:rPr>
      </w:r>
      <w:r w:rsidRPr="002E70A6">
        <w:rPr>
          <w:bCs w:val="0"/>
          <w:color w:val="000000" w:themeColor="text1"/>
          <w:lang w:val="es-CO" w:eastAsia="es-ES"/>
        </w:rPr>
        <w:fldChar w:fldCharType="separate"/>
      </w:r>
      <w:r w:rsidRPr="002E70A6">
        <w:rPr>
          <w:bCs w:val="0"/>
          <w:color w:val="000000" w:themeColor="text1"/>
          <w:lang w:val="es-CO" w:eastAsia="es-ES"/>
        </w:rPr>
        <w:t>b)</w:t>
      </w:r>
      <w:r w:rsidRPr="002E70A6">
        <w:rPr>
          <w:bCs w:val="0"/>
          <w:color w:val="000000" w:themeColor="text1"/>
          <w:lang w:val="es-CO" w:eastAsia="es-ES"/>
        </w:rPr>
        <w:fldChar w:fldCharType="end"/>
      </w:r>
      <w:r w:rsidRPr="002E70A6">
        <w:rPr>
          <w:bCs w:val="0"/>
          <w:color w:val="000000" w:themeColor="text1"/>
          <w:lang w:val="es-CO" w:eastAsia="es-ES"/>
        </w:rPr>
        <w:t xml:space="preserve"> del numeral </w:t>
      </w:r>
      <w:r w:rsidRPr="002E70A6">
        <w:rPr>
          <w:bCs w:val="0"/>
          <w:color w:val="000000" w:themeColor="text1"/>
          <w:lang w:val="es-CO" w:eastAsia="es-ES"/>
        </w:rPr>
        <w:fldChar w:fldCharType="begin"/>
      </w:r>
      <w:r w:rsidRPr="002E70A6">
        <w:rPr>
          <w:bCs w:val="0"/>
          <w:color w:val="000000" w:themeColor="text1"/>
          <w:lang w:val="es-CO" w:eastAsia="es-ES"/>
        </w:rPr>
        <w:instrText xml:space="preserve"> REF _Ref334174068 \r \h  \* MERGEFORMAT </w:instrText>
      </w:r>
      <w:r w:rsidRPr="002E70A6">
        <w:rPr>
          <w:bCs w:val="0"/>
          <w:color w:val="000000" w:themeColor="text1"/>
          <w:lang w:val="es-CO" w:eastAsia="es-ES"/>
        </w:rPr>
      </w:r>
      <w:r w:rsidRPr="002E70A6">
        <w:rPr>
          <w:bCs w:val="0"/>
          <w:color w:val="000000" w:themeColor="text1"/>
          <w:lang w:val="es-CO" w:eastAsia="es-ES"/>
        </w:rPr>
        <w:fldChar w:fldCharType="separate"/>
      </w:r>
      <w:r w:rsidRPr="002E70A6">
        <w:rPr>
          <w:bCs w:val="0"/>
          <w:color w:val="000000" w:themeColor="text1"/>
          <w:lang w:val="es-CO" w:eastAsia="es-ES"/>
        </w:rPr>
        <w:t>1</w:t>
      </w:r>
      <w:r w:rsidRPr="002E70A6">
        <w:rPr>
          <w:bCs w:val="0"/>
          <w:color w:val="000000" w:themeColor="text1"/>
          <w:lang w:val="es-CO" w:eastAsia="es-ES"/>
        </w:rPr>
        <w:fldChar w:fldCharType="end"/>
      </w:r>
      <w:r w:rsidRPr="002E70A6">
        <w:rPr>
          <w:bCs w:val="0"/>
          <w:color w:val="000000" w:themeColor="text1"/>
          <w:lang w:val="es-CO" w:eastAsia="es-ES"/>
        </w:rPr>
        <w:t xml:space="preserve"> y en el literal </w:t>
      </w:r>
      <w:r w:rsidRPr="002E70A6">
        <w:rPr>
          <w:bCs w:val="0"/>
          <w:color w:val="000000" w:themeColor="text1"/>
          <w:lang w:val="es-CO" w:eastAsia="es-ES"/>
        </w:rPr>
        <w:fldChar w:fldCharType="begin"/>
      </w:r>
      <w:r w:rsidRPr="002E70A6">
        <w:rPr>
          <w:bCs w:val="0"/>
          <w:color w:val="000000" w:themeColor="text1"/>
          <w:lang w:val="es-CO" w:eastAsia="es-ES"/>
        </w:rPr>
        <w:instrText xml:space="preserve"> REF _Ref359571004 \r \h  \* MERGEFORMAT </w:instrText>
      </w:r>
      <w:r w:rsidRPr="002E70A6">
        <w:rPr>
          <w:bCs w:val="0"/>
          <w:color w:val="000000" w:themeColor="text1"/>
          <w:lang w:val="es-CO" w:eastAsia="es-ES"/>
        </w:rPr>
      </w:r>
      <w:r w:rsidRPr="002E70A6">
        <w:rPr>
          <w:bCs w:val="0"/>
          <w:color w:val="000000" w:themeColor="text1"/>
          <w:lang w:val="es-CO" w:eastAsia="es-ES"/>
        </w:rPr>
        <w:fldChar w:fldCharType="separate"/>
      </w:r>
      <w:r w:rsidRPr="002E70A6">
        <w:rPr>
          <w:bCs w:val="0"/>
          <w:color w:val="000000" w:themeColor="text1"/>
          <w:lang w:val="es-CO" w:eastAsia="es-ES"/>
        </w:rPr>
        <w:t>a)</w:t>
      </w:r>
      <w:r w:rsidRPr="002E70A6">
        <w:rPr>
          <w:bCs w:val="0"/>
          <w:color w:val="000000" w:themeColor="text1"/>
          <w:lang w:val="es-CO" w:eastAsia="es-ES"/>
        </w:rPr>
        <w:fldChar w:fldCharType="end"/>
      </w:r>
      <w:r w:rsidRPr="002E70A6">
        <w:rPr>
          <w:bCs w:val="0"/>
          <w:color w:val="000000" w:themeColor="text1"/>
          <w:lang w:val="es-CO" w:eastAsia="es-ES"/>
        </w:rPr>
        <w:t xml:space="preserve"> del numeral </w:t>
      </w:r>
      <w:r w:rsidRPr="002E70A6">
        <w:rPr>
          <w:bCs w:val="0"/>
          <w:color w:val="000000" w:themeColor="text1"/>
          <w:lang w:val="es-CO" w:eastAsia="es-ES"/>
        </w:rPr>
        <w:fldChar w:fldCharType="begin"/>
      </w:r>
      <w:r w:rsidRPr="002E70A6">
        <w:rPr>
          <w:bCs w:val="0"/>
          <w:color w:val="000000" w:themeColor="text1"/>
          <w:lang w:val="es-CO" w:eastAsia="es-ES"/>
        </w:rPr>
        <w:instrText xml:space="preserve"> REF _Ref334174084 \r \h  \* MERGEFORMAT </w:instrText>
      </w:r>
      <w:r w:rsidRPr="002E70A6">
        <w:rPr>
          <w:bCs w:val="0"/>
          <w:color w:val="000000" w:themeColor="text1"/>
          <w:lang w:val="es-CO" w:eastAsia="es-ES"/>
        </w:rPr>
      </w:r>
      <w:r w:rsidRPr="002E70A6">
        <w:rPr>
          <w:bCs w:val="0"/>
          <w:color w:val="000000" w:themeColor="text1"/>
          <w:lang w:val="es-CO" w:eastAsia="es-ES"/>
        </w:rPr>
        <w:fldChar w:fldCharType="separate"/>
      </w:r>
      <w:r w:rsidRPr="002E70A6">
        <w:rPr>
          <w:bCs w:val="0"/>
          <w:color w:val="000000" w:themeColor="text1"/>
          <w:lang w:val="es-CO" w:eastAsia="es-ES"/>
        </w:rPr>
        <w:t>2</w:t>
      </w:r>
      <w:r w:rsidRPr="002E70A6">
        <w:rPr>
          <w:bCs w:val="0"/>
          <w:color w:val="000000" w:themeColor="text1"/>
          <w:lang w:val="es-CO" w:eastAsia="es-ES"/>
        </w:rPr>
        <w:fldChar w:fldCharType="end"/>
      </w:r>
      <w:r w:rsidRPr="002E70A6">
        <w:rPr>
          <w:bCs w:val="0"/>
          <w:color w:val="000000" w:themeColor="text1"/>
          <w:lang w:val="es-CO" w:eastAsia="es-ES"/>
        </w:rPr>
        <w:t xml:space="preserve"> del </w:t>
      </w:r>
      <w:r w:rsidRPr="002E70A6">
        <w:rPr>
          <w:color w:val="000000" w:themeColor="text1"/>
          <w:lang w:val="es-CO"/>
        </w:rPr>
        <w:fldChar w:fldCharType="begin"/>
      </w:r>
      <w:r w:rsidRPr="002E70A6">
        <w:rPr>
          <w:color w:val="000000" w:themeColor="text1"/>
          <w:lang w:val="es-CO"/>
        </w:rPr>
        <w:instrText xml:space="preserve"> REF _Ref334173778 \r \h  \* MERGEFORMAT </w:instrText>
      </w:r>
      <w:r w:rsidRPr="002E70A6">
        <w:rPr>
          <w:color w:val="000000" w:themeColor="text1"/>
          <w:lang w:val="es-CO"/>
        </w:rPr>
      </w:r>
      <w:r w:rsidRPr="002E70A6">
        <w:rPr>
          <w:color w:val="000000" w:themeColor="text1"/>
          <w:lang w:val="es-CO"/>
        </w:rPr>
        <w:fldChar w:fldCharType="separate"/>
      </w:r>
      <w:r w:rsidR="00746F74">
        <w:rPr>
          <w:color w:val="000000" w:themeColor="text1"/>
          <w:lang w:val="es-CO"/>
        </w:rPr>
        <w:t>artículo</w:t>
      </w:r>
      <w:r w:rsidRPr="002E70A6">
        <w:rPr>
          <w:color w:val="000000" w:themeColor="text1"/>
          <w:lang w:val="es-CO"/>
        </w:rPr>
        <w:t xml:space="preserve"> 19</w:t>
      </w:r>
      <w:r w:rsidRPr="002E70A6">
        <w:rPr>
          <w:color w:val="000000" w:themeColor="text1"/>
          <w:lang w:val="es-CO"/>
        </w:rPr>
        <w:fldChar w:fldCharType="end"/>
      </w:r>
      <w:r w:rsidRPr="002E70A6">
        <w:rPr>
          <w:color w:val="000000" w:themeColor="text1"/>
          <w:lang w:val="es-CO"/>
        </w:rPr>
        <w:t xml:space="preserve"> de esta Resolución. </w:t>
      </w:r>
      <w:r w:rsidRPr="002E70A6">
        <w:rPr>
          <w:bCs w:val="0"/>
          <w:color w:val="000000" w:themeColor="text1"/>
          <w:lang w:val="es-CO" w:eastAsia="es-ES"/>
        </w:rPr>
        <w:t>En estos casos las partes definirán las condiciones de los contratos</w:t>
      </w:r>
      <w:r w:rsidR="00496AC9">
        <w:rPr>
          <w:bCs w:val="0"/>
          <w:color w:val="000000" w:themeColor="text1"/>
          <w:lang w:val="es-CO" w:eastAsia="es-ES"/>
        </w:rPr>
        <w:t xml:space="preserve"> con interrupciones</w:t>
      </w:r>
      <w:r w:rsidRPr="002E70A6">
        <w:rPr>
          <w:bCs w:val="0"/>
          <w:color w:val="000000" w:themeColor="text1"/>
          <w:lang w:val="es-CO" w:eastAsia="es-ES"/>
        </w:rPr>
        <w:t xml:space="preserve"> </w:t>
      </w:r>
      <w:r w:rsidRPr="00C12877">
        <w:rPr>
          <w:bCs w:val="0"/>
          <w:color w:val="000000" w:themeColor="text1"/>
          <w:lang w:val="es-CO" w:eastAsia="es-ES"/>
        </w:rPr>
        <w:t xml:space="preserve">que celebren, a menos de que se trate de </w:t>
      </w:r>
      <w:r w:rsidR="000F085B" w:rsidRPr="00C12877">
        <w:rPr>
          <w:bCs w:val="0"/>
          <w:color w:val="000000" w:themeColor="text1"/>
          <w:lang w:val="es-CO" w:eastAsia="es-ES"/>
        </w:rPr>
        <w:t xml:space="preserve">la ejecución de </w:t>
      </w:r>
      <w:r w:rsidRPr="00C12877">
        <w:rPr>
          <w:bCs w:val="0"/>
          <w:color w:val="000000" w:themeColor="text1"/>
          <w:lang w:val="es-CO" w:eastAsia="es-ES"/>
        </w:rPr>
        <w:t xml:space="preserve">contratos </w:t>
      </w:r>
      <w:r w:rsidR="00624B71" w:rsidRPr="00C12877">
        <w:rPr>
          <w:bCs w:val="0"/>
          <w:color w:val="000000" w:themeColor="text1"/>
          <w:lang w:val="es-CO" w:eastAsia="es-ES"/>
        </w:rPr>
        <w:t>de tipo firme</w:t>
      </w:r>
      <w:r w:rsidR="006B12E8" w:rsidRPr="00C12877">
        <w:rPr>
          <w:bCs w:val="0"/>
          <w:color w:val="000000" w:themeColor="text1"/>
          <w:lang w:val="es-CO" w:eastAsia="es-ES"/>
        </w:rPr>
        <w:t xml:space="preserve"> o que garantizan firmeza</w:t>
      </w:r>
      <w:r w:rsidR="00F95200" w:rsidRPr="00C12877">
        <w:rPr>
          <w:bCs w:val="0"/>
          <w:color w:val="000000" w:themeColor="text1"/>
          <w:lang w:val="es-CO" w:eastAsia="es-ES"/>
        </w:rPr>
        <w:t xml:space="preserve">, ya sea durante las pruebas o con posterioridad a </w:t>
      </w:r>
      <w:r w:rsidR="00F95200" w:rsidRPr="00C12877">
        <w:rPr>
          <w:bCs w:val="0"/>
          <w:color w:val="000000" w:themeColor="text1"/>
          <w:lang w:val="es-CO" w:eastAsia="es-ES"/>
        </w:rPr>
        <w:lastRenderedPageBreak/>
        <w:t>ellas</w:t>
      </w:r>
      <w:r w:rsidR="00624B71" w:rsidRPr="00C12877">
        <w:rPr>
          <w:bCs w:val="0"/>
          <w:color w:val="000000" w:themeColor="text1"/>
          <w:lang w:val="es-CO" w:eastAsia="es-ES"/>
        </w:rPr>
        <w:t xml:space="preserve">, </w:t>
      </w:r>
      <w:r w:rsidRPr="00C12877">
        <w:rPr>
          <w:bCs w:val="0"/>
          <w:color w:val="000000" w:themeColor="text1"/>
          <w:lang w:val="es-CO" w:eastAsia="es-ES"/>
        </w:rPr>
        <w:t xml:space="preserve">en los que se garantiza el servicio de suministro de una cantidad máxima de gas natural, sin interrupciones, durante un período determinado, excepto en los días establecidos para mantenimiento y labores programadas, proveniente de fuentes que cuentan con Respaldo Físico. En estos casos, </w:t>
      </w:r>
      <w:r w:rsidR="0001080E" w:rsidRPr="00C12877">
        <w:rPr>
          <w:bCs w:val="0"/>
          <w:color w:val="000000" w:themeColor="text1"/>
          <w:lang w:val="es-CO" w:eastAsia="es-ES"/>
        </w:rPr>
        <w:t>se deberá contar con el Respaldo Físico definid</w:t>
      </w:r>
      <w:r w:rsidR="00C851CB" w:rsidRPr="00C12877">
        <w:rPr>
          <w:bCs w:val="0"/>
          <w:color w:val="000000" w:themeColor="text1"/>
          <w:lang w:val="es-CO" w:eastAsia="es-ES"/>
        </w:rPr>
        <w:t>o</w:t>
      </w:r>
      <w:r w:rsidR="0001080E" w:rsidRPr="00C12877">
        <w:rPr>
          <w:bCs w:val="0"/>
          <w:color w:val="000000" w:themeColor="text1"/>
          <w:lang w:val="es-CO" w:eastAsia="es-ES"/>
        </w:rPr>
        <w:t xml:space="preserve"> </w:t>
      </w:r>
      <w:r w:rsidR="0017514A" w:rsidRPr="00C12877">
        <w:rPr>
          <w:bCs w:val="0"/>
          <w:color w:val="000000" w:themeColor="text1"/>
          <w:lang w:val="es-CO" w:eastAsia="es-ES"/>
        </w:rPr>
        <w:t xml:space="preserve">por el Ministerio de Minas y Energía </w:t>
      </w:r>
      <w:r w:rsidR="0001080E" w:rsidRPr="00C12877">
        <w:rPr>
          <w:bCs w:val="0"/>
          <w:color w:val="000000" w:themeColor="text1"/>
          <w:lang w:val="es-CO" w:eastAsia="es-ES"/>
        </w:rPr>
        <w:t xml:space="preserve">para los productores y </w:t>
      </w:r>
      <w:r w:rsidRPr="00C12877">
        <w:rPr>
          <w:bCs w:val="0"/>
          <w:color w:val="000000" w:themeColor="text1"/>
          <w:lang w:val="es-CO" w:eastAsia="es-ES"/>
        </w:rPr>
        <w:t>los contratos deberán incluir los requisitos mínimos establecidos en el Capítulo II del Título III de la presente Resolución</w:t>
      </w:r>
      <w:r w:rsidR="0001080E" w:rsidRPr="00C12877">
        <w:rPr>
          <w:bCs w:val="0"/>
          <w:color w:val="000000" w:themeColor="text1"/>
          <w:lang w:val="es-CO" w:eastAsia="es-ES"/>
        </w:rPr>
        <w:t>.</w:t>
      </w:r>
      <w:r w:rsidR="0001080E" w:rsidRPr="00C12877">
        <w:rPr>
          <w:b/>
          <w:color w:val="000000" w:themeColor="text1"/>
          <w:lang w:val="es-CO" w:eastAsia="es-ES"/>
        </w:rPr>
        <w:t xml:space="preserve"> </w:t>
      </w:r>
    </w:p>
    <w:p w14:paraId="0DE09BA3" w14:textId="77777777" w:rsidR="002E70A6" w:rsidRDefault="002E70A6" w:rsidP="000620E1">
      <w:pPr>
        <w:pStyle w:val="ARTICULOS"/>
        <w:numPr>
          <w:ilvl w:val="0"/>
          <w:numId w:val="0"/>
        </w:numPr>
        <w:tabs>
          <w:tab w:val="clear" w:pos="1559"/>
        </w:tabs>
        <w:outlineLvl w:val="0"/>
        <w:rPr>
          <w:bCs w:val="0"/>
          <w:highlight w:val="green"/>
          <w:lang w:val="es-ES"/>
        </w:rPr>
      </w:pPr>
    </w:p>
    <w:p w14:paraId="4005C605" w14:textId="4DF8BD4B" w:rsidR="004646A2" w:rsidRDefault="002E70A6" w:rsidP="000620E1">
      <w:pPr>
        <w:pStyle w:val="ARTICULOS"/>
        <w:numPr>
          <w:ilvl w:val="0"/>
          <w:numId w:val="0"/>
        </w:numPr>
        <w:tabs>
          <w:tab w:val="clear" w:pos="1559"/>
        </w:tabs>
        <w:outlineLvl w:val="0"/>
        <w:rPr>
          <w:bCs w:val="0"/>
          <w:lang w:val="es-ES"/>
        </w:rPr>
      </w:pPr>
      <w:r w:rsidRPr="009F7CB7">
        <w:rPr>
          <w:b/>
          <w:lang w:val="es-ES"/>
        </w:rPr>
        <w:t xml:space="preserve">ARTICULO </w:t>
      </w:r>
      <w:r w:rsidR="00EA447E" w:rsidRPr="009F7CB7">
        <w:rPr>
          <w:b/>
          <w:lang w:val="es-ES"/>
        </w:rPr>
        <w:t>8</w:t>
      </w:r>
      <w:r w:rsidRPr="009F7CB7">
        <w:rPr>
          <w:b/>
          <w:lang w:val="es-ES"/>
        </w:rPr>
        <w:t>.</w:t>
      </w:r>
      <w:r w:rsidRPr="009F7CB7">
        <w:rPr>
          <w:bCs w:val="0"/>
          <w:lang w:val="es-ES"/>
        </w:rPr>
        <w:t xml:space="preserve"> </w:t>
      </w:r>
      <w:r w:rsidR="004646A2" w:rsidRPr="00C12877">
        <w:rPr>
          <w:bCs w:val="0"/>
          <w:lang w:val="es-ES"/>
        </w:rPr>
        <w:t xml:space="preserve">Modificar el </w:t>
      </w:r>
      <w:r w:rsidR="008F11E3" w:rsidRPr="00C12877">
        <w:rPr>
          <w:bCs w:val="0"/>
          <w:lang w:val="es-ES"/>
        </w:rPr>
        <w:t>artículo</w:t>
      </w:r>
      <w:r w:rsidR="004646A2" w:rsidRPr="00C12877">
        <w:rPr>
          <w:bCs w:val="0"/>
          <w:lang w:val="es-ES"/>
        </w:rPr>
        <w:t xml:space="preserve"> 22 de la Resolución CREG 186 de 2020, el cual quedará así:</w:t>
      </w:r>
    </w:p>
    <w:p w14:paraId="7A714682" w14:textId="77777777" w:rsidR="004646A2" w:rsidRDefault="004646A2" w:rsidP="000620E1">
      <w:pPr>
        <w:pStyle w:val="ARTICULOS"/>
        <w:numPr>
          <w:ilvl w:val="0"/>
          <w:numId w:val="0"/>
        </w:numPr>
        <w:tabs>
          <w:tab w:val="clear" w:pos="1559"/>
        </w:tabs>
        <w:outlineLvl w:val="0"/>
        <w:rPr>
          <w:bCs w:val="0"/>
          <w:lang w:val="es-ES"/>
        </w:rPr>
      </w:pPr>
    </w:p>
    <w:p w14:paraId="42D98FA0" w14:textId="245EDFE0" w:rsidR="004646A2" w:rsidRPr="00C12877" w:rsidRDefault="004646A2" w:rsidP="000620E1">
      <w:pPr>
        <w:pStyle w:val="ARTICULOS"/>
        <w:tabs>
          <w:tab w:val="clear" w:pos="1559"/>
        </w:tabs>
        <w:ind w:left="567" w:firstLine="0"/>
      </w:pPr>
      <w:bookmarkStart w:id="3" w:name="_Ref448393277"/>
      <w:r w:rsidRPr="0013707D">
        <w:rPr>
          <w:b/>
        </w:rPr>
        <w:t>Negociación de contratos de largo plazo.</w:t>
      </w:r>
      <w:r w:rsidRPr="0013707D">
        <w:t xml:space="preserve"> En  los casos no previstos en el </w:t>
      </w:r>
      <w:r w:rsidRPr="00D63F9D">
        <w:fldChar w:fldCharType="begin"/>
      </w:r>
      <w:r w:rsidRPr="00D63F9D">
        <w:instrText xml:space="preserve"> REF _Ref334173778 \r \h  \* MERGEFORMAT </w:instrText>
      </w:r>
      <w:r w:rsidRPr="00D63F9D">
        <w:fldChar w:fldCharType="separate"/>
      </w:r>
      <w:r w:rsidR="00746F74">
        <w:t>artículo</w:t>
      </w:r>
      <w:r>
        <w:t xml:space="preserve"> 19</w:t>
      </w:r>
      <w:r w:rsidRPr="00D63F9D">
        <w:fldChar w:fldCharType="end"/>
      </w:r>
      <w:r w:rsidRPr="00D63F9D">
        <w:t xml:space="preserve"> de</w:t>
      </w:r>
      <w:r w:rsidRPr="0013707D">
        <w:t xml:space="preserve"> esta Resolución, los vendedores y los compradores a los que se hace referencia en los </w:t>
      </w:r>
      <w:r w:rsidR="00746F74">
        <w:t>artículo</w:t>
      </w:r>
      <w:r w:rsidR="00353FE2">
        <w:t>s</w:t>
      </w:r>
      <w:r w:rsidRPr="00D63F9D">
        <w:t xml:space="preserve"> </w:t>
      </w:r>
      <w:r w:rsidRPr="00D63F9D">
        <w:fldChar w:fldCharType="begin"/>
      </w:r>
      <w:r w:rsidRPr="00D63F9D">
        <w:instrText xml:space="preserve"> REF _Ref330921456 \r \h \t \* MERGEFORMAT </w:instrText>
      </w:r>
      <w:r w:rsidRPr="00D63F9D">
        <w:fldChar w:fldCharType="separate"/>
      </w:r>
      <w:r>
        <w:t>16</w:t>
      </w:r>
      <w:r w:rsidRPr="00D63F9D">
        <w:fldChar w:fldCharType="end"/>
      </w:r>
      <w:r w:rsidRPr="00D63F9D">
        <w:t xml:space="preserve"> y </w:t>
      </w:r>
      <w:r w:rsidRPr="00D63F9D">
        <w:fldChar w:fldCharType="begin"/>
      </w:r>
      <w:r w:rsidRPr="00D63F9D">
        <w:instrText xml:space="preserve"> REF _Ref359853524 \n \h \t \* MERGEFORMAT </w:instrText>
      </w:r>
      <w:r w:rsidRPr="00D63F9D">
        <w:fldChar w:fldCharType="separate"/>
      </w:r>
      <w:r>
        <w:t>17</w:t>
      </w:r>
      <w:r w:rsidRPr="00D63F9D">
        <w:fldChar w:fldCharType="end"/>
      </w:r>
      <w:r w:rsidRPr="0013707D">
        <w:t xml:space="preserve"> de esta Resolución podrán pactar directamente el suministro de gas natural, dentro del plazo que establezca la CREG, mediante contratos de suministro firme CF95</w:t>
      </w:r>
      <w:r w:rsidRPr="00C12877">
        <w:t xml:space="preserve">, </w:t>
      </w:r>
      <w:r w:rsidR="008F2484" w:rsidRPr="00C12877">
        <w:t>C1, C2, opción de compra de gas y/o firmeza condicionada</w:t>
      </w:r>
      <w:r w:rsidRPr="00C12877">
        <w:t xml:space="preserve">, cuya duración sea de </w:t>
      </w:r>
      <w:r w:rsidR="008F2484" w:rsidRPr="00C12877">
        <w:t xml:space="preserve">1 (uno) </w:t>
      </w:r>
      <w:r w:rsidRPr="00C12877">
        <w:t>o más años.</w:t>
      </w:r>
      <w:bookmarkEnd w:id="3"/>
      <w:r w:rsidR="008F2484" w:rsidRPr="00C12877">
        <w:t xml:space="preserve"> Dichos contratos </w:t>
      </w:r>
      <w:r w:rsidR="008F2484" w:rsidRPr="00C12877">
        <w:rPr>
          <w:lang w:val="es-CO"/>
        </w:rPr>
        <w:t>se sujetarán a lo dispuesto en los capítulos I y II del título III de la presente Resolución.</w:t>
      </w:r>
    </w:p>
    <w:p w14:paraId="2F67D2E1" w14:textId="77777777" w:rsidR="004646A2" w:rsidRPr="00C12877" w:rsidRDefault="004646A2" w:rsidP="000620E1">
      <w:pPr>
        <w:rPr>
          <w:rFonts w:ascii="Bookman Old Style" w:hAnsi="Bookman Old Style"/>
          <w:bCs/>
          <w:lang w:val="es-CO"/>
        </w:rPr>
      </w:pPr>
    </w:p>
    <w:p w14:paraId="3D11CED7" w14:textId="77777777" w:rsidR="004646A2" w:rsidRPr="00C12877" w:rsidRDefault="004646A2" w:rsidP="000620E1">
      <w:pPr>
        <w:jc w:val="both"/>
        <w:rPr>
          <w:rFonts w:ascii="Bookman Old Style" w:hAnsi="Bookman Old Style"/>
          <w:bCs/>
          <w:lang w:val="es-CO"/>
        </w:rPr>
      </w:pPr>
      <w:r w:rsidRPr="00C12877">
        <w:rPr>
          <w:rFonts w:ascii="Bookman Old Style" w:hAnsi="Bookman Old Style"/>
          <w:bCs/>
          <w:lang w:val="es-CO"/>
        </w:rPr>
        <w:t xml:space="preserve">Durante el primer semestre de cada año, la Dirección Ejecutiva de la CREG establecerá mediante circular el cronograma de toda la comercialización para el respectivo año. </w:t>
      </w:r>
    </w:p>
    <w:p w14:paraId="6F38E46C" w14:textId="77777777" w:rsidR="004646A2" w:rsidRPr="00C12877" w:rsidRDefault="004646A2" w:rsidP="000620E1">
      <w:pPr>
        <w:ind w:left="993" w:hanging="426"/>
        <w:rPr>
          <w:rFonts w:ascii="Bookman Old Style" w:hAnsi="Bookman Old Style"/>
          <w:bCs/>
          <w:lang w:val="es-CO"/>
        </w:rPr>
      </w:pPr>
    </w:p>
    <w:p w14:paraId="749FE6A9" w14:textId="2DB38143" w:rsidR="004646A2" w:rsidRPr="00C12877" w:rsidRDefault="004646A2" w:rsidP="000620E1">
      <w:pPr>
        <w:jc w:val="both"/>
        <w:rPr>
          <w:rFonts w:ascii="Bookman Old Style" w:hAnsi="Bookman Old Style"/>
          <w:bCs/>
          <w:lang w:val="es-CO"/>
        </w:rPr>
      </w:pPr>
      <w:r w:rsidRPr="00C12877">
        <w:rPr>
          <w:rFonts w:ascii="Bookman Old Style" w:hAnsi="Bookman Old Style"/>
          <w:bCs/>
          <w:lang w:val="es-CO"/>
        </w:rPr>
        <w:t xml:space="preserve">El cronograma que se menciona en este artículo deberá establecer la fecha en que los vendedores a los que se hace referencia en el </w:t>
      </w:r>
      <w:r w:rsidR="00F703AA" w:rsidRPr="00C12877">
        <w:rPr>
          <w:rFonts w:ascii="Bookman Old Style" w:hAnsi="Bookman Old Style"/>
          <w:bCs/>
          <w:lang w:val="es-CO"/>
        </w:rPr>
        <w:t>artículo 16</w:t>
      </w:r>
      <w:r w:rsidRPr="00C12877">
        <w:rPr>
          <w:rFonts w:ascii="Bookman Old Style" w:hAnsi="Bookman Old Style"/>
          <w:bCs/>
          <w:lang w:val="es-CO"/>
        </w:rPr>
        <w:t xml:space="preserve"> de esta Resolución deberán declarar al gestor del mercado la oferta de PTDVF u oferta de CIDVF, según sea el caso. </w:t>
      </w:r>
    </w:p>
    <w:p w14:paraId="3560E319" w14:textId="77777777" w:rsidR="004646A2" w:rsidRPr="00C12877" w:rsidRDefault="004646A2" w:rsidP="000620E1">
      <w:pPr>
        <w:ind w:left="993" w:hanging="426"/>
        <w:rPr>
          <w:rFonts w:ascii="Bookman Old Style" w:hAnsi="Bookman Old Style"/>
          <w:bCs/>
          <w:lang w:val="es-CO"/>
        </w:rPr>
      </w:pPr>
    </w:p>
    <w:p w14:paraId="5EA8D988" w14:textId="790D2222" w:rsidR="004646A2" w:rsidRPr="00C12877" w:rsidRDefault="004646A2" w:rsidP="000620E1">
      <w:pPr>
        <w:jc w:val="both"/>
        <w:rPr>
          <w:rFonts w:ascii="Bookman Old Style" w:hAnsi="Bookman Old Style"/>
          <w:bCs/>
          <w:lang w:val="es-CO"/>
        </w:rPr>
      </w:pPr>
      <w:r w:rsidRPr="00C12877">
        <w:rPr>
          <w:rFonts w:ascii="Bookman Old Style" w:hAnsi="Bookman Old Style"/>
          <w:bCs/>
          <w:lang w:val="es-CO"/>
        </w:rPr>
        <w:t>El gestor del mercado hará pública esta información con el fin de poder realizar</w:t>
      </w:r>
      <w:r w:rsidR="00F703AA" w:rsidRPr="00C12877">
        <w:rPr>
          <w:rFonts w:ascii="Bookman Old Style" w:hAnsi="Bookman Old Style"/>
          <w:bCs/>
          <w:lang w:val="es-CO"/>
        </w:rPr>
        <w:t>se</w:t>
      </w:r>
      <w:r w:rsidRPr="00C12877">
        <w:rPr>
          <w:rFonts w:ascii="Bookman Old Style" w:hAnsi="Bookman Old Style"/>
          <w:bCs/>
          <w:lang w:val="es-CO"/>
        </w:rPr>
        <w:t xml:space="preserve"> las negociaciones directas de contratos CF95, </w:t>
      </w:r>
      <w:r w:rsidR="008F2484" w:rsidRPr="00C12877">
        <w:rPr>
          <w:rFonts w:ascii="Bookman Old Style" w:hAnsi="Bookman Old Style"/>
          <w:bCs/>
          <w:lang w:val="es-CO"/>
        </w:rPr>
        <w:t xml:space="preserve">C1, C2, opción de compra de gas y/o </w:t>
      </w:r>
      <w:r w:rsidRPr="00C12877">
        <w:rPr>
          <w:rFonts w:ascii="Bookman Old Style" w:hAnsi="Bookman Old Style"/>
          <w:bCs/>
          <w:lang w:val="es-CO"/>
        </w:rPr>
        <w:t xml:space="preserve">firmeza condicionada, cuyas cantidades </w:t>
      </w:r>
      <w:r w:rsidR="00330EE7" w:rsidRPr="00C12877">
        <w:rPr>
          <w:rFonts w:ascii="Bookman Old Style" w:hAnsi="Bookman Old Style"/>
          <w:bCs/>
          <w:lang w:val="es-CO"/>
        </w:rPr>
        <w:t xml:space="preserve">negociadas </w:t>
      </w:r>
      <w:r w:rsidR="00AE1E82">
        <w:rPr>
          <w:rFonts w:ascii="Bookman Old Style" w:hAnsi="Bookman Old Style"/>
          <w:bCs/>
          <w:lang w:val="es-CO"/>
        </w:rPr>
        <w:t xml:space="preserve">agregadas </w:t>
      </w:r>
      <w:r w:rsidRPr="00C12877">
        <w:rPr>
          <w:rFonts w:ascii="Bookman Old Style" w:hAnsi="Bookman Old Style"/>
          <w:bCs/>
          <w:lang w:val="es-CO"/>
        </w:rPr>
        <w:t>de energía no podrán ser superiores a las declaradas al gestor del mercado</w:t>
      </w:r>
      <w:r w:rsidR="00FA5078">
        <w:rPr>
          <w:rFonts w:ascii="Bookman Old Style" w:hAnsi="Bookman Old Style"/>
          <w:bCs/>
          <w:lang w:val="es-CO"/>
        </w:rPr>
        <w:t xml:space="preserve"> para la fuente de suministro respectiva</w:t>
      </w:r>
      <w:r w:rsidRPr="00C12877">
        <w:rPr>
          <w:rFonts w:ascii="Bookman Old Style" w:hAnsi="Bookman Old Style"/>
          <w:bCs/>
          <w:lang w:val="es-CO"/>
        </w:rPr>
        <w:t>.</w:t>
      </w:r>
    </w:p>
    <w:p w14:paraId="0EAE2F32" w14:textId="77777777" w:rsidR="004646A2" w:rsidRPr="00C12877" w:rsidRDefault="004646A2" w:rsidP="000620E1">
      <w:pPr>
        <w:rPr>
          <w:rFonts w:ascii="Bookman Old Style" w:hAnsi="Bookman Old Style"/>
          <w:bCs/>
          <w:lang w:val="es-CO"/>
        </w:rPr>
      </w:pPr>
    </w:p>
    <w:p w14:paraId="4B553D26" w14:textId="1E4E74E2" w:rsidR="004646A2" w:rsidRPr="00C12877" w:rsidRDefault="004646A2" w:rsidP="000620E1">
      <w:pPr>
        <w:jc w:val="both"/>
        <w:rPr>
          <w:rFonts w:ascii="Bookman Old Style" w:hAnsi="Bookman Old Style"/>
          <w:bCs/>
          <w:lang w:val="es-CO"/>
        </w:rPr>
      </w:pPr>
      <w:r w:rsidRPr="00C12877">
        <w:rPr>
          <w:rFonts w:ascii="Bookman Old Style" w:hAnsi="Bookman Old Style"/>
          <w:bCs/>
          <w:lang w:val="es-CO"/>
        </w:rPr>
        <w:t xml:space="preserve">En el mencionado cronograma la CREG establecerá la ventana de fechas para registrar ante el gestor del mercado los contratos suscritos como resultado de las negociaciones directas. Después de esta fecha no se podrán registrar contratos </w:t>
      </w:r>
      <w:r w:rsidR="008F2484" w:rsidRPr="00C12877">
        <w:rPr>
          <w:rFonts w:ascii="Bookman Old Style" w:hAnsi="Bookman Old Style"/>
          <w:bCs/>
          <w:lang w:val="es-CO"/>
        </w:rPr>
        <w:t xml:space="preserve">negociados </w:t>
      </w:r>
      <w:r w:rsidRPr="00C12877">
        <w:rPr>
          <w:rFonts w:ascii="Bookman Old Style" w:hAnsi="Bookman Old Style"/>
          <w:bCs/>
          <w:lang w:val="es-CO"/>
        </w:rPr>
        <w:t xml:space="preserve">bajo </w:t>
      </w:r>
      <w:r w:rsidR="008F2484" w:rsidRPr="00C12877">
        <w:rPr>
          <w:rFonts w:ascii="Bookman Old Style" w:hAnsi="Bookman Old Style"/>
          <w:bCs/>
          <w:lang w:val="es-CO"/>
        </w:rPr>
        <w:t xml:space="preserve">el mecanismo de </w:t>
      </w:r>
      <w:r w:rsidRPr="00C12877">
        <w:rPr>
          <w:rFonts w:ascii="Bookman Old Style" w:hAnsi="Bookman Old Style"/>
          <w:bCs/>
          <w:lang w:val="es-CO"/>
        </w:rPr>
        <w:t>negociaciones directas</w:t>
      </w:r>
      <w:r w:rsidR="00F703AA" w:rsidRPr="00C12877">
        <w:rPr>
          <w:rFonts w:ascii="Bookman Old Style" w:hAnsi="Bookman Old Style"/>
          <w:bCs/>
          <w:lang w:val="es-CO"/>
        </w:rPr>
        <w:t>, exceptuando los casos permitidos en la regulación vigente</w:t>
      </w:r>
      <w:r w:rsidRPr="00C12877">
        <w:rPr>
          <w:rFonts w:ascii="Bookman Old Style" w:hAnsi="Bookman Old Style"/>
          <w:bCs/>
          <w:lang w:val="es-CO"/>
        </w:rPr>
        <w:t xml:space="preserve">. </w:t>
      </w:r>
    </w:p>
    <w:p w14:paraId="2E33F8C4" w14:textId="77777777" w:rsidR="00624B71" w:rsidRPr="00C12877" w:rsidRDefault="00624B71" w:rsidP="000620E1">
      <w:pPr>
        <w:jc w:val="both"/>
        <w:rPr>
          <w:rFonts w:ascii="Bookman Old Style" w:hAnsi="Bookman Old Style"/>
          <w:bCs/>
          <w:lang w:val="es-CO"/>
        </w:rPr>
      </w:pPr>
    </w:p>
    <w:p w14:paraId="6A3CAA9D" w14:textId="7BC07FF2" w:rsidR="00624B71" w:rsidRPr="00C12877" w:rsidRDefault="00624B71" w:rsidP="000620E1">
      <w:pPr>
        <w:jc w:val="both"/>
        <w:rPr>
          <w:rFonts w:ascii="Bookman Old Style" w:hAnsi="Bookman Old Style"/>
          <w:bCs/>
          <w:lang w:val="es-CO"/>
        </w:rPr>
      </w:pPr>
      <w:r w:rsidRPr="00C12877">
        <w:rPr>
          <w:rFonts w:ascii="Bookman Old Style" w:hAnsi="Bookman Old Style"/>
          <w:bCs/>
          <w:lang w:val="es-CO"/>
        </w:rPr>
        <w:t xml:space="preserve">Los contratos de tipo firme o que garanticen firmeza que resulten de las negociaciones de fuentes de producción cuyos vendedores no </w:t>
      </w:r>
      <w:r w:rsidR="00F703AA" w:rsidRPr="00C12877">
        <w:rPr>
          <w:rFonts w:ascii="Bookman Old Style" w:hAnsi="Bookman Old Style"/>
          <w:bCs/>
          <w:lang w:val="es-CO"/>
        </w:rPr>
        <w:t xml:space="preserve">hayan </w:t>
      </w:r>
      <w:r w:rsidRPr="00C12877">
        <w:rPr>
          <w:rFonts w:ascii="Bookman Old Style" w:hAnsi="Bookman Old Style"/>
          <w:bCs/>
          <w:lang w:val="es-CO"/>
        </w:rPr>
        <w:t>reali</w:t>
      </w:r>
      <w:r w:rsidR="00F703AA" w:rsidRPr="00C12877">
        <w:rPr>
          <w:rFonts w:ascii="Bookman Old Style" w:hAnsi="Bookman Old Style"/>
          <w:bCs/>
          <w:lang w:val="es-CO"/>
        </w:rPr>
        <w:t>zado previamente</w:t>
      </w:r>
      <w:r w:rsidRPr="00C12877">
        <w:rPr>
          <w:rFonts w:ascii="Bookman Old Style" w:hAnsi="Bookman Old Style"/>
          <w:bCs/>
          <w:lang w:val="es-CO"/>
        </w:rPr>
        <w:t xml:space="preserve"> las declaraciones de PTDVF y/o CIDVF de que trata este artículo, no podrán registrarse ante el </w:t>
      </w:r>
      <w:r w:rsidR="008F11E3" w:rsidRPr="00C12877">
        <w:rPr>
          <w:rFonts w:ascii="Bookman Old Style" w:hAnsi="Bookman Old Style"/>
          <w:bCs/>
          <w:lang w:val="es-CO"/>
        </w:rPr>
        <w:t>gestor del mercado</w:t>
      </w:r>
      <w:r w:rsidRPr="00C12877">
        <w:rPr>
          <w:rFonts w:ascii="Bookman Old Style" w:hAnsi="Bookman Old Style"/>
          <w:bCs/>
          <w:lang w:val="es-CO"/>
        </w:rPr>
        <w:t xml:space="preserve"> y tendrá los efectos previstos en la Resolución CREG 186 de 2020.</w:t>
      </w:r>
    </w:p>
    <w:p w14:paraId="2017A62F" w14:textId="77777777" w:rsidR="004646A2" w:rsidRPr="0013707D" w:rsidRDefault="004646A2" w:rsidP="000620E1">
      <w:pPr>
        <w:rPr>
          <w:rFonts w:ascii="Bookman Old Style" w:hAnsi="Bookman Old Style"/>
          <w:lang w:val="es-CO"/>
        </w:rPr>
      </w:pPr>
    </w:p>
    <w:p w14:paraId="1F3B33B1" w14:textId="77777777" w:rsidR="004646A2" w:rsidRPr="0013707D" w:rsidRDefault="004646A2" w:rsidP="000620E1">
      <w:pPr>
        <w:jc w:val="both"/>
        <w:rPr>
          <w:rFonts w:ascii="Bookman Old Style" w:hAnsi="Bookman Old Style"/>
          <w:lang w:val="es-CO"/>
        </w:rPr>
      </w:pPr>
      <w:r w:rsidRPr="0013707D">
        <w:rPr>
          <w:rFonts w:ascii="Bookman Old Style" w:hAnsi="Bookman Old Style"/>
          <w:lang w:val="es-CO"/>
        </w:rPr>
        <w:t xml:space="preserve">Para la suscripción de los contratos de suministro se deberán tener en cuenta los siguientes aspectos: </w:t>
      </w:r>
    </w:p>
    <w:p w14:paraId="3D3ACE30" w14:textId="77777777" w:rsidR="004646A2" w:rsidRPr="0013707D" w:rsidRDefault="004646A2" w:rsidP="000620E1">
      <w:pPr>
        <w:ind w:left="993" w:hanging="426"/>
        <w:jc w:val="both"/>
        <w:rPr>
          <w:rFonts w:ascii="Bookman Old Style" w:hAnsi="Bookman Old Style"/>
          <w:lang w:val="es-CO"/>
        </w:rPr>
      </w:pPr>
    </w:p>
    <w:p w14:paraId="1404ECD2" w14:textId="7345ED9D" w:rsidR="004646A2" w:rsidRPr="00C12877" w:rsidRDefault="004646A2" w:rsidP="000620E1">
      <w:pPr>
        <w:pStyle w:val="Prrafodelista"/>
        <w:numPr>
          <w:ilvl w:val="0"/>
          <w:numId w:val="26"/>
        </w:numPr>
        <w:ind w:left="993" w:hanging="426"/>
        <w:jc w:val="both"/>
        <w:rPr>
          <w:rFonts w:ascii="Bookman Old Style" w:hAnsi="Bookman Old Style"/>
        </w:rPr>
      </w:pPr>
      <w:r w:rsidRPr="0013707D">
        <w:rPr>
          <w:rFonts w:ascii="Bookman Old Style" w:hAnsi="Bookman Old Style"/>
          <w:sz w:val="24"/>
          <w:szCs w:val="24"/>
        </w:rPr>
        <w:lastRenderedPageBreak/>
        <w:t xml:space="preserve">Los </w:t>
      </w:r>
      <w:r w:rsidRPr="00C12877">
        <w:rPr>
          <w:rFonts w:ascii="Bookman Old Style" w:hAnsi="Bookman Old Style"/>
          <w:sz w:val="24"/>
          <w:szCs w:val="24"/>
        </w:rPr>
        <w:t xml:space="preserve">contratos de suministro destinados a atender demanda regulada deberán tener como fecha de inicio del suministro </w:t>
      </w:r>
      <w:r w:rsidR="00C12877" w:rsidRPr="00550686">
        <w:rPr>
          <w:rFonts w:ascii="Bookman Old Style" w:hAnsi="Bookman Old Style"/>
          <w:sz w:val="24"/>
          <w:szCs w:val="24"/>
        </w:rPr>
        <w:t xml:space="preserve">el </w:t>
      </w:r>
      <w:r w:rsidRPr="00C12877">
        <w:rPr>
          <w:rFonts w:ascii="Bookman Old Style" w:hAnsi="Bookman Old Style"/>
          <w:sz w:val="24"/>
          <w:szCs w:val="24"/>
        </w:rPr>
        <w:t xml:space="preserve">1 de diciembre del año en que se </w:t>
      </w:r>
      <w:r w:rsidR="00230F3D" w:rsidRPr="00C12877">
        <w:rPr>
          <w:rFonts w:ascii="Bookman Old Style" w:hAnsi="Bookman Old Style"/>
          <w:sz w:val="24"/>
          <w:szCs w:val="24"/>
        </w:rPr>
        <w:t>inicie el suministro</w:t>
      </w:r>
      <w:r w:rsidR="00550686">
        <w:rPr>
          <w:rFonts w:ascii="Bookman Old Style" w:hAnsi="Bookman Old Style"/>
          <w:sz w:val="24"/>
          <w:szCs w:val="24"/>
        </w:rPr>
        <w:t xml:space="preserve">, que podrá ser </w:t>
      </w:r>
      <w:r w:rsidR="002F45CA">
        <w:rPr>
          <w:rFonts w:ascii="Bookman Old Style" w:hAnsi="Bookman Old Style"/>
          <w:sz w:val="24"/>
          <w:szCs w:val="24"/>
        </w:rPr>
        <w:t>cualquiera con el que se cuente PTDVF y/o CIDVF</w:t>
      </w:r>
      <w:r w:rsidR="00C12877" w:rsidRPr="00C12877">
        <w:rPr>
          <w:rFonts w:ascii="Bookman Old Style" w:hAnsi="Bookman Old Style"/>
          <w:sz w:val="24"/>
          <w:szCs w:val="24"/>
        </w:rPr>
        <w:t xml:space="preserve">. </w:t>
      </w:r>
      <w:r w:rsidR="00230F3D" w:rsidRPr="00C12877">
        <w:rPr>
          <w:rFonts w:ascii="Bookman Old Style" w:hAnsi="Bookman Old Style"/>
          <w:sz w:val="24"/>
          <w:szCs w:val="24"/>
        </w:rPr>
        <w:t xml:space="preserve">La </w:t>
      </w:r>
      <w:r w:rsidRPr="00C12877">
        <w:rPr>
          <w:rFonts w:ascii="Bookman Old Style" w:hAnsi="Bookman Old Style"/>
          <w:sz w:val="24"/>
          <w:szCs w:val="24"/>
        </w:rPr>
        <w:t xml:space="preserve">fecha de terminación del suministro deberá corresponder al 30 de noviembre del año que corresponda. </w:t>
      </w:r>
    </w:p>
    <w:p w14:paraId="1BFDDE8D" w14:textId="77777777" w:rsidR="004646A2" w:rsidRPr="00C12877" w:rsidRDefault="004646A2" w:rsidP="000620E1">
      <w:pPr>
        <w:ind w:left="993" w:hanging="426"/>
        <w:jc w:val="both"/>
        <w:rPr>
          <w:rFonts w:ascii="Bookman Old Style" w:hAnsi="Bookman Old Style"/>
          <w:sz w:val="20"/>
          <w:lang w:val="es-CO"/>
        </w:rPr>
      </w:pPr>
    </w:p>
    <w:p w14:paraId="754F8BC7" w14:textId="65703DEE" w:rsidR="004646A2" w:rsidRPr="00C12877" w:rsidRDefault="004646A2" w:rsidP="000620E1">
      <w:pPr>
        <w:pStyle w:val="Prrafodelista"/>
        <w:numPr>
          <w:ilvl w:val="0"/>
          <w:numId w:val="26"/>
        </w:numPr>
        <w:ind w:left="993" w:hanging="426"/>
        <w:jc w:val="both"/>
        <w:rPr>
          <w:rFonts w:ascii="Bookman Old Style" w:hAnsi="Bookman Old Style" w:cs="Arial"/>
          <w:color w:val="000000"/>
        </w:rPr>
      </w:pPr>
      <w:r w:rsidRPr="00C12877">
        <w:rPr>
          <w:rFonts w:ascii="Bookman Old Style" w:hAnsi="Bookman Old Style"/>
          <w:sz w:val="24"/>
          <w:szCs w:val="24"/>
        </w:rPr>
        <w:t xml:space="preserve">Los contratos de suministro destinados a atender demanda no regulada deberán tener como fecha de inicio del suministro alguna de las dos siguientes fechas: i) cualquier momento del año comprendido entre el 1 de diciembre del año en que se realice la negociación directa y el 30 de junio del año inmediatamente siguiente o; </w:t>
      </w:r>
      <w:proofErr w:type="spellStart"/>
      <w:r w:rsidRPr="00C12877">
        <w:rPr>
          <w:rFonts w:ascii="Bookman Old Style" w:hAnsi="Bookman Old Style"/>
          <w:sz w:val="24"/>
          <w:szCs w:val="24"/>
        </w:rPr>
        <w:t>ii</w:t>
      </w:r>
      <w:proofErr w:type="spellEnd"/>
      <w:r w:rsidRPr="00C12877">
        <w:rPr>
          <w:rFonts w:ascii="Bookman Old Style" w:hAnsi="Bookman Old Style"/>
          <w:sz w:val="24"/>
          <w:szCs w:val="24"/>
        </w:rPr>
        <w:t xml:space="preserve">) el 1 de diciembre del año </w:t>
      </w:r>
      <w:r w:rsidR="005021D3" w:rsidRPr="00C12877">
        <w:rPr>
          <w:rFonts w:ascii="Bookman Old Style" w:hAnsi="Bookman Old Style"/>
          <w:sz w:val="24"/>
          <w:szCs w:val="24"/>
        </w:rPr>
        <w:t>en que se inicie el suministro</w:t>
      </w:r>
      <w:r w:rsidR="002F45CA">
        <w:rPr>
          <w:rFonts w:ascii="Bookman Old Style" w:hAnsi="Bookman Old Style"/>
          <w:sz w:val="24"/>
          <w:szCs w:val="24"/>
        </w:rPr>
        <w:t>, que podrá ser cualquiera con el que se cuente PTDVF y/o CIDVF</w:t>
      </w:r>
      <w:r w:rsidRPr="00C12877">
        <w:rPr>
          <w:rFonts w:ascii="Bookman Old Style" w:hAnsi="Bookman Old Style"/>
          <w:sz w:val="24"/>
          <w:szCs w:val="24"/>
        </w:rPr>
        <w:t xml:space="preserve">. La fecha de terminación del suministro deberá corresponder al 30 de noviembre del año en que se cumpla el plazo </w:t>
      </w:r>
      <w:r w:rsidR="00F703AA" w:rsidRPr="00C12877">
        <w:rPr>
          <w:rFonts w:ascii="Bookman Old Style" w:hAnsi="Bookman Old Style"/>
          <w:sz w:val="24"/>
          <w:szCs w:val="24"/>
        </w:rPr>
        <w:t xml:space="preserve">de ejecución </w:t>
      </w:r>
      <w:r w:rsidRPr="00C12877">
        <w:rPr>
          <w:rFonts w:ascii="Bookman Old Style" w:hAnsi="Bookman Old Style"/>
          <w:sz w:val="24"/>
          <w:szCs w:val="24"/>
        </w:rPr>
        <w:t>del contrato.</w:t>
      </w:r>
    </w:p>
    <w:p w14:paraId="07B25937" w14:textId="77777777" w:rsidR="004646A2" w:rsidRPr="00C12877" w:rsidRDefault="004646A2" w:rsidP="000620E1">
      <w:pPr>
        <w:pStyle w:val="Prrafodelista"/>
        <w:ind w:left="993" w:hanging="426"/>
        <w:jc w:val="both"/>
        <w:rPr>
          <w:rFonts w:ascii="Bookman Old Style" w:hAnsi="Bookman Old Style"/>
          <w:szCs w:val="24"/>
        </w:rPr>
      </w:pPr>
    </w:p>
    <w:p w14:paraId="601559A3" w14:textId="0BEA428E" w:rsidR="004646A2" w:rsidRPr="00C12877" w:rsidRDefault="00C12877" w:rsidP="000620E1">
      <w:pPr>
        <w:jc w:val="both"/>
        <w:rPr>
          <w:rFonts w:ascii="Bookman Old Style" w:hAnsi="Bookman Old Style"/>
          <w:lang w:val="es-CO"/>
        </w:rPr>
      </w:pPr>
      <w:r w:rsidRPr="00C12877">
        <w:rPr>
          <w:rFonts w:ascii="Bookman Old Style" w:hAnsi="Bookman Old Style"/>
          <w:lang w:val="es-CO"/>
        </w:rPr>
        <w:t>E</w:t>
      </w:r>
      <w:r w:rsidR="004646A2" w:rsidRPr="00C12877">
        <w:rPr>
          <w:rFonts w:ascii="Bookman Old Style" w:hAnsi="Bookman Old Style"/>
          <w:lang w:val="es-CO"/>
        </w:rPr>
        <w:t>l precio del gas al momento de iniciar el suministro deberá corresponder al precio pactado por las partes al momento de la suscripción del contrato</w:t>
      </w:r>
      <w:r w:rsidR="00962D5A" w:rsidRPr="00C12877">
        <w:rPr>
          <w:rFonts w:ascii="Bookman Old Style" w:hAnsi="Bookman Old Style"/>
          <w:lang w:val="es-CO"/>
        </w:rPr>
        <w:t>, dado el caso que el inicio de la ejecución del suministro sea en el mismo año de negociación del contrato o en el</w:t>
      </w:r>
      <w:r w:rsidR="006742EA" w:rsidRPr="00C12877">
        <w:rPr>
          <w:rFonts w:ascii="Bookman Old Style" w:hAnsi="Bookman Old Style"/>
          <w:lang w:val="es-CO"/>
        </w:rPr>
        <w:t xml:space="preserve"> </w:t>
      </w:r>
      <w:r w:rsidR="00962D5A" w:rsidRPr="00C12877">
        <w:rPr>
          <w:rFonts w:ascii="Bookman Old Style" w:hAnsi="Bookman Old Style"/>
          <w:lang w:val="es-CO"/>
        </w:rPr>
        <w:t xml:space="preserve">siguiente año. En el caso de que el inicio de ejecución del suministro sea en un año posterior a </w:t>
      </w:r>
      <w:r w:rsidR="00EB453F" w:rsidRPr="00C12877">
        <w:rPr>
          <w:rFonts w:ascii="Bookman Old Style" w:hAnsi="Bookman Old Style"/>
          <w:lang w:val="es-CO"/>
        </w:rPr>
        <w:t xml:space="preserve">alguno de </w:t>
      </w:r>
      <w:r w:rsidR="00962D5A" w:rsidRPr="00C12877">
        <w:rPr>
          <w:rFonts w:ascii="Bookman Old Style" w:hAnsi="Bookman Old Style"/>
          <w:lang w:val="es-CO"/>
        </w:rPr>
        <w:t xml:space="preserve">los anteriormente mencionados, podrá pactarse </w:t>
      </w:r>
      <w:r w:rsidR="00DD037B" w:rsidRPr="00C12877">
        <w:rPr>
          <w:rFonts w:ascii="Bookman Old Style" w:hAnsi="Bookman Old Style"/>
          <w:lang w:val="es-CO"/>
        </w:rPr>
        <w:t>la actualización d</w:t>
      </w:r>
      <w:r w:rsidR="00962D5A" w:rsidRPr="00C12877">
        <w:rPr>
          <w:rFonts w:ascii="Bookman Old Style" w:hAnsi="Bookman Old Style"/>
          <w:lang w:val="es-CO"/>
        </w:rPr>
        <w:t>el precio de</w:t>
      </w:r>
      <w:r w:rsidR="006742EA" w:rsidRPr="00C12877">
        <w:rPr>
          <w:rFonts w:ascii="Bookman Old Style" w:hAnsi="Bookman Old Style"/>
          <w:lang w:val="es-CO"/>
        </w:rPr>
        <w:t xml:space="preserve"> </w:t>
      </w:r>
      <w:r w:rsidR="00F703AA" w:rsidRPr="00C12877">
        <w:rPr>
          <w:rFonts w:ascii="Bookman Old Style" w:hAnsi="Bookman Old Style"/>
          <w:lang w:val="es-CO"/>
        </w:rPr>
        <w:t xml:space="preserve">inicio de </w:t>
      </w:r>
      <w:r w:rsidR="006742EA" w:rsidRPr="00C12877">
        <w:rPr>
          <w:rFonts w:ascii="Bookman Old Style" w:hAnsi="Bookman Old Style"/>
          <w:lang w:val="es-CO"/>
        </w:rPr>
        <w:t>ejecución de</w:t>
      </w:r>
      <w:r w:rsidR="00962D5A" w:rsidRPr="00C12877">
        <w:rPr>
          <w:rFonts w:ascii="Bookman Old Style" w:hAnsi="Bookman Old Style"/>
          <w:lang w:val="es-CO"/>
        </w:rPr>
        <w:t>l contrato</w:t>
      </w:r>
      <w:r w:rsidR="00DD037B" w:rsidRPr="00C12877">
        <w:rPr>
          <w:rFonts w:ascii="Bookman Old Style" w:hAnsi="Bookman Old Style"/>
          <w:lang w:val="es-CO"/>
        </w:rPr>
        <w:t xml:space="preserve">, </w:t>
      </w:r>
      <w:r w:rsidR="00962D5A" w:rsidRPr="00C12877">
        <w:rPr>
          <w:rFonts w:ascii="Bookman Old Style" w:hAnsi="Bookman Old Style"/>
          <w:lang w:val="es-CO"/>
        </w:rPr>
        <w:t xml:space="preserve">de acuerdo con </w:t>
      </w:r>
      <w:r w:rsidR="000E5BB1" w:rsidRPr="00C12877">
        <w:rPr>
          <w:rFonts w:ascii="Bookman Old Style" w:hAnsi="Bookman Old Style"/>
          <w:lang w:val="es-CO"/>
        </w:rPr>
        <w:t xml:space="preserve">lo establecido en el </w:t>
      </w:r>
      <w:r w:rsidR="00746F74" w:rsidRPr="00C12877">
        <w:rPr>
          <w:rFonts w:ascii="Bookman Old Style" w:hAnsi="Bookman Old Style"/>
          <w:lang w:val="es-CO"/>
        </w:rPr>
        <w:t>artículo</w:t>
      </w:r>
      <w:r w:rsidR="000E5BB1" w:rsidRPr="00C12877">
        <w:rPr>
          <w:rFonts w:ascii="Bookman Old Style" w:hAnsi="Bookman Old Style"/>
          <w:lang w:val="es-CO"/>
        </w:rPr>
        <w:t xml:space="preserve"> 15 </w:t>
      </w:r>
      <w:r w:rsidR="00962D5A" w:rsidRPr="00C12877">
        <w:rPr>
          <w:rFonts w:ascii="Bookman Old Style" w:hAnsi="Bookman Old Style"/>
          <w:lang w:val="es-CO"/>
        </w:rPr>
        <w:t>de la presente Resolución</w:t>
      </w:r>
      <w:r w:rsidR="004646A2" w:rsidRPr="00C12877">
        <w:rPr>
          <w:rFonts w:ascii="Bookman Old Style" w:hAnsi="Bookman Old Style"/>
          <w:lang w:val="es-CO"/>
        </w:rPr>
        <w:t xml:space="preserve">. </w:t>
      </w:r>
    </w:p>
    <w:p w14:paraId="26BBEBC4" w14:textId="77777777" w:rsidR="00887B67" w:rsidRPr="00C12877" w:rsidRDefault="00887B67" w:rsidP="000620E1">
      <w:pPr>
        <w:jc w:val="both"/>
        <w:rPr>
          <w:rFonts w:ascii="Bookman Old Style" w:hAnsi="Bookman Old Style"/>
          <w:lang w:val="es-CO"/>
        </w:rPr>
      </w:pPr>
    </w:p>
    <w:p w14:paraId="267A5442" w14:textId="27497BE8" w:rsidR="00887B67" w:rsidRPr="00C12877" w:rsidRDefault="00887B67" w:rsidP="000620E1">
      <w:pPr>
        <w:jc w:val="both"/>
        <w:rPr>
          <w:rFonts w:ascii="Bookman Old Style" w:hAnsi="Bookman Old Style"/>
          <w:lang w:val="es-CO"/>
        </w:rPr>
      </w:pPr>
      <w:r w:rsidRPr="00C12877">
        <w:rPr>
          <w:rFonts w:ascii="Bookman Old Style" w:hAnsi="Bookman Old Style"/>
          <w:lang w:val="es-CO"/>
        </w:rPr>
        <w:t xml:space="preserve">Los vendedores del </w:t>
      </w:r>
      <w:r w:rsidR="00587384" w:rsidRPr="00C12877">
        <w:rPr>
          <w:rFonts w:ascii="Bookman Old Style" w:hAnsi="Bookman Old Style"/>
          <w:lang w:val="es-CO"/>
        </w:rPr>
        <w:t>mercado primario</w:t>
      </w:r>
      <w:r w:rsidRPr="00C12877">
        <w:rPr>
          <w:rFonts w:ascii="Bookman Old Style" w:hAnsi="Bookman Old Style"/>
          <w:lang w:val="es-CO"/>
        </w:rPr>
        <w:t xml:space="preserve"> deberán establecer un procedimiento de priorización en las negociaciones directas que desarrollen, para la asignación de las cantidades solicitadas por parte de los compradores que atienden directamente a usuarios que hacen parte de la Demanda Esencial.</w:t>
      </w:r>
      <w:r w:rsidR="00C40B66">
        <w:rPr>
          <w:rFonts w:ascii="Bookman Old Style" w:hAnsi="Bookman Old Style"/>
          <w:lang w:val="es-CO"/>
        </w:rPr>
        <w:t xml:space="preserve"> </w:t>
      </w:r>
      <w:r w:rsidRPr="00C12877">
        <w:rPr>
          <w:rFonts w:ascii="Bookman Old Style" w:hAnsi="Bookman Old Style"/>
          <w:lang w:val="es-CO"/>
        </w:rPr>
        <w:t>Particularmente, en caso de que el vendedor utilice un proceso de comercialización con base en algún tipo de subasta o en general, de concurrencia simultánea de varios compradores, se asignarán primero las cantidades solicitadas por los compradores que atienden directamente la Demanda Esencial</w:t>
      </w:r>
      <w:r w:rsidR="00D42C0F" w:rsidRPr="00C12877">
        <w:rPr>
          <w:rFonts w:ascii="Bookman Old Style" w:hAnsi="Bookman Old Style"/>
          <w:lang w:val="es-CO"/>
        </w:rPr>
        <w:t xml:space="preserve"> de usuarios regulados</w:t>
      </w:r>
      <w:r w:rsidRPr="00C12877">
        <w:rPr>
          <w:rFonts w:ascii="Bookman Old Style" w:hAnsi="Bookman Old Style"/>
          <w:lang w:val="es-CO"/>
        </w:rPr>
        <w:t>, al Precio de Reserva establecido por el vendedor.</w:t>
      </w:r>
    </w:p>
    <w:p w14:paraId="3DFF2FC2" w14:textId="77777777" w:rsidR="00887B67" w:rsidRPr="00C12877" w:rsidRDefault="00887B67" w:rsidP="000620E1">
      <w:pPr>
        <w:jc w:val="both"/>
        <w:rPr>
          <w:rFonts w:ascii="Bookman Old Style" w:hAnsi="Bookman Old Style"/>
          <w:lang w:val="es-CO"/>
        </w:rPr>
      </w:pPr>
    </w:p>
    <w:p w14:paraId="01D7FFC5" w14:textId="31A083CC" w:rsidR="00887B67" w:rsidRPr="00C12877" w:rsidRDefault="00887B67" w:rsidP="000620E1">
      <w:pPr>
        <w:jc w:val="both"/>
        <w:rPr>
          <w:rFonts w:ascii="Bookman Old Style" w:hAnsi="Bookman Old Style"/>
          <w:lang w:val="es-CO"/>
        </w:rPr>
      </w:pPr>
      <w:r w:rsidRPr="00C12877">
        <w:rPr>
          <w:rFonts w:ascii="Bookman Old Style" w:hAnsi="Bookman Old Style"/>
          <w:lang w:val="es-CO"/>
        </w:rPr>
        <w:t xml:space="preserve">El </w:t>
      </w:r>
      <w:r w:rsidR="00A26A2B" w:rsidRPr="00C12877">
        <w:rPr>
          <w:rFonts w:ascii="Bookman Old Style" w:hAnsi="Bookman Old Style"/>
          <w:lang w:val="es-CO"/>
        </w:rPr>
        <w:t>P</w:t>
      </w:r>
      <w:r w:rsidRPr="00C12877">
        <w:rPr>
          <w:rFonts w:ascii="Bookman Old Style" w:hAnsi="Bookman Old Style"/>
          <w:lang w:val="es-CO"/>
        </w:rPr>
        <w:t xml:space="preserve">recio de </w:t>
      </w:r>
      <w:r w:rsidR="00A26A2B" w:rsidRPr="00C12877">
        <w:rPr>
          <w:rFonts w:ascii="Bookman Old Style" w:hAnsi="Bookman Old Style"/>
          <w:lang w:val="es-CO"/>
        </w:rPr>
        <w:t>R</w:t>
      </w:r>
      <w:r w:rsidRPr="00C12877">
        <w:rPr>
          <w:rFonts w:ascii="Bookman Old Style" w:hAnsi="Bookman Old Style"/>
          <w:lang w:val="es-CO"/>
        </w:rPr>
        <w:t xml:space="preserve">eserva deberá ser informado por el vendedor al </w:t>
      </w:r>
      <w:r w:rsidR="008F11E3" w:rsidRPr="00C12877">
        <w:rPr>
          <w:rFonts w:ascii="Bookman Old Style" w:hAnsi="Bookman Old Style"/>
          <w:lang w:val="es-CO"/>
        </w:rPr>
        <w:t>gestor del mercado</w:t>
      </w:r>
      <w:r w:rsidRPr="00C12877">
        <w:rPr>
          <w:rFonts w:ascii="Bookman Old Style" w:hAnsi="Bookman Old Style"/>
          <w:lang w:val="es-CO"/>
        </w:rPr>
        <w:t xml:space="preserve"> antes de iniciar cualquier proceso de negociación directa, el cual podrá ser utilizado exclusivamente para efectos de seguimiento, vigilancia y control de las autoridades del sector, incluyendo la Superintendencia de Servicios Públicos Domiciliarios y la Superintendencia de Industria y Comercio. El </w:t>
      </w:r>
      <w:r w:rsidR="008F11E3" w:rsidRPr="00C12877">
        <w:rPr>
          <w:rFonts w:ascii="Bookman Old Style" w:hAnsi="Bookman Old Style"/>
          <w:lang w:val="es-CO"/>
        </w:rPr>
        <w:t>gestor del mercado</w:t>
      </w:r>
      <w:r w:rsidRPr="00C12877">
        <w:rPr>
          <w:rFonts w:ascii="Bookman Old Style" w:hAnsi="Bookman Old Style"/>
          <w:lang w:val="es-CO"/>
        </w:rPr>
        <w:t xml:space="preserve"> podrá recibir la información directamente por cualquier medio que éste establezca. </w:t>
      </w:r>
    </w:p>
    <w:p w14:paraId="567BD752" w14:textId="77777777" w:rsidR="00887B67" w:rsidRPr="00C12877" w:rsidRDefault="00887B67" w:rsidP="000620E1">
      <w:pPr>
        <w:jc w:val="both"/>
        <w:rPr>
          <w:rFonts w:ascii="Bookman Old Style" w:hAnsi="Bookman Old Style"/>
          <w:lang w:val="es-CO"/>
        </w:rPr>
      </w:pPr>
    </w:p>
    <w:p w14:paraId="68004BD1" w14:textId="77777777" w:rsidR="00887B67" w:rsidRPr="00C12877" w:rsidRDefault="00887B67" w:rsidP="000620E1">
      <w:pPr>
        <w:jc w:val="both"/>
        <w:rPr>
          <w:rFonts w:ascii="Bookman Old Style" w:hAnsi="Bookman Old Style"/>
          <w:lang w:val="es-CO"/>
        </w:rPr>
      </w:pPr>
      <w:r w:rsidRPr="00C12877">
        <w:rPr>
          <w:rFonts w:ascii="Bookman Old Style" w:hAnsi="Bookman Old Style"/>
          <w:lang w:val="es-CO"/>
        </w:rPr>
        <w:t xml:space="preserve">En caso de que el vendedor utilice un proceso de comercialización con base en precio fijo, las cantidades disponibles se asignan primero a los compradores que representan a la Demanda Esencial a dicho precio. </w:t>
      </w:r>
    </w:p>
    <w:p w14:paraId="6E697866" w14:textId="77777777" w:rsidR="00887B67" w:rsidRPr="00C12877" w:rsidRDefault="00887B67" w:rsidP="000620E1">
      <w:pPr>
        <w:jc w:val="both"/>
        <w:rPr>
          <w:rFonts w:ascii="Bookman Old Style" w:hAnsi="Bookman Old Style"/>
          <w:lang w:val="es-CO"/>
        </w:rPr>
      </w:pPr>
    </w:p>
    <w:p w14:paraId="5F3CDB56" w14:textId="550CE5E1" w:rsidR="00887B67" w:rsidRPr="00C12877" w:rsidRDefault="00887B67" w:rsidP="000620E1">
      <w:pPr>
        <w:jc w:val="both"/>
        <w:rPr>
          <w:rFonts w:ascii="Bookman Old Style" w:hAnsi="Bookman Old Style"/>
          <w:lang w:val="es-CO"/>
        </w:rPr>
      </w:pPr>
      <w:r w:rsidRPr="00C12877">
        <w:rPr>
          <w:rFonts w:ascii="Bookman Old Style" w:hAnsi="Bookman Old Style"/>
          <w:lang w:val="es-CO"/>
        </w:rPr>
        <w:t>En caso de haber excedentes de oferta de gas natural después de la asignación priorizada anterior, los vendedores podrán ofrecer el gas natural a los compradores que atienden usuarios que no son parte de la Demanda Esencial</w:t>
      </w:r>
      <w:r w:rsidR="00E04E45" w:rsidRPr="00C12877">
        <w:rPr>
          <w:rFonts w:ascii="Bookman Old Style" w:hAnsi="Bookman Old Style"/>
          <w:lang w:val="es-CO"/>
        </w:rPr>
        <w:t xml:space="preserve"> de usuarios regulados</w:t>
      </w:r>
      <w:r w:rsidRPr="00C12877">
        <w:rPr>
          <w:rFonts w:ascii="Bookman Old Style" w:hAnsi="Bookman Old Style"/>
          <w:lang w:val="es-CO"/>
        </w:rPr>
        <w:t>.</w:t>
      </w:r>
      <w:r w:rsidR="004E0AC7" w:rsidRPr="00C12877">
        <w:rPr>
          <w:rFonts w:ascii="Bookman Old Style" w:hAnsi="Bookman Old Style"/>
          <w:lang w:val="es-CO"/>
        </w:rPr>
        <w:t xml:space="preserve"> En ese caso, la asignación de las </w:t>
      </w:r>
      <w:r w:rsidR="004E0AC7" w:rsidRPr="00C12877">
        <w:rPr>
          <w:rFonts w:ascii="Bookman Old Style" w:hAnsi="Bookman Old Style"/>
          <w:lang w:val="es-CO"/>
        </w:rPr>
        <w:lastRenderedPageBreak/>
        <w:t xml:space="preserve">cantidades a la Demanda Esencial </w:t>
      </w:r>
      <w:r w:rsidR="00E04E45" w:rsidRPr="00C12877">
        <w:rPr>
          <w:rFonts w:ascii="Bookman Old Style" w:hAnsi="Bookman Old Style"/>
          <w:lang w:val="es-CO"/>
        </w:rPr>
        <w:t xml:space="preserve">de los usuarios regulados </w:t>
      </w:r>
      <w:r w:rsidR="004E0AC7" w:rsidRPr="00C12877">
        <w:rPr>
          <w:rFonts w:ascii="Bookman Old Style" w:hAnsi="Bookman Old Style"/>
          <w:lang w:val="es-CO"/>
        </w:rPr>
        <w:t xml:space="preserve">se </w:t>
      </w:r>
      <w:r w:rsidR="00AD0217" w:rsidRPr="00C12877">
        <w:rPr>
          <w:rFonts w:ascii="Bookman Old Style" w:hAnsi="Bookman Old Style"/>
          <w:lang w:val="es-CO"/>
        </w:rPr>
        <w:t xml:space="preserve">hará con el Precio de Reserva establecido por el </w:t>
      </w:r>
      <w:r w:rsidR="009320BA" w:rsidRPr="00C12877">
        <w:rPr>
          <w:rFonts w:ascii="Bookman Old Style" w:hAnsi="Bookman Old Style"/>
          <w:lang w:val="es-CO"/>
        </w:rPr>
        <w:t>vendedor.</w:t>
      </w:r>
    </w:p>
    <w:p w14:paraId="3CB75CDE" w14:textId="77777777" w:rsidR="00887B67" w:rsidRPr="00C12877" w:rsidRDefault="00887B67" w:rsidP="000620E1">
      <w:pPr>
        <w:jc w:val="both"/>
        <w:rPr>
          <w:rFonts w:ascii="Bookman Old Style" w:hAnsi="Bookman Old Style"/>
          <w:lang w:val="es-CO"/>
        </w:rPr>
      </w:pPr>
    </w:p>
    <w:p w14:paraId="61727654" w14:textId="7705F968" w:rsidR="00887B67" w:rsidRPr="00C12877" w:rsidRDefault="00887B67" w:rsidP="000620E1">
      <w:pPr>
        <w:jc w:val="both"/>
        <w:rPr>
          <w:rFonts w:ascii="Bookman Old Style" w:hAnsi="Bookman Old Style"/>
          <w:lang w:val="es-CO"/>
        </w:rPr>
      </w:pPr>
      <w:r w:rsidRPr="00C12877">
        <w:rPr>
          <w:rFonts w:ascii="Bookman Old Style" w:hAnsi="Bookman Old Style"/>
          <w:lang w:val="es-CO"/>
        </w:rPr>
        <w:t xml:space="preserve">Para la determinación de las cantidades máximas a contratar para atender la Demanda Esencial, se deberá seguir el procedimiento establecido en el Anexo </w:t>
      </w:r>
      <w:r w:rsidR="00B11AF0" w:rsidRPr="00C12877">
        <w:rPr>
          <w:rFonts w:ascii="Bookman Old Style" w:hAnsi="Bookman Old Style"/>
          <w:lang w:val="es-CO"/>
        </w:rPr>
        <w:t>8</w:t>
      </w:r>
      <w:r w:rsidRPr="00C12877">
        <w:rPr>
          <w:rFonts w:ascii="Bookman Old Style" w:hAnsi="Bookman Old Style"/>
          <w:lang w:val="es-CO"/>
        </w:rPr>
        <w:t xml:space="preserve"> de la presente Resolución.  </w:t>
      </w:r>
    </w:p>
    <w:p w14:paraId="7F3271DE" w14:textId="77777777" w:rsidR="00887B67" w:rsidRPr="00C12877" w:rsidRDefault="00887B67" w:rsidP="000620E1">
      <w:pPr>
        <w:jc w:val="both"/>
        <w:rPr>
          <w:rFonts w:ascii="Bookman Old Style" w:hAnsi="Bookman Old Style"/>
          <w:lang w:val="es-CO"/>
        </w:rPr>
      </w:pPr>
    </w:p>
    <w:p w14:paraId="1B0E92F3" w14:textId="5294FB93" w:rsidR="00C469B1" w:rsidRPr="00C12877" w:rsidRDefault="00887B67" w:rsidP="000620E1">
      <w:pPr>
        <w:jc w:val="both"/>
        <w:rPr>
          <w:rFonts w:ascii="Bookman Old Style" w:hAnsi="Bookman Old Style"/>
          <w:lang w:val="es-CO"/>
        </w:rPr>
      </w:pPr>
      <w:r w:rsidRPr="00C12877">
        <w:rPr>
          <w:rFonts w:ascii="Bookman Old Style" w:hAnsi="Bookman Old Style"/>
          <w:lang w:val="es-CO"/>
        </w:rPr>
        <w:t xml:space="preserve">Es responsabilidad de los compradores del </w:t>
      </w:r>
      <w:r w:rsidR="00587384" w:rsidRPr="00C12877">
        <w:rPr>
          <w:rFonts w:ascii="Bookman Old Style" w:hAnsi="Bookman Old Style"/>
          <w:lang w:val="es-CO"/>
        </w:rPr>
        <w:t>mercado primario</w:t>
      </w:r>
      <w:r w:rsidRPr="00C12877">
        <w:rPr>
          <w:rFonts w:ascii="Bookman Old Style" w:hAnsi="Bookman Old Style"/>
          <w:lang w:val="es-CO"/>
        </w:rPr>
        <w:t xml:space="preserve"> que las solicitudes de compra que presenten a los vendedores y que tengan como destino atender directamente el consumo de los usuarios que hacen parte de la Demanda Esencial, contengan información veraz, dando cumplimiento a lo establecido en el Anexo </w:t>
      </w:r>
      <w:r w:rsidR="00C469B1" w:rsidRPr="00C12877">
        <w:rPr>
          <w:rFonts w:ascii="Bookman Old Style" w:hAnsi="Bookman Old Style"/>
          <w:lang w:val="es-CO"/>
        </w:rPr>
        <w:t>8</w:t>
      </w:r>
      <w:r w:rsidRPr="00C12877">
        <w:rPr>
          <w:rFonts w:ascii="Bookman Old Style" w:hAnsi="Bookman Old Style"/>
          <w:lang w:val="es-CO"/>
        </w:rPr>
        <w:t xml:space="preserve"> de la presente Resolución y en el marco de los comportamientos establecidos en la Resolución CREG 080 de 2019, en especial lo contemplado en el Capítulo II “</w:t>
      </w:r>
      <w:r w:rsidRPr="00C12877">
        <w:rPr>
          <w:rFonts w:ascii="Bookman Old Style" w:hAnsi="Bookman Old Style"/>
          <w:i/>
          <w:iCs/>
          <w:lang w:val="es-CO"/>
        </w:rPr>
        <w:t>Comportamientos que propenden por el cumplimiento de los fines de la regulación</w:t>
      </w:r>
      <w:r w:rsidRPr="00C12877">
        <w:rPr>
          <w:rFonts w:ascii="Bookman Old Style" w:hAnsi="Bookman Old Style"/>
          <w:lang w:val="es-CO"/>
        </w:rPr>
        <w:t xml:space="preserve">”. </w:t>
      </w:r>
    </w:p>
    <w:p w14:paraId="3555FF9B" w14:textId="77777777" w:rsidR="00C469B1" w:rsidRPr="00C12877" w:rsidRDefault="00C469B1" w:rsidP="000620E1">
      <w:pPr>
        <w:jc w:val="both"/>
        <w:rPr>
          <w:rFonts w:ascii="Bookman Old Style" w:hAnsi="Bookman Old Style"/>
          <w:lang w:val="es-CO"/>
        </w:rPr>
      </w:pPr>
    </w:p>
    <w:p w14:paraId="37C373BC" w14:textId="40022E94" w:rsidR="00887B67" w:rsidRPr="00C12877" w:rsidRDefault="00887B67" w:rsidP="000620E1">
      <w:pPr>
        <w:jc w:val="both"/>
        <w:rPr>
          <w:rFonts w:ascii="Bookman Old Style" w:hAnsi="Bookman Old Style"/>
          <w:lang w:val="es-CO"/>
        </w:rPr>
      </w:pPr>
      <w:r w:rsidRPr="00C12877">
        <w:rPr>
          <w:rFonts w:ascii="Bookman Old Style" w:hAnsi="Bookman Old Style"/>
          <w:lang w:val="es-CO"/>
        </w:rPr>
        <w:t xml:space="preserve">Asimismo, es responsabilidad de los compradores del </w:t>
      </w:r>
      <w:r w:rsidR="00587384" w:rsidRPr="00C12877">
        <w:rPr>
          <w:rFonts w:ascii="Bookman Old Style" w:hAnsi="Bookman Old Style"/>
          <w:lang w:val="es-CO"/>
        </w:rPr>
        <w:t>mercado primario</w:t>
      </w:r>
      <w:r w:rsidRPr="00C12877">
        <w:rPr>
          <w:rFonts w:ascii="Bookman Old Style" w:hAnsi="Bookman Old Style"/>
          <w:lang w:val="es-CO"/>
        </w:rPr>
        <w:t xml:space="preserve"> que son priorizados para atender la Demanda Esencial, que el total de las cantidades contratadas</w:t>
      </w:r>
      <w:r w:rsidR="001B7B0F" w:rsidRPr="00C12877">
        <w:rPr>
          <w:rFonts w:ascii="Bookman Old Style" w:hAnsi="Bookman Old Style"/>
          <w:lang w:val="es-CO"/>
        </w:rPr>
        <w:t>,</w:t>
      </w:r>
      <w:r w:rsidRPr="00C12877">
        <w:rPr>
          <w:rFonts w:ascii="Bookman Old Style" w:hAnsi="Bookman Old Style"/>
          <w:lang w:val="es-CO"/>
        </w:rPr>
        <w:t xml:space="preserve"> en caso de negociarse con más de un vendedor, no sea superior al valor obtenido de acuerdo con el numeral i.) del Anexo </w:t>
      </w:r>
      <w:r w:rsidR="00C469B1" w:rsidRPr="00C12877">
        <w:rPr>
          <w:rFonts w:ascii="Bookman Old Style" w:hAnsi="Bookman Old Style"/>
          <w:lang w:val="es-CO"/>
        </w:rPr>
        <w:t>8</w:t>
      </w:r>
      <w:r w:rsidRPr="00C12877">
        <w:rPr>
          <w:rFonts w:ascii="Bookman Old Style" w:hAnsi="Bookman Old Style"/>
          <w:lang w:val="es-CO"/>
        </w:rPr>
        <w:t xml:space="preserve"> de la presente Resolución.</w:t>
      </w:r>
    </w:p>
    <w:p w14:paraId="6EEF23C4" w14:textId="77777777" w:rsidR="00887B67" w:rsidRPr="00C12877" w:rsidRDefault="00887B67" w:rsidP="000620E1">
      <w:pPr>
        <w:jc w:val="both"/>
        <w:rPr>
          <w:rFonts w:ascii="Bookman Old Style" w:hAnsi="Bookman Old Style"/>
          <w:lang w:val="es-CO"/>
        </w:rPr>
      </w:pPr>
    </w:p>
    <w:p w14:paraId="0CB9DB14" w14:textId="38C668D0" w:rsidR="00E5137B" w:rsidRPr="00C12877" w:rsidRDefault="00F179DD" w:rsidP="000620E1">
      <w:pPr>
        <w:jc w:val="both"/>
        <w:rPr>
          <w:rFonts w:ascii="Bookman Old Style" w:hAnsi="Bookman Old Style"/>
        </w:rPr>
      </w:pPr>
      <w:r w:rsidRPr="008C3862">
        <w:rPr>
          <w:rFonts w:ascii="Bookman Old Style" w:hAnsi="Bookman Old Style"/>
          <w:b/>
          <w:bCs/>
        </w:rPr>
        <w:t>Parágrafo 1.</w:t>
      </w:r>
      <w:r w:rsidRPr="00C12877">
        <w:rPr>
          <w:rFonts w:ascii="Bookman Old Style" w:hAnsi="Bookman Old Style"/>
        </w:rPr>
        <w:t xml:space="preserve"> Los vendedores de las fuentes de producción contempladas en </w:t>
      </w:r>
      <w:r w:rsidR="001861B0" w:rsidRPr="00C12877">
        <w:rPr>
          <w:rFonts w:ascii="Bookman Old Style" w:hAnsi="Bookman Old Style"/>
        </w:rPr>
        <w:t>los literales a), b) y c) d</w:t>
      </w:r>
      <w:r w:rsidRPr="00C12877">
        <w:rPr>
          <w:rFonts w:ascii="Bookman Old Style" w:hAnsi="Bookman Old Style"/>
        </w:rPr>
        <w:t>el</w:t>
      </w:r>
      <w:r w:rsidR="001861B0" w:rsidRPr="00C12877">
        <w:rPr>
          <w:rFonts w:ascii="Bookman Old Style" w:hAnsi="Bookman Old Style"/>
        </w:rPr>
        <w:t xml:space="preserve"> numeral 1 del </w:t>
      </w:r>
      <w:r w:rsidR="008F11E3" w:rsidRPr="00C12877">
        <w:rPr>
          <w:rFonts w:ascii="Bookman Old Style" w:hAnsi="Bookman Old Style"/>
        </w:rPr>
        <w:t>artículo</w:t>
      </w:r>
      <w:r w:rsidRPr="00C12877">
        <w:rPr>
          <w:rFonts w:ascii="Bookman Old Style" w:hAnsi="Bookman Old Style"/>
        </w:rPr>
        <w:t xml:space="preserve"> 19 de la presente Resolución</w:t>
      </w:r>
      <w:r w:rsidR="000C570D" w:rsidRPr="00C12877">
        <w:rPr>
          <w:rFonts w:ascii="Bookman Old Style" w:hAnsi="Bookman Old Style"/>
        </w:rPr>
        <w:t>,</w:t>
      </w:r>
      <w:r w:rsidRPr="00C12877">
        <w:rPr>
          <w:rFonts w:ascii="Bookman Old Style" w:hAnsi="Bookman Old Style"/>
        </w:rPr>
        <w:t xml:space="preserve"> deberán declarar al gestor del mercado las </w:t>
      </w:r>
      <w:r w:rsidR="00A8263F" w:rsidRPr="00C12877">
        <w:rPr>
          <w:rFonts w:ascii="Bookman Old Style" w:hAnsi="Bookman Old Style"/>
        </w:rPr>
        <w:t xml:space="preserve">nuevas </w:t>
      </w:r>
      <w:r w:rsidRPr="00C12877">
        <w:rPr>
          <w:rFonts w:ascii="Bookman Old Style" w:hAnsi="Bookman Old Style"/>
        </w:rPr>
        <w:t xml:space="preserve">cantidades </w:t>
      </w:r>
      <w:r w:rsidR="00BD522E" w:rsidRPr="00C12877">
        <w:rPr>
          <w:rFonts w:ascii="Bookman Old Style" w:hAnsi="Bookman Old Style"/>
        </w:rPr>
        <w:t>mayores o menores</w:t>
      </w:r>
      <w:r w:rsidRPr="00C12877">
        <w:rPr>
          <w:rFonts w:ascii="Bookman Old Style" w:hAnsi="Bookman Old Style"/>
        </w:rPr>
        <w:t xml:space="preserve"> de oferta de PTDVF que surjan por variación en la información disponible al momento de la declaración inicial</w:t>
      </w:r>
      <w:r w:rsidR="00BD522E" w:rsidRPr="00C12877">
        <w:rPr>
          <w:rFonts w:ascii="Bookman Old Style" w:hAnsi="Bookman Old Style"/>
        </w:rPr>
        <w:t xml:space="preserve"> de acuerdo con el cronograma publicado</w:t>
      </w:r>
      <w:r w:rsidRPr="00C12877">
        <w:rPr>
          <w:rFonts w:ascii="Bookman Old Style" w:hAnsi="Bookman Old Style"/>
        </w:rPr>
        <w:t xml:space="preserve">, en el primer día hábil del mes siguiente a su ocurrencia. </w:t>
      </w:r>
    </w:p>
    <w:p w14:paraId="5F5AADE0" w14:textId="77777777" w:rsidR="00E5137B" w:rsidRPr="00C12877" w:rsidRDefault="00E5137B" w:rsidP="000620E1">
      <w:pPr>
        <w:jc w:val="both"/>
        <w:rPr>
          <w:rFonts w:ascii="Bookman Old Style" w:hAnsi="Bookman Old Style"/>
        </w:rPr>
      </w:pPr>
    </w:p>
    <w:p w14:paraId="1D715A26" w14:textId="3DD15AAB" w:rsidR="00F179DD" w:rsidRPr="00C12877" w:rsidRDefault="00F179DD" w:rsidP="000620E1">
      <w:pPr>
        <w:jc w:val="both"/>
        <w:rPr>
          <w:rFonts w:ascii="Bookman Old Style" w:hAnsi="Bookman Old Style"/>
        </w:rPr>
      </w:pPr>
      <w:r w:rsidRPr="00C12877">
        <w:rPr>
          <w:rFonts w:ascii="Bookman Old Style" w:hAnsi="Bookman Old Style"/>
        </w:rPr>
        <w:t xml:space="preserve">En la nueva declaración al </w:t>
      </w:r>
      <w:r w:rsidR="008F11E3" w:rsidRPr="00C12877">
        <w:rPr>
          <w:rFonts w:ascii="Bookman Old Style" w:hAnsi="Bookman Old Style"/>
        </w:rPr>
        <w:t>gestor del mercado</w:t>
      </w:r>
      <w:r w:rsidRPr="00C12877">
        <w:rPr>
          <w:rFonts w:ascii="Bookman Old Style" w:hAnsi="Bookman Old Style"/>
        </w:rPr>
        <w:t xml:space="preserve"> se deberá anexar un documento que exponga las razones que expliquen dichas cantidades </w:t>
      </w:r>
      <w:r w:rsidR="00BD522E" w:rsidRPr="00C12877">
        <w:rPr>
          <w:rFonts w:ascii="Bookman Old Style" w:hAnsi="Bookman Old Style"/>
        </w:rPr>
        <w:t>mayores o menores</w:t>
      </w:r>
      <w:r w:rsidR="00E5137B" w:rsidRPr="00C12877">
        <w:rPr>
          <w:rFonts w:ascii="Bookman Old Style" w:hAnsi="Bookman Old Style"/>
        </w:rPr>
        <w:t xml:space="preserve">, </w:t>
      </w:r>
      <w:r w:rsidR="00345C62" w:rsidRPr="00C12877">
        <w:rPr>
          <w:rFonts w:ascii="Bookman Old Style" w:hAnsi="Bookman Old Style"/>
        </w:rPr>
        <w:t xml:space="preserve">cuando no </w:t>
      </w:r>
      <w:r w:rsidR="00602A80" w:rsidRPr="00C12877">
        <w:rPr>
          <w:rFonts w:ascii="Bookman Old Style" w:hAnsi="Bookman Old Style"/>
        </w:rPr>
        <w:t xml:space="preserve">haya sido originada por ventas en contratos de tipo firme o por nuevas declaraciones de PTDV </w:t>
      </w:r>
      <w:r w:rsidR="002D7099">
        <w:rPr>
          <w:rFonts w:ascii="Bookman Old Style" w:hAnsi="Bookman Old Style"/>
        </w:rPr>
        <w:t xml:space="preserve">y/o CIDV </w:t>
      </w:r>
      <w:r w:rsidR="00602A80" w:rsidRPr="00C12877">
        <w:rPr>
          <w:rFonts w:ascii="Bookman Old Style" w:hAnsi="Bookman Old Style"/>
        </w:rPr>
        <w:t>realizadas al MME</w:t>
      </w:r>
      <w:r w:rsidR="00447D94" w:rsidRPr="00C12877">
        <w:rPr>
          <w:rFonts w:ascii="Bookman Old Style" w:hAnsi="Bookman Old Style"/>
        </w:rPr>
        <w:t xml:space="preserve">. Estos documentos </w:t>
      </w:r>
      <w:r w:rsidR="00E5137B" w:rsidRPr="00C12877">
        <w:rPr>
          <w:rFonts w:ascii="Bookman Old Style" w:hAnsi="Bookman Old Style"/>
        </w:rPr>
        <w:t>será</w:t>
      </w:r>
      <w:r w:rsidR="00447D94" w:rsidRPr="00C12877">
        <w:rPr>
          <w:rFonts w:ascii="Bookman Old Style" w:hAnsi="Bookman Old Style"/>
        </w:rPr>
        <w:t>n</w:t>
      </w:r>
      <w:r w:rsidR="00E5137B" w:rsidRPr="00C12877">
        <w:rPr>
          <w:rFonts w:ascii="Bookman Old Style" w:hAnsi="Bookman Old Style"/>
        </w:rPr>
        <w:t xml:space="preserve"> </w:t>
      </w:r>
      <w:r w:rsidR="00447D94" w:rsidRPr="00C12877">
        <w:rPr>
          <w:rFonts w:ascii="Bookman Old Style" w:hAnsi="Bookman Old Style"/>
        </w:rPr>
        <w:t>entrega</w:t>
      </w:r>
      <w:r w:rsidR="00E5137B" w:rsidRPr="00C12877">
        <w:rPr>
          <w:rFonts w:ascii="Bookman Old Style" w:hAnsi="Bookman Old Style"/>
        </w:rPr>
        <w:t>d</w:t>
      </w:r>
      <w:r w:rsidR="00447D94" w:rsidRPr="00C12877">
        <w:rPr>
          <w:rFonts w:ascii="Bookman Old Style" w:hAnsi="Bookman Old Style"/>
        </w:rPr>
        <w:t>os</w:t>
      </w:r>
      <w:r w:rsidR="00E5137B" w:rsidRPr="00C12877">
        <w:rPr>
          <w:rFonts w:ascii="Bookman Old Style" w:hAnsi="Bookman Old Style"/>
        </w:rPr>
        <w:t xml:space="preserve"> en caso de que alguna autoridad competente l</w:t>
      </w:r>
      <w:r w:rsidR="00447D94" w:rsidRPr="00C12877">
        <w:rPr>
          <w:rFonts w:ascii="Bookman Old Style" w:hAnsi="Bookman Old Style"/>
        </w:rPr>
        <w:t>os</w:t>
      </w:r>
      <w:r w:rsidR="00E5137B" w:rsidRPr="00C12877">
        <w:rPr>
          <w:rFonts w:ascii="Bookman Old Style" w:hAnsi="Bookman Old Style"/>
        </w:rPr>
        <w:t xml:space="preserve"> solicite</w:t>
      </w:r>
      <w:r w:rsidR="00447D94" w:rsidRPr="00C12877">
        <w:rPr>
          <w:rFonts w:ascii="Bookman Old Style" w:hAnsi="Bookman Old Style"/>
        </w:rPr>
        <w:t xml:space="preserve">, </w:t>
      </w:r>
      <w:r w:rsidR="0018794C" w:rsidRPr="00C12877">
        <w:rPr>
          <w:rFonts w:ascii="Bookman Old Style" w:hAnsi="Bookman Old Style"/>
        </w:rPr>
        <w:t xml:space="preserve">así como para uso </w:t>
      </w:r>
      <w:r w:rsidR="00710A27" w:rsidRPr="00C12877">
        <w:rPr>
          <w:rFonts w:ascii="Bookman Old Style" w:hAnsi="Bookman Old Style"/>
        </w:rPr>
        <w:t xml:space="preserve">de la CREG </w:t>
      </w:r>
      <w:r w:rsidR="0018794C" w:rsidRPr="00C12877">
        <w:rPr>
          <w:rFonts w:ascii="Bookman Old Style" w:hAnsi="Bookman Old Style"/>
        </w:rPr>
        <w:t xml:space="preserve">en los análisis </w:t>
      </w:r>
      <w:r w:rsidR="00710A27" w:rsidRPr="00C12877">
        <w:rPr>
          <w:rFonts w:ascii="Bookman Old Style" w:hAnsi="Bookman Old Style"/>
        </w:rPr>
        <w:t xml:space="preserve">y seguimiento </w:t>
      </w:r>
      <w:r w:rsidR="0018794C" w:rsidRPr="00C12877">
        <w:rPr>
          <w:rFonts w:ascii="Bookman Old Style" w:hAnsi="Bookman Old Style"/>
        </w:rPr>
        <w:t>de la regulación vigente</w:t>
      </w:r>
      <w:r w:rsidRPr="00C12877">
        <w:rPr>
          <w:rFonts w:ascii="Bookman Old Style" w:hAnsi="Bookman Old Style"/>
        </w:rPr>
        <w:t>.</w:t>
      </w:r>
    </w:p>
    <w:p w14:paraId="12ED2729" w14:textId="77777777" w:rsidR="00F179DD" w:rsidRDefault="00F179DD" w:rsidP="000620E1">
      <w:pPr>
        <w:jc w:val="both"/>
        <w:rPr>
          <w:rFonts w:ascii="Bookman Old Style" w:hAnsi="Bookman Old Style"/>
          <w:b/>
          <w:bCs/>
          <w:highlight w:val="green"/>
          <w:lang w:val="es-CO"/>
        </w:rPr>
      </w:pPr>
    </w:p>
    <w:p w14:paraId="6DCC666B" w14:textId="638BA885" w:rsidR="00740078" w:rsidRPr="00C12877" w:rsidRDefault="00740078" w:rsidP="000620E1">
      <w:pPr>
        <w:jc w:val="both"/>
        <w:rPr>
          <w:rFonts w:ascii="Bookman Old Style" w:hAnsi="Bookman Old Style"/>
          <w:lang w:val="es-CO"/>
        </w:rPr>
      </w:pPr>
      <w:r w:rsidRPr="00C12877">
        <w:rPr>
          <w:rFonts w:ascii="Bookman Old Style" w:hAnsi="Bookman Old Style"/>
          <w:b/>
          <w:bCs/>
          <w:lang w:val="es-CO"/>
        </w:rPr>
        <w:t>Parágrafo</w:t>
      </w:r>
      <w:r w:rsidR="00F179DD" w:rsidRPr="00C12877">
        <w:rPr>
          <w:rFonts w:ascii="Bookman Old Style" w:hAnsi="Bookman Old Style"/>
          <w:b/>
          <w:bCs/>
          <w:lang w:val="es-CO"/>
        </w:rPr>
        <w:t xml:space="preserve"> </w:t>
      </w:r>
      <w:r w:rsidR="008C3862">
        <w:rPr>
          <w:rFonts w:ascii="Bookman Old Style" w:hAnsi="Bookman Old Style"/>
          <w:b/>
          <w:bCs/>
          <w:lang w:val="es-CO"/>
        </w:rPr>
        <w:t>2</w:t>
      </w:r>
      <w:r w:rsidRPr="00C12877">
        <w:rPr>
          <w:rFonts w:ascii="Bookman Old Style" w:hAnsi="Bookman Old Style"/>
          <w:b/>
          <w:bCs/>
          <w:lang w:val="es-CO"/>
        </w:rPr>
        <w:t>.</w:t>
      </w:r>
      <w:r w:rsidRPr="00C12877">
        <w:rPr>
          <w:rFonts w:ascii="Bookman Old Style" w:hAnsi="Bookman Old Style"/>
          <w:lang w:val="es-CO"/>
        </w:rPr>
        <w:t xml:space="preserve"> Los vendedores del </w:t>
      </w:r>
      <w:r w:rsidR="00587384" w:rsidRPr="00C12877">
        <w:rPr>
          <w:rFonts w:ascii="Bookman Old Style" w:hAnsi="Bookman Old Style"/>
          <w:lang w:val="es-CO"/>
        </w:rPr>
        <w:t>mercado primario</w:t>
      </w:r>
      <w:r w:rsidRPr="00C12877">
        <w:rPr>
          <w:rFonts w:ascii="Bookman Old Style" w:hAnsi="Bookman Old Style"/>
          <w:lang w:val="es-CO"/>
        </w:rPr>
        <w:t xml:space="preserve"> podrán, en cualquier momento, actualizar al </w:t>
      </w:r>
      <w:r w:rsidR="008F11E3" w:rsidRPr="00C12877">
        <w:rPr>
          <w:rFonts w:ascii="Bookman Old Style" w:hAnsi="Bookman Old Style"/>
          <w:lang w:val="es-CO"/>
        </w:rPr>
        <w:t>gestor del mercado</w:t>
      </w:r>
      <w:r w:rsidRPr="00C12877">
        <w:rPr>
          <w:rFonts w:ascii="Bookman Old Style" w:hAnsi="Bookman Old Style"/>
          <w:lang w:val="es-CO"/>
        </w:rPr>
        <w:t xml:space="preserve"> la oferta de PTDVF y de CIDVF, únicamente para suscribir y registrar contratos de la modalidad de suministro de contingencia.</w:t>
      </w:r>
    </w:p>
    <w:p w14:paraId="5459E5D3" w14:textId="77777777" w:rsidR="001B1E6C" w:rsidRPr="00C12877" w:rsidRDefault="001B1E6C" w:rsidP="000620E1">
      <w:pPr>
        <w:jc w:val="both"/>
        <w:rPr>
          <w:rFonts w:ascii="Bookman Old Style" w:hAnsi="Bookman Old Style"/>
          <w:lang w:val="es-CO"/>
        </w:rPr>
      </w:pPr>
    </w:p>
    <w:p w14:paraId="08B44D54" w14:textId="6FA7FCB5" w:rsidR="001B1E6C" w:rsidRPr="00C12877" w:rsidRDefault="001B1E6C" w:rsidP="000620E1">
      <w:pPr>
        <w:jc w:val="both"/>
        <w:rPr>
          <w:rFonts w:ascii="Bookman Old Style" w:hAnsi="Bookman Old Style"/>
          <w:lang w:val="es-CO"/>
        </w:rPr>
      </w:pPr>
      <w:r w:rsidRPr="00C12877">
        <w:rPr>
          <w:rFonts w:ascii="Bookman Old Style" w:hAnsi="Bookman Old Style"/>
          <w:b/>
          <w:bCs/>
          <w:lang w:val="es-CO"/>
        </w:rPr>
        <w:t xml:space="preserve">Parágrafo </w:t>
      </w:r>
      <w:r w:rsidR="008C3862">
        <w:rPr>
          <w:rFonts w:ascii="Bookman Old Style" w:hAnsi="Bookman Old Style"/>
          <w:b/>
          <w:bCs/>
          <w:lang w:val="es-CO"/>
        </w:rPr>
        <w:t>3</w:t>
      </w:r>
      <w:r w:rsidRPr="00C12877">
        <w:rPr>
          <w:rFonts w:ascii="Bookman Old Style" w:hAnsi="Bookman Old Style"/>
          <w:b/>
          <w:bCs/>
          <w:lang w:val="es-CO"/>
        </w:rPr>
        <w:t>.</w:t>
      </w:r>
      <w:r w:rsidRPr="00C12877">
        <w:rPr>
          <w:rFonts w:ascii="Bookman Old Style" w:hAnsi="Bookman Old Style"/>
          <w:lang w:val="es-CO"/>
        </w:rPr>
        <w:t xml:space="preserve"> </w:t>
      </w:r>
      <w:r w:rsidR="003915FB" w:rsidRPr="00C12877">
        <w:rPr>
          <w:rFonts w:ascii="Bookman Old Style" w:hAnsi="Bookman Old Style"/>
          <w:lang w:val="es-CO"/>
        </w:rPr>
        <w:t xml:space="preserve">Dado el caso de que el </w:t>
      </w:r>
      <w:r w:rsidR="00B60DBA" w:rsidRPr="00C12877">
        <w:rPr>
          <w:rFonts w:ascii="Bookman Old Style" w:hAnsi="Bookman Old Style"/>
          <w:lang w:val="es-CO"/>
        </w:rPr>
        <w:t>MME</w:t>
      </w:r>
      <w:r w:rsidR="003915FB" w:rsidRPr="00C12877">
        <w:rPr>
          <w:rFonts w:ascii="Bookman Old Style" w:hAnsi="Bookman Old Style"/>
          <w:lang w:val="es-CO"/>
        </w:rPr>
        <w:t xml:space="preserve"> publique una nueva declaración de PTDV y/o CIDV de una fuente de suministro, con posterioridad a la publicación utilizada para la declaración de PTDVF y/o CIDVF inicial del cronograma anual, el vendedor de dicha fuente podrá modificar la declaración de PTDVF y/o CIDVF de esa misma fuente de suministro</w:t>
      </w:r>
      <w:r w:rsidR="00472129" w:rsidRPr="00C12877">
        <w:rPr>
          <w:rFonts w:ascii="Bookman Old Style" w:hAnsi="Bookman Old Style"/>
          <w:lang w:val="es-CO"/>
        </w:rPr>
        <w:t>,</w:t>
      </w:r>
      <w:r w:rsidR="00B60DBA" w:rsidRPr="00C12877">
        <w:rPr>
          <w:rFonts w:ascii="Bookman Old Style" w:hAnsi="Bookman Old Style"/>
          <w:lang w:val="es-CO"/>
        </w:rPr>
        <w:t xml:space="preserve"> </w:t>
      </w:r>
      <w:r w:rsidR="00472129" w:rsidRPr="00C12877">
        <w:rPr>
          <w:rFonts w:ascii="Bookman Old Style" w:hAnsi="Bookman Old Style"/>
          <w:lang w:val="es-CO"/>
        </w:rPr>
        <w:t xml:space="preserve">como máximo </w:t>
      </w:r>
      <w:r w:rsidR="00B60DBA" w:rsidRPr="00C12877">
        <w:rPr>
          <w:rFonts w:ascii="Bookman Old Style" w:hAnsi="Bookman Old Style"/>
          <w:lang w:val="es-CO"/>
        </w:rPr>
        <w:t xml:space="preserve">en los cinco (5) días hábiles siguientes a la </w:t>
      </w:r>
      <w:r w:rsidR="00472129" w:rsidRPr="00C12877">
        <w:rPr>
          <w:rFonts w:ascii="Bookman Old Style" w:hAnsi="Bookman Old Style"/>
          <w:lang w:val="es-CO"/>
        </w:rPr>
        <w:t xml:space="preserve">fecha de </w:t>
      </w:r>
      <w:r w:rsidR="00B60DBA" w:rsidRPr="00C12877">
        <w:rPr>
          <w:rFonts w:ascii="Bookman Old Style" w:hAnsi="Bookman Old Style"/>
          <w:lang w:val="es-CO"/>
        </w:rPr>
        <w:t>publicación realizada por el MME</w:t>
      </w:r>
      <w:r w:rsidR="003915FB" w:rsidRPr="00C12877">
        <w:rPr>
          <w:rFonts w:ascii="Bookman Old Style" w:hAnsi="Bookman Old Style"/>
          <w:lang w:val="es-CO"/>
        </w:rPr>
        <w:t xml:space="preserve">. </w:t>
      </w:r>
    </w:p>
    <w:p w14:paraId="38624C9B" w14:textId="77777777" w:rsidR="005C40B9" w:rsidRPr="00C12877" w:rsidRDefault="005C40B9" w:rsidP="000620E1">
      <w:pPr>
        <w:jc w:val="both"/>
        <w:rPr>
          <w:rFonts w:ascii="Bookman Old Style" w:hAnsi="Bookman Old Style"/>
          <w:lang w:val="es-CO"/>
        </w:rPr>
      </w:pPr>
    </w:p>
    <w:p w14:paraId="1D51186D" w14:textId="21D3E1CE" w:rsidR="005C40B9" w:rsidRPr="00C12877" w:rsidRDefault="005C40B9" w:rsidP="000620E1">
      <w:pPr>
        <w:jc w:val="both"/>
        <w:rPr>
          <w:rFonts w:ascii="Bookman Old Style" w:hAnsi="Bookman Old Style"/>
          <w:lang w:val="es-CO"/>
        </w:rPr>
      </w:pPr>
      <w:r w:rsidRPr="00C12877">
        <w:rPr>
          <w:rFonts w:ascii="Bookman Old Style" w:hAnsi="Bookman Old Style"/>
          <w:b/>
          <w:bCs/>
          <w:lang w:val="es-CO"/>
        </w:rPr>
        <w:lastRenderedPageBreak/>
        <w:t xml:space="preserve">Parágrafo </w:t>
      </w:r>
      <w:r w:rsidR="008C3862">
        <w:rPr>
          <w:rFonts w:ascii="Bookman Old Style" w:hAnsi="Bookman Old Style"/>
          <w:b/>
          <w:bCs/>
          <w:lang w:val="es-CO"/>
        </w:rPr>
        <w:t>4</w:t>
      </w:r>
      <w:r w:rsidRPr="00C12877">
        <w:rPr>
          <w:rFonts w:ascii="Bookman Old Style" w:hAnsi="Bookman Old Style"/>
          <w:b/>
          <w:bCs/>
          <w:lang w:val="es-CO"/>
        </w:rPr>
        <w:t>.</w:t>
      </w:r>
      <w:r w:rsidRPr="00C12877">
        <w:rPr>
          <w:rFonts w:ascii="Bookman Old Style" w:hAnsi="Bookman Old Style"/>
          <w:lang w:val="es-CO"/>
        </w:rPr>
        <w:t xml:space="preserve"> Cualquier proceso de concurrencia de interesados que se utilice por parte de los vendedores de cualquier fuente de suministro, sin excepciones, a partir del mecanismo de negociaciones directas, deberá cumplir con los siguientes principios: </w:t>
      </w:r>
    </w:p>
    <w:p w14:paraId="4B22BD8D" w14:textId="77777777" w:rsidR="005C40B9" w:rsidRPr="00C12877" w:rsidRDefault="005C40B9" w:rsidP="000620E1">
      <w:pPr>
        <w:jc w:val="both"/>
        <w:rPr>
          <w:rFonts w:ascii="Bookman Old Style" w:hAnsi="Bookman Old Style"/>
          <w:lang w:val="es-CO"/>
        </w:rPr>
      </w:pPr>
    </w:p>
    <w:p w14:paraId="0ECEADA8" w14:textId="3B782160" w:rsidR="005C40B9" w:rsidRPr="00C12877" w:rsidRDefault="005C40B9" w:rsidP="000620E1">
      <w:pPr>
        <w:jc w:val="both"/>
        <w:rPr>
          <w:rFonts w:ascii="Bookman Old Style" w:hAnsi="Bookman Old Style"/>
          <w:lang w:val="es-CO"/>
        </w:rPr>
      </w:pPr>
      <w:r w:rsidRPr="00C12877">
        <w:rPr>
          <w:rFonts w:ascii="Bookman Old Style" w:hAnsi="Bookman Old Style"/>
          <w:lang w:val="es-CO"/>
        </w:rPr>
        <w:t>a.</w:t>
      </w:r>
      <w:r w:rsidRPr="00C12877">
        <w:rPr>
          <w:rFonts w:ascii="Bookman Old Style" w:hAnsi="Bookman Old Style"/>
          <w:lang w:val="es-CO"/>
        </w:rPr>
        <w:tab/>
        <w:t xml:space="preserve">Eficiencia: el desarrollo del mecanismo de mercado conducirá a la formación de precios eficientes </w:t>
      </w:r>
      <w:r w:rsidR="00BF1292" w:rsidRPr="00C12877">
        <w:rPr>
          <w:rFonts w:ascii="Bookman Old Style" w:hAnsi="Bookman Old Style"/>
          <w:lang w:val="es-CO"/>
        </w:rPr>
        <w:t>y/o de asignaciones de cantidades eficientes</w:t>
      </w:r>
      <w:r w:rsidRPr="00C12877">
        <w:rPr>
          <w:rFonts w:ascii="Bookman Old Style" w:hAnsi="Bookman Old Style"/>
          <w:lang w:val="es-CO"/>
        </w:rPr>
        <w:t>.</w:t>
      </w:r>
    </w:p>
    <w:p w14:paraId="29E8BAEF" w14:textId="77777777" w:rsidR="005C40B9" w:rsidRPr="00C12877" w:rsidRDefault="005C40B9" w:rsidP="000620E1">
      <w:pPr>
        <w:jc w:val="both"/>
        <w:rPr>
          <w:rFonts w:ascii="Bookman Old Style" w:hAnsi="Bookman Old Style"/>
          <w:lang w:val="es-CO"/>
        </w:rPr>
      </w:pPr>
    </w:p>
    <w:p w14:paraId="60581F71" w14:textId="77777777" w:rsidR="005C40B9" w:rsidRPr="00C12877" w:rsidRDefault="005C40B9" w:rsidP="000620E1">
      <w:pPr>
        <w:jc w:val="both"/>
        <w:rPr>
          <w:rFonts w:ascii="Bookman Old Style" w:hAnsi="Bookman Old Style"/>
          <w:lang w:val="es-CO"/>
        </w:rPr>
      </w:pPr>
      <w:r w:rsidRPr="00C12877">
        <w:rPr>
          <w:rFonts w:ascii="Bookman Old Style" w:hAnsi="Bookman Old Style"/>
          <w:lang w:val="es-CO"/>
        </w:rPr>
        <w:t>b.</w:t>
      </w:r>
      <w:r w:rsidRPr="00C12877">
        <w:rPr>
          <w:rFonts w:ascii="Bookman Old Style" w:hAnsi="Bookman Old Style"/>
          <w:lang w:val="es-CO"/>
        </w:rPr>
        <w:tab/>
        <w:t>Publicidad: se garantizará mediante la publicación obligatoria en la página web de cada vendedor.</w:t>
      </w:r>
    </w:p>
    <w:p w14:paraId="2FBB09DE" w14:textId="77777777" w:rsidR="005C40B9" w:rsidRPr="00C12877" w:rsidRDefault="005C40B9" w:rsidP="000620E1">
      <w:pPr>
        <w:jc w:val="both"/>
        <w:rPr>
          <w:rFonts w:ascii="Bookman Old Style" w:hAnsi="Bookman Old Style"/>
          <w:lang w:val="es-CO"/>
        </w:rPr>
      </w:pPr>
    </w:p>
    <w:p w14:paraId="35765EFE" w14:textId="77777777" w:rsidR="005C40B9" w:rsidRPr="00C12877" w:rsidRDefault="005C40B9" w:rsidP="000620E1">
      <w:pPr>
        <w:jc w:val="both"/>
        <w:rPr>
          <w:rFonts w:ascii="Bookman Old Style" w:hAnsi="Bookman Old Style"/>
          <w:lang w:val="es-CO"/>
        </w:rPr>
      </w:pPr>
      <w:r w:rsidRPr="00C12877">
        <w:rPr>
          <w:rFonts w:ascii="Bookman Old Style" w:hAnsi="Bookman Old Style"/>
          <w:lang w:val="es-CO"/>
        </w:rPr>
        <w:t>c.</w:t>
      </w:r>
      <w:r w:rsidRPr="00C12877">
        <w:rPr>
          <w:rFonts w:ascii="Bookman Old Style" w:hAnsi="Bookman Old Style"/>
          <w:lang w:val="es-CO"/>
        </w:rPr>
        <w:tab/>
        <w:t>Neutralidad: el diseño del mecanismo de mercado y el reglamento de este no permitirán, inducirán o adoptarán prácticas de discriminación indebida en contra de alguno de los Participantes.</w:t>
      </w:r>
    </w:p>
    <w:p w14:paraId="19270BD8" w14:textId="77777777" w:rsidR="005C40B9" w:rsidRPr="00C12877" w:rsidRDefault="005C40B9" w:rsidP="000620E1">
      <w:pPr>
        <w:jc w:val="both"/>
        <w:rPr>
          <w:rFonts w:ascii="Bookman Old Style" w:hAnsi="Bookman Old Style"/>
          <w:lang w:val="es-CO"/>
        </w:rPr>
      </w:pPr>
    </w:p>
    <w:p w14:paraId="09FE2195" w14:textId="77777777" w:rsidR="005C40B9" w:rsidRPr="00C12877" w:rsidRDefault="005C40B9" w:rsidP="000620E1">
      <w:pPr>
        <w:jc w:val="both"/>
        <w:rPr>
          <w:rFonts w:ascii="Bookman Old Style" w:hAnsi="Bookman Old Style"/>
          <w:lang w:val="es-CO"/>
        </w:rPr>
      </w:pPr>
      <w:r w:rsidRPr="00C12877">
        <w:rPr>
          <w:rFonts w:ascii="Bookman Old Style" w:hAnsi="Bookman Old Style"/>
          <w:lang w:val="es-CO"/>
        </w:rPr>
        <w:t>d.</w:t>
      </w:r>
      <w:r w:rsidRPr="00C12877">
        <w:rPr>
          <w:rFonts w:ascii="Bookman Old Style" w:hAnsi="Bookman Old Style"/>
          <w:lang w:val="es-CO"/>
        </w:rPr>
        <w:tab/>
        <w:t>Simplicidad y transparencia: el mecanismo de mercado será claro, explícito y constará por escrito, de tal forma que pueda ser comprendido sin duda ni ambigüedad.</w:t>
      </w:r>
    </w:p>
    <w:p w14:paraId="755B08DF" w14:textId="77777777" w:rsidR="005C40B9" w:rsidRPr="00C12877" w:rsidRDefault="005C40B9" w:rsidP="000620E1">
      <w:pPr>
        <w:jc w:val="both"/>
        <w:rPr>
          <w:rFonts w:ascii="Bookman Old Style" w:hAnsi="Bookman Old Style"/>
          <w:lang w:val="es-CO"/>
        </w:rPr>
      </w:pPr>
    </w:p>
    <w:p w14:paraId="5A3398B9" w14:textId="4070589C" w:rsidR="005C40B9" w:rsidRPr="00C12877" w:rsidRDefault="005C40B9" w:rsidP="000620E1">
      <w:pPr>
        <w:jc w:val="both"/>
        <w:rPr>
          <w:rFonts w:ascii="Bookman Old Style" w:hAnsi="Bookman Old Style" w:cs="Arial"/>
          <w:color w:val="000000" w:themeColor="text1"/>
          <w:lang w:val="es-CO"/>
        </w:rPr>
      </w:pPr>
      <w:r w:rsidRPr="00C12877">
        <w:rPr>
          <w:rFonts w:ascii="Bookman Old Style" w:hAnsi="Bookman Old Style"/>
          <w:lang w:val="es-CO"/>
        </w:rPr>
        <w:t>e.</w:t>
      </w:r>
      <w:r w:rsidRPr="00C12877">
        <w:rPr>
          <w:rFonts w:ascii="Bookman Old Style" w:hAnsi="Bookman Old Style"/>
          <w:lang w:val="es-CO"/>
        </w:rPr>
        <w:tab/>
        <w:t>Objetividad: los criterios de adjudicación del mecanismo de mercado serán claros e imparciales</w:t>
      </w:r>
    </w:p>
    <w:p w14:paraId="60FD2E1F" w14:textId="77777777" w:rsidR="004646A2" w:rsidRPr="004646A2" w:rsidRDefault="004646A2" w:rsidP="000620E1">
      <w:pPr>
        <w:pStyle w:val="ARTICULOS"/>
        <w:numPr>
          <w:ilvl w:val="0"/>
          <w:numId w:val="0"/>
        </w:numPr>
        <w:tabs>
          <w:tab w:val="clear" w:pos="1559"/>
        </w:tabs>
        <w:outlineLvl w:val="0"/>
        <w:rPr>
          <w:bCs w:val="0"/>
          <w:lang w:val="es-ES"/>
        </w:rPr>
      </w:pPr>
    </w:p>
    <w:p w14:paraId="4C236D4C" w14:textId="6588F0E0" w:rsidR="008064A9" w:rsidRPr="00C12877" w:rsidRDefault="008064A9" w:rsidP="000620E1">
      <w:pPr>
        <w:pStyle w:val="ARTICULOS"/>
        <w:numPr>
          <w:ilvl w:val="0"/>
          <w:numId w:val="0"/>
        </w:numPr>
        <w:tabs>
          <w:tab w:val="clear" w:pos="1559"/>
        </w:tabs>
        <w:outlineLvl w:val="0"/>
        <w:rPr>
          <w:bCs w:val="0"/>
          <w:lang w:val="es-ES"/>
        </w:rPr>
      </w:pPr>
      <w:r w:rsidRPr="007F520F">
        <w:rPr>
          <w:b/>
          <w:lang w:val="es-ES"/>
        </w:rPr>
        <w:t xml:space="preserve">ARTICULO </w:t>
      </w:r>
      <w:r w:rsidR="00EA447E" w:rsidRPr="007F520F">
        <w:rPr>
          <w:b/>
          <w:lang w:val="es-ES"/>
        </w:rPr>
        <w:t>9</w:t>
      </w:r>
      <w:r w:rsidRPr="007F520F">
        <w:rPr>
          <w:b/>
          <w:lang w:val="es-ES"/>
        </w:rPr>
        <w:t>.</w:t>
      </w:r>
      <w:r w:rsidRPr="007F520F">
        <w:rPr>
          <w:bCs w:val="0"/>
          <w:lang w:val="es-ES"/>
        </w:rPr>
        <w:t xml:space="preserve"> </w:t>
      </w:r>
      <w:r w:rsidRPr="00C12877">
        <w:rPr>
          <w:bCs w:val="0"/>
          <w:lang w:val="es-ES"/>
        </w:rPr>
        <w:t xml:space="preserve">Modificar el </w:t>
      </w:r>
      <w:r w:rsidR="008F11E3" w:rsidRPr="00C12877">
        <w:rPr>
          <w:bCs w:val="0"/>
          <w:lang w:val="es-ES"/>
        </w:rPr>
        <w:t>artículo</w:t>
      </w:r>
      <w:r w:rsidRPr="00C12877">
        <w:rPr>
          <w:bCs w:val="0"/>
          <w:lang w:val="es-ES"/>
        </w:rPr>
        <w:t xml:space="preserve"> 23 de la Resolución CREG 186 de 2020, el cual quedará así:</w:t>
      </w:r>
    </w:p>
    <w:p w14:paraId="4C1C0B41" w14:textId="77777777" w:rsidR="008064A9" w:rsidRPr="00C12877" w:rsidRDefault="008064A9" w:rsidP="000620E1">
      <w:pPr>
        <w:pStyle w:val="ARTICULOS"/>
        <w:numPr>
          <w:ilvl w:val="0"/>
          <w:numId w:val="0"/>
        </w:numPr>
        <w:tabs>
          <w:tab w:val="clear" w:pos="1559"/>
        </w:tabs>
        <w:outlineLvl w:val="0"/>
        <w:rPr>
          <w:bCs w:val="0"/>
          <w:lang w:val="es-ES"/>
        </w:rPr>
      </w:pPr>
    </w:p>
    <w:p w14:paraId="6725D296" w14:textId="480DF814" w:rsidR="00B97852" w:rsidRPr="00C12877" w:rsidRDefault="00D54348" w:rsidP="000620E1">
      <w:pPr>
        <w:pStyle w:val="Prrafodelista"/>
        <w:ind w:left="567"/>
        <w:contextualSpacing/>
        <w:jc w:val="both"/>
        <w:rPr>
          <w:rFonts w:ascii="Bookman Old Style" w:hAnsi="Bookman Old Style" w:cs="Arial"/>
          <w:sz w:val="24"/>
          <w:szCs w:val="24"/>
        </w:rPr>
      </w:pPr>
      <w:bookmarkStart w:id="4" w:name="_Ref482777756"/>
      <w:bookmarkStart w:id="5" w:name="_Ref449002546"/>
      <w:r w:rsidRPr="008C3862">
        <w:rPr>
          <w:rFonts w:ascii="Bookman Old Style" w:hAnsi="Bookman Old Style" w:cs="Arial"/>
          <w:b/>
          <w:bCs/>
          <w:sz w:val="24"/>
          <w:szCs w:val="24"/>
        </w:rPr>
        <w:t>A</w:t>
      </w:r>
      <w:r w:rsidR="00746F74" w:rsidRPr="008C3862">
        <w:rPr>
          <w:rFonts w:ascii="Bookman Old Style" w:hAnsi="Bookman Old Style" w:cs="Arial"/>
          <w:b/>
          <w:bCs/>
          <w:sz w:val="24"/>
          <w:szCs w:val="24"/>
        </w:rPr>
        <w:t>rtículo</w:t>
      </w:r>
      <w:r w:rsidR="008064A9" w:rsidRPr="008C3862">
        <w:rPr>
          <w:rFonts w:ascii="Bookman Old Style" w:hAnsi="Bookman Old Style" w:cs="Arial"/>
          <w:b/>
          <w:bCs/>
          <w:sz w:val="24"/>
          <w:szCs w:val="24"/>
        </w:rPr>
        <w:t xml:space="preserve"> 23.</w:t>
      </w:r>
      <w:r w:rsidR="008064A9" w:rsidRPr="00C12877">
        <w:rPr>
          <w:rFonts w:ascii="Bookman Old Style" w:hAnsi="Bookman Old Style" w:cs="Arial"/>
          <w:sz w:val="24"/>
          <w:szCs w:val="24"/>
        </w:rPr>
        <w:t xml:space="preserve"> </w:t>
      </w:r>
      <w:r w:rsidR="008064A9" w:rsidRPr="00EE1D24">
        <w:rPr>
          <w:rFonts w:ascii="Bookman Old Style" w:hAnsi="Bookman Old Style" w:cs="Arial"/>
          <w:b/>
          <w:bCs/>
          <w:sz w:val="24"/>
          <w:szCs w:val="24"/>
        </w:rPr>
        <w:t>Negociación de contratos de las modalidades C1 y C2</w:t>
      </w:r>
      <w:r w:rsidR="00C12877" w:rsidRPr="00EE1D24">
        <w:rPr>
          <w:rFonts w:ascii="Bookman Old Style" w:hAnsi="Bookman Old Style" w:cs="Arial"/>
          <w:b/>
          <w:bCs/>
          <w:sz w:val="24"/>
          <w:szCs w:val="24"/>
        </w:rPr>
        <w:t>.</w:t>
      </w:r>
      <w:r w:rsidR="008064A9" w:rsidRPr="00C12877">
        <w:rPr>
          <w:rFonts w:ascii="Bookman Old Style" w:hAnsi="Bookman Old Style" w:cs="Arial"/>
          <w:sz w:val="24"/>
          <w:szCs w:val="24"/>
        </w:rPr>
        <w:t xml:space="preserve"> </w:t>
      </w:r>
      <w:r w:rsidR="00B97852" w:rsidRPr="00C12877">
        <w:rPr>
          <w:rFonts w:ascii="Bookman Old Style" w:hAnsi="Bookman Old Style" w:cs="Arial"/>
          <w:sz w:val="24"/>
          <w:szCs w:val="24"/>
        </w:rPr>
        <w:t>En las negociaciones directas del suministro bajo las modalidades contractuales C1 y C2 deberá tener</w:t>
      </w:r>
      <w:r w:rsidR="00B872FE" w:rsidRPr="00C12877">
        <w:rPr>
          <w:rFonts w:ascii="Bookman Old Style" w:hAnsi="Bookman Old Style" w:cs="Arial"/>
          <w:sz w:val="24"/>
          <w:szCs w:val="24"/>
        </w:rPr>
        <w:t>se</w:t>
      </w:r>
      <w:r w:rsidR="00B97852" w:rsidRPr="00C12877">
        <w:rPr>
          <w:rFonts w:ascii="Bookman Old Style" w:hAnsi="Bookman Old Style" w:cs="Arial"/>
          <w:sz w:val="24"/>
          <w:szCs w:val="24"/>
        </w:rPr>
        <w:t xml:space="preserve"> en cuenta adicionalmente, las siguientes </w:t>
      </w:r>
      <w:r w:rsidR="009E2D72">
        <w:rPr>
          <w:rFonts w:ascii="Bookman Old Style" w:hAnsi="Bookman Old Style" w:cs="Arial"/>
          <w:sz w:val="24"/>
          <w:szCs w:val="24"/>
        </w:rPr>
        <w:t>condicio</w:t>
      </w:r>
      <w:r w:rsidR="00B97852" w:rsidRPr="00C12877">
        <w:rPr>
          <w:rFonts w:ascii="Bookman Old Style" w:hAnsi="Bookman Old Style" w:cs="Arial"/>
          <w:sz w:val="24"/>
          <w:szCs w:val="24"/>
        </w:rPr>
        <w:t>nes:</w:t>
      </w:r>
    </w:p>
    <w:p w14:paraId="4F842D9F" w14:textId="77777777" w:rsidR="00B97852" w:rsidRPr="00C12877" w:rsidRDefault="00B97852" w:rsidP="000620E1">
      <w:pPr>
        <w:pStyle w:val="Prrafodelista"/>
        <w:ind w:left="567"/>
        <w:contextualSpacing/>
        <w:jc w:val="both"/>
        <w:rPr>
          <w:rFonts w:ascii="Bookman Old Style" w:hAnsi="Bookman Old Style" w:cs="Arial"/>
          <w:sz w:val="24"/>
          <w:szCs w:val="24"/>
        </w:rPr>
      </w:pPr>
    </w:p>
    <w:p w14:paraId="24A4739A" w14:textId="5F976B38" w:rsidR="00B872FE" w:rsidRPr="00C12877" w:rsidRDefault="008064A9" w:rsidP="000620E1">
      <w:pPr>
        <w:pStyle w:val="Prrafodelista"/>
        <w:numPr>
          <w:ilvl w:val="0"/>
          <w:numId w:val="30"/>
        </w:numPr>
        <w:contextualSpacing/>
        <w:jc w:val="both"/>
        <w:rPr>
          <w:rFonts w:ascii="Bookman Old Style" w:hAnsi="Bookman Old Style" w:cs="Arial"/>
        </w:rPr>
      </w:pPr>
      <w:r w:rsidRPr="00C12877">
        <w:rPr>
          <w:rFonts w:ascii="Bookman Old Style" w:hAnsi="Bookman Old Style" w:cs="Arial"/>
          <w:sz w:val="24"/>
          <w:szCs w:val="24"/>
        </w:rPr>
        <w:t xml:space="preserve">Las cantidades de energía pactadas en los contratos de suministro C1 son firmes y se compondrán de un </w:t>
      </w:r>
      <w:r w:rsidR="000338E6">
        <w:rPr>
          <w:rFonts w:ascii="Bookman Old Style" w:hAnsi="Bookman Old Style" w:cs="Arial"/>
          <w:sz w:val="24"/>
          <w:szCs w:val="24"/>
        </w:rPr>
        <w:t>treinta por ciento (</w:t>
      </w:r>
      <w:r w:rsidRPr="00C12877">
        <w:rPr>
          <w:rFonts w:ascii="Bookman Old Style" w:hAnsi="Bookman Old Style" w:cs="Arial"/>
          <w:sz w:val="24"/>
          <w:szCs w:val="24"/>
        </w:rPr>
        <w:t>30%</w:t>
      </w:r>
      <w:r w:rsidR="000338E6">
        <w:rPr>
          <w:rFonts w:ascii="Bookman Old Style" w:hAnsi="Bookman Old Style" w:cs="Arial"/>
          <w:sz w:val="24"/>
          <w:szCs w:val="24"/>
        </w:rPr>
        <w:t>)</w:t>
      </w:r>
      <w:r w:rsidRPr="00C12877">
        <w:rPr>
          <w:rFonts w:ascii="Bookman Old Style" w:hAnsi="Bookman Old Style" w:cs="Arial"/>
          <w:sz w:val="24"/>
          <w:szCs w:val="24"/>
        </w:rPr>
        <w:t xml:space="preserve"> </w:t>
      </w:r>
      <w:r w:rsidR="002F18EA">
        <w:rPr>
          <w:rFonts w:ascii="Bookman Old Style" w:hAnsi="Bookman Old Style" w:cs="Arial"/>
          <w:sz w:val="24"/>
          <w:szCs w:val="24"/>
        </w:rPr>
        <w:t xml:space="preserve">de pago mínimo </w:t>
      </w:r>
      <w:r w:rsidRPr="00C12877">
        <w:rPr>
          <w:rFonts w:ascii="Bookman Old Style" w:hAnsi="Bookman Old Style" w:cs="Arial"/>
          <w:sz w:val="24"/>
          <w:szCs w:val="24"/>
        </w:rPr>
        <w:t xml:space="preserve">fijo y una parte </w:t>
      </w:r>
      <w:r w:rsidR="002F18EA">
        <w:rPr>
          <w:rFonts w:ascii="Bookman Old Style" w:hAnsi="Bookman Old Style" w:cs="Arial"/>
          <w:sz w:val="24"/>
          <w:szCs w:val="24"/>
        </w:rPr>
        <w:t xml:space="preserve">de pago </w:t>
      </w:r>
      <w:r w:rsidRPr="00C12877">
        <w:rPr>
          <w:rFonts w:ascii="Bookman Old Style" w:hAnsi="Bookman Old Style" w:cs="Arial"/>
          <w:sz w:val="24"/>
          <w:szCs w:val="24"/>
        </w:rPr>
        <w:t xml:space="preserve">variable por el </w:t>
      </w:r>
      <w:r w:rsidR="000338E6">
        <w:rPr>
          <w:rFonts w:ascii="Bookman Old Style" w:hAnsi="Bookman Old Style" w:cs="Arial"/>
          <w:sz w:val="24"/>
          <w:szCs w:val="24"/>
        </w:rPr>
        <w:t>setenta por ciento (</w:t>
      </w:r>
      <w:r w:rsidRPr="00C12877">
        <w:rPr>
          <w:rFonts w:ascii="Bookman Old Style" w:hAnsi="Bookman Old Style" w:cs="Arial"/>
          <w:sz w:val="24"/>
          <w:szCs w:val="24"/>
        </w:rPr>
        <w:t>70%</w:t>
      </w:r>
      <w:r w:rsidR="000338E6">
        <w:rPr>
          <w:rFonts w:ascii="Bookman Old Style" w:hAnsi="Bookman Old Style" w:cs="Arial"/>
          <w:sz w:val="24"/>
          <w:szCs w:val="24"/>
        </w:rPr>
        <w:t>)</w:t>
      </w:r>
      <w:r w:rsidRPr="00C12877">
        <w:rPr>
          <w:rFonts w:ascii="Bookman Old Style" w:hAnsi="Bookman Old Style" w:cs="Arial"/>
          <w:sz w:val="24"/>
          <w:szCs w:val="24"/>
        </w:rPr>
        <w:t xml:space="preserve"> restante. </w:t>
      </w:r>
    </w:p>
    <w:p w14:paraId="4388C170" w14:textId="77777777" w:rsidR="00B872FE" w:rsidRPr="00C12877" w:rsidRDefault="00B872FE" w:rsidP="000620E1">
      <w:pPr>
        <w:pStyle w:val="Prrafodelista"/>
        <w:ind w:left="927"/>
        <w:contextualSpacing/>
        <w:jc w:val="both"/>
        <w:rPr>
          <w:rFonts w:ascii="Bookman Old Style" w:hAnsi="Bookman Old Style" w:cs="Arial"/>
        </w:rPr>
      </w:pPr>
    </w:p>
    <w:p w14:paraId="3D6BD9BC" w14:textId="09DC19CA" w:rsidR="008064A9" w:rsidRPr="00C12877" w:rsidRDefault="008064A9" w:rsidP="000620E1">
      <w:pPr>
        <w:pStyle w:val="Prrafodelista"/>
        <w:ind w:left="927"/>
        <w:contextualSpacing/>
        <w:jc w:val="both"/>
        <w:rPr>
          <w:rFonts w:ascii="Bookman Old Style" w:hAnsi="Bookman Old Style" w:cs="Arial"/>
        </w:rPr>
      </w:pPr>
      <w:r w:rsidRPr="00C12877">
        <w:rPr>
          <w:rFonts w:ascii="Bookman Old Style" w:hAnsi="Bookman Old Style" w:cs="Arial"/>
          <w:sz w:val="24"/>
          <w:szCs w:val="24"/>
        </w:rPr>
        <w:t>El suministro de la parte fija al igual que la parte variable que se ejecute deberá pagarse a</w:t>
      </w:r>
      <w:r w:rsidR="0092726B" w:rsidRPr="00C12877">
        <w:rPr>
          <w:rFonts w:ascii="Bookman Old Style" w:hAnsi="Bookman Old Style" w:cs="Arial"/>
          <w:sz w:val="24"/>
          <w:szCs w:val="24"/>
        </w:rPr>
        <w:t>l</w:t>
      </w:r>
      <w:r w:rsidRPr="00C12877">
        <w:rPr>
          <w:rFonts w:ascii="Bookman Old Style" w:hAnsi="Bookman Old Style" w:cs="Arial"/>
          <w:sz w:val="24"/>
          <w:szCs w:val="24"/>
        </w:rPr>
        <w:t xml:space="preserve"> </w:t>
      </w:r>
      <w:r w:rsidR="0092726B" w:rsidRPr="00C12877">
        <w:rPr>
          <w:rFonts w:ascii="Bookman Old Style" w:hAnsi="Bookman Old Style" w:cs="Arial"/>
          <w:sz w:val="24"/>
          <w:szCs w:val="24"/>
        </w:rPr>
        <w:t>mismo</w:t>
      </w:r>
      <w:r w:rsidRPr="00C12877">
        <w:rPr>
          <w:rFonts w:ascii="Bookman Old Style" w:hAnsi="Bookman Old Style" w:cs="Arial"/>
          <w:sz w:val="24"/>
          <w:szCs w:val="24"/>
        </w:rPr>
        <w:t xml:space="preserve"> precio</w:t>
      </w:r>
      <w:r w:rsidR="0092726B" w:rsidRPr="00C12877">
        <w:rPr>
          <w:rFonts w:ascii="Bookman Old Style" w:hAnsi="Bookman Old Style" w:cs="Arial"/>
          <w:sz w:val="24"/>
          <w:szCs w:val="24"/>
        </w:rPr>
        <w:t>,</w:t>
      </w:r>
      <w:r w:rsidRPr="00C12877">
        <w:rPr>
          <w:rFonts w:ascii="Bookman Old Style" w:hAnsi="Bookman Old Style" w:cs="Arial"/>
          <w:sz w:val="24"/>
          <w:szCs w:val="24"/>
        </w:rPr>
        <w:t xml:space="preserve"> pactado en el contrato</w:t>
      </w:r>
      <w:bookmarkEnd w:id="4"/>
      <w:r w:rsidR="00C12877" w:rsidRPr="00C12877">
        <w:rPr>
          <w:rFonts w:ascii="Bookman Old Style" w:hAnsi="Bookman Old Style" w:cs="Arial"/>
          <w:sz w:val="24"/>
          <w:szCs w:val="24"/>
        </w:rPr>
        <w:t>.</w:t>
      </w:r>
    </w:p>
    <w:p w14:paraId="6D8CCDCC" w14:textId="77777777" w:rsidR="008064A9" w:rsidRPr="00C12877" w:rsidRDefault="008064A9" w:rsidP="000620E1">
      <w:pPr>
        <w:pStyle w:val="Prrafodelista"/>
        <w:ind w:left="567"/>
        <w:contextualSpacing/>
        <w:jc w:val="both"/>
        <w:rPr>
          <w:rFonts w:ascii="Bookman Old Style" w:hAnsi="Bookman Old Style" w:cs="Arial"/>
        </w:rPr>
      </w:pPr>
    </w:p>
    <w:p w14:paraId="4DBFF668" w14:textId="658F1EF9" w:rsidR="008064A9" w:rsidRPr="0013707D" w:rsidRDefault="008064A9" w:rsidP="000620E1">
      <w:pPr>
        <w:pStyle w:val="Prrafodelista"/>
        <w:ind w:left="849"/>
        <w:contextualSpacing/>
        <w:jc w:val="both"/>
        <w:rPr>
          <w:rFonts w:ascii="Bookman Old Style" w:hAnsi="Bookman Old Style" w:cs="Arial"/>
          <w:sz w:val="24"/>
          <w:szCs w:val="24"/>
        </w:rPr>
      </w:pPr>
      <w:r w:rsidRPr="00C12877">
        <w:rPr>
          <w:rFonts w:ascii="Bookman Old Style" w:hAnsi="Bookman Old Style" w:cs="Arial"/>
          <w:sz w:val="24"/>
          <w:szCs w:val="24"/>
        </w:rPr>
        <w:t>En condiciones normales de abastecimiento, es decir</w:t>
      </w:r>
      <w:r w:rsidRPr="0013707D">
        <w:rPr>
          <w:rFonts w:ascii="Bookman Old Style" w:hAnsi="Bookman Old Style" w:cs="Arial"/>
          <w:sz w:val="24"/>
          <w:szCs w:val="24"/>
        </w:rPr>
        <w:t xml:space="preserve"> que no se haya declarado un racionamiento programado de gas natural por parte del Ministerio de Minas y Energía, las cantidades asociadas a la opción de compra se podrán ejercer únicamente para su consumo y no para reventa. Los titulares de los derechos de suministro de estos contratos sólo podrán vender contratos de suministro en el </w:t>
      </w:r>
      <w:r w:rsidR="00587384">
        <w:rPr>
          <w:rFonts w:ascii="Bookman Old Style" w:hAnsi="Bookman Old Style" w:cs="Arial"/>
          <w:sz w:val="24"/>
          <w:szCs w:val="24"/>
        </w:rPr>
        <w:t>mercado secundario</w:t>
      </w:r>
      <w:r w:rsidRPr="0013707D">
        <w:rPr>
          <w:rFonts w:ascii="Bookman Old Style" w:hAnsi="Bookman Old Style" w:cs="Arial"/>
          <w:sz w:val="24"/>
          <w:szCs w:val="24"/>
        </w:rPr>
        <w:t xml:space="preserve"> o en contratos con interrupciones por una cantidad menor o igual al componente </w:t>
      </w:r>
      <w:r w:rsidR="000338E6">
        <w:rPr>
          <w:rFonts w:ascii="Bookman Old Style" w:hAnsi="Bookman Old Style" w:cs="Arial"/>
          <w:sz w:val="24"/>
          <w:szCs w:val="24"/>
        </w:rPr>
        <w:t xml:space="preserve">de pago </w:t>
      </w:r>
      <w:r w:rsidRPr="0013707D">
        <w:rPr>
          <w:rFonts w:ascii="Bookman Old Style" w:hAnsi="Bookman Old Style" w:cs="Arial"/>
          <w:sz w:val="24"/>
          <w:szCs w:val="24"/>
        </w:rPr>
        <w:t xml:space="preserve">fijo. El despacho de dichos contratos del </w:t>
      </w:r>
      <w:r w:rsidR="00587384">
        <w:rPr>
          <w:rFonts w:ascii="Bookman Old Style" w:hAnsi="Bookman Old Style" w:cs="Arial"/>
          <w:sz w:val="24"/>
          <w:szCs w:val="24"/>
        </w:rPr>
        <w:t>mercado secundario</w:t>
      </w:r>
      <w:r w:rsidRPr="0013707D">
        <w:rPr>
          <w:rFonts w:ascii="Bookman Old Style" w:hAnsi="Bookman Old Style" w:cs="Arial"/>
          <w:sz w:val="24"/>
          <w:szCs w:val="24"/>
        </w:rPr>
        <w:t xml:space="preserve"> o con interrupciones estará sujeto a que el titular de los derechos de suministro de los contratos de suministro C1 no ejerza su opción de solicitar más </w:t>
      </w:r>
      <w:proofErr w:type="spellStart"/>
      <w:r w:rsidRPr="0013707D">
        <w:rPr>
          <w:rFonts w:ascii="Bookman Old Style" w:hAnsi="Bookman Old Style" w:cs="Arial"/>
          <w:sz w:val="24"/>
          <w:szCs w:val="24"/>
        </w:rPr>
        <w:t>del</w:t>
      </w:r>
      <w:proofErr w:type="spellEnd"/>
      <w:r w:rsidRPr="0013707D">
        <w:rPr>
          <w:rFonts w:ascii="Bookman Old Style" w:hAnsi="Bookman Old Style" w:cs="Arial"/>
          <w:sz w:val="24"/>
          <w:szCs w:val="24"/>
        </w:rPr>
        <w:t xml:space="preserve"> </w:t>
      </w:r>
      <w:r w:rsidR="000338E6">
        <w:rPr>
          <w:rFonts w:ascii="Bookman Old Style" w:hAnsi="Bookman Old Style" w:cs="Arial"/>
          <w:sz w:val="24"/>
          <w:szCs w:val="24"/>
        </w:rPr>
        <w:t>treinta por ciento (</w:t>
      </w:r>
      <w:r w:rsidRPr="0013707D">
        <w:rPr>
          <w:rFonts w:ascii="Bookman Old Style" w:hAnsi="Bookman Old Style" w:cs="Arial"/>
          <w:sz w:val="24"/>
          <w:szCs w:val="24"/>
        </w:rPr>
        <w:t>30%</w:t>
      </w:r>
      <w:r w:rsidR="000338E6">
        <w:rPr>
          <w:rFonts w:ascii="Bookman Old Style" w:hAnsi="Bookman Old Style" w:cs="Arial"/>
          <w:sz w:val="24"/>
          <w:szCs w:val="24"/>
        </w:rPr>
        <w:t xml:space="preserve">) </w:t>
      </w:r>
      <w:r w:rsidRPr="0013707D">
        <w:rPr>
          <w:rFonts w:ascii="Bookman Old Style" w:hAnsi="Bookman Old Style" w:cs="Arial"/>
          <w:sz w:val="24"/>
          <w:szCs w:val="24"/>
        </w:rPr>
        <w:t>de su cantidad de energía contratada.</w:t>
      </w:r>
      <w:bookmarkEnd w:id="5"/>
      <w:r w:rsidRPr="0013707D">
        <w:rPr>
          <w:rFonts w:ascii="Bookman Old Style" w:hAnsi="Bookman Old Style" w:cs="Arial"/>
          <w:sz w:val="24"/>
          <w:szCs w:val="24"/>
        </w:rPr>
        <w:t xml:space="preserve"> </w:t>
      </w:r>
    </w:p>
    <w:p w14:paraId="585CD1D1" w14:textId="77777777" w:rsidR="008064A9" w:rsidRPr="0013707D" w:rsidRDefault="008064A9" w:rsidP="000620E1">
      <w:pPr>
        <w:pStyle w:val="Prrafodelista"/>
        <w:ind w:left="567"/>
        <w:contextualSpacing/>
        <w:jc w:val="both"/>
        <w:rPr>
          <w:rFonts w:ascii="Bookman Old Style" w:hAnsi="Bookman Old Style" w:cs="Arial"/>
          <w:sz w:val="24"/>
          <w:szCs w:val="24"/>
        </w:rPr>
      </w:pPr>
    </w:p>
    <w:p w14:paraId="7BEA1730" w14:textId="02E2B533" w:rsidR="008064A9" w:rsidRPr="0013707D" w:rsidRDefault="008064A9" w:rsidP="000620E1">
      <w:pPr>
        <w:pStyle w:val="Prrafodelista"/>
        <w:ind w:left="849"/>
        <w:contextualSpacing/>
        <w:jc w:val="both"/>
        <w:rPr>
          <w:rFonts w:ascii="Bookman Old Style" w:hAnsi="Bookman Old Style" w:cs="Arial"/>
          <w:sz w:val="24"/>
          <w:szCs w:val="24"/>
        </w:rPr>
      </w:pPr>
      <w:r w:rsidRPr="0013707D">
        <w:rPr>
          <w:rFonts w:ascii="Bookman Old Style" w:hAnsi="Bookman Old Style" w:cs="Arial"/>
          <w:sz w:val="24"/>
          <w:szCs w:val="24"/>
        </w:rPr>
        <w:lastRenderedPageBreak/>
        <w:t xml:space="preserve">En caso de que se declare un evento de racionamiento programado en el mercado nacional, según se contempla en el Decreto 880 de 2007 compilado por el Decreto 1073 de 2015, o aquellos que lo modifiquen o sustituyan, y sólo mientras dure dicho evento, el total de las cantidades nominadas cada día correspondiente a contratos de suministro C1 podrán ser comercializadas en el </w:t>
      </w:r>
      <w:r w:rsidR="00587384">
        <w:rPr>
          <w:rFonts w:ascii="Bookman Old Style" w:hAnsi="Bookman Old Style" w:cs="Arial"/>
          <w:sz w:val="24"/>
          <w:szCs w:val="24"/>
        </w:rPr>
        <w:t>mercado secundario</w:t>
      </w:r>
      <w:r w:rsidRPr="0013707D">
        <w:rPr>
          <w:rFonts w:ascii="Bookman Old Style" w:hAnsi="Bookman Old Style" w:cs="Arial"/>
          <w:sz w:val="24"/>
          <w:szCs w:val="24"/>
        </w:rPr>
        <w:t xml:space="preserve"> según lo dispuesto en el Titulo IV de la presente Resolución.</w:t>
      </w:r>
    </w:p>
    <w:p w14:paraId="5E888B97" w14:textId="77777777" w:rsidR="008064A9" w:rsidRPr="0013707D" w:rsidRDefault="008064A9" w:rsidP="000620E1">
      <w:pPr>
        <w:pStyle w:val="Prrafodelista"/>
        <w:ind w:left="567"/>
        <w:contextualSpacing/>
        <w:jc w:val="both"/>
        <w:rPr>
          <w:rFonts w:ascii="Bookman Old Style" w:hAnsi="Bookman Old Style" w:cs="Arial"/>
        </w:rPr>
      </w:pPr>
    </w:p>
    <w:p w14:paraId="7965230A" w14:textId="44577808" w:rsidR="008064A9" w:rsidRPr="00C12877" w:rsidRDefault="008064A9" w:rsidP="000620E1">
      <w:pPr>
        <w:pStyle w:val="Prrafodelista"/>
        <w:numPr>
          <w:ilvl w:val="0"/>
          <w:numId w:val="30"/>
        </w:numPr>
        <w:ind w:left="851" w:hanging="284"/>
        <w:contextualSpacing/>
        <w:jc w:val="both"/>
        <w:rPr>
          <w:rFonts w:ascii="Bookman Old Style" w:hAnsi="Bookman Old Style" w:cs="Arial"/>
          <w:sz w:val="24"/>
          <w:szCs w:val="24"/>
        </w:rPr>
      </w:pPr>
      <w:bookmarkStart w:id="6" w:name="_Ref449002548"/>
      <w:r w:rsidRPr="00B97852">
        <w:rPr>
          <w:rFonts w:ascii="Bookman Old Style" w:hAnsi="Bookman Old Style" w:cs="Arial"/>
          <w:sz w:val="24"/>
          <w:szCs w:val="24"/>
        </w:rPr>
        <w:t xml:space="preserve">Las cantidades de energía pactadas en los contratos de suministro C2 se compondrán de un firme </w:t>
      </w:r>
      <w:r w:rsidR="00811E9C">
        <w:rPr>
          <w:rFonts w:ascii="Bookman Old Style" w:hAnsi="Bookman Old Style" w:cs="Arial"/>
          <w:sz w:val="24"/>
          <w:szCs w:val="24"/>
        </w:rPr>
        <w:t>setenta y cinco por ciento (</w:t>
      </w:r>
      <w:r w:rsidRPr="00B97852">
        <w:rPr>
          <w:rFonts w:ascii="Bookman Old Style" w:hAnsi="Bookman Old Style" w:cs="Arial"/>
          <w:sz w:val="24"/>
          <w:szCs w:val="24"/>
        </w:rPr>
        <w:t>75%</w:t>
      </w:r>
      <w:r w:rsidR="00811E9C">
        <w:rPr>
          <w:rFonts w:ascii="Bookman Old Style" w:hAnsi="Bookman Old Style" w:cs="Arial"/>
          <w:sz w:val="24"/>
          <w:szCs w:val="24"/>
        </w:rPr>
        <w:t xml:space="preserve">) de pago </w:t>
      </w:r>
      <w:r w:rsidRPr="00B97852">
        <w:rPr>
          <w:rFonts w:ascii="Bookman Old Style" w:hAnsi="Bookman Old Style" w:cs="Arial"/>
          <w:sz w:val="24"/>
          <w:szCs w:val="24"/>
        </w:rPr>
        <w:t xml:space="preserve">fijo y el </w:t>
      </w:r>
      <w:r w:rsidR="00811E9C">
        <w:rPr>
          <w:rFonts w:ascii="Bookman Old Style" w:hAnsi="Bookman Old Style" w:cs="Arial"/>
          <w:sz w:val="24"/>
          <w:szCs w:val="24"/>
        </w:rPr>
        <w:t>veinticinco por ciento (</w:t>
      </w:r>
      <w:r w:rsidRPr="00B97852">
        <w:rPr>
          <w:rFonts w:ascii="Bookman Old Style" w:hAnsi="Bookman Old Style" w:cs="Arial"/>
          <w:sz w:val="24"/>
          <w:szCs w:val="24"/>
        </w:rPr>
        <w:t>25%</w:t>
      </w:r>
      <w:r w:rsidR="00811E9C">
        <w:rPr>
          <w:rFonts w:ascii="Bookman Old Style" w:hAnsi="Bookman Old Style" w:cs="Arial"/>
          <w:sz w:val="24"/>
          <w:szCs w:val="24"/>
        </w:rPr>
        <w:t>)</w:t>
      </w:r>
      <w:r w:rsidRPr="00B97852">
        <w:rPr>
          <w:rFonts w:ascii="Bookman Old Style" w:hAnsi="Bookman Old Style" w:cs="Arial"/>
          <w:sz w:val="24"/>
          <w:szCs w:val="24"/>
        </w:rPr>
        <w:t xml:space="preserve"> restante como opción de venta por parte del productor-comercializador o el comercializador de gas importado. La entrega d</w:t>
      </w:r>
      <w:r w:rsidR="00811E9C" w:rsidRPr="00B97852">
        <w:rPr>
          <w:rFonts w:ascii="Bookman Old Style" w:hAnsi="Bookman Old Style" w:cs="Arial"/>
          <w:sz w:val="24"/>
          <w:szCs w:val="24"/>
        </w:rPr>
        <w:t xml:space="preserve">el </w:t>
      </w:r>
      <w:r w:rsidR="00811E9C">
        <w:rPr>
          <w:rFonts w:ascii="Bookman Old Style" w:hAnsi="Bookman Old Style" w:cs="Arial"/>
          <w:sz w:val="24"/>
          <w:szCs w:val="24"/>
        </w:rPr>
        <w:t>veinticinco por ciento (</w:t>
      </w:r>
      <w:r w:rsidRPr="00B97852">
        <w:rPr>
          <w:rFonts w:ascii="Bookman Old Style" w:hAnsi="Bookman Old Style" w:cs="Arial"/>
          <w:sz w:val="24"/>
          <w:szCs w:val="24"/>
        </w:rPr>
        <w:t>25%</w:t>
      </w:r>
      <w:r w:rsidR="00811E9C">
        <w:rPr>
          <w:rFonts w:ascii="Bookman Old Style" w:hAnsi="Bookman Old Style" w:cs="Arial"/>
          <w:sz w:val="24"/>
          <w:szCs w:val="24"/>
        </w:rPr>
        <w:t>)</w:t>
      </w:r>
      <w:r w:rsidRPr="00B97852">
        <w:rPr>
          <w:rFonts w:ascii="Bookman Old Style" w:hAnsi="Bookman Old Style" w:cs="Arial"/>
          <w:sz w:val="24"/>
          <w:szCs w:val="24"/>
        </w:rPr>
        <w:t xml:space="preserve"> sólo se podrá restringir por la ejecución de las partes variables de contratos de suministro C1 vendidas por el mismo productor-comercializador o el comercializador de gas importado. Esta restricción deberá ser por la cantidad mínima necesaria para cumplir las obligaciones de la parte variable de los contratos C1 que se hayan ejecutado y sólo en casos en que el vendedor no cuente con gas en firme disponible para cumplir con sus obligaciones de contratos </w:t>
      </w:r>
      <w:r w:rsidRPr="00C12877">
        <w:rPr>
          <w:rFonts w:ascii="Bookman Old Style" w:hAnsi="Bookman Old Style" w:cs="Arial"/>
          <w:sz w:val="24"/>
          <w:szCs w:val="24"/>
        </w:rPr>
        <w:t xml:space="preserve">C1. </w:t>
      </w:r>
    </w:p>
    <w:p w14:paraId="2797874A" w14:textId="77777777" w:rsidR="00B872FE" w:rsidRPr="00C12877" w:rsidRDefault="00B872FE" w:rsidP="000620E1">
      <w:pPr>
        <w:ind w:left="851" w:hanging="284"/>
        <w:contextualSpacing/>
        <w:jc w:val="both"/>
        <w:rPr>
          <w:rFonts w:ascii="Bookman Old Style" w:hAnsi="Bookman Old Style" w:cs="Arial"/>
        </w:rPr>
      </w:pPr>
    </w:p>
    <w:p w14:paraId="2B65A5B4" w14:textId="0F2F2925" w:rsidR="008064A9" w:rsidRDefault="008064A9" w:rsidP="000620E1">
      <w:pPr>
        <w:pStyle w:val="Prrafodelista"/>
        <w:ind w:left="851"/>
        <w:contextualSpacing/>
        <w:jc w:val="both"/>
        <w:rPr>
          <w:rFonts w:ascii="Bookman Old Style" w:hAnsi="Bookman Old Style"/>
          <w:b/>
          <w:sz w:val="24"/>
          <w:szCs w:val="24"/>
        </w:rPr>
      </w:pPr>
      <w:r w:rsidRPr="00C12877">
        <w:rPr>
          <w:rFonts w:ascii="Bookman Old Style" w:hAnsi="Bookman Old Style" w:cs="Arial"/>
          <w:sz w:val="24"/>
          <w:szCs w:val="24"/>
        </w:rPr>
        <w:t xml:space="preserve">En tal evento </w:t>
      </w:r>
      <w:r w:rsidR="008E492B">
        <w:rPr>
          <w:rFonts w:ascii="Bookman Old Style" w:hAnsi="Bookman Old Style" w:cs="Arial"/>
          <w:sz w:val="24"/>
          <w:szCs w:val="24"/>
        </w:rPr>
        <w:t xml:space="preserve">de restricción </w:t>
      </w:r>
      <w:r w:rsidRPr="00C12877">
        <w:rPr>
          <w:rFonts w:ascii="Bookman Old Style" w:hAnsi="Bookman Old Style" w:cs="Arial"/>
          <w:sz w:val="24"/>
          <w:szCs w:val="24"/>
        </w:rPr>
        <w:t>el productor-comercializador o el comercializador de</w:t>
      </w:r>
      <w:r w:rsidRPr="0013707D">
        <w:rPr>
          <w:rFonts w:ascii="Bookman Old Style" w:hAnsi="Bookman Old Style" w:cs="Arial"/>
          <w:sz w:val="24"/>
          <w:szCs w:val="24"/>
        </w:rPr>
        <w:t xml:space="preserve"> gas importado restringirá el suministro a los contratos de suministro C2 en un mismo porcentaje para todos y cada uno de los contratos de suministro C2 que él haya suscrito.</w:t>
      </w:r>
      <w:bookmarkEnd w:id="6"/>
      <w:r w:rsidRPr="0013707D">
        <w:rPr>
          <w:rFonts w:ascii="Bookman Old Style" w:hAnsi="Bookman Old Style"/>
          <w:b/>
          <w:sz w:val="24"/>
          <w:szCs w:val="24"/>
        </w:rPr>
        <w:t xml:space="preserve"> </w:t>
      </w:r>
    </w:p>
    <w:p w14:paraId="11B76388" w14:textId="77777777" w:rsidR="00081271" w:rsidRDefault="00081271" w:rsidP="000620E1">
      <w:pPr>
        <w:pStyle w:val="Prrafodelista"/>
        <w:ind w:left="851"/>
        <w:contextualSpacing/>
        <w:jc w:val="both"/>
        <w:rPr>
          <w:rFonts w:ascii="Bookman Old Style" w:hAnsi="Bookman Old Style"/>
          <w:b/>
          <w:sz w:val="24"/>
          <w:szCs w:val="24"/>
        </w:rPr>
      </w:pPr>
    </w:p>
    <w:p w14:paraId="5A6A36A9" w14:textId="77777777" w:rsidR="00081271" w:rsidRPr="00C12877" w:rsidRDefault="00081271" w:rsidP="00081271">
      <w:pPr>
        <w:ind w:left="851"/>
        <w:contextualSpacing/>
        <w:jc w:val="both"/>
        <w:rPr>
          <w:rFonts w:ascii="Bookman Old Style" w:hAnsi="Bookman Old Style" w:cs="Arial"/>
        </w:rPr>
      </w:pPr>
      <w:r w:rsidRPr="00C12877">
        <w:rPr>
          <w:rFonts w:ascii="Bookman Old Style" w:hAnsi="Bookman Old Style" w:cs="Arial"/>
        </w:rPr>
        <w:t>El suministro de la parte fija al igual que la parte variable que se ejecute deberá pagarse al mismo precio, pactado en el contrato.</w:t>
      </w:r>
    </w:p>
    <w:p w14:paraId="7592A761" w14:textId="77777777" w:rsidR="008064A9" w:rsidRPr="0013707D" w:rsidRDefault="008064A9" w:rsidP="000620E1">
      <w:pPr>
        <w:pStyle w:val="Prrafodelista"/>
        <w:rPr>
          <w:rFonts w:ascii="Bookman Old Style" w:hAnsi="Bookman Old Style"/>
          <w:b/>
        </w:rPr>
      </w:pPr>
    </w:p>
    <w:p w14:paraId="162C2EE6" w14:textId="77777777" w:rsidR="008064A9" w:rsidRPr="0013707D" w:rsidRDefault="008064A9" w:rsidP="000620E1">
      <w:pPr>
        <w:pStyle w:val="Prrafodelista"/>
        <w:numPr>
          <w:ilvl w:val="0"/>
          <w:numId w:val="30"/>
        </w:numPr>
        <w:ind w:left="851" w:hanging="284"/>
        <w:contextualSpacing/>
        <w:jc w:val="both"/>
        <w:rPr>
          <w:rFonts w:ascii="Bookman Old Style" w:hAnsi="Bookman Old Style" w:cs="Arial"/>
          <w:sz w:val="24"/>
          <w:szCs w:val="24"/>
        </w:rPr>
      </w:pPr>
      <w:bookmarkStart w:id="7" w:name="_Ref482795863"/>
      <w:r w:rsidRPr="0013707D">
        <w:rPr>
          <w:rFonts w:ascii="Bookman Old Style" w:hAnsi="Bookman Old Style" w:cs="Arial"/>
          <w:sz w:val="24"/>
          <w:szCs w:val="24"/>
        </w:rPr>
        <w:t>Ejecución de contratos</w:t>
      </w:r>
      <w:bookmarkEnd w:id="7"/>
      <w:r w:rsidRPr="0013707D">
        <w:rPr>
          <w:rFonts w:ascii="Bookman Old Style" w:hAnsi="Bookman Old Style" w:cs="Arial"/>
          <w:sz w:val="24"/>
          <w:szCs w:val="24"/>
        </w:rPr>
        <w:t xml:space="preserve"> </w:t>
      </w:r>
    </w:p>
    <w:p w14:paraId="380FEE5E" w14:textId="77777777" w:rsidR="008064A9" w:rsidRPr="0013707D" w:rsidRDefault="008064A9" w:rsidP="000620E1">
      <w:pPr>
        <w:pStyle w:val="Prrafodelista"/>
        <w:ind w:left="567"/>
        <w:rPr>
          <w:rFonts w:ascii="Bookman Old Style" w:hAnsi="Bookman Old Style" w:cs="Arial"/>
          <w:sz w:val="24"/>
          <w:szCs w:val="24"/>
        </w:rPr>
      </w:pPr>
    </w:p>
    <w:p w14:paraId="56386A8F" w14:textId="77777777" w:rsidR="008064A9" w:rsidRPr="0013707D" w:rsidRDefault="008064A9" w:rsidP="000620E1">
      <w:pPr>
        <w:pStyle w:val="Prrafodelista"/>
        <w:numPr>
          <w:ilvl w:val="0"/>
          <w:numId w:val="29"/>
        </w:numPr>
        <w:jc w:val="both"/>
        <w:rPr>
          <w:rFonts w:ascii="Bookman Old Style" w:hAnsi="Bookman Old Style" w:cs="Arial"/>
          <w:sz w:val="24"/>
          <w:szCs w:val="24"/>
        </w:rPr>
      </w:pPr>
      <w:bookmarkStart w:id="8" w:name="_Ref482777770"/>
      <w:r w:rsidRPr="0013707D">
        <w:rPr>
          <w:rFonts w:ascii="Bookman Old Style" w:hAnsi="Bookman Old Style" w:cs="Arial"/>
          <w:sz w:val="24"/>
          <w:szCs w:val="24"/>
        </w:rPr>
        <w:t>A más tardar a las 13:45 horas del día de gas, los titulares de los derechos de suministro de contratos C1 declararán a su vendedor las cantidades de la parte variable que desean tener disponible para el día D+1.</w:t>
      </w:r>
      <w:bookmarkEnd w:id="8"/>
      <w:r w:rsidRPr="0013707D">
        <w:rPr>
          <w:rFonts w:ascii="Bookman Old Style" w:hAnsi="Bookman Old Style" w:cs="Arial"/>
          <w:sz w:val="24"/>
          <w:szCs w:val="24"/>
        </w:rPr>
        <w:t xml:space="preserve"> Dicha declaración corresponderá a las cantidades preliminares que desea ejecutar de sus contratos y que para efectos comerciales serían </w:t>
      </w:r>
      <w:proofErr w:type="gramStart"/>
      <w:r w:rsidRPr="0013707D">
        <w:rPr>
          <w:rFonts w:ascii="Bookman Old Style" w:hAnsi="Bookman Old Style" w:cs="Arial"/>
          <w:sz w:val="24"/>
          <w:szCs w:val="24"/>
        </w:rPr>
        <w:t>las cantidades a facturar</w:t>
      </w:r>
      <w:proofErr w:type="gramEnd"/>
      <w:r w:rsidRPr="0013707D">
        <w:rPr>
          <w:rFonts w:ascii="Bookman Old Style" w:hAnsi="Bookman Old Style" w:cs="Arial"/>
          <w:sz w:val="24"/>
          <w:szCs w:val="24"/>
        </w:rPr>
        <w:t xml:space="preserve"> adicionales a la parte fija de estos contratos.</w:t>
      </w:r>
    </w:p>
    <w:p w14:paraId="4D5CC4B1" w14:textId="77777777" w:rsidR="008064A9" w:rsidRPr="0013707D" w:rsidRDefault="008064A9" w:rsidP="000620E1">
      <w:pPr>
        <w:pStyle w:val="Prrafodelista"/>
        <w:ind w:left="1287"/>
        <w:jc w:val="both"/>
        <w:rPr>
          <w:rFonts w:ascii="Bookman Old Style" w:hAnsi="Bookman Old Style" w:cs="Arial"/>
          <w:sz w:val="24"/>
          <w:szCs w:val="24"/>
        </w:rPr>
      </w:pPr>
    </w:p>
    <w:p w14:paraId="7AF2A4D8" w14:textId="77777777" w:rsidR="008064A9" w:rsidRPr="0013707D" w:rsidRDefault="008064A9" w:rsidP="000620E1">
      <w:pPr>
        <w:pStyle w:val="Prrafodelista"/>
        <w:numPr>
          <w:ilvl w:val="0"/>
          <w:numId w:val="29"/>
        </w:numPr>
        <w:jc w:val="both"/>
        <w:rPr>
          <w:rFonts w:ascii="Bookman Old Style" w:hAnsi="Bookman Old Style" w:cs="Arial"/>
          <w:sz w:val="24"/>
          <w:szCs w:val="24"/>
        </w:rPr>
      </w:pPr>
      <w:r w:rsidRPr="0013707D">
        <w:rPr>
          <w:rFonts w:ascii="Bookman Old Style" w:hAnsi="Bookman Old Style" w:cs="Arial"/>
          <w:sz w:val="24"/>
          <w:szCs w:val="24"/>
        </w:rPr>
        <w:t xml:space="preserve">A más tardar a las 14:15 horas del día de gas, cada vendedor de contratos de suministro C1 y/o C2 deberá informar a sus compradores, de acuerdo con la declaración de ejecución de la parte variable de sus contratos C1 de que trata el literal </w:t>
      </w:r>
      <w:r w:rsidRPr="0013707D">
        <w:rPr>
          <w:rFonts w:ascii="Bookman Old Style" w:hAnsi="Bookman Old Style" w:cs="Arial"/>
          <w:sz w:val="24"/>
          <w:szCs w:val="24"/>
        </w:rPr>
        <w:fldChar w:fldCharType="begin"/>
      </w:r>
      <w:r w:rsidRPr="0013707D">
        <w:rPr>
          <w:rFonts w:ascii="Bookman Old Style" w:hAnsi="Bookman Old Style" w:cs="Arial"/>
          <w:sz w:val="24"/>
          <w:szCs w:val="24"/>
        </w:rPr>
        <w:instrText xml:space="preserve"> REF _Ref482777770 \r \h </w:instrText>
      </w:r>
      <w:r w:rsidRPr="0013707D">
        <w:rPr>
          <w:rFonts w:ascii="Bookman Old Style" w:hAnsi="Bookman Old Style"/>
        </w:rPr>
        <w:instrText xml:space="preserve"> \* MERGEFORMAT </w:instrText>
      </w:r>
      <w:r w:rsidRPr="0013707D">
        <w:rPr>
          <w:rFonts w:ascii="Bookman Old Style" w:hAnsi="Bookman Old Style" w:cs="Arial"/>
          <w:sz w:val="24"/>
          <w:szCs w:val="24"/>
        </w:rPr>
      </w:r>
      <w:r w:rsidRPr="0013707D">
        <w:rPr>
          <w:rFonts w:ascii="Bookman Old Style" w:hAnsi="Bookman Old Style" w:cs="Arial"/>
          <w:sz w:val="24"/>
          <w:szCs w:val="24"/>
        </w:rPr>
        <w:fldChar w:fldCharType="separate"/>
      </w:r>
      <w:r>
        <w:rPr>
          <w:rFonts w:ascii="Bookman Old Style" w:hAnsi="Bookman Old Style" w:cs="Arial"/>
          <w:sz w:val="24"/>
          <w:szCs w:val="24"/>
        </w:rPr>
        <w:t>a)</w:t>
      </w:r>
      <w:r w:rsidRPr="0013707D">
        <w:rPr>
          <w:rFonts w:ascii="Bookman Old Style" w:hAnsi="Bookman Old Style" w:cs="Arial"/>
          <w:sz w:val="24"/>
          <w:szCs w:val="24"/>
        </w:rPr>
        <w:fldChar w:fldCharType="end"/>
      </w:r>
      <w:r w:rsidRPr="0013707D">
        <w:rPr>
          <w:rFonts w:ascii="Bookman Old Style" w:hAnsi="Bookman Old Style" w:cs="Arial"/>
          <w:sz w:val="24"/>
          <w:szCs w:val="24"/>
        </w:rPr>
        <w:t xml:space="preserve"> anterior, las cantidades preliminares asignadas comercialmente a cada comprador y que estarían disponibles para nominar en cada uno de los contratos C1 y C2 para el día D+1.</w:t>
      </w:r>
    </w:p>
    <w:p w14:paraId="49AAFDE9" w14:textId="77777777" w:rsidR="008064A9" w:rsidRPr="0013707D" w:rsidRDefault="008064A9" w:rsidP="000620E1">
      <w:pPr>
        <w:pStyle w:val="Prrafodelista"/>
        <w:ind w:left="1002"/>
        <w:rPr>
          <w:rFonts w:ascii="Bookman Old Style" w:hAnsi="Bookman Old Style" w:cs="Arial"/>
          <w:sz w:val="24"/>
          <w:szCs w:val="24"/>
        </w:rPr>
      </w:pPr>
    </w:p>
    <w:p w14:paraId="3FDBAED5" w14:textId="77777777" w:rsidR="008064A9" w:rsidRPr="0013707D" w:rsidRDefault="008064A9" w:rsidP="000620E1">
      <w:pPr>
        <w:pStyle w:val="Prrafodelista"/>
        <w:numPr>
          <w:ilvl w:val="0"/>
          <w:numId w:val="29"/>
        </w:numPr>
        <w:jc w:val="both"/>
        <w:rPr>
          <w:rFonts w:ascii="Bookman Old Style" w:hAnsi="Bookman Old Style" w:cs="Arial"/>
          <w:sz w:val="24"/>
          <w:szCs w:val="24"/>
        </w:rPr>
      </w:pPr>
      <w:bookmarkStart w:id="9" w:name="_Ref482777780"/>
      <w:r w:rsidRPr="0013707D">
        <w:rPr>
          <w:rFonts w:ascii="Bookman Old Style" w:hAnsi="Bookman Old Style" w:cs="Arial"/>
          <w:sz w:val="24"/>
          <w:szCs w:val="24"/>
        </w:rPr>
        <w:t xml:space="preserve">Teniendo en cuenta la información suministrada por los vendedores de las cantidades preliminares disponibles para el día D+1, los titulares de derechos de suministro de contratos C1 que sean a su vez titulares de contratos C2, podrán modificar su solicitud de ejecución de la parte variable de contratos C1 declarando la nueva </w:t>
      </w:r>
      <w:r w:rsidRPr="0013707D">
        <w:rPr>
          <w:rFonts w:ascii="Bookman Old Style" w:hAnsi="Bookman Old Style" w:cs="Arial"/>
          <w:sz w:val="24"/>
          <w:szCs w:val="24"/>
        </w:rPr>
        <w:lastRenderedPageBreak/>
        <w:t>cantidad a su vendedor, que sólo podrá ser mayor a la cantidad preliminar declarada, a más tardar a las 14:45 horas del día de gas.</w:t>
      </w:r>
      <w:bookmarkEnd w:id="9"/>
    </w:p>
    <w:p w14:paraId="69CEFD63" w14:textId="77777777" w:rsidR="008064A9" w:rsidRPr="0013707D" w:rsidRDefault="008064A9" w:rsidP="000620E1">
      <w:pPr>
        <w:pStyle w:val="Prrafodelista"/>
        <w:ind w:left="1002"/>
        <w:rPr>
          <w:rFonts w:ascii="Bookman Old Style" w:hAnsi="Bookman Old Style" w:cs="Arial"/>
          <w:sz w:val="24"/>
          <w:szCs w:val="24"/>
        </w:rPr>
      </w:pPr>
    </w:p>
    <w:p w14:paraId="44DBC144" w14:textId="10FF8360" w:rsidR="008064A9" w:rsidRPr="0013707D" w:rsidRDefault="008064A9" w:rsidP="000620E1">
      <w:pPr>
        <w:pStyle w:val="Prrafodelista"/>
        <w:numPr>
          <w:ilvl w:val="0"/>
          <w:numId w:val="29"/>
        </w:numPr>
        <w:jc w:val="both"/>
        <w:rPr>
          <w:rFonts w:ascii="Bookman Old Style" w:hAnsi="Bookman Old Style" w:cs="Arial"/>
          <w:sz w:val="24"/>
          <w:szCs w:val="24"/>
        </w:rPr>
      </w:pPr>
      <w:bookmarkStart w:id="10" w:name="_Ref482778356"/>
      <w:r w:rsidRPr="0013707D">
        <w:rPr>
          <w:rFonts w:ascii="Bookman Old Style" w:hAnsi="Bookman Old Style" w:cs="Arial"/>
          <w:sz w:val="24"/>
          <w:szCs w:val="24"/>
        </w:rPr>
        <w:t xml:space="preserve">A partir de la información declarada en el literal </w:t>
      </w:r>
      <w:r w:rsidRPr="0013707D">
        <w:rPr>
          <w:rFonts w:ascii="Bookman Old Style" w:hAnsi="Bookman Old Style" w:cs="Arial"/>
          <w:sz w:val="24"/>
          <w:szCs w:val="24"/>
        </w:rPr>
        <w:fldChar w:fldCharType="begin"/>
      </w:r>
      <w:r w:rsidRPr="0013707D">
        <w:rPr>
          <w:rFonts w:ascii="Bookman Old Style" w:hAnsi="Bookman Old Style" w:cs="Arial"/>
          <w:sz w:val="24"/>
          <w:szCs w:val="24"/>
        </w:rPr>
        <w:instrText xml:space="preserve"> REF _Ref482777780 \r \h  \* MERGEFORMAT </w:instrText>
      </w:r>
      <w:r w:rsidRPr="0013707D">
        <w:rPr>
          <w:rFonts w:ascii="Bookman Old Style" w:hAnsi="Bookman Old Style" w:cs="Arial"/>
          <w:sz w:val="24"/>
          <w:szCs w:val="24"/>
        </w:rPr>
      </w:r>
      <w:r w:rsidRPr="0013707D">
        <w:rPr>
          <w:rFonts w:ascii="Bookman Old Style" w:hAnsi="Bookman Old Style" w:cs="Arial"/>
          <w:sz w:val="24"/>
          <w:szCs w:val="24"/>
        </w:rPr>
        <w:fldChar w:fldCharType="separate"/>
      </w:r>
      <w:r>
        <w:rPr>
          <w:rFonts w:ascii="Bookman Old Style" w:hAnsi="Bookman Old Style" w:cs="Arial"/>
          <w:sz w:val="24"/>
          <w:szCs w:val="24"/>
        </w:rPr>
        <w:t>c)</w:t>
      </w:r>
      <w:r w:rsidRPr="0013707D">
        <w:rPr>
          <w:rFonts w:ascii="Bookman Old Style" w:hAnsi="Bookman Old Style" w:cs="Arial"/>
          <w:sz w:val="24"/>
          <w:szCs w:val="24"/>
        </w:rPr>
        <w:fldChar w:fldCharType="end"/>
      </w:r>
      <w:r w:rsidRPr="0013707D">
        <w:rPr>
          <w:rFonts w:ascii="Bookman Old Style" w:hAnsi="Bookman Old Style" w:cs="Arial"/>
          <w:sz w:val="24"/>
          <w:szCs w:val="24"/>
        </w:rPr>
        <w:t xml:space="preserve"> anterior, los vendedores de contratos de suministro C1 y C2 calcularán las cantidades disponibles para entregar el día D+1 de los contratos C2 e informarán a las contrapartes la ejecución definitiva de los contratos C1</w:t>
      </w:r>
      <w:r w:rsidR="00BC4EFC">
        <w:rPr>
          <w:rFonts w:ascii="Bookman Old Style" w:hAnsi="Bookman Old Style" w:cs="Arial"/>
          <w:sz w:val="24"/>
          <w:szCs w:val="24"/>
        </w:rPr>
        <w:t xml:space="preserve">, </w:t>
      </w:r>
      <w:r w:rsidRPr="0013707D">
        <w:rPr>
          <w:rFonts w:ascii="Bookman Old Style" w:hAnsi="Bookman Old Style" w:cs="Arial"/>
          <w:sz w:val="24"/>
          <w:szCs w:val="24"/>
        </w:rPr>
        <w:t>así como las cantidades definitivas disponibles para entrega r el día D+1 de contratos C2 a más tardar a las 15:15 del día de gas.</w:t>
      </w:r>
      <w:bookmarkEnd w:id="10"/>
      <w:r w:rsidRPr="0013707D">
        <w:rPr>
          <w:rFonts w:ascii="Bookman Old Style" w:hAnsi="Bookman Old Style" w:cs="Arial"/>
          <w:sz w:val="24"/>
          <w:szCs w:val="24"/>
        </w:rPr>
        <w:t xml:space="preserve"> </w:t>
      </w:r>
    </w:p>
    <w:p w14:paraId="3D9222AC" w14:textId="77777777" w:rsidR="008064A9" w:rsidRPr="0013707D" w:rsidRDefault="008064A9" w:rsidP="000620E1">
      <w:pPr>
        <w:pStyle w:val="Prrafodelista"/>
        <w:ind w:left="1002"/>
        <w:rPr>
          <w:rFonts w:ascii="Bookman Old Style" w:hAnsi="Bookman Old Style" w:cs="Arial"/>
          <w:sz w:val="24"/>
          <w:szCs w:val="24"/>
        </w:rPr>
      </w:pPr>
    </w:p>
    <w:p w14:paraId="2A48F993" w14:textId="33843C1E" w:rsidR="008064A9" w:rsidRDefault="008064A9" w:rsidP="000620E1">
      <w:pPr>
        <w:ind w:left="861"/>
        <w:jc w:val="both"/>
        <w:rPr>
          <w:rFonts w:ascii="Bookman Old Style" w:hAnsi="Bookman Old Style" w:cs="Arial"/>
          <w:lang w:val="es-CO"/>
        </w:rPr>
      </w:pPr>
      <w:r w:rsidRPr="0013707D">
        <w:rPr>
          <w:rFonts w:ascii="Bookman Old Style" w:hAnsi="Bookman Old Style" w:cs="Arial"/>
          <w:lang w:val="es-CO"/>
        </w:rPr>
        <w:t xml:space="preserve">Las cantidades definitivas de que trata el literal </w:t>
      </w:r>
      <w:r w:rsidRPr="0013707D">
        <w:rPr>
          <w:rFonts w:ascii="Bookman Old Style" w:hAnsi="Bookman Old Style" w:cs="Arial"/>
          <w:lang w:val="es-CO"/>
        </w:rPr>
        <w:fldChar w:fldCharType="begin"/>
      </w:r>
      <w:r w:rsidRPr="0013707D">
        <w:rPr>
          <w:rFonts w:ascii="Bookman Old Style" w:hAnsi="Bookman Old Style" w:cs="Arial"/>
          <w:lang w:val="es-CO"/>
        </w:rPr>
        <w:instrText xml:space="preserve"> REF _Ref482778356 \r \h  \* MERGEFORMAT </w:instrText>
      </w:r>
      <w:r w:rsidRPr="0013707D">
        <w:rPr>
          <w:rFonts w:ascii="Bookman Old Style" w:hAnsi="Bookman Old Style" w:cs="Arial"/>
          <w:lang w:val="es-CO"/>
        </w:rPr>
      </w:r>
      <w:r w:rsidRPr="0013707D">
        <w:rPr>
          <w:rFonts w:ascii="Bookman Old Style" w:hAnsi="Bookman Old Style" w:cs="Arial"/>
          <w:lang w:val="es-CO"/>
        </w:rPr>
        <w:fldChar w:fldCharType="separate"/>
      </w:r>
      <w:r>
        <w:rPr>
          <w:rFonts w:ascii="Bookman Old Style" w:hAnsi="Bookman Old Style" w:cs="Arial"/>
          <w:lang w:val="es-CO"/>
        </w:rPr>
        <w:t>d)</w:t>
      </w:r>
      <w:r w:rsidRPr="0013707D">
        <w:rPr>
          <w:rFonts w:ascii="Bookman Old Style" w:hAnsi="Bookman Old Style" w:cs="Arial"/>
          <w:lang w:val="es-CO"/>
        </w:rPr>
        <w:fldChar w:fldCharType="end"/>
      </w:r>
      <w:r w:rsidRPr="0013707D">
        <w:rPr>
          <w:rFonts w:ascii="Bookman Old Style" w:hAnsi="Bookman Old Style" w:cs="Arial"/>
          <w:lang w:val="es-CO"/>
        </w:rPr>
        <w:t xml:space="preserve"> anterior serán las cantidades </w:t>
      </w:r>
      <w:proofErr w:type="gramStart"/>
      <w:r w:rsidRPr="0013707D">
        <w:rPr>
          <w:rFonts w:ascii="Bookman Old Style" w:hAnsi="Bookman Old Style" w:cs="Arial"/>
          <w:lang w:val="es-CO"/>
        </w:rPr>
        <w:t>a</w:t>
      </w:r>
      <w:proofErr w:type="gramEnd"/>
      <w:r w:rsidRPr="0013707D">
        <w:rPr>
          <w:rFonts w:ascii="Bookman Old Style" w:hAnsi="Bookman Old Style" w:cs="Arial"/>
          <w:lang w:val="es-CO"/>
        </w:rPr>
        <w:t xml:space="preserve"> tener en cuenta para efectos de facturación por parte del vendedor y no podrán ser modificadas. La nominación por parte de los compradores deberá </w:t>
      </w:r>
      <w:proofErr w:type="gramStart"/>
      <w:r w:rsidRPr="0013707D">
        <w:rPr>
          <w:rFonts w:ascii="Bookman Old Style" w:hAnsi="Bookman Old Style" w:cs="Arial"/>
          <w:lang w:val="es-CO"/>
        </w:rPr>
        <w:t>enmarcarse</w:t>
      </w:r>
      <w:r w:rsidR="00BC4EFC">
        <w:rPr>
          <w:rFonts w:ascii="Bookman Old Style" w:hAnsi="Bookman Old Style" w:cs="Arial"/>
          <w:lang w:val="es-CO"/>
        </w:rPr>
        <w:t xml:space="preserve"> </w:t>
      </w:r>
      <w:r w:rsidRPr="0013707D">
        <w:rPr>
          <w:rFonts w:ascii="Bookman Old Style" w:hAnsi="Bookman Old Style" w:cs="Arial"/>
          <w:lang w:val="es-CO"/>
        </w:rPr>
        <w:t>dentro de</w:t>
      </w:r>
      <w:proofErr w:type="gramEnd"/>
      <w:r w:rsidRPr="0013707D">
        <w:rPr>
          <w:rFonts w:ascii="Bookman Old Style" w:hAnsi="Bookman Old Style" w:cs="Arial"/>
          <w:lang w:val="es-CO"/>
        </w:rPr>
        <w:t xml:space="preserve"> las cantidades ejecutadas y disponibles.</w:t>
      </w:r>
    </w:p>
    <w:p w14:paraId="2E6CEAB3" w14:textId="77777777" w:rsidR="003C2698" w:rsidRDefault="003C2698" w:rsidP="000620E1">
      <w:pPr>
        <w:ind w:left="861"/>
        <w:jc w:val="both"/>
        <w:rPr>
          <w:rFonts w:ascii="Bookman Old Style" w:hAnsi="Bookman Old Style" w:cs="Arial"/>
          <w:lang w:val="es-CO"/>
        </w:rPr>
      </w:pPr>
    </w:p>
    <w:p w14:paraId="395CEAA9" w14:textId="3F6CE625" w:rsidR="00B77498" w:rsidRPr="00C12877" w:rsidRDefault="00B77498" w:rsidP="000620E1">
      <w:pPr>
        <w:ind w:left="861"/>
        <w:jc w:val="both"/>
        <w:rPr>
          <w:rFonts w:ascii="Bookman Old Style" w:hAnsi="Bookman Old Style"/>
          <w:bCs/>
          <w:lang w:val="es-CO"/>
        </w:rPr>
      </w:pPr>
      <w:r w:rsidRPr="00C12877">
        <w:rPr>
          <w:rFonts w:ascii="Bookman Old Style" w:hAnsi="Bookman Old Style"/>
          <w:b/>
          <w:lang w:val="es-CO"/>
        </w:rPr>
        <w:t>Parágrafo.</w:t>
      </w:r>
      <w:r w:rsidRPr="00C12877">
        <w:rPr>
          <w:rFonts w:ascii="Bookman Old Style" w:hAnsi="Bookman Old Style"/>
          <w:bCs/>
          <w:lang w:val="es-CO"/>
        </w:rPr>
        <w:t xml:space="preserve"> Para efectos de cumplimiento de lo establecido en el artículo </w:t>
      </w:r>
      <w:r w:rsidR="00E36E0B" w:rsidRPr="00C12877">
        <w:rPr>
          <w:rFonts w:ascii="Bookman Old Style" w:hAnsi="Bookman Old Style"/>
          <w:bCs/>
          <w:lang w:val="es-CO"/>
        </w:rPr>
        <w:t>2.2.2.2.16 del Decreto 1073 de 2015</w:t>
      </w:r>
      <w:r w:rsidRPr="00C12877">
        <w:rPr>
          <w:rFonts w:ascii="Bookman Old Style" w:hAnsi="Bookman Old Style"/>
          <w:bCs/>
          <w:lang w:val="es-CO"/>
        </w:rPr>
        <w:t xml:space="preserve">, o aquel que lo modifique o sustituya, los contratos de suministro C2 se contarán como contratos que garantizan firmeza en las cantidades correspondientes a las contratadas multiplicadas por el porcentaje de firmeza establecida </w:t>
      </w:r>
      <w:r w:rsidR="00D905B0" w:rsidRPr="00C12877">
        <w:rPr>
          <w:rFonts w:ascii="Bookman Old Style" w:hAnsi="Bookman Old Style"/>
          <w:bCs/>
          <w:lang w:val="es-CO"/>
        </w:rPr>
        <w:t>en el numeral 2 del presente artículo</w:t>
      </w:r>
      <w:r w:rsidRPr="00C12877">
        <w:rPr>
          <w:rFonts w:ascii="Bookman Old Style" w:hAnsi="Bookman Old Style"/>
          <w:bCs/>
          <w:lang w:val="es-CO"/>
        </w:rPr>
        <w:t>.</w:t>
      </w:r>
    </w:p>
    <w:p w14:paraId="4EEC663E" w14:textId="77777777" w:rsidR="003C2698" w:rsidRPr="00C12877" w:rsidRDefault="003C2698" w:rsidP="000620E1">
      <w:pPr>
        <w:ind w:left="861"/>
        <w:jc w:val="both"/>
        <w:rPr>
          <w:rFonts w:ascii="Bookman Old Style" w:hAnsi="Bookman Old Style" w:cs="Arial"/>
          <w:bCs/>
          <w:lang w:val="es-CO"/>
        </w:rPr>
      </w:pPr>
    </w:p>
    <w:p w14:paraId="7944E1DE" w14:textId="0EE8CBCB" w:rsidR="00B63AD3" w:rsidRPr="00C12877" w:rsidRDefault="00B63AD3" w:rsidP="000620E1">
      <w:pPr>
        <w:pStyle w:val="ARTICULOS"/>
        <w:numPr>
          <w:ilvl w:val="0"/>
          <w:numId w:val="0"/>
        </w:numPr>
        <w:tabs>
          <w:tab w:val="clear" w:pos="1559"/>
        </w:tabs>
        <w:outlineLvl w:val="0"/>
        <w:rPr>
          <w:lang w:val="es-ES"/>
        </w:rPr>
      </w:pPr>
      <w:r w:rsidRPr="00C12877">
        <w:rPr>
          <w:b/>
          <w:bCs w:val="0"/>
          <w:lang w:val="es-ES"/>
        </w:rPr>
        <w:t xml:space="preserve">ARTICULO </w:t>
      </w:r>
      <w:r w:rsidR="00EA447E" w:rsidRPr="00C12877">
        <w:rPr>
          <w:b/>
          <w:bCs w:val="0"/>
          <w:lang w:val="es-ES"/>
        </w:rPr>
        <w:t>10</w:t>
      </w:r>
      <w:r w:rsidRPr="00C12877">
        <w:rPr>
          <w:b/>
          <w:bCs w:val="0"/>
          <w:lang w:val="es-ES"/>
        </w:rPr>
        <w:t>.</w:t>
      </w:r>
      <w:r w:rsidRPr="00C12877">
        <w:rPr>
          <w:lang w:val="es-ES"/>
        </w:rPr>
        <w:t xml:space="preserve"> Modificar el </w:t>
      </w:r>
      <w:r w:rsidR="008F11E3" w:rsidRPr="00C12877">
        <w:rPr>
          <w:lang w:val="es-ES"/>
        </w:rPr>
        <w:t>artículo</w:t>
      </w:r>
      <w:r w:rsidRPr="00C12877">
        <w:rPr>
          <w:lang w:val="es-ES"/>
        </w:rPr>
        <w:t xml:space="preserve"> 24 de la Resolución CREG 186 de 2020, el cual quedará así:</w:t>
      </w:r>
    </w:p>
    <w:p w14:paraId="72DDF143" w14:textId="77777777" w:rsidR="00B63AD3" w:rsidRPr="00C12877" w:rsidRDefault="00B63AD3" w:rsidP="000620E1">
      <w:pPr>
        <w:ind w:left="0"/>
        <w:jc w:val="both"/>
        <w:rPr>
          <w:rFonts w:ascii="Bookman Old Style" w:hAnsi="Bookman Old Style"/>
          <w:bCs/>
        </w:rPr>
      </w:pPr>
    </w:p>
    <w:p w14:paraId="13106CBB" w14:textId="7C391FDB" w:rsidR="00B63AD3" w:rsidRPr="005F6494" w:rsidRDefault="00EA447E" w:rsidP="000620E1">
      <w:pPr>
        <w:jc w:val="both"/>
        <w:rPr>
          <w:rFonts w:ascii="Bookman Old Style" w:hAnsi="Bookman Old Style"/>
          <w:strike/>
          <w:lang w:val="es-CO"/>
        </w:rPr>
      </w:pPr>
      <w:bookmarkStart w:id="11" w:name="_Ref452106017"/>
      <w:bookmarkStart w:id="12" w:name="_Ref448333944"/>
      <w:r w:rsidRPr="00C12877">
        <w:rPr>
          <w:rFonts w:ascii="Bookman Old Style" w:hAnsi="Bookman Old Style"/>
          <w:b/>
          <w:lang w:val="es-CO"/>
        </w:rPr>
        <w:t>A</w:t>
      </w:r>
      <w:r w:rsidR="008F11E3" w:rsidRPr="00C12877">
        <w:rPr>
          <w:rFonts w:ascii="Bookman Old Style" w:hAnsi="Bookman Old Style"/>
          <w:b/>
          <w:lang w:val="es-CO"/>
        </w:rPr>
        <w:t>rtículo</w:t>
      </w:r>
      <w:r w:rsidR="00B63AD3" w:rsidRPr="00C12877">
        <w:rPr>
          <w:rFonts w:ascii="Bookman Old Style" w:hAnsi="Bookman Old Style"/>
          <w:b/>
          <w:lang w:val="es-CO"/>
        </w:rPr>
        <w:t xml:space="preserve"> 24.</w:t>
      </w:r>
      <w:r w:rsidR="00B63AD3" w:rsidRPr="00C12877">
        <w:rPr>
          <w:rFonts w:ascii="Bookman Old Style" w:hAnsi="Bookman Old Style"/>
          <w:bCs/>
          <w:lang w:val="es-CO"/>
        </w:rPr>
        <w:t xml:space="preserve"> </w:t>
      </w:r>
      <w:r w:rsidR="00B63AD3" w:rsidRPr="008E7A1C">
        <w:rPr>
          <w:rFonts w:ascii="Bookman Old Style" w:hAnsi="Bookman Old Style"/>
          <w:b/>
          <w:lang w:val="es-CO"/>
        </w:rPr>
        <w:t>Cantidades disponibles en el mercado</w:t>
      </w:r>
      <w:r w:rsidR="00B63AD3" w:rsidRPr="00C12877">
        <w:rPr>
          <w:rFonts w:ascii="Bookman Old Style" w:hAnsi="Bookman Old Style"/>
          <w:bCs/>
          <w:lang w:val="es-CO"/>
        </w:rPr>
        <w:t xml:space="preserve">. Los vendedores a los que se hace referencia en el </w:t>
      </w:r>
      <w:r w:rsidR="00B63AD3" w:rsidRPr="00C12877">
        <w:rPr>
          <w:rFonts w:ascii="Bookman Old Style" w:hAnsi="Bookman Old Style"/>
          <w:bCs/>
          <w:lang w:val="es-CO"/>
        </w:rPr>
        <w:fldChar w:fldCharType="begin"/>
      </w:r>
      <w:r w:rsidR="00B63AD3" w:rsidRPr="00C12877">
        <w:rPr>
          <w:rFonts w:ascii="Bookman Old Style" w:hAnsi="Bookman Old Style"/>
          <w:bCs/>
          <w:lang w:val="es-CO"/>
        </w:rPr>
        <w:instrText xml:space="preserve"> REF _Ref330921456 \n \h  \* MERGEFORMAT </w:instrText>
      </w:r>
      <w:r w:rsidR="00B63AD3" w:rsidRPr="00C12877">
        <w:rPr>
          <w:rFonts w:ascii="Bookman Old Style" w:hAnsi="Bookman Old Style"/>
          <w:bCs/>
          <w:lang w:val="es-CO"/>
        </w:rPr>
      </w:r>
      <w:r w:rsidR="00B63AD3" w:rsidRPr="00C12877">
        <w:rPr>
          <w:rFonts w:ascii="Bookman Old Style" w:hAnsi="Bookman Old Style"/>
          <w:bCs/>
          <w:lang w:val="es-CO"/>
        </w:rPr>
        <w:fldChar w:fldCharType="separate"/>
      </w:r>
      <w:r w:rsidR="00746F74" w:rsidRPr="00C12877">
        <w:rPr>
          <w:rFonts w:ascii="Bookman Old Style" w:hAnsi="Bookman Old Style"/>
          <w:bCs/>
          <w:lang w:val="es-CO"/>
        </w:rPr>
        <w:t>artículo</w:t>
      </w:r>
      <w:r w:rsidR="00B63AD3" w:rsidRPr="00C12877">
        <w:rPr>
          <w:rFonts w:ascii="Bookman Old Style" w:hAnsi="Bookman Old Style"/>
          <w:bCs/>
          <w:lang w:val="es-CO"/>
        </w:rPr>
        <w:t xml:space="preserve"> 16</w:t>
      </w:r>
      <w:r w:rsidR="00B63AD3" w:rsidRPr="00C12877">
        <w:rPr>
          <w:rFonts w:ascii="Bookman Old Style" w:hAnsi="Bookman Old Style"/>
          <w:bCs/>
          <w:lang w:val="es-CO"/>
        </w:rPr>
        <w:fldChar w:fldCharType="end"/>
      </w:r>
      <w:r w:rsidR="00B63AD3" w:rsidRPr="00C12877">
        <w:rPr>
          <w:rFonts w:ascii="Bookman Old Style" w:hAnsi="Bookman Old Style"/>
          <w:bCs/>
          <w:lang w:val="es-CO"/>
        </w:rPr>
        <w:t xml:space="preserve"> de esta Resolución deberán declarar al gestor del mercado la oferta de PTDVF u oferta de CIDVF, según sea el caso, </w:t>
      </w:r>
      <w:r w:rsidR="00B63AD3" w:rsidRPr="00C12877">
        <w:rPr>
          <w:rFonts w:ascii="Bookman Old Style" w:hAnsi="Bookman Old Style"/>
          <w:bCs/>
        </w:rPr>
        <w:t xml:space="preserve">de todas las fuentes de suministro sin excepción ninguna, a partir de la cuales se pretendan negociar y registrar contratos bajos las modalidades </w:t>
      </w:r>
      <w:r w:rsidR="002B193E" w:rsidRPr="00C12877">
        <w:rPr>
          <w:rFonts w:ascii="Bookman Old Style" w:hAnsi="Bookman Old Style"/>
          <w:bCs/>
        </w:rPr>
        <w:t xml:space="preserve">de tipo firme </w:t>
      </w:r>
      <w:r w:rsidR="00B63AD3" w:rsidRPr="00C12877">
        <w:rPr>
          <w:rFonts w:ascii="Bookman Old Style" w:hAnsi="Bookman Old Style"/>
          <w:bCs/>
        </w:rPr>
        <w:t xml:space="preserve">establecidas en los numerales 1, 2, 3, 5, 7 y 8 del artículo 8 </w:t>
      </w:r>
      <w:r w:rsidR="002B193E" w:rsidRPr="00C12877">
        <w:rPr>
          <w:rFonts w:ascii="Bookman Old Style" w:hAnsi="Bookman Old Style"/>
          <w:bCs/>
        </w:rPr>
        <w:t>y cualquier modalidad de tipo firme que se negocie con base en lo establecido en el parágrafo del artículo 20</w:t>
      </w:r>
      <w:r w:rsidR="00B63AD3" w:rsidRPr="00C12877">
        <w:rPr>
          <w:rFonts w:ascii="Bookman Old Style" w:hAnsi="Bookman Old Style"/>
          <w:bCs/>
        </w:rPr>
        <w:t xml:space="preserve">, </w:t>
      </w:r>
      <w:r w:rsidR="006E1285" w:rsidRPr="00C12877">
        <w:rPr>
          <w:rFonts w:ascii="Bookman Old Style" w:hAnsi="Bookman Old Style"/>
          <w:bCs/>
        </w:rPr>
        <w:t xml:space="preserve">en el que </w:t>
      </w:r>
      <w:r w:rsidR="006E1285" w:rsidRPr="00C12877">
        <w:rPr>
          <w:rFonts w:ascii="Bookman Old Style" w:hAnsi="Bookman Old Style"/>
          <w:bCs/>
          <w:color w:val="000000" w:themeColor="text1"/>
          <w:lang w:val="es-CO"/>
        </w:rPr>
        <w:t>se garantiza el servicio de suministro de una cantidad máxima de gas natural, sin interrupciones, durante un período determinado, excepto en los días establecidos para mantenimiento y labores programadas</w:t>
      </w:r>
      <w:r w:rsidR="006E1285">
        <w:rPr>
          <w:rFonts w:ascii="Bookman Old Style" w:hAnsi="Bookman Old Style"/>
          <w:bCs/>
          <w:color w:val="000000" w:themeColor="text1"/>
          <w:lang w:val="es-CO"/>
        </w:rPr>
        <w:t xml:space="preserve">, </w:t>
      </w:r>
      <w:r w:rsidR="00B63AD3" w:rsidRPr="00C12877">
        <w:rPr>
          <w:rFonts w:ascii="Bookman Old Style" w:hAnsi="Bookman Old Style"/>
          <w:bCs/>
        </w:rPr>
        <w:t xml:space="preserve">en las fechas establecidas en el cronograma </w:t>
      </w:r>
      <w:r w:rsidR="005F6494" w:rsidRPr="00C12877">
        <w:rPr>
          <w:rFonts w:ascii="Bookman Old Style" w:hAnsi="Bookman Old Style"/>
          <w:bCs/>
        </w:rPr>
        <w:t xml:space="preserve">establecido en el </w:t>
      </w:r>
      <w:r w:rsidR="002B193E" w:rsidRPr="00C12877">
        <w:rPr>
          <w:rFonts w:ascii="Bookman Old Style" w:hAnsi="Bookman Old Style"/>
          <w:bCs/>
        </w:rPr>
        <w:t>a</w:t>
      </w:r>
      <w:r w:rsidR="005F6494" w:rsidRPr="00C12877">
        <w:rPr>
          <w:rFonts w:ascii="Bookman Old Style" w:hAnsi="Bookman Old Style"/>
          <w:bCs/>
        </w:rPr>
        <w:t>rtículo 22</w:t>
      </w:r>
      <w:r w:rsidR="002B193E" w:rsidRPr="00C12877">
        <w:rPr>
          <w:rFonts w:ascii="Bookman Old Style" w:hAnsi="Bookman Old Style"/>
          <w:bCs/>
        </w:rPr>
        <w:t>, todos estos</w:t>
      </w:r>
      <w:r w:rsidR="005F6494" w:rsidRPr="00C12877">
        <w:rPr>
          <w:rFonts w:ascii="Bookman Old Style" w:hAnsi="Bookman Old Style"/>
          <w:bCs/>
        </w:rPr>
        <w:t xml:space="preserve"> de la presente Resolución</w:t>
      </w:r>
      <w:r w:rsidR="00B63AD3" w:rsidRPr="00C12877">
        <w:rPr>
          <w:rFonts w:ascii="Bookman Old Style" w:hAnsi="Bookman Old Style"/>
          <w:bCs/>
        </w:rPr>
        <w:t xml:space="preserve">. </w:t>
      </w:r>
      <w:bookmarkEnd w:id="11"/>
    </w:p>
    <w:p w14:paraId="6F6EEA62" w14:textId="77777777" w:rsidR="005F6494" w:rsidRDefault="005F6494" w:rsidP="000620E1">
      <w:pPr>
        <w:rPr>
          <w:rFonts w:ascii="Bookman Old Style" w:hAnsi="Bookman Old Style"/>
          <w:lang w:val="es-CO"/>
        </w:rPr>
      </w:pPr>
    </w:p>
    <w:p w14:paraId="52FF6B0F" w14:textId="7F488DDA" w:rsidR="005F6494" w:rsidRPr="003A0C90" w:rsidRDefault="005F6494" w:rsidP="000620E1">
      <w:pPr>
        <w:jc w:val="both"/>
        <w:rPr>
          <w:rFonts w:ascii="Bookman Old Style" w:hAnsi="Bookman Old Style"/>
          <w:lang w:val="es-CO"/>
        </w:rPr>
      </w:pPr>
      <w:r w:rsidRPr="0013707D">
        <w:rPr>
          <w:rFonts w:ascii="Bookman Old Style" w:hAnsi="Bookman Old Style"/>
          <w:lang w:val="es-CO"/>
        </w:rPr>
        <w:t xml:space="preserve">La oferta de PTDVF o la oferta de CIDVF deberá ser igual o inferior al valor vigente de la PTDV o CIDV, según </w:t>
      </w:r>
      <w:r w:rsidRPr="003A0C90">
        <w:rPr>
          <w:rFonts w:ascii="Bookman Old Style" w:hAnsi="Bookman Old Style"/>
          <w:lang w:val="es-CO"/>
        </w:rPr>
        <w:t>corresponda, publicada por el Ministerio de Minas y Energía en cumplimiento del artículo 2.2.2.</w:t>
      </w:r>
      <w:r w:rsidR="0044519E" w:rsidRPr="003A0C90">
        <w:rPr>
          <w:rFonts w:ascii="Bookman Old Style" w:hAnsi="Bookman Old Style"/>
          <w:lang w:val="es-CO"/>
        </w:rPr>
        <w:t>2.</w:t>
      </w:r>
      <w:r w:rsidRPr="003A0C90">
        <w:rPr>
          <w:rFonts w:ascii="Bookman Old Style" w:hAnsi="Bookman Old Style"/>
          <w:lang w:val="es-CO"/>
        </w:rPr>
        <w:t xml:space="preserve">21 del Decreto 1073 de 2015. Dicha declaración se realizará conforme al Cronograma de Comercialización que sea establecido por la CREG mediante circular, en aplicación de lo establecido en el </w:t>
      </w:r>
      <w:r w:rsidR="00746F74" w:rsidRPr="003A0C90">
        <w:rPr>
          <w:rFonts w:ascii="Bookman Old Style" w:hAnsi="Bookman Old Style"/>
          <w:lang w:val="es-CO"/>
        </w:rPr>
        <w:t>artículo</w:t>
      </w:r>
      <w:r w:rsidRPr="003A0C90">
        <w:rPr>
          <w:rFonts w:ascii="Bookman Old Style" w:hAnsi="Bookman Old Style"/>
          <w:lang w:val="es-CO"/>
        </w:rPr>
        <w:t xml:space="preserve"> 22 de la </w:t>
      </w:r>
      <w:r w:rsidR="00EA71D5">
        <w:rPr>
          <w:rFonts w:ascii="Bookman Old Style" w:hAnsi="Bookman Old Style"/>
          <w:lang w:val="es-CO"/>
        </w:rPr>
        <w:t xml:space="preserve">presente </w:t>
      </w:r>
      <w:r w:rsidRPr="003A0C90">
        <w:rPr>
          <w:rFonts w:ascii="Bookman Old Style" w:hAnsi="Bookman Old Style"/>
          <w:lang w:val="es-CO"/>
        </w:rPr>
        <w:t>Resolución.</w:t>
      </w:r>
    </w:p>
    <w:p w14:paraId="2CCE3F33" w14:textId="77777777" w:rsidR="005F6494" w:rsidRPr="003A0C90" w:rsidRDefault="005F6494" w:rsidP="000620E1">
      <w:pPr>
        <w:jc w:val="both"/>
        <w:rPr>
          <w:rFonts w:ascii="Bookman Old Style" w:hAnsi="Bookman Old Style"/>
          <w:lang w:val="es-CO"/>
        </w:rPr>
      </w:pPr>
    </w:p>
    <w:p w14:paraId="566B17CC" w14:textId="61E9A920" w:rsidR="005F6494" w:rsidRPr="003A0C90" w:rsidRDefault="007F3DB7" w:rsidP="006335A4">
      <w:pPr>
        <w:jc w:val="both"/>
        <w:rPr>
          <w:rFonts w:ascii="Bookman Old Style" w:hAnsi="Bookman Old Style"/>
          <w:lang w:val="es-CO"/>
        </w:rPr>
      </w:pPr>
      <w:r w:rsidRPr="003A0C90">
        <w:rPr>
          <w:rFonts w:ascii="Bookman Old Style" w:hAnsi="Bookman Old Style"/>
          <w:lang w:val="es-CO"/>
        </w:rPr>
        <w:t xml:space="preserve">En </w:t>
      </w:r>
      <w:r w:rsidRPr="006335A4">
        <w:rPr>
          <w:rFonts w:ascii="Bookman Old Style" w:hAnsi="Bookman Old Style"/>
          <w:lang w:val="es-CO"/>
        </w:rPr>
        <w:t>cualquier caso, l</w:t>
      </w:r>
      <w:r w:rsidR="005F6494" w:rsidRPr="006335A4">
        <w:rPr>
          <w:rFonts w:ascii="Bookman Old Style" w:hAnsi="Bookman Old Style"/>
          <w:lang w:val="es-CO"/>
        </w:rPr>
        <w:t>a oferta de CIDVF deberá estar respaldada</w:t>
      </w:r>
      <w:r w:rsidR="006335A4" w:rsidRPr="006335A4">
        <w:rPr>
          <w:rFonts w:ascii="Bookman Old Style" w:hAnsi="Bookman Old Style"/>
          <w:lang w:val="es-CO"/>
        </w:rPr>
        <w:t xml:space="preserve">, </w:t>
      </w:r>
      <w:r w:rsidR="005F6494" w:rsidRPr="006335A4">
        <w:rPr>
          <w:rFonts w:ascii="Bookman Old Style" w:hAnsi="Bookman Old Style"/>
          <w:lang w:val="es-CO"/>
        </w:rPr>
        <w:t>previamente a la declaración</w:t>
      </w:r>
      <w:r w:rsidRPr="006335A4">
        <w:rPr>
          <w:rFonts w:ascii="Bookman Old Style" w:hAnsi="Bookman Old Style"/>
          <w:lang w:val="es-CO"/>
        </w:rPr>
        <w:t xml:space="preserve"> que s</w:t>
      </w:r>
      <w:r w:rsidR="008D3E62" w:rsidRPr="006335A4">
        <w:rPr>
          <w:rFonts w:ascii="Bookman Old Style" w:hAnsi="Bookman Old Style"/>
          <w:lang w:val="es-CO"/>
        </w:rPr>
        <w:t>e</w:t>
      </w:r>
      <w:r w:rsidRPr="006335A4">
        <w:rPr>
          <w:rFonts w:ascii="Bookman Old Style" w:hAnsi="Bookman Old Style"/>
          <w:lang w:val="es-CO"/>
        </w:rPr>
        <w:t xml:space="preserve"> realice al gestor del mercado</w:t>
      </w:r>
      <w:r w:rsidR="005F6494" w:rsidRPr="006335A4">
        <w:rPr>
          <w:rFonts w:ascii="Bookman Old Style" w:hAnsi="Bookman Old Style"/>
          <w:lang w:val="es-CO"/>
        </w:rPr>
        <w:t xml:space="preserve">, </w:t>
      </w:r>
      <w:r w:rsidR="006335A4" w:rsidRPr="004E7CE4">
        <w:rPr>
          <w:rFonts w:ascii="Bookman Old Style" w:hAnsi="Bookman Old Style" w:cs="Arial"/>
          <w:bCs/>
          <w:color w:val="000000" w:themeColor="text1"/>
          <w:lang w:val="es-CO"/>
        </w:rPr>
        <w:t xml:space="preserve">con contratos que le permitan el acceso y derecho de uso de capacidad suficiente para inyectar </w:t>
      </w:r>
      <w:r w:rsidR="006335A4" w:rsidRPr="004E7CE4">
        <w:rPr>
          <w:rFonts w:ascii="Bookman Old Style" w:hAnsi="Bookman Old Style" w:cs="Arial"/>
          <w:bCs/>
          <w:color w:val="000000" w:themeColor="text1"/>
          <w:lang w:val="es-CO"/>
        </w:rPr>
        <w:lastRenderedPageBreak/>
        <w:t>gas natural proveniente de las infraestructuras de importación de gas natural, con el fin de cumplir con la entrega diaria del suministro garantizado</w:t>
      </w:r>
      <w:r w:rsidR="005F6494" w:rsidRPr="006335A4">
        <w:rPr>
          <w:rFonts w:ascii="Bookman Old Style" w:hAnsi="Bookman Old Style"/>
          <w:lang w:val="es-CO"/>
        </w:rPr>
        <w:t>, ya sea mediante Infraestructuras de Regasificación o mediante Interconexiones Internacionales</w:t>
      </w:r>
      <w:r w:rsidR="005F6494" w:rsidRPr="003A0C90">
        <w:rPr>
          <w:rFonts w:ascii="Bookman Old Style" w:hAnsi="Bookman Old Style"/>
          <w:lang w:val="es-CO"/>
        </w:rPr>
        <w:t xml:space="preserve">, </w:t>
      </w:r>
      <w:r w:rsidR="00477AF1" w:rsidRPr="003A0C90">
        <w:rPr>
          <w:rFonts w:ascii="Bookman Old Style" w:hAnsi="Bookman Old Style"/>
          <w:lang w:val="es-CO"/>
        </w:rPr>
        <w:t>estén o no</w:t>
      </w:r>
      <w:r w:rsidR="005F6494" w:rsidRPr="003A0C90">
        <w:rPr>
          <w:rFonts w:ascii="Bookman Old Style" w:hAnsi="Bookman Old Style"/>
          <w:lang w:val="es-CO"/>
        </w:rPr>
        <w:t xml:space="preserve"> conectadas físicamente al SNT.</w:t>
      </w:r>
    </w:p>
    <w:p w14:paraId="5F544BEF" w14:textId="77777777" w:rsidR="00F77EE1" w:rsidRPr="003A0C90" w:rsidRDefault="00F77EE1" w:rsidP="000620E1">
      <w:pPr>
        <w:jc w:val="both"/>
        <w:rPr>
          <w:rFonts w:ascii="Bookman Old Style" w:hAnsi="Bookman Old Style"/>
          <w:lang w:val="es-CO"/>
        </w:rPr>
      </w:pPr>
    </w:p>
    <w:p w14:paraId="7EB138DD" w14:textId="177D8388" w:rsidR="00F77EE1" w:rsidRPr="003A0C90" w:rsidRDefault="00F77EE1" w:rsidP="000620E1">
      <w:pPr>
        <w:pStyle w:val="Textoindependiente"/>
        <w:ind w:right="99"/>
        <w:jc w:val="both"/>
        <w:rPr>
          <w:rFonts w:ascii="Bookman Old Style" w:hAnsi="Bookman Old Style"/>
          <w:b w:val="0"/>
          <w:bCs w:val="0"/>
        </w:rPr>
      </w:pPr>
      <w:r w:rsidRPr="003A0C90">
        <w:rPr>
          <w:rFonts w:ascii="Bookman Old Style" w:hAnsi="Bookman Old Style"/>
          <w:b w:val="0"/>
          <w:bCs w:val="0"/>
        </w:rPr>
        <w:t xml:space="preserve">El </w:t>
      </w:r>
      <w:r w:rsidR="008F11E3" w:rsidRPr="003A0C90">
        <w:rPr>
          <w:rFonts w:ascii="Bookman Old Style" w:hAnsi="Bookman Old Style"/>
          <w:b w:val="0"/>
          <w:bCs w:val="0"/>
        </w:rPr>
        <w:t>gestor del mercado</w:t>
      </w:r>
      <w:r w:rsidRPr="003A0C90">
        <w:rPr>
          <w:rFonts w:ascii="Bookman Old Style" w:hAnsi="Bookman Old Style"/>
          <w:b w:val="0"/>
          <w:bCs w:val="0"/>
        </w:rPr>
        <w:t xml:space="preserve"> deberá calcular</w:t>
      </w:r>
      <w:r w:rsidR="0094467B" w:rsidRPr="003A0C90">
        <w:rPr>
          <w:rFonts w:ascii="Bookman Old Style" w:hAnsi="Bookman Old Style"/>
          <w:b w:val="0"/>
          <w:bCs w:val="0"/>
        </w:rPr>
        <w:t xml:space="preserve"> </w:t>
      </w:r>
      <w:r w:rsidR="0038511B" w:rsidRPr="003A0C90">
        <w:rPr>
          <w:rFonts w:ascii="Bookman Old Style" w:hAnsi="Bookman Old Style"/>
          <w:b w:val="0"/>
          <w:bCs w:val="0"/>
        </w:rPr>
        <w:t>y publicar diariamente</w:t>
      </w:r>
      <w:r w:rsidRPr="003A0C90">
        <w:rPr>
          <w:rFonts w:ascii="Bookman Old Style" w:hAnsi="Bookman Old Style"/>
          <w:b w:val="0"/>
          <w:bCs w:val="0"/>
        </w:rPr>
        <w:t xml:space="preserve"> </w:t>
      </w:r>
      <w:r w:rsidR="00523C27" w:rsidRPr="003A0C90">
        <w:rPr>
          <w:rFonts w:ascii="Bookman Old Style" w:hAnsi="Bookman Old Style"/>
          <w:b w:val="0"/>
          <w:bCs w:val="0"/>
        </w:rPr>
        <w:t xml:space="preserve">las cantidades diarias promedio mes remanentes </w:t>
      </w:r>
      <w:r w:rsidR="00523C27">
        <w:rPr>
          <w:rFonts w:ascii="Bookman Old Style" w:hAnsi="Bookman Old Style"/>
          <w:b w:val="0"/>
          <w:bCs w:val="0"/>
        </w:rPr>
        <w:t xml:space="preserve">de </w:t>
      </w:r>
      <w:r w:rsidRPr="003A0C90">
        <w:rPr>
          <w:rFonts w:ascii="Bookman Old Style" w:hAnsi="Bookman Old Style"/>
          <w:b w:val="0"/>
          <w:bCs w:val="0"/>
        </w:rPr>
        <w:t>la PTDV y/o CIDV</w:t>
      </w:r>
      <w:r w:rsidR="0015747F" w:rsidRPr="003A0C90">
        <w:rPr>
          <w:rFonts w:ascii="Bookman Old Style" w:hAnsi="Bookman Old Style"/>
          <w:b w:val="0"/>
          <w:bCs w:val="0"/>
        </w:rPr>
        <w:t>,</w:t>
      </w:r>
      <w:r w:rsidRPr="003A0C90">
        <w:rPr>
          <w:rFonts w:ascii="Bookman Old Style" w:hAnsi="Bookman Old Style"/>
          <w:b w:val="0"/>
          <w:bCs w:val="0"/>
        </w:rPr>
        <w:t xml:space="preserve"> </w:t>
      </w:r>
      <w:r w:rsidR="0007130B" w:rsidRPr="003A0C90">
        <w:rPr>
          <w:rFonts w:ascii="Bookman Old Style" w:hAnsi="Bookman Old Style"/>
          <w:b w:val="0"/>
          <w:bCs w:val="0"/>
        </w:rPr>
        <w:t xml:space="preserve">para </w:t>
      </w:r>
      <w:r w:rsidR="00523C27">
        <w:rPr>
          <w:rFonts w:ascii="Bookman Old Style" w:hAnsi="Bookman Old Style"/>
          <w:b w:val="0"/>
          <w:bCs w:val="0"/>
        </w:rPr>
        <w:t xml:space="preserve">cada uno de </w:t>
      </w:r>
      <w:r w:rsidR="0007130B" w:rsidRPr="003A0C90">
        <w:rPr>
          <w:rFonts w:ascii="Bookman Old Style" w:hAnsi="Bookman Old Style"/>
          <w:b w:val="0"/>
          <w:bCs w:val="0"/>
        </w:rPr>
        <w:t>los siguientes sesenta (60) meses</w:t>
      </w:r>
      <w:r w:rsidR="00067504" w:rsidRPr="003A0C90">
        <w:rPr>
          <w:rFonts w:ascii="Bookman Old Style" w:hAnsi="Bookman Old Style"/>
          <w:b w:val="0"/>
          <w:bCs w:val="0"/>
        </w:rPr>
        <w:t>,</w:t>
      </w:r>
      <w:r w:rsidRPr="003A0C90">
        <w:rPr>
          <w:rFonts w:ascii="Bookman Old Style" w:hAnsi="Bookman Old Style"/>
          <w:b w:val="0"/>
          <w:bCs w:val="0"/>
        </w:rPr>
        <w:t xml:space="preserve"> </w:t>
      </w:r>
      <w:r w:rsidR="00067504" w:rsidRPr="003A0C90">
        <w:rPr>
          <w:rFonts w:ascii="Bookman Old Style" w:hAnsi="Bookman Old Style"/>
          <w:b w:val="0"/>
          <w:bCs w:val="0"/>
        </w:rPr>
        <w:t>de</w:t>
      </w:r>
      <w:r w:rsidRPr="003A0C90">
        <w:rPr>
          <w:rFonts w:ascii="Bookman Old Style" w:hAnsi="Bookman Old Style"/>
          <w:b w:val="0"/>
          <w:bCs w:val="0"/>
        </w:rPr>
        <w:t xml:space="preserve"> cada fuente de suministro, tomando el valor de la PTDV y/o CIDV de la más reciente declaración de producción publicada por el Ministerio de Minas y Energía para dicho campo y descontando las cantidades que se han registrado en contratos de tipo firme, desde esa fecha de publicación</w:t>
      </w:r>
      <w:r w:rsidRPr="003A0C90">
        <w:rPr>
          <w:rFonts w:ascii="Bookman Old Style" w:hAnsi="Bookman Old Style"/>
          <w:b w:val="0"/>
          <w:bCs w:val="0"/>
          <w:spacing w:val="-2"/>
        </w:rPr>
        <w:t xml:space="preserve"> </w:t>
      </w:r>
      <w:r w:rsidRPr="003A0C90">
        <w:rPr>
          <w:rFonts w:ascii="Bookman Old Style" w:hAnsi="Bookman Old Style"/>
          <w:b w:val="0"/>
          <w:bCs w:val="0"/>
        </w:rPr>
        <w:t>del</w:t>
      </w:r>
      <w:r w:rsidRPr="003A0C90">
        <w:rPr>
          <w:rFonts w:ascii="Bookman Old Style" w:hAnsi="Bookman Old Style"/>
          <w:b w:val="0"/>
          <w:bCs w:val="0"/>
          <w:spacing w:val="-2"/>
        </w:rPr>
        <w:t xml:space="preserve"> </w:t>
      </w:r>
      <w:r w:rsidRPr="003A0C90">
        <w:rPr>
          <w:rFonts w:ascii="Bookman Old Style" w:hAnsi="Bookman Old Style"/>
          <w:b w:val="0"/>
          <w:bCs w:val="0"/>
        </w:rPr>
        <w:t>Ministerio</w:t>
      </w:r>
      <w:r w:rsidRPr="003A0C90">
        <w:rPr>
          <w:rFonts w:ascii="Bookman Old Style" w:hAnsi="Bookman Old Style"/>
          <w:b w:val="0"/>
          <w:bCs w:val="0"/>
          <w:spacing w:val="-2"/>
        </w:rPr>
        <w:t xml:space="preserve"> </w:t>
      </w:r>
      <w:r w:rsidRPr="003A0C90">
        <w:rPr>
          <w:rFonts w:ascii="Bookman Old Style" w:hAnsi="Bookman Old Style"/>
          <w:b w:val="0"/>
          <w:bCs w:val="0"/>
        </w:rPr>
        <w:t>de</w:t>
      </w:r>
      <w:r w:rsidRPr="003A0C90">
        <w:rPr>
          <w:rFonts w:ascii="Bookman Old Style" w:hAnsi="Bookman Old Style"/>
          <w:b w:val="0"/>
          <w:bCs w:val="0"/>
          <w:spacing w:val="-2"/>
        </w:rPr>
        <w:t xml:space="preserve"> </w:t>
      </w:r>
      <w:r w:rsidRPr="003A0C90">
        <w:rPr>
          <w:rFonts w:ascii="Bookman Old Style" w:hAnsi="Bookman Old Style"/>
          <w:b w:val="0"/>
          <w:bCs w:val="0"/>
        </w:rPr>
        <w:t>Minas</w:t>
      </w:r>
      <w:r w:rsidRPr="003A0C90">
        <w:rPr>
          <w:rFonts w:ascii="Bookman Old Style" w:hAnsi="Bookman Old Style"/>
          <w:b w:val="0"/>
          <w:bCs w:val="0"/>
          <w:spacing w:val="-2"/>
        </w:rPr>
        <w:t xml:space="preserve"> </w:t>
      </w:r>
      <w:r w:rsidRPr="003A0C90">
        <w:rPr>
          <w:rFonts w:ascii="Bookman Old Style" w:hAnsi="Bookman Old Style"/>
          <w:b w:val="0"/>
          <w:bCs w:val="0"/>
        </w:rPr>
        <w:t>y Energía</w:t>
      </w:r>
      <w:r w:rsidRPr="003A0C90">
        <w:rPr>
          <w:rFonts w:ascii="Bookman Old Style" w:hAnsi="Bookman Old Style"/>
          <w:b w:val="0"/>
          <w:bCs w:val="0"/>
          <w:spacing w:val="-2"/>
        </w:rPr>
        <w:t xml:space="preserve"> </w:t>
      </w:r>
      <w:r w:rsidRPr="003A0C90">
        <w:rPr>
          <w:rFonts w:ascii="Bookman Old Style" w:hAnsi="Bookman Old Style"/>
          <w:b w:val="0"/>
          <w:bCs w:val="0"/>
        </w:rPr>
        <w:t>hasta</w:t>
      </w:r>
      <w:r w:rsidRPr="003A0C90">
        <w:rPr>
          <w:rFonts w:ascii="Bookman Old Style" w:hAnsi="Bookman Old Style"/>
          <w:b w:val="0"/>
          <w:bCs w:val="0"/>
          <w:spacing w:val="-2"/>
        </w:rPr>
        <w:t xml:space="preserve"> </w:t>
      </w:r>
      <w:r w:rsidRPr="003A0C90">
        <w:rPr>
          <w:rFonts w:ascii="Bookman Old Style" w:hAnsi="Bookman Old Style"/>
          <w:b w:val="0"/>
          <w:bCs w:val="0"/>
        </w:rPr>
        <w:t>el</w:t>
      </w:r>
      <w:r w:rsidRPr="003A0C90">
        <w:rPr>
          <w:rFonts w:ascii="Bookman Old Style" w:hAnsi="Bookman Old Style"/>
          <w:b w:val="0"/>
          <w:bCs w:val="0"/>
          <w:spacing w:val="-2"/>
        </w:rPr>
        <w:t xml:space="preserve"> </w:t>
      </w:r>
      <w:r w:rsidRPr="003A0C90">
        <w:rPr>
          <w:rFonts w:ascii="Bookman Old Style" w:hAnsi="Bookman Old Style"/>
          <w:b w:val="0"/>
          <w:bCs w:val="0"/>
        </w:rPr>
        <w:t>día hábil</w:t>
      </w:r>
      <w:r w:rsidRPr="003A0C90">
        <w:rPr>
          <w:rFonts w:ascii="Bookman Old Style" w:hAnsi="Bookman Old Style"/>
          <w:b w:val="0"/>
          <w:bCs w:val="0"/>
          <w:spacing w:val="-2"/>
        </w:rPr>
        <w:t xml:space="preserve"> </w:t>
      </w:r>
      <w:r w:rsidRPr="003A0C90">
        <w:rPr>
          <w:rFonts w:ascii="Bookman Old Style" w:hAnsi="Bookman Old Style"/>
          <w:b w:val="0"/>
          <w:bCs w:val="0"/>
        </w:rPr>
        <w:t>anterior</w:t>
      </w:r>
      <w:r w:rsidRPr="003A0C90">
        <w:rPr>
          <w:rFonts w:ascii="Bookman Old Style" w:hAnsi="Bookman Old Style"/>
          <w:b w:val="0"/>
          <w:bCs w:val="0"/>
          <w:spacing w:val="-2"/>
        </w:rPr>
        <w:t xml:space="preserve"> </w:t>
      </w:r>
      <w:r w:rsidRPr="003A0C90">
        <w:rPr>
          <w:rFonts w:ascii="Bookman Old Style" w:hAnsi="Bookman Old Style"/>
          <w:b w:val="0"/>
          <w:bCs w:val="0"/>
        </w:rPr>
        <w:t>al</w:t>
      </w:r>
      <w:r w:rsidRPr="003A0C90">
        <w:rPr>
          <w:rFonts w:ascii="Bookman Old Style" w:hAnsi="Bookman Old Style"/>
          <w:b w:val="0"/>
          <w:bCs w:val="0"/>
          <w:spacing w:val="-2"/>
        </w:rPr>
        <w:t xml:space="preserve"> </w:t>
      </w:r>
      <w:r w:rsidRPr="003A0C90">
        <w:rPr>
          <w:rFonts w:ascii="Bookman Old Style" w:hAnsi="Bookman Old Style"/>
          <w:b w:val="0"/>
          <w:bCs w:val="0"/>
        </w:rPr>
        <w:t>día de la publicación de la actualización diaria.</w:t>
      </w:r>
    </w:p>
    <w:p w14:paraId="6FDF66FA" w14:textId="77777777" w:rsidR="00F77EE1" w:rsidRPr="003A0C90" w:rsidRDefault="00F77EE1" w:rsidP="000620E1">
      <w:pPr>
        <w:pStyle w:val="Textoindependiente"/>
        <w:rPr>
          <w:rFonts w:ascii="Bookman Old Style" w:hAnsi="Bookman Old Style"/>
          <w:b w:val="0"/>
          <w:bCs w:val="0"/>
        </w:rPr>
      </w:pPr>
    </w:p>
    <w:p w14:paraId="687E65DA" w14:textId="2FCFAAB1" w:rsidR="00F77EE1" w:rsidRPr="003A0C90" w:rsidRDefault="00F77EE1" w:rsidP="000620E1">
      <w:pPr>
        <w:pStyle w:val="Textoindependiente"/>
        <w:ind w:right="100"/>
        <w:jc w:val="both"/>
        <w:rPr>
          <w:rFonts w:ascii="Bookman Old Style" w:hAnsi="Bookman Old Style"/>
          <w:b w:val="0"/>
          <w:bCs w:val="0"/>
        </w:rPr>
      </w:pPr>
      <w:r w:rsidRPr="003A0C90">
        <w:rPr>
          <w:rFonts w:ascii="Bookman Old Style" w:hAnsi="Bookman Old Style"/>
          <w:b w:val="0"/>
          <w:bCs w:val="0"/>
        </w:rPr>
        <w:t>El</w:t>
      </w:r>
      <w:r w:rsidRPr="003A0C90">
        <w:rPr>
          <w:rFonts w:ascii="Bookman Old Style" w:hAnsi="Bookman Old Style"/>
          <w:b w:val="0"/>
          <w:bCs w:val="0"/>
          <w:spacing w:val="-20"/>
        </w:rPr>
        <w:t xml:space="preserve"> </w:t>
      </w:r>
      <w:r w:rsidR="008F11E3" w:rsidRPr="003A0C90">
        <w:rPr>
          <w:rFonts w:ascii="Bookman Old Style" w:hAnsi="Bookman Old Style"/>
          <w:b w:val="0"/>
          <w:bCs w:val="0"/>
        </w:rPr>
        <w:t>gestor del mercado</w:t>
      </w:r>
      <w:r w:rsidRPr="003A0C90">
        <w:rPr>
          <w:rFonts w:ascii="Bookman Old Style" w:hAnsi="Bookman Old Style"/>
          <w:b w:val="0"/>
          <w:bCs w:val="0"/>
          <w:spacing w:val="-19"/>
        </w:rPr>
        <w:t xml:space="preserve"> </w:t>
      </w:r>
      <w:r w:rsidRPr="003A0C90">
        <w:rPr>
          <w:rFonts w:ascii="Bookman Old Style" w:hAnsi="Bookman Old Style"/>
          <w:b w:val="0"/>
          <w:bCs w:val="0"/>
        </w:rPr>
        <w:t>deberá</w:t>
      </w:r>
      <w:r w:rsidRPr="003A0C90">
        <w:rPr>
          <w:rFonts w:ascii="Bookman Old Style" w:hAnsi="Bookman Old Style"/>
          <w:b w:val="0"/>
          <w:bCs w:val="0"/>
          <w:spacing w:val="-19"/>
        </w:rPr>
        <w:t xml:space="preserve"> </w:t>
      </w:r>
      <w:r w:rsidRPr="003A0C90">
        <w:rPr>
          <w:rFonts w:ascii="Bookman Old Style" w:hAnsi="Bookman Old Style"/>
          <w:b w:val="0"/>
          <w:bCs w:val="0"/>
        </w:rPr>
        <w:t>calcular</w:t>
      </w:r>
      <w:r w:rsidRPr="003A0C90">
        <w:rPr>
          <w:rFonts w:ascii="Bookman Old Style" w:hAnsi="Bookman Old Style"/>
          <w:b w:val="0"/>
          <w:bCs w:val="0"/>
          <w:spacing w:val="-20"/>
        </w:rPr>
        <w:t xml:space="preserve"> </w:t>
      </w:r>
      <w:r w:rsidR="00494F81" w:rsidRPr="003A0C90">
        <w:rPr>
          <w:rFonts w:ascii="Bookman Old Style" w:hAnsi="Bookman Old Style"/>
          <w:b w:val="0"/>
          <w:bCs w:val="0"/>
        </w:rPr>
        <w:t xml:space="preserve">y publicar diariamente </w:t>
      </w:r>
      <w:r w:rsidR="00853A63" w:rsidRPr="003A0C90">
        <w:rPr>
          <w:rFonts w:ascii="Bookman Old Style" w:hAnsi="Bookman Old Style"/>
          <w:b w:val="0"/>
          <w:bCs w:val="0"/>
        </w:rPr>
        <w:t xml:space="preserve">las cantidades diarias promedio mes remanentes, para </w:t>
      </w:r>
      <w:r w:rsidR="00853A63">
        <w:rPr>
          <w:rFonts w:ascii="Bookman Old Style" w:hAnsi="Bookman Old Style"/>
          <w:b w:val="0"/>
          <w:bCs w:val="0"/>
        </w:rPr>
        <w:t xml:space="preserve">cada uno de </w:t>
      </w:r>
      <w:r w:rsidR="00853A63" w:rsidRPr="003A0C90">
        <w:rPr>
          <w:rFonts w:ascii="Bookman Old Style" w:hAnsi="Bookman Old Style"/>
          <w:b w:val="0"/>
          <w:bCs w:val="0"/>
        </w:rPr>
        <w:t xml:space="preserve">los siguientes sesenta (60) meses </w:t>
      </w:r>
      <w:r w:rsidR="00853A63">
        <w:rPr>
          <w:rFonts w:ascii="Bookman Old Style" w:hAnsi="Bookman Old Style"/>
          <w:b w:val="0"/>
          <w:bCs w:val="0"/>
        </w:rPr>
        <w:t xml:space="preserve">de </w:t>
      </w:r>
      <w:r w:rsidRPr="003A0C90">
        <w:rPr>
          <w:rFonts w:ascii="Bookman Old Style" w:hAnsi="Bookman Old Style"/>
          <w:b w:val="0"/>
          <w:bCs w:val="0"/>
        </w:rPr>
        <w:t>la</w:t>
      </w:r>
      <w:r w:rsidRPr="003A0C90">
        <w:rPr>
          <w:rFonts w:ascii="Bookman Old Style" w:hAnsi="Bookman Old Style"/>
          <w:b w:val="0"/>
          <w:bCs w:val="0"/>
          <w:spacing w:val="-19"/>
        </w:rPr>
        <w:t xml:space="preserve"> </w:t>
      </w:r>
      <w:r w:rsidRPr="003A0C90">
        <w:rPr>
          <w:rFonts w:ascii="Bookman Old Style" w:hAnsi="Bookman Old Style"/>
          <w:b w:val="0"/>
          <w:bCs w:val="0"/>
        </w:rPr>
        <w:t>PTDVF</w:t>
      </w:r>
      <w:r w:rsidRPr="003A0C90">
        <w:rPr>
          <w:rFonts w:ascii="Bookman Old Style" w:hAnsi="Bookman Old Style"/>
          <w:b w:val="0"/>
          <w:bCs w:val="0"/>
          <w:spacing w:val="-19"/>
        </w:rPr>
        <w:t xml:space="preserve"> </w:t>
      </w:r>
      <w:r w:rsidRPr="003A0C90">
        <w:rPr>
          <w:rFonts w:ascii="Bookman Old Style" w:hAnsi="Bookman Old Style"/>
          <w:b w:val="0"/>
          <w:bCs w:val="0"/>
        </w:rPr>
        <w:t>y/o</w:t>
      </w:r>
      <w:r w:rsidRPr="003A0C90">
        <w:rPr>
          <w:rFonts w:ascii="Bookman Old Style" w:hAnsi="Bookman Old Style"/>
          <w:b w:val="0"/>
          <w:bCs w:val="0"/>
          <w:spacing w:val="-19"/>
        </w:rPr>
        <w:t xml:space="preserve"> </w:t>
      </w:r>
      <w:r w:rsidRPr="003A0C90">
        <w:rPr>
          <w:rFonts w:ascii="Bookman Old Style" w:hAnsi="Bookman Old Style"/>
          <w:b w:val="0"/>
          <w:bCs w:val="0"/>
        </w:rPr>
        <w:t>CIDVF</w:t>
      </w:r>
      <w:r w:rsidR="00494F81" w:rsidRPr="003A0C90">
        <w:rPr>
          <w:rFonts w:ascii="Bookman Old Style" w:hAnsi="Bookman Old Style"/>
          <w:b w:val="0"/>
          <w:bCs w:val="0"/>
        </w:rPr>
        <w:t xml:space="preserve">, de </w:t>
      </w:r>
      <w:r w:rsidRPr="003A0C90">
        <w:rPr>
          <w:rFonts w:ascii="Bookman Old Style" w:hAnsi="Bookman Old Style"/>
          <w:b w:val="0"/>
          <w:bCs w:val="0"/>
        </w:rPr>
        <w:t>cada</w:t>
      </w:r>
      <w:r w:rsidRPr="003A0C90">
        <w:rPr>
          <w:rFonts w:ascii="Bookman Old Style" w:hAnsi="Bookman Old Style"/>
          <w:b w:val="0"/>
          <w:bCs w:val="0"/>
          <w:spacing w:val="-16"/>
        </w:rPr>
        <w:t xml:space="preserve"> </w:t>
      </w:r>
      <w:r w:rsidRPr="003A0C90">
        <w:rPr>
          <w:rFonts w:ascii="Bookman Old Style" w:hAnsi="Bookman Old Style"/>
          <w:b w:val="0"/>
          <w:bCs w:val="0"/>
        </w:rPr>
        <w:t>fuente</w:t>
      </w:r>
      <w:r w:rsidRPr="003A0C90">
        <w:rPr>
          <w:rFonts w:ascii="Bookman Old Style" w:hAnsi="Bookman Old Style"/>
          <w:b w:val="0"/>
          <w:bCs w:val="0"/>
          <w:spacing w:val="-17"/>
        </w:rPr>
        <w:t xml:space="preserve"> </w:t>
      </w:r>
      <w:r w:rsidRPr="003A0C90">
        <w:rPr>
          <w:rFonts w:ascii="Bookman Old Style" w:hAnsi="Bookman Old Style"/>
          <w:b w:val="0"/>
          <w:bCs w:val="0"/>
        </w:rPr>
        <w:t>de</w:t>
      </w:r>
      <w:r w:rsidRPr="003A0C90">
        <w:rPr>
          <w:rFonts w:ascii="Bookman Old Style" w:hAnsi="Bookman Old Style"/>
          <w:b w:val="0"/>
          <w:bCs w:val="0"/>
          <w:spacing w:val="-17"/>
        </w:rPr>
        <w:t xml:space="preserve"> </w:t>
      </w:r>
      <w:r w:rsidRPr="003A0C90">
        <w:rPr>
          <w:rFonts w:ascii="Bookman Old Style" w:hAnsi="Bookman Old Style"/>
          <w:b w:val="0"/>
          <w:bCs w:val="0"/>
        </w:rPr>
        <w:t>suministro,</w:t>
      </w:r>
      <w:r w:rsidRPr="003A0C90">
        <w:rPr>
          <w:rFonts w:ascii="Bookman Old Style" w:hAnsi="Bookman Old Style"/>
          <w:b w:val="0"/>
          <w:bCs w:val="0"/>
          <w:spacing w:val="-17"/>
        </w:rPr>
        <w:t xml:space="preserve"> </w:t>
      </w:r>
      <w:r w:rsidRPr="003A0C90">
        <w:rPr>
          <w:rFonts w:ascii="Bookman Old Style" w:hAnsi="Bookman Old Style"/>
          <w:b w:val="0"/>
          <w:bCs w:val="0"/>
        </w:rPr>
        <w:t>tomando</w:t>
      </w:r>
      <w:r w:rsidRPr="003A0C90">
        <w:rPr>
          <w:rFonts w:ascii="Bookman Old Style" w:hAnsi="Bookman Old Style"/>
          <w:b w:val="0"/>
          <w:bCs w:val="0"/>
          <w:spacing w:val="-17"/>
        </w:rPr>
        <w:t xml:space="preserve"> </w:t>
      </w:r>
      <w:r w:rsidRPr="003A0C90">
        <w:rPr>
          <w:rFonts w:ascii="Bookman Old Style" w:hAnsi="Bookman Old Style"/>
          <w:b w:val="0"/>
          <w:bCs w:val="0"/>
        </w:rPr>
        <w:t>el</w:t>
      </w:r>
      <w:r w:rsidRPr="003A0C90">
        <w:rPr>
          <w:rFonts w:ascii="Bookman Old Style" w:hAnsi="Bookman Old Style"/>
          <w:b w:val="0"/>
          <w:bCs w:val="0"/>
          <w:spacing w:val="-17"/>
        </w:rPr>
        <w:t xml:space="preserve"> </w:t>
      </w:r>
      <w:r w:rsidRPr="003A0C90">
        <w:rPr>
          <w:rFonts w:ascii="Bookman Old Style" w:hAnsi="Bookman Old Style"/>
          <w:b w:val="0"/>
          <w:bCs w:val="0"/>
        </w:rPr>
        <w:t>valor</w:t>
      </w:r>
      <w:r w:rsidRPr="003A0C90">
        <w:rPr>
          <w:rFonts w:ascii="Bookman Old Style" w:hAnsi="Bookman Old Style"/>
          <w:b w:val="0"/>
          <w:bCs w:val="0"/>
          <w:spacing w:val="-17"/>
        </w:rPr>
        <w:t xml:space="preserve"> </w:t>
      </w:r>
      <w:r w:rsidRPr="003A0C90">
        <w:rPr>
          <w:rFonts w:ascii="Bookman Old Style" w:hAnsi="Bookman Old Style"/>
          <w:b w:val="0"/>
          <w:bCs w:val="0"/>
        </w:rPr>
        <w:t>de</w:t>
      </w:r>
      <w:r w:rsidRPr="003A0C90">
        <w:rPr>
          <w:rFonts w:ascii="Bookman Old Style" w:hAnsi="Bookman Old Style"/>
          <w:b w:val="0"/>
          <w:bCs w:val="0"/>
          <w:spacing w:val="-17"/>
        </w:rPr>
        <w:t xml:space="preserve"> </w:t>
      </w:r>
      <w:r w:rsidRPr="003A0C90">
        <w:rPr>
          <w:rFonts w:ascii="Bookman Old Style" w:hAnsi="Bookman Old Style"/>
          <w:b w:val="0"/>
          <w:bCs w:val="0"/>
        </w:rPr>
        <w:t>la</w:t>
      </w:r>
      <w:r w:rsidRPr="003A0C90">
        <w:rPr>
          <w:rFonts w:ascii="Bookman Old Style" w:hAnsi="Bookman Old Style"/>
          <w:b w:val="0"/>
          <w:bCs w:val="0"/>
          <w:spacing w:val="-17"/>
        </w:rPr>
        <w:t xml:space="preserve"> </w:t>
      </w:r>
      <w:r w:rsidRPr="003A0C90">
        <w:rPr>
          <w:rFonts w:ascii="Bookman Old Style" w:hAnsi="Bookman Old Style"/>
          <w:b w:val="0"/>
          <w:bCs w:val="0"/>
        </w:rPr>
        <w:t>PTDVF</w:t>
      </w:r>
      <w:r w:rsidRPr="003A0C90">
        <w:rPr>
          <w:rFonts w:ascii="Bookman Old Style" w:hAnsi="Bookman Old Style"/>
          <w:b w:val="0"/>
          <w:bCs w:val="0"/>
          <w:spacing w:val="-17"/>
        </w:rPr>
        <w:t xml:space="preserve"> </w:t>
      </w:r>
      <w:r w:rsidRPr="003A0C90">
        <w:rPr>
          <w:rFonts w:ascii="Bookman Old Style" w:hAnsi="Bookman Old Style"/>
          <w:b w:val="0"/>
          <w:bCs w:val="0"/>
        </w:rPr>
        <w:t>y/o</w:t>
      </w:r>
      <w:r w:rsidRPr="003A0C90">
        <w:rPr>
          <w:rFonts w:ascii="Bookman Old Style" w:hAnsi="Bookman Old Style"/>
          <w:b w:val="0"/>
          <w:bCs w:val="0"/>
          <w:spacing w:val="-17"/>
        </w:rPr>
        <w:t xml:space="preserve"> </w:t>
      </w:r>
      <w:r w:rsidRPr="003A0C90">
        <w:rPr>
          <w:rFonts w:ascii="Bookman Old Style" w:hAnsi="Bookman Old Style"/>
          <w:b w:val="0"/>
          <w:bCs w:val="0"/>
        </w:rPr>
        <w:t xml:space="preserve">CIDVF de la más reciente declaración presentada por el vendedor al </w:t>
      </w:r>
      <w:r w:rsidR="008F11E3" w:rsidRPr="003A0C90">
        <w:rPr>
          <w:rFonts w:ascii="Bookman Old Style" w:hAnsi="Bookman Old Style"/>
          <w:b w:val="0"/>
          <w:bCs w:val="0"/>
        </w:rPr>
        <w:t>gestor del mercado</w:t>
      </w:r>
      <w:r w:rsidRPr="003A0C90">
        <w:rPr>
          <w:rFonts w:ascii="Bookman Old Style" w:hAnsi="Bookman Old Style"/>
          <w:b w:val="0"/>
          <w:bCs w:val="0"/>
        </w:rPr>
        <w:t xml:space="preserve"> y descontando las cantidades que se han registrado en contratos de</w:t>
      </w:r>
      <w:r w:rsidRPr="003A0C90">
        <w:rPr>
          <w:rFonts w:ascii="Bookman Old Style" w:hAnsi="Bookman Old Style"/>
          <w:b w:val="0"/>
          <w:bCs w:val="0"/>
          <w:spacing w:val="-19"/>
        </w:rPr>
        <w:t xml:space="preserve"> </w:t>
      </w:r>
      <w:r w:rsidRPr="003A0C90">
        <w:rPr>
          <w:rFonts w:ascii="Bookman Old Style" w:hAnsi="Bookman Old Style"/>
          <w:b w:val="0"/>
          <w:bCs w:val="0"/>
        </w:rPr>
        <w:t>tipo</w:t>
      </w:r>
      <w:r w:rsidRPr="003A0C90">
        <w:rPr>
          <w:rFonts w:ascii="Bookman Old Style" w:hAnsi="Bookman Old Style"/>
          <w:b w:val="0"/>
          <w:bCs w:val="0"/>
          <w:spacing w:val="-19"/>
        </w:rPr>
        <w:t xml:space="preserve"> </w:t>
      </w:r>
      <w:r w:rsidRPr="003A0C90">
        <w:rPr>
          <w:rFonts w:ascii="Bookman Old Style" w:hAnsi="Bookman Old Style"/>
          <w:b w:val="0"/>
          <w:bCs w:val="0"/>
        </w:rPr>
        <w:t>firme,</w:t>
      </w:r>
      <w:r w:rsidRPr="003A0C90">
        <w:rPr>
          <w:rFonts w:ascii="Bookman Old Style" w:hAnsi="Bookman Old Style"/>
          <w:b w:val="0"/>
          <w:bCs w:val="0"/>
          <w:spacing w:val="-19"/>
        </w:rPr>
        <w:t xml:space="preserve"> </w:t>
      </w:r>
      <w:r w:rsidRPr="003A0C90">
        <w:rPr>
          <w:rFonts w:ascii="Bookman Old Style" w:hAnsi="Bookman Old Style"/>
          <w:b w:val="0"/>
          <w:bCs w:val="0"/>
        </w:rPr>
        <w:t>desde</w:t>
      </w:r>
      <w:r w:rsidRPr="003A0C90">
        <w:rPr>
          <w:rFonts w:ascii="Bookman Old Style" w:hAnsi="Bookman Old Style"/>
          <w:b w:val="0"/>
          <w:bCs w:val="0"/>
          <w:spacing w:val="-19"/>
        </w:rPr>
        <w:t xml:space="preserve"> </w:t>
      </w:r>
      <w:r w:rsidRPr="003A0C90">
        <w:rPr>
          <w:rFonts w:ascii="Bookman Old Style" w:hAnsi="Bookman Old Style"/>
          <w:b w:val="0"/>
          <w:bCs w:val="0"/>
        </w:rPr>
        <w:t>esa</w:t>
      </w:r>
      <w:r w:rsidRPr="003A0C90">
        <w:rPr>
          <w:rFonts w:ascii="Bookman Old Style" w:hAnsi="Bookman Old Style"/>
          <w:b w:val="0"/>
          <w:bCs w:val="0"/>
          <w:spacing w:val="-20"/>
        </w:rPr>
        <w:t xml:space="preserve"> </w:t>
      </w:r>
      <w:r w:rsidRPr="003A0C90">
        <w:rPr>
          <w:rFonts w:ascii="Bookman Old Style" w:hAnsi="Bookman Old Style"/>
          <w:b w:val="0"/>
          <w:bCs w:val="0"/>
        </w:rPr>
        <w:t>fecha</w:t>
      </w:r>
      <w:r w:rsidRPr="003A0C90">
        <w:rPr>
          <w:rFonts w:ascii="Bookman Old Style" w:hAnsi="Bookman Old Style"/>
          <w:b w:val="0"/>
          <w:bCs w:val="0"/>
          <w:spacing w:val="-19"/>
        </w:rPr>
        <w:t xml:space="preserve"> </w:t>
      </w:r>
      <w:r w:rsidRPr="003A0C90">
        <w:rPr>
          <w:rFonts w:ascii="Bookman Old Style" w:hAnsi="Bookman Old Style"/>
          <w:b w:val="0"/>
          <w:bCs w:val="0"/>
        </w:rPr>
        <w:t>de</w:t>
      </w:r>
      <w:r w:rsidRPr="003A0C90">
        <w:rPr>
          <w:rFonts w:ascii="Bookman Old Style" w:hAnsi="Bookman Old Style"/>
          <w:b w:val="0"/>
          <w:bCs w:val="0"/>
          <w:spacing w:val="-19"/>
        </w:rPr>
        <w:t xml:space="preserve"> </w:t>
      </w:r>
      <w:r w:rsidRPr="003A0C90">
        <w:rPr>
          <w:rFonts w:ascii="Bookman Old Style" w:hAnsi="Bookman Old Style"/>
          <w:b w:val="0"/>
          <w:bCs w:val="0"/>
        </w:rPr>
        <w:t>declaración</w:t>
      </w:r>
      <w:r w:rsidRPr="003A0C90">
        <w:rPr>
          <w:rFonts w:ascii="Bookman Old Style" w:hAnsi="Bookman Old Style"/>
          <w:b w:val="0"/>
          <w:bCs w:val="0"/>
          <w:spacing w:val="-19"/>
        </w:rPr>
        <w:t xml:space="preserve"> </w:t>
      </w:r>
      <w:r w:rsidRPr="003A0C90">
        <w:rPr>
          <w:rFonts w:ascii="Bookman Old Style" w:hAnsi="Bookman Old Style"/>
          <w:b w:val="0"/>
          <w:bCs w:val="0"/>
        </w:rPr>
        <w:t>al</w:t>
      </w:r>
      <w:r w:rsidRPr="003A0C90">
        <w:rPr>
          <w:rFonts w:ascii="Bookman Old Style" w:hAnsi="Bookman Old Style"/>
          <w:b w:val="0"/>
          <w:bCs w:val="0"/>
          <w:spacing w:val="-19"/>
        </w:rPr>
        <w:t xml:space="preserve"> </w:t>
      </w:r>
      <w:r w:rsidR="008F11E3" w:rsidRPr="003A0C90">
        <w:rPr>
          <w:rFonts w:ascii="Bookman Old Style" w:hAnsi="Bookman Old Style"/>
          <w:b w:val="0"/>
          <w:bCs w:val="0"/>
        </w:rPr>
        <w:t>gestor del mercado</w:t>
      </w:r>
      <w:r w:rsidRPr="003A0C90">
        <w:rPr>
          <w:rFonts w:ascii="Bookman Old Style" w:hAnsi="Bookman Old Style"/>
          <w:b w:val="0"/>
          <w:bCs w:val="0"/>
        </w:rPr>
        <w:t xml:space="preserve"> hasta el día hábil anterior al día de la publicación de la actualización diaria.</w:t>
      </w:r>
    </w:p>
    <w:bookmarkEnd w:id="12"/>
    <w:p w14:paraId="04EAAB4E" w14:textId="77777777" w:rsidR="00B63AD3" w:rsidRPr="0013707D" w:rsidRDefault="00B63AD3" w:rsidP="000620E1">
      <w:pPr>
        <w:ind w:left="2126" w:hanging="1418"/>
        <w:rPr>
          <w:rFonts w:ascii="Bookman Old Style" w:hAnsi="Bookman Old Style"/>
          <w:lang w:val="es-CO"/>
        </w:rPr>
      </w:pPr>
    </w:p>
    <w:p w14:paraId="39BA94A5" w14:textId="6C315E26" w:rsidR="00B63AD3" w:rsidRPr="0013707D" w:rsidRDefault="00B63AD3" w:rsidP="000620E1">
      <w:pPr>
        <w:widowControl w:val="0"/>
        <w:jc w:val="both"/>
        <w:rPr>
          <w:rFonts w:ascii="Bookman Old Style" w:hAnsi="Bookman Old Style"/>
          <w:color w:val="000000" w:themeColor="text1"/>
          <w:lang w:val="es-CO"/>
        </w:rPr>
      </w:pPr>
      <w:r w:rsidRPr="0013707D">
        <w:rPr>
          <w:rFonts w:ascii="Bookman Old Style" w:hAnsi="Bookman Old Style"/>
          <w:b/>
          <w:bCs/>
          <w:color w:val="000000" w:themeColor="text1"/>
          <w:lang w:val="es-CO"/>
        </w:rPr>
        <w:t xml:space="preserve">Parágrafo. </w:t>
      </w:r>
      <w:r w:rsidRPr="0013707D">
        <w:rPr>
          <w:rFonts w:ascii="Bookman Old Style" w:hAnsi="Bookman Old Style"/>
          <w:bCs/>
          <w:color w:val="000000" w:themeColor="text1"/>
          <w:lang w:val="es-CO"/>
        </w:rPr>
        <w:t>L</w:t>
      </w:r>
      <w:r w:rsidRPr="0013707D">
        <w:rPr>
          <w:rFonts w:ascii="Bookman Old Style" w:hAnsi="Bookman Old Style"/>
          <w:color w:val="000000" w:themeColor="text1"/>
          <w:lang w:val="es-CO"/>
        </w:rPr>
        <w:t xml:space="preserve">a oferta de </w:t>
      </w:r>
      <w:r w:rsidRPr="003A0C90">
        <w:rPr>
          <w:rFonts w:ascii="Bookman Old Style" w:hAnsi="Bookman Old Style"/>
          <w:color w:val="000000" w:themeColor="text1"/>
          <w:lang w:val="es-CO"/>
        </w:rPr>
        <w:t>PTDVF o la oferta de CIDVF,</w:t>
      </w:r>
      <w:r w:rsidR="000E65C0" w:rsidRPr="003A0C90">
        <w:rPr>
          <w:rFonts w:ascii="Bookman Old Style" w:hAnsi="Bookman Old Style"/>
          <w:color w:val="000000" w:themeColor="text1"/>
          <w:lang w:val="es-CO"/>
        </w:rPr>
        <w:t xml:space="preserve"> de una misma fuente de suministro</w:t>
      </w:r>
      <w:r w:rsidRPr="003A0C90">
        <w:rPr>
          <w:rFonts w:ascii="Bookman Old Style" w:hAnsi="Bookman Old Style"/>
          <w:color w:val="000000" w:themeColor="text1"/>
          <w:lang w:val="es-CO"/>
        </w:rPr>
        <w:t xml:space="preserve"> según corresponda, no deberá contener oferta comprometida firme, </w:t>
      </w:r>
      <m:oMath>
        <m:r>
          <w:rPr>
            <w:rFonts w:ascii="Cambria Math" w:hAnsi="Cambria Math"/>
            <w:color w:val="000000" w:themeColor="text1"/>
            <w:lang w:val="es-CO"/>
          </w:rPr>
          <m:t>OCF</m:t>
        </m:r>
      </m:oMath>
      <w:r w:rsidRPr="003A0C90">
        <w:rPr>
          <w:rFonts w:ascii="Bookman Old Style" w:hAnsi="Bookman Old Style"/>
          <w:color w:val="000000" w:themeColor="text1"/>
          <w:lang w:val="es-CO"/>
        </w:rPr>
        <w:t xml:space="preserve">. En el </w:t>
      </w:r>
      <w:r w:rsidRPr="003A0C90">
        <w:rPr>
          <w:rFonts w:ascii="Bookman Old Style" w:hAnsi="Bookman Old Style"/>
          <w:color w:val="000000" w:themeColor="text1"/>
          <w:lang w:val="es-CO"/>
        </w:rPr>
        <w:fldChar w:fldCharType="begin"/>
      </w:r>
      <w:r w:rsidRPr="003A0C90">
        <w:rPr>
          <w:rFonts w:ascii="Bookman Old Style" w:hAnsi="Bookman Old Style"/>
          <w:color w:val="000000" w:themeColor="text1"/>
          <w:lang w:val="es-CO"/>
        </w:rPr>
        <w:instrText xml:space="preserve"> REF _Ref442880148 \h  \* MERGEFORMAT </w:instrText>
      </w:r>
      <w:r w:rsidRPr="003A0C90">
        <w:rPr>
          <w:rFonts w:ascii="Bookman Old Style" w:hAnsi="Bookman Old Style"/>
          <w:color w:val="000000" w:themeColor="text1"/>
          <w:lang w:val="es-CO"/>
        </w:rPr>
      </w:r>
      <w:r w:rsidRPr="003A0C90">
        <w:rPr>
          <w:rFonts w:ascii="Bookman Old Style" w:hAnsi="Bookman Old Style"/>
          <w:color w:val="000000" w:themeColor="text1"/>
          <w:lang w:val="es-CO"/>
        </w:rPr>
        <w:fldChar w:fldCharType="separate"/>
      </w:r>
      <w:r w:rsidRPr="003A0C90">
        <w:rPr>
          <w:rFonts w:ascii="Bookman Old Style" w:hAnsi="Bookman Old Style"/>
          <w:color w:val="000000" w:themeColor="text1"/>
          <w:lang w:val="es-CO"/>
        </w:rPr>
        <w:t xml:space="preserve">Anexo </w:t>
      </w:r>
      <w:r w:rsidRPr="003A0C90">
        <w:rPr>
          <w:rFonts w:ascii="Bookman Old Style" w:hAnsi="Bookman Old Style"/>
          <w:noProof/>
          <w:color w:val="000000" w:themeColor="text1"/>
          <w:lang w:val="es-CO"/>
        </w:rPr>
        <w:t>7</w:t>
      </w:r>
      <w:r w:rsidRPr="003A0C90">
        <w:rPr>
          <w:rFonts w:ascii="Bookman Old Style" w:hAnsi="Bookman Old Style"/>
          <w:color w:val="000000" w:themeColor="text1"/>
          <w:lang w:val="es-CO"/>
        </w:rPr>
        <w:fldChar w:fldCharType="end"/>
      </w:r>
      <w:r w:rsidRPr="003A0C90">
        <w:rPr>
          <w:rFonts w:ascii="Bookman Old Style" w:hAnsi="Bookman Old Style"/>
          <w:color w:val="000000" w:themeColor="text1"/>
          <w:lang w:val="es-CO"/>
        </w:rPr>
        <w:t xml:space="preserve"> de esta Resolución se establece la forma de cálculo de la oferta comprometida firme, </w:t>
      </w:r>
      <m:oMath>
        <m:r>
          <w:rPr>
            <w:rFonts w:ascii="Cambria Math" w:hAnsi="Cambria Math"/>
            <w:color w:val="000000" w:themeColor="text1"/>
            <w:lang w:val="es-CO"/>
          </w:rPr>
          <m:t>OCF</m:t>
        </m:r>
      </m:oMath>
      <w:r w:rsidRPr="003A0C90">
        <w:rPr>
          <w:rFonts w:ascii="Bookman Old Style" w:hAnsi="Bookman Old Style"/>
          <w:color w:val="000000" w:themeColor="text1"/>
          <w:lang w:val="es-CO"/>
        </w:rPr>
        <w:t>.</w:t>
      </w:r>
    </w:p>
    <w:p w14:paraId="45E55874" w14:textId="77777777" w:rsidR="00B63AD3" w:rsidRPr="0013707D" w:rsidRDefault="00B63AD3" w:rsidP="000620E1">
      <w:pPr>
        <w:ind w:left="1275"/>
        <w:rPr>
          <w:rFonts w:ascii="Bookman Old Style" w:hAnsi="Bookman Old Style"/>
          <w:lang w:val="es-CO"/>
        </w:rPr>
      </w:pPr>
    </w:p>
    <w:p w14:paraId="090A67AE" w14:textId="47624D01" w:rsidR="00F92642" w:rsidRDefault="00F92642" w:rsidP="000620E1">
      <w:pPr>
        <w:pStyle w:val="ARTICULOS"/>
        <w:numPr>
          <w:ilvl w:val="0"/>
          <w:numId w:val="0"/>
        </w:numPr>
        <w:tabs>
          <w:tab w:val="clear" w:pos="1559"/>
        </w:tabs>
        <w:outlineLvl w:val="0"/>
        <w:rPr>
          <w:bCs w:val="0"/>
          <w:lang w:val="es-ES"/>
        </w:rPr>
      </w:pPr>
      <w:r w:rsidRPr="007F520F">
        <w:rPr>
          <w:b/>
          <w:lang w:val="es-ES"/>
        </w:rPr>
        <w:t xml:space="preserve">ARTICULO </w:t>
      </w:r>
      <w:r w:rsidR="00175FDC" w:rsidRPr="007F520F">
        <w:rPr>
          <w:b/>
          <w:lang w:val="es-ES"/>
        </w:rPr>
        <w:t>1</w:t>
      </w:r>
      <w:r w:rsidR="00EA447E" w:rsidRPr="007F520F">
        <w:rPr>
          <w:b/>
          <w:lang w:val="es-ES"/>
        </w:rPr>
        <w:t>1</w:t>
      </w:r>
      <w:r w:rsidRPr="007F520F">
        <w:rPr>
          <w:b/>
          <w:lang w:val="es-ES"/>
        </w:rPr>
        <w:t>.</w:t>
      </w:r>
      <w:r w:rsidRPr="007F520F">
        <w:rPr>
          <w:bCs w:val="0"/>
          <w:lang w:val="es-ES"/>
        </w:rPr>
        <w:t xml:space="preserve"> </w:t>
      </w:r>
      <w:r w:rsidR="001502BF" w:rsidRPr="003A0C90">
        <w:rPr>
          <w:bCs w:val="0"/>
          <w:lang w:val="es-ES"/>
        </w:rPr>
        <w:t xml:space="preserve">Adicionar el parágrafo 2 </w:t>
      </w:r>
      <w:r w:rsidR="004416DE" w:rsidRPr="003A0C90">
        <w:rPr>
          <w:bCs w:val="0"/>
          <w:lang w:val="es-ES"/>
        </w:rPr>
        <w:t xml:space="preserve">y el parágrafo 3 </w:t>
      </w:r>
      <w:r w:rsidR="001502BF" w:rsidRPr="003A0C90">
        <w:rPr>
          <w:bCs w:val="0"/>
          <w:lang w:val="es-ES"/>
        </w:rPr>
        <w:t>al</w:t>
      </w:r>
      <w:r w:rsidRPr="003A0C90">
        <w:rPr>
          <w:bCs w:val="0"/>
          <w:lang w:val="es-ES"/>
        </w:rPr>
        <w:t xml:space="preserve"> </w:t>
      </w:r>
      <w:r w:rsidR="008F11E3" w:rsidRPr="003A0C90">
        <w:rPr>
          <w:bCs w:val="0"/>
          <w:lang w:val="es-ES"/>
        </w:rPr>
        <w:t>artículo</w:t>
      </w:r>
      <w:r w:rsidRPr="003A0C90">
        <w:rPr>
          <w:bCs w:val="0"/>
          <w:lang w:val="es-ES"/>
        </w:rPr>
        <w:t xml:space="preserve"> </w:t>
      </w:r>
      <w:r w:rsidR="005C2AC2" w:rsidRPr="003A0C90">
        <w:rPr>
          <w:bCs w:val="0"/>
          <w:lang w:val="es-ES"/>
        </w:rPr>
        <w:t>33</w:t>
      </w:r>
      <w:r w:rsidRPr="003A0C90">
        <w:rPr>
          <w:bCs w:val="0"/>
          <w:lang w:val="es-ES"/>
        </w:rPr>
        <w:t xml:space="preserve"> de la Resolución CREG 186 de 2020, </w:t>
      </w:r>
      <w:r w:rsidR="004416DE" w:rsidRPr="003A0C90">
        <w:rPr>
          <w:bCs w:val="0"/>
          <w:lang w:val="es-ES"/>
        </w:rPr>
        <w:t>los cuales</w:t>
      </w:r>
      <w:r w:rsidRPr="003A0C90">
        <w:rPr>
          <w:bCs w:val="0"/>
          <w:lang w:val="es-ES"/>
        </w:rPr>
        <w:t xml:space="preserve"> quedará</w:t>
      </w:r>
      <w:r w:rsidR="004416DE" w:rsidRPr="003A0C90">
        <w:rPr>
          <w:bCs w:val="0"/>
          <w:lang w:val="es-ES"/>
        </w:rPr>
        <w:t>n</w:t>
      </w:r>
      <w:r w:rsidRPr="003A0C90">
        <w:rPr>
          <w:bCs w:val="0"/>
          <w:lang w:val="es-ES"/>
        </w:rPr>
        <w:t xml:space="preserve"> así:</w:t>
      </w:r>
    </w:p>
    <w:p w14:paraId="3720285E" w14:textId="77777777" w:rsidR="003A0C90" w:rsidRDefault="003A0C90" w:rsidP="000620E1">
      <w:pPr>
        <w:jc w:val="both"/>
        <w:rPr>
          <w:rFonts w:ascii="Bookman Old Style" w:hAnsi="Bookman Old Style"/>
          <w:b/>
          <w:bCs/>
        </w:rPr>
      </w:pPr>
    </w:p>
    <w:p w14:paraId="174CCECC" w14:textId="0F63F56A" w:rsidR="001502BF" w:rsidRDefault="001502BF" w:rsidP="000620E1">
      <w:pPr>
        <w:jc w:val="both"/>
        <w:rPr>
          <w:rFonts w:ascii="Bookman Old Style" w:hAnsi="Bookman Old Style"/>
        </w:rPr>
      </w:pPr>
      <w:r w:rsidRPr="003A0C90">
        <w:rPr>
          <w:rFonts w:ascii="Bookman Old Style" w:hAnsi="Bookman Old Style"/>
          <w:b/>
          <w:bCs/>
        </w:rPr>
        <w:t>Parágrafo 2.</w:t>
      </w:r>
      <w:r w:rsidRPr="003A0C90">
        <w:rPr>
          <w:rFonts w:ascii="Bookman Old Style" w:hAnsi="Bookman Old Style"/>
        </w:rPr>
        <w:t xml:space="preserve"> A partir del 1 de diciembre de 2024, excepto para los casos de contratos de tipo firme para ser ejecutados en cualesquiera de los tres (3) días hábiles siguientes al día de su registro ante el </w:t>
      </w:r>
      <w:r w:rsidR="008F11E3" w:rsidRPr="003A0C90">
        <w:rPr>
          <w:rFonts w:ascii="Bookman Old Style" w:hAnsi="Bookman Old Style"/>
        </w:rPr>
        <w:t>gestor del mercado</w:t>
      </w:r>
      <w:r w:rsidRPr="003A0C90">
        <w:rPr>
          <w:rFonts w:ascii="Bookman Old Style" w:hAnsi="Bookman Old Style"/>
        </w:rPr>
        <w:t xml:space="preserve"> y siempre y cuando el contrato haya sido negociado dentro de los  tres (3) días hábiles antes de su registro, todos los agentes que deseen hacer negociaciones directas en el </w:t>
      </w:r>
      <w:r w:rsidR="00587384" w:rsidRPr="003A0C90">
        <w:rPr>
          <w:rFonts w:ascii="Bookman Old Style" w:hAnsi="Bookman Old Style"/>
        </w:rPr>
        <w:t>mercado secundario</w:t>
      </w:r>
      <w:r w:rsidRPr="003A0C90">
        <w:rPr>
          <w:rFonts w:ascii="Bookman Old Style" w:hAnsi="Bookman Old Style"/>
        </w:rPr>
        <w:t xml:space="preserve">, están obligados a entregar la información </w:t>
      </w:r>
      <w:r w:rsidR="00CF140E">
        <w:rPr>
          <w:rFonts w:ascii="Bookman Old Style" w:hAnsi="Bookman Old Style"/>
        </w:rPr>
        <w:t xml:space="preserve">establecida </w:t>
      </w:r>
      <w:r w:rsidRPr="003A0C90">
        <w:rPr>
          <w:rFonts w:ascii="Bookman Old Style" w:hAnsi="Bookman Old Style"/>
        </w:rPr>
        <w:t xml:space="preserve">en este artículo, antes de </w:t>
      </w:r>
      <w:r w:rsidR="00CE66FC">
        <w:rPr>
          <w:rFonts w:ascii="Bookman Old Style" w:hAnsi="Bookman Old Style"/>
        </w:rPr>
        <w:t>adelantar</w:t>
      </w:r>
      <w:r w:rsidR="00CE66FC" w:rsidRPr="003A0C90">
        <w:rPr>
          <w:rFonts w:ascii="Bookman Old Style" w:hAnsi="Bookman Old Style"/>
        </w:rPr>
        <w:t xml:space="preserve"> </w:t>
      </w:r>
      <w:r w:rsidRPr="003A0C90">
        <w:rPr>
          <w:rFonts w:ascii="Bookman Old Style" w:hAnsi="Bookman Old Style"/>
        </w:rPr>
        <w:t xml:space="preserve">cualquier negociación de compraventa y, en el caso de los vendedores, adicionalmente deberán informar si el gas es de origen nacional u obtenido en el exterior. En caso de no cumplirse con estos requisitos, el </w:t>
      </w:r>
      <w:r w:rsidR="008F11E3" w:rsidRPr="003A0C90">
        <w:rPr>
          <w:rFonts w:ascii="Bookman Old Style" w:hAnsi="Bookman Old Style"/>
        </w:rPr>
        <w:t>gestor del mercado</w:t>
      </w:r>
      <w:r w:rsidRPr="003A0C90">
        <w:rPr>
          <w:rFonts w:ascii="Bookman Old Style" w:hAnsi="Bookman Old Style"/>
        </w:rPr>
        <w:t xml:space="preserve"> deberá informarlo a las partes, abstenerse de registrar el contrato y </w:t>
      </w:r>
      <w:proofErr w:type="gramStart"/>
      <w:r w:rsidRPr="003A0C90">
        <w:rPr>
          <w:rFonts w:ascii="Bookman Old Style" w:hAnsi="Bookman Old Style"/>
        </w:rPr>
        <w:t>dar aviso</w:t>
      </w:r>
      <w:proofErr w:type="gramEnd"/>
      <w:r w:rsidRPr="003A0C90">
        <w:rPr>
          <w:rFonts w:ascii="Bookman Old Style" w:hAnsi="Bookman Old Style"/>
        </w:rPr>
        <w:t xml:space="preserve"> a las autoridades de vigilancia y control.</w:t>
      </w:r>
    </w:p>
    <w:p w14:paraId="2185AD06" w14:textId="77777777" w:rsidR="009D5244" w:rsidRPr="003A0C90" w:rsidRDefault="009D5244" w:rsidP="000620E1">
      <w:pPr>
        <w:jc w:val="both"/>
        <w:rPr>
          <w:rFonts w:ascii="Bookman Old Style" w:hAnsi="Bookman Old Style"/>
        </w:rPr>
      </w:pPr>
    </w:p>
    <w:p w14:paraId="34934E40" w14:textId="59A9630E" w:rsidR="001502BF" w:rsidRDefault="001502BF" w:rsidP="000620E1">
      <w:pPr>
        <w:jc w:val="both"/>
        <w:rPr>
          <w:rFonts w:ascii="Bookman Old Style" w:hAnsi="Bookman Old Style"/>
        </w:rPr>
      </w:pPr>
      <w:r w:rsidRPr="003A0C90">
        <w:rPr>
          <w:rFonts w:ascii="Bookman Old Style" w:hAnsi="Bookman Old Style"/>
        </w:rPr>
        <w:t xml:space="preserve">Una vez publicada la información recibida por el </w:t>
      </w:r>
      <w:r w:rsidR="008F11E3" w:rsidRPr="003A0C90">
        <w:rPr>
          <w:rFonts w:ascii="Bookman Old Style" w:hAnsi="Bookman Old Style"/>
        </w:rPr>
        <w:t>gestor del mercado</w:t>
      </w:r>
      <w:r w:rsidRPr="003A0C90">
        <w:rPr>
          <w:rFonts w:ascii="Bookman Old Style" w:hAnsi="Bookman Old Style"/>
        </w:rPr>
        <w:t xml:space="preserve">, los agentes podrán hacer uso de otras plataformas para realizar las negociaciones directas, como se establece en el artículo 34 de la </w:t>
      </w:r>
      <w:r w:rsidR="009D5244">
        <w:rPr>
          <w:rFonts w:ascii="Bookman Old Style" w:hAnsi="Bookman Old Style"/>
        </w:rPr>
        <w:t xml:space="preserve">presente </w:t>
      </w:r>
      <w:r w:rsidRPr="003A0C90">
        <w:rPr>
          <w:rFonts w:ascii="Bookman Old Style" w:hAnsi="Bookman Old Style"/>
        </w:rPr>
        <w:t>resolución.</w:t>
      </w:r>
    </w:p>
    <w:p w14:paraId="5319A520" w14:textId="77777777" w:rsidR="005356CF" w:rsidRPr="003A0C90" w:rsidRDefault="005356CF" w:rsidP="000620E1">
      <w:pPr>
        <w:jc w:val="both"/>
        <w:rPr>
          <w:rFonts w:ascii="Bookman Old Style" w:hAnsi="Bookman Old Style"/>
        </w:rPr>
      </w:pPr>
    </w:p>
    <w:p w14:paraId="705C8C09" w14:textId="03F51D23" w:rsidR="004416DE" w:rsidRPr="003A0C90" w:rsidRDefault="004416DE" w:rsidP="000620E1">
      <w:pPr>
        <w:jc w:val="both"/>
        <w:rPr>
          <w:rFonts w:ascii="Bookman Old Style" w:hAnsi="Bookman Old Style"/>
        </w:rPr>
      </w:pPr>
      <w:r w:rsidRPr="003A0C90">
        <w:rPr>
          <w:rFonts w:ascii="Bookman Old Style" w:hAnsi="Bookman Old Style"/>
          <w:b/>
          <w:bCs/>
        </w:rPr>
        <w:lastRenderedPageBreak/>
        <w:t>Parágrafo 3.</w:t>
      </w:r>
      <w:r w:rsidRPr="003A0C90">
        <w:rPr>
          <w:rFonts w:ascii="Bookman Old Style" w:hAnsi="Bookman Old Style"/>
        </w:rPr>
        <w:t xml:space="preserve"> Las cantidades de suministro excedentarias contratadas por un comercializador en el </w:t>
      </w:r>
      <w:r w:rsidR="00587384" w:rsidRPr="003A0C90">
        <w:rPr>
          <w:rFonts w:ascii="Bookman Old Style" w:hAnsi="Bookman Old Style"/>
        </w:rPr>
        <w:t>mercado primario</w:t>
      </w:r>
      <w:r w:rsidRPr="003A0C90">
        <w:rPr>
          <w:rFonts w:ascii="Bookman Old Style" w:hAnsi="Bookman Old Style"/>
        </w:rPr>
        <w:t xml:space="preserve"> o en el </w:t>
      </w:r>
      <w:r w:rsidR="00587384" w:rsidRPr="003A0C90">
        <w:rPr>
          <w:rFonts w:ascii="Bookman Old Style" w:hAnsi="Bookman Old Style"/>
        </w:rPr>
        <w:t>mercado secundario</w:t>
      </w:r>
      <w:r w:rsidRPr="003A0C90">
        <w:rPr>
          <w:rFonts w:ascii="Bookman Old Style" w:hAnsi="Bookman Old Style"/>
        </w:rPr>
        <w:t xml:space="preserve">, registradas para atender a la demanda regulada, deberán ser ofrecidas en primera instancia a los compradores del </w:t>
      </w:r>
      <w:r w:rsidR="00587384" w:rsidRPr="003A0C90">
        <w:rPr>
          <w:rFonts w:ascii="Bookman Old Style" w:hAnsi="Bookman Old Style"/>
        </w:rPr>
        <w:t>mercado secundario</w:t>
      </w:r>
      <w:r w:rsidRPr="003A0C90">
        <w:rPr>
          <w:rFonts w:ascii="Bookman Old Style" w:hAnsi="Bookman Old Style"/>
        </w:rPr>
        <w:t xml:space="preserve"> que solicitan el suministro para atender directamente la demanda regulada de sus propios mercados de comercialización. En el caso de empresas comercializadoras en que exista vinculación económica, se podrán negociar prioritariamente dichas cantidades entre ellas, aplicando lo establecido en el </w:t>
      </w:r>
      <w:r w:rsidR="00746F74" w:rsidRPr="003A0C90">
        <w:rPr>
          <w:rFonts w:ascii="Bookman Old Style" w:hAnsi="Bookman Old Style"/>
        </w:rPr>
        <w:t>artículo</w:t>
      </w:r>
      <w:r w:rsidRPr="003A0C90">
        <w:rPr>
          <w:rFonts w:ascii="Bookman Old Style" w:hAnsi="Bookman Old Style"/>
        </w:rPr>
        <w:t xml:space="preserve"> 4 de la Resolución CREG 112 de 2007.</w:t>
      </w:r>
    </w:p>
    <w:p w14:paraId="0F40EF4D" w14:textId="77777777" w:rsidR="004416DE" w:rsidRPr="003A0C90" w:rsidRDefault="004416DE" w:rsidP="000620E1">
      <w:pPr>
        <w:jc w:val="both"/>
        <w:rPr>
          <w:rFonts w:ascii="Bookman Old Style" w:hAnsi="Bookman Old Style"/>
        </w:rPr>
      </w:pPr>
    </w:p>
    <w:p w14:paraId="60412227" w14:textId="6E9014AA" w:rsidR="00366315" w:rsidRDefault="00366315" w:rsidP="000620E1">
      <w:pPr>
        <w:pStyle w:val="ARTICULOS"/>
        <w:numPr>
          <w:ilvl w:val="0"/>
          <w:numId w:val="0"/>
        </w:numPr>
        <w:tabs>
          <w:tab w:val="clear" w:pos="1559"/>
        </w:tabs>
        <w:outlineLvl w:val="0"/>
        <w:rPr>
          <w:bCs w:val="0"/>
          <w:lang w:val="es-ES"/>
        </w:rPr>
      </w:pPr>
      <w:r w:rsidRPr="007F520F">
        <w:rPr>
          <w:b/>
          <w:lang w:val="es-ES"/>
        </w:rPr>
        <w:t xml:space="preserve">ARTICULO </w:t>
      </w:r>
      <w:r w:rsidR="00F43433" w:rsidRPr="007F520F">
        <w:rPr>
          <w:b/>
          <w:lang w:val="es-ES"/>
        </w:rPr>
        <w:t>1</w:t>
      </w:r>
      <w:r w:rsidR="00EA447E" w:rsidRPr="007F520F">
        <w:rPr>
          <w:b/>
          <w:lang w:val="es-ES"/>
        </w:rPr>
        <w:t>2</w:t>
      </w:r>
      <w:r w:rsidRPr="007F520F">
        <w:rPr>
          <w:b/>
          <w:lang w:val="es-ES"/>
        </w:rPr>
        <w:t>.</w:t>
      </w:r>
      <w:r w:rsidRPr="007F520F">
        <w:rPr>
          <w:bCs w:val="0"/>
          <w:lang w:val="es-ES"/>
        </w:rPr>
        <w:t xml:space="preserve"> </w:t>
      </w:r>
      <w:r w:rsidRPr="003A0C90">
        <w:rPr>
          <w:bCs w:val="0"/>
          <w:lang w:val="es-ES"/>
        </w:rPr>
        <w:t xml:space="preserve">Modificar el </w:t>
      </w:r>
      <w:r w:rsidR="0047746F" w:rsidRPr="003A0C90">
        <w:rPr>
          <w:bCs w:val="0"/>
          <w:lang w:val="es-ES"/>
        </w:rPr>
        <w:t>literal A. del artículo 40 de la Resolución CREG 186 de 2020</w:t>
      </w:r>
      <w:r w:rsidRPr="003A0C90">
        <w:rPr>
          <w:bCs w:val="0"/>
          <w:lang w:val="es-ES"/>
        </w:rPr>
        <w:t xml:space="preserve">, </w:t>
      </w:r>
      <w:r w:rsidR="0047746F" w:rsidRPr="003A0C90">
        <w:rPr>
          <w:bCs w:val="0"/>
          <w:lang w:val="es-ES"/>
        </w:rPr>
        <w:t>el cual</w:t>
      </w:r>
      <w:r w:rsidRPr="003A0C90">
        <w:rPr>
          <w:bCs w:val="0"/>
          <w:lang w:val="es-ES"/>
        </w:rPr>
        <w:t xml:space="preserve"> quedará así:</w:t>
      </w:r>
    </w:p>
    <w:p w14:paraId="43BA61A7" w14:textId="77777777" w:rsidR="00366315" w:rsidRPr="0047746F" w:rsidRDefault="00366315" w:rsidP="000620E1">
      <w:pPr>
        <w:jc w:val="both"/>
        <w:rPr>
          <w:rFonts w:ascii="Bookman Old Style" w:hAnsi="Bookman Old Style"/>
          <w:b/>
        </w:rPr>
      </w:pPr>
    </w:p>
    <w:p w14:paraId="52A74BF7" w14:textId="54F38834" w:rsidR="0047746F" w:rsidRPr="003A0C90" w:rsidRDefault="0047746F" w:rsidP="000620E1">
      <w:pPr>
        <w:pStyle w:val="Prrafodelista"/>
        <w:numPr>
          <w:ilvl w:val="0"/>
          <w:numId w:val="34"/>
        </w:numPr>
        <w:tabs>
          <w:tab w:val="left" w:pos="1560"/>
        </w:tabs>
        <w:ind w:left="1134" w:hanging="567"/>
        <w:jc w:val="both"/>
        <w:rPr>
          <w:rFonts w:ascii="Bookman Old Style" w:hAnsi="Bookman Old Style"/>
          <w:bCs/>
          <w:sz w:val="24"/>
          <w:szCs w:val="24"/>
        </w:rPr>
      </w:pPr>
      <w:r w:rsidRPr="003A0C90">
        <w:rPr>
          <w:rFonts w:ascii="Bookman Old Style" w:hAnsi="Bookman Old Style"/>
          <w:b/>
          <w:sz w:val="24"/>
          <w:szCs w:val="24"/>
        </w:rPr>
        <w:t xml:space="preserve">Negociación de contratos con interrupciones del </w:t>
      </w:r>
      <w:r w:rsidR="00587384" w:rsidRPr="003A0C90">
        <w:rPr>
          <w:rFonts w:ascii="Bookman Old Style" w:hAnsi="Bookman Old Style"/>
          <w:b/>
          <w:sz w:val="24"/>
          <w:szCs w:val="24"/>
        </w:rPr>
        <w:t>mercado primario</w:t>
      </w:r>
      <w:r w:rsidRPr="003A0C90">
        <w:rPr>
          <w:rFonts w:ascii="Bookman Old Style" w:hAnsi="Bookman Old Style"/>
          <w:b/>
          <w:sz w:val="24"/>
          <w:szCs w:val="24"/>
        </w:rPr>
        <w:t>.</w:t>
      </w:r>
      <w:r w:rsidRPr="003A0C90">
        <w:rPr>
          <w:rFonts w:ascii="Bookman Old Style" w:hAnsi="Bookman Old Style"/>
          <w:bCs/>
          <w:sz w:val="24"/>
          <w:szCs w:val="24"/>
        </w:rPr>
        <w:t xml:space="preserve"> Los vendedores y compradores del </w:t>
      </w:r>
      <w:r w:rsidR="00587384" w:rsidRPr="003A0C90">
        <w:rPr>
          <w:rFonts w:ascii="Bookman Old Style" w:hAnsi="Bookman Old Style"/>
          <w:bCs/>
          <w:sz w:val="24"/>
          <w:szCs w:val="24"/>
        </w:rPr>
        <w:t>mercado primario</w:t>
      </w:r>
      <w:r w:rsidRPr="003A0C90">
        <w:rPr>
          <w:rFonts w:ascii="Bookman Old Style" w:hAnsi="Bookman Old Style"/>
          <w:bCs/>
          <w:sz w:val="24"/>
          <w:szCs w:val="24"/>
        </w:rPr>
        <w:t xml:space="preserve"> podrán negociar directamente contratos con interrupciones en el mes previo al mes de inicio de su ejecución. </w:t>
      </w:r>
    </w:p>
    <w:p w14:paraId="771A246F" w14:textId="77777777" w:rsidR="0047746F" w:rsidRPr="003A0C90" w:rsidRDefault="0047746F" w:rsidP="000620E1">
      <w:pPr>
        <w:tabs>
          <w:tab w:val="left" w:pos="1560"/>
        </w:tabs>
        <w:ind w:left="142"/>
        <w:rPr>
          <w:rFonts w:ascii="Bookman Old Style" w:hAnsi="Bookman Old Style"/>
          <w:bCs/>
        </w:rPr>
      </w:pPr>
    </w:p>
    <w:p w14:paraId="4EA79F9D" w14:textId="689500B9" w:rsidR="0047746F" w:rsidRDefault="006C5ACE" w:rsidP="000620E1">
      <w:pPr>
        <w:tabs>
          <w:tab w:val="left" w:pos="1560"/>
        </w:tabs>
        <w:ind w:left="1134"/>
        <w:jc w:val="both"/>
        <w:rPr>
          <w:rFonts w:ascii="Bookman Old Style" w:hAnsi="Bookman Old Style"/>
          <w:bCs/>
        </w:rPr>
      </w:pPr>
      <w:r>
        <w:rPr>
          <w:rFonts w:ascii="Bookman Old Style" w:hAnsi="Bookman Old Style"/>
          <w:bCs/>
        </w:rPr>
        <w:t>Para efectos de lo anterior, e</w:t>
      </w:r>
      <w:r w:rsidR="0047746F" w:rsidRPr="003A0C90">
        <w:rPr>
          <w:rFonts w:ascii="Bookman Old Style" w:hAnsi="Bookman Old Style"/>
          <w:bCs/>
        </w:rPr>
        <w:t xml:space="preserve">n ningún caso un vendedor del </w:t>
      </w:r>
      <w:r w:rsidR="00587384" w:rsidRPr="003A0C90">
        <w:rPr>
          <w:rFonts w:ascii="Bookman Old Style" w:hAnsi="Bookman Old Style"/>
          <w:bCs/>
        </w:rPr>
        <w:t>mercado primario</w:t>
      </w:r>
      <w:r w:rsidR="0047746F" w:rsidRPr="003A0C90">
        <w:rPr>
          <w:rFonts w:ascii="Bookman Old Style" w:hAnsi="Bookman Old Style"/>
          <w:bCs/>
        </w:rPr>
        <w:t xml:space="preserve"> podrá registrar en un solo contrato con interrupciones, una cantidad superior a la PTDV remanente de la fuente de suministro del contrato</w:t>
      </w:r>
      <w:r w:rsidR="008331EF">
        <w:rPr>
          <w:rFonts w:ascii="Bookman Old Style" w:hAnsi="Bookman Old Style"/>
          <w:bCs/>
        </w:rPr>
        <w:t>,</w:t>
      </w:r>
      <w:r w:rsidR="0047746F" w:rsidRPr="003A0C90">
        <w:rPr>
          <w:rFonts w:ascii="Bookman Old Style" w:hAnsi="Bookman Old Style"/>
          <w:bCs/>
        </w:rPr>
        <w:t xml:space="preserve"> para el período de ejecución </w:t>
      </w:r>
      <w:proofErr w:type="gramStart"/>
      <w:r w:rsidR="0047746F" w:rsidRPr="003A0C90">
        <w:rPr>
          <w:rFonts w:ascii="Bookman Old Style" w:hAnsi="Bookman Old Style"/>
          <w:bCs/>
        </w:rPr>
        <w:t>del mismo</w:t>
      </w:r>
      <w:proofErr w:type="gramEnd"/>
      <w:r w:rsidR="0047746F" w:rsidRPr="003A0C90">
        <w:rPr>
          <w:rFonts w:ascii="Bookman Old Style" w:hAnsi="Bookman Old Style"/>
          <w:bCs/>
        </w:rPr>
        <w:t xml:space="preserve">. Sin embargo, la suma de las cantidades de los contratos con interrupciones de una misma fuente de suministro podrá ser superior a la PTDV remanente de dicha fuente para el período de ejecución de </w:t>
      </w:r>
      <w:proofErr w:type="gramStart"/>
      <w:r w:rsidR="0047746F" w:rsidRPr="003A0C90">
        <w:rPr>
          <w:rFonts w:ascii="Bookman Old Style" w:hAnsi="Bookman Old Style"/>
          <w:bCs/>
        </w:rPr>
        <w:t>los mismos</w:t>
      </w:r>
      <w:proofErr w:type="gramEnd"/>
      <w:r w:rsidR="0047746F" w:rsidRPr="003A0C90">
        <w:rPr>
          <w:rFonts w:ascii="Bookman Old Style" w:hAnsi="Bookman Old Style"/>
          <w:bCs/>
        </w:rPr>
        <w:t xml:space="preserve">. </w:t>
      </w:r>
    </w:p>
    <w:p w14:paraId="1F97A2A2" w14:textId="77777777" w:rsidR="008331EF" w:rsidRDefault="008331EF" w:rsidP="000620E1">
      <w:pPr>
        <w:tabs>
          <w:tab w:val="left" w:pos="1560"/>
        </w:tabs>
        <w:ind w:left="1134"/>
        <w:jc w:val="both"/>
        <w:rPr>
          <w:rFonts w:ascii="Bookman Old Style" w:hAnsi="Bookman Old Style"/>
          <w:bCs/>
        </w:rPr>
      </w:pPr>
    </w:p>
    <w:p w14:paraId="15ADD0C6" w14:textId="62FB8B93" w:rsidR="008331EF" w:rsidRPr="003A0C90" w:rsidRDefault="008331EF" w:rsidP="000620E1">
      <w:pPr>
        <w:tabs>
          <w:tab w:val="left" w:pos="1560"/>
        </w:tabs>
        <w:ind w:left="1134"/>
        <w:jc w:val="both"/>
        <w:rPr>
          <w:bCs/>
        </w:rPr>
      </w:pPr>
      <w:r>
        <w:rPr>
          <w:rFonts w:ascii="Bookman Old Style" w:hAnsi="Bookman Old Style"/>
          <w:bCs/>
        </w:rPr>
        <w:t xml:space="preserve">Para la ejecución </w:t>
      </w:r>
      <w:r w:rsidR="009F7144">
        <w:rPr>
          <w:rFonts w:ascii="Bookman Old Style" w:hAnsi="Bookman Old Style"/>
          <w:bCs/>
        </w:rPr>
        <w:t xml:space="preserve">diaria </w:t>
      </w:r>
      <w:r>
        <w:rPr>
          <w:rFonts w:ascii="Bookman Old Style" w:hAnsi="Bookman Old Style"/>
          <w:bCs/>
        </w:rPr>
        <w:t>de los contratos con interrupciones de una misma fuente de suministro, el vendedor podrá a</w:t>
      </w:r>
      <w:r w:rsidR="009F7144">
        <w:rPr>
          <w:rFonts w:ascii="Bookman Old Style" w:hAnsi="Bookman Old Style"/>
          <w:bCs/>
        </w:rPr>
        <w:t>utorizar</w:t>
      </w:r>
      <w:r>
        <w:rPr>
          <w:rFonts w:ascii="Bookman Old Style" w:hAnsi="Bookman Old Style"/>
          <w:bCs/>
        </w:rPr>
        <w:t xml:space="preserve"> </w:t>
      </w:r>
      <w:r w:rsidR="009F7144">
        <w:rPr>
          <w:rFonts w:ascii="Bookman Old Style" w:hAnsi="Bookman Old Style"/>
          <w:bCs/>
        </w:rPr>
        <w:t xml:space="preserve">las </w:t>
      </w:r>
      <w:r w:rsidR="006E2EF2">
        <w:rPr>
          <w:rFonts w:ascii="Bookman Old Style" w:hAnsi="Bookman Old Style"/>
          <w:bCs/>
        </w:rPr>
        <w:t xml:space="preserve">nominaciones de los compradores </w:t>
      </w:r>
      <w:r w:rsidR="00665D08">
        <w:rPr>
          <w:rFonts w:ascii="Bookman Old Style" w:hAnsi="Bookman Old Style"/>
          <w:bCs/>
        </w:rPr>
        <w:t xml:space="preserve">hasta un total que no </w:t>
      </w:r>
      <w:r w:rsidR="006E2EF2">
        <w:rPr>
          <w:rFonts w:ascii="Bookman Old Style" w:hAnsi="Bookman Old Style"/>
          <w:bCs/>
        </w:rPr>
        <w:t>supere la PTDV del día de ejecución de los contratos</w:t>
      </w:r>
      <w:r w:rsidR="009F7144">
        <w:rPr>
          <w:rFonts w:ascii="Bookman Old Style" w:hAnsi="Bookman Old Style"/>
          <w:bCs/>
        </w:rPr>
        <w:t xml:space="preserve"> de esa fuente de suministro</w:t>
      </w:r>
      <w:r w:rsidR="006E2EF2">
        <w:rPr>
          <w:rFonts w:ascii="Bookman Old Style" w:hAnsi="Bookman Old Style"/>
          <w:bCs/>
        </w:rPr>
        <w:t>.</w:t>
      </w:r>
      <w:r w:rsidR="00521AF8">
        <w:rPr>
          <w:rFonts w:ascii="Bookman Old Style" w:hAnsi="Bookman Old Style"/>
          <w:bCs/>
        </w:rPr>
        <w:t xml:space="preserve"> El precio de ejecución del contrato será el </w:t>
      </w:r>
      <w:r w:rsidR="007070D9">
        <w:rPr>
          <w:rFonts w:ascii="Bookman Old Style" w:hAnsi="Bookman Old Style"/>
          <w:bCs/>
        </w:rPr>
        <w:t xml:space="preserve">precio único </w:t>
      </w:r>
      <w:r w:rsidR="00E16E68">
        <w:rPr>
          <w:rFonts w:ascii="Bookman Old Style" w:hAnsi="Bookman Old Style"/>
          <w:bCs/>
        </w:rPr>
        <w:t>acordado contractualmente.</w:t>
      </w:r>
    </w:p>
    <w:p w14:paraId="079A3A5A" w14:textId="77777777" w:rsidR="0047746F" w:rsidRDefault="0047746F" w:rsidP="005356CF">
      <w:pPr>
        <w:jc w:val="both"/>
        <w:rPr>
          <w:rFonts w:ascii="Bookman Old Style" w:hAnsi="Bookman Old Style"/>
          <w:b/>
          <w:bCs/>
        </w:rPr>
      </w:pPr>
    </w:p>
    <w:p w14:paraId="2E9D0F6F" w14:textId="458734D3" w:rsidR="00D34BB1" w:rsidRPr="003A0C90" w:rsidRDefault="00D34BB1" w:rsidP="005356CF">
      <w:pPr>
        <w:ind w:left="0"/>
        <w:jc w:val="both"/>
        <w:rPr>
          <w:rFonts w:ascii="Bookman Old Style" w:hAnsi="Bookman Old Style"/>
        </w:rPr>
      </w:pPr>
      <w:r w:rsidRPr="007F520F">
        <w:rPr>
          <w:rFonts w:ascii="Bookman Old Style" w:hAnsi="Bookman Old Style"/>
          <w:b/>
          <w:bCs/>
        </w:rPr>
        <w:t xml:space="preserve">ARTÍCULO </w:t>
      </w:r>
      <w:r w:rsidR="002E482A" w:rsidRPr="007F520F">
        <w:rPr>
          <w:rFonts w:ascii="Bookman Old Style" w:hAnsi="Bookman Old Style"/>
          <w:b/>
          <w:bCs/>
        </w:rPr>
        <w:t>1</w:t>
      </w:r>
      <w:r w:rsidR="00EA447E" w:rsidRPr="007F520F">
        <w:rPr>
          <w:rFonts w:ascii="Bookman Old Style" w:hAnsi="Bookman Old Style"/>
          <w:b/>
          <w:bCs/>
        </w:rPr>
        <w:t>3</w:t>
      </w:r>
      <w:r w:rsidRPr="007F520F">
        <w:rPr>
          <w:rFonts w:ascii="Bookman Old Style" w:hAnsi="Bookman Old Style"/>
          <w:b/>
          <w:bCs/>
        </w:rPr>
        <w:t xml:space="preserve">. </w:t>
      </w:r>
      <w:r w:rsidRPr="003A0C90">
        <w:rPr>
          <w:rFonts w:ascii="Bookman Old Style" w:hAnsi="Bookman Old Style"/>
        </w:rPr>
        <w:t>Modificar el Anexo 7 de la Resolución CREG 186 de 2020, el cual quedará así:</w:t>
      </w:r>
    </w:p>
    <w:p w14:paraId="4C6E5479" w14:textId="77777777" w:rsidR="00D34BB1" w:rsidRDefault="00D34BB1" w:rsidP="008C3862">
      <w:pPr>
        <w:spacing w:before="120"/>
        <w:ind w:left="0"/>
        <w:jc w:val="both"/>
        <w:rPr>
          <w:rFonts w:ascii="Bookman Old Style" w:hAnsi="Bookman Old Style"/>
          <w:b/>
          <w:bCs/>
        </w:rPr>
      </w:pPr>
    </w:p>
    <w:p w14:paraId="2D6A08DB" w14:textId="77777777" w:rsidR="00D34BB1" w:rsidRPr="003A0C90" w:rsidRDefault="00D34BB1" w:rsidP="00BD686D">
      <w:pPr>
        <w:pStyle w:val="Ttulo1"/>
        <w:ind w:left="0"/>
        <w:rPr>
          <w:rFonts w:ascii="Bookman Old Style" w:hAnsi="Bookman Old Style"/>
          <w:color w:val="000000" w:themeColor="text1"/>
          <w:szCs w:val="24"/>
        </w:rPr>
      </w:pPr>
      <w:bookmarkStart w:id="13" w:name="_Ref442880148"/>
      <w:r w:rsidRPr="003A0C90">
        <w:rPr>
          <w:rFonts w:ascii="Bookman Old Style" w:hAnsi="Bookman Old Style"/>
          <w:color w:val="000000" w:themeColor="text1"/>
        </w:rPr>
        <w:t xml:space="preserve">Anexo </w:t>
      </w:r>
      <w:r w:rsidRPr="003A0C90">
        <w:rPr>
          <w:rFonts w:ascii="Bookman Old Style" w:hAnsi="Bookman Old Style"/>
          <w:color w:val="000000" w:themeColor="text1"/>
        </w:rPr>
        <w:fldChar w:fldCharType="begin"/>
      </w:r>
      <w:r w:rsidRPr="003A0C90">
        <w:rPr>
          <w:rFonts w:ascii="Bookman Old Style" w:hAnsi="Bookman Old Style"/>
          <w:color w:val="000000" w:themeColor="text1"/>
        </w:rPr>
        <w:instrText xml:space="preserve"> SEQ Anexo \* ARABIC </w:instrText>
      </w:r>
      <w:r w:rsidRPr="003A0C90">
        <w:rPr>
          <w:rFonts w:ascii="Bookman Old Style" w:hAnsi="Bookman Old Style"/>
          <w:color w:val="000000" w:themeColor="text1"/>
        </w:rPr>
        <w:fldChar w:fldCharType="separate"/>
      </w:r>
      <w:r w:rsidRPr="003A0C90">
        <w:rPr>
          <w:rFonts w:ascii="Bookman Old Style" w:hAnsi="Bookman Old Style"/>
          <w:noProof/>
          <w:color w:val="000000" w:themeColor="text1"/>
        </w:rPr>
        <w:t>7</w:t>
      </w:r>
      <w:r w:rsidRPr="003A0C90">
        <w:rPr>
          <w:rFonts w:ascii="Bookman Old Style" w:hAnsi="Bookman Old Style"/>
          <w:color w:val="000000" w:themeColor="text1"/>
        </w:rPr>
        <w:fldChar w:fldCharType="end"/>
      </w:r>
      <w:bookmarkEnd w:id="13"/>
    </w:p>
    <w:p w14:paraId="57E27DD1" w14:textId="77777777" w:rsidR="00D34BB1" w:rsidRPr="003A0C90" w:rsidRDefault="00D34BB1" w:rsidP="00BD686D">
      <w:pPr>
        <w:ind w:left="0"/>
        <w:jc w:val="center"/>
        <w:rPr>
          <w:rFonts w:ascii="Bookman Old Style" w:hAnsi="Bookman Old Style"/>
          <w:b/>
          <w:color w:val="000000" w:themeColor="text1"/>
          <w:lang w:val="es-CO"/>
        </w:rPr>
      </w:pPr>
      <w:r w:rsidRPr="003A0C90">
        <w:rPr>
          <w:rFonts w:ascii="Bookman Old Style" w:hAnsi="Bookman Old Style"/>
          <w:b/>
          <w:color w:val="000000" w:themeColor="text1"/>
          <w:lang w:val="es-CO"/>
        </w:rPr>
        <w:t>Oferta comprometida firme</w:t>
      </w:r>
    </w:p>
    <w:p w14:paraId="2701A6F9" w14:textId="77777777" w:rsidR="00D34BB1" w:rsidRPr="00D34BB1" w:rsidRDefault="00D34BB1" w:rsidP="000871FF">
      <w:pPr>
        <w:ind w:left="1701"/>
        <w:jc w:val="center"/>
        <w:rPr>
          <w:rFonts w:ascii="Bookman Old Style" w:hAnsi="Bookman Old Style"/>
          <w:b/>
          <w:color w:val="000000" w:themeColor="text1"/>
          <w:highlight w:val="green"/>
          <w:lang w:val="es-CO"/>
        </w:rPr>
      </w:pPr>
    </w:p>
    <w:p w14:paraId="056F7574" w14:textId="77777777" w:rsidR="00D34BB1" w:rsidRPr="003A0C90" w:rsidRDefault="00D34BB1" w:rsidP="000871FF">
      <w:pPr>
        <w:pStyle w:val="ARTICULOS"/>
        <w:numPr>
          <w:ilvl w:val="0"/>
          <w:numId w:val="0"/>
        </w:numPr>
        <w:tabs>
          <w:tab w:val="clear" w:pos="1559"/>
          <w:tab w:val="left" w:pos="567"/>
        </w:tabs>
        <w:ind w:left="567"/>
        <w:rPr>
          <w:rFonts w:cs="Arial"/>
          <w:color w:val="000000" w:themeColor="text1"/>
          <w:lang w:val="es-CO"/>
        </w:rPr>
      </w:pPr>
      <w:r w:rsidRPr="003A0C90">
        <w:rPr>
          <w:rFonts w:cs="Arial"/>
          <w:color w:val="000000" w:themeColor="text1"/>
          <w:lang w:val="es-CO"/>
        </w:rPr>
        <w:t xml:space="preserve">Para calcular la oferta comprometida firme se utilizará la siguiente ecuación: </w:t>
      </w:r>
    </w:p>
    <w:p w14:paraId="1FF99233" w14:textId="77777777" w:rsidR="00D34BB1" w:rsidRPr="003A0C90" w:rsidRDefault="00D34BB1" w:rsidP="000871FF">
      <w:pPr>
        <w:ind w:left="1701"/>
        <w:jc w:val="both"/>
        <w:rPr>
          <w:rFonts w:ascii="Bookman Old Style" w:hAnsi="Bookman Old Style"/>
          <w:bCs/>
          <w:color w:val="000000" w:themeColor="text1"/>
          <w:lang w:val="es-CO"/>
        </w:rPr>
      </w:pPr>
    </w:p>
    <w:p w14:paraId="446A64B3" w14:textId="38E908B5" w:rsidR="00D34BB1" w:rsidRPr="003A0C90" w:rsidRDefault="00000000" w:rsidP="000871FF">
      <w:pPr>
        <w:pStyle w:val="ARTICULOS"/>
        <w:numPr>
          <w:ilvl w:val="0"/>
          <w:numId w:val="0"/>
        </w:numPr>
        <w:tabs>
          <w:tab w:val="left" w:pos="1985"/>
        </w:tabs>
        <w:ind w:left="1701"/>
        <w:rPr>
          <w:rFonts w:cs="Arial"/>
          <w:color w:val="000000" w:themeColor="text1"/>
          <w:sz w:val="19"/>
          <w:szCs w:val="19"/>
          <w:lang w:val="es-CO"/>
        </w:rPr>
      </w:pPr>
      <m:oMathPara>
        <m:oMathParaPr>
          <m:jc m:val="center"/>
        </m:oMathParaPr>
        <m:oMath>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OCF</m:t>
              </m:r>
            </m:e>
            <m:sub>
              <m:r>
                <w:rPr>
                  <w:rFonts w:ascii="Cambria Math" w:hAnsi="Cambria Math" w:cs="Arial"/>
                  <w:color w:val="000000" w:themeColor="text1"/>
                  <w:sz w:val="22"/>
                  <w:szCs w:val="19"/>
                  <w:lang w:val="es-CO"/>
                </w:rPr>
                <m:t>f,t,s,m</m:t>
              </m:r>
            </m:sub>
          </m:sSub>
          <m:r>
            <w:rPr>
              <w:rFonts w:ascii="Cambria Math" w:hAnsi="Cambria Math" w:cs="Arial"/>
              <w:color w:val="000000" w:themeColor="text1"/>
              <w:sz w:val="22"/>
              <w:szCs w:val="19"/>
              <w:lang w:val="es-CO"/>
            </w:rPr>
            <m:t>=</m:t>
          </m:r>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CF</m:t>
                      </m:r>
                    </m:e>
                    <m:sub>
                      <m:r>
                        <w:rPr>
                          <w:rFonts w:ascii="Cambria Math" w:hAnsi="Cambria Math" w:cs="Arial"/>
                          <w:color w:val="000000" w:themeColor="text1"/>
                          <w:sz w:val="22"/>
                          <w:szCs w:val="19"/>
                          <w:lang w:val="es-CO"/>
                        </w:rPr>
                        <m:t>f,t,s,m</m:t>
                      </m:r>
                    </m:sub>
                  </m:sSub>
                </m:sub>
              </m:sSub>
            </m:e>
          </m:nary>
          <m:r>
            <w:rPr>
              <w:rFonts w:ascii="Cambria Math" w:hAnsi="Cambria Math" w:cs="Arial"/>
              <w:color w:val="000000" w:themeColor="text1"/>
              <w:sz w:val="22"/>
              <w:szCs w:val="19"/>
              <w:lang w:val="es-CO"/>
            </w:rPr>
            <m:t xml:space="preserve"> +</m:t>
          </m:r>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CF95</m:t>
                      </m:r>
                    </m:e>
                    <m:sub>
                      <m:r>
                        <w:rPr>
                          <w:rFonts w:ascii="Cambria Math" w:hAnsi="Cambria Math" w:cs="Arial"/>
                          <w:color w:val="000000" w:themeColor="text1"/>
                          <w:sz w:val="22"/>
                          <w:szCs w:val="19"/>
                          <w:lang w:val="es-CO"/>
                        </w:rPr>
                        <m:t>f,t,s,m</m:t>
                      </m:r>
                    </m:sub>
                  </m:sSub>
                </m:sub>
              </m:sSub>
            </m:e>
          </m:nary>
          <m:r>
            <w:rPr>
              <w:rFonts w:ascii="Cambria Math" w:hAnsi="Cambria Math" w:cs="Arial"/>
              <w:color w:val="000000" w:themeColor="text1"/>
              <w:sz w:val="22"/>
              <w:szCs w:val="19"/>
              <w:lang w:val="es-CO"/>
            </w:rPr>
            <m:t xml:space="preserve">+min </m:t>
          </m:r>
          <m:d>
            <m:dPr>
              <m:begChr m:val="|"/>
              <m:endChr m:val="|"/>
              <m:ctrlPr>
                <w:rPr>
                  <w:rFonts w:ascii="Cambria Math" w:hAnsi="Cambria Math" w:cs="Arial"/>
                  <w:i/>
                  <w:color w:val="000000" w:themeColor="text1"/>
                  <w:sz w:val="22"/>
                  <w:szCs w:val="19"/>
                  <w:lang w:val="es-CO"/>
                </w:rPr>
              </m:ctrlPr>
            </m:dPr>
            <m:e>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CFC</m:t>
                          </m:r>
                        </m:e>
                        <m:sub>
                          <m:r>
                            <w:rPr>
                              <w:rFonts w:ascii="Cambria Math" w:hAnsi="Cambria Math" w:cs="Arial"/>
                              <w:color w:val="000000" w:themeColor="text1"/>
                              <w:sz w:val="22"/>
                              <w:szCs w:val="19"/>
                              <w:lang w:val="es-CO"/>
                            </w:rPr>
                            <m:t>f,t,s,m</m:t>
                          </m:r>
                        </m:sub>
                      </m:sSub>
                    </m:sub>
                  </m:sSub>
                  <m:r>
                    <w:rPr>
                      <w:rFonts w:ascii="Cambria Math" w:hAnsi="Cambria Math" w:cs="Arial"/>
                      <w:color w:val="000000" w:themeColor="text1"/>
                      <w:sz w:val="22"/>
                      <w:szCs w:val="19"/>
                      <w:lang w:val="es-CO"/>
                    </w:rPr>
                    <m:t>;</m:t>
                  </m:r>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OCG</m:t>
                              </m:r>
                            </m:e>
                            <m:sub>
                              <m:r>
                                <w:rPr>
                                  <w:rFonts w:ascii="Cambria Math" w:hAnsi="Cambria Math" w:cs="Arial"/>
                                  <w:color w:val="000000" w:themeColor="text1"/>
                                  <w:sz w:val="22"/>
                                  <w:szCs w:val="19"/>
                                  <w:lang w:val="es-CO"/>
                                </w:rPr>
                                <m:t>f,t,s,m</m:t>
                              </m:r>
                            </m:sub>
                          </m:sSub>
                        </m:sub>
                      </m:sSub>
                    </m:e>
                  </m:nary>
                </m:e>
              </m:nary>
            </m:e>
          </m:d>
          <m:r>
            <w:rPr>
              <w:rFonts w:ascii="Cambria Math" w:hAnsi="Cambria Math" w:cs="Arial"/>
              <w:color w:val="000000" w:themeColor="text1"/>
              <w:sz w:val="22"/>
              <w:szCs w:val="19"/>
              <w:lang w:val="es-CO"/>
            </w:rPr>
            <m:t xml:space="preserve">+ </m:t>
          </m:r>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OCGX</m:t>
                      </m:r>
                    </m:e>
                    <m:sub>
                      <m:r>
                        <w:rPr>
                          <w:rFonts w:ascii="Cambria Math" w:hAnsi="Cambria Math" w:cs="Arial"/>
                          <w:color w:val="000000" w:themeColor="text1"/>
                          <w:sz w:val="22"/>
                          <w:szCs w:val="19"/>
                          <w:lang w:val="es-CO"/>
                        </w:rPr>
                        <m:t>f,t,sm</m:t>
                      </m:r>
                    </m:sub>
                  </m:sSub>
                </m:sub>
              </m:sSub>
            </m:e>
          </m:nary>
          <m:r>
            <w:rPr>
              <w:rFonts w:ascii="Cambria Math" w:hAnsi="Cambria Math" w:cs="Arial"/>
              <w:color w:val="000000" w:themeColor="text1"/>
              <w:sz w:val="22"/>
              <w:szCs w:val="19"/>
              <w:lang w:val="es-CO"/>
            </w:rPr>
            <m:t xml:space="preserve">+max </m:t>
          </m:r>
          <m:d>
            <m:dPr>
              <m:begChr m:val="|"/>
              <m:endChr m:val="|"/>
              <m:ctrlPr>
                <w:rPr>
                  <w:rFonts w:ascii="Cambria Math" w:hAnsi="Cambria Math" w:cs="Arial"/>
                  <w:i/>
                  <w:color w:val="000000" w:themeColor="text1"/>
                  <w:sz w:val="22"/>
                  <w:szCs w:val="19"/>
                  <w:lang w:val="es-CO"/>
                </w:rPr>
              </m:ctrlPr>
            </m:dPr>
            <m:e>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d>
                    <m:dPr>
                      <m:ctrlPr>
                        <w:rPr>
                          <w:rFonts w:ascii="Cambria Math" w:hAnsi="Cambria Math" w:cs="Arial"/>
                          <w:i/>
                          <w:color w:val="000000" w:themeColor="text1"/>
                          <w:sz w:val="22"/>
                          <w:szCs w:val="19"/>
                          <w:lang w:val="es-CO"/>
                        </w:rPr>
                      </m:ctrlPr>
                    </m:dPr>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C1</m:t>
                              </m:r>
                            </m:e>
                            <m:sub>
                              <m:r>
                                <w:rPr>
                                  <w:rFonts w:ascii="Cambria Math" w:hAnsi="Cambria Math" w:cs="Arial"/>
                                  <w:color w:val="000000" w:themeColor="text1"/>
                                  <w:sz w:val="22"/>
                                  <w:szCs w:val="19"/>
                                  <w:lang w:val="es-CO"/>
                                </w:rPr>
                                <m:t>f,t,s,m</m:t>
                              </m:r>
                            </m:sub>
                          </m:sSub>
                        </m:sub>
                      </m:sSub>
                      <m:r>
                        <w:rPr>
                          <w:rFonts w:ascii="Cambria Math" w:hAnsi="Cambria Math" w:cs="Arial"/>
                          <w:color w:val="000000" w:themeColor="text1"/>
                          <w:sz w:val="22"/>
                          <w:szCs w:val="19"/>
                          <w:lang w:val="es-CO"/>
                        </w:rPr>
                        <m:t>+</m:t>
                      </m:r>
                      <m:sSub>
                        <m:sSubPr>
                          <m:ctrlPr>
                            <w:rPr>
                              <w:rFonts w:ascii="Cambria Math" w:hAnsi="Cambria Math" w:cs="Arial"/>
                              <w:i/>
                              <w:color w:val="000000" w:themeColor="text1"/>
                              <w:sz w:val="22"/>
                              <w:szCs w:val="19"/>
                              <w:lang w:val="es-CO"/>
                            </w:rPr>
                          </m:ctrlPr>
                        </m:sSubPr>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F</m:t>
                              </m:r>
                            </m:e>
                            <m:sub>
                              <m:r>
                                <w:rPr>
                                  <w:rFonts w:ascii="Cambria Math" w:hAnsi="Cambria Math" w:cs="Arial"/>
                                  <w:color w:val="000000" w:themeColor="text1"/>
                                  <w:sz w:val="22"/>
                                  <w:szCs w:val="19"/>
                                  <w:lang w:val="es-CO"/>
                                </w:rPr>
                                <m:t>C2</m:t>
                              </m:r>
                            </m:sub>
                          </m:sSub>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C2</m:t>
                              </m:r>
                            </m:e>
                            <m:sub>
                              <m:r>
                                <w:rPr>
                                  <w:rFonts w:ascii="Cambria Math" w:hAnsi="Cambria Math" w:cs="Arial"/>
                                  <w:color w:val="000000" w:themeColor="text1"/>
                                  <w:sz w:val="22"/>
                                  <w:szCs w:val="19"/>
                                  <w:lang w:val="es-CO"/>
                                </w:rPr>
                                <m:t>f,t,s,m</m:t>
                              </m:r>
                            </m:sub>
                          </m:sSub>
                        </m:sub>
                      </m:sSub>
                    </m:e>
                  </m:d>
                  <m:r>
                    <w:rPr>
                      <w:rFonts w:ascii="Cambria Math" w:hAnsi="Cambria Math" w:cs="Arial"/>
                      <w:color w:val="000000" w:themeColor="text1"/>
                      <w:sz w:val="22"/>
                      <w:szCs w:val="19"/>
                      <w:lang w:val="es-CO"/>
                    </w:rPr>
                    <m:t>;</m:t>
                  </m:r>
                  <m:nary>
                    <m:naryPr>
                      <m:chr m:val="∑"/>
                      <m:limLoc m:val="undOvr"/>
                      <m:ctrlPr>
                        <w:rPr>
                          <w:rFonts w:ascii="Cambria Math" w:hAnsi="Cambria Math" w:cs="Arial"/>
                          <w:i/>
                          <w:color w:val="000000" w:themeColor="text1"/>
                          <w:sz w:val="22"/>
                          <w:szCs w:val="19"/>
                          <w:lang w:val="es-CO"/>
                        </w:rPr>
                      </m:ctrlPr>
                    </m:naryPr>
                    <m:sub>
                      <m:r>
                        <w:rPr>
                          <w:rFonts w:ascii="Cambria Math" w:hAnsi="Cambria Math" w:cs="Arial"/>
                          <w:color w:val="000000" w:themeColor="text1"/>
                          <w:sz w:val="22"/>
                          <w:szCs w:val="19"/>
                          <w:lang w:val="es-CO"/>
                        </w:rPr>
                        <m:t>1</m:t>
                      </m:r>
                    </m:sub>
                    <m:sup>
                      <m:r>
                        <w:rPr>
                          <w:rFonts w:ascii="Cambria Math" w:hAnsi="Cambria Math" w:cs="Arial"/>
                          <w:color w:val="000000" w:themeColor="text1"/>
                          <w:sz w:val="22"/>
                          <w:szCs w:val="19"/>
                          <w:lang w:val="es-CO"/>
                        </w:rPr>
                        <m:t>m</m:t>
                      </m:r>
                    </m:sup>
                    <m:e>
                      <m:d>
                        <m:dPr>
                          <m:ctrlPr>
                            <w:rPr>
                              <w:rFonts w:ascii="Cambria Math" w:hAnsi="Cambria Math" w:cs="Arial"/>
                              <w:i/>
                              <w:color w:val="000000" w:themeColor="text1"/>
                              <w:sz w:val="22"/>
                              <w:szCs w:val="19"/>
                              <w:lang w:val="es-CO"/>
                            </w:rPr>
                          </m:ctrlPr>
                        </m:dPr>
                        <m:e>
                          <m:sSub>
                            <m:sSubPr>
                              <m:ctrlPr>
                                <w:rPr>
                                  <w:rFonts w:ascii="Cambria Math" w:hAnsi="Cambria Math" w:cs="Arial"/>
                                  <w:i/>
                                  <w:color w:val="000000" w:themeColor="text1"/>
                                  <w:sz w:val="22"/>
                                  <w:szCs w:val="19"/>
                                  <w:lang w:val="es-CO"/>
                                </w:rPr>
                              </m:ctrlPr>
                            </m:sSubPr>
                            <m:e>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F</m:t>
                                  </m:r>
                                </m:e>
                                <m:sub>
                                  <m:r>
                                    <w:rPr>
                                      <w:rFonts w:ascii="Cambria Math" w:hAnsi="Cambria Math" w:cs="Arial"/>
                                      <w:color w:val="000000" w:themeColor="text1"/>
                                      <w:sz w:val="22"/>
                                      <w:szCs w:val="19"/>
                                      <w:lang w:val="es-CO"/>
                                    </w:rPr>
                                    <m:t>C1</m:t>
                                  </m:r>
                                </m:sub>
                              </m:sSub>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C1</m:t>
                                  </m:r>
                                </m:e>
                                <m:sub>
                                  <m:r>
                                    <w:rPr>
                                      <w:rFonts w:ascii="Cambria Math" w:hAnsi="Cambria Math" w:cs="Arial"/>
                                      <w:color w:val="000000" w:themeColor="text1"/>
                                      <w:sz w:val="22"/>
                                      <w:szCs w:val="19"/>
                                      <w:lang w:val="es-CO"/>
                                    </w:rPr>
                                    <m:t>f,t,s,m</m:t>
                                  </m:r>
                                </m:sub>
                              </m:sSub>
                            </m:sub>
                          </m:sSub>
                          <m:r>
                            <w:rPr>
                              <w:rFonts w:ascii="Cambria Math" w:hAnsi="Cambria Math" w:cs="Arial"/>
                              <w:color w:val="000000" w:themeColor="text1"/>
                              <w:sz w:val="22"/>
                              <w:szCs w:val="19"/>
                              <w:lang w:val="es-CO"/>
                            </w:rPr>
                            <m:t>+</m:t>
                          </m:r>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O</m:t>
                              </m:r>
                            </m:e>
                            <m:sub>
                              <m:sSub>
                                <m:sSubPr>
                                  <m:ctrlPr>
                                    <w:rPr>
                                      <w:rFonts w:ascii="Cambria Math" w:hAnsi="Cambria Math" w:cs="Arial"/>
                                      <w:i/>
                                      <w:color w:val="000000" w:themeColor="text1"/>
                                      <w:sz w:val="22"/>
                                      <w:szCs w:val="19"/>
                                      <w:lang w:val="es-CO"/>
                                    </w:rPr>
                                  </m:ctrlPr>
                                </m:sSubPr>
                                <m:e>
                                  <m:r>
                                    <w:rPr>
                                      <w:rFonts w:ascii="Cambria Math" w:hAnsi="Cambria Math" w:cs="Arial"/>
                                      <w:color w:val="000000" w:themeColor="text1"/>
                                      <w:sz w:val="22"/>
                                      <w:szCs w:val="19"/>
                                      <w:lang w:val="es-CO"/>
                                    </w:rPr>
                                    <m:t>C2</m:t>
                                  </m:r>
                                </m:e>
                                <m:sub>
                                  <m:r>
                                    <w:rPr>
                                      <w:rFonts w:ascii="Cambria Math" w:hAnsi="Cambria Math" w:cs="Arial"/>
                                      <w:color w:val="000000" w:themeColor="text1"/>
                                      <w:sz w:val="22"/>
                                      <w:szCs w:val="19"/>
                                      <w:lang w:val="es-CO"/>
                                    </w:rPr>
                                    <m:t>f,t,s,m</m:t>
                                  </m:r>
                                </m:sub>
                              </m:sSub>
                            </m:sub>
                          </m:sSub>
                        </m:e>
                      </m:d>
                    </m:e>
                  </m:nary>
                </m:e>
              </m:nary>
            </m:e>
          </m:d>
        </m:oMath>
      </m:oMathPara>
    </w:p>
    <w:p w14:paraId="40A60D61" w14:textId="77777777" w:rsidR="00D34BB1" w:rsidRPr="003A0C90" w:rsidRDefault="00D34BB1" w:rsidP="000871FF">
      <w:pPr>
        <w:pStyle w:val="ARTICULOS"/>
        <w:numPr>
          <w:ilvl w:val="0"/>
          <w:numId w:val="0"/>
        </w:numPr>
        <w:tabs>
          <w:tab w:val="clear" w:pos="1559"/>
          <w:tab w:val="left" w:pos="1560"/>
        </w:tabs>
        <w:ind w:left="1701"/>
        <w:rPr>
          <w:rFonts w:cs="Arial"/>
          <w:color w:val="000000" w:themeColor="text1"/>
          <w:lang w:val="es-CO"/>
        </w:rPr>
      </w:pPr>
    </w:p>
    <w:p w14:paraId="3D5C20B9" w14:textId="34CABA62" w:rsidR="00D34BB1" w:rsidRPr="003A0C90" w:rsidRDefault="000871FF" w:rsidP="000871FF">
      <w:pPr>
        <w:pStyle w:val="ARTICULOS"/>
        <w:numPr>
          <w:ilvl w:val="0"/>
          <w:numId w:val="0"/>
        </w:numPr>
        <w:tabs>
          <w:tab w:val="clear" w:pos="1559"/>
          <w:tab w:val="left" w:pos="709"/>
        </w:tabs>
        <w:rPr>
          <w:rFonts w:cs="Arial"/>
          <w:color w:val="000000" w:themeColor="text1"/>
          <w:lang w:val="es-CO"/>
        </w:rPr>
      </w:pPr>
      <w:r w:rsidRPr="003A0C90">
        <w:rPr>
          <w:rFonts w:cs="Arial"/>
          <w:color w:val="000000" w:themeColor="text1"/>
          <w:lang w:val="es-CO"/>
        </w:rPr>
        <w:tab/>
      </w:r>
      <w:r w:rsidR="00D34BB1" w:rsidRPr="003A0C90">
        <w:rPr>
          <w:rFonts w:cs="Arial"/>
          <w:color w:val="000000" w:themeColor="text1"/>
          <w:lang w:val="es-CO"/>
        </w:rPr>
        <w:t>Donde:</w:t>
      </w:r>
    </w:p>
    <w:p w14:paraId="126034EC" w14:textId="77777777" w:rsidR="00D34BB1" w:rsidRPr="003A0C90" w:rsidRDefault="00D34BB1" w:rsidP="000871FF">
      <w:pPr>
        <w:pStyle w:val="ARTICULOS"/>
        <w:numPr>
          <w:ilvl w:val="0"/>
          <w:numId w:val="0"/>
        </w:numPr>
        <w:tabs>
          <w:tab w:val="clear" w:pos="1559"/>
          <w:tab w:val="left" w:pos="1560"/>
        </w:tabs>
        <w:ind w:left="1701"/>
        <w:rPr>
          <w:rFonts w:cs="Arial"/>
          <w:color w:val="000000" w:themeColor="text1"/>
          <w:lang w:val="es-CO"/>
        </w:rPr>
      </w:pPr>
    </w:p>
    <w:p w14:paraId="0FDB01CD" w14:textId="41ED1BAA"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OCF</m:t>
            </m:r>
          </m:e>
          <m:sub>
            <m:r>
              <w:rPr>
                <w:rFonts w:ascii="Cambria Math" w:hAnsi="Cambria Math" w:cs="Arial"/>
                <w:color w:val="000000" w:themeColor="text1"/>
                <w:lang w:val="es-CO"/>
              </w:rPr>
              <m:t>f,t,s,m</m:t>
            </m:r>
          </m:sub>
        </m:sSub>
      </m:oMath>
      <w:r w:rsidR="00D34BB1" w:rsidRPr="003A0C90">
        <w:rPr>
          <w:rFonts w:cs="Arial"/>
          <w:color w:val="000000" w:themeColor="text1"/>
          <w:lang w:val="es-CO"/>
        </w:rPr>
        <w:t>:</w:t>
      </w:r>
      <w:r w:rsidR="00D34BB1" w:rsidRPr="003A0C90">
        <w:rPr>
          <w:rFonts w:cs="Arial"/>
          <w:color w:val="000000" w:themeColor="text1"/>
          <w:lang w:val="es-CO"/>
        </w:rPr>
        <w:tab/>
        <w:t xml:space="preserve">Oferta comprometida firme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productor–comercializador o comercializador de gas importado </w:t>
      </w:r>
      <w:r w:rsidR="00EE0277" w:rsidRPr="00EE0277">
        <w:rPr>
          <w:rFonts w:cs="Arial"/>
          <w:i/>
          <w:iCs/>
          <w:color w:val="000000" w:themeColor="text1"/>
          <w:lang w:val="es-CO"/>
        </w:rPr>
        <w:t>s</w:t>
      </w:r>
      <w:r w:rsidR="00D34BB1" w:rsidRPr="003A0C90">
        <w:rPr>
          <w:rFonts w:cs="Arial"/>
          <w:color w:val="000000" w:themeColor="text1"/>
          <w:lang w:val="es-CO"/>
        </w:rPr>
        <w:t xml:space="preserve"> 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5FE0D490" w14:textId="77777777" w:rsidR="00D34BB1" w:rsidRPr="003A0C90" w:rsidRDefault="00D34BB1" w:rsidP="000871FF">
      <w:pPr>
        <w:pStyle w:val="ARTICULOS"/>
        <w:numPr>
          <w:ilvl w:val="0"/>
          <w:numId w:val="0"/>
        </w:numPr>
        <w:tabs>
          <w:tab w:val="left" w:pos="1701"/>
        </w:tabs>
        <w:ind w:left="1701" w:hanging="1695"/>
        <w:rPr>
          <w:rFonts w:cs="Arial"/>
          <w:color w:val="000000" w:themeColor="text1"/>
          <w:lang w:val="es-CO"/>
        </w:rPr>
      </w:pPr>
    </w:p>
    <w:p w14:paraId="4F476FE7" w14:textId="48ED0013" w:rsidR="00D34BB1" w:rsidRPr="003A0C90" w:rsidRDefault="003A0C90" w:rsidP="000871FF">
      <w:pPr>
        <w:pStyle w:val="ARTICULOS"/>
        <w:numPr>
          <w:ilvl w:val="0"/>
          <w:numId w:val="0"/>
        </w:numPr>
        <w:ind w:left="1701" w:hanging="1134"/>
        <w:rPr>
          <w:rFonts w:cs="Arial"/>
          <w:color w:val="000000" w:themeColor="text1"/>
          <w:lang w:val="es-CO"/>
        </w:rPr>
      </w:pPr>
      <m:oMath>
        <m:r>
          <w:rPr>
            <w:rFonts w:ascii="Cambria Math" w:hAnsi="Cambria Math" w:cs="Arial"/>
            <w:color w:val="000000" w:themeColor="text1"/>
            <w:lang w:val="es-CO"/>
          </w:rPr>
          <m:t>t:</m:t>
        </m:r>
      </m:oMath>
      <w:r w:rsidR="00D34BB1" w:rsidRPr="003A0C90">
        <w:rPr>
          <w:rFonts w:cs="Arial"/>
          <w:color w:val="000000" w:themeColor="text1"/>
          <w:lang w:val="es-CO"/>
        </w:rPr>
        <w:tab/>
      </w:r>
      <w:r w:rsidR="00EE0277">
        <w:rPr>
          <w:rFonts w:cs="Arial"/>
          <w:color w:val="000000" w:themeColor="text1"/>
          <w:lang w:val="es-CO"/>
        </w:rPr>
        <w:tab/>
      </w:r>
      <w:r w:rsidR="00D34BB1" w:rsidRPr="003A0C90">
        <w:rPr>
          <w:rFonts w:cs="Arial"/>
          <w:color w:val="000000" w:themeColor="text1"/>
          <w:lang w:val="es-CO"/>
        </w:rPr>
        <w:t xml:space="preserve">Año que tiene como fecha de inicio 1 de diciembre de un año y como fecha de terminación el 30 de noviembre del año siguiente. </w:t>
      </w:r>
    </w:p>
    <w:p w14:paraId="029CD7B9" w14:textId="77777777" w:rsidR="00D34BB1" w:rsidRPr="003A0C90" w:rsidRDefault="00D34BB1" w:rsidP="000871FF">
      <w:pPr>
        <w:pStyle w:val="ARTICULOS"/>
        <w:numPr>
          <w:ilvl w:val="0"/>
          <w:numId w:val="0"/>
        </w:numPr>
        <w:tabs>
          <w:tab w:val="left" w:pos="1701"/>
        </w:tabs>
        <w:ind w:left="1701" w:hanging="1695"/>
        <w:rPr>
          <w:rFonts w:cs="Arial"/>
          <w:color w:val="000000" w:themeColor="text1"/>
          <w:lang w:val="es-CO"/>
        </w:rPr>
      </w:pPr>
    </w:p>
    <w:p w14:paraId="560C8FC6" w14:textId="23CD479B"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oMath>
      <w:r w:rsidR="00D34BB1" w:rsidRPr="003A0C90">
        <w:rPr>
          <w:rFonts w:cs="Arial"/>
          <w:color w:val="000000" w:themeColor="text1"/>
          <w:lang w:val="es-CO"/>
        </w:rPr>
        <w:tab/>
        <w:t xml:space="preserve">Oferta comprometida firme de contratos firmes </w:t>
      </w:r>
      <m:oMath>
        <m:r>
          <w:rPr>
            <w:rFonts w:ascii="Cambria Math" w:hAnsi="Cambria Math" w:cs="Arial"/>
            <w:color w:val="000000" w:themeColor="text1"/>
            <w:lang w:val="es-CO"/>
          </w:rPr>
          <m:t>CF</m:t>
        </m:r>
      </m:oMath>
      <w:r w:rsidR="00D34BB1" w:rsidRPr="003A0C90">
        <w:rPr>
          <w:rFonts w:cs="Arial"/>
          <w:color w:val="000000" w:themeColor="text1"/>
          <w:lang w:val="es-CO"/>
        </w:rPr>
        <w:t xml:space="preserv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del productor–comercializador o comercializador de gas importado</w:t>
      </w:r>
      <w:r w:rsidR="00B85E50" w:rsidRPr="00B85E50">
        <w:rPr>
          <w:rFonts w:cs="Arial"/>
          <w:i/>
          <w:iCs/>
          <w:color w:val="000000" w:themeColor="text1"/>
          <w:lang w:val="es-CO"/>
        </w:rPr>
        <w:t xml:space="preserve"> s</w:t>
      </w:r>
      <w:r w:rsidR="00D34BB1" w:rsidRPr="003A0C90">
        <w:rPr>
          <w:rFonts w:cs="Arial"/>
          <w:color w:val="000000" w:themeColor="text1"/>
          <w:lang w:val="es-CO"/>
        </w:rPr>
        <w:t xml:space="preserve"> 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3AF48848" w14:textId="77777777" w:rsidR="00D34BB1" w:rsidRPr="003A0C90" w:rsidRDefault="00D34BB1" w:rsidP="000871FF">
      <w:pPr>
        <w:pStyle w:val="ARTICULOS"/>
        <w:numPr>
          <w:ilvl w:val="0"/>
          <w:numId w:val="0"/>
        </w:numPr>
        <w:ind w:left="1701" w:hanging="1134"/>
        <w:rPr>
          <w:rFonts w:cs="Arial"/>
          <w:color w:val="000000" w:themeColor="text1"/>
          <w:lang w:val="es-CO"/>
        </w:rPr>
      </w:pPr>
    </w:p>
    <w:p w14:paraId="521D0B78" w14:textId="017DED69"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CF95</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oMath>
      <w:r w:rsidR="00D34BB1" w:rsidRPr="003A0C90">
        <w:rPr>
          <w:rFonts w:cs="Arial"/>
          <w:color w:val="000000" w:themeColor="text1"/>
          <w:lang w:val="es-CO"/>
        </w:rPr>
        <w:tab/>
        <w:t xml:space="preserve">Oferta comprometida firme de contratos firmes al 95% </w:t>
      </w:r>
      <m:oMath>
        <m:r>
          <w:rPr>
            <w:rFonts w:ascii="Cambria Math" w:hAnsi="Cambria Math" w:cs="Arial"/>
            <w:color w:val="000000" w:themeColor="text1"/>
            <w:lang w:val="es-CO"/>
          </w:rPr>
          <m:t>CF95</m:t>
        </m:r>
      </m:oMath>
      <w:r w:rsidR="00D34BB1" w:rsidRPr="003A0C90">
        <w:rPr>
          <w:rFonts w:cs="Arial"/>
          <w:color w:val="000000" w:themeColor="text1"/>
          <w:lang w:val="es-CO"/>
        </w:rPr>
        <w:t xml:space="preserv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del productor–comercializador o comercializador de gas importado</w:t>
      </w:r>
      <w:r w:rsidR="00B85E50">
        <w:rPr>
          <w:rFonts w:cs="Arial"/>
          <w:color w:val="000000" w:themeColor="text1"/>
          <w:lang w:val="es-CO"/>
        </w:rPr>
        <w:t xml:space="preserve"> </w:t>
      </w:r>
      <w:r w:rsidR="00B85E50" w:rsidRPr="00B85E50">
        <w:rPr>
          <w:rFonts w:cs="Arial"/>
          <w:i/>
          <w:iCs/>
          <w:color w:val="000000" w:themeColor="text1"/>
          <w:lang w:val="es-CO"/>
        </w:rPr>
        <w:t>s</w:t>
      </w:r>
      <w:r w:rsidR="00D34BB1" w:rsidRPr="003A0C90">
        <w:rPr>
          <w:rFonts w:cs="Arial"/>
          <w:color w:val="000000" w:themeColor="text1"/>
          <w:lang w:val="es-CO"/>
        </w:rPr>
        <w:t xml:space="preserve"> 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3F4DE837" w14:textId="77777777" w:rsidR="00D34BB1" w:rsidRPr="003A0C90" w:rsidRDefault="00D34BB1" w:rsidP="000871FF">
      <w:pPr>
        <w:pStyle w:val="ARTICULOS"/>
        <w:numPr>
          <w:ilvl w:val="0"/>
          <w:numId w:val="0"/>
        </w:numPr>
        <w:ind w:left="1701" w:hanging="1134"/>
        <w:rPr>
          <w:rFonts w:cs="Arial"/>
          <w:color w:val="000000" w:themeColor="text1"/>
          <w:lang w:val="es-CO"/>
        </w:rPr>
      </w:pPr>
    </w:p>
    <w:p w14:paraId="2AD255DB" w14:textId="1C3CF6DB"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CFC</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oMath>
      <w:r w:rsidR="00D34BB1" w:rsidRPr="003A0C90">
        <w:rPr>
          <w:rFonts w:cs="Arial"/>
          <w:color w:val="000000" w:themeColor="text1"/>
          <w:lang w:val="es-CO"/>
        </w:rPr>
        <w:tab/>
        <w:t xml:space="preserve">Oferta comprometida firme de contratos de suministro con firmeza condicionada </w:t>
      </w:r>
      <m:oMath>
        <m:r>
          <w:rPr>
            <w:rFonts w:ascii="Cambria Math" w:hAnsi="Cambria Math" w:cs="Arial"/>
            <w:color w:val="000000" w:themeColor="text1"/>
            <w:lang w:val="es-CO"/>
          </w:rPr>
          <m:t>CFC</m:t>
        </m:r>
      </m:oMath>
      <w:r w:rsidR="00D34BB1" w:rsidRPr="003A0C90">
        <w:rPr>
          <w:rFonts w:cs="Arial"/>
          <w:color w:val="000000" w:themeColor="text1"/>
          <w:lang w:val="es-CO"/>
        </w:rPr>
        <w:t xml:space="preserv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productor–comercializador o comercializador de gas importado </w:t>
      </w:r>
      <w:r w:rsidR="00B85E50" w:rsidRPr="00B85E50">
        <w:rPr>
          <w:rFonts w:cs="Arial"/>
          <w:i/>
          <w:iCs/>
          <w:color w:val="000000" w:themeColor="text1"/>
          <w:lang w:val="es-CO"/>
        </w:rPr>
        <w:t>s</w:t>
      </w:r>
      <w:r w:rsidR="00B85E50">
        <w:rPr>
          <w:rFonts w:cs="Arial"/>
          <w:color w:val="000000" w:themeColor="text1"/>
          <w:lang w:val="es-CO"/>
        </w:rPr>
        <w:t xml:space="preserve"> </w:t>
      </w:r>
      <w:r w:rsidR="00D34BB1" w:rsidRPr="003A0C90">
        <w:rPr>
          <w:rFonts w:cs="Arial"/>
          <w:color w:val="000000" w:themeColor="text1"/>
          <w:lang w:val="es-CO"/>
        </w:rPr>
        <w:t xml:space="preserve">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62347E29" w14:textId="77777777" w:rsidR="00D34BB1" w:rsidRPr="003A0C90" w:rsidRDefault="00D34BB1" w:rsidP="000871FF">
      <w:pPr>
        <w:pStyle w:val="ARTICULOS"/>
        <w:numPr>
          <w:ilvl w:val="0"/>
          <w:numId w:val="0"/>
        </w:numPr>
        <w:ind w:left="1701" w:hanging="1134"/>
        <w:rPr>
          <w:rFonts w:cs="Arial"/>
          <w:color w:val="000000" w:themeColor="text1"/>
          <w:lang w:val="es-CO"/>
        </w:rPr>
      </w:pPr>
    </w:p>
    <w:p w14:paraId="12D8CF4D" w14:textId="1F9F71BA"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oMath>
      <w:r w:rsidR="00D34BB1" w:rsidRPr="003A0C90">
        <w:rPr>
          <w:rFonts w:cs="Arial"/>
          <w:color w:val="000000" w:themeColor="text1"/>
          <w:lang w:val="es-CO"/>
        </w:rPr>
        <w:tab/>
        <w:t xml:space="preserve">Oferta comprometida firme de contratos de opción de compra de gas </w:t>
      </w:r>
      <m:oMath>
        <m:r>
          <w:rPr>
            <w:rFonts w:ascii="Cambria Math" w:hAnsi="Cambria Math" w:cs="Arial"/>
            <w:color w:val="000000" w:themeColor="text1"/>
            <w:lang w:val="es-CO"/>
          </w:rPr>
          <m:t>OCG</m:t>
        </m:r>
      </m:oMath>
      <w:r w:rsidR="00D34BB1" w:rsidRPr="003A0C90">
        <w:rPr>
          <w:rFonts w:cs="Arial"/>
          <w:color w:val="000000" w:themeColor="text1"/>
          <w:lang w:val="es-CO"/>
        </w:rPr>
        <w:t xml:space="preserv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productor–comercializador o comercializador de gas importado </w:t>
      </w:r>
      <w:r w:rsidR="00B85E50" w:rsidRPr="00B85E50">
        <w:rPr>
          <w:rFonts w:cs="Arial"/>
          <w:i/>
          <w:iCs/>
          <w:color w:val="000000" w:themeColor="text1"/>
          <w:lang w:val="es-CO"/>
        </w:rPr>
        <w:t>s</w:t>
      </w:r>
      <w:r w:rsidR="00B85E50">
        <w:rPr>
          <w:rFonts w:cs="Arial"/>
          <w:i/>
          <w:iCs/>
          <w:color w:val="000000" w:themeColor="text1"/>
          <w:lang w:val="es-CO"/>
        </w:rPr>
        <w:t xml:space="preserve"> </w:t>
      </w:r>
      <w:r w:rsidR="00D34BB1" w:rsidRPr="003A0C90">
        <w:rPr>
          <w:rFonts w:cs="Arial"/>
          <w:color w:val="000000" w:themeColor="text1"/>
          <w:lang w:val="es-CO"/>
        </w:rPr>
        <w:t xml:space="preserve">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22957FBC" w14:textId="77777777" w:rsidR="00D34BB1" w:rsidRPr="003A0C90" w:rsidRDefault="00D34BB1" w:rsidP="000871FF">
      <w:pPr>
        <w:pStyle w:val="ARTICULOS"/>
        <w:numPr>
          <w:ilvl w:val="0"/>
          <w:numId w:val="0"/>
        </w:numPr>
        <w:ind w:left="1701" w:hanging="1134"/>
        <w:rPr>
          <w:rFonts w:cs="Arial"/>
          <w:color w:val="000000" w:themeColor="text1"/>
          <w:lang w:val="es-CO"/>
        </w:rPr>
      </w:pPr>
    </w:p>
    <w:p w14:paraId="5C522311" w14:textId="42DA9245"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OCGX</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oMath>
      <w:r w:rsidR="00D34BB1" w:rsidRPr="003A0C90">
        <w:rPr>
          <w:rFonts w:cs="Arial"/>
          <w:color w:val="000000" w:themeColor="text1"/>
          <w:lang w:val="es-CO"/>
        </w:rPr>
        <w:tab/>
        <w:t xml:space="preserve">Oferta comprometida firme de contratos de opción de compra de gas contra exportaciones </w:t>
      </w:r>
      <m:oMath>
        <m:r>
          <w:rPr>
            <w:rFonts w:ascii="Cambria Math" w:hAnsi="Cambria Math" w:cs="Arial"/>
            <w:color w:val="000000" w:themeColor="text1"/>
            <w:lang w:val="es-CO"/>
          </w:rPr>
          <m:t>OCGX</m:t>
        </m:r>
      </m:oMath>
      <w:r w:rsidR="00D34BB1" w:rsidRPr="003A0C90">
        <w:rPr>
          <w:rFonts w:cs="Arial"/>
          <w:color w:val="000000" w:themeColor="text1"/>
          <w:lang w:val="es-CO"/>
        </w:rPr>
        <w:t xml:space="preserve">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 – comercializador o comercializador de gas importado </w:t>
      </w:r>
      <w:r w:rsidR="00B85E50" w:rsidRPr="00B85E50">
        <w:rPr>
          <w:rFonts w:cs="Arial"/>
          <w:i/>
          <w:iCs/>
          <w:color w:val="000000" w:themeColor="text1"/>
          <w:lang w:val="es-CO"/>
        </w:rPr>
        <w:t>s</w:t>
      </w:r>
      <w:r w:rsidR="00B85E50" w:rsidRPr="003A0C90">
        <w:rPr>
          <w:rFonts w:cs="Arial"/>
          <w:color w:val="000000" w:themeColor="text1"/>
          <w:lang w:val="es-CO"/>
        </w:rPr>
        <w:t xml:space="preserve"> </w:t>
      </w:r>
      <w:r w:rsidR="00D34BB1" w:rsidRPr="003A0C90">
        <w:rPr>
          <w:rFonts w:cs="Arial"/>
          <w:color w:val="000000" w:themeColor="text1"/>
          <w:lang w:val="es-CO"/>
        </w:rPr>
        <w:t xml:space="preserve">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56181FDC" w14:textId="77777777" w:rsidR="00D34BB1" w:rsidRPr="003A0C90" w:rsidRDefault="00D34BB1" w:rsidP="000871FF">
      <w:pPr>
        <w:pStyle w:val="ARTICULOS"/>
        <w:numPr>
          <w:ilvl w:val="0"/>
          <w:numId w:val="0"/>
        </w:numPr>
        <w:ind w:left="1701" w:hanging="1134"/>
        <w:rPr>
          <w:rFonts w:cs="Arial"/>
          <w:color w:val="000000" w:themeColor="text1"/>
          <w:lang w:val="es-CO"/>
        </w:rPr>
      </w:pPr>
    </w:p>
    <w:p w14:paraId="768B2F35" w14:textId="5664E18A"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O</m:t>
            </m:r>
          </m:e>
          <m:sub>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C1</m:t>
                </m:r>
              </m:e>
              <m:sub>
                <m:r>
                  <w:rPr>
                    <w:rFonts w:ascii="Cambria Math" w:hAnsi="Cambria Math" w:cs="Arial"/>
                    <w:color w:val="000000" w:themeColor="text1"/>
                    <w:szCs w:val="19"/>
                    <w:lang w:val="es-CO"/>
                  </w:rPr>
                  <m:t>f,t,s,m</m:t>
                </m:r>
              </m:sub>
            </m:sSub>
          </m:sub>
        </m:sSub>
      </m:oMath>
      <w:r w:rsidR="00D34BB1" w:rsidRPr="003A0C90">
        <w:rPr>
          <w:rFonts w:cs="Arial"/>
          <w:color w:val="000000" w:themeColor="text1"/>
          <w:szCs w:val="19"/>
          <w:lang w:val="es-CO"/>
        </w:rPr>
        <w:t>:</w:t>
      </w:r>
      <w:r w:rsidR="00D34BB1" w:rsidRPr="003A0C90">
        <w:rPr>
          <w:rFonts w:cs="Arial"/>
          <w:color w:val="000000" w:themeColor="text1"/>
          <w:szCs w:val="19"/>
          <w:lang w:val="es-CO"/>
        </w:rPr>
        <w:tab/>
      </w:r>
      <w:r w:rsidR="00CF253A">
        <w:rPr>
          <w:rFonts w:cs="Arial"/>
          <w:color w:val="000000" w:themeColor="text1"/>
          <w:szCs w:val="19"/>
          <w:lang w:val="es-CO"/>
        </w:rPr>
        <w:tab/>
      </w:r>
      <w:r w:rsidR="00D34BB1" w:rsidRPr="003A0C90">
        <w:rPr>
          <w:rFonts w:cs="Arial"/>
          <w:color w:val="000000" w:themeColor="text1"/>
          <w:lang w:val="es-CO"/>
        </w:rPr>
        <w:t xml:space="preserve">Oferta comprometida en contratos de suministro C1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productor–comercializador o comercializador de gas importado </w:t>
      </w:r>
      <w:r w:rsidR="00B85E50" w:rsidRPr="00B85E50">
        <w:rPr>
          <w:rFonts w:cs="Arial"/>
          <w:i/>
          <w:iCs/>
          <w:color w:val="000000" w:themeColor="text1"/>
          <w:lang w:val="es-CO"/>
        </w:rPr>
        <w:t>s</w:t>
      </w:r>
      <w:r w:rsidR="00B85E50">
        <w:rPr>
          <w:rFonts w:cs="Arial"/>
          <w:i/>
          <w:iCs/>
          <w:color w:val="000000" w:themeColor="text1"/>
          <w:lang w:val="es-CO"/>
        </w:rPr>
        <w:t xml:space="preserve"> </w:t>
      </w:r>
      <w:r w:rsidR="00D34BB1" w:rsidRPr="003A0C90">
        <w:rPr>
          <w:rFonts w:cs="Arial"/>
          <w:color w:val="000000" w:themeColor="text1"/>
          <w:lang w:val="es-CO"/>
        </w:rPr>
        <w:t xml:space="preserve">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549F00DC" w14:textId="77777777" w:rsidR="00D34BB1" w:rsidRPr="003A0C90" w:rsidRDefault="00D34BB1" w:rsidP="000871FF">
      <w:pPr>
        <w:pStyle w:val="ARTICULOS"/>
        <w:numPr>
          <w:ilvl w:val="0"/>
          <w:numId w:val="0"/>
        </w:numPr>
        <w:ind w:left="1701" w:hanging="1134"/>
        <w:rPr>
          <w:rFonts w:cs="Arial"/>
          <w:color w:val="000000" w:themeColor="text1"/>
          <w:lang w:val="es-CO"/>
        </w:rPr>
      </w:pPr>
    </w:p>
    <w:p w14:paraId="72F0D475" w14:textId="772D40EC"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O</m:t>
            </m:r>
          </m:e>
          <m:sub>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C2</m:t>
                </m:r>
              </m:e>
              <m:sub>
                <m:r>
                  <w:rPr>
                    <w:rFonts w:ascii="Cambria Math" w:hAnsi="Cambria Math" w:cs="Arial"/>
                    <w:color w:val="000000" w:themeColor="text1"/>
                    <w:szCs w:val="19"/>
                    <w:lang w:val="es-CO"/>
                  </w:rPr>
                  <m:t>f,t,s,m</m:t>
                </m:r>
              </m:sub>
            </m:sSub>
          </m:sub>
        </m:sSub>
      </m:oMath>
      <w:r w:rsidR="00D34BB1" w:rsidRPr="003A0C90">
        <w:rPr>
          <w:rFonts w:cs="Arial"/>
          <w:color w:val="000000" w:themeColor="text1"/>
          <w:szCs w:val="19"/>
          <w:lang w:val="es-CO"/>
        </w:rPr>
        <w:t>:</w:t>
      </w:r>
      <w:r w:rsidR="00D34BB1" w:rsidRPr="003A0C90">
        <w:rPr>
          <w:rFonts w:cs="Arial"/>
          <w:color w:val="000000" w:themeColor="text1"/>
          <w:szCs w:val="19"/>
          <w:lang w:val="es-CO"/>
        </w:rPr>
        <w:tab/>
      </w:r>
      <w:r w:rsidR="00CF253A">
        <w:rPr>
          <w:rFonts w:cs="Arial"/>
          <w:color w:val="000000" w:themeColor="text1"/>
          <w:szCs w:val="19"/>
          <w:lang w:val="es-CO"/>
        </w:rPr>
        <w:tab/>
      </w:r>
      <w:r w:rsidR="00D34BB1" w:rsidRPr="003A0C90">
        <w:rPr>
          <w:rFonts w:cs="Arial"/>
          <w:color w:val="000000" w:themeColor="text1"/>
          <w:lang w:val="es-CO"/>
        </w:rPr>
        <w:t xml:space="preserve">Oferta comprometida en contratos de suministro C2 de la fuente </w:t>
      </w:r>
      <m:oMath>
        <m:r>
          <w:rPr>
            <w:rFonts w:ascii="Cambria Math" w:hAnsi="Cambria Math" w:cs="Arial"/>
            <w:color w:val="000000" w:themeColor="text1"/>
            <w:lang w:val="es-CO"/>
          </w:rPr>
          <m:t>f</m:t>
        </m:r>
      </m:oMath>
      <w:r w:rsidR="00D34BB1" w:rsidRPr="003A0C90">
        <w:rPr>
          <w:rFonts w:cs="Arial"/>
          <w:color w:val="000000" w:themeColor="text1"/>
          <w:lang w:val="es-CO"/>
        </w:rPr>
        <w:t xml:space="preserve">, del año </w:t>
      </w:r>
      <m:oMath>
        <m:r>
          <w:rPr>
            <w:rFonts w:ascii="Cambria Math" w:hAnsi="Cambria Math" w:cs="Arial"/>
            <w:color w:val="000000" w:themeColor="text1"/>
            <w:lang w:val="es-CO"/>
          </w:rPr>
          <m:t>t</m:t>
        </m:r>
      </m:oMath>
      <w:r w:rsidR="00D34BB1" w:rsidRPr="003A0C90">
        <w:rPr>
          <w:rFonts w:cs="Arial"/>
          <w:color w:val="000000" w:themeColor="text1"/>
          <w:lang w:val="es-CO"/>
        </w:rPr>
        <w:t xml:space="preserve">, del productor–comercializador o comercializador de gas importado </w:t>
      </w:r>
      <w:r w:rsidR="00B85E50" w:rsidRPr="00B85E50">
        <w:rPr>
          <w:rFonts w:cs="Arial"/>
          <w:i/>
          <w:iCs/>
          <w:color w:val="000000" w:themeColor="text1"/>
          <w:lang w:val="es-CO"/>
        </w:rPr>
        <w:t>s</w:t>
      </w:r>
      <w:r w:rsidR="00B85E50" w:rsidRPr="003A0C90">
        <w:rPr>
          <w:rFonts w:cs="Arial"/>
          <w:color w:val="000000" w:themeColor="text1"/>
          <w:lang w:val="es-CO"/>
        </w:rPr>
        <w:t xml:space="preserve"> </w:t>
      </w:r>
      <w:r w:rsidR="00D34BB1" w:rsidRPr="003A0C90">
        <w:rPr>
          <w:rFonts w:cs="Arial"/>
          <w:color w:val="000000" w:themeColor="text1"/>
          <w:lang w:val="es-CO"/>
        </w:rPr>
        <w:t xml:space="preserve">y para el mes </w:t>
      </w:r>
      <m:oMath>
        <m:r>
          <w:rPr>
            <w:rFonts w:ascii="Cambria Math" w:hAnsi="Cambria Math" w:cs="Arial"/>
            <w:color w:val="000000" w:themeColor="text1"/>
            <w:lang w:val="es-CO"/>
          </w:rPr>
          <m:t>m</m:t>
        </m:r>
      </m:oMath>
      <w:r w:rsidR="00D34BB1" w:rsidRPr="003A0C90">
        <w:rPr>
          <w:rFonts w:cs="Arial"/>
          <w:color w:val="000000" w:themeColor="text1"/>
          <w:lang w:val="es-CO"/>
        </w:rPr>
        <w:t xml:space="preserve"> . Este valor se expresará en MBTUD.</w:t>
      </w:r>
    </w:p>
    <w:p w14:paraId="1C1372DC" w14:textId="77777777" w:rsidR="00D34BB1" w:rsidRPr="003A0C90" w:rsidRDefault="00D34BB1" w:rsidP="000871FF">
      <w:pPr>
        <w:pStyle w:val="ARTICULOS"/>
        <w:numPr>
          <w:ilvl w:val="0"/>
          <w:numId w:val="0"/>
        </w:numPr>
        <w:ind w:left="1701" w:hanging="1134"/>
        <w:rPr>
          <w:rFonts w:cs="Arial"/>
          <w:color w:val="000000" w:themeColor="text1"/>
          <w:lang w:val="es-CO"/>
        </w:rPr>
      </w:pPr>
    </w:p>
    <w:p w14:paraId="312A1A32" w14:textId="1E209D1D"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F</m:t>
            </m:r>
          </m:e>
          <m:sub>
            <m:r>
              <w:rPr>
                <w:rFonts w:ascii="Cambria Math" w:hAnsi="Cambria Math" w:cs="Arial"/>
                <w:color w:val="000000" w:themeColor="text1"/>
                <w:szCs w:val="19"/>
                <w:lang w:val="es-CO"/>
              </w:rPr>
              <m:t>C1</m:t>
            </m:r>
          </m:sub>
        </m:sSub>
      </m:oMath>
      <w:r w:rsidR="00D34BB1" w:rsidRPr="003A0C90">
        <w:rPr>
          <w:rFonts w:cs="Arial"/>
          <w:color w:val="000000" w:themeColor="text1"/>
          <w:szCs w:val="19"/>
          <w:lang w:val="es-CO"/>
        </w:rPr>
        <w:t>:</w:t>
      </w:r>
      <w:r w:rsidR="00D34BB1" w:rsidRPr="003A0C90">
        <w:rPr>
          <w:rFonts w:cs="Arial"/>
          <w:color w:val="000000" w:themeColor="text1"/>
          <w:szCs w:val="19"/>
          <w:lang w:val="es-CO"/>
        </w:rPr>
        <w:tab/>
      </w:r>
      <w:r w:rsidR="00CF253A">
        <w:rPr>
          <w:rFonts w:cs="Arial"/>
          <w:color w:val="000000" w:themeColor="text1"/>
          <w:szCs w:val="19"/>
          <w:lang w:val="es-CO"/>
        </w:rPr>
        <w:tab/>
      </w:r>
      <w:r w:rsidR="00D34BB1" w:rsidRPr="003A0C90">
        <w:rPr>
          <w:rFonts w:cs="Arial"/>
          <w:color w:val="000000" w:themeColor="text1"/>
          <w:lang w:val="es-CO"/>
        </w:rPr>
        <w:t>Porcentaje sobre la cantidad máxima de los contratos de suministro C1 que corresponde a firme, correspondiente a treinta por ciento (30%).</w:t>
      </w:r>
    </w:p>
    <w:p w14:paraId="373BB373" w14:textId="77777777" w:rsidR="00D34BB1" w:rsidRPr="003A0C90" w:rsidRDefault="00D34BB1" w:rsidP="000871FF">
      <w:pPr>
        <w:pStyle w:val="ARTICULOS"/>
        <w:numPr>
          <w:ilvl w:val="0"/>
          <w:numId w:val="0"/>
        </w:numPr>
        <w:ind w:left="1701" w:hanging="1134"/>
        <w:rPr>
          <w:rFonts w:cs="Arial"/>
          <w:color w:val="000000" w:themeColor="text1"/>
          <w:lang w:val="es-CO"/>
        </w:rPr>
      </w:pPr>
    </w:p>
    <w:p w14:paraId="26303675" w14:textId="64383348" w:rsidR="00D34BB1" w:rsidRPr="003A0C90" w:rsidRDefault="00000000" w:rsidP="000871FF">
      <w:pPr>
        <w:pStyle w:val="ARTICULOS"/>
        <w:numPr>
          <w:ilvl w:val="0"/>
          <w:numId w:val="0"/>
        </w:numPr>
        <w:ind w:left="1701" w:hanging="1134"/>
        <w:rPr>
          <w:rFonts w:cs="Arial"/>
          <w:color w:val="000000" w:themeColor="text1"/>
          <w:lang w:val="es-CO"/>
        </w:rPr>
      </w:pPr>
      <m:oMath>
        <m:sSub>
          <m:sSubPr>
            <m:ctrlPr>
              <w:rPr>
                <w:rFonts w:ascii="Cambria Math" w:hAnsi="Cambria Math" w:cs="Arial"/>
                <w:i/>
                <w:color w:val="000000" w:themeColor="text1"/>
                <w:szCs w:val="19"/>
                <w:lang w:val="es-CO"/>
              </w:rPr>
            </m:ctrlPr>
          </m:sSubPr>
          <m:e>
            <m:r>
              <w:rPr>
                <w:rFonts w:ascii="Cambria Math" w:hAnsi="Cambria Math" w:cs="Arial"/>
                <w:color w:val="000000" w:themeColor="text1"/>
                <w:szCs w:val="19"/>
                <w:lang w:val="es-CO"/>
              </w:rPr>
              <m:t>F</m:t>
            </m:r>
          </m:e>
          <m:sub>
            <m:r>
              <w:rPr>
                <w:rFonts w:ascii="Cambria Math" w:hAnsi="Cambria Math" w:cs="Arial"/>
                <w:color w:val="000000" w:themeColor="text1"/>
                <w:szCs w:val="19"/>
                <w:lang w:val="es-CO"/>
              </w:rPr>
              <m:t>C2</m:t>
            </m:r>
          </m:sub>
        </m:sSub>
      </m:oMath>
      <w:r w:rsidR="00D34BB1" w:rsidRPr="003A0C90">
        <w:rPr>
          <w:rFonts w:cs="Arial"/>
          <w:color w:val="000000" w:themeColor="text1"/>
          <w:szCs w:val="19"/>
          <w:lang w:val="es-CO"/>
        </w:rPr>
        <w:t>:</w:t>
      </w:r>
      <w:r w:rsidR="00D34BB1" w:rsidRPr="003A0C90">
        <w:rPr>
          <w:rFonts w:cs="Arial"/>
          <w:color w:val="000000" w:themeColor="text1"/>
          <w:szCs w:val="19"/>
          <w:lang w:val="es-CO"/>
        </w:rPr>
        <w:tab/>
      </w:r>
      <w:r w:rsidR="00CF253A">
        <w:rPr>
          <w:rFonts w:cs="Arial"/>
          <w:color w:val="000000" w:themeColor="text1"/>
          <w:szCs w:val="19"/>
          <w:lang w:val="es-CO"/>
        </w:rPr>
        <w:tab/>
      </w:r>
      <w:r w:rsidR="00D34BB1" w:rsidRPr="003A0C90">
        <w:rPr>
          <w:rFonts w:cs="Arial"/>
          <w:color w:val="000000" w:themeColor="text1"/>
          <w:lang w:val="es-CO"/>
        </w:rPr>
        <w:t>Porcentaje sobre la cantidad máxima de los contratos de suministro C2 que corresponde a firme, correspondiente a</w:t>
      </w:r>
      <w:r w:rsidR="008A2F1A" w:rsidRPr="003A0C90">
        <w:rPr>
          <w:rFonts w:cs="Arial"/>
          <w:color w:val="000000" w:themeColor="text1"/>
          <w:lang w:val="es-CO"/>
        </w:rPr>
        <w:t xml:space="preserve"> set</w:t>
      </w:r>
      <w:r w:rsidR="00D34BB1" w:rsidRPr="003A0C90">
        <w:rPr>
          <w:rFonts w:cs="Arial"/>
          <w:color w:val="000000" w:themeColor="text1"/>
          <w:lang w:val="es-CO"/>
        </w:rPr>
        <w:t>enta y cinco por ciento (</w:t>
      </w:r>
      <w:r w:rsidR="008A2F1A" w:rsidRPr="003A0C90">
        <w:rPr>
          <w:rFonts w:cs="Arial"/>
          <w:color w:val="000000" w:themeColor="text1"/>
          <w:lang w:val="es-CO"/>
        </w:rPr>
        <w:t>7</w:t>
      </w:r>
      <w:r w:rsidR="00D34BB1" w:rsidRPr="003A0C90">
        <w:rPr>
          <w:rFonts w:cs="Arial"/>
          <w:color w:val="000000" w:themeColor="text1"/>
          <w:lang w:val="es-CO"/>
        </w:rPr>
        <w:t>5%).</w:t>
      </w:r>
    </w:p>
    <w:p w14:paraId="6ADD6391" w14:textId="77777777" w:rsidR="00D34BB1" w:rsidRPr="003A0C90" w:rsidRDefault="00D34BB1" w:rsidP="000871FF">
      <w:pPr>
        <w:pStyle w:val="ARTICULOS"/>
        <w:numPr>
          <w:ilvl w:val="0"/>
          <w:numId w:val="0"/>
        </w:numPr>
        <w:ind w:left="1701" w:hanging="1134"/>
        <w:rPr>
          <w:rFonts w:cs="Arial"/>
          <w:color w:val="000000" w:themeColor="text1"/>
          <w:highlight w:val="green"/>
          <w:lang w:val="es-CO"/>
        </w:rPr>
      </w:pPr>
    </w:p>
    <w:p w14:paraId="4A41A896" w14:textId="5B143183" w:rsidR="00D34BB1" w:rsidRPr="003A0C90" w:rsidRDefault="003A0C90" w:rsidP="000871FF">
      <w:pPr>
        <w:pStyle w:val="ARTICULOS"/>
        <w:numPr>
          <w:ilvl w:val="0"/>
          <w:numId w:val="0"/>
        </w:numPr>
        <w:ind w:left="1701" w:hanging="1134"/>
        <w:rPr>
          <w:rFonts w:cs="Arial"/>
          <w:color w:val="000000" w:themeColor="text1"/>
          <w:lang w:val="es-CO"/>
        </w:rPr>
      </w:pPr>
      <m:oMath>
        <m:r>
          <w:rPr>
            <w:rFonts w:ascii="Cambria Math" w:hAnsi="Cambria Math" w:cs="Arial"/>
            <w:color w:val="000000" w:themeColor="text1"/>
            <w:lang w:val="es-CO"/>
          </w:rPr>
          <m:t>m</m:t>
        </m:r>
      </m:oMath>
      <w:r w:rsidR="00D34BB1" w:rsidRPr="003A0C90">
        <w:rPr>
          <w:rFonts w:cs="Arial"/>
          <w:color w:val="000000" w:themeColor="text1"/>
          <w:lang w:val="es-CO"/>
        </w:rPr>
        <w:t>:</w:t>
      </w:r>
      <w:r w:rsidR="00D34BB1" w:rsidRPr="003A0C90">
        <w:rPr>
          <w:rFonts w:cs="Arial"/>
          <w:color w:val="000000" w:themeColor="text1"/>
          <w:lang w:val="es-CO"/>
        </w:rPr>
        <w:tab/>
      </w:r>
      <w:r w:rsidR="00CF253A">
        <w:rPr>
          <w:rFonts w:cs="Arial"/>
          <w:color w:val="000000" w:themeColor="text1"/>
          <w:lang w:val="es-CO"/>
        </w:rPr>
        <w:tab/>
      </w:r>
      <w:r w:rsidR="00D34BB1" w:rsidRPr="003A0C90">
        <w:rPr>
          <w:rFonts w:cs="Arial"/>
          <w:color w:val="000000" w:themeColor="text1"/>
          <w:lang w:val="es-CO"/>
        </w:rPr>
        <w:t xml:space="preserve">Todos y cada uno de los meses en los que existan contratos vigentes de las modalidades firme, firmeza condicionada, opciones de compra de gas y/u opciones de compra de gas contra exportaciones, definidos en el </w:t>
      </w:r>
      <w:r w:rsidR="00D34BB1" w:rsidRPr="003A0C90">
        <w:rPr>
          <w:rFonts w:cs="Arial"/>
          <w:color w:val="000000" w:themeColor="text1"/>
          <w:lang w:val="es-CO"/>
        </w:rPr>
        <w:fldChar w:fldCharType="begin"/>
      </w:r>
      <w:r w:rsidR="00D34BB1" w:rsidRPr="003A0C90">
        <w:rPr>
          <w:rFonts w:cs="Arial"/>
          <w:color w:val="000000" w:themeColor="text1"/>
          <w:lang w:val="es-CO"/>
        </w:rPr>
        <w:instrText xml:space="preserve"> REF _Ref334521040 \n \h  \* MERGEFORMAT </w:instrText>
      </w:r>
      <w:r w:rsidR="00D34BB1" w:rsidRPr="003A0C90">
        <w:rPr>
          <w:rFonts w:cs="Arial"/>
          <w:color w:val="000000" w:themeColor="text1"/>
          <w:lang w:val="es-CO"/>
        </w:rPr>
      </w:r>
      <w:r w:rsidR="00D34BB1" w:rsidRPr="003A0C90">
        <w:rPr>
          <w:rFonts w:cs="Arial"/>
          <w:color w:val="000000" w:themeColor="text1"/>
          <w:lang w:val="es-CO"/>
        </w:rPr>
        <w:fldChar w:fldCharType="separate"/>
      </w:r>
      <w:r w:rsidR="00746F74" w:rsidRPr="003A0C90">
        <w:rPr>
          <w:rFonts w:cs="Arial"/>
          <w:color w:val="000000" w:themeColor="text1"/>
          <w:lang w:val="es-CO"/>
        </w:rPr>
        <w:t>artículo</w:t>
      </w:r>
      <w:r w:rsidR="00D34BB1" w:rsidRPr="003A0C90">
        <w:rPr>
          <w:rFonts w:cs="Arial"/>
          <w:color w:val="000000" w:themeColor="text1"/>
          <w:lang w:val="es-CO"/>
        </w:rPr>
        <w:t xml:space="preserve"> </w:t>
      </w:r>
      <w:r w:rsidR="00376008" w:rsidRPr="003A0C90">
        <w:rPr>
          <w:rFonts w:cs="Arial"/>
          <w:color w:val="000000" w:themeColor="text1"/>
          <w:lang w:val="es-CO"/>
        </w:rPr>
        <w:t>8</w:t>
      </w:r>
      <w:r w:rsidR="00D34BB1" w:rsidRPr="003A0C90">
        <w:rPr>
          <w:rFonts w:cs="Arial"/>
          <w:color w:val="000000" w:themeColor="text1"/>
          <w:lang w:val="es-CO"/>
        </w:rPr>
        <w:fldChar w:fldCharType="end"/>
      </w:r>
      <w:r w:rsidR="00D34BB1" w:rsidRPr="003A0C90">
        <w:rPr>
          <w:rFonts w:cs="Arial"/>
          <w:color w:val="000000" w:themeColor="text1"/>
          <w:lang w:val="es-CO"/>
        </w:rPr>
        <w:t xml:space="preserve"> de </w:t>
      </w:r>
      <w:r w:rsidR="00376008" w:rsidRPr="003A0C90">
        <w:rPr>
          <w:rFonts w:cs="Arial"/>
          <w:color w:val="000000" w:themeColor="text1"/>
          <w:lang w:val="es-CO"/>
        </w:rPr>
        <w:t>la presente</w:t>
      </w:r>
      <w:r w:rsidR="00D34BB1" w:rsidRPr="003A0C90">
        <w:rPr>
          <w:rFonts w:cs="Arial"/>
          <w:color w:val="000000" w:themeColor="text1"/>
          <w:lang w:val="es-CO"/>
        </w:rPr>
        <w:t xml:space="preserve"> Resolución.</w:t>
      </w:r>
    </w:p>
    <w:p w14:paraId="53ED6685" w14:textId="77777777" w:rsidR="00D34BB1" w:rsidRPr="003A0C90" w:rsidRDefault="00D34BB1" w:rsidP="000871FF">
      <w:pPr>
        <w:pStyle w:val="ARTICULOS"/>
        <w:numPr>
          <w:ilvl w:val="0"/>
          <w:numId w:val="0"/>
        </w:numPr>
        <w:tabs>
          <w:tab w:val="clear" w:pos="1559"/>
          <w:tab w:val="left" w:pos="1560"/>
        </w:tabs>
        <w:ind w:left="1701"/>
        <w:rPr>
          <w:rFonts w:cs="Arial"/>
          <w:color w:val="000000" w:themeColor="text1"/>
          <w:lang w:val="es-CO"/>
        </w:rPr>
      </w:pPr>
    </w:p>
    <w:p w14:paraId="5582E8F6" w14:textId="77777777" w:rsidR="00D34BB1" w:rsidRPr="003A0C90" w:rsidRDefault="00D34BB1" w:rsidP="000871FF">
      <w:pPr>
        <w:pStyle w:val="ARTICULOS"/>
        <w:numPr>
          <w:ilvl w:val="0"/>
          <w:numId w:val="0"/>
        </w:numPr>
        <w:tabs>
          <w:tab w:val="clear" w:pos="1559"/>
          <w:tab w:val="left" w:pos="1560"/>
        </w:tabs>
        <w:ind w:left="1701"/>
        <w:rPr>
          <w:rFonts w:cs="Arial"/>
          <w:color w:val="000000" w:themeColor="text1"/>
          <w:lang w:val="es-CO"/>
        </w:rPr>
      </w:pPr>
    </w:p>
    <w:p w14:paraId="1A300DBF" w14:textId="1F4594B8" w:rsidR="00D34BB1" w:rsidRPr="003A0C90" w:rsidRDefault="00D34BB1" w:rsidP="00CF253A">
      <w:pPr>
        <w:pStyle w:val="ARTICULOS"/>
        <w:numPr>
          <w:ilvl w:val="0"/>
          <w:numId w:val="0"/>
        </w:numPr>
        <w:tabs>
          <w:tab w:val="clear" w:pos="1559"/>
          <w:tab w:val="left" w:pos="1560"/>
        </w:tabs>
        <w:ind w:left="567"/>
        <w:rPr>
          <w:rFonts w:cs="Arial"/>
          <w:color w:val="000000" w:themeColor="text1"/>
          <w:lang w:val="es-CO"/>
        </w:rPr>
      </w:pPr>
      <w:r w:rsidRPr="003A0C90">
        <w:rPr>
          <w:rFonts w:cs="Arial"/>
          <w:color w:val="000000" w:themeColor="text1"/>
          <w:lang w:val="es-CO"/>
        </w:rPr>
        <w:t xml:space="preserve">Para cada uno de los meses </w:t>
      </w:r>
      <m:oMath>
        <m:r>
          <w:rPr>
            <w:rFonts w:ascii="Cambria Math" w:hAnsi="Cambria Math" w:cs="Arial"/>
            <w:color w:val="000000" w:themeColor="text1"/>
            <w:lang w:val="es-CO"/>
          </w:rPr>
          <m:t>m</m:t>
        </m:r>
      </m:oMath>
      <w:r w:rsidRPr="003A0C90">
        <w:rPr>
          <w:rFonts w:cs="Arial"/>
          <w:color w:val="000000" w:themeColor="text1"/>
          <w:lang w:val="es-CO"/>
        </w:rPr>
        <w:t xml:space="preserve"> el gestor del mercado calculará y publicará en el BEC la oferta comprometida firme </w:t>
      </w:r>
      <m:oMath>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OCF</m:t>
            </m:r>
          </m:e>
          <m:sub>
            <m:r>
              <w:rPr>
                <w:rFonts w:ascii="Cambria Math" w:hAnsi="Cambria Math" w:cs="Arial"/>
                <w:color w:val="000000" w:themeColor="text1"/>
                <w:lang w:val="es-CO"/>
              </w:rPr>
              <m:t>f,t,s,m</m:t>
            </m:r>
          </m:sub>
        </m:sSub>
      </m:oMath>
      <w:r w:rsidRPr="003A0C90">
        <w:rPr>
          <w:rFonts w:cs="Arial"/>
          <w:color w:val="000000" w:themeColor="text1"/>
          <w:lang w:val="es-CO"/>
        </w:rPr>
        <w:t>.</w:t>
      </w:r>
    </w:p>
    <w:p w14:paraId="408C0CD6" w14:textId="77777777" w:rsidR="00D34BB1" w:rsidRPr="003A0C90" w:rsidRDefault="00D34BB1" w:rsidP="00D34BB1">
      <w:pPr>
        <w:ind w:left="0"/>
        <w:jc w:val="both"/>
        <w:rPr>
          <w:rFonts w:ascii="Bookman Old Style" w:hAnsi="Bookman Old Style" w:cs="Arial"/>
          <w:bCs/>
          <w:color w:val="000000" w:themeColor="text1"/>
          <w:lang w:val="es-CO"/>
        </w:rPr>
      </w:pPr>
    </w:p>
    <w:p w14:paraId="57D54D46" w14:textId="77777777" w:rsidR="00D34BB1" w:rsidRPr="003A0C90" w:rsidRDefault="00D34BB1" w:rsidP="00D34BB1">
      <w:pPr>
        <w:pStyle w:val="ARTICULOS"/>
        <w:keepNext/>
        <w:numPr>
          <w:ilvl w:val="0"/>
          <w:numId w:val="0"/>
        </w:numPr>
        <w:tabs>
          <w:tab w:val="clear" w:pos="1559"/>
          <w:tab w:val="left" w:pos="1560"/>
        </w:tabs>
        <w:ind w:left="567"/>
        <w:rPr>
          <w:rFonts w:cs="Arial"/>
          <w:color w:val="000000" w:themeColor="text1"/>
          <w:lang w:val="es-CO"/>
        </w:rPr>
      </w:pPr>
      <w:r w:rsidRPr="003A0C90">
        <w:rPr>
          <w:rFonts w:cs="Arial"/>
          <w:color w:val="000000" w:themeColor="text1"/>
          <w:lang w:val="es-CO"/>
        </w:rPr>
        <w:t>Cuando en la ecuación anterior ocurre que:</w:t>
      </w:r>
    </w:p>
    <w:p w14:paraId="2D0266F9" w14:textId="77777777" w:rsidR="00D34BB1" w:rsidRPr="003A0C90" w:rsidRDefault="00D34BB1" w:rsidP="00D34BB1">
      <w:pPr>
        <w:pStyle w:val="ARTICULOS"/>
        <w:keepNext/>
        <w:numPr>
          <w:ilvl w:val="0"/>
          <w:numId w:val="0"/>
        </w:numPr>
        <w:tabs>
          <w:tab w:val="clear" w:pos="1559"/>
          <w:tab w:val="left" w:pos="1560"/>
        </w:tabs>
        <w:ind w:left="567"/>
        <w:rPr>
          <w:rFonts w:cs="Arial"/>
          <w:color w:val="000000" w:themeColor="text1"/>
          <w:lang w:val="es-CO"/>
        </w:rPr>
      </w:pPr>
    </w:p>
    <w:p w14:paraId="5035318D" w14:textId="46839739" w:rsidR="00D34BB1" w:rsidRPr="003A0C90" w:rsidRDefault="00000000" w:rsidP="00D34BB1">
      <w:pPr>
        <w:pStyle w:val="ARTICULOS"/>
        <w:numPr>
          <w:ilvl w:val="0"/>
          <w:numId w:val="0"/>
        </w:numPr>
        <w:tabs>
          <w:tab w:val="clear" w:pos="1559"/>
          <w:tab w:val="left" w:pos="1560"/>
        </w:tabs>
        <w:ind w:left="567"/>
        <w:jc w:val="center"/>
        <w:rPr>
          <w:rFonts w:cs="Arial"/>
          <w:color w:val="000000" w:themeColor="text1"/>
          <w:lang w:val="es-CO"/>
        </w:rPr>
      </w:pPr>
      <m:oMathPara>
        <m:oMath>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CFC</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&gt;</m:t>
              </m:r>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m:t>
                          </m:r>
                        </m:e>
                        <m:sub>
                          <m:r>
                            <w:rPr>
                              <w:rFonts w:ascii="Cambria Math" w:hAnsi="Cambria Math" w:cs="Arial"/>
                              <w:color w:val="000000" w:themeColor="text1"/>
                              <w:lang w:val="es-CO"/>
                            </w:rPr>
                            <m:t>f,t,s,m</m:t>
                          </m:r>
                        </m:sub>
                      </m:sSub>
                    </m:sub>
                  </m:sSub>
                </m:e>
              </m:nary>
            </m:e>
          </m:nary>
        </m:oMath>
      </m:oMathPara>
    </w:p>
    <w:p w14:paraId="23BAD8EC" w14:textId="77777777"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p>
    <w:p w14:paraId="5220A263" w14:textId="15D71DFD"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r w:rsidRPr="003A0C90">
        <w:rPr>
          <w:rFonts w:cs="Arial"/>
          <w:color w:val="000000" w:themeColor="text1"/>
          <w:lang w:val="es-CO"/>
        </w:rPr>
        <w:t xml:space="preserve">Los vendedores sólo podrán ofrecer la diferencia, </w:t>
      </w:r>
      <m:oMath>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CFC</m:t>
                    </m:r>
                  </m:e>
                  <m:sub>
                    <m:r>
                      <w:rPr>
                        <w:rFonts w:ascii="Cambria Math" w:hAnsi="Cambria Math" w:cs="Arial"/>
                        <w:color w:val="000000" w:themeColor="text1"/>
                        <w:lang w:val="es-CO"/>
                      </w:rPr>
                      <m:t>f,t,s,m</m:t>
                    </m:r>
                  </m:sub>
                </m:sSub>
              </m:sub>
            </m:sSub>
            <m:r>
              <w:rPr>
                <w:rFonts w:ascii="Cambria Math" w:hAnsi="Cambria Math" w:cs="Arial"/>
                <w:color w:val="000000" w:themeColor="text1"/>
                <w:lang w:val="es-CO"/>
              </w:rPr>
              <m:t>-</m:t>
            </m:r>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m:t>
                        </m:r>
                      </m:e>
                      <m:sub>
                        <m:r>
                          <w:rPr>
                            <w:rFonts w:ascii="Cambria Math" w:hAnsi="Cambria Math" w:cs="Arial"/>
                            <w:color w:val="000000" w:themeColor="text1"/>
                            <w:lang w:val="es-CO"/>
                          </w:rPr>
                          <m:t>f,t,s,m</m:t>
                        </m:r>
                      </m:sub>
                    </m:sSub>
                  </m:sub>
                </m:sSub>
              </m:e>
            </m:nary>
          </m:e>
        </m:nary>
      </m:oMath>
      <w:r w:rsidRPr="003A0C90">
        <w:rPr>
          <w:rFonts w:cs="Arial"/>
          <w:color w:val="000000" w:themeColor="text1"/>
          <w:lang w:val="es-CO"/>
        </w:rPr>
        <w:t xml:space="preserve">, a través de contratos de opción de compra de gas, </w:t>
      </w:r>
      <m:oMath>
        <m:r>
          <w:rPr>
            <w:rFonts w:ascii="Cambria Math" w:hAnsi="Cambria Math" w:cs="Arial"/>
            <w:color w:val="000000" w:themeColor="text1"/>
            <w:lang w:val="es-CO"/>
          </w:rPr>
          <m:t>OCG</m:t>
        </m:r>
      </m:oMath>
      <w:r w:rsidRPr="003A0C90">
        <w:rPr>
          <w:rFonts w:cs="Arial"/>
          <w:color w:val="000000" w:themeColor="text1"/>
          <w:lang w:val="es-CO"/>
        </w:rPr>
        <w:t xml:space="preserve">. </w:t>
      </w:r>
    </w:p>
    <w:p w14:paraId="490282D6" w14:textId="77777777"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p>
    <w:p w14:paraId="0062218A" w14:textId="4D68A98D"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r w:rsidRPr="003A0C90">
        <w:rPr>
          <w:rFonts w:cs="Arial"/>
          <w:color w:val="000000" w:themeColor="text1"/>
          <w:lang w:val="es-CO"/>
        </w:rPr>
        <w:t>Cuando</w:t>
      </w:r>
      <w:r w:rsidR="00107DCF">
        <w:rPr>
          <w:rFonts w:cs="Arial"/>
          <w:color w:val="000000" w:themeColor="text1"/>
          <w:lang w:val="es-CO"/>
        </w:rPr>
        <w:t>,</w:t>
      </w:r>
      <w:r w:rsidRPr="003A0C90">
        <w:rPr>
          <w:rFonts w:cs="Arial"/>
          <w:color w:val="000000" w:themeColor="text1"/>
          <w:lang w:val="es-CO"/>
        </w:rPr>
        <w:t xml:space="preserve"> por el contrario</w:t>
      </w:r>
      <w:r w:rsidR="000871FF" w:rsidRPr="003A0C90">
        <w:rPr>
          <w:rFonts w:cs="Arial"/>
          <w:color w:val="000000" w:themeColor="text1"/>
          <w:lang w:val="es-CO"/>
        </w:rPr>
        <w:t>,</w:t>
      </w:r>
      <w:r w:rsidRPr="003A0C90">
        <w:rPr>
          <w:rFonts w:cs="Arial"/>
          <w:color w:val="000000" w:themeColor="text1"/>
          <w:lang w:val="es-CO"/>
        </w:rPr>
        <w:t xml:space="preserve"> ocurre que:</w:t>
      </w:r>
    </w:p>
    <w:p w14:paraId="4FAD5DC9" w14:textId="77777777"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p>
    <w:p w14:paraId="48F3B9C4" w14:textId="34F516F0" w:rsidR="00D34BB1" w:rsidRPr="003A0C90" w:rsidRDefault="00000000" w:rsidP="00D34BB1">
      <w:pPr>
        <w:pStyle w:val="ARTICULOS"/>
        <w:numPr>
          <w:ilvl w:val="0"/>
          <w:numId w:val="0"/>
        </w:numPr>
        <w:tabs>
          <w:tab w:val="clear" w:pos="1559"/>
          <w:tab w:val="left" w:pos="1560"/>
        </w:tabs>
        <w:ind w:left="567"/>
        <w:jc w:val="center"/>
        <w:rPr>
          <w:rFonts w:cs="Arial"/>
          <w:color w:val="000000" w:themeColor="text1"/>
          <w:lang w:val="es-CO"/>
        </w:rPr>
      </w:pPr>
      <m:oMathPara>
        <m:oMath>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m:t>
                      </m:r>
                    </m:e>
                    <m:sub>
                      <m:r>
                        <w:rPr>
                          <w:rFonts w:ascii="Cambria Math" w:hAnsi="Cambria Math" w:cs="Arial"/>
                          <w:color w:val="000000" w:themeColor="text1"/>
                          <w:lang w:val="es-CO"/>
                        </w:rPr>
                        <m:t>f,t,s,m</m:t>
                      </m:r>
                    </m:sub>
                  </m:sSub>
                </m:sub>
              </m:sSub>
            </m:e>
          </m:nary>
          <m:r>
            <w:rPr>
              <w:rFonts w:ascii="Cambria Math" w:hAnsi="Cambria Math" w:cs="Arial"/>
              <w:color w:val="000000" w:themeColor="text1"/>
              <w:lang w:val="es-CO"/>
            </w:rPr>
            <m:t>&gt;</m:t>
          </m:r>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CFC</m:t>
                      </m:r>
                    </m:e>
                    <m:sub>
                      <m:r>
                        <w:rPr>
                          <w:rFonts w:ascii="Cambria Math" w:hAnsi="Cambria Math" w:cs="Arial"/>
                          <w:color w:val="000000" w:themeColor="text1"/>
                          <w:lang w:val="es-CO"/>
                        </w:rPr>
                        <m:t>f,t,s,m</m:t>
                      </m:r>
                    </m:sub>
                  </m:sSub>
                </m:sub>
              </m:sSub>
            </m:e>
          </m:nary>
        </m:oMath>
      </m:oMathPara>
    </w:p>
    <w:p w14:paraId="492A82F2" w14:textId="77777777"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p>
    <w:p w14:paraId="7EEE6995" w14:textId="5561EF2F" w:rsidR="00D34BB1" w:rsidRPr="003A0C90" w:rsidRDefault="00D34BB1" w:rsidP="00D34BB1">
      <w:pPr>
        <w:pStyle w:val="ARTICULOS"/>
        <w:numPr>
          <w:ilvl w:val="0"/>
          <w:numId w:val="0"/>
        </w:numPr>
        <w:tabs>
          <w:tab w:val="clear" w:pos="1559"/>
          <w:tab w:val="left" w:pos="1560"/>
        </w:tabs>
        <w:ind w:left="567"/>
        <w:rPr>
          <w:rFonts w:cs="Arial"/>
          <w:color w:val="000000" w:themeColor="text1"/>
          <w:lang w:val="es-CO"/>
        </w:rPr>
      </w:pPr>
      <w:r w:rsidRPr="003A0C90">
        <w:rPr>
          <w:rFonts w:cs="Arial"/>
          <w:color w:val="000000" w:themeColor="text1"/>
          <w:lang w:val="es-CO"/>
        </w:rPr>
        <w:t xml:space="preserve">Los vendedores sólo podrán ofrecer la diferencia, </w:t>
      </w:r>
      <m:oMath>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OCG</m:t>
                    </m:r>
                  </m:e>
                  <m:sub>
                    <m:r>
                      <w:rPr>
                        <w:rFonts w:ascii="Cambria Math" w:hAnsi="Cambria Math" w:cs="Arial"/>
                        <w:color w:val="000000" w:themeColor="text1"/>
                        <w:lang w:val="es-CO"/>
                      </w:rPr>
                      <m:t>f,t,s,m</m:t>
                    </m:r>
                  </m:sub>
                </m:sSub>
              </m:sub>
            </m:sSub>
          </m:e>
        </m:nary>
        <m:r>
          <w:rPr>
            <w:rFonts w:ascii="Cambria Math" w:hAnsi="Cambria Math" w:cs="Arial"/>
            <w:color w:val="000000" w:themeColor="text1"/>
            <w:lang w:val="es-CO"/>
          </w:rPr>
          <m:t>-</m:t>
        </m:r>
      </m:oMath>
      <w:r w:rsidRPr="003A0C90">
        <w:rPr>
          <w:rFonts w:cs="Arial"/>
          <w:color w:val="000000" w:themeColor="text1"/>
          <w:lang w:val="es-CO"/>
        </w:rPr>
        <w:t xml:space="preserve"> </w:t>
      </w:r>
      <m:oMath>
        <m:nary>
          <m:naryPr>
            <m:chr m:val="∑"/>
            <m:limLoc m:val="undOvr"/>
            <m:ctrlPr>
              <w:rPr>
                <w:rFonts w:ascii="Cambria Math" w:hAnsi="Cambria Math" w:cs="Arial"/>
                <w:i/>
                <w:color w:val="000000" w:themeColor="text1"/>
                <w:lang w:val="es-CO"/>
              </w:rPr>
            </m:ctrlPr>
          </m:naryPr>
          <m:sub>
            <m:r>
              <w:rPr>
                <w:rFonts w:ascii="Cambria Math" w:hAnsi="Cambria Math" w:cs="Arial"/>
                <w:color w:val="000000" w:themeColor="text1"/>
                <w:lang w:val="es-CO"/>
              </w:rPr>
              <m:t>1</m:t>
            </m:r>
          </m:sub>
          <m:sup>
            <m:r>
              <w:rPr>
                <w:rFonts w:ascii="Cambria Math" w:hAnsi="Cambria Math" w:cs="Arial"/>
                <w:color w:val="000000" w:themeColor="text1"/>
                <w:lang w:val="es-CO"/>
              </w:rPr>
              <m:t>m</m:t>
            </m:r>
          </m:sup>
          <m:e>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O</m:t>
                </m:r>
              </m:e>
              <m:sub>
                <m:sSub>
                  <m:sSubPr>
                    <m:ctrlPr>
                      <w:rPr>
                        <w:rFonts w:ascii="Cambria Math" w:hAnsi="Cambria Math" w:cs="Arial"/>
                        <w:i/>
                        <w:color w:val="000000" w:themeColor="text1"/>
                        <w:lang w:val="es-CO"/>
                      </w:rPr>
                    </m:ctrlPr>
                  </m:sSubPr>
                  <m:e>
                    <m:r>
                      <w:rPr>
                        <w:rFonts w:ascii="Cambria Math" w:hAnsi="Cambria Math" w:cs="Arial"/>
                        <w:color w:val="000000" w:themeColor="text1"/>
                        <w:lang w:val="es-CO"/>
                      </w:rPr>
                      <m:t>CFC</m:t>
                    </m:r>
                  </m:e>
                  <m:sub>
                    <m:r>
                      <w:rPr>
                        <w:rFonts w:ascii="Cambria Math" w:hAnsi="Cambria Math" w:cs="Arial"/>
                        <w:color w:val="000000" w:themeColor="text1"/>
                        <w:lang w:val="es-CO"/>
                      </w:rPr>
                      <m:t>f,t,s,m</m:t>
                    </m:r>
                  </m:sub>
                </m:sSub>
              </m:sub>
            </m:sSub>
          </m:e>
        </m:nary>
      </m:oMath>
      <w:r w:rsidRPr="003A0C90">
        <w:rPr>
          <w:rFonts w:cs="Arial"/>
          <w:color w:val="000000" w:themeColor="text1"/>
          <w:lang w:val="es-CO"/>
        </w:rPr>
        <w:t xml:space="preserve">, a través de contratos de suministro con firmeza condicionada, </w:t>
      </w:r>
      <m:oMath>
        <m:r>
          <w:rPr>
            <w:rFonts w:ascii="Cambria Math" w:hAnsi="Cambria Math" w:cs="Arial"/>
            <w:color w:val="000000" w:themeColor="text1"/>
            <w:lang w:val="es-CO"/>
          </w:rPr>
          <m:t>CFC</m:t>
        </m:r>
      </m:oMath>
      <w:r w:rsidRPr="003A0C90">
        <w:rPr>
          <w:rFonts w:cs="Arial"/>
          <w:color w:val="000000" w:themeColor="text1"/>
          <w:lang w:val="es-CO"/>
        </w:rPr>
        <w:t>.</w:t>
      </w:r>
    </w:p>
    <w:p w14:paraId="076363AC" w14:textId="77777777" w:rsidR="00851290" w:rsidRDefault="00851290" w:rsidP="00D34BB1">
      <w:pPr>
        <w:pStyle w:val="ARTICULOS"/>
        <w:numPr>
          <w:ilvl w:val="0"/>
          <w:numId w:val="0"/>
        </w:numPr>
        <w:tabs>
          <w:tab w:val="clear" w:pos="1559"/>
          <w:tab w:val="left" w:pos="1560"/>
        </w:tabs>
        <w:ind w:left="425"/>
        <w:rPr>
          <w:rFonts w:cs="Arial"/>
          <w:b/>
          <w:bCs w:val="0"/>
          <w:color w:val="000000" w:themeColor="text1"/>
          <w:lang w:val="es-CO"/>
        </w:rPr>
      </w:pPr>
    </w:p>
    <w:p w14:paraId="1B557A02" w14:textId="77777777" w:rsidR="00D34BB1" w:rsidRDefault="00D34BB1" w:rsidP="00D34BB1">
      <w:pPr>
        <w:ind w:left="0"/>
        <w:jc w:val="both"/>
        <w:rPr>
          <w:rFonts w:ascii="Bookman Old Style" w:hAnsi="Bookman Old Style" w:cs="Arial"/>
          <w:b/>
          <w:color w:val="000000" w:themeColor="text1"/>
          <w:lang w:val="es-CO"/>
        </w:rPr>
      </w:pPr>
    </w:p>
    <w:p w14:paraId="0A4E7F1E" w14:textId="48BCFE48" w:rsidR="00C65C8F" w:rsidRDefault="00C65C8F" w:rsidP="00C65C8F">
      <w:pPr>
        <w:spacing w:before="120"/>
        <w:ind w:left="0"/>
        <w:jc w:val="both"/>
        <w:rPr>
          <w:rFonts w:ascii="Bookman Old Style" w:hAnsi="Bookman Old Style"/>
          <w:b/>
          <w:bCs/>
        </w:rPr>
      </w:pPr>
      <w:r w:rsidRPr="000A6FE7">
        <w:rPr>
          <w:rFonts w:ascii="Bookman Old Style" w:hAnsi="Bookman Old Style"/>
          <w:b/>
          <w:bCs/>
        </w:rPr>
        <w:t xml:space="preserve">ARTÍCULO </w:t>
      </w:r>
      <w:r w:rsidR="002E482A" w:rsidRPr="000A6FE7">
        <w:rPr>
          <w:rFonts w:ascii="Bookman Old Style" w:hAnsi="Bookman Old Style"/>
          <w:b/>
          <w:bCs/>
        </w:rPr>
        <w:t>1</w:t>
      </w:r>
      <w:r w:rsidR="00EA447E" w:rsidRPr="000A6FE7">
        <w:rPr>
          <w:rFonts w:ascii="Bookman Old Style" w:hAnsi="Bookman Old Style"/>
          <w:b/>
          <w:bCs/>
        </w:rPr>
        <w:t>4</w:t>
      </w:r>
      <w:r w:rsidRPr="000A6FE7">
        <w:rPr>
          <w:rFonts w:ascii="Bookman Old Style" w:hAnsi="Bookman Old Style"/>
          <w:b/>
          <w:bCs/>
        </w:rPr>
        <w:t xml:space="preserve">. </w:t>
      </w:r>
      <w:r w:rsidRPr="00E37A9F">
        <w:rPr>
          <w:rFonts w:ascii="Bookman Old Style" w:hAnsi="Bookman Old Style"/>
        </w:rPr>
        <w:t>Adicionar el Anexo 8 a la Resolución CREG 186 de 2020, el cual quedará así:</w:t>
      </w:r>
    </w:p>
    <w:p w14:paraId="006F5454" w14:textId="77777777" w:rsidR="00C65C8F" w:rsidRPr="00E37A9F" w:rsidRDefault="00C65C8F" w:rsidP="00C65C8F">
      <w:pPr>
        <w:spacing w:before="120"/>
        <w:ind w:left="0"/>
        <w:jc w:val="both"/>
        <w:rPr>
          <w:rFonts w:ascii="Bookman Old Style" w:hAnsi="Bookman Old Style"/>
        </w:rPr>
      </w:pPr>
    </w:p>
    <w:p w14:paraId="4A02D75B" w14:textId="37BA4CD9" w:rsidR="00C65C8F" w:rsidRPr="00E37A9F" w:rsidRDefault="00C65C8F" w:rsidP="00C65C8F">
      <w:pPr>
        <w:pStyle w:val="Ttulo1"/>
        <w:ind w:left="0"/>
        <w:rPr>
          <w:rFonts w:ascii="Bookman Old Style" w:hAnsi="Bookman Old Style"/>
          <w:bCs/>
          <w:color w:val="000000" w:themeColor="text1"/>
          <w:szCs w:val="24"/>
        </w:rPr>
      </w:pPr>
      <w:r w:rsidRPr="00E37A9F">
        <w:rPr>
          <w:rFonts w:ascii="Bookman Old Style" w:hAnsi="Bookman Old Style"/>
          <w:bCs/>
          <w:color w:val="000000" w:themeColor="text1"/>
        </w:rPr>
        <w:t>Anexo 8</w:t>
      </w:r>
    </w:p>
    <w:p w14:paraId="6A0CAAC7" w14:textId="09F0C6A7" w:rsidR="00C65C8F" w:rsidRPr="00E37A9F" w:rsidRDefault="00C65C8F" w:rsidP="00C65C8F">
      <w:pPr>
        <w:ind w:left="425"/>
        <w:jc w:val="center"/>
        <w:rPr>
          <w:rFonts w:ascii="Bookman Old Style" w:hAnsi="Bookman Old Style"/>
          <w:b/>
          <w:bCs/>
          <w:color w:val="000000" w:themeColor="text1"/>
          <w:lang w:val="es-CO"/>
        </w:rPr>
      </w:pPr>
      <w:r w:rsidRPr="00E37A9F">
        <w:rPr>
          <w:rFonts w:ascii="Bookman Old Style" w:hAnsi="Bookman Old Style"/>
          <w:b/>
          <w:bCs/>
          <w:color w:val="000000" w:themeColor="text1"/>
          <w:lang w:val="es-CO"/>
        </w:rPr>
        <w:t>Priorización de la Demanda Esencial</w:t>
      </w:r>
    </w:p>
    <w:p w14:paraId="4530ED97" w14:textId="77777777" w:rsidR="00C65C8F" w:rsidRPr="00E37A9F" w:rsidRDefault="00C65C8F" w:rsidP="00DD3568">
      <w:pPr>
        <w:ind w:left="0"/>
        <w:jc w:val="both"/>
        <w:rPr>
          <w:rFonts w:ascii="Bookman Old Style" w:hAnsi="Bookman Old Style" w:cs="Arial"/>
          <w:color w:val="000000" w:themeColor="text1"/>
          <w:lang w:val="es-CO"/>
        </w:rPr>
      </w:pPr>
    </w:p>
    <w:p w14:paraId="7F5C12E9" w14:textId="77777777" w:rsidR="00C65C8F" w:rsidRPr="00E37A9F" w:rsidRDefault="00C65C8F" w:rsidP="00DD3568">
      <w:pPr>
        <w:ind w:left="0"/>
        <w:jc w:val="both"/>
        <w:rPr>
          <w:rFonts w:ascii="Bookman Old Style" w:hAnsi="Bookman Old Style" w:cs="Arial"/>
          <w:color w:val="000000" w:themeColor="text1"/>
          <w:lang w:val="es-CO"/>
        </w:rPr>
      </w:pPr>
    </w:p>
    <w:p w14:paraId="480084BC" w14:textId="065A1D1A" w:rsidR="00187689" w:rsidRPr="00E37A9F" w:rsidRDefault="00187689" w:rsidP="00DD3568">
      <w:pPr>
        <w:ind w:right="142"/>
        <w:jc w:val="both"/>
        <w:rPr>
          <w:rFonts w:ascii="Bookman Old Style" w:hAnsi="Bookman Old Style"/>
        </w:rPr>
      </w:pPr>
      <w:r w:rsidRPr="00E37A9F">
        <w:rPr>
          <w:rFonts w:ascii="Bookman Old Style" w:hAnsi="Bookman Old Style"/>
        </w:rPr>
        <w:t xml:space="preserve">El siguiente será </w:t>
      </w:r>
      <w:proofErr w:type="gramStart"/>
      <w:r w:rsidRPr="00E37A9F">
        <w:rPr>
          <w:rFonts w:ascii="Bookman Old Style" w:hAnsi="Bookman Old Style"/>
        </w:rPr>
        <w:t>el procedimiento a ser desarrollado</w:t>
      </w:r>
      <w:proofErr w:type="gramEnd"/>
      <w:r w:rsidRPr="00E37A9F">
        <w:rPr>
          <w:rFonts w:ascii="Bookman Old Style" w:hAnsi="Bookman Old Style"/>
        </w:rPr>
        <w:t xml:space="preserve"> por los vendedores y compradores del </w:t>
      </w:r>
      <w:r w:rsidR="00587384" w:rsidRPr="00E37A9F">
        <w:rPr>
          <w:rFonts w:ascii="Bookman Old Style" w:hAnsi="Bookman Old Style"/>
        </w:rPr>
        <w:t>mercado primario</w:t>
      </w:r>
      <w:r w:rsidRPr="00E37A9F">
        <w:rPr>
          <w:rFonts w:ascii="Bookman Old Style" w:hAnsi="Bookman Old Style"/>
        </w:rPr>
        <w:t xml:space="preserve"> mediante el mecanismo de la </w:t>
      </w:r>
      <w:r w:rsidRPr="00E37A9F">
        <w:rPr>
          <w:rFonts w:ascii="Bookman Old Style" w:hAnsi="Bookman Old Style"/>
        </w:rPr>
        <w:lastRenderedPageBreak/>
        <w:t>negociación directa, con el fin de asignar con prioridad, la contratación del suministro de las cantidades requeridas por los compradores para atender los usuarios que son parte de la Demanda Esencial. Lo anterior aplica a cualquier fuente de suministro, ya sea de gas natural de producción nacional o de gas natural obtenido en el exterior, sin excepción alguna:</w:t>
      </w:r>
    </w:p>
    <w:p w14:paraId="56F10752" w14:textId="77777777" w:rsidR="00187689" w:rsidRPr="00E37A9F" w:rsidRDefault="00187689" w:rsidP="00DD3568">
      <w:pPr>
        <w:ind w:left="1985" w:right="142"/>
        <w:jc w:val="both"/>
        <w:rPr>
          <w:rFonts w:ascii="Bookman Old Style" w:hAnsi="Bookman Old Style"/>
        </w:rPr>
      </w:pPr>
    </w:p>
    <w:p w14:paraId="77B2CB9F" w14:textId="77777777" w:rsidR="00187689" w:rsidRPr="00E37A9F" w:rsidRDefault="00187689" w:rsidP="00DD3568">
      <w:pPr>
        <w:pStyle w:val="Prrafodelista"/>
        <w:numPr>
          <w:ilvl w:val="0"/>
          <w:numId w:val="32"/>
        </w:numPr>
        <w:tabs>
          <w:tab w:val="left" w:pos="1276"/>
        </w:tabs>
        <w:ind w:left="1134" w:hanging="567"/>
        <w:jc w:val="both"/>
        <w:rPr>
          <w:rFonts w:ascii="Bookman Old Style" w:hAnsi="Bookman Old Style"/>
          <w:sz w:val="24"/>
          <w:szCs w:val="24"/>
        </w:rPr>
      </w:pPr>
      <w:r w:rsidRPr="00E37A9F">
        <w:rPr>
          <w:rFonts w:ascii="Bookman Old Style" w:hAnsi="Bookman Old Style"/>
          <w:sz w:val="24"/>
          <w:szCs w:val="24"/>
        </w:rPr>
        <w:t>Cálculo por cada comprador c que atiende directamente Demanda Esencial, de la cantidad a contratar:</w:t>
      </w:r>
    </w:p>
    <w:p w14:paraId="213A961D" w14:textId="77777777" w:rsidR="00187689" w:rsidRPr="00E37A9F" w:rsidRDefault="00187689" w:rsidP="00DD3568">
      <w:pPr>
        <w:ind w:left="1985"/>
        <w:jc w:val="both"/>
        <w:rPr>
          <w:rFonts w:ascii="Bookman Old Style" w:hAnsi="Bookman Old Style"/>
        </w:rPr>
      </w:pPr>
    </w:p>
    <w:p w14:paraId="5F9D9A0B" w14:textId="77777777" w:rsidR="00187689" w:rsidRPr="00103C83" w:rsidRDefault="00187689" w:rsidP="00DD3568">
      <w:pPr>
        <w:ind w:firstLine="2551"/>
        <w:jc w:val="both"/>
        <w:rPr>
          <w:rFonts w:ascii="Bookman Old Style" w:hAnsi="Bookman Old Style"/>
          <w:lang w:val="en-US"/>
        </w:rPr>
      </w:pPr>
      <w:proofErr w:type="spellStart"/>
      <w:r w:rsidRPr="00103C83">
        <w:rPr>
          <w:rFonts w:ascii="Bookman Old Style" w:hAnsi="Bookman Old Style"/>
          <w:lang w:val="en-US"/>
        </w:rPr>
        <w:t>IS1</w:t>
      </w:r>
      <w:proofErr w:type="gramStart"/>
      <w:r w:rsidRPr="00103C83">
        <w:rPr>
          <w:rFonts w:ascii="Bookman Old Style" w:hAnsi="Bookman Old Style"/>
          <w:vertAlign w:val="subscript"/>
          <w:lang w:val="en-US"/>
        </w:rPr>
        <w:t>c,p</w:t>
      </w:r>
      <w:proofErr w:type="gramEnd"/>
      <w:r w:rsidRPr="00103C83">
        <w:rPr>
          <w:rFonts w:ascii="Bookman Old Style" w:hAnsi="Bookman Old Style"/>
          <w:vertAlign w:val="subscript"/>
          <w:lang w:val="en-US"/>
        </w:rPr>
        <w:t>,n</w:t>
      </w:r>
      <w:proofErr w:type="spellEnd"/>
      <w:r w:rsidRPr="00103C83">
        <w:rPr>
          <w:rFonts w:ascii="Bookman Old Style" w:hAnsi="Bookman Old Style"/>
          <w:vertAlign w:val="subscript"/>
          <w:lang w:val="en-US"/>
        </w:rPr>
        <w:t xml:space="preserve"> </w:t>
      </w:r>
      <w:r w:rsidRPr="00103C83">
        <w:rPr>
          <w:rFonts w:ascii="Bookman Old Style" w:hAnsi="Bookman Old Style"/>
          <w:lang w:val="en-US"/>
        </w:rPr>
        <w:t xml:space="preserve">= ( </w:t>
      </w:r>
      <w:proofErr w:type="spellStart"/>
      <w:r w:rsidRPr="00103C83">
        <w:rPr>
          <w:rFonts w:ascii="Bookman Old Style" w:hAnsi="Bookman Old Style"/>
          <w:lang w:val="en-US"/>
        </w:rPr>
        <w:t>CR</w:t>
      </w:r>
      <w:r w:rsidRPr="00103C83">
        <w:rPr>
          <w:rFonts w:ascii="Bookman Old Style" w:hAnsi="Bookman Old Style"/>
          <w:vertAlign w:val="subscript"/>
          <w:lang w:val="en-US"/>
        </w:rPr>
        <w:t>c,p-1,n</w:t>
      </w:r>
      <w:proofErr w:type="spellEnd"/>
      <w:r w:rsidRPr="00103C83">
        <w:rPr>
          <w:rFonts w:ascii="Bookman Old Style" w:hAnsi="Bookman Old Style"/>
          <w:lang w:val="en-US"/>
        </w:rPr>
        <w:t xml:space="preserve"> X </w:t>
      </w:r>
      <w:proofErr w:type="spellStart"/>
      <w:r w:rsidRPr="00103C83">
        <w:rPr>
          <w:rFonts w:ascii="Bookman Old Style" w:hAnsi="Bookman Old Style"/>
          <w:lang w:val="en-US"/>
        </w:rPr>
        <w:t>I</w:t>
      </w:r>
      <w:r w:rsidRPr="00103C83">
        <w:rPr>
          <w:rFonts w:ascii="Bookman Old Style" w:hAnsi="Bookman Old Style"/>
          <w:vertAlign w:val="subscript"/>
          <w:lang w:val="en-US"/>
        </w:rPr>
        <w:t>c,n,n</w:t>
      </w:r>
      <w:proofErr w:type="spellEnd"/>
      <w:r w:rsidRPr="00103C83">
        <w:rPr>
          <w:rFonts w:ascii="Bookman Old Style" w:hAnsi="Bookman Old Style"/>
          <w:lang w:val="en-US"/>
        </w:rPr>
        <w:t xml:space="preserve"> ) - </w:t>
      </w:r>
      <w:proofErr w:type="spellStart"/>
      <w:r w:rsidRPr="00103C83">
        <w:rPr>
          <w:rFonts w:ascii="Bookman Old Style" w:hAnsi="Bookman Old Style"/>
          <w:lang w:val="en-US"/>
        </w:rPr>
        <w:t>CC</w:t>
      </w:r>
      <w:r w:rsidRPr="00103C83">
        <w:rPr>
          <w:rFonts w:ascii="Bookman Old Style" w:hAnsi="Bookman Old Style"/>
          <w:vertAlign w:val="subscript"/>
          <w:lang w:val="en-US"/>
        </w:rPr>
        <w:t>c,p,n</w:t>
      </w:r>
      <w:proofErr w:type="spellEnd"/>
    </w:p>
    <w:p w14:paraId="3C2B8B16" w14:textId="77777777" w:rsidR="00187689" w:rsidRPr="00103C83" w:rsidRDefault="00187689" w:rsidP="00DD3568">
      <w:pPr>
        <w:ind w:left="1985" w:right="142" w:hanging="1701"/>
        <w:jc w:val="both"/>
        <w:rPr>
          <w:rFonts w:ascii="Bookman Old Style" w:hAnsi="Bookman Old Style"/>
          <w:lang w:val="en-US"/>
        </w:rPr>
      </w:pPr>
    </w:p>
    <w:p w14:paraId="6D83A4D4" w14:textId="77777777" w:rsidR="00187689" w:rsidRPr="00E37A9F" w:rsidRDefault="00187689" w:rsidP="00DD3568">
      <w:pPr>
        <w:ind w:left="1985" w:right="142" w:hanging="851"/>
        <w:jc w:val="both"/>
        <w:rPr>
          <w:rFonts w:ascii="Bookman Old Style" w:hAnsi="Bookman Old Style"/>
        </w:rPr>
      </w:pPr>
      <w:r w:rsidRPr="00E37A9F">
        <w:rPr>
          <w:rFonts w:ascii="Bookman Old Style" w:hAnsi="Bookman Old Style"/>
        </w:rPr>
        <w:t>Donde:</w:t>
      </w:r>
    </w:p>
    <w:p w14:paraId="6E57510C" w14:textId="77777777" w:rsidR="00187689" w:rsidRPr="00E37A9F" w:rsidRDefault="00187689" w:rsidP="00DD3568">
      <w:pPr>
        <w:ind w:left="1985" w:right="142" w:hanging="851"/>
        <w:jc w:val="both"/>
        <w:rPr>
          <w:rFonts w:ascii="Bookman Old Style" w:hAnsi="Bookman Old Style"/>
        </w:rPr>
      </w:pPr>
    </w:p>
    <w:p w14:paraId="26CD3944" w14:textId="5B288496" w:rsidR="00187689" w:rsidRPr="00E37A9F" w:rsidRDefault="00187689" w:rsidP="00DD3568">
      <w:pPr>
        <w:ind w:left="2268" w:right="142" w:hanging="1134"/>
        <w:jc w:val="both"/>
        <w:rPr>
          <w:rFonts w:ascii="Bookman Old Style" w:hAnsi="Bookman Old Style"/>
        </w:rPr>
      </w:pPr>
      <w:r w:rsidRPr="00E37A9F">
        <w:rPr>
          <w:rFonts w:ascii="Bookman Old Style" w:hAnsi="Bookman Old Style"/>
        </w:rPr>
        <w:t>IS1</w:t>
      </w:r>
      <w:proofErr w:type="gramStart"/>
      <w:r w:rsidRPr="00E37A9F">
        <w:rPr>
          <w:rFonts w:ascii="Bookman Old Style" w:hAnsi="Bookman Old Style"/>
          <w:vertAlign w:val="subscript"/>
        </w:rPr>
        <w:t>c,p</w:t>
      </w:r>
      <w:proofErr w:type="gramEnd"/>
      <w:r w:rsidRPr="00E37A9F">
        <w:rPr>
          <w:rFonts w:ascii="Bookman Old Style" w:hAnsi="Bookman Old Style"/>
          <w:vertAlign w:val="subscript"/>
        </w:rPr>
        <w:t>,n</w:t>
      </w:r>
      <w:r w:rsidRPr="00E37A9F">
        <w:rPr>
          <w:rFonts w:ascii="Bookman Old Style" w:hAnsi="Bookman Old Style"/>
        </w:rPr>
        <w:t xml:space="preserve">: </w:t>
      </w:r>
      <w:r w:rsidRPr="00E37A9F">
        <w:rPr>
          <w:rFonts w:ascii="Bookman Old Style" w:hAnsi="Bookman Old Style"/>
        </w:rPr>
        <w:tab/>
        <w:t xml:space="preserve">Cantidad máxima total de solicitud de compra para el período de consumo </w:t>
      </w:r>
      <w:r w:rsidRPr="003B7847">
        <w:rPr>
          <w:rFonts w:ascii="Bookman Old Style" w:hAnsi="Bookman Old Style"/>
          <w:i/>
          <w:iCs/>
        </w:rPr>
        <w:t>p</w:t>
      </w:r>
      <w:r w:rsidRPr="00E37A9F">
        <w:rPr>
          <w:rFonts w:ascii="Bookman Old Style" w:hAnsi="Bookman Old Style"/>
        </w:rPr>
        <w:t xml:space="preserve">, por el comprador </w:t>
      </w:r>
      <w:r w:rsidRPr="003B7847">
        <w:rPr>
          <w:rFonts w:ascii="Bookman Old Style" w:hAnsi="Bookman Old Style"/>
          <w:i/>
          <w:iCs/>
        </w:rPr>
        <w:t>c</w:t>
      </w:r>
      <w:r w:rsidRPr="00E37A9F">
        <w:rPr>
          <w:rFonts w:ascii="Bookman Old Style" w:hAnsi="Bookman Old Style"/>
        </w:rPr>
        <w:t xml:space="preserve"> que atiende  directamente la Demanda Esencial, para cada numeral </w:t>
      </w:r>
      <w:r w:rsidRPr="003B7847">
        <w:rPr>
          <w:rFonts w:ascii="Bookman Old Style" w:hAnsi="Bookman Old Style"/>
          <w:i/>
          <w:iCs/>
        </w:rPr>
        <w:t>n</w:t>
      </w:r>
      <w:r w:rsidRPr="00E37A9F">
        <w:rPr>
          <w:rFonts w:ascii="Bookman Old Style" w:hAnsi="Bookman Old Style"/>
        </w:rPr>
        <w:t xml:space="preserve">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 en MBTUD. </w:t>
      </w:r>
    </w:p>
    <w:p w14:paraId="2A1A9B94" w14:textId="77777777" w:rsidR="00187689" w:rsidRPr="00E37A9F" w:rsidRDefault="00187689" w:rsidP="00DD3568">
      <w:pPr>
        <w:ind w:left="2268" w:right="142" w:hanging="1134"/>
        <w:jc w:val="both"/>
        <w:rPr>
          <w:rFonts w:ascii="Bookman Old Style" w:hAnsi="Bookman Old Style"/>
        </w:rPr>
      </w:pPr>
    </w:p>
    <w:p w14:paraId="59CF473E" w14:textId="30179A9E" w:rsidR="00187689" w:rsidRPr="00E37A9F" w:rsidRDefault="00187689" w:rsidP="00DD3568">
      <w:pPr>
        <w:ind w:left="2268" w:right="142" w:hanging="1134"/>
        <w:jc w:val="both"/>
        <w:rPr>
          <w:rFonts w:ascii="Bookman Old Style" w:hAnsi="Bookman Old Style"/>
        </w:rPr>
      </w:pPr>
      <w:proofErr w:type="gramStart"/>
      <w:r w:rsidRPr="00E37A9F">
        <w:rPr>
          <w:rFonts w:ascii="Bookman Old Style" w:hAnsi="Bookman Old Style"/>
        </w:rPr>
        <w:t>CR</w:t>
      </w:r>
      <w:r w:rsidRPr="00E37A9F">
        <w:rPr>
          <w:rFonts w:ascii="Bookman Old Style" w:hAnsi="Bookman Old Style"/>
          <w:vertAlign w:val="subscript"/>
        </w:rPr>
        <w:t>c,p</w:t>
      </w:r>
      <w:proofErr w:type="gramEnd"/>
      <w:r w:rsidRPr="00E37A9F">
        <w:rPr>
          <w:rFonts w:ascii="Bookman Old Style" w:hAnsi="Bookman Old Style"/>
          <w:vertAlign w:val="subscript"/>
        </w:rPr>
        <w:t>-1,n</w:t>
      </w:r>
      <w:r w:rsidRPr="00E37A9F">
        <w:rPr>
          <w:rFonts w:ascii="Bookman Old Style" w:hAnsi="Bookman Old Style"/>
        </w:rPr>
        <w:t>:</w:t>
      </w:r>
      <w:r w:rsidRPr="00E37A9F">
        <w:rPr>
          <w:rFonts w:ascii="Bookman Old Style" w:hAnsi="Bookman Old Style"/>
          <w:vertAlign w:val="subscript"/>
        </w:rPr>
        <w:t xml:space="preserve"> </w:t>
      </w:r>
      <w:r w:rsidRPr="00E37A9F">
        <w:rPr>
          <w:rFonts w:ascii="Bookman Old Style" w:hAnsi="Bookman Old Style"/>
        </w:rPr>
        <w:tab/>
        <w:t xml:space="preserve">Cantidad máxima consumida diaria según el Sistema Único de Información - SUI, por el comprador </w:t>
      </w:r>
      <w:r w:rsidRPr="003B7847">
        <w:rPr>
          <w:rFonts w:ascii="Bookman Old Style" w:hAnsi="Bookman Old Style"/>
          <w:i/>
          <w:iCs/>
        </w:rPr>
        <w:t>c</w:t>
      </w:r>
      <w:r w:rsidRPr="00E37A9F">
        <w:rPr>
          <w:rFonts w:ascii="Bookman Old Style" w:hAnsi="Bookman Old Style"/>
        </w:rPr>
        <w:t xml:space="preserve">, para la atención directa de cada numeral n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 del mismo período de consumo </w:t>
      </w:r>
      <w:r w:rsidRPr="003B7847">
        <w:rPr>
          <w:rFonts w:ascii="Bookman Old Style" w:hAnsi="Bookman Old Style"/>
          <w:i/>
          <w:iCs/>
        </w:rPr>
        <w:t>p</w:t>
      </w:r>
      <w:r w:rsidRPr="00E37A9F">
        <w:rPr>
          <w:rFonts w:ascii="Bookman Old Style" w:hAnsi="Bookman Old Style"/>
        </w:rPr>
        <w:t>, del año calendario anterior</w:t>
      </w:r>
      <w:r w:rsidR="002209B3" w:rsidRPr="00E37A9F">
        <w:rPr>
          <w:rFonts w:ascii="Bookman Old Style" w:hAnsi="Bookman Old Style"/>
        </w:rPr>
        <w:t xml:space="preserve"> al año en que se realizan las negociaciones directas</w:t>
      </w:r>
      <w:r w:rsidRPr="00E37A9F">
        <w:rPr>
          <w:rFonts w:ascii="Bookman Old Style" w:hAnsi="Bookman Old Style"/>
        </w:rPr>
        <w:t>, en MBTUD.</w:t>
      </w:r>
    </w:p>
    <w:p w14:paraId="7FED047D" w14:textId="77777777" w:rsidR="00187689" w:rsidRPr="00E37A9F" w:rsidRDefault="00187689" w:rsidP="00DD3568">
      <w:pPr>
        <w:ind w:left="2268" w:right="142" w:hanging="1134"/>
        <w:jc w:val="both"/>
        <w:rPr>
          <w:rFonts w:ascii="Bookman Old Style" w:hAnsi="Bookman Old Style"/>
        </w:rPr>
      </w:pPr>
    </w:p>
    <w:p w14:paraId="42D22FFD" w14:textId="77777777" w:rsidR="00187689" w:rsidRPr="00103C83" w:rsidRDefault="00187689" w:rsidP="00DD3568">
      <w:pPr>
        <w:ind w:left="2268" w:right="142" w:hanging="1134"/>
        <w:jc w:val="both"/>
        <w:rPr>
          <w:rFonts w:ascii="Bookman Old Style" w:hAnsi="Bookman Old Style"/>
          <w:lang w:val="en-US"/>
        </w:rPr>
      </w:pPr>
      <w:proofErr w:type="spellStart"/>
      <w:proofErr w:type="gramStart"/>
      <w:r w:rsidRPr="00103C83">
        <w:rPr>
          <w:rFonts w:ascii="Bookman Old Style" w:hAnsi="Bookman Old Style"/>
          <w:lang w:val="en-US"/>
        </w:rPr>
        <w:t>I</w:t>
      </w:r>
      <w:r w:rsidRPr="00103C83">
        <w:rPr>
          <w:rFonts w:ascii="Bookman Old Style" w:hAnsi="Bookman Old Style"/>
          <w:vertAlign w:val="subscript"/>
          <w:lang w:val="en-US"/>
        </w:rPr>
        <w:t>c,n</w:t>
      </w:r>
      <w:proofErr w:type="gramEnd"/>
      <w:r w:rsidRPr="00103C83">
        <w:rPr>
          <w:rFonts w:ascii="Bookman Old Style" w:hAnsi="Bookman Old Style"/>
          <w:vertAlign w:val="subscript"/>
          <w:lang w:val="en-US"/>
        </w:rPr>
        <w:t>,n</w:t>
      </w:r>
      <w:proofErr w:type="spellEnd"/>
      <w:r w:rsidRPr="00103C83">
        <w:rPr>
          <w:rFonts w:ascii="Bookman Old Style" w:hAnsi="Bookman Old Style"/>
          <w:lang w:val="en-US"/>
        </w:rPr>
        <w:t>:</w:t>
      </w:r>
      <w:r w:rsidRPr="00103C83">
        <w:rPr>
          <w:rFonts w:ascii="Bookman Old Style" w:hAnsi="Bookman Old Style"/>
          <w:lang w:val="en-US"/>
        </w:rPr>
        <w:tab/>
      </w:r>
      <w:proofErr w:type="spellStart"/>
      <w:r w:rsidRPr="00103C83">
        <w:rPr>
          <w:rFonts w:ascii="Bookman Old Style" w:hAnsi="Bookman Old Style"/>
          <w:lang w:val="en-US"/>
        </w:rPr>
        <w:t>DE</w:t>
      </w:r>
      <w:r w:rsidRPr="00103C83">
        <w:rPr>
          <w:rFonts w:ascii="Bookman Old Style" w:hAnsi="Bookman Old Style"/>
          <w:vertAlign w:val="subscript"/>
          <w:lang w:val="en-US"/>
        </w:rPr>
        <w:t>c,p,2023</w:t>
      </w:r>
      <w:proofErr w:type="spellEnd"/>
      <w:r w:rsidRPr="00103C83">
        <w:rPr>
          <w:rFonts w:ascii="Bookman Old Style" w:hAnsi="Bookman Old Style"/>
          <w:vertAlign w:val="subscript"/>
          <w:lang w:val="en-US"/>
        </w:rPr>
        <w:t xml:space="preserve"> / </w:t>
      </w:r>
      <w:proofErr w:type="spellStart"/>
      <w:r w:rsidRPr="00103C83">
        <w:rPr>
          <w:rFonts w:ascii="Bookman Old Style" w:hAnsi="Bookman Old Style"/>
          <w:lang w:val="en-US"/>
        </w:rPr>
        <w:t>DE</w:t>
      </w:r>
      <w:r w:rsidRPr="00103C83">
        <w:rPr>
          <w:rFonts w:ascii="Bookman Old Style" w:hAnsi="Bookman Old Style"/>
          <w:vertAlign w:val="subscript"/>
          <w:lang w:val="en-US"/>
        </w:rPr>
        <w:t>c,p,2022</w:t>
      </w:r>
      <w:proofErr w:type="spellEnd"/>
      <w:r w:rsidRPr="00103C83">
        <w:rPr>
          <w:rFonts w:ascii="Bookman Old Style" w:hAnsi="Bookman Old Style"/>
          <w:lang w:val="en-US"/>
        </w:rPr>
        <w:t xml:space="preserve">  </w:t>
      </w:r>
    </w:p>
    <w:p w14:paraId="1487CB10" w14:textId="77777777" w:rsidR="00187689" w:rsidRPr="00103C83" w:rsidRDefault="00187689" w:rsidP="00DD3568">
      <w:pPr>
        <w:ind w:left="2268" w:right="142" w:hanging="1134"/>
        <w:jc w:val="both"/>
        <w:rPr>
          <w:rFonts w:ascii="Bookman Old Style" w:hAnsi="Bookman Old Style"/>
          <w:lang w:val="en-US"/>
        </w:rPr>
      </w:pPr>
    </w:p>
    <w:p w14:paraId="3885E999" w14:textId="4C84D973" w:rsidR="00187689" w:rsidRPr="00E37A9F" w:rsidRDefault="00187689" w:rsidP="00DD3568">
      <w:pPr>
        <w:ind w:left="2268" w:right="142" w:hanging="1134"/>
        <w:jc w:val="both"/>
        <w:rPr>
          <w:rFonts w:ascii="Bookman Old Style" w:hAnsi="Bookman Old Style"/>
        </w:rPr>
      </w:pPr>
      <w:proofErr w:type="spellStart"/>
      <w:proofErr w:type="gramStart"/>
      <w:r w:rsidRPr="00E37A9F">
        <w:rPr>
          <w:rFonts w:ascii="Bookman Old Style" w:hAnsi="Bookman Old Style"/>
        </w:rPr>
        <w:t>CC</w:t>
      </w:r>
      <w:r w:rsidRPr="00E37A9F">
        <w:rPr>
          <w:rFonts w:ascii="Bookman Old Style" w:hAnsi="Bookman Old Style"/>
          <w:vertAlign w:val="subscript"/>
        </w:rPr>
        <w:t>c,p</w:t>
      </w:r>
      <w:proofErr w:type="gramEnd"/>
      <w:r w:rsidRPr="00E37A9F">
        <w:rPr>
          <w:rFonts w:ascii="Bookman Old Style" w:hAnsi="Bookman Old Style"/>
          <w:vertAlign w:val="subscript"/>
        </w:rPr>
        <w:t>,n</w:t>
      </w:r>
      <w:proofErr w:type="spellEnd"/>
      <w:r w:rsidRPr="00E37A9F">
        <w:rPr>
          <w:rFonts w:ascii="Bookman Old Style" w:hAnsi="Bookman Old Style"/>
          <w:vertAlign w:val="subscript"/>
        </w:rPr>
        <w:t xml:space="preserve"> </w:t>
      </w:r>
      <w:r w:rsidRPr="00E37A9F">
        <w:rPr>
          <w:rFonts w:ascii="Bookman Old Style" w:hAnsi="Bookman Old Style"/>
        </w:rPr>
        <w:t xml:space="preserve">: </w:t>
      </w:r>
      <w:r w:rsidRPr="00E37A9F">
        <w:rPr>
          <w:rFonts w:ascii="Bookman Old Style" w:hAnsi="Bookman Old Style"/>
        </w:rPr>
        <w:tab/>
        <w:t xml:space="preserve">Cantidad total contratada al momento de la realización de las nuevas solicitudes de compra a los vendedores del </w:t>
      </w:r>
      <w:r w:rsidR="00587384" w:rsidRPr="00E37A9F">
        <w:rPr>
          <w:rFonts w:ascii="Bookman Old Style" w:hAnsi="Bookman Old Style"/>
        </w:rPr>
        <w:t>mercado primario</w:t>
      </w:r>
      <w:r w:rsidRPr="00E37A9F">
        <w:rPr>
          <w:rFonts w:ascii="Bookman Old Style" w:hAnsi="Bookman Old Style"/>
        </w:rPr>
        <w:t>, de tipo firme</w:t>
      </w:r>
      <w:r w:rsidR="002209B3" w:rsidRPr="00E37A9F">
        <w:rPr>
          <w:rFonts w:ascii="Bookman Old Style" w:hAnsi="Bookman Old Style"/>
        </w:rPr>
        <w:t>,</w:t>
      </w:r>
      <w:r w:rsidRPr="00E37A9F">
        <w:rPr>
          <w:rFonts w:ascii="Bookman Old Style" w:hAnsi="Bookman Old Style"/>
        </w:rPr>
        <w:t xml:space="preserve"> por el comprador </w:t>
      </w:r>
      <w:r w:rsidRPr="003B7847">
        <w:rPr>
          <w:rFonts w:ascii="Bookman Old Style" w:hAnsi="Bookman Old Style"/>
          <w:i/>
          <w:iCs/>
        </w:rPr>
        <w:t>c</w:t>
      </w:r>
      <w:r w:rsidRPr="00E37A9F">
        <w:rPr>
          <w:rFonts w:ascii="Bookman Old Style" w:hAnsi="Bookman Old Style"/>
        </w:rPr>
        <w:t xml:space="preserve"> o el nuevo comprador</w:t>
      </w:r>
      <w:r w:rsidR="002209B3" w:rsidRPr="00E37A9F">
        <w:rPr>
          <w:rFonts w:ascii="Bookman Old Style" w:hAnsi="Bookman Old Style"/>
        </w:rPr>
        <w:t xml:space="preserve"> </w:t>
      </w:r>
      <w:r w:rsidRPr="003B7847">
        <w:rPr>
          <w:rFonts w:ascii="Bookman Old Style" w:hAnsi="Bookman Old Style"/>
          <w:i/>
          <w:iCs/>
        </w:rPr>
        <w:t>c</w:t>
      </w:r>
      <w:r w:rsidRPr="00E37A9F">
        <w:rPr>
          <w:rFonts w:ascii="Bookman Old Style" w:hAnsi="Bookman Old Style"/>
        </w:rPr>
        <w:t xml:space="preserve">, para atender directamente la Demanda Esencial, para el período de consumo </w:t>
      </w:r>
      <w:r w:rsidRPr="003B7847">
        <w:rPr>
          <w:rFonts w:ascii="Bookman Old Style" w:hAnsi="Bookman Old Style"/>
          <w:i/>
          <w:iCs/>
        </w:rPr>
        <w:t>p</w:t>
      </w:r>
      <w:r w:rsidRPr="00E37A9F">
        <w:rPr>
          <w:rFonts w:ascii="Bookman Old Style" w:hAnsi="Bookman Old Style"/>
        </w:rPr>
        <w:t xml:space="preserve">, en MBTUD. Este valor es igual a la suma de las cantidades contratadas vigentes, tanto en el </w:t>
      </w:r>
      <w:r w:rsidR="00587384" w:rsidRPr="00E37A9F">
        <w:rPr>
          <w:rFonts w:ascii="Bookman Old Style" w:hAnsi="Bookman Old Style"/>
        </w:rPr>
        <w:t>mercado primario</w:t>
      </w:r>
      <w:r w:rsidRPr="00E37A9F">
        <w:rPr>
          <w:rFonts w:ascii="Bookman Old Style" w:hAnsi="Bookman Old Style"/>
        </w:rPr>
        <w:t xml:space="preserve"> como en el </w:t>
      </w:r>
      <w:r w:rsidR="00587384" w:rsidRPr="00E37A9F">
        <w:rPr>
          <w:rFonts w:ascii="Bookman Old Style" w:hAnsi="Bookman Old Style"/>
        </w:rPr>
        <w:t>mercado secundario</w:t>
      </w:r>
      <w:r w:rsidRPr="00E37A9F">
        <w:rPr>
          <w:rFonts w:ascii="Bookman Old Style" w:hAnsi="Bookman Old Style"/>
        </w:rPr>
        <w:t xml:space="preserve">, para atender el período de consumo </w:t>
      </w:r>
      <w:r w:rsidRPr="003B7847">
        <w:rPr>
          <w:rFonts w:ascii="Bookman Old Style" w:hAnsi="Bookman Old Style"/>
          <w:i/>
          <w:iCs/>
        </w:rPr>
        <w:t>p</w:t>
      </w:r>
      <w:r w:rsidRPr="00E37A9F">
        <w:rPr>
          <w:rFonts w:ascii="Bookman Old Style" w:hAnsi="Bookman Old Style"/>
        </w:rPr>
        <w:t xml:space="preserve">, para cada numeral </w:t>
      </w:r>
      <w:r w:rsidRPr="003B7847">
        <w:rPr>
          <w:rFonts w:ascii="Bookman Old Style" w:hAnsi="Bookman Old Style"/>
          <w:i/>
          <w:iCs/>
        </w:rPr>
        <w:t>n</w:t>
      </w:r>
      <w:r w:rsidRPr="00E37A9F">
        <w:rPr>
          <w:rFonts w:ascii="Bookman Old Style" w:hAnsi="Bookman Old Style"/>
        </w:rPr>
        <w:t xml:space="preserve">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w:t>
      </w:r>
    </w:p>
    <w:p w14:paraId="045F62AF" w14:textId="77777777" w:rsidR="00187689" w:rsidRPr="00E37A9F" w:rsidRDefault="00187689" w:rsidP="00DD3568">
      <w:pPr>
        <w:ind w:left="1985" w:right="142" w:hanging="851"/>
        <w:jc w:val="both"/>
        <w:rPr>
          <w:rFonts w:ascii="Bookman Old Style" w:hAnsi="Bookman Old Style"/>
        </w:rPr>
      </w:pPr>
    </w:p>
    <w:p w14:paraId="5A598DB8" w14:textId="77777777" w:rsidR="00187689" w:rsidRPr="00E37A9F" w:rsidRDefault="00187689" w:rsidP="00DD3568">
      <w:pPr>
        <w:ind w:left="1985" w:right="142" w:hanging="851"/>
        <w:jc w:val="both"/>
        <w:rPr>
          <w:rFonts w:ascii="Bookman Old Style" w:hAnsi="Bookman Old Style"/>
        </w:rPr>
      </w:pPr>
      <w:r w:rsidRPr="00E37A9F">
        <w:rPr>
          <w:rFonts w:ascii="Bookman Old Style" w:hAnsi="Bookman Old Style"/>
        </w:rPr>
        <w:t>Con:</w:t>
      </w:r>
    </w:p>
    <w:p w14:paraId="389EA3E3" w14:textId="77777777" w:rsidR="00187689" w:rsidRPr="00E37A9F" w:rsidRDefault="00187689" w:rsidP="00DD3568">
      <w:pPr>
        <w:ind w:left="1985" w:right="142" w:hanging="1559"/>
        <w:jc w:val="both"/>
        <w:rPr>
          <w:rFonts w:ascii="Bookman Old Style" w:hAnsi="Bookman Old Style"/>
        </w:rPr>
      </w:pPr>
    </w:p>
    <w:p w14:paraId="3901FF5A" w14:textId="5242CB90" w:rsidR="00187689" w:rsidRPr="00E37A9F" w:rsidRDefault="00187689" w:rsidP="00DD3568">
      <w:pPr>
        <w:ind w:left="2268" w:right="142" w:hanging="1134"/>
        <w:jc w:val="both"/>
        <w:rPr>
          <w:rFonts w:ascii="Bookman Old Style" w:hAnsi="Bookman Old Style"/>
        </w:rPr>
      </w:pPr>
      <w:proofErr w:type="gramStart"/>
      <w:r w:rsidRPr="00E37A9F">
        <w:rPr>
          <w:rFonts w:ascii="Bookman Old Style" w:hAnsi="Bookman Old Style"/>
        </w:rPr>
        <w:t>DE</w:t>
      </w:r>
      <w:r w:rsidRPr="00E37A9F">
        <w:rPr>
          <w:rFonts w:ascii="Bookman Old Style" w:hAnsi="Bookman Old Style"/>
          <w:vertAlign w:val="subscript"/>
        </w:rPr>
        <w:t>c,p</w:t>
      </w:r>
      <w:proofErr w:type="gramEnd"/>
      <w:r w:rsidRPr="00E37A9F">
        <w:rPr>
          <w:rFonts w:ascii="Bookman Old Style" w:hAnsi="Bookman Old Style"/>
          <w:vertAlign w:val="subscript"/>
        </w:rPr>
        <w:t>,2023,n</w:t>
      </w:r>
      <w:r w:rsidRPr="00E37A9F">
        <w:rPr>
          <w:rFonts w:ascii="Bookman Old Style" w:hAnsi="Bookman Old Style"/>
        </w:rPr>
        <w:t xml:space="preserve">: </w:t>
      </w:r>
      <w:r w:rsidRPr="00E37A9F">
        <w:rPr>
          <w:rFonts w:ascii="Bookman Old Style" w:hAnsi="Bookman Old Style"/>
        </w:rPr>
        <w:tab/>
        <w:t xml:space="preserve">Cantidad total de energía consumida por la Demanda Esencial atendida por el comprador </w:t>
      </w:r>
      <w:r w:rsidRPr="003B7847">
        <w:rPr>
          <w:rFonts w:ascii="Bookman Old Style" w:hAnsi="Bookman Old Style"/>
          <w:i/>
          <w:iCs/>
        </w:rPr>
        <w:t>c</w:t>
      </w:r>
      <w:r w:rsidRPr="00E37A9F">
        <w:rPr>
          <w:rFonts w:ascii="Bookman Old Style" w:hAnsi="Bookman Old Style"/>
        </w:rPr>
        <w:t xml:space="preserve">, entre el período transcurrido del mes de enero de 2023 al mes de julio de 2023, para cada numeral </w:t>
      </w:r>
      <w:r w:rsidRPr="003B7847">
        <w:rPr>
          <w:rFonts w:ascii="Bookman Old Style" w:hAnsi="Bookman Old Style"/>
          <w:i/>
          <w:iCs/>
        </w:rPr>
        <w:t>n</w:t>
      </w:r>
      <w:r w:rsidRPr="00E37A9F">
        <w:rPr>
          <w:rFonts w:ascii="Bookman Old Style" w:hAnsi="Bookman Old Style"/>
        </w:rPr>
        <w:t xml:space="preserve">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 en MBTU.</w:t>
      </w:r>
    </w:p>
    <w:p w14:paraId="1CADE8E7" w14:textId="77777777" w:rsidR="00187689" w:rsidRPr="00E37A9F" w:rsidRDefault="00187689" w:rsidP="00DD3568">
      <w:pPr>
        <w:ind w:left="2268" w:right="142" w:hanging="993"/>
        <w:jc w:val="both"/>
        <w:rPr>
          <w:rFonts w:ascii="Bookman Old Style" w:hAnsi="Bookman Old Style"/>
        </w:rPr>
      </w:pPr>
    </w:p>
    <w:p w14:paraId="56CCAB27" w14:textId="6DB7A8A8" w:rsidR="00187689" w:rsidRPr="00E37A9F" w:rsidRDefault="00187689" w:rsidP="00DD3568">
      <w:pPr>
        <w:ind w:left="2268" w:right="142" w:hanging="1134"/>
        <w:jc w:val="both"/>
        <w:rPr>
          <w:rFonts w:ascii="Bookman Old Style" w:hAnsi="Bookman Old Style"/>
        </w:rPr>
      </w:pPr>
      <w:proofErr w:type="gramStart"/>
      <w:r w:rsidRPr="00E37A9F">
        <w:rPr>
          <w:rFonts w:ascii="Bookman Old Style" w:hAnsi="Bookman Old Style"/>
        </w:rPr>
        <w:t>DE</w:t>
      </w:r>
      <w:r w:rsidRPr="00E37A9F">
        <w:rPr>
          <w:rFonts w:ascii="Bookman Old Style" w:hAnsi="Bookman Old Style"/>
          <w:vertAlign w:val="subscript"/>
        </w:rPr>
        <w:t>c,p</w:t>
      </w:r>
      <w:proofErr w:type="gramEnd"/>
      <w:r w:rsidRPr="00E37A9F">
        <w:rPr>
          <w:rFonts w:ascii="Bookman Old Style" w:hAnsi="Bookman Old Style"/>
          <w:vertAlign w:val="subscript"/>
        </w:rPr>
        <w:t>,2022,n</w:t>
      </w:r>
      <w:r w:rsidRPr="00E37A9F">
        <w:rPr>
          <w:rFonts w:ascii="Bookman Old Style" w:hAnsi="Bookman Old Style"/>
        </w:rPr>
        <w:t xml:space="preserve">: </w:t>
      </w:r>
      <w:r w:rsidRPr="00E37A9F">
        <w:rPr>
          <w:rFonts w:ascii="Bookman Old Style" w:hAnsi="Bookman Old Style"/>
        </w:rPr>
        <w:tab/>
        <w:t xml:space="preserve">Cantidad total de energía consumida por la Demanda Esencial atendida por el comprador </w:t>
      </w:r>
      <w:r w:rsidRPr="003B7847">
        <w:rPr>
          <w:rFonts w:ascii="Bookman Old Style" w:hAnsi="Bookman Old Style"/>
          <w:i/>
          <w:iCs/>
        </w:rPr>
        <w:t>c</w:t>
      </w:r>
      <w:r w:rsidRPr="00E37A9F">
        <w:rPr>
          <w:rFonts w:ascii="Bookman Old Style" w:hAnsi="Bookman Old Style"/>
        </w:rPr>
        <w:t xml:space="preserve">, entre el período </w:t>
      </w:r>
      <w:r w:rsidRPr="00E37A9F">
        <w:rPr>
          <w:rFonts w:ascii="Bookman Old Style" w:hAnsi="Bookman Old Style"/>
        </w:rPr>
        <w:lastRenderedPageBreak/>
        <w:t xml:space="preserve">transcurrido del mes de enero de 2022 al mes de julio de 2022, para cada numeral </w:t>
      </w:r>
      <w:r w:rsidRPr="003B7847">
        <w:rPr>
          <w:rFonts w:ascii="Bookman Old Style" w:hAnsi="Bookman Old Style"/>
          <w:i/>
          <w:iCs/>
        </w:rPr>
        <w:t>n</w:t>
      </w:r>
      <w:r w:rsidRPr="00E37A9F">
        <w:rPr>
          <w:rFonts w:ascii="Bookman Old Style" w:hAnsi="Bookman Old Style"/>
        </w:rPr>
        <w:t xml:space="preserve">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 en MBTU.</w:t>
      </w:r>
    </w:p>
    <w:p w14:paraId="04CECAB8" w14:textId="77777777" w:rsidR="00187689" w:rsidRPr="00E37A9F" w:rsidRDefault="00187689" w:rsidP="00DD3568">
      <w:pPr>
        <w:ind w:left="2268" w:right="142" w:hanging="1134"/>
        <w:jc w:val="both"/>
        <w:rPr>
          <w:rFonts w:ascii="Bookman Old Style" w:hAnsi="Bookman Old Style"/>
        </w:rPr>
      </w:pPr>
    </w:p>
    <w:p w14:paraId="0C439644" w14:textId="77777777" w:rsidR="00187689" w:rsidRPr="00E37A9F" w:rsidRDefault="00187689" w:rsidP="00DD3568">
      <w:pPr>
        <w:ind w:left="2268" w:right="142" w:hanging="1134"/>
        <w:jc w:val="both"/>
        <w:rPr>
          <w:rFonts w:ascii="Bookman Old Style" w:hAnsi="Bookman Old Style"/>
        </w:rPr>
      </w:pPr>
      <w:r w:rsidRPr="00E37A9F">
        <w:rPr>
          <w:rFonts w:ascii="Bookman Old Style" w:hAnsi="Bookman Old Style"/>
        </w:rPr>
        <w:t xml:space="preserve">n: </w:t>
      </w:r>
      <w:r w:rsidRPr="00E37A9F">
        <w:rPr>
          <w:rFonts w:ascii="Bookman Old Style" w:hAnsi="Bookman Old Style"/>
        </w:rPr>
        <w:tab/>
        <w:t xml:space="preserve">Son en su orden: i) la demanda de gas natural para la operación de las estaciones de compresión del </w:t>
      </w:r>
      <w:proofErr w:type="spellStart"/>
      <w:r w:rsidRPr="00E37A9F">
        <w:rPr>
          <w:rFonts w:ascii="Bookman Old Style" w:hAnsi="Bookman Old Style"/>
        </w:rPr>
        <w:t>SNT</w:t>
      </w:r>
      <w:proofErr w:type="spellEnd"/>
      <w:r w:rsidRPr="00E37A9F">
        <w:rPr>
          <w:rFonts w:ascii="Bookman Old Style" w:hAnsi="Bookman Old Style"/>
        </w:rPr>
        <w:t xml:space="preserve">, </w:t>
      </w:r>
      <w:proofErr w:type="spellStart"/>
      <w:r w:rsidRPr="00E37A9F">
        <w:rPr>
          <w:rFonts w:ascii="Bookman Old Style" w:hAnsi="Bookman Old Style"/>
        </w:rPr>
        <w:t>ii</w:t>
      </w:r>
      <w:proofErr w:type="spellEnd"/>
      <w:r w:rsidRPr="00E37A9F">
        <w:rPr>
          <w:rFonts w:ascii="Bookman Old Style" w:hAnsi="Bookman Old Style"/>
        </w:rPr>
        <w:t xml:space="preserve">) la demanda de gas natural de usuarios residenciales y pequeños usuarios comerciales inmersos en la red de distribución, </w:t>
      </w:r>
      <w:proofErr w:type="spellStart"/>
      <w:r w:rsidRPr="00E37A9F">
        <w:rPr>
          <w:rFonts w:ascii="Bookman Old Style" w:hAnsi="Bookman Old Style"/>
        </w:rPr>
        <w:t>iii</w:t>
      </w:r>
      <w:proofErr w:type="spellEnd"/>
      <w:r w:rsidRPr="00E37A9F">
        <w:rPr>
          <w:rFonts w:ascii="Bookman Old Style" w:hAnsi="Bookman Old Style"/>
        </w:rPr>
        <w:t xml:space="preserve">) la demanda de </w:t>
      </w:r>
      <w:proofErr w:type="spellStart"/>
      <w:r w:rsidRPr="00E37A9F">
        <w:rPr>
          <w:rFonts w:ascii="Bookman Old Style" w:hAnsi="Bookman Old Style"/>
        </w:rPr>
        <w:t>GNCV</w:t>
      </w:r>
      <w:proofErr w:type="spellEnd"/>
      <w:r w:rsidRPr="00E37A9F">
        <w:rPr>
          <w:rFonts w:ascii="Bookman Old Style" w:hAnsi="Bookman Old Style"/>
        </w:rPr>
        <w:t xml:space="preserve">, y </w:t>
      </w:r>
      <w:proofErr w:type="spellStart"/>
      <w:r w:rsidRPr="00E37A9F">
        <w:rPr>
          <w:rFonts w:ascii="Bookman Old Style" w:hAnsi="Bookman Old Style"/>
        </w:rPr>
        <w:t>iv</w:t>
      </w:r>
      <w:proofErr w:type="spellEnd"/>
      <w:r w:rsidRPr="00E37A9F">
        <w:rPr>
          <w:rFonts w:ascii="Bookman Old Style" w:hAnsi="Bookman Old Style"/>
        </w:rPr>
        <w:t>) la demanda de gas natural de las refinerías, excluyendo aquella con destino a autogeneración de energía eléctrica que pueda ser reemplazada con energía del sistema interconectado nacional.</w:t>
      </w:r>
    </w:p>
    <w:p w14:paraId="17E862A2" w14:textId="77777777" w:rsidR="00187689" w:rsidRPr="00E37A9F" w:rsidRDefault="00187689" w:rsidP="00DD3568">
      <w:pPr>
        <w:ind w:left="2268" w:right="142" w:hanging="993"/>
        <w:jc w:val="both"/>
        <w:rPr>
          <w:rFonts w:ascii="Bookman Old Style" w:hAnsi="Bookman Old Style"/>
        </w:rPr>
      </w:pPr>
    </w:p>
    <w:p w14:paraId="491C8F9B" w14:textId="0438DE14" w:rsidR="00187689" w:rsidRPr="00E37A9F" w:rsidRDefault="00187689" w:rsidP="00DD3568">
      <w:pPr>
        <w:pStyle w:val="NormalWeb"/>
        <w:spacing w:before="0" w:beforeAutospacing="0" w:after="0" w:afterAutospacing="0"/>
        <w:ind w:left="1134" w:right="142"/>
        <w:jc w:val="both"/>
        <w:rPr>
          <w:rFonts w:ascii="Bookman Old Style" w:hAnsi="Bookman Old Style"/>
        </w:rPr>
      </w:pPr>
      <w:r w:rsidRPr="00E37A9F">
        <w:rPr>
          <w:rFonts w:ascii="Bookman Old Style" w:hAnsi="Bookman Old Style"/>
        </w:rPr>
        <w:t xml:space="preserve">La cantidad de solicitudes de compra de un comprador del </w:t>
      </w:r>
      <w:r w:rsidR="00587384" w:rsidRPr="00E37A9F">
        <w:rPr>
          <w:rFonts w:ascii="Bookman Old Style" w:hAnsi="Bookman Old Style"/>
        </w:rPr>
        <w:t>mercado primario</w:t>
      </w:r>
      <w:r w:rsidRPr="00E37A9F">
        <w:rPr>
          <w:rFonts w:ascii="Bookman Old Style" w:hAnsi="Bookman Old Style"/>
        </w:rPr>
        <w:t xml:space="preserve"> con el fin de atender directamente la Demanda Esencial, para cada numeral </w:t>
      </w:r>
      <w:r w:rsidRPr="009E2864">
        <w:rPr>
          <w:rFonts w:ascii="Bookman Old Style" w:hAnsi="Bookman Old Style"/>
          <w:i/>
          <w:iCs/>
        </w:rPr>
        <w:t>n</w:t>
      </w:r>
      <w:r w:rsidRPr="00E37A9F">
        <w:rPr>
          <w:rFonts w:ascii="Bookman Old Style" w:hAnsi="Bookman Old Style"/>
        </w:rPr>
        <w:t xml:space="preserve"> establecido en la definición de Demanda Esencial del </w:t>
      </w:r>
      <w:r w:rsidR="00746F74" w:rsidRPr="00E37A9F">
        <w:rPr>
          <w:rFonts w:ascii="Bookman Old Style" w:hAnsi="Bookman Old Style"/>
        </w:rPr>
        <w:t>artículo</w:t>
      </w:r>
      <w:r w:rsidRPr="00E37A9F">
        <w:rPr>
          <w:rFonts w:ascii="Bookman Old Style" w:hAnsi="Bookman Old Style"/>
        </w:rPr>
        <w:t xml:space="preserve"> 2.2.2.1.4 del Decreto 1073 de 2015, no podrá ser superior al valor obtenido IS1</w:t>
      </w:r>
      <w:proofErr w:type="gramStart"/>
      <w:r w:rsidRPr="00E37A9F">
        <w:rPr>
          <w:rFonts w:ascii="Bookman Old Style" w:hAnsi="Bookman Old Style"/>
          <w:vertAlign w:val="subscript"/>
        </w:rPr>
        <w:t>c,p</w:t>
      </w:r>
      <w:proofErr w:type="gramEnd"/>
      <w:r w:rsidRPr="00E37A9F">
        <w:rPr>
          <w:rFonts w:ascii="Bookman Old Style" w:hAnsi="Bookman Old Style"/>
          <w:vertAlign w:val="subscript"/>
        </w:rPr>
        <w:t>,n</w:t>
      </w:r>
      <w:r w:rsidRPr="00E37A9F">
        <w:rPr>
          <w:rFonts w:ascii="Bookman Old Style" w:hAnsi="Bookman Old Style"/>
        </w:rPr>
        <w:t xml:space="preserve">. Será responsabilidad del agente comprador el cálculo de dicho valor y de que se cumpla la condición presente.  </w:t>
      </w:r>
    </w:p>
    <w:p w14:paraId="67BE1455" w14:textId="77777777" w:rsidR="00187689" w:rsidRPr="00E37A9F" w:rsidRDefault="00187689" w:rsidP="00DD3568">
      <w:pPr>
        <w:pStyle w:val="NormalWeb"/>
        <w:spacing w:before="0" w:beforeAutospacing="0" w:after="0" w:afterAutospacing="0"/>
        <w:ind w:left="2268" w:right="142" w:hanging="993"/>
        <w:jc w:val="both"/>
        <w:rPr>
          <w:rFonts w:ascii="Bookman Old Style" w:hAnsi="Bookman Old Style"/>
        </w:rPr>
      </w:pPr>
    </w:p>
    <w:p w14:paraId="021EF7B8" w14:textId="77777777" w:rsidR="00187689" w:rsidRPr="00E37A9F" w:rsidRDefault="00187689" w:rsidP="00DD3568">
      <w:pPr>
        <w:pStyle w:val="NormalWeb"/>
        <w:spacing w:before="0" w:beforeAutospacing="0" w:after="0" w:afterAutospacing="0"/>
        <w:ind w:left="1134" w:right="142"/>
        <w:jc w:val="both"/>
        <w:rPr>
          <w:rFonts w:ascii="Bookman Old Style" w:hAnsi="Bookman Old Style"/>
        </w:rPr>
      </w:pPr>
      <w:r w:rsidRPr="00E37A9F">
        <w:rPr>
          <w:rFonts w:ascii="Bookman Old Style" w:hAnsi="Bookman Old Style"/>
        </w:rPr>
        <w:t xml:space="preserve">En el caso de que haya un nuevo comprador </w:t>
      </w:r>
      <w:r w:rsidRPr="009E2864">
        <w:rPr>
          <w:rFonts w:ascii="Bookman Old Style" w:hAnsi="Bookman Old Style"/>
          <w:i/>
          <w:iCs/>
        </w:rPr>
        <w:t>c</w:t>
      </w:r>
      <w:r w:rsidRPr="00E37A9F">
        <w:rPr>
          <w:rFonts w:ascii="Bookman Old Style" w:hAnsi="Bookman Old Style"/>
        </w:rPr>
        <w:t xml:space="preserve"> que representa parte de la Demanda Esencial, que en el año 2022 o en el año 2023 era atendida por otro comprador </w:t>
      </w:r>
      <w:r w:rsidRPr="009E2864">
        <w:rPr>
          <w:rFonts w:ascii="Bookman Old Style" w:hAnsi="Bookman Old Style"/>
          <w:i/>
          <w:iCs/>
        </w:rPr>
        <w:t>c</w:t>
      </w:r>
      <w:r w:rsidRPr="00E37A9F">
        <w:rPr>
          <w:rFonts w:ascii="Bookman Old Style" w:hAnsi="Bookman Old Style"/>
        </w:rPr>
        <w:t xml:space="preserve">, el comprador saliente del año 2022 o del año 2023 deberá facilitar la información del consumo </w:t>
      </w:r>
      <w:proofErr w:type="gramStart"/>
      <w:r w:rsidRPr="00E37A9F">
        <w:rPr>
          <w:rFonts w:ascii="Bookman Old Style" w:hAnsi="Bookman Old Style"/>
        </w:rPr>
        <w:t>DE</w:t>
      </w:r>
      <w:r w:rsidRPr="00E37A9F">
        <w:rPr>
          <w:rFonts w:ascii="Bookman Old Style" w:hAnsi="Bookman Old Style"/>
          <w:vertAlign w:val="subscript"/>
        </w:rPr>
        <w:t>c,p</w:t>
      </w:r>
      <w:proofErr w:type="gramEnd"/>
      <w:r w:rsidRPr="00E37A9F">
        <w:rPr>
          <w:rFonts w:ascii="Bookman Old Style" w:hAnsi="Bookman Old Style"/>
          <w:vertAlign w:val="subscript"/>
        </w:rPr>
        <w:t>,2022</w:t>
      </w:r>
      <w:r w:rsidRPr="00E37A9F">
        <w:rPr>
          <w:rFonts w:ascii="Bookman Old Style" w:hAnsi="Bookman Old Style"/>
        </w:rPr>
        <w:t xml:space="preserve"> y CR</w:t>
      </w:r>
      <w:r w:rsidRPr="00E37A9F">
        <w:rPr>
          <w:rFonts w:ascii="Bookman Old Style" w:hAnsi="Bookman Old Style"/>
          <w:vertAlign w:val="subscript"/>
        </w:rPr>
        <w:t>c,p-1,n</w:t>
      </w:r>
      <w:r w:rsidRPr="00E37A9F">
        <w:rPr>
          <w:rFonts w:ascii="Bookman Old Style" w:hAnsi="Bookman Old Style"/>
        </w:rPr>
        <w:t xml:space="preserve"> al nuevo comprador </w:t>
      </w:r>
      <w:r w:rsidRPr="009E2864">
        <w:rPr>
          <w:rFonts w:ascii="Bookman Old Style" w:hAnsi="Bookman Old Style"/>
          <w:i/>
          <w:iCs/>
        </w:rPr>
        <w:t>c</w:t>
      </w:r>
      <w:r w:rsidRPr="00E37A9F">
        <w:rPr>
          <w:rFonts w:ascii="Bookman Old Style" w:hAnsi="Bookman Old Style"/>
        </w:rPr>
        <w:t xml:space="preserve"> y toda aquella que se requiera para efectuar los cálculos aquí descritos.  </w:t>
      </w:r>
    </w:p>
    <w:p w14:paraId="79120477" w14:textId="77777777" w:rsidR="00187689" w:rsidRPr="00E37A9F" w:rsidRDefault="00187689" w:rsidP="00DD3568">
      <w:pPr>
        <w:ind w:left="1985" w:right="142"/>
        <w:jc w:val="both"/>
        <w:rPr>
          <w:rFonts w:ascii="Bookman Old Style" w:hAnsi="Bookman Old Style"/>
        </w:rPr>
      </w:pPr>
    </w:p>
    <w:p w14:paraId="43423308" w14:textId="31A1B089" w:rsidR="00187689" w:rsidRPr="00E37A9F" w:rsidRDefault="00187689" w:rsidP="00DD3568">
      <w:pPr>
        <w:pStyle w:val="Prrafodelista"/>
        <w:numPr>
          <w:ilvl w:val="0"/>
          <w:numId w:val="32"/>
        </w:numPr>
        <w:ind w:left="1134" w:right="142" w:hanging="567"/>
        <w:jc w:val="both"/>
        <w:rPr>
          <w:rFonts w:ascii="Bookman Old Style" w:hAnsi="Bookman Old Style"/>
          <w:sz w:val="24"/>
          <w:szCs w:val="24"/>
        </w:rPr>
      </w:pPr>
      <w:r w:rsidRPr="00E37A9F">
        <w:rPr>
          <w:rFonts w:ascii="Bookman Old Style" w:hAnsi="Bookman Old Style"/>
          <w:sz w:val="24"/>
          <w:szCs w:val="24"/>
        </w:rPr>
        <w:t xml:space="preserve">En cada una de las solicitudes de compra del </w:t>
      </w:r>
      <w:r w:rsidR="00587384" w:rsidRPr="00E37A9F">
        <w:rPr>
          <w:rFonts w:ascii="Bookman Old Style" w:hAnsi="Bookman Old Style"/>
          <w:sz w:val="24"/>
          <w:szCs w:val="24"/>
        </w:rPr>
        <w:t>mercado primario</w:t>
      </w:r>
      <w:r w:rsidRPr="00E37A9F">
        <w:rPr>
          <w:rFonts w:ascii="Bookman Old Style" w:hAnsi="Bookman Old Style"/>
          <w:sz w:val="24"/>
          <w:szCs w:val="24"/>
        </w:rPr>
        <w:t xml:space="preserve"> el comprador deberá incluir como mínimo, la cantidad total solicitada de la fuente de suministro, discriminando la cantidad solicitada para atender la Demanda Esencial para cada numeral </w:t>
      </w:r>
      <w:r w:rsidRPr="00602FAF">
        <w:rPr>
          <w:rFonts w:ascii="Bookman Old Style" w:hAnsi="Bookman Old Style"/>
          <w:i/>
          <w:iCs/>
          <w:sz w:val="24"/>
          <w:szCs w:val="24"/>
        </w:rPr>
        <w:t>n</w:t>
      </w:r>
      <w:r w:rsidRPr="00E37A9F">
        <w:rPr>
          <w:rFonts w:ascii="Bookman Old Style" w:hAnsi="Bookman Old Style"/>
          <w:sz w:val="24"/>
          <w:szCs w:val="24"/>
        </w:rPr>
        <w:t xml:space="preserve"> establecido en la definición de Demanda Esencial del </w:t>
      </w:r>
      <w:r w:rsidR="00746F74" w:rsidRPr="00E37A9F">
        <w:rPr>
          <w:rFonts w:ascii="Bookman Old Style" w:hAnsi="Bookman Old Style"/>
          <w:sz w:val="24"/>
          <w:szCs w:val="24"/>
        </w:rPr>
        <w:t>artículo</w:t>
      </w:r>
      <w:r w:rsidRPr="00E37A9F">
        <w:rPr>
          <w:rFonts w:ascii="Bookman Old Style" w:hAnsi="Bookman Old Style"/>
          <w:sz w:val="24"/>
          <w:szCs w:val="24"/>
        </w:rPr>
        <w:t xml:space="preserve"> 2.2.2.1.4 del Decreto 1073 de 2015, en MBTUD. Dicha información deberá ser tenida en cuenta por cada uno de los vendedores de la fuente de suministro solicitada, para efectos de la asignación priorizada de las cantidades ofertadas para esa fuente de suministro.   </w:t>
      </w:r>
    </w:p>
    <w:p w14:paraId="5DAC96BE" w14:textId="77777777" w:rsidR="00187689" w:rsidRPr="00E37A9F" w:rsidRDefault="00187689" w:rsidP="00DD3568">
      <w:pPr>
        <w:pStyle w:val="NormalWeb"/>
        <w:spacing w:before="0" w:beforeAutospacing="0" w:after="0" w:afterAutospacing="0"/>
        <w:ind w:left="1134" w:hanging="567"/>
        <w:rPr>
          <w:rFonts w:ascii="Bookman Old Style" w:hAnsi="Bookman Old Style"/>
        </w:rPr>
      </w:pPr>
    </w:p>
    <w:p w14:paraId="411FD2E3" w14:textId="77777777" w:rsidR="00187689" w:rsidRPr="00E37A9F" w:rsidRDefault="00187689" w:rsidP="00DD3568">
      <w:pPr>
        <w:pStyle w:val="NormalWeb"/>
        <w:widowControl w:val="0"/>
        <w:numPr>
          <w:ilvl w:val="0"/>
          <w:numId w:val="32"/>
        </w:numPr>
        <w:adjustRightInd w:val="0"/>
        <w:spacing w:before="0" w:beforeAutospacing="0" w:after="0" w:afterAutospacing="0"/>
        <w:ind w:left="1134" w:hanging="567"/>
        <w:jc w:val="both"/>
        <w:textAlignment w:val="baseline"/>
        <w:rPr>
          <w:rFonts w:ascii="Bookman Old Style" w:hAnsi="Bookman Old Style"/>
        </w:rPr>
      </w:pPr>
      <w:r w:rsidRPr="00E37A9F">
        <w:rPr>
          <w:rFonts w:ascii="Bookman Old Style" w:hAnsi="Bookman Old Style"/>
        </w:rPr>
        <w:t>El vendedor de la fuente de suministro deberá priorizar la asignación de las cantidades ofertadas de la siguiente manera:</w:t>
      </w:r>
    </w:p>
    <w:p w14:paraId="7CEA1C76" w14:textId="77777777" w:rsidR="00187689" w:rsidRPr="00E37A9F" w:rsidRDefault="00187689" w:rsidP="00DD3568">
      <w:pPr>
        <w:pStyle w:val="Prrafodelista"/>
        <w:ind w:left="1985" w:hanging="218"/>
        <w:rPr>
          <w:rFonts w:ascii="Bookman Old Style" w:hAnsi="Bookman Old Style"/>
          <w:sz w:val="24"/>
          <w:szCs w:val="24"/>
        </w:rPr>
      </w:pPr>
    </w:p>
    <w:p w14:paraId="3C52DE71" w14:textId="77777777" w:rsidR="00187689" w:rsidRPr="00E37A9F" w:rsidRDefault="00187689" w:rsidP="00DD3568">
      <w:pPr>
        <w:pStyle w:val="NormalWeb"/>
        <w:widowControl w:val="0"/>
        <w:numPr>
          <w:ilvl w:val="1"/>
          <w:numId w:val="32"/>
        </w:numPr>
        <w:adjustRightInd w:val="0"/>
        <w:spacing w:before="0" w:beforeAutospacing="0" w:after="0" w:afterAutospacing="0"/>
        <w:ind w:left="1701" w:hanging="567"/>
        <w:jc w:val="both"/>
        <w:textAlignment w:val="baseline"/>
        <w:rPr>
          <w:rFonts w:ascii="Bookman Old Style" w:hAnsi="Bookman Old Style"/>
        </w:rPr>
      </w:pPr>
      <w:r w:rsidRPr="00E37A9F">
        <w:rPr>
          <w:rFonts w:ascii="Bookman Old Style" w:hAnsi="Bookman Old Style"/>
        </w:rPr>
        <w:t xml:space="preserve">Si las cantidades ofertadas son iguales o superiores al total de las cantidades solicitadas por los compradores para atender la totalidad de la Demanda Esencial, el vendedor asignará primero el total de las cantidades para atender la Demanda Esencial, pudiendo negociar el suministro de las cantidades excedentarias de la oferta con los agentes que representan la demás demanda. </w:t>
      </w:r>
    </w:p>
    <w:p w14:paraId="522C6D64" w14:textId="77777777" w:rsidR="00187689" w:rsidRPr="00E37A9F" w:rsidRDefault="00187689" w:rsidP="00DD3568">
      <w:pPr>
        <w:pStyle w:val="NormalWeb"/>
        <w:spacing w:before="0" w:beforeAutospacing="0" w:after="0" w:afterAutospacing="0"/>
        <w:ind w:left="1701" w:hanging="567"/>
        <w:rPr>
          <w:rFonts w:ascii="Bookman Old Style" w:hAnsi="Bookman Old Style"/>
        </w:rPr>
      </w:pPr>
    </w:p>
    <w:p w14:paraId="0D6D7517" w14:textId="77777777" w:rsidR="00187689" w:rsidRPr="00E37A9F" w:rsidRDefault="00187689" w:rsidP="00DD3568">
      <w:pPr>
        <w:pStyle w:val="NormalWeb"/>
        <w:widowControl w:val="0"/>
        <w:numPr>
          <w:ilvl w:val="1"/>
          <w:numId w:val="32"/>
        </w:numPr>
        <w:adjustRightInd w:val="0"/>
        <w:spacing w:before="0" w:beforeAutospacing="0" w:after="0" w:afterAutospacing="0"/>
        <w:ind w:left="1701" w:hanging="567"/>
        <w:jc w:val="both"/>
        <w:textAlignment w:val="baseline"/>
        <w:rPr>
          <w:rFonts w:ascii="Bookman Old Style" w:hAnsi="Bookman Old Style"/>
        </w:rPr>
      </w:pPr>
      <w:r w:rsidRPr="00E37A9F">
        <w:rPr>
          <w:rFonts w:ascii="Bookman Old Style" w:hAnsi="Bookman Old Style"/>
        </w:rPr>
        <w:t xml:space="preserve">Si las cantidades ofertadas son menores al total de las cantidades </w:t>
      </w:r>
      <w:r w:rsidRPr="00E37A9F">
        <w:rPr>
          <w:rFonts w:ascii="Bookman Old Style" w:hAnsi="Bookman Old Style"/>
        </w:rPr>
        <w:lastRenderedPageBreak/>
        <w:t>solicitadas por los compradores para atender la Demanda Esencial, el vendedor asignará las cantidades ofertadas, así:</w:t>
      </w:r>
    </w:p>
    <w:p w14:paraId="3B31AC14" w14:textId="77777777" w:rsidR="00187689" w:rsidRPr="00E37A9F" w:rsidRDefault="00187689" w:rsidP="00DD3568">
      <w:pPr>
        <w:pStyle w:val="Prrafodelista"/>
        <w:ind w:left="1701" w:hanging="567"/>
        <w:rPr>
          <w:rFonts w:ascii="Bookman Old Style" w:hAnsi="Bookman Old Style"/>
          <w:sz w:val="24"/>
          <w:szCs w:val="24"/>
        </w:rPr>
      </w:pPr>
    </w:p>
    <w:p w14:paraId="7BA341FF" w14:textId="7EC98510" w:rsidR="00187689" w:rsidRPr="00E37A9F" w:rsidRDefault="00187689" w:rsidP="00DD3568">
      <w:pPr>
        <w:pStyle w:val="NormalWeb"/>
        <w:widowControl w:val="0"/>
        <w:numPr>
          <w:ilvl w:val="2"/>
          <w:numId w:val="32"/>
        </w:numPr>
        <w:adjustRightInd w:val="0"/>
        <w:spacing w:before="0" w:beforeAutospacing="0" w:after="0" w:afterAutospacing="0"/>
        <w:ind w:left="2268" w:hanging="425"/>
        <w:jc w:val="both"/>
        <w:textAlignment w:val="baseline"/>
        <w:rPr>
          <w:rFonts w:ascii="Bookman Old Style" w:hAnsi="Bookman Old Style"/>
        </w:rPr>
      </w:pPr>
      <w:r w:rsidRPr="00E37A9F">
        <w:rPr>
          <w:rFonts w:ascii="Bookman Old Style" w:hAnsi="Bookman Old Style"/>
        </w:rPr>
        <w:t xml:space="preserve">Asigna las cantidades ofertadas a las cantidades totales solicitadas por los compradores, en el mismo orden que aparece en la definición de Demanda Esencial en el </w:t>
      </w:r>
      <w:r w:rsidR="00746F74" w:rsidRPr="00E37A9F">
        <w:rPr>
          <w:rFonts w:ascii="Bookman Old Style" w:hAnsi="Bookman Old Style"/>
        </w:rPr>
        <w:t>artículo</w:t>
      </w:r>
      <w:r w:rsidRPr="00E37A9F">
        <w:rPr>
          <w:rFonts w:ascii="Bookman Old Style" w:hAnsi="Bookman Old Style"/>
        </w:rPr>
        <w:t xml:space="preserve"> 2.2.2.1.4 del Decreto 1073 de 2015, hasta que llegue al numeral en que las cantidades ofertadas remanentes no son suficientes para atender la totalidad solicitada por todos los compradores de tal numeral. </w:t>
      </w:r>
    </w:p>
    <w:p w14:paraId="4127BF75" w14:textId="77777777" w:rsidR="00187689" w:rsidRPr="00E37A9F" w:rsidRDefault="00187689" w:rsidP="00DD3568">
      <w:pPr>
        <w:pStyle w:val="NormalWeb"/>
        <w:spacing w:before="0" w:beforeAutospacing="0" w:after="0" w:afterAutospacing="0"/>
        <w:ind w:left="1985"/>
        <w:rPr>
          <w:rFonts w:ascii="Bookman Old Style" w:hAnsi="Bookman Old Style"/>
        </w:rPr>
      </w:pPr>
    </w:p>
    <w:p w14:paraId="2CE8D408" w14:textId="77777777" w:rsidR="00187689" w:rsidRPr="00E37A9F" w:rsidRDefault="00187689" w:rsidP="00DD3568">
      <w:pPr>
        <w:pStyle w:val="NormalWeb"/>
        <w:widowControl w:val="0"/>
        <w:numPr>
          <w:ilvl w:val="2"/>
          <w:numId w:val="32"/>
        </w:numPr>
        <w:adjustRightInd w:val="0"/>
        <w:spacing w:before="0" w:beforeAutospacing="0" w:after="0" w:afterAutospacing="0"/>
        <w:ind w:left="2268" w:hanging="425"/>
        <w:jc w:val="both"/>
        <w:textAlignment w:val="baseline"/>
        <w:rPr>
          <w:rFonts w:ascii="Bookman Old Style" w:hAnsi="Bookman Old Style"/>
        </w:rPr>
      </w:pPr>
      <w:r w:rsidRPr="00E37A9F">
        <w:rPr>
          <w:rFonts w:ascii="Bookman Old Style" w:hAnsi="Bookman Old Style"/>
        </w:rPr>
        <w:t>Las cantidades ofertadas remanentes serán asignadas entre los compradores del numeral con cantidades insuficientes de oferta, así:</w:t>
      </w:r>
    </w:p>
    <w:p w14:paraId="7B1AF94A" w14:textId="77777777" w:rsidR="00187689" w:rsidRPr="00E37A9F" w:rsidRDefault="00187689" w:rsidP="00DD3568">
      <w:pPr>
        <w:pStyle w:val="NormalWeb"/>
        <w:spacing w:before="0" w:beforeAutospacing="0" w:after="0" w:afterAutospacing="0"/>
        <w:ind w:left="2268" w:hanging="425"/>
        <w:rPr>
          <w:rFonts w:ascii="Bookman Old Style" w:hAnsi="Bookman Old Style"/>
        </w:rPr>
      </w:pPr>
    </w:p>
    <w:p w14:paraId="54DA8989" w14:textId="435BE874" w:rsidR="00187689" w:rsidRPr="00103C83" w:rsidRDefault="00187689" w:rsidP="00DD3568">
      <w:pPr>
        <w:ind w:left="1985" w:hanging="1701"/>
        <w:jc w:val="center"/>
        <w:rPr>
          <w:rFonts w:ascii="Bookman Old Style" w:hAnsi="Bookman Old Style"/>
          <w:lang w:val="en-US"/>
        </w:rPr>
      </w:pPr>
      <w:r w:rsidRPr="00103C83">
        <w:rPr>
          <w:rFonts w:ascii="Bookman Old Style" w:hAnsi="Bookman Old Style"/>
          <w:lang w:val="en-US"/>
        </w:rPr>
        <w:t>IS2</w:t>
      </w:r>
      <w:proofErr w:type="gramStart"/>
      <w:r w:rsidRPr="00103C83">
        <w:rPr>
          <w:rFonts w:ascii="Bookman Old Style" w:hAnsi="Bookman Old Style"/>
          <w:vertAlign w:val="subscript"/>
          <w:lang w:val="en-US"/>
        </w:rPr>
        <w:t>c,p</w:t>
      </w:r>
      <w:proofErr w:type="gramEnd"/>
      <w:r w:rsidRPr="00103C83">
        <w:rPr>
          <w:rFonts w:ascii="Bookman Old Style" w:hAnsi="Bookman Old Style"/>
          <w:vertAlign w:val="subscript"/>
          <w:lang w:val="en-US"/>
        </w:rPr>
        <w:t xml:space="preserve">,n </w:t>
      </w:r>
      <w:r w:rsidRPr="00103C83">
        <w:rPr>
          <w:rFonts w:ascii="Bookman Old Style" w:hAnsi="Bookman Old Style"/>
          <w:lang w:val="en-US"/>
        </w:rPr>
        <w:t>= IS1</w:t>
      </w:r>
      <w:r w:rsidRPr="00103C83">
        <w:rPr>
          <w:rFonts w:ascii="Bookman Old Style" w:hAnsi="Bookman Old Style"/>
          <w:vertAlign w:val="subscript"/>
          <w:lang w:val="en-US"/>
        </w:rPr>
        <w:t>c,p,n</w:t>
      </w:r>
      <w:r w:rsidRPr="00103C83">
        <w:rPr>
          <w:rFonts w:ascii="Bookman Old Style" w:hAnsi="Bookman Old Style"/>
          <w:lang w:val="en-US"/>
        </w:rPr>
        <w:t xml:space="preserve"> / </w:t>
      </w:r>
      <m:oMath>
        <m:nary>
          <m:naryPr>
            <m:chr m:val="∑"/>
            <m:limLoc m:val="undOvr"/>
            <m:ctrlPr>
              <w:rPr>
                <w:rFonts w:ascii="Cambria Math" w:hAnsi="Cambria Math"/>
                <w:iCs/>
                <w:lang w:val="es-ES_tradnl"/>
              </w:rPr>
            </m:ctrlPr>
          </m:naryPr>
          <m:sub>
            <m:r>
              <w:rPr>
                <w:rFonts w:ascii="Cambria Math" w:hAnsi="Cambria Math"/>
              </w:rPr>
              <m:t>c</m:t>
            </m:r>
            <m:r>
              <w:rPr>
                <w:rFonts w:ascii="Cambria Math" w:hAnsi="Cambria Math"/>
                <w:lang w:val="en-US"/>
              </w:rPr>
              <m:t>=1</m:t>
            </m:r>
          </m:sub>
          <m:sup>
            <m:r>
              <m:rPr>
                <m:sty m:val="p"/>
              </m:rPr>
              <w:rPr>
                <w:rFonts w:ascii="Cambria Math" w:hAnsi="Cambria Math"/>
                <w:lang w:val="en-US"/>
              </w:rPr>
              <m:t>c</m:t>
            </m:r>
          </m:sup>
          <m:e>
            <m:sSub>
              <m:sSubPr>
                <m:ctrlPr>
                  <w:rPr>
                    <w:rFonts w:ascii="Cambria Math" w:hAnsi="Cambria Math"/>
                    <w:lang w:val="es-ES_tradnl"/>
                  </w:rPr>
                </m:ctrlPr>
              </m:sSubPr>
              <m:e>
                <m:r>
                  <m:rPr>
                    <m:sty m:val="p"/>
                  </m:rPr>
                  <w:rPr>
                    <w:rFonts w:ascii="Cambria Math" w:hAnsi="Cambria Math"/>
                    <w:lang w:val="en-US"/>
                  </w:rPr>
                  <m:t>IS1</m:t>
                </m:r>
              </m:e>
              <m:sub>
                <m:r>
                  <m:rPr>
                    <m:sty m:val="p"/>
                  </m:rPr>
                  <w:rPr>
                    <w:rFonts w:ascii="Cambria Math" w:hAnsi="Cambria Math"/>
                    <w:lang w:val="en-US"/>
                  </w:rPr>
                  <m:t>c,p,n</m:t>
                </m:r>
              </m:sub>
            </m:sSub>
          </m:e>
        </m:nary>
      </m:oMath>
    </w:p>
    <w:p w14:paraId="5EDB3E22" w14:textId="77777777" w:rsidR="00187689" w:rsidRPr="00103C83" w:rsidRDefault="00187689" w:rsidP="00DD3568">
      <w:pPr>
        <w:ind w:left="1985" w:hanging="1701"/>
        <w:jc w:val="both"/>
        <w:rPr>
          <w:rFonts w:ascii="Bookman Old Style" w:hAnsi="Bookman Old Style"/>
          <w:lang w:val="en-US"/>
        </w:rPr>
      </w:pPr>
    </w:p>
    <w:p w14:paraId="1BEB97BD" w14:textId="77777777" w:rsidR="00187689" w:rsidRPr="00E37A9F" w:rsidRDefault="00187689" w:rsidP="00DD3568">
      <w:pPr>
        <w:ind w:left="1985" w:firstLine="283"/>
        <w:jc w:val="both"/>
        <w:rPr>
          <w:rFonts w:ascii="Bookman Old Style" w:hAnsi="Bookman Old Style"/>
        </w:rPr>
      </w:pPr>
      <w:r w:rsidRPr="00E37A9F">
        <w:rPr>
          <w:rFonts w:ascii="Bookman Old Style" w:hAnsi="Bookman Old Style"/>
        </w:rPr>
        <w:t>Donde:</w:t>
      </w:r>
    </w:p>
    <w:p w14:paraId="3828EB07" w14:textId="77777777" w:rsidR="00187689" w:rsidRPr="00E37A9F" w:rsidRDefault="00187689" w:rsidP="00DD3568">
      <w:pPr>
        <w:ind w:left="1985" w:hanging="1701"/>
        <w:jc w:val="both"/>
        <w:rPr>
          <w:rFonts w:ascii="Bookman Old Style" w:hAnsi="Bookman Old Style"/>
        </w:rPr>
      </w:pPr>
    </w:p>
    <w:p w14:paraId="14CD3C52" w14:textId="77777777" w:rsidR="00187689" w:rsidRPr="00E37A9F" w:rsidRDefault="00187689" w:rsidP="00DD3568">
      <w:pPr>
        <w:ind w:left="2835" w:hanging="567"/>
        <w:jc w:val="both"/>
        <w:rPr>
          <w:rFonts w:ascii="Bookman Old Style" w:hAnsi="Bookman Old Style"/>
        </w:rPr>
      </w:pPr>
      <w:r w:rsidRPr="00E37A9F">
        <w:rPr>
          <w:rFonts w:ascii="Bookman Old Style" w:hAnsi="Bookman Old Style"/>
        </w:rPr>
        <w:t>IS2</w:t>
      </w:r>
      <w:proofErr w:type="gramStart"/>
      <w:r w:rsidRPr="00E37A9F">
        <w:rPr>
          <w:rFonts w:ascii="Bookman Old Style" w:hAnsi="Bookman Old Style"/>
          <w:vertAlign w:val="subscript"/>
        </w:rPr>
        <w:t>c,p</w:t>
      </w:r>
      <w:proofErr w:type="gramEnd"/>
      <w:r w:rsidRPr="00E37A9F">
        <w:rPr>
          <w:rFonts w:ascii="Bookman Old Style" w:hAnsi="Bookman Old Style"/>
          <w:vertAlign w:val="subscript"/>
        </w:rPr>
        <w:t xml:space="preserve">,n </w:t>
      </w:r>
      <w:r w:rsidRPr="00E37A9F">
        <w:rPr>
          <w:rFonts w:ascii="Bookman Old Style" w:hAnsi="Bookman Old Style"/>
        </w:rPr>
        <w:t>:</w:t>
      </w:r>
      <w:r w:rsidRPr="00E37A9F">
        <w:rPr>
          <w:rFonts w:ascii="Bookman Old Style" w:hAnsi="Bookman Old Style"/>
        </w:rPr>
        <w:tab/>
        <w:t xml:space="preserve">Cociente de participación del comprador </w:t>
      </w:r>
      <w:r w:rsidRPr="004C4789">
        <w:rPr>
          <w:rFonts w:ascii="Bookman Old Style" w:hAnsi="Bookman Old Style"/>
          <w:i/>
          <w:iCs/>
        </w:rPr>
        <w:t>c</w:t>
      </w:r>
      <w:r w:rsidRPr="00E37A9F">
        <w:rPr>
          <w:rFonts w:ascii="Bookman Old Style" w:hAnsi="Bookman Old Style"/>
        </w:rPr>
        <w:t xml:space="preserve">, para el período de consumo </w:t>
      </w:r>
      <w:r w:rsidRPr="004C4789">
        <w:rPr>
          <w:rFonts w:ascii="Bookman Old Style" w:hAnsi="Bookman Old Style"/>
          <w:i/>
          <w:iCs/>
        </w:rPr>
        <w:t>p</w:t>
      </w:r>
      <w:r w:rsidRPr="00E37A9F">
        <w:rPr>
          <w:rFonts w:ascii="Bookman Old Style" w:hAnsi="Bookman Old Style"/>
        </w:rPr>
        <w:t xml:space="preserve">, para atender el numeral </w:t>
      </w:r>
      <w:r w:rsidRPr="004C4789">
        <w:rPr>
          <w:rFonts w:ascii="Bookman Old Style" w:hAnsi="Bookman Old Style"/>
          <w:i/>
          <w:iCs/>
        </w:rPr>
        <w:t xml:space="preserve">n </w:t>
      </w:r>
      <w:r w:rsidRPr="00E37A9F">
        <w:rPr>
          <w:rFonts w:ascii="Bookman Old Style" w:hAnsi="Bookman Old Style"/>
        </w:rPr>
        <w:t xml:space="preserve">de la Demanda Esencial directamente. </w:t>
      </w:r>
    </w:p>
    <w:p w14:paraId="208FC1ED" w14:textId="77777777" w:rsidR="00187689" w:rsidRPr="00E37A9F" w:rsidRDefault="00187689" w:rsidP="00DD3568">
      <w:pPr>
        <w:pStyle w:val="Estilo5"/>
        <w:keepNext w:val="0"/>
        <w:tabs>
          <w:tab w:val="left" w:pos="426"/>
          <w:tab w:val="left" w:pos="1843"/>
        </w:tabs>
        <w:spacing w:before="0" w:after="0"/>
        <w:ind w:left="1985" w:right="142"/>
        <w:outlineLvl w:val="9"/>
        <w:rPr>
          <w:b w:val="0"/>
          <w:szCs w:val="24"/>
          <w:lang w:val="es-CO"/>
        </w:rPr>
      </w:pPr>
    </w:p>
    <w:p w14:paraId="460F540D" w14:textId="0E93E19E" w:rsidR="00187689" w:rsidRPr="00E37A9F" w:rsidRDefault="00187689" w:rsidP="00DD3568">
      <w:pPr>
        <w:pStyle w:val="Estilo5"/>
        <w:keepNext w:val="0"/>
        <w:numPr>
          <w:ilvl w:val="0"/>
          <w:numId w:val="32"/>
        </w:numPr>
        <w:tabs>
          <w:tab w:val="left" w:pos="284"/>
          <w:tab w:val="left" w:pos="426"/>
        </w:tabs>
        <w:spacing w:before="0" w:after="0"/>
        <w:ind w:left="1134" w:right="142" w:hanging="567"/>
        <w:outlineLvl w:val="9"/>
        <w:rPr>
          <w:b w:val="0"/>
          <w:szCs w:val="24"/>
          <w:lang w:val="es-CO"/>
        </w:rPr>
      </w:pPr>
      <w:r w:rsidRPr="00E37A9F">
        <w:rPr>
          <w:b w:val="0"/>
          <w:szCs w:val="24"/>
          <w:lang w:val="es-CO"/>
        </w:rPr>
        <w:t xml:space="preserve">El vendedor del </w:t>
      </w:r>
      <w:r w:rsidR="00587384" w:rsidRPr="00E37A9F">
        <w:rPr>
          <w:b w:val="0"/>
          <w:szCs w:val="24"/>
          <w:lang w:val="es-CO"/>
        </w:rPr>
        <w:t>mercado primario</w:t>
      </w:r>
      <w:r w:rsidRPr="00E37A9F">
        <w:rPr>
          <w:b w:val="0"/>
          <w:szCs w:val="24"/>
          <w:lang w:val="es-CO"/>
        </w:rPr>
        <w:t xml:space="preserve"> asignará las cantidades disponibles para el numeral n de la Demanda Esencial, así:</w:t>
      </w:r>
    </w:p>
    <w:p w14:paraId="55183DFA" w14:textId="77777777" w:rsidR="00187689" w:rsidRPr="00E37A9F" w:rsidRDefault="00187689" w:rsidP="00DD3568">
      <w:pPr>
        <w:pStyle w:val="Estilo5"/>
        <w:keepNext w:val="0"/>
        <w:tabs>
          <w:tab w:val="left" w:pos="426"/>
          <w:tab w:val="left" w:pos="1843"/>
        </w:tabs>
        <w:spacing w:before="0" w:after="0"/>
        <w:ind w:left="1985" w:right="142"/>
        <w:outlineLvl w:val="9"/>
        <w:rPr>
          <w:b w:val="0"/>
          <w:szCs w:val="24"/>
          <w:lang w:val="es-CO"/>
        </w:rPr>
      </w:pPr>
    </w:p>
    <w:p w14:paraId="1E0E960F" w14:textId="77777777" w:rsidR="00187689" w:rsidRPr="00E37A9F" w:rsidRDefault="00187689" w:rsidP="00DD3568">
      <w:pPr>
        <w:pStyle w:val="Estilo5"/>
        <w:keepNext w:val="0"/>
        <w:tabs>
          <w:tab w:val="left" w:pos="426"/>
          <w:tab w:val="left" w:pos="1843"/>
        </w:tabs>
        <w:spacing w:before="0" w:after="0"/>
        <w:ind w:left="1985" w:right="142"/>
        <w:outlineLvl w:val="9"/>
        <w:rPr>
          <w:b w:val="0"/>
          <w:szCs w:val="24"/>
          <w:lang w:val="es-CO"/>
        </w:rPr>
      </w:pPr>
    </w:p>
    <w:p w14:paraId="309F890E" w14:textId="77777777" w:rsidR="00187689" w:rsidRPr="00103C83" w:rsidRDefault="00187689" w:rsidP="00DD3568">
      <w:pPr>
        <w:ind w:left="1985" w:hanging="1701"/>
        <w:jc w:val="center"/>
        <w:rPr>
          <w:rFonts w:ascii="Bookman Old Style" w:hAnsi="Bookman Old Style"/>
          <w:lang w:val="en-US"/>
        </w:rPr>
      </w:pPr>
      <w:r w:rsidRPr="00E37A9F">
        <w:rPr>
          <w:rFonts w:ascii="Bookman Old Style" w:hAnsi="Bookman Old Style"/>
        </w:rPr>
        <w:t xml:space="preserve">  </w:t>
      </w:r>
      <w:proofErr w:type="spellStart"/>
      <w:r w:rsidRPr="00103C83">
        <w:rPr>
          <w:rFonts w:ascii="Bookman Old Style" w:hAnsi="Bookman Old Style"/>
          <w:lang w:val="en-US"/>
        </w:rPr>
        <w:t>IS3</w:t>
      </w:r>
      <w:proofErr w:type="gramStart"/>
      <w:r w:rsidRPr="00103C83">
        <w:rPr>
          <w:rFonts w:ascii="Bookman Old Style" w:hAnsi="Bookman Old Style"/>
          <w:vertAlign w:val="subscript"/>
          <w:lang w:val="en-US"/>
        </w:rPr>
        <w:t>c,p</w:t>
      </w:r>
      <w:proofErr w:type="gramEnd"/>
      <w:r w:rsidRPr="00103C83">
        <w:rPr>
          <w:rFonts w:ascii="Bookman Old Style" w:hAnsi="Bookman Old Style"/>
          <w:vertAlign w:val="subscript"/>
          <w:lang w:val="en-US"/>
        </w:rPr>
        <w:t>,n</w:t>
      </w:r>
      <w:proofErr w:type="spellEnd"/>
      <w:r w:rsidRPr="00103C83">
        <w:rPr>
          <w:rFonts w:ascii="Bookman Old Style" w:hAnsi="Bookman Old Style"/>
          <w:vertAlign w:val="subscript"/>
          <w:lang w:val="en-US"/>
        </w:rPr>
        <w:t xml:space="preserve"> </w:t>
      </w:r>
      <w:r w:rsidRPr="00103C83">
        <w:rPr>
          <w:rFonts w:ascii="Bookman Old Style" w:hAnsi="Bookman Old Style"/>
          <w:lang w:val="en-US"/>
        </w:rPr>
        <w:t xml:space="preserve">= </w:t>
      </w:r>
      <w:proofErr w:type="spellStart"/>
      <w:r w:rsidRPr="00103C83">
        <w:rPr>
          <w:rFonts w:ascii="Bookman Old Style" w:hAnsi="Bookman Old Style"/>
          <w:lang w:val="en-US"/>
        </w:rPr>
        <w:t>IS2</w:t>
      </w:r>
      <w:r w:rsidRPr="00103C83">
        <w:rPr>
          <w:rFonts w:ascii="Bookman Old Style" w:hAnsi="Bookman Old Style"/>
          <w:vertAlign w:val="subscript"/>
          <w:lang w:val="en-US"/>
        </w:rPr>
        <w:t>c,p,n</w:t>
      </w:r>
      <w:proofErr w:type="spellEnd"/>
      <w:r w:rsidRPr="00103C83">
        <w:rPr>
          <w:rFonts w:ascii="Bookman Old Style" w:hAnsi="Bookman Old Style"/>
          <w:lang w:val="en-US"/>
        </w:rPr>
        <w:t xml:space="preserve"> X </w:t>
      </w:r>
      <w:proofErr w:type="spellStart"/>
      <w:r w:rsidRPr="00103C83">
        <w:rPr>
          <w:rFonts w:ascii="Bookman Old Style" w:hAnsi="Bookman Old Style"/>
          <w:lang w:val="en-US"/>
        </w:rPr>
        <w:t>CD</w:t>
      </w:r>
      <w:r w:rsidRPr="00103C83">
        <w:rPr>
          <w:rFonts w:ascii="Bookman Old Style" w:hAnsi="Bookman Old Style"/>
          <w:vertAlign w:val="subscript"/>
          <w:lang w:val="en-US"/>
        </w:rPr>
        <w:t>v</w:t>
      </w:r>
      <w:proofErr w:type="spellEnd"/>
    </w:p>
    <w:p w14:paraId="73599C20" w14:textId="77777777" w:rsidR="00187689" w:rsidRPr="00103C83" w:rsidRDefault="00187689" w:rsidP="00DD3568">
      <w:pPr>
        <w:ind w:left="1985" w:hanging="1701"/>
        <w:jc w:val="center"/>
        <w:rPr>
          <w:rFonts w:ascii="Bookman Old Style" w:hAnsi="Bookman Old Style"/>
          <w:lang w:val="en-US"/>
        </w:rPr>
      </w:pPr>
    </w:p>
    <w:p w14:paraId="4FC760C0" w14:textId="77777777" w:rsidR="00187689" w:rsidRPr="00E37A9F" w:rsidRDefault="00187689" w:rsidP="00DD3568">
      <w:pPr>
        <w:ind w:left="2268" w:hanging="1134"/>
        <w:rPr>
          <w:rFonts w:ascii="Bookman Old Style" w:hAnsi="Bookman Old Style"/>
        </w:rPr>
      </w:pPr>
      <w:r w:rsidRPr="00E37A9F">
        <w:rPr>
          <w:rFonts w:ascii="Bookman Old Style" w:hAnsi="Bookman Old Style"/>
        </w:rPr>
        <w:t>Donde:</w:t>
      </w:r>
    </w:p>
    <w:p w14:paraId="2ED77999" w14:textId="77777777" w:rsidR="00187689" w:rsidRPr="00E37A9F" w:rsidRDefault="00187689" w:rsidP="00DD3568">
      <w:pPr>
        <w:ind w:left="2268" w:hanging="1134"/>
        <w:rPr>
          <w:rFonts w:ascii="Bookman Old Style" w:hAnsi="Bookman Old Style"/>
        </w:rPr>
      </w:pPr>
    </w:p>
    <w:p w14:paraId="1B609FE0" w14:textId="77777777" w:rsidR="00187689" w:rsidRPr="00E37A9F" w:rsidRDefault="00187689" w:rsidP="00DD3568">
      <w:pPr>
        <w:ind w:left="2268" w:hanging="1134"/>
        <w:jc w:val="both"/>
        <w:rPr>
          <w:rFonts w:ascii="Bookman Old Style" w:hAnsi="Bookman Old Style"/>
        </w:rPr>
      </w:pPr>
      <w:r w:rsidRPr="00E37A9F">
        <w:rPr>
          <w:rFonts w:ascii="Bookman Old Style" w:hAnsi="Bookman Old Style"/>
        </w:rPr>
        <w:t>IS3</w:t>
      </w:r>
      <w:proofErr w:type="gramStart"/>
      <w:r w:rsidRPr="00E37A9F">
        <w:rPr>
          <w:rFonts w:ascii="Bookman Old Style" w:hAnsi="Bookman Old Style"/>
          <w:vertAlign w:val="subscript"/>
        </w:rPr>
        <w:t>c,p</w:t>
      </w:r>
      <w:proofErr w:type="gramEnd"/>
      <w:r w:rsidRPr="00E37A9F">
        <w:rPr>
          <w:rFonts w:ascii="Bookman Old Style" w:hAnsi="Bookman Old Style"/>
          <w:vertAlign w:val="subscript"/>
        </w:rPr>
        <w:t xml:space="preserve">,n </w:t>
      </w:r>
      <w:r w:rsidRPr="00E37A9F">
        <w:rPr>
          <w:rFonts w:ascii="Bookman Old Style" w:hAnsi="Bookman Old Style"/>
        </w:rPr>
        <w:t>:</w:t>
      </w:r>
      <w:r w:rsidRPr="00E37A9F">
        <w:rPr>
          <w:rFonts w:ascii="Bookman Old Style" w:hAnsi="Bookman Old Style"/>
        </w:rPr>
        <w:tab/>
        <w:t xml:space="preserve">Cantidad a asignar al comprador </w:t>
      </w:r>
      <w:r w:rsidRPr="004C4789">
        <w:rPr>
          <w:rFonts w:ascii="Bookman Old Style" w:hAnsi="Bookman Old Style"/>
          <w:i/>
          <w:iCs/>
        </w:rPr>
        <w:t>c</w:t>
      </w:r>
      <w:r w:rsidRPr="00E37A9F">
        <w:rPr>
          <w:rFonts w:ascii="Bookman Old Style" w:hAnsi="Bookman Old Style"/>
        </w:rPr>
        <w:t xml:space="preserve">, para el período de consumo </w:t>
      </w:r>
      <w:r w:rsidRPr="004C4789">
        <w:rPr>
          <w:rFonts w:ascii="Bookman Old Style" w:hAnsi="Bookman Old Style"/>
          <w:i/>
          <w:iCs/>
        </w:rPr>
        <w:t>p</w:t>
      </w:r>
      <w:r w:rsidRPr="00E37A9F">
        <w:rPr>
          <w:rFonts w:ascii="Bookman Old Style" w:hAnsi="Bookman Old Style"/>
        </w:rPr>
        <w:t xml:space="preserve">, para atender el numeral </w:t>
      </w:r>
      <w:r w:rsidRPr="004C4789">
        <w:rPr>
          <w:rFonts w:ascii="Bookman Old Style" w:hAnsi="Bookman Old Style"/>
          <w:i/>
          <w:iCs/>
        </w:rPr>
        <w:t>n</w:t>
      </w:r>
      <w:r w:rsidRPr="00E37A9F">
        <w:rPr>
          <w:rFonts w:ascii="Bookman Old Style" w:hAnsi="Bookman Old Style"/>
        </w:rPr>
        <w:t xml:space="preserve"> de la Demanda Esencial, en MBTUD. </w:t>
      </w:r>
    </w:p>
    <w:p w14:paraId="64E21E2D" w14:textId="77777777" w:rsidR="00187689" w:rsidRPr="00E37A9F" w:rsidRDefault="00187689" w:rsidP="00DD3568">
      <w:pPr>
        <w:ind w:left="2268" w:hanging="1134"/>
        <w:jc w:val="both"/>
        <w:rPr>
          <w:rFonts w:ascii="Bookman Old Style" w:hAnsi="Bookman Old Style"/>
        </w:rPr>
      </w:pPr>
    </w:p>
    <w:p w14:paraId="51ACA154" w14:textId="77777777" w:rsidR="00187689" w:rsidRPr="00E37A9F" w:rsidRDefault="00187689" w:rsidP="00DD3568">
      <w:pPr>
        <w:ind w:left="2268" w:hanging="1134"/>
        <w:jc w:val="both"/>
        <w:rPr>
          <w:rFonts w:ascii="Bookman Old Style" w:hAnsi="Bookman Old Style"/>
        </w:rPr>
      </w:pPr>
      <w:proofErr w:type="spellStart"/>
      <w:r w:rsidRPr="00E37A9F">
        <w:rPr>
          <w:rFonts w:ascii="Bookman Old Style" w:hAnsi="Bookman Old Style"/>
        </w:rPr>
        <w:t>CD</w:t>
      </w:r>
      <w:r w:rsidRPr="00E37A9F">
        <w:rPr>
          <w:rFonts w:ascii="Bookman Old Style" w:hAnsi="Bookman Old Style"/>
          <w:vertAlign w:val="subscript"/>
        </w:rPr>
        <w:t>v</w:t>
      </w:r>
      <w:proofErr w:type="spellEnd"/>
      <w:r w:rsidRPr="00E37A9F">
        <w:rPr>
          <w:rFonts w:ascii="Bookman Old Style" w:hAnsi="Bookman Old Style"/>
        </w:rPr>
        <w:t xml:space="preserve">: </w:t>
      </w:r>
      <w:r w:rsidRPr="00E37A9F">
        <w:rPr>
          <w:rFonts w:ascii="Bookman Old Style" w:hAnsi="Bookman Old Style"/>
        </w:rPr>
        <w:tab/>
        <w:t xml:space="preserve">Cantidad remanente disponible del vendedor </w:t>
      </w:r>
      <w:r w:rsidRPr="004C4789">
        <w:rPr>
          <w:rFonts w:ascii="Bookman Old Style" w:hAnsi="Bookman Old Style"/>
          <w:i/>
          <w:iCs/>
        </w:rPr>
        <w:t>v</w:t>
      </w:r>
      <w:r w:rsidRPr="00E37A9F">
        <w:rPr>
          <w:rFonts w:ascii="Bookman Old Style" w:hAnsi="Bookman Old Style"/>
        </w:rPr>
        <w:t xml:space="preserve">, en MBTUD, después de asignar las cantidades a los numerales </w:t>
      </w:r>
      <w:r w:rsidRPr="004C4789">
        <w:rPr>
          <w:rFonts w:ascii="Bookman Old Style" w:hAnsi="Bookman Old Style"/>
          <w:i/>
          <w:iCs/>
        </w:rPr>
        <w:t>n</w:t>
      </w:r>
      <w:r w:rsidRPr="00E37A9F">
        <w:rPr>
          <w:rFonts w:ascii="Bookman Old Style" w:hAnsi="Bookman Old Style"/>
        </w:rPr>
        <w:t xml:space="preserve"> anteriores de la Demanda Esencial.</w:t>
      </w:r>
    </w:p>
    <w:p w14:paraId="66B5EC74" w14:textId="77777777" w:rsidR="00187689" w:rsidRDefault="00187689" w:rsidP="00DD3568">
      <w:pPr>
        <w:ind w:left="1985" w:right="142"/>
        <w:jc w:val="center"/>
        <w:rPr>
          <w:rFonts w:ascii="Bookman Old Style" w:hAnsi="Bookman Old Style"/>
          <w:b/>
          <w:bCs/>
        </w:rPr>
      </w:pPr>
    </w:p>
    <w:p w14:paraId="7376F727" w14:textId="666140A5" w:rsidR="00F26899" w:rsidRPr="00D934A3" w:rsidRDefault="00F26899" w:rsidP="00DD3568">
      <w:pPr>
        <w:pStyle w:val="Ttulo1"/>
        <w:ind w:left="0"/>
        <w:jc w:val="both"/>
        <w:rPr>
          <w:rFonts w:ascii="Bookman Old Style" w:hAnsi="Bookman Old Style"/>
          <w:iCs/>
          <w:szCs w:val="24"/>
        </w:rPr>
      </w:pPr>
      <w:r w:rsidRPr="00E83D03">
        <w:rPr>
          <w:rFonts w:ascii="Bookman Old Style" w:hAnsi="Bookman Old Style"/>
          <w:szCs w:val="24"/>
        </w:rPr>
        <w:t>ARTÍCULO 1</w:t>
      </w:r>
      <w:r w:rsidR="00EA447E">
        <w:rPr>
          <w:rFonts w:ascii="Bookman Old Style" w:hAnsi="Bookman Old Style"/>
          <w:szCs w:val="24"/>
        </w:rPr>
        <w:t>5</w:t>
      </w:r>
      <w:r w:rsidRPr="00E83D03">
        <w:rPr>
          <w:rFonts w:ascii="Bookman Old Style" w:hAnsi="Bookman Old Style"/>
          <w:szCs w:val="24"/>
        </w:rPr>
        <w:t xml:space="preserve">. Vigencia de la Presente Resolución.  </w:t>
      </w:r>
      <w:r w:rsidRPr="00E83D03">
        <w:rPr>
          <w:rFonts w:ascii="Bookman Old Style" w:hAnsi="Bookman Old Style"/>
          <w:b w:val="0"/>
          <w:bCs/>
          <w:szCs w:val="24"/>
        </w:rPr>
        <w:t xml:space="preserve">La presente resolución rige a partir de la fecha de su publicación </w:t>
      </w:r>
      <w:r w:rsidRPr="00E37A9F">
        <w:rPr>
          <w:rFonts w:ascii="Bookman Old Style" w:hAnsi="Bookman Old Style"/>
          <w:b w:val="0"/>
          <w:bCs/>
          <w:szCs w:val="24"/>
        </w:rPr>
        <w:t xml:space="preserve">en el </w:t>
      </w:r>
      <w:r w:rsidRPr="00E37A9F">
        <w:rPr>
          <w:rFonts w:ascii="Bookman Old Style" w:hAnsi="Bookman Old Style"/>
          <w:b w:val="0"/>
          <w:bCs/>
          <w:i/>
          <w:szCs w:val="24"/>
        </w:rPr>
        <w:t>Diario Oficial</w:t>
      </w:r>
      <w:r w:rsidR="00D934A3" w:rsidRPr="00E37A9F">
        <w:rPr>
          <w:rFonts w:ascii="Bookman Old Style" w:hAnsi="Bookman Old Style"/>
          <w:b w:val="0"/>
          <w:bCs/>
          <w:i/>
          <w:szCs w:val="24"/>
        </w:rPr>
        <w:t xml:space="preserve"> </w:t>
      </w:r>
      <w:r w:rsidR="00D934A3" w:rsidRPr="00E37A9F">
        <w:rPr>
          <w:rFonts w:ascii="Bookman Old Style" w:hAnsi="Bookman Old Style"/>
          <w:b w:val="0"/>
          <w:bCs/>
          <w:iCs/>
          <w:szCs w:val="24"/>
        </w:rPr>
        <w:t xml:space="preserve">y deroga </w:t>
      </w:r>
      <w:r w:rsidR="00CE2288">
        <w:rPr>
          <w:rFonts w:ascii="Bookman Old Style" w:hAnsi="Bookman Old Style"/>
          <w:b w:val="0"/>
          <w:bCs/>
          <w:iCs/>
          <w:szCs w:val="24"/>
        </w:rPr>
        <w:t xml:space="preserve">los numerales 3. </w:t>
      </w:r>
      <w:r w:rsidR="002D1B51">
        <w:rPr>
          <w:rFonts w:ascii="Bookman Old Style" w:hAnsi="Bookman Old Style"/>
          <w:b w:val="0"/>
          <w:bCs/>
          <w:iCs/>
          <w:szCs w:val="24"/>
        </w:rPr>
        <w:t>y</w:t>
      </w:r>
      <w:r w:rsidR="00707C2B">
        <w:rPr>
          <w:rFonts w:ascii="Bookman Old Style" w:hAnsi="Bookman Old Style"/>
          <w:b w:val="0"/>
          <w:bCs/>
          <w:iCs/>
          <w:szCs w:val="24"/>
        </w:rPr>
        <w:t xml:space="preserve"> 5. </w:t>
      </w:r>
      <w:r w:rsidR="002D1B51">
        <w:rPr>
          <w:rFonts w:ascii="Bookman Old Style" w:hAnsi="Bookman Old Style"/>
          <w:b w:val="0"/>
          <w:bCs/>
          <w:iCs/>
          <w:szCs w:val="24"/>
        </w:rPr>
        <w:t>d</w:t>
      </w:r>
      <w:r w:rsidR="00707C2B">
        <w:rPr>
          <w:rFonts w:ascii="Bookman Old Style" w:hAnsi="Bookman Old Style"/>
          <w:b w:val="0"/>
          <w:bCs/>
          <w:iCs/>
          <w:szCs w:val="24"/>
        </w:rPr>
        <w:t xml:space="preserve">el Artículo </w:t>
      </w:r>
      <w:r w:rsidR="002D1B51">
        <w:rPr>
          <w:rFonts w:ascii="Bookman Old Style" w:hAnsi="Bookman Old Style"/>
          <w:b w:val="0"/>
          <w:bCs/>
          <w:iCs/>
          <w:szCs w:val="24"/>
        </w:rPr>
        <w:t>5</w:t>
      </w:r>
      <w:r w:rsidR="00322FE4">
        <w:rPr>
          <w:rFonts w:ascii="Bookman Old Style" w:hAnsi="Bookman Old Style"/>
          <w:b w:val="0"/>
          <w:bCs/>
          <w:iCs/>
          <w:szCs w:val="24"/>
        </w:rPr>
        <w:t xml:space="preserve"> y</w:t>
      </w:r>
      <w:r w:rsidR="002D1B51">
        <w:rPr>
          <w:rFonts w:ascii="Bookman Old Style" w:hAnsi="Bookman Old Style"/>
          <w:b w:val="0"/>
          <w:bCs/>
          <w:iCs/>
          <w:szCs w:val="24"/>
        </w:rPr>
        <w:t xml:space="preserve"> </w:t>
      </w:r>
      <w:r w:rsidR="00177E79" w:rsidRPr="00E37A9F">
        <w:rPr>
          <w:rFonts w:ascii="Bookman Old Style" w:hAnsi="Bookman Old Style"/>
          <w:b w:val="0"/>
          <w:bCs/>
          <w:iCs/>
          <w:szCs w:val="24"/>
        </w:rPr>
        <w:t>los</w:t>
      </w:r>
      <w:r w:rsidR="00D934A3" w:rsidRPr="00E37A9F">
        <w:rPr>
          <w:rFonts w:ascii="Bookman Old Style" w:hAnsi="Bookman Old Style"/>
          <w:b w:val="0"/>
          <w:bCs/>
          <w:iCs/>
          <w:szCs w:val="24"/>
        </w:rPr>
        <w:t xml:space="preserve"> Anexo</w:t>
      </w:r>
      <w:r w:rsidR="00177E79" w:rsidRPr="00E37A9F">
        <w:rPr>
          <w:rFonts w:ascii="Bookman Old Style" w:hAnsi="Bookman Old Style"/>
          <w:b w:val="0"/>
          <w:bCs/>
          <w:iCs/>
          <w:szCs w:val="24"/>
        </w:rPr>
        <w:t>s</w:t>
      </w:r>
      <w:r w:rsidR="00D934A3" w:rsidRPr="00E37A9F">
        <w:rPr>
          <w:rFonts w:ascii="Bookman Old Style" w:hAnsi="Bookman Old Style"/>
          <w:b w:val="0"/>
          <w:bCs/>
          <w:iCs/>
          <w:szCs w:val="24"/>
        </w:rPr>
        <w:t xml:space="preserve"> 4</w:t>
      </w:r>
      <w:r w:rsidR="00177E79" w:rsidRPr="00E37A9F">
        <w:rPr>
          <w:rFonts w:ascii="Bookman Old Style" w:hAnsi="Bookman Old Style"/>
          <w:b w:val="0"/>
          <w:bCs/>
          <w:iCs/>
          <w:szCs w:val="24"/>
        </w:rPr>
        <w:t xml:space="preserve"> y 6</w:t>
      </w:r>
      <w:r w:rsidR="002D1B51">
        <w:rPr>
          <w:rFonts w:ascii="Bookman Old Style" w:hAnsi="Bookman Old Style"/>
          <w:b w:val="0"/>
          <w:bCs/>
          <w:iCs/>
          <w:szCs w:val="24"/>
        </w:rPr>
        <w:t>,</w:t>
      </w:r>
      <w:r w:rsidR="00D934A3" w:rsidRPr="00E37A9F">
        <w:rPr>
          <w:rFonts w:ascii="Bookman Old Style" w:hAnsi="Bookman Old Style"/>
          <w:b w:val="0"/>
          <w:bCs/>
          <w:iCs/>
          <w:szCs w:val="24"/>
        </w:rPr>
        <w:t xml:space="preserve"> </w:t>
      </w:r>
      <w:r w:rsidR="002D1B51">
        <w:rPr>
          <w:rFonts w:ascii="Bookman Old Style" w:hAnsi="Bookman Old Style"/>
          <w:b w:val="0"/>
          <w:bCs/>
          <w:iCs/>
          <w:szCs w:val="24"/>
        </w:rPr>
        <w:t xml:space="preserve">todos los anteriores </w:t>
      </w:r>
      <w:r w:rsidR="00D934A3" w:rsidRPr="00E37A9F">
        <w:rPr>
          <w:rFonts w:ascii="Bookman Old Style" w:hAnsi="Bookman Old Style"/>
          <w:b w:val="0"/>
          <w:bCs/>
          <w:iCs/>
          <w:szCs w:val="24"/>
        </w:rPr>
        <w:t>de la Resolución CREG 186 de 2020</w:t>
      </w:r>
      <w:r w:rsidRPr="00E37A9F">
        <w:rPr>
          <w:rFonts w:ascii="Bookman Old Style" w:hAnsi="Bookman Old Style"/>
          <w:b w:val="0"/>
          <w:bCs/>
          <w:iCs/>
          <w:szCs w:val="24"/>
        </w:rPr>
        <w:t>.</w:t>
      </w:r>
    </w:p>
    <w:p w14:paraId="35F47DCB" w14:textId="77777777" w:rsidR="00F26899" w:rsidRDefault="00F26899" w:rsidP="00DD3568">
      <w:pPr>
        <w:autoSpaceDE w:val="0"/>
        <w:autoSpaceDN w:val="0"/>
        <w:adjustRightInd w:val="0"/>
        <w:ind w:left="0"/>
        <w:jc w:val="both"/>
        <w:rPr>
          <w:rFonts w:ascii="Bookman Old Style" w:hAnsi="Bookman Old Style"/>
          <w:color w:val="000000"/>
        </w:rPr>
      </w:pPr>
    </w:p>
    <w:p w14:paraId="326571D4" w14:textId="77777777" w:rsidR="006E7D28" w:rsidRDefault="006E7D28" w:rsidP="006E7D28">
      <w:pPr>
        <w:autoSpaceDE w:val="0"/>
        <w:autoSpaceDN w:val="0"/>
        <w:adjustRightInd w:val="0"/>
        <w:ind w:left="0"/>
        <w:jc w:val="center"/>
        <w:rPr>
          <w:rFonts w:ascii="Bookman Old Style" w:hAnsi="Bookman Old Style"/>
          <w:b/>
          <w:lang w:val="es-CO"/>
        </w:rPr>
      </w:pPr>
    </w:p>
    <w:p w14:paraId="1EF47452" w14:textId="0014A0B2" w:rsidR="006E7D28" w:rsidRPr="006E7D28" w:rsidRDefault="006E7D28" w:rsidP="006E7D28">
      <w:pPr>
        <w:autoSpaceDE w:val="0"/>
        <w:autoSpaceDN w:val="0"/>
        <w:adjustRightInd w:val="0"/>
        <w:ind w:left="0"/>
        <w:jc w:val="center"/>
        <w:rPr>
          <w:rFonts w:ascii="Bookman Old Style" w:hAnsi="Bookman Old Style"/>
          <w:b/>
          <w:lang w:val="es-CO"/>
        </w:rPr>
      </w:pPr>
      <w:r w:rsidRPr="006E7D28">
        <w:rPr>
          <w:rFonts w:ascii="Bookman Old Style" w:hAnsi="Bookman Old Style"/>
          <w:b/>
          <w:lang w:val="es-CO"/>
        </w:rPr>
        <w:t>PUBLÍQUESE Y CÚMPLASE</w:t>
      </w:r>
    </w:p>
    <w:sectPr w:rsidR="006E7D28" w:rsidRPr="006E7D28" w:rsidSect="009B0C67">
      <w:headerReference w:type="default" r:id="rId11"/>
      <w:headerReference w:type="first" r:id="rId12"/>
      <w:type w:val="continuous"/>
      <w:pgSz w:w="12242" w:h="18722" w:code="123"/>
      <w:pgMar w:top="1843" w:right="1185" w:bottom="175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8C45" w14:textId="77777777" w:rsidR="00363C4C" w:rsidRDefault="00363C4C">
      <w:r>
        <w:separator/>
      </w:r>
    </w:p>
  </w:endnote>
  <w:endnote w:type="continuationSeparator" w:id="0">
    <w:p w14:paraId="62C40EDD" w14:textId="77777777" w:rsidR="00363C4C" w:rsidRDefault="00363C4C">
      <w:r>
        <w:continuationSeparator/>
      </w:r>
    </w:p>
  </w:endnote>
  <w:endnote w:type="continuationNotice" w:id="1">
    <w:p w14:paraId="0D352CA2" w14:textId="77777777" w:rsidR="00363C4C" w:rsidRDefault="00363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46D7" w14:textId="77777777" w:rsidR="00363C4C" w:rsidRDefault="00363C4C">
      <w:r>
        <w:separator/>
      </w:r>
    </w:p>
  </w:footnote>
  <w:footnote w:type="continuationSeparator" w:id="0">
    <w:p w14:paraId="030F5AEC" w14:textId="77777777" w:rsidR="00363C4C" w:rsidRDefault="00363C4C">
      <w:r>
        <w:continuationSeparator/>
      </w:r>
    </w:p>
  </w:footnote>
  <w:footnote w:type="continuationNotice" w:id="1">
    <w:p w14:paraId="7D7A43DA" w14:textId="77777777" w:rsidR="00363C4C" w:rsidRDefault="00363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8084B1B" w:rsidR="0087657D" w:rsidRPr="00951F79" w:rsidRDefault="00725FA4" w:rsidP="009F4BEC">
    <w:pPr>
      <w:pStyle w:val="Ttulo1"/>
      <w:ind w:left="0" w:right="6"/>
      <w:jc w:val="left"/>
      <w:rPr>
        <w:rFonts w:ascii="Bookman Old Style" w:hAnsi="Bookman Old Style" w:cs="Arial"/>
        <w:b w:val="0"/>
        <w:sz w:val="22"/>
        <w:szCs w:val="22"/>
      </w:rPr>
    </w:pPr>
    <w:r w:rsidRPr="00056B1F">
      <w:rPr>
        <w:rFonts w:ascii="Bookman Old Style" w:hAnsi="Bookman Old Style" w:cs="Arial"/>
        <w:b w:val="0"/>
        <w:sz w:val="22"/>
        <w:szCs w:val="22"/>
      </w:rPr>
      <w:t>RESOLUCIÓN No.</w:t>
    </w:r>
    <w:r w:rsidR="00056B1F">
      <w:rPr>
        <w:rFonts w:ascii="Bookman Old Style" w:hAnsi="Bookman Old Style" w:cs="Arial"/>
        <w:b w:val="0"/>
        <w:sz w:val="22"/>
        <w:szCs w:val="22"/>
      </w:rPr>
      <w:t xml:space="preserve"> </w:t>
    </w:r>
    <w:proofErr w:type="gramStart"/>
    <w:r w:rsidR="00714562">
      <w:rPr>
        <w:rFonts w:ascii="Bookman Old Style" w:hAnsi="Bookman Old Style" w:cs="Arial"/>
        <w:bCs/>
        <w:sz w:val="22"/>
        <w:szCs w:val="22"/>
        <w:u w:val="single"/>
      </w:rPr>
      <w:t>7</w:t>
    </w:r>
    <w:r w:rsidR="00056B1F" w:rsidRPr="00056B1F">
      <w:rPr>
        <w:rFonts w:ascii="Bookman Old Style" w:hAnsi="Bookman Old Style" w:cs="Arial"/>
        <w:bCs/>
        <w:sz w:val="22"/>
        <w:szCs w:val="22"/>
        <w:u w:val="single"/>
      </w:rPr>
      <w:t xml:space="preserve">02 </w:t>
    </w:r>
    <w:r w:rsidR="00056B1F">
      <w:rPr>
        <w:rFonts w:ascii="Bookman Old Style" w:hAnsi="Bookman Old Style" w:cs="Arial"/>
        <w:bCs/>
        <w:sz w:val="22"/>
        <w:szCs w:val="22"/>
        <w:u w:val="single"/>
      </w:rPr>
      <w:t xml:space="preserve"> </w:t>
    </w:r>
    <w:r w:rsidR="00C80FB8" w:rsidRPr="00C80FB8">
      <w:rPr>
        <w:rFonts w:ascii="Bookman Old Style" w:hAnsi="Bookman Old Style" w:cs="Arial"/>
        <w:bCs/>
        <w:sz w:val="22"/>
        <w:szCs w:val="22"/>
        <w:u w:val="single"/>
      </w:rPr>
      <w:t>006</w:t>
    </w:r>
    <w:proofErr w:type="gramEnd"/>
    <w:r w:rsidR="00056B1F">
      <w:rPr>
        <w:rFonts w:ascii="Bookman Old Style" w:hAnsi="Bookman Old Style" w:cs="Arial"/>
        <w:b w:val="0"/>
        <w:sz w:val="22"/>
        <w:szCs w:val="22"/>
      </w:rPr>
      <w:tab/>
    </w:r>
    <w:r w:rsidR="00886EE1" w:rsidRPr="00056B1F">
      <w:rPr>
        <w:rFonts w:ascii="Bookman Old Style" w:hAnsi="Bookman Old Style" w:cs="Arial"/>
        <w:b w:val="0"/>
        <w:sz w:val="22"/>
        <w:szCs w:val="22"/>
      </w:rPr>
      <w:t>D</w:t>
    </w:r>
    <w:r w:rsidR="00056B1F">
      <w:rPr>
        <w:rFonts w:ascii="Bookman Old Style" w:hAnsi="Bookman Old Style" w:cs="Arial"/>
        <w:b w:val="0"/>
        <w:sz w:val="22"/>
        <w:szCs w:val="22"/>
      </w:rPr>
      <w:t xml:space="preserve">E  </w:t>
    </w:r>
    <w:r w:rsidR="00056B1F">
      <w:rPr>
        <w:rFonts w:ascii="Bookman Old Style" w:hAnsi="Bookman Old Style" w:cs="Arial"/>
        <w:b w:val="0"/>
        <w:sz w:val="22"/>
        <w:szCs w:val="22"/>
      </w:rPr>
      <w:tab/>
    </w:r>
    <w:r w:rsidR="0030524F">
      <w:rPr>
        <w:rFonts w:ascii="Bookman Old Style" w:hAnsi="Bookman Old Style" w:cs="Arial"/>
        <w:bCs/>
        <w:sz w:val="22"/>
        <w:szCs w:val="22"/>
        <w:u w:val="single"/>
      </w:rPr>
      <w:t xml:space="preserve">16 </w:t>
    </w:r>
    <w:r w:rsidR="00714562">
      <w:rPr>
        <w:rFonts w:ascii="Bookman Old Style" w:hAnsi="Bookman Old Style" w:cs="Arial"/>
        <w:bCs/>
        <w:sz w:val="22"/>
        <w:szCs w:val="22"/>
        <w:u w:val="single"/>
      </w:rPr>
      <w:t>MAY.</w:t>
    </w:r>
    <w:r w:rsidR="00056B1F" w:rsidRPr="00056B1F">
      <w:rPr>
        <w:rFonts w:ascii="Bookman Old Style" w:hAnsi="Bookman Old Style" w:cs="Arial"/>
        <w:bCs/>
        <w:sz w:val="22"/>
        <w:szCs w:val="22"/>
        <w:u w:val="single"/>
      </w:rPr>
      <w:t xml:space="preserve"> 202</w:t>
    </w:r>
    <w:r w:rsidR="00714562">
      <w:rPr>
        <w:rFonts w:ascii="Bookman Old Style" w:hAnsi="Bookman Old Style" w:cs="Arial"/>
        <w:bCs/>
        <w:sz w:val="22"/>
        <w:szCs w:val="22"/>
        <w:u w:val="single"/>
      </w:rPr>
      <w:t>4</w:t>
    </w:r>
    <w:r w:rsidR="003D076C" w:rsidRPr="00056B1F">
      <w:rPr>
        <w:rFonts w:ascii="Bookman Old Style" w:hAnsi="Bookman Old Style" w:cs="Arial"/>
        <w:b w:val="0"/>
        <w:sz w:val="22"/>
        <w:szCs w:val="22"/>
      </w:rPr>
      <w:tab/>
    </w:r>
    <w:r w:rsidR="00564F10" w:rsidRPr="00056B1F">
      <w:rPr>
        <w:rFonts w:ascii="Bookman Old Style" w:hAnsi="Bookman Old Style" w:cs="Arial"/>
        <w:b w:val="0"/>
        <w:sz w:val="22"/>
        <w:szCs w:val="22"/>
      </w:rPr>
      <w:tab/>
    </w:r>
    <w:r w:rsidRPr="00056B1F">
      <w:rPr>
        <w:rFonts w:ascii="Bookman Old Style" w:hAnsi="Bookman Old Style" w:cs="Arial"/>
        <w:b w:val="0"/>
        <w:sz w:val="22"/>
        <w:szCs w:val="22"/>
      </w:rPr>
      <w:t>HOJA No.</w:t>
    </w:r>
    <w:r w:rsidR="00593C4F" w:rsidRPr="00056B1F">
      <w:rPr>
        <w:rFonts w:ascii="Bookman Old Style" w:hAnsi="Bookman Old Style" w:cs="Arial"/>
        <w:b w:val="0"/>
        <w:sz w:val="22"/>
        <w:szCs w:val="22"/>
      </w:rPr>
      <w:t xml:space="preserve"> </w:t>
    </w:r>
    <w:r w:rsidR="0042068C" w:rsidRPr="00056B1F">
      <w:rPr>
        <w:rFonts w:ascii="Bookman Old Style" w:hAnsi="Bookman Old Style" w:cs="Arial"/>
        <w:b w:val="0"/>
        <w:sz w:val="22"/>
        <w:szCs w:val="22"/>
      </w:rPr>
      <w:fldChar w:fldCharType="begin"/>
    </w:r>
    <w:r w:rsidR="00593C4F" w:rsidRPr="00056B1F">
      <w:rPr>
        <w:rFonts w:ascii="Bookman Old Style" w:hAnsi="Bookman Old Style" w:cs="Arial"/>
        <w:b w:val="0"/>
        <w:sz w:val="22"/>
        <w:szCs w:val="22"/>
      </w:rPr>
      <w:instrText xml:space="preserve"> PAGE   \* MERGEFORMAT </w:instrText>
    </w:r>
    <w:r w:rsidR="0042068C" w:rsidRPr="00056B1F">
      <w:rPr>
        <w:rFonts w:ascii="Bookman Old Style" w:hAnsi="Bookman Old Style" w:cs="Arial"/>
        <w:b w:val="0"/>
        <w:sz w:val="22"/>
        <w:szCs w:val="22"/>
      </w:rPr>
      <w:fldChar w:fldCharType="separate"/>
    </w:r>
    <w:r w:rsidR="00F77D2D" w:rsidRPr="00056B1F">
      <w:rPr>
        <w:rFonts w:ascii="Bookman Old Style" w:hAnsi="Bookman Old Style" w:cs="Arial"/>
        <w:b w:val="0"/>
        <w:noProof/>
        <w:sz w:val="22"/>
        <w:szCs w:val="22"/>
      </w:rPr>
      <w:t>2</w:t>
    </w:r>
    <w:r w:rsidR="0042068C" w:rsidRPr="00056B1F">
      <w:rPr>
        <w:rFonts w:ascii="Bookman Old Style" w:hAnsi="Bookman Old Style" w:cs="Arial"/>
        <w:b w:val="0"/>
        <w:sz w:val="22"/>
        <w:szCs w:val="22"/>
      </w:rPr>
      <w:fldChar w:fldCharType="end"/>
    </w:r>
    <w:r w:rsidRPr="00056B1F">
      <w:rPr>
        <w:rFonts w:ascii="Bookman Old Style" w:hAnsi="Bookman Old Style" w:cs="Arial"/>
        <w:b w:val="0"/>
        <w:sz w:val="22"/>
        <w:szCs w:val="22"/>
      </w:rPr>
      <w:t>/</w:t>
    </w:r>
    <w:fldSimple w:instr=" NUMPAGES  \* MERGEFORMAT ">
      <w:r w:rsidR="00F77D2D" w:rsidRPr="00056B1F">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06FB"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EDE8ACF" w14:textId="055B8F22" w:rsidR="008C3862" w:rsidRPr="00714562" w:rsidRDefault="008C3862" w:rsidP="008C3862">
    <w:pPr>
      <w:ind w:left="0" w:right="51"/>
      <w:jc w:val="center"/>
      <w:rPr>
        <w:rFonts w:ascii="Bookman Old Style" w:hAnsi="Bookman Old Style"/>
        <w:bCs/>
        <w:i/>
        <w:iCs/>
      </w:rPr>
    </w:pPr>
  </w:p>
  <w:p w14:paraId="16086E3D" w14:textId="63506925" w:rsidR="0044318E" w:rsidRPr="00B851D2" w:rsidRDefault="0044318E" w:rsidP="008C3862">
    <w:pPr>
      <w:pBdr>
        <w:bottom w:val="single" w:sz="4" w:space="8" w:color="auto"/>
      </w:pBdr>
      <w:ind w:left="0"/>
      <w:jc w:val="both"/>
      <w:rPr>
        <w:rFonts w:ascii="Bookman Old Style" w:hAnsi="Bookman Old Style"/>
        <w:i/>
        <w:iCs/>
        <w:sz w:val="22"/>
        <w:szCs w:val="22"/>
      </w:rPr>
    </w:pPr>
  </w:p>
  <w:p w14:paraId="390C0F23" w14:textId="77777777" w:rsidR="00566C37" w:rsidRDefault="00566C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1AE1B6F8" w:rsidR="00725FA4" w:rsidRDefault="00725FA4" w:rsidP="00564F10">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564F10">
    <w:pPr>
      <w:pStyle w:val="Encabezado"/>
      <w:ind w:left="0"/>
      <w:jc w:val="center"/>
      <w:rPr>
        <w:rFonts w:ascii="Arial" w:hAnsi="Arial" w:cs="Arial"/>
        <w:spacing w:val="20"/>
        <w:sz w:val="20"/>
      </w:rPr>
    </w:pPr>
  </w:p>
  <w:p w14:paraId="367D4456" w14:textId="50BEB3AA" w:rsidR="00725FA4" w:rsidRDefault="00000000" w:rsidP="00564F10">
    <w:pPr>
      <w:pStyle w:val="Encabezado"/>
      <w:ind w:left="0"/>
      <w:jc w:val="center"/>
    </w:pPr>
    <w:r>
      <w:rPr>
        <w:rFonts w:ascii="Arial" w:hAnsi="Arial" w:cs="Arial"/>
        <w:noProof/>
        <w:spacing w:val="20"/>
        <w:sz w:val="20"/>
        <w:lang w:val="es-ES"/>
      </w:rPr>
      <w:object w:dxaOrig="1440" w:dyaOrig="1440" w14:anchorId="006EA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4.75pt;margin-top:17.25pt;width:38.75pt;height:39.05pt;z-index:251658242;mso-wrap-edited:f" fillcolor="#0c9">
          <v:imagedata r:id="rId1" o:title=""/>
        </v:shape>
        <o:OLEObject Type="Embed" ProgID="PBrush" ShapeID="_x0000_s1025" DrawAspect="Content" ObjectID="_1778664150" r:id="rId2"/>
      </w:object>
    </w:r>
    <w:r w:rsidR="00DF16F5"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7BD19"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C3D35FF"/>
    <w:multiLevelType w:val="hybridMultilevel"/>
    <w:tmpl w:val="29A2AF60"/>
    <w:lvl w:ilvl="0" w:tplc="04FA2830">
      <w:start w:val="1"/>
      <w:numFmt w:val="lowerRoman"/>
      <w:lvlText w:val="%1.)"/>
      <w:lvlJc w:val="left"/>
      <w:pPr>
        <w:ind w:left="360" w:hanging="360"/>
      </w:pPr>
      <w:rPr>
        <w:rFonts w:hint="default"/>
        <w:b w:val="0"/>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2A68A1"/>
    <w:multiLevelType w:val="hybridMultilevel"/>
    <w:tmpl w:val="5D0E3436"/>
    <w:lvl w:ilvl="0" w:tplc="00B45056">
      <w:start w:val="1"/>
      <w:numFmt w:val="decimal"/>
      <w:lvlText w:val="%1."/>
      <w:lvlJc w:val="left"/>
      <w:pPr>
        <w:ind w:left="927" w:hanging="360"/>
      </w:pPr>
      <w:rPr>
        <w:rFonts w:hint="default"/>
        <w:sz w:val="24"/>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193361BE"/>
    <w:multiLevelType w:val="hybridMultilevel"/>
    <w:tmpl w:val="C2F4A3D0"/>
    <w:lvl w:ilvl="0" w:tplc="E9447B46">
      <w:start w:val="1"/>
      <w:numFmt w:val="upperLetter"/>
      <w:lvlText w:val="%1."/>
      <w:lvlJc w:val="left"/>
      <w:pPr>
        <w:ind w:left="720" w:hanging="360"/>
      </w:pPr>
      <w:rPr>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F10C6"/>
    <w:multiLevelType w:val="hybridMultilevel"/>
    <w:tmpl w:val="137AB7E2"/>
    <w:lvl w:ilvl="0" w:tplc="267A5EBE">
      <w:start w:val="1"/>
      <w:numFmt w:val="upperLetter"/>
      <w:lvlText w:val="%1."/>
      <w:lvlJc w:val="left"/>
      <w:pPr>
        <w:ind w:left="502" w:hanging="360"/>
      </w:pPr>
      <w:rPr>
        <w:rFonts w:hint="default"/>
        <w:b/>
        <w:i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8F13D4"/>
    <w:multiLevelType w:val="multilevel"/>
    <w:tmpl w:val="E39C708C"/>
    <w:lvl w:ilvl="0">
      <w:start w:val="1"/>
      <w:numFmt w:val="decimal"/>
      <w:lvlText w:val="Artículo %1."/>
      <w:lvlJc w:val="left"/>
      <w:pPr>
        <w:ind w:left="142"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5"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C0C1B"/>
    <w:multiLevelType w:val="hybridMultilevel"/>
    <w:tmpl w:val="79BA6FE8"/>
    <w:lvl w:ilvl="0" w:tplc="104EFEAA">
      <w:start w:val="1"/>
      <w:numFmt w:val="lowerRoman"/>
      <w:lvlText w:val="%1."/>
      <w:lvlJc w:val="left"/>
      <w:pPr>
        <w:ind w:left="1713" w:hanging="360"/>
      </w:pPr>
      <w:rPr>
        <w:rFonts w:hint="default"/>
      </w:rPr>
    </w:lvl>
    <w:lvl w:ilvl="1" w:tplc="240A0019">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7" w15:restartNumberingAfterBreak="0">
    <w:nsid w:val="3D372064"/>
    <w:multiLevelType w:val="hybridMultilevel"/>
    <w:tmpl w:val="9B4A12CE"/>
    <w:lvl w:ilvl="0" w:tplc="92B24C3C">
      <w:start w:val="1"/>
      <w:numFmt w:val="decimal"/>
      <w:lvlText w:val="%1."/>
      <w:lvlJc w:val="left"/>
      <w:pPr>
        <w:ind w:left="360" w:hanging="360"/>
      </w:pPr>
      <w:rPr>
        <w:rFonts w:hint="default"/>
        <w:sz w:val="22"/>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67057C"/>
    <w:multiLevelType w:val="hybridMultilevel"/>
    <w:tmpl w:val="57803344"/>
    <w:lvl w:ilvl="0" w:tplc="95F43A42">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0"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77F5BC2"/>
    <w:multiLevelType w:val="hybridMultilevel"/>
    <w:tmpl w:val="B9F2E900"/>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432BD8"/>
    <w:multiLevelType w:val="hybridMultilevel"/>
    <w:tmpl w:val="EABE3516"/>
    <w:lvl w:ilvl="0" w:tplc="4DBA4B44">
      <w:start w:val="22"/>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939" w:hanging="360"/>
      </w:pPr>
    </w:lvl>
    <w:lvl w:ilvl="2" w:tplc="240A000F">
      <w:start w:val="1"/>
      <w:numFmt w:val="decimal"/>
      <w:lvlText w:val="%3."/>
      <w:lvlJc w:val="left"/>
      <w:pPr>
        <w:ind w:left="1659" w:hanging="180"/>
      </w:pPr>
    </w:lvl>
    <w:lvl w:ilvl="3" w:tplc="94AE6346">
      <w:start w:val="1"/>
      <w:numFmt w:val="upperLetter"/>
      <w:lvlText w:val="%4."/>
      <w:lvlJc w:val="left"/>
      <w:pPr>
        <w:ind w:left="2379" w:hanging="360"/>
      </w:pPr>
      <w:rPr>
        <w:rFonts w:hint="default"/>
      </w:rPr>
    </w:lvl>
    <w:lvl w:ilvl="4" w:tplc="240A0019" w:tentative="1">
      <w:start w:val="1"/>
      <w:numFmt w:val="lowerLetter"/>
      <w:lvlText w:val="%5."/>
      <w:lvlJc w:val="left"/>
      <w:pPr>
        <w:ind w:left="3099" w:hanging="360"/>
      </w:pPr>
    </w:lvl>
    <w:lvl w:ilvl="5" w:tplc="240A001B" w:tentative="1">
      <w:start w:val="1"/>
      <w:numFmt w:val="lowerRoman"/>
      <w:lvlText w:val="%6."/>
      <w:lvlJc w:val="right"/>
      <w:pPr>
        <w:ind w:left="3819" w:hanging="180"/>
      </w:pPr>
    </w:lvl>
    <w:lvl w:ilvl="6" w:tplc="240A000F" w:tentative="1">
      <w:start w:val="1"/>
      <w:numFmt w:val="decimal"/>
      <w:lvlText w:val="%7."/>
      <w:lvlJc w:val="left"/>
      <w:pPr>
        <w:ind w:left="4539" w:hanging="360"/>
      </w:pPr>
    </w:lvl>
    <w:lvl w:ilvl="7" w:tplc="240A0019" w:tentative="1">
      <w:start w:val="1"/>
      <w:numFmt w:val="lowerLetter"/>
      <w:lvlText w:val="%8."/>
      <w:lvlJc w:val="left"/>
      <w:pPr>
        <w:ind w:left="5259" w:hanging="360"/>
      </w:pPr>
    </w:lvl>
    <w:lvl w:ilvl="8" w:tplc="240A001B" w:tentative="1">
      <w:start w:val="1"/>
      <w:numFmt w:val="lowerRoman"/>
      <w:lvlText w:val="%9."/>
      <w:lvlJc w:val="right"/>
      <w:pPr>
        <w:ind w:left="5979" w:hanging="180"/>
      </w:pPr>
    </w:lvl>
  </w:abstractNum>
  <w:abstractNum w:abstractNumId="30" w15:restartNumberingAfterBreak="0">
    <w:nsid w:val="79FD3D53"/>
    <w:multiLevelType w:val="hybridMultilevel"/>
    <w:tmpl w:val="AC9E9C0E"/>
    <w:lvl w:ilvl="0" w:tplc="3F421E4E">
      <w:start w:val="1"/>
      <w:numFmt w:val="decimal"/>
      <w:lvlText w:val="%1."/>
      <w:lvlJc w:val="left"/>
      <w:pPr>
        <w:ind w:left="720" w:hanging="360"/>
      </w:pPr>
      <w:rPr>
        <w:rFonts w:ascii="Bookman Old Style" w:hAnsi="Bookman Old Style" w:hint="default"/>
        <w:b w:val="0"/>
        <w:i w:val="0"/>
        <w:strike w:val="0"/>
        <w:dstrike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C81888"/>
    <w:multiLevelType w:val="hybridMultilevel"/>
    <w:tmpl w:val="B70E498A"/>
    <w:lvl w:ilvl="0" w:tplc="C3F06402">
      <w:start w:val="1"/>
      <w:numFmt w:val="lowerLetter"/>
      <w:lvlText w:val="%1)"/>
      <w:lvlJc w:val="left"/>
      <w:pPr>
        <w:ind w:left="1440" w:hanging="720"/>
      </w:pPr>
      <w:rPr>
        <w:rFonts w:ascii="Bookman Old Style" w:hAnsi="Bookman Old Style" w:hint="default"/>
        <w:b w:val="0"/>
        <w:i w:val="0"/>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AD5E43"/>
    <w:multiLevelType w:val="hybridMultilevel"/>
    <w:tmpl w:val="5C84B200"/>
    <w:lvl w:ilvl="0" w:tplc="24AEA0C2">
      <w:start w:val="1"/>
      <w:numFmt w:val="lowerLetter"/>
      <w:lvlText w:val="%1)"/>
      <w:lvlJc w:val="left"/>
      <w:pPr>
        <w:ind w:left="1571" w:hanging="360"/>
      </w:pPr>
      <w:rPr>
        <w:b w:val="0"/>
        <w:sz w:val="24"/>
        <w:szCs w:val="24"/>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num w:numId="1" w16cid:durableId="354041120">
    <w:abstractNumId w:val="19"/>
  </w:num>
  <w:num w:numId="2" w16cid:durableId="481391939">
    <w:abstractNumId w:val="6"/>
  </w:num>
  <w:num w:numId="3" w16cid:durableId="1345402927">
    <w:abstractNumId w:val="32"/>
  </w:num>
  <w:num w:numId="4" w16cid:durableId="2035185832">
    <w:abstractNumId w:val="10"/>
  </w:num>
  <w:num w:numId="5" w16cid:durableId="1715109871">
    <w:abstractNumId w:val="24"/>
  </w:num>
  <w:num w:numId="6" w16cid:durableId="275329638">
    <w:abstractNumId w:val="4"/>
  </w:num>
  <w:num w:numId="7" w16cid:durableId="66805286">
    <w:abstractNumId w:val="3"/>
  </w:num>
  <w:num w:numId="8" w16cid:durableId="380403037">
    <w:abstractNumId w:val="26"/>
  </w:num>
  <w:num w:numId="9" w16cid:durableId="531765429">
    <w:abstractNumId w:val="25"/>
  </w:num>
  <w:num w:numId="10" w16cid:durableId="194007813">
    <w:abstractNumId w:val="20"/>
  </w:num>
  <w:num w:numId="11" w16cid:durableId="1610505788">
    <w:abstractNumId w:val="33"/>
  </w:num>
  <w:num w:numId="12" w16cid:durableId="201401131">
    <w:abstractNumId w:val="28"/>
  </w:num>
  <w:num w:numId="13" w16cid:durableId="1071194370">
    <w:abstractNumId w:val="15"/>
  </w:num>
  <w:num w:numId="14" w16cid:durableId="1111124058">
    <w:abstractNumId w:val="2"/>
  </w:num>
  <w:num w:numId="15" w16cid:durableId="282157015">
    <w:abstractNumId w:val="21"/>
  </w:num>
  <w:num w:numId="16" w16cid:durableId="76247068">
    <w:abstractNumId w:val="1"/>
  </w:num>
  <w:num w:numId="17" w16cid:durableId="662663572">
    <w:abstractNumId w:val="13"/>
  </w:num>
  <w:num w:numId="18" w16cid:durableId="735784126">
    <w:abstractNumId w:val="0"/>
  </w:num>
  <w:num w:numId="19" w16cid:durableId="1155073791">
    <w:abstractNumId w:val="27"/>
  </w:num>
  <w:num w:numId="20" w16cid:durableId="1755782160">
    <w:abstractNumId w:val="22"/>
  </w:num>
  <w:num w:numId="21" w16cid:durableId="2049718277">
    <w:abstractNumId w:val="11"/>
  </w:num>
  <w:num w:numId="22" w16cid:durableId="363557093">
    <w:abstractNumId w:val="12"/>
  </w:num>
  <w:num w:numId="23" w16cid:durableId="2080857369">
    <w:abstractNumId w:val="29"/>
  </w:num>
  <w:num w:numId="24" w16cid:durableId="1852446647">
    <w:abstractNumId w:val="18"/>
  </w:num>
  <w:num w:numId="25" w16cid:durableId="648246989">
    <w:abstractNumId w:val="29"/>
  </w:num>
  <w:num w:numId="26" w16cid:durableId="624312322">
    <w:abstractNumId w:val="34"/>
  </w:num>
  <w:num w:numId="27" w16cid:durableId="2138062279">
    <w:abstractNumId w:val="17"/>
  </w:num>
  <w:num w:numId="28" w16cid:durableId="1224095383">
    <w:abstractNumId w:val="8"/>
  </w:num>
  <w:num w:numId="29" w16cid:durableId="1341346200">
    <w:abstractNumId w:val="23"/>
  </w:num>
  <w:num w:numId="30" w16cid:durableId="81031241">
    <w:abstractNumId w:val="7"/>
  </w:num>
  <w:num w:numId="31" w16cid:durableId="1763913133">
    <w:abstractNumId w:val="30"/>
  </w:num>
  <w:num w:numId="32" w16cid:durableId="1896744192">
    <w:abstractNumId w:val="5"/>
  </w:num>
  <w:num w:numId="33" w16cid:durableId="412049240">
    <w:abstractNumId w:val="14"/>
  </w:num>
  <w:num w:numId="34" w16cid:durableId="1213611991">
    <w:abstractNumId w:val="9"/>
  </w:num>
  <w:num w:numId="35" w16cid:durableId="177813567">
    <w:abstractNumId w:val="31"/>
  </w:num>
  <w:num w:numId="36" w16cid:durableId="792098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1E0E"/>
    <w:rsid w:val="00006AE2"/>
    <w:rsid w:val="000076A1"/>
    <w:rsid w:val="0001080E"/>
    <w:rsid w:val="00012259"/>
    <w:rsid w:val="000173C5"/>
    <w:rsid w:val="000216AB"/>
    <w:rsid w:val="00025383"/>
    <w:rsid w:val="0002680A"/>
    <w:rsid w:val="000338E6"/>
    <w:rsid w:val="00045D3D"/>
    <w:rsid w:val="00050977"/>
    <w:rsid w:val="00051477"/>
    <w:rsid w:val="00056B1F"/>
    <w:rsid w:val="00056D33"/>
    <w:rsid w:val="0006003C"/>
    <w:rsid w:val="000620E1"/>
    <w:rsid w:val="00062717"/>
    <w:rsid w:val="000630DA"/>
    <w:rsid w:val="00063657"/>
    <w:rsid w:val="00067504"/>
    <w:rsid w:val="00070D42"/>
    <w:rsid w:val="000710E6"/>
    <w:rsid w:val="0007130B"/>
    <w:rsid w:val="00073B40"/>
    <w:rsid w:val="00076680"/>
    <w:rsid w:val="00076A1D"/>
    <w:rsid w:val="0008073E"/>
    <w:rsid w:val="00081271"/>
    <w:rsid w:val="000859BF"/>
    <w:rsid w:val="000871FF"/>
    <w:rsid w:val="00091CDB"/>
    <w:rsid w:val="00096D51"/>
    <w:rsid w:val="000A19AC"/>
    <w:rsid w:val="000A6FE7"/>
    <w:rsid w:val="000B2EC9"/>
    <w:rsid w:val="000C1208"/>
    <w:rsid w:val="000C1E30"/>
    <w:rsid w:val="000C2EB3"/>
    <w:rsid w:val="000C570D"/>
    <w:rsid w:val="000D26F8"/>
    <w:rsid w:val="000D5483"/>
    <w:rsid w:val="000E1A1A"/>
    <w:rsid w:val="000E5BB1"/>
    <w:rsid w:val="000E65C0"/>
    <w:rsid w:val="000E7A48"/>
    <w:rsid w:val="000F085B"/>
    <w:rsid w:val="000F35C4"/>
    <w:rsid w:val="000F5AD1"/>
    <w:rsid w:val="00101E88"/>
    <w:rsid w:val="00103C83"/>
    <w:rsid w:val="00106654"/>
    <w:rsid w:val="00107DCF"/>
    <w:rsid w:val="001100BC"/>
    <w:rsid w:val="00114261"/>
    <w:rsid w:val="001228D6"/>
    <w:rsid w:val="00125220"/>
    <w:rsid w:val="00125BA7"/>
    <w:rsid w:val="0013526C"/>
    <w:rsid w:val="001405C6"/>
    <w:rsid w:val="00140E8F"/>
    <w:rsid w:val="00141013"/>
    <w:rsid w:val="00142ACA"/>
    <w:rsid w:val="0014444C"/>
    <w:rsid w:val="00145BA3"/>
    <w:rsid w:val="00146DFD"/>
    <w:rsid w:val="001502BF"/>
    <w:rsid w:val="0015090B"/>
    <w:rsid w:val="00150A8A"/>
    <w:rsid w:val="001513E4"/>
    <w:rsid w:val="00152780"/>
    <w:rsid w:val="001539A9"/>
    <w:rsid w:val="0015747F"/>
    <w:rsid w:val="00173818"/>
    <w:rsid w:val="0017514A"/>
    <w:rsid w:val="00175FDC"/>
    <w:rsid w:val="00175FEB"/>
    <w:rsid w:val="00177E79"/>
    <w:rsid w:val="00180DF6"/>
    <w:rsid w:val="001861B0"/>
    <w:rsid w:val="00187689"/>
    <w:rsid w:val="0018794C"/>
    <w:rsid w:val="00187B29"/>
    <w:rsid w:val="00192CBF"/>
    <w:rsid w:val="00192FF1"/>
    <w:rsid w:val="00194D01"/>
    <w:rsid w:val="00195421"/>
    <w:rsid w:val="001973EE"/>
    <w:rsid w:val="001A03D6"/>
    <w:rsid w:val="001A5F1B"/>
    <w:rsid w:val="001A76F5"/>
    <w:rsid w:val="001A7F1A"/>
    <w:rsid w:val="001B1C22"/>
    <w:rsid w:val="001B1E6C"/>
    <w:rsid w:val="001B2B05"/>
    <w:rsid w:val="001B34C6"/>
    <w:rsid w:val="001B6C6A"/>
    <w:rsid w:val="001B7B0F"/>
    <w:rsid w:val="001C008F"/>
    <w:rsid w:val="001C1C17"/>
    <w:rsid w:val="001D264E"/>
    <w:rsid w:val="001D30C3"/>
    <w:rsid w:val="001D5DEF"/>
    <w:rsid w:val="001D68B0"/>
    <w:rsid w:val="001D7832"/>
    <w:rsid w:val="001E26A3"/>
    <w:rsid w:val="0020050B"/>
    <w:rsid w:val="00210DC1"/>
    <w:rsid w:val="00211769"/>
    <w:rsid w:val="00211D34"/>
    <w:rsid w:val="00214F04"/>
    <w:rsid w:val="002209B3"/>
    <w:rsid w:val="00221880"/>
    <w:rsid w:val="00227E5B"/>
    <w:rsid w:val="00230B9C"/>
    <w:rsid w:val="00230F3D"/>
    <w:rsid w:val="00234E2A"/>
    <w:rsid w:val="002352B9"/>
    <w:rsid w:val="00240FE2"/>
    <w:rsid w:val="00241311"/>
    <w:rsid w:val="002435FB"/>
    <w:rsid w:val="00245A3D"/>
    <w:rsid w:val="00252B56"/>
    <w:rsid w:val="0026137B"/>
    <w:rsid w:val="00266CD6"/>
    <w:rsid w:val="002673AC"/>
    <w:rsid w:val="00270C0E"/>
    <w:rsid w:val="00273346"/>
    <w:rsid w:val="002739B9"/>
    <w:rsid w:val="00275DAB"/>
    <w:rsid w:val="002816D2"/>
    <w:rsid w:val="002903C0"/>
    <w:rsid w:val="002A5028"/>
    <w:rsid w:val="002A782A"/>
    <w:rsid w:val="002B11E2"/>
    <w:rsid w:val="002B193E"/>
    <w:rsid w:val="002B24B8"/>
    <w:rsid w:val="002C0483"/>
    <w:rsid w:val="002D1B51"/>
    <w:rsid w:val="002D242D"/>
    <w:rsid w:val="002D36AF"/>
    <w:rsid w:val="002D3AE9"/>
    <w:rsid w:val="002D4510"/>
    <w:rsid w:val="002D54D5"/>
    <w:rsid w:val="002D583C"/>
    <w:rsid w:val="002D7099"/>
    <w:rsid w:val="002E11B1"/>
    <w:rsid w:val="002E36B9"/>
    <w:rsid w:val="002E482A"/>
    <w:rsid w:val="002E70A6"/>
    <w:rsid w:val="002E73CC"/>
    <w:rsid w:val="002F0734"/>
    <w:rsid w:val="002F175F"/>
    <w:rsid w:val="002F18EA"/>
    <w:rsid w:val="002F45CA"/>
    <w:rsid w:val="002F46E7"/>
    <w:rsid w:val="002F501B"/>
    <w:rsid w:val="002F6CAC"/>
    <w:rsid w:val="002F721F"/>
    <w:rsid w:val="00302FD2"/>
    <w:rsid w:val="0030524F"/>
    <w:rsid w:val="0030759E"/>
    <w:rsid w:val="003101DA"/>
    <w:rsid w:val="003111C3"/>
    <w:rsid w:val="00311811"/>
    <w:rsid w:val="003130D4"/>
    <w:rsid w:val="00314757"/>
    <w:rsid w:val="003163BC"/>
    <w:rsid w:val="003207C6"/>
    <w:rsid w:val="003211CE"/>
    <w:rsid w:val="00322C30"/>
    <w:rsid w:val="00322FE4"/>
    <w:rsid w:val="003255B9"/>
    <w:rsid w:val="00326B03"/>
    <w:rsid w:val="00330EE7"/>
    <w:rsid w:val="0034423E"/>
    <w:rsid w:val="00345C62"/>
    <w:rsid w:val="003462C9"/>
    <w:rsid w:val="00350C8C"/>
    <w:rsid w:val="00353FE2"/>
    <w:rsid w:val="0035403A"/>
    <w:rsid w:val="00356AAF"/>
    <w:rsid w:val="0036394B"/>
    <w:rsid w:val="00363C4C"/>
    <w:rsid w:val="00366315"/>
    <w:rsid w:val="00366DB6"/>
    <w:rsid w:val="003709B5"/>
    <w:rsid w:val="003720D0"/>
    <w:rsid w:val="00374F66"/>
    <w:rsid w:val="003759C2"/>
    <w:rsid w:val="00376008"/>
    <w:rsid w:val="00382645"/>
    <w:rsid w:val="00383600"/>
    <w:rsid w:val="0038511B"/>
    <w:rsid w:val="00387374"/>
    <w:rsid w:val="003915FB"/>
    <w:rsid w:val="003921F8"/>
    <w:rsid w:val="00397365"/>
    <w:rsid w:val="003A0C90"/>
    <w:rsid w:val="003A31F6"/>
    <w:rsid w:val="003A40CB"/>
    <w:rsid w:val="003A58A9"/>
    <w:rsid w:val="003A7B63"/>
    <w:rsid w:val="003B63C6"/>
    <w:rsid w:val="003B7847"/>
    <w:rsid w:val="003C2698"/>
    <w:rsid w:val="003C3447"/>
    <w:rsid w:val="003C46FB"/>
    <w:rsid w:val="003D076C"/>
    <w:rsid w:val="003D3AA8"/>
    <w:rsid w:val="003E2642"/>
    <w:rsid w:val="003E270E"/>
    <w:rsid w:val="003E78B5"/>
    <w:rsid w:val="003F4EAD"/>
    <w:rsid w:val="00403492"/>
    <w:rsid w:val="00407649"/>
    <w:rsid w:val="004112AF"/>
    <w:rsid w:val="00411782"/>
    <w:rsid w:val="00412867"/>
    <w:rsid w:val="00415BAB"/>
    <w:rsid w:val="00415ED2"/>
    <w:rsid w:val="004165B2"/>
    <w:rsid w:val="0042068C"/>
    <w:rsid w:val="004208E0"/>
    <w:rsid w:val="0042509F"/>
    <w:rsid w:val="004307FC"/>
    <w:rsid w:val="004416DE"/>
    <w:rsid w:val="00442B76"/>
    <w:rsid w:val="0044318E"/>
    <w:rsid w:val="00443B35"/>
    <w:rsid w:val="0044519E"/>
    <w:rsid w:val="00447D94"/>
    <w:rsid w:val="0045488D"/>
    <w:rsid w:val="0045765B"/>
    <w:rsid w:val="004646A2"/>
    <w:rsid w:val="004703DC"/>
    <w:rsid w:val="0047122B"/>
    <w:rsid w:val="00472129"/>
    <w:rsid w:val="00473B7A"/>
    <w:rsid w:val="00473E1B"/>
    <w:rsid w:val="0047746F"/>
    <w:rsid w:val="00477AF1"/>
    <w:rsid w:val="0049466A"/>
    <w:rsid w:val="00494F81"/>
    <w:rsid w:val="00495812"/>
    <w:rsid w:val="004960E9"/>
    <w:rsid w:val="00496606"/>
    <w:rsid w:val="00496AC9"/>
    <w:rsid w:val="00497029"/>
    <w:rsid w:val="004A2E88"/>
    <w:rsid w:val="004A5305"/>
    <w:rsid w:val="004A60ED"/>
    <w:rsid w:val="004B79C2"/>
    <w:rsid w:val="004C2C3D"/>
    <w:rsid w:val="004C4789"/>
    <w:rsid w:val="004D7634"/>
    <w:rsid w:val="004D7705"/>
    <w:rsid w:val="004E0AC7"/>
    <w:rsid w:val="004E43D9"/>
    <w:rsid w:val="004E611A"/>
    <w:rsid w:val="004E66A2"/>
    <w:rsid w:val="004E7CE4"/>
    <w:rsid w:val="004F37C3"/>
    <w:rsid w:val="004F5434"/>
    <w:rsid w:val="004F6460"/>
    <w:rsid w:val="005021D3"/>
    <w:rsid w:val="00502F8E"/>
    <w:rsid w:val="0050360F"/>
    <w:rsid w:val="00506017"/>
    <w:rsid w:val="005100A5"/>
    <w:rsid w:val="005102A2"/>
    <w:rsid w:val="00513F8D"/>
    <w:rsid w:val="005175DC"/>
    <w:rsid w:val="005179D4"/>
    <w:rsid w:val="00517B53"/>
    <w:rsid w:val="00521AF8"/>
    <w:rsid w:val="00523C27"/>
    <w:rsid w:val="005300D3"/>
    <w:rsid w:val="005356CF"/>
    <w:rsid w:val="00541C05"/>
    <w:rsid w:val="00542910"/>
    <w:rsid w:val="00542A10"/>
    <w:rsid w:val="00544F82"/>
    <w:rsid w:val="00545344"/>
    <w:rsid w:val="00545690"/>
    <w:rsid w:val="00550686"/>
    <w:rsid w:val="005509D2"/>
    <w:rsid w:val="0055455A"/>
    <w:rsid w:val="00555CF5"/>
    <w:rsid w:val="0056139A"/>
    <w:rsid w:val="00564F10"/>
    <w:rsid w:val="0056555A"/>
    <w:rsid w:val="00566C37"/>
    <w:rsid w:val="00573A94"/>
    <w:rsid w:val="00575C12"/>
    <w:rsid w:val="00582C45"/>
    <w:rsid w:val="0058531F"/>
    <w:rsid w:val="00587384"/>
    <w:rsid w:val="0059177B"/>
    <w:rsid w:val="00591CAE"/>
    <w:rsid w:val="00593C4F"/>
    <w:rsid w:val="005946A8"/>
    <w:rsid w:val="00595F3C"/>
    <w:rsid w:val="00597002"/>
    <w:rsid w:val="00597BDB"/>
    <w:rsid w:val="005A4407"/>
    <w:rsid w:val="005A59EF"/>
    <w:rsid w:val="005A5C34"/>
    <w:rsid w:val="005B1C7E"/>
    <w:rsid w:val="005C0587"/>
    <w:rsid w:val="005C26BB"/>
    <w:rsid w:val="005C2AC2"/>
    <w:rsid w:val="005C40B9"/>
    <w:rsid w:val="005C59D9"/>
    <w:rsid w:val="005C6976"/>
    <w:rsid w:val="005D2A01"/>
    <w:rsid w:val="005D33ED"/>
    <w:rsid w:val="005D56D2"/>
    <w:rsid w:val="005D6EAC"/>
    <w:rsid w:val="005E5E90"/>
    <w:rsid w:val="005F3F04"/>
    <w:rsid w:val="005F6494"/>
    <w:rsid w:val="005F6CDF"/>
    <w:rsid w:val="005F6F41"/>
    <w:rsid w:val="006003D5"/>
    <w:rsid w:val="00602A80"/>
    <w:rsid w:val="00602FAF"/>
    <w:rsid w:val="00606107"/>
    <w:rsid w:val="00610642"/>
    <w:rsid w:val="00612AB7"/>
    <w:rsid w:val="0061733A"/>
    <w:rsid w:val="00621BAD"/>
    <w:rsid w:val="006226B7"/>
    <w:rsid w:val="0062437F"/>
    <w:rsid w:val="00624B71"/>
    <w:rsid w:val="00625DC6"/>
    <w:rsid w:val="00632111"/>
    <w:rsid w:val="00632A62"/>
    <w:rsid w:val="006335A4"/>
    <w:rsid w:val="0064391D"/>
    <w:rsid w:val="0064685C"/>
    <w:rsid w:val="00651821"/>
    <w:rsid w:val="00654384"/>
    <w:rsid w:val="00654AF2"/>
    <w:rsid w:val="00660628"/>
    <w:rsid w:val="00665D08"/>
    <w:rsid w:val="006675CD"/>
    <w:rsid w:val="006727A5"/>
    <w:rsid w:val="006742EA"/>
    <w:rsid w:val="00674C5A"/>
    <w:rsid w:val="00675F4D"/>
    <w:rsid w:val="00681BDE"/>
    <w:rsid w:val="00684D9B"/>
    <w:rsid w:val="00684FE1"/>
    <w:rsid w:val="0068510A"/>
    <w:rsid w:val="006906F5"/>
    <w:rsid w:val="0069244A"/>
    <w:rsid w:val="00696AED"/>
    <w:rsid w:val="00697556"/>
    <w:rsid w:val="006A33AA"/>
    <w:rsid w:val="006A3ACA"/>
    <w:rsid w:val="006A7C11"/>
    <w:rsid w:val="006B12E8"/>
    <w:rsid w:val="006B4647"/>
    <w:rsid w:val="006B4C2B"/>
    <w:rsid w:val="006B5DF2"/>
    <w:rsid w:val="006B6194"/>
    <w:rsid w:val="006B64AB"/>
    <w:rsid w:val="006B6D47"/>
    <w:rsid w:val="006C447E"/>
    <w:rsid w:val="006C5638"/>
    <w:rsid w:val="006C5ACE"/>
    <w:rsid w:val="006C5AFE"/>
    <w:rsid w:val="006C605D"/>
    <w:rsid w:val="006D10B4"/>
    <w:rsid w:val="006E1285"/>
    <w:rsid w:val="006E2EF2"/>
    <w:rsid w:val="006E45A5"/>
    <w:rsid w:val="006E4B79"/>
    <w:rsid w:val="006E79CE"/>
    <w:rsid w:val="006E7D28"/>
    <w:rsid w:val="006F128D"/>
    <w:rsid w:val="006F2EC8"/>
    <w:rsid w:val="006F6D95"/>
    <w:rsid w:val="007051E0"/>
    <w:rsid w:val="00706F13"/>
    <w:rsid w:val="007070D9"/>
    <w:rsid w:val="0070729D"/>
    <w:rsid w:val="007072E8"/>
    <w:rsid w:val="00707C2B"/>
    <w:rsid w:val="00710A27"/>
    <w:rsid w:val="00711665"/>
    <w:rsid w:val="00711E86"/>
    <w:rsid w:val="00714562"/>
    <w:rsid w:val="0071618D"/>
    <w:rsid w:val="00716259"/>
    <w:rsid w:val="00725FA4"/>
    <w:rsid w:val="00726CBD"/>
    <w:rsid w:val="00740078"/>
    <w:rsid w:val="00740446"/>
    <w:rsid w:val="007438A9"/>
    <w:rsid w:val="0074487B"/>
    <w:rsid w:val="0074491E"/>
    <w:rsid w:val="00745A1D"/>
    <w:rsid w:val="007465B0"/>
    <w:rsid w:val="00746F74"/>
    <w:rsid w:val="00747ABB"/>
    <w:rsid w:val="007504B0"/>
    <w:rsid w:val="0076247A"/>
    <w:rsid w:val="007665AC"/>
    <w:rsid w:val="007751F0"/>
    <w:rsid w:val="00775964"/>
    <w:rsid w:val="007765FE"/>
    <w:rsid w:val="00782F2B"/>
    <w:rsid w:val="00791523"/>
    <w:rsid w:val="00791A9E"/>
    <w:rsid w:val="00793AAD"/>
    <w:rsid w:val="00794E2E"/>
    <w:rsid w:val="00795BFB"/>
    <w:rsid w:val="00795F43"/>
    <w:rsid w:val="007963E5"/>
    <w:rsid w:val="0079644E"/>
    <w:rsid w:val="007A2C3C"/>
    <w:rsid w:val="007A486F"/>
    <w:rsid w:val="007A6181"/>
    <w:rsid w:val="007B2760"/>
    <w:rsid w:val="007B379D"/>
    <w:rsid w:val="007B4ECF"/>
    <w:rsid w:val="007B5A60"/>
    <w:rsid w:val="007C12A4"/>
    <w:rsid w:val="007C16CF"/>
    <w:rsid w:val="007C4634"/>
    <w:rsid w:val="007C4934"/>
    <w:rsid w:val="007D0611"/>
    <w:rsid w:val="007D18EA"/>
    <w:rsid w:val="007D5B33"/>
    <w:rsid w:val="007D79DE"/>
    <w:rsid w:val="007E2C99"/>
    <w:rsid w:val="007E4AA1"/>
    <w:rsid w:val="007E7D7B"/>
    <w:rsid w:val="007F3DB7"/>
    <w:rsid w:val="007F3F64"/>
    <w:rsid w:val="007F520F"/>
    <w:rsid w:val="007F6FDF"/>
    <w:rsid w:val="008064A9"/>
    <w:rsid w:val="00806C01"/>
    <w:rsid w:val="008076B0"/>
    <w:rsid w:val="00807EE5"/>
    <w:rsid w:val="00811E9C"/>
    <w:rsid w:val="008148CC"/>
    <w:rsid w:val="00816D80"/>
    <w:rsid w:val="008211A4"/>
    <w:rsid w:val="00821A85"/>
    <w:rsid w:val="008223B6"/>
    <w:rsid w:val="00830430"/>
    <w:rsid w:val="0083282B"/>
    <w:rsid w:val="008331EF"/>
    <w:rsid w:val="00835686"/>
    <w:rsid w:val="008442B2"/>
    <w:rsid w:val="00844559"/>
    <w:rsid w:val="00845DB9"/>
    <w:rsid w:val="0084693A"/>
    <w:rsid w:val="00851290"/>
    <w:rsid w:val="00853A63"/>
    <w:rsid w:val="00853AC2"/>
    <w:rsid w:val="00855069"/>
    <w:rsid w:val="00873150"/>
    <w:rsid w:val="0087657D"/>
    <w:rsid w:val="0088064C"/>
    <w:rsid w:val="008807D5"/>
    <w:rsid w:val="0088082C"/>
    <w:rsid w:val="00880832"/>
    <w:rsid w:val="008851AA"/>
    <w:rsid w:val="00886EE1"/>
    <w:rsid w:val="0088727D"/>
    <w:rsid w:val="00887B67"/>
    <w:rsid w:val="0089248F"/>
    <w:rsid w:val="00897C75"/>
    <w:rsid w:val="008A0629"/>
    <w:rsid w:val="008A2F1A"/>
    <w:rsid w:val="008B3AB6"/>
    <w:rsid w:val="008C1130"/>
    <w:rsid w:val="008C3862"/>
    <w:rsid w:val="008D00FC"/>
    <w:rsid w:val="008D13BF"/>
    <w:rsid w:val="008D18E6"/>
    <w:rsid w:val="008D3E62"/>
    <w:rsid w:val="008D5FE4"/>
    <w:rsid w:val="008D627C"/>
    <w:rsid w:val="008D7A9B"/>
    <w:rsid w:val="008E0060"/>
    <w:rsid w:val="008E03BE"/>
    <w:rsid w:val="008E18B3"/>
    <w:rsid w:val="008E1DCA"/>
    <w:rsid w:val="008E492B"/>
    <w:rsid w:val="008E5FEC"/>
    <w:rsid w:val="008E7091"/>
    <w:rsid w:val="008E76AC"/>
    <w:rsid w:val="008E7A1C"/>
    <w:rsid w:val="008F11E3"/>
    <w:rsid w:val="008F21F6"/>
    <w:rsid w:val="008F2484"/>
    <w:rsid w:val="008F47BD"/>
    <w:rsid w:val="00901444"/>
    <w:rsid w:val="00906164"/>
    <w:rsid w:val="009068E1"/>
    <w:rsid w:val="009155DC"/>
    <w:rsid w:val="00924736"/>
    <w:rsid w:val="00925145"/>
    <w:rsid w:val="0092726B"/>
    <w:rsid w:val="009320BA"/>
    <w:rsid w:val="009362A0"/>
    <w:rsid w:val="0094207C"/>
    <w:rsid w:val="00942723"/>
    <w:rsid w:val="0094467B"/>
    <w:rsid w:val="00944D3D"/>
    <w:rsid w:val="0095053F"/>
    <w:rsid w:val="00951F79"/>
    <w:rsid w:val="0095348F"/>
    <w:rsid w:val="009542A8"/>
    <w:rsid w:val="00962D5A"/>
    <w:rsid w:val="00965180"/>
    <w:rsid w:val="0097029E"/>
    <w:rsid w:val="00971A83"/>
    <w:rsid w:val="00974AB5"/>
    <w:rsid w:val="00980567"/>
    <w:rsid w:val="0098706D"/>
    <w:rsid w:val="009935FB"/>
    <w:rsid w:val="009A31B8"/>
    <w:rsid w:val="009B0328"/>
    <w:rsid w:val="009B0C67"/>
    <w:rsid w:val="009B1A12"/>
    <w:rsid w:val="009B2CFE"/>
    <w:rsid w:val="009B74DB"/>
    <w:rsid w:val="009B7B30"/>
    <w:rsid w:val="009C0D4E"/>
    <w:rsid w:val="009D00C2"/>
    <w:rsid w:val="009D0DDD"/>
    <w:rsid w:val="009D3BF6"/>
    <w:rsid w:val="009D5244"/>
    <w:rsid w:val="009E05FD"/>
    <w:rsid w:val="009E2864"/>
    <w:rsid w:val="009E2D72"/>
    <w:rsid w:val="009E42E5"/>
    <w:rsid w:val="009E7047"/>
    <w:rsid w:val="009E79A2"/>
    <w:rsid w:val="009E7F44"/>
    <w:rsid w:val="009F4425"/>
    <w:rsid w:val="009F4A54"/>
    <w:rsid w:val="009F4BEC"/>
    <w:rsid w:val="009F5874"/>
    <w:rsid w:val="009F6D55"/>
    <w:rsid w:val="009F7144"/>
    <w:rsid w:val="009F7CB7"/>
    <w:rsid w:val="00A06511"/>
    <w:rsid w:val="00A120BD"/>
    <w:rsid w:val="00A1213A"/>
    <w:rsid w:val="00A12A7C"/>
    <w:rsid w:val="00A21414"/>
    <w:rsid w:val="00A25D77"/>
    <w:rsid w:val="00A25FD7"/>
    <w:rsid w:val="00A26A2B"/>
    <w:rsid w:val="00A3079B"/>
    <w:rsid w:val="00A30926"/>
    <w:rsid w:val="00A329EF"/>
    <w:rsid w:val="00A4101C"/>
    <w:rsid w:val="00A43501"/>
    <w:rsid w:val="00A43AFF"/>
    <w:rsid w:val="00A52778"/>
    <w:rsid w:val="00A53464"/>
    <w:rsid w:val="00A56C7C"/>
    <w:rsid w:val="00A57F23"/>
    <w:rsid w:val="00A61483"/>
    <w:rsid w:val="00A61782"/>
    <w:rsid w:val="00A61921"/>
    <w:rsid w:val="00A72659"/>
    <w:rsid w:val="00A73848"/>
    <w:rsid w:val="00A754E0"/>
    <w:rsid w:val="00A7793A"/>
    <w:rsid w:val="00A80881"/>
    <w:rsid w:val="00A8263F"/>
    <w:rsid w:val="00A85389"/>
    <w:rsid w:val="00A952AC"/>
    <w:rsid w:val="00AA001B"/>
    <w:rsid w:val="00AA19FF"/>
    <w:rsid w:val="00AA1BE2"/>
    <w:rsid w:val="00AA4CC7"/>
    <w:rsid w:val="00AA5E8E"/>
    <w:rsid w:val="00AB2BAD"/>
    <w:rsid w:val="00AB364C"/>
    <w:rsid w:val="00AB37C6"/>
    <w:rsid w:val="00AB6CA7"/>
    <w:rsid w:val="00AC0045"/>
    <w:rsid w:val="00AC0D20"/>
    <w:rsid w:val="00AC459A"/>
    <w:rsid w:val="00AD01E4"/>
    <w:rsid w:val="00AD0217"/>
    <w:rsid w:val="00AD0858"/>
    <w:rsid w:val="00AD0972"/>
    <w:rsid w:val="00AD2AB3"/>
    <w:rsid w:val="00AD775F"/>
    <w:rsid w:val="00AE02E3"/>
    <w:rsid w:val="00AE1E82"/>
    <w:rsid w:val="00AE4EB2"/>
    <w:rsid w:val="00AE7340"/>
    <w:rsid w:val="00AE7DA4"/>
    <w:rsid w:val="00AF0825"/>
    <w:rsid w:val="00AF1BBD"/>
    <w:rsid w:val="00B043A9"/>
    <w:rsid w:val="00B10207"/>
    <w:rsid w:val="00B117D6"/>
    <w:rsid w:val="00B11AF0"/>
    <w:rsid w:val="00B141E7"/>
    <w:rsid w:val="00B1791D"/>
    <w:rsid w:val="00B27489"/>
    <w:rsid w:val="00B351B4"/>
    <w:rsid w:val="00B41745"/>
    <w:rsid w:val="00B46BCA"/>
    <w:rsid w:val="00B46EB7"/>
    <w:rsid w:val="00B478AA"/>
    <w:rsid w:val="00B60DBA"/>
    <w:rsid w:val="00B6136D"/>
    <w:rsid w:val="00B62AA0"/>
    <w:rsid w:val="00B63584"/>
    <w:rsid w:val="00B63AD3"/>
    <w:rsid w:val="00B64804"/>
    <w:rsid w:val="00B71B27"/>
    <w:rsid w:val="00B760D4"/>
    <w:rsid w:val="00B77498"/>
    <w:rsid w:val="00B851D2"/>
    <w:rsid w:val="00B85E50"/>
    <w:rsid w:val="00B872FE"/>
    <w:rsid w:val="00B87806"/>
    <w:rsid w:val="00B87EC9"/>
    <w:rsid w:val="00B939A5"/>
    <w:rsid w:val="00B94AEF"/>
    <w:rsid w:val="00B95AF3"/>
    <w:rsid w:val="00B97852"/>
    <w:rsid w:val="00BA4683"/>
    <w:rsid w:val="00BA7092"/>
    <w:rsid w:val="00BB0563"/>
    <w:rsid w:val="00BB164F"/>
    <w:rsid w:val="00BC38FD"/>
    <w:rsid w:val="00BC4EFC"/>
    <w:rsid w:val="00BC7784"/>
    <w:rsid w:val="00BD522E"/>
    <w:rsid w:val="00BD686D"/>
    <w:rsid w:val="00BD6FD0"/>
    <w:rsid w:val="00BE1796"/>
    <w:rsid w:val="00BE5D3E"/>
    <w:rsid w:val="00BF1292"/>
    <w:rsid w:val="00BF67AC"/>
    <w:rsid w:val="00C034CB"/>
    <w:rsid w:val="00C051A8"/>
    <w:rsid w:val="00C054BC"/>
    <w:rsid w:val="00C065C1"/>
    <w:rsid w:val="00C108F8"/>
    <w:rsid w:val="00C10D7D"/>
    <w:rsid w:val="00C1151D"/>
    <w:rsid w:val="00C11963"/>
    <w:rsid w:val="00C12877"/>
    <w:rsid w:val="00C17897"/>
    <w:rsid w:val="00C26569"/>
    <w:rsid w:val="00C36AC3"/>
    <w:rsid w:val="00C37486"/>
    <w:rsid w:val="00C409D5"/>
    <w:rsid w:val="00C40B66"/>
    <w:rsid w:val="00C435C3"/>
    <w:rsid w:val="00C44E5F"/>
    <w:rsid w:val="00C469B1"/>
    <w:rsid w:val="00C47EBF"/>
    <w:rsid w:val="00C50DE9"/>
    <w:rsid w:val="00C51B7C"/>
    <w:rsid w:val="00C557CF"/>
    <w:rsid w:val="00C575F8"/>
    <w:rsid w:val="00C6234B"/>
    <w:rsid w:val="00C63090"/>
    <w:rsid w:val="00C63C55"/>
    <w:rsid w:val="00C63EAE"/>
    <w:rsid w:val="00C65C8F"/>
    <w:rsid w:val="00C6613E"/>
    <w:rsid w:val="00C73260"/>
    <w:rsid w:val="00C7629F"/>
    <w:rsid w:val="00C80FB8"/>
    <w:rsid w:val="00C85095"/>
    <w:rsid w:val="00C851CB"/>
    <w:rsid w:val="00C8661B"/>
    <w:rsid w:val="00C94E95"/>
    <w:rsid w:val="00C97722"/>
    <w:rsid w:val="00CA03C8"/>
    <w:rsid w:val="00CA139A"/>
    <w:rsid w:val="00CA2899"/>
    <w:rsid w:val="00CA3A3D"/>
    <w:rsid w:val="00CA3AA6"/>
    <w:rsid w:val="00CA5511"/>
    <w:rsid w:val="00CA5F84"/>
    <w:rsid w:val="00CA66F8"/>
    <w:rsid w:val="00CA77FB"/>
    <w:rsid w:val="00CB0604"/>
    <w:rsid w:val="00CB168B"/>
    <w:rsid w:val="00CB379B"/>
    <w:rsid w:val="00CB5DD0"/>
    <w:rsid w:val="00CC0545"/>
    <w:rsid w:val="00CC4591"/>
    <w:rsid w:val="00CC51D4"/>
    <w:rsid w:val="00CC65DA"/>
    <w:rsid w:val="00CC6EC2"/>
    <w:rsid w:val="00CD3CDB"/>
    <w:rsid w:val="00CD46ED"/>
    <w:rsid w:val="00CD48C6"/>
    <w:rsid w:val="00CD58CD"/>
    <w:rsid w:val="00CE2288"/>
    <w:rsid w:val="00CE49C7"/>
    <w:rsid w:val="00CE66FC"/>
    <w:rsid w:val="00CE7278"/>
    <w:rsid w:val="00CF0956"/>
    <w:rsid w:val="00CF140E"/>
    <w:rsid w:val="00CF21B9"/>
    <w:rsid w:val="00CF253A"/>
    <w:rsid w:val="00CF4019"/>
    <w:rsid w:val="00CF54EF"/>
    <w:rsid w:val="00CF5EA3"/>
    <w:rsid w:val="00CF6BF9"/>
    <w:rsid w:val="00D0185F"/>
    <w:rsid w:val="00D03800"/>
    <w:rsid w:val="00D065D3"/>
    <w:rsid w:val="00D07C8F"/>
    <w:rsid w:val="00D11177"/>
    <w:rsid w:val="00D11CCD"/>
    <w:rsid w:val="00D1286F"/>
    <w:rsid w:val="00D14C94"/>
    <w:rsid w:val="00D15CA4"/>
    <w:rsid w:val="00D17ECC"/>
    <w:rsid w:val="00D26684"/>
    <w:rsid w:val="00D274B0"/>
    <w:rsid w:val="00D342A6"/>
    <w:rsid w:val="00D34BB1"/>
    <w:rsid w:val="00D35A91"/>
    <w:rsid w:val="00D37A1E"/>
    <w:rsid w:val="00D42C0F"/>
    <w:rsid w:val="00D430B5"/>
    <w:rsid w:val="00D43ECD"/>
    <w:rsid w:val="00D45CA6"/>
    <w:rsid w:val="00D464BF"/>
    <w:rsid w:val="00D53E26"/>
    <w:rsid w:val="00D54348"/>
    <w:rsid w:val="00D679EB"/>
    <w:rsid w:val="00D717E9"/>
    <w:rsid w:val="00D727B2"/>
    <w:rsid w:val="00D7511B"/>
    <w:rsid w:val="00D7745A"/>
    <w:rsid w:val="00D82C7E"/>
    <w:rsid w:val="00D83F43"/>
    <w:rsid w:val="00D905B0"/>
    <w:rsid w:val="00D934A3"/>
    <w:rsid w:val="00DB182C"/>
    <w:rsid w:val="00DB41C3"/>
    <w:rsid w:val="00DB6003"/>
    <w:rsid w:val="00DC729E"/>
    <w:rsid w:val="00DD037B"/>
    <w:rsid w:val="00DD1B00"/>
    <w:rsid w:val="00DD3568"/>
    <w:rsid w:val="00DD4F0E"/>
    <w:rsid w:val="00DE640E"/>
    <w:rsid w:val="00DF0BF0"/>
    <w:rsid w:val="00DF0EA0"/>
    <w:rsid w:val="00DF16F5"/>
    <w:rsid w:val="00DF3CA2"/>
    <w:rsid w:val="00DF753F"/>
    <w:rsid w:val="00E00CA1"/>
    <w:rsid w:val="00E01463"/>
    <w:rsid w:val="00E03384"/>
    <w:rsid w:val="00E04E45"/>
    <w:rsid w:val="00E05E0A"/>
    <w:rsid w:val="00E060BE"/>
    <w:rsid w:val="00E10F91"/>
    <w:rsid w:val="00E122AE"/>
    <w:rsid w:val="00E14BD3"/>
    <w:rsid w:val="00E16E68"/>
    <w:rsid w:val="00E20890"/>
    <w:rsid w:val="00E23675"/>
    <w:rsid w:val="00E238C8"/>
    <w:rsid w:val="00E23982"/>
    <w:rsid w:val="00E35BA0"/>
    <w:rsid w:val="00E36E0B"/>
    <w:rsid w:val="00E37A9F"/>
    <w:rsid w:val="00E43CA2"/>
    <w:rsid w:val="00E4648E"/>
    <w:rsid w:val="00E4678F"/>
    <w:rsid w:val="00E5137B"/>
    <w:rsid w:val="00E513DA"/>
    <w:rsid w:val="00E52651"/>
    <w:rsid w:val="00E534CF"/>
    <w:rsid w:val="00E5383B"/>
    <w:rsid w:val="00E63920"/>
    <w:rsid w:val="00E81CB4"/>
    <w:rsid w:val="00E81FB0"/>
    <w:rsid w:val="00E8210B"/>
    <w:rsid w:val="00E83D03"/>
    <w:rsid w:val="00E844D3"/>
    <w:rsid w:val="00E8585B"/>
    <w:rsid w:val="00E87F41"/>
    <w:rsid w:val="00E90BCF"/>
    <w:rsid w:val="00E924D7"/>
    <w:rsid w:val="00E960C0"/>
    <w:rsid w:val="00E973BF"/>
    <w:rsid w:val="00EA3F15"/>
    <w:rsid w:val="00EA427C"/>
    <w:rsid w:val="00EA447E"/>
    <w:rsid w:val="00EA4ADE"/>
    <w:rsid w:val="00EA71D5"/>
    <w:rsid w:val="00EA7847"/>
    <w:rsid w:val="00EB453F"/>
    <w:rsid w:val="00EB4C2F"/>
    <w:rsid w:val="00EB540D"/>
    <w:rsid w:val="00EC0742"/>
    <w:rsid w:val="00EC23F5"/>
    <w:rsid w:val="00ED3C6F"/>
    <w:rsid w:val="00ED6BF2"/>
    <w:rsid w:val="00EE0277"/>
    <w:rsid w:val="00EE1D24"/>
    <w:rsid w:val="00EE2E6E"/>
    <w:rsid w:val="00EE34DA"/>
    <w:rsid w:val="00EF04C2"/>
    <w:rsid w:val="00EF0761"/>
    <w:rsid w:val="00EF3AE0"/>
    <w:rsid w:val="00EF4DFF"/>
    <w:rsid w:val="00EF5269"/>
    <w:rsid w:val="00F04F23"/>
    <w:rsid w:val="00F0759E"/>
    <w:rsid w:val="00F16A43"/>
    <w:rsid w:val="00F179DD"/>
    <w:rsid w:val="00F21424"/>
    <w:rsid w:val="00F26899"/>
    <w:rsid w:val="00F362E2"/>
    <w:rsid w:val="00F4028F"/>
    <w:rsid w:val="00F43433"/>
    <w:rsid w:val="00F438C3"/>
    <w:rsid w:val="00F46780"/>
    <w:rsid w:val="00F476DA"/>
    <w:rsid w:val="00F5317B"/>
    <w:rsid w:val="00F55DB1"/>
    <w:rsid w:val="00F703AA"/>
    <w:rsid w:val="00F706AC"/>
    <w:rsid w:val="00F70E57"/>
    <w:rsid w:val="00F7517B"/>
    <w:rsid w:val="00F77D2D"/>
    <w:rsid w:val="00F77EE1"/>
    <w:rsid w:val="00F808F2"/>
    <w:rsid w:val="00F821A3"/>
    <w:rsid w:val="00F8713C"/>
    <w:rsid w:val="00F92642"/>
    <w:rsid w:val="00F9314A"/>
    <w:rsid w:val="00F940B2"/>
    <w:rsid w:val="00F95200"/>
    <w:rsid w:val="00FA5078"/>
    <w:rsid w:val="00FB43DD"/>
    <w:rsid w:val="00FC4147"/>
    <w:rsid w:val="00FC58EF"/>
    <w:rsid w:val="00FD1C2F"/>
    <w:rsid w:val="00FD33DF"/>
    <w:rsid w:val="00FE31F4"/>
    <w:rsid w:val="00FE39D7"/>
    <w:rsid w:val="00FF5E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9890C"/>
  <w15:chartTrackingRefBased/>
  <w15:docId w15:val="{B5F39E07-64FE-4525-879D-325A52CE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F268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aliases w:val="TBG Heading 4,o"/>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aliases w:val="TBG Heading 4 Car,o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Bolita,Párrafo de lista3,BOLA,Párrafo de lista2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Bolita Car,Párrafo de lista3 Car,BOLA Car,Párrafo de lista21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Ttulo2Car">
    <w:name w:val="Título 2 Car"/>
    <w:basedOn w:val="Fuentedeprrafopredeter"/>
    <w:link w:val="Ttulo2"/>
    <w:uiPriority w:val="9"/>
    <w:semiHidden/>
    <w:rsid w:val="00F26899"/>
    <w:rPr>
      <w:rFonts w:asciiTheme="majorHAnsi" w:eastAsiaTheme="majorEastAsia" w:hAnsiTheme="majorHAnsi" w:cstheme="majorBidi"/>
      <w:color w:val="2F5496" w:themeColor="accent1" w:themeShade="BF"/>
      <w:sz w:val="26"/>
      <w:szCs w:val="26"/>
      <w:lang w:val="es-ES" w:eastAsia="es-ES"/>
    </w:rPr>
  </w:style>
  <w:style w:type="character" w:customStyle="1" w:styleId="Ttulo1Car">
    <w:name w:val="Título 1 Car"/>
    <w:basedOn w:val="Fuentedeprrafopredeter"/>
    <w:link w:val="Ttulo1"/>
    <w:rsid w:val="00F26899"/>
    <w:rPr>
      <w:rFonts w:ascii="CG Times" w:hAnsi="CG Times"/>
      <w:b/>
      <w:sz w:val="24"/>
      <w:lang w:eastAsia="es-ES"/>
    </w:rPr>
  </w:style>
  <w:style w:type="paragraph" w:customStyle="1" w:styleId="ARTICULOS">
    <w:name w:val="ARTICULOS"/>
    <w:basedOn w:val="Normal"/>
    <w:link w:val="ARTICULOSCar"/>
    <w:qFormat/>
    <w:rsid w:val="00F26899"/>
    <w:pPr>
      <w:widowControl w:val="0"/>
      <w:numPr>
        <w:numId w:val="23"/>
      </w:numPr>
      <w:tabs>
        <w:tab w:val="left" w:pos="1559"/>
      </w:tabs>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F26899"/>
    <w:rPr>
      <w:rFonts w:ascii="Bookman Old Style" w:hAnsi="Bookman Old Style"/>
      <w:bCs/>
      <w:sz w:val="24"/>
      <w:szCs w:val="24"/>
      <w:lang w:val="x-none" w:eastAsia="x-none"/>
    </w:rPr>
  </w:style>
  <w:style w:type="character" w:styleId="Hipervnculo">
    <w:name w:val="Hyperlink"/>
    <w:uiPriority w:val="99"/>
    <w:unhideWhenUsed/>
    <w:rsid w:val="00F26899"/>
    <w:rPr>
      <w:color w:val="0000FF"/>
      <w:u w:val="single"/>
    </w:rPr>
  </w:style>
  <w:style w:type="paragraph" w:customStyle="1" w:styleId="paragraph">
    <w:name w:val="paragraph"/>
    <w:basedOn w:val="Normal"/>
    <w:rsid w:val="00F26899"/>
    <w:pPr>
      <w:spacing w:before="100" w:beforeAutospacing="1" w:after="100" w:afterAutospacing="1"/>
      <w:ind w:left="0"/>
    </w:pPr>
    <w:rPr>
      <w:lang w:val="es-CO" w:eastAsia="es-CO"/>
    </w:rPr>
  </w:style>
  <w:style w:type="character" w:customStyle="1" w:styleId="normaltextrun">
    <w:name w:val="normaltextrun"/>
    <w:basedOn w:val="Fuentedeprrafopredeter"/>
    <w:rsid w:val="00F26899"/>
  </w:style>
  <w:style w:type="character" w:customStyle="1" w:styleId="eop">
    <w:name w:val="eop"/>
    <w:basedOn w:val="Fuentedeprrafopredeter"/>
    <w:rsid w:val="00F26899"/>
  </w:style>
  <w:style w:type="character" w:styleId="Hipervnculovisitado">
    <w:name w:val="FollowedHyperlink"/>
    <w:basedOn w:val="Fuentedeprrafopredeter"/>
    <w:uiPriority w:val="99"/>
    <w:semiHidden/>
    <w:unhideWhenUsed/>
    <w:rsid w:val="00C26569"/>
    <w:rPr>
      <w:color w:val="954F72" w:themeColor="followedHyperlink"/>
      <w:u w:val="single"/>
    </w:rPr>
  </w:style>
  <w:style w:type="paragraph" w:styleId="NormalWeb">
    <w:name w:val="Normal (Web)"/>
    <w:basedOn w:val="Normal"/>
    <w:uiPriority w:val="99"/>
    <w:unhideWhenUsed/>
    <w:rsid w:val="00C26569"/>
    <w:pPr>
      <w:spacing w:before="100" w:beforeAutospacing="1" w:after="100" w:afterAutospacing="1"/>
      <w:ind w:left="0"/>
    </w:pPr>
    <w:rPr>
      <w:lang w:val="es-CO" w:eastAsia="es-MX"/>
    </w:rPr>
  </w:style>
  <w:style w:type="paragraph" w:styleId="Revisin">
    <w:name w:val="Revision"/>
    <w:hidden/>
    <w:uiPriority w:val="99"/>
    <w:semiHidden/>
    <w:rsid w:val="00925145"/>
    <w:rPr>
      <w:sz w:val="24"/>
      <w:szCs w:val="24"/>
      <w:lang w:val="es-ES" w:eastAsia="es-ES"/>
    </w:rPr>
  </w:style>
  <w:style w:type="character" w:styleId="Refdecomentario">
    <w:name w:val="annotation reference"/>
    <w:basedOn w:val="Fuentedeprrafopredeter"/>
    <w:uiPriority w:val="99"/>
    <w:semiHidden/>
    <w:unhideWhenUsed/>
    <w:rsid w:val="00591CAE"/>
    <w:rPr>
      <w:sz w:val="16"/>
      <w:szCs w:val="16"/>
    </w:rPr>
  </w:style>
  <w:style w:type="paragraph" w:styleId="Textocomentario">
    <w:name w:val="annotation text"/>
    <w:basedOn w:val="Normal"/>
    <w:link w:val="TextocomentarioCar"/>
    <w:uiPriority w:val="99"/>
    <w:unhideWhenUsed/>
    <w:rsid w:val="00591CAE"/>
    <w:rPr>
      <w:sz w:val="20"/>
      <w:szCs w:val="20"/>
    </w:rPr>
  </w:style>
  <w:style w:type="character" w:customStyle="1" w:styleId="TextocomentarioCar">
    <w:name w:val="Texto comentario Car"/>
    <w:basedOn w:val="Fuentedeprrafopredeter"/>
    <w:link w:val="Textocomentario"/>
    <w:uiPriority w:val="99"/>
    <w:rsid w:val="00591CAE"/>
    <w:rPr>
      <w:lang w:val="es-ES" w:eastAsia="es-ES"/>
    </w:rPr>
  </w:style>
  <w:style w:type="paragraph" w:styleId="Asuntodelcomentario">
    <w:name w:val="annotation subject"/>
    <w:basedOn w:val="Textocomentario"/>
    <w:next w:val="Textocomentario"/>
    <w:link w:val="AsuntodelcomentarioCar"/>
    <w:uiPriority w:val="99"/>
    <w:semiHidden/>
    <w:unhideWhenUsed/>
    <w:rsid w:val="00591CAE"/>
    <w:rPr>
      <w:b/>
      <w:bCs/>
    </w:rPr>
  </w:style>
  <w:style w:type="character" w:customStyle="1" w:styleId="AsuntodelcomentarioCar">
    <w:name w:val="Asunto del comentario Car"/>
    <w:basedOn w:val="TextocomentarioCar"/>
    <w:link w:val="Asuntodelcomentario"/>
    <w:uiPriority w:val="99"/>
    <w:semiHidden/>
    <w:rsid w:val="00591CAE"/>
    <w:rPr>
      <w:b/>
      <w:bCs/>
      <w:lang w:val="es-ES" w:eastAsia="es-ES"/>
    </w:rPr>
  </w:style>
  <w:style w:type="paragraph" w:customStyle="1" w:styleId="Estilo5">
    <w:name w:val="Estilo5"/>
    <w:basedOn w:val="Estilo1"/>
    <w:qFormat/>
    <w:rsid w:val="00851290"/>
    <w:pPr>
      <w:keepNext/>
      <w:shd w:val="clear" w:color="auto" w:fill="auto"/>
      <w:spacing w:before="240" w:after="60"/>
      <w:ind w:left="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character" w:styleId="Textodelmarcadordeposicin">
    <w:name w:val="Placeholder Text"/>
    <w:basedOn w:val="Fuentedeprrafopredeter"/>
    <w:uiPriority w:val="99"/>
    <w:semiHidden/>
    <w:rsid w:val="00EE02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148982707">
      <w:bodyDiv w:val="1"/>
      <w:marLeft w:val="0"/>
      <w:marRight w:val="0"/>
      <w:marTop w:val="0"/>
      <w:marBottom w:val="0"/>
      <w:divBdr>
        <w:top w:val="none" w:sz="0" w:space="0" w:color="auto"/>
        <w:left w:val="none" w:sz="0" w:space="0" w:color="auto"/>
        <w:bottom w:val="none" w:sz="0" w:space="0" w:color="auto"/>
        <w:right w:val="none" w:sz="0" w:space="0" w:color="auto"/>
      </w:divBdr>
    </w:div>
    <w:div w:id="1241215260">
      <w:bodyDiv w:val="1"/>
      <w:marLeft w:val="0"/>
      <w:marRight w:val="0"/>
      <w:marTop w:val="0"/>
      <w:marBottom w:val="0"/>
      <w:divBdr>
        <w:top w:val="none" w:sz="0" w:space="0" w:color="auto"/>
        <w:left w:val="none" w:sz="0" w:space="0" w:color="auto"/>
        <w:bottom w:val="none" w:sz="0" w:space="0" w:color="auto"/>
        <w:right w:val="none" w:sz="0" w:space="0" w:color="auto"/>
      </w:divBdr>
    </w:div>
    <w:div w:id="1241869674">
      <w:bodyDiv w:val="1"/>
      <w:marLeft w:val="0"/>
      <w:marRight w:val="0"/>
      <w:marTop w:val="0"/>
      <w:marBottom w:val="0"/>
      <w:divBdr>
        <w:top w:val="none" w:sz="0" w:space="0" w:color="auto"/>
        <w:left w:val="none" w:sz="0" w:space="0" w:color="auto"/>
        <w:bottom w:val="none" w:sz="0" w:space="0" w:color="auto"/>
        <w:right w:val="none" w:sz="0" w:space="0" w:color="auto"/>
      </w:divBdr>
    </w:div>
    <w:div w:id="1313410305">
      <w:bodyDiv w:val="1"/>
      <w:marLeft w:val="0"/>
      <w:marRight w:val="0"/>
      <w:marTop w:val="0"/>
      <w:marBottom w:val="0"/>
      <w:divBdr>
        <w:top w:val="none" w:sz="0" w:space="0" w:color="auto"/>
        <w:left w:val="none" w:sz="0" w:space="0" w:color="auto"/>
        <w:bottom w:val="none" w:sz="0" w:space="0" w:color="auto"/>
        <w:right w:val="none" w:sz="0" w:space="0" w:color="auto"/>
      </w:divBdr>
    </w:div>
    <w:div w:id="20771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reg@creg.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f6a08-8266-41cd-baa5-d91eeccc15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698CE1C61F55489DABF72A152DC66D" ma:contentTypeVersion="12" ma:contentTypeDescription="Crear nuevo documento." ma:contentTypeScope="" ma:versionID="aff55034aa64abb78e6031bae1044530">
  <xsd:schema xmlns:xsd="http://www.w3.org/2001/XMLSchema" xmlns:xs="http://www.w3.org/2001/XMLSchema" xmlns:p="http://schemas.microsoft.com/office/2006/metadata/properties" xmlns:ns2="bfaf6a08-8266-41cd-baa5-d91eeccc15b6" xmlns:ns3="f9f0256f-341e-4b75-bd33-3a48534173fc" targetNamespace="http://schemas.microsoft.com/office/2006/metadata/properties" ma:root="true" ma:fieldsID="700c6478f77cb0d4ee247e11b0a3cf44" ns2:_="" ns3:_="">
    <xsd:import namespace="bfaf6a08-8266-41cd-baa5-d91eeccc15b6"/>
    <xsd:import namespace="f9f0256f-341e-4b75-bd33-3a48534173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f6a08-8266-41cd-baa5-d91eecc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256f-341e-4b75-bd33-3a48534173f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DFD5-55F1-4E91-9DCC-C3967DB1F8E0}">
  <ds:schemaRefs>
    <ds:schemaRef ds:uri="http://schemas.microsoft.com/office/2006/metadata/properties"/>
    <ds:schemaRef ds:uri="http://schemas.microsoft.com/office/infopath/2007/PartnerControls"/>
    <ds:schemaRef ds:uri="bfaf6a08-8266-41cd-baa5-d91eeccc15b6"/>
  </ds:schemaRefs>
</ds:datastoreItem>
</file>

<file path=customXml/itemProps2.xml><?xml version="1.0" encoding="utf-8"?>
<ds:datastoreItem xmlns:ds="http://schemas.openxmlformats.org/officeDocument/2006/customXml" ds:itemID="{49484B05-1D35-463D-8976-32C904ECB1B2}">
  <ds:schemaRefs>
    <ds:schemaRef ds:uri="http://schemas.microsoft.com/sharepoint/v3/contenttype/forms"/>
  </ds:schemaRefs>
</ds:datastoreItem>
</file>

<file path=customXml/itemProps3.xml><?xml version="1.0" encoding="utf-8"?>
<ds:datastoreItem xmlns:ds="http://schemas.openxmlformats.org/officeDocument/2006/customXml" ds:itemID="{AA8F5CDF-35F0-473F-ABF1-080FB8F3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f6a08-8266-41cd-baa5-d91eeccc15b6"/>
    <ds:schemaRef ds:uri="f9f0256f-341e-4b75-bd33-3a485341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4</TotalTime>
  <Pages>20</Pages>
  <Words>8059</Words>
  <Characters>44328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52283</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Wilson Sanchez Sanchez</cp:lastModifiedBy>
  <cp:revision>6</cp:revision>
  <cp:lastPrinted>2023-08-24T15:37:00Z</cp:lastPrinted>
  <dcterms:created xsi:type="dcterms:W3CDTF">2024-05-22T15:16:00Z</dcterms:created>
  <dcterms:modified xsi:type="dcterms:W3CDTF">2024-05-31T17:36:00Z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0x010100E8698CE1C61F55489DABF72A152DC66D</vt:lpwstr>
  </property>
  <property fmtid="{D5CDD505-2E9C-101B-9397-08002B2CF9AE}" pid="3" name="MediaServiceImageTags">
    <vt:lpwstr/>
  </property>
</Properties>
</file>