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E1845" w14:textId="77777777" w:rsidR="00003CF9" w:rsidRPr="007C7EA3" w:rsidRDefault="00003CF9" w:rsidP="007D4500">
      <w:pPr>
        <w:spacing w:before="100" w:beforeAutospacing="1" w:after="100" w:afterAutospacing="1" w:line="360" w:lineRule="auto"/>
        <w:rPr>
          <w:rFonts w:ascii="Helvetica" w:hAnsi="Helvetica" w:cs="Helvetica"/>
          <w:sz w:val="24"/>
          <w:szCs w:val="24"/>
          <w:lang w:val="es-MX"/>
        </w:rPr>
      </w:pPr>
    </w:p>
    <w:p w14:paraId="1029390D" w14:textId="77777777" w:rsidR="00CF5CB5" w:rsidRPr="00CF5CB5" w:rsidRDefault="00CF5CB5" w:rsidP="00CF5CB5">
      <w:pPr>
        <w:rPr>
          <w:rFonts w:ascii="Helvetica" w:hAnsi="Helvetica" w:cs="Helvetica"/>
          <w:sz w:val="24"/>
          <w:szCs w:val="24"/>
          <w:lang w:val="es-MX"/>
        </w:rPr>
      </w:pPr>
      <w:r w:rsidRPr="00CF5CB5">
        <w:rPr>
          <w:rFonts w:ascii="Helvetica" w:hAnsi="Helvetica" w:cs="Helvetica"/>
          <w:sz w:val="24"/>
          <w:szCs w:val="24"/>
          <w:lang w:val="es-MX"/>
        </w:rPr>
        <w:t xml:space="preserve">Bogotá, D. C.,  </w:t>
      </w:r>
      <w:r w:rsidRPr="00CF5CB5">
        <w:rPr>
          <w:rFonts w:ascii="Helvetica" w:hAnsi="Helvetica" w:cs="Helvetica"/>
          <w:sz w:val="24"/>
          <w:szCs w:val="24"/>
          <w:lang w:val="es-MX"/>
        </w:rPr>
        <w:fldChar w:fldCharType="begin"/>
      </w:r>
      <w:r w:rsidRPr="00CF5CB5">
        <w:rPr>
          <w:rFonts w:ascii="Helvetica" w:hAnsi="Helvetica" w:cs="Helvetica"/>
          <w:sz w:val="24"/>
          <w:szCs w:val="24"/>
          <w:lang w:val="es-MX"/>
        </w:rPr>
        <w:instrText xml:space="preserve"> MERGEFIELD  Fecha  \* MERGEFORMAT </w:instrText>
      </w:r>
      <w:r w:rsidRPr="00CF5CB5">
        <w:rPr>
          <w:rFonts w:ascii="Helvetica" w:hAnsi="Helvetica" w:cs="Helvetica"/>
          <w:sz w:val="24"/>
          <w:szCs w:val="24"/>
          <w:lang w:val="es-MX"/>
        </w:rPr>
        <w:fldChar w:fldCharType="separate"/>
      </w:r>
      <w:r w:rsidRPr="00CF5CB5">
        <w:rPr>
          <w:rFonts w:ascii="Helvetica" w:hAnsi="Helvetica" w:cs="Helvetica"/>
          <w:noProof/>
          <w:sz w:val="24"/>
          <w:szCs w:val="24"/>
          <w:lang w:val="es-MX"/>
        </w:rPr>
        <w:t>11 de junio de 2024</w:t>
      </w:r>
      <w:r w:rsidRPr="00CF5CB5">
        <w:rPr>
          <w:rFonts w:ascii="Helvetica" w:hAnsi="Helvetica" w:cs="Helvetica"/>
          <w:sz w:val="24"/>
          <w:szCs w:val="24"/>
          <w:lang w:val="es-MX"/>
        </w:rPr>
        <w:fldChar w:fldCharType="end"/>
      </w:r>
    </w:p>
    <w:p w14:paraId="187E5282" w14:textId="77777777" w:rsidR="00CF5CB5" w:rsidRPr="00CF5CB5" w:rsidRDefault="00CF5CB5" w:rsidP="00CF5CB5">
      <w:pPr>
        <w:pStyle w:val="Encabezado"/>
        <w:rPr>
          <w:rFonts w:ascii="Helvetica" w:hAnsi="Helvetica" w:cs="Helvetica"/>
          <w:sz w:val="24"/>
          <w:szCs w:val="24"/>
          <w:lang w:val="es-MX"/>
        </w:rPr>
      </w:pPr>
    </w:p>
    <w:p w14:paraId="41301434" w14:textId="77777777" w:rsidR="00CF5CB5" w:rsidRPr="00CF5CB5" w:rsidRDefault="00CF5CB5" w:rsidP="00CF5CB5">
      <w:pPr>
        <w:rPr>
          <w:rFonts w:ascii="Helvetica" w:hAnsi="Helvetica" w:cs="Helvetica"/>
          <w:sz w:val="24"/>
          <w:szCs w:val="24"/>
          <w:lang w:val="es-MX"/>
        </w:rPr>
      </w:pPr>
    </w:p>
    <w:p w14:paraId="6C83D399" w14:textId="5FE68EA2" w:rsidR="00CF5CB5" w:rsidRDefault="00CF5CB5" w:rsidP="00CF5CB5">
      <w:pPr>
        <w:jc w:val="center"/>
        <w:rPr>
          <w:rFonts w:ascii="Helvetica" w:hAnsi="Helvetica" w:cs="Helvetica"/>
          <w:b/>
          <w:bCs/>
          <w:sz w:val="24"/>
          <w:szCs w:val="24"/>
          <w:lang w:val="es-MX"/>
        </w:rPr>
      </w:pPr>
      <w:r w:rsidRPr="00CF5CB5">
        <w:rPr>
          <w:rFonts w:ascii="Helvetica" w:hAnsi="Helvetica" w:cs="Helvetica"/>
          <w:b/>
          <w:bCs/>
          <w:sz w:val="24"/>
          <w:szCs w:val="24"/>
          <w:lang w:val="es-MX"/>
        </w:rPr>
        <w:t xml:space="preserve">AUTO </w:t>
      </w:r>
      <w:r w:rsidRPr="00CF5CB5">
        <w:rPr>
          <w:rFonts w:ascii="Helvetica" w:hAnsi="Helvetica" w:cs="Helvetica"/>
          <w:b/>
          <w:bCs/>
          <w:sz w:val="24"/>
          <w:szCs w:val="24"/>
          <w:lang w:val="es-MX"/>
        </w:rPr>
        <w:fldChar w:fldCharType="begin"/>
      </w:r>
      <w:r w:rsidRPr="00CF5CB5">
        <w:rPr>
          <w:rFonts w:ascii="Helvetica" w:hAnsi="Helvetica" w:cs="Helvetica"/>
          <w:b/>
          <w:bCs/>
          <w:sz w:val="24"/>
          <w:szCs w:val="24"/>
          <w:lang w:val="es-MX"/>
        </w:rPr>
        <w:instrText xml:space="preserve"> MERGEFIELD  Fecha  \* MERGEFORMAT </w:instrText>
      </w:r>
      <w:r w:rsidRPr="00CF5CB5">
        <w:rPr>
          <w:rFonts w:ascii="Helvetica" w:hAnsi="Helvetica" w:cs="Helvetica"/>
          <w:b/>
          <w:bCs/>
          <w:sz w:val="24"/>
          <w:szCs w:val="24"/>
          <w:lang w:val="es-MX"/>
        </w:rPr>
        <w:fldChar w:fldCharType="separate"/>
      </w:r>
      <w:r w:rsidRPr="00CF5CB5">
        <w:rPr>
          <w:rFonts w:ascii="Helvetica" w:hAnsi="Helvetica" w:cs="Helvetica"/>
          <w:b/>
          <w:bCs/>
          <w:noProof/>
          <w:sz w:val="24"/>
          <w:szCs w:val="24"/>
          <w:lang w:val="es-MX"/>
        </w:rPr>
        <w:t>0000267 de 2024</w:t>
      </w:r>
      <w:r w:rsidRPr="00CF5CB5">
        <w:rPr>
          <w:rFonts w:ascii="Helvetica" w:hAnsi="Helvetica" w:cs="Helvetica"/>
          <w:b/>
          <w:bCs/>
          <w:sz w:val="24"/>
          <w:szCs w:val="24"/>
          <w:lang w:val="es-MX"/>
        </w:rPr>
        <w:fldChar w:fldCharType="end"/>
      </w:r>
    </w:p>
    <w:p w14:paraId="4475FF48" w14:textId="7AA77DC2" w:rsidR="00F34FBC" w:rsidRPr="00CF5CB5" w:rsidRDefault="009E3747" w:rsidP="00CF5CB5">
      <w:pPr>
        <w:jc w:val="center"/>
        <w:rPr>
          <w:rFonts w:ascii="Helvetica" w:hAnsi="Helvetica" w:cs="Helvetica"/>
          <w:b/>
          <w:bCs/>
          <w:sz w:val="24"/>
          <w:szCs w:val="24"/>
          <w:lang w:val="es-MX"/>
        </w:rPr>
      </w:pPr>
      <w:r>
        <w:rPr>
          <w:rFonts w:ascii="Helvetica" w:hAnsi="Helvetica" w:cs="Helvetica"/>
          <w:b/>
          <w:bCs/>
          <w:sz w:val="24"/>
          <w:szCs w:val="24"/>
          <w:lang w:val="es-MX"/>
        </w:rPr>
        <w:t xml:space="preserve">Por medio del cual se da inicio a una actuación administrativa en relación con la solicitud elevada por </w:t>
      </w:r>
      <w:r w:rsidR="00184C0E" w:rsidRPr="007377F4">
        <w:rPr>
          <w:rFonts w:ascii="Helvetica" w:hAnsi="Helvetica" w:cs="Helvetica"/>
          <w:b/>
          <w:bCs/>
          <w:sz w:val="24"/>
          <w:szCs w:val="24"/>
        </w:rPr>
        <w:t>GASTUMACO DEL PACÍFICO S.A.S. E.S.P.</w:t>
      </w:r>
      <w:r w:rsidR="00184C0E">
        <w:rPr>
          <w:rFonts w:ascii="Helvetica" w:hAnsi="Helvetica" w:cs="Helvetica"/>
          <w:b/>
          <w:bCs/>
          <w:sz w:val="24"/>
          <w:szCs w:val="24"/>
        </w:rPr>
        <w:t xml:space="preserve"> </w:t>
      </w:r>
      <w:r>
        <w:rPr>
          <w:rFonts w:ascii="Helvetica" w:hAnsi="Helvetica" w:cs="Helvetica"/>
          <w:b/>
          <w:bCs/>
          <w:sz w:val="24"/>
          <w:szCs w:val="24"/>
        </w:rPr>
        <w:t>para la</w:t>
      </w:r>
      <w:r>
        <w:rPr>
          <w:rFonts w:ascii="Helvetica" w:hAnsi="Helvetica" w:cs="Helvetica"/>
          <w:b/>
          <w:bCs/>
          <w:sz w:val="24"/>
          <w:szCs w:val="24"/>
          <w:lang w:val="es-MX"/>
        </w:rPr>
        <w:t xml:space="preserve"> aplicación del artículo 126 de la Ley 142 de 1994. </w:t>
      </w:r>
    </w:p>
    <w:p w14:paraId="00C4CA76" w14:textId="77777777" w:rsidR="00003CF9" w:rsidRPr="007C7EA3" w:rsidRDefault="00003CF9" w:rsidP="007D4500">
      <w:pPr>
        <w:pStyle w:val="Encabezado"/>
        <w:spacing w:before="100" w:beforeAutospacing="1" w:after="100" w:afterAutospacing="1" w:line="360" w:lineRule="auto"/>
        <w:jc w:val="center"/>
        <w:rPr>
          <w:rFonts w:ascii="Helvetica" w:hAnsi="Helvetica" w:cs="Helvetica"/>
          <w:b/>
          <w:bCs/>
          <w:sz w:val="24"/>
          <w:szCs w:val="24"/>
          <w:lang w:val="es-ES"/>
        </w:rPr>
      </w:pPr>
      <w:r w:rsidRPr="007C7EA3">
        <w:rPr>
          <w:rFonts w:ascii="Helvetica" w:hAnsi="Helvetica" w:cs="Helvetica"/>
          <w:b/>
          <w:bCs/>
          <w:sz w:val="24"/>
          <w:szCs w:val="24"/>
          <w:lang w:val="es-ES"/>
        </w:rPr>
        <w:t>LA COMISIÓN DE REGULACIÓN DE ENERGÍA Y GAS</w:t>
      </w:r>
    </w:p>
    <w:p w14:paraId="0EAAF44C" w14:textId="77777777" w:rsidR="00003CF9" w:rsidRPr="007C7EA3" w:rsidRDefault="00003CF9" w:rsidP="007D4500">
      <w:pPr>
        <w:pStyle w:val="Encabezado"/>
        <w:spacing w:before="100" w:beforeAutospacing="1" w:after="100" w:afterAutospacing="1" w:line="360" w:lineRule="auto"/>
        <w:jc w:val="center"/>
        <w:rPr>
          <w:rFonts w:ascii="Helvetica" w:hAnsi="Helvetica" w:cs="Helvetica"/>
          <w:b/>
          <w:bCs/>
          <w:sz w:val="24"/>
          <w:szCs w:val="24"/>
          <w:lang w:val="es-ES"/>
        </w:rPr>
      </w:pPr>
      <w:r w:rsidRPr="007C7EA3">
        <w:rPr>
          <w:rFonts w:ascii="Helvetica" w:hAnsi="Helvetica" w:cs="Helvetica"/>
          <w:b/>
          <w:bCs/>
          <w:sz w:val="24"/>
          <w:szCs w:val="24"/>
          <w:lang w:val="es-ES"/>
        </w:rPr>
        <w:t>DIRECCIÓN EJECUTIVA</w:t>
      </w:r>
    </w:p>
    <w:p w14:paraId="1574F0B6" w14:textId="0319DD08" w:rsidR="00003CF9" w:rsidRPr="007C7EA3" w:rsidRDefault="00003CF9" w:rsidP="007D4500">
      <w:pPr>
        <w:pStyle w:val="Encabezado"/>
        <w:spacing w:before="100" w:beforeAutospacing="1" w:after="100" w:afterAutospacing="1" w:line="360" w:lineRule="auto"/>
        <w:ind w:right="49"/>
        <w:jc w:val="center"/>
        <w:rPr>
          <w:rFonts w:ascii="Helvetica" w:hAnsi="Helvetica" w:cs="Helvetica"/>
          <w:sz w:val="24"/>
          <w:szCs w:val="24"/>
          <w:lang w:val="es-ES"/>
        </w:rPr>
      </w:pPr>
      <w:r w:rsidRPr="007C7EA3">
        <w:rPr>
          <w:rFonts w:ascii="Helvetica" w:hAnsi="Helvetica" w:cs="Helvetica"/>
          <w:sz w:val="24"/>
          <w:szCs w:val="24"/>
          <w:lang w:val="es-ES"/>
        </w:rPr>
        <w:t>En ejercicio de las atribuciones constitucionales y legales, en especial las conferidas por el numeral 1 del artículo 7 del Decreto 1260 de 2013</w:t>
      </w:r>
      <w:r w:rsidR="002D0D75">
        <w:rPr>
          <w:rFonts w:ascii="Helvetica" w:hAnsi="Helvetica" w:cs="Helvetica"/>
          <w:sz w:val="24"/>
          <w:szCs w:val="24"/>
          <w:lang w:val="es-ES"/>
        </w:rPr>
        <w:t>, y</w:t>
      </w:r>
    </w:p>
    <w:p w14:paraId="256EA017" w14:textId="5F7A5B88" w:rsidR="00003CF9" w:rsidRPr="007C7EA3" w:rsidRDefault="00003CF9" w:rsidP="007D4500">
      <w:pPr>
        <w:pStyle w:val="Encabezado"/>
        <w:spacing w:before="100" w:beforeAutospacing="1" w:after="100" w:afterAutospacing="1" w:line="360" w:lineRule="auto"/>
        <w:ind w:right="38"/>
        <w:jc w:val="center"/>
        <w:rPr>
          <w:rFonts w:ascii="Helvetica" w:hAnsi="Helvetica" w:cs="Helvetica"/>
          <w:b/>
          <w:bCs/>
          <w:sz w:val="24"/>
          <w:szCs w:val="24"/>
          <w:lang w:val="es-ES"/>
        </w:rPr>
      </w:pPr>
      <w:r w:rsidRPr="007C7EA3">
        <w:rPr>
          <w:rFonts w:ascii="Helvetica" w:hAnsi="Helvetica" w:cs="Helvetica"/>
          <w:b/>
          <w:bCs/>
          <w:sz w:val="24"/>
          <w:szCs w:val="24"/>
          <w:lang w:val="es-ES"/>
        </w:rPr>
        <w:t>CONSIDERANDO QUE:</w:t>
      </w:r>
    </w:p>
    <w:p w14:paraId="4AAA72B0" w14:textId="6AD1535A" w:rsidR="007D4500" w:rsidRDefault="007D4500" w:rsidP="00965712">
      <w:pPr>
        <w:widowControl w:val="0"/>
        <w:adjustRightInd w:val="0"/>
        <w:spacing w:before="100" w:beforeAutospacing="1" w:after="100" w:afterAutospacing="1" w:line="360" w:lineRule="auto"/>
        <w:ind w:right="20"/>
        <w:jc w:val="both"/>
        <w:rPr>
          <w:rFonts w:ascii="Helvetica" w:hAnsi="Helvetica" w:cs="Helvetica"/>
          <w:sz w:val="24"/>
          <w:szCs w:val="24"/>
        </w:rPr>
      </w:pPr>
      <w:r w:rsidRPr="007C7EA3">
        <w:rPr>
          <w:rFonts w:ascii="Helvetica" w:hAnsi="Helvetica" w:cs="Helvetica"/>
          <w:sz w:val="24"/>
          <w:szCs w:val="24"/>
        </w:rPr>
        <w:t xml:space="preserve">La empresa </w:t>
      </w:r>
      <w:r w:rsidR="00C30870" w:rsidRPr="00E22360">
        <w:rPr>
          <w:rFonts w:ascii="Helvetica" w:hAnsi="Helvetica" w:cs="Helvetica"/>
          <w:b/>
          <w:bCs/>
          <w:sz w:val="24"/>
          <w:szCs w:val="24"/>
        </w:rPr>
        <w:t>GASTUMACO DEL PACÍFICO</w:t>
      </w:r>
      <w:r w:rsidRPr="00E22360">
        <w:rPr>
          <w:rFonts w:ascii="Helvetica" w:hAnsi="Helvetica" w:cs="Helvetica"/>
          <w:b/>
          <w:bCs/>
          <w:sz w:val="24"/>
          <w:szCs w:val="24"/>
        </w:rPr>
        <w:t xml:space="preserve"> S.A.</w:t>
      </w:r>
      <w:r w:rsidR="00C30870" w:rsidRPr="00E22360">
        <w:rPr>
          <w:rFonts w:ascii="Helvetica" w:hAnsi="Helvetica" w:cs="Helvetica"/>
          <w:b/>
          <w:bCs/>
          <w:sz w:val="24"/>
          <w:szCs w:val="24"/>
        </w:rPr>
        <w:t>S.</w:t>
      </w:r>
      <w:r w:rsidRPr="00E22360">
        <w:rPr>
          <w:rFonts w:ascii="Helvetica" w:hAnsi="Helvetica" w:cs="Helvetica"/>
          <w:b/>
          <w:bCs/>
          <w:sz w:val="24"/>
          <w:szCs w:val="24"/>
        </w:rPr>
        <w:t xml:space="preserve"> E.S.P.</w:t>
      </w:r>
      <w:r w:rsidRPr="007C7EA3">
        <w:rPr>
          <w:rFonts w:ascii="Helvetica" w:hAnsi="Helvetica" w:cs="Helvetica"/>
          <w:sz w:val="24"/>
          <w:szCs w:val="24"/>
        </w:rPr>
        <w:t xml:space="preserve"> (en adelante</w:t>
      </w:r>
      <w:r w:rsidR="00ED66C1">
        <w:rPr>
          <w:rFonts w:ascii="Helvetica" w:hAnsi="Helvetica" w:cs="Helvetica"/>
          <w:sz w:val="24"/>
          <w:szCs w:val="24"/>
        </w:rPr>
        <w:t xml:space="preserve"> “</w:t>
      </w:r>
      <w:r w:rsidR="00ED66C1" w:rsidRPr="00E22360">
        <w:rPr>
          <w:rFonts w:ascii="Helvetica" w:hAnsi="Helvetica" w:cs="Helvetica"/>
          <w:b/>
          <w:bCs/>
          <w:sz w:val="24"/>
          <w:szCs w:val="24"/>
        </w:rPr>
        <w:t>GASTUMACO DEL PACÍFICO</w:t>
      </w:r>
      <w:r w:rsidR="00ED66C1">
        <w:rPr>
          <w:rFonts w:ascii="Helvetica" w:hAnsi="Helvetica" w:cs="Helvetica"/>
          <w:sz w:val="24"/>
          <w:szCs w:val="24"/>
        </w:rPr>
        <w:t>”</w:t>
      </w:r>
      <w:r w:rsidRPr="007C7EA3">
        <w:rPr>
          <w:rFonts w:ascii="Helvetica" w:hAnsi="Helvetica" w:cs="Helvetica"/>
          <w:sz w:val="24"/>
          <w:szCs w:val="24"/>
        </w:rPr>
        <w:t>), a través de la comunicación radicada en la</w:t>
      </w:r>
      <w:r w:rsidR="003257CD">
        <w:rPr>
          <w:rFonts w:ascii="Helvetica" w:hAnsi="Helvetica" w:cs="Helvetica"/>
          <w:sz w:val="24"/>
          <w:szCs w:val="24"/>
        </w:rPr>
        <w:t xml:space="preserve"> Comisión de Regulación de Energía y Gas</w:t>
      </w:r>
      <w:r w:rsidRPr="007C7EA3">
        <w:rPr>
          <w:rFonts w:ascii="Helvetica" w:hAnsi="Helvetica" w:cs="Helvetica"/>
          <w:sz w:val="24"/>
          <w:szCs w:val="24"/>
        </w:rPr>
        <w:t xml:space="preserve"> </w:t>
      </w:r>
      <w:r w:rsidR="003257CD">
        <w:rPr>
          <w:rFonts w:ascii="Helvetica" w:hAnsi="Helvetica" w:cs="Helvetica"/>
          <w:sz w:val="24"/>
          <w:szCs w:val="24"/>
        </w:rPr>
        <w:t>(en adelante “</w:t>
      </w:r>
      <w:r w:rsidRPr="007C7EA3">
        <w:rPr>
          <w:rFonts w:ascii="Helvetica" w:hAnsi="Helvetica" w:cs="Helvetica"/>
          <w:sz w:val="24"/>
          <w:szCs w:val="24"/>
        </w:rPr>
        <w:t>CREG</w:t>
      </w:r>
      <w:r w:rsidR="003257CD">
        <w:rPr>
          <w:rFonts w:ascii="Helvetica" w:hAnsi="Helvetica" w:cs="Helvetica"/>
          <w:sz w:val="24"/>
          <w:szCs w:val="24"/>
        </w:rPr>
        <w:t>”)</w:t>
      </w:r>
      <w:r w:rsidRPr="007C7EA3">
        <w:rPr>
          <w:rFonts w:ascii="Helvetica" w:hAnsi="Helvetica" w:cs="Helvetica"/>
          <w:sz w:val="24"/>
          <w:szCs w:val="24"/>
        </w:rPr>
        <w:t xml:space="preserve"> bajo el número E-20</w:t>
      </w:r>
      <w:r w:rsidR="00C30870">
        <w:rPr>
          <w:rFonts w:ascii="Helvetica" w:hAnsi="Helvetica" w:cs="Helvetica"/>
          <w:sz w:val="24"/>
          <w:szCs w:val="24"/>
        </w:rPr>
        <w:t>17</w:t>
      </w:r>
      <w:r w:rsidRPr="007C7EA3">
        <w:rPr>
          <w:rFonts w:ascii="Helvetica" w:hAnsi="Helvetica" w:cs="Helvetica"/>
          <w:sz w:val="24"/>
          <w:szCs w:val="24"/>
        </w:rPr>
        <w:t>0</w:t>
      </w:r>
      <w:r w:rsidR="00C30870">
        <w:rPr>
          <w:rFonts w:ascii="Helvetica" w:hAnsi="Helvetica" w:cs="Helvetica"/>
          <w:sz w:val="24"/>
          <w:szCs w:val="24"/>
        </w:rPr>
        <w:t>11935</w:t>
      </w:r>
      <w:r w:rsidRPr="007C7EA3">
        <w:rPr>
          <w:rFonts w:ascii="Helvetica" w:hAnsi="Helvetica" w:cs="Helvetica"/>
          <w:sz w:val="24"/>
          <w:szCs w:val="24"/>
        </w:rPr>
        <w:t xml:space="preserve"> del 2</w:t>
      </w:r>
      <w:r w:rsidR="00C30870">
        <w:rPr>
          <w:rFonts w:ascii="Helvetica" w:hAnsi="Helvetica" w:cs="Helvetica"/>
          <w:sz w:val="24"/>
          <w:szCs w:val="24"/>
        </w:rPr>
        <w:t>1</w:t>
      </w:r>
      <w:r w:rsidRPr="007C7EA3">
        <w:rPr>
          <w:rFonts w:ascii="Helvetica" w:hAnsi="Helvetica" w:cs="Helvetica"/>
          <w:sz w:val="24"/>
          <w:szCs w:val="24"/>
        </w:rPr>
        <w:t xml:space="preserve"> de </w:t>
      </w:r>
      <w:r w:rsidR="00C30870">
        <w:rPr>
          <w:rFonts w:ascii="Helvetica" w:hAnsi="Helvetica" w:cs="Helvetica"/>
          <w:sz w:val="24"/>
          <w:szCs w:val="24"/>
        </w:rPr>
        <w:t>diciembre</w:t>
      </w:r>
      <w:r w:rsidRPr="007C7EA3">
        <w:rPr>
          <w:rFonts w:ascii="Helvetica" w:hAnsi="Helvetica" w:cs="Helvetica"/>
          <w:sz w:val="24"/>
          <w:szCs w:val="24"/>
        </w:rPr>
        <w:t xml:space="preserve"> de 20</w:t>
      </w:r>
      <w:r w:rsidR="00C30870">
        <w:rPr>
          <w:rFonts w:ascii="Helvetica" w:hAnsi="Helvetica" w:cs="Helvetica"/>
          <w:sz w:val="24"/>
          <w:szCs w:val="24"/>
        </w:rPr>
        <w:t>17</w:t>
      </w:r>
      <w:r w:rsidRPr="007C7EA3">
        <w:rPr>
          <w:rFonts w:ascii="Helvetica" w:hAnsi="Helvetica" w:cs="Helvetica"/>
          <w:sz w:val="24"/>
          <w:szCs w:val="24"/>
        </w:rPr>
        <w:t>, de conformidad con lo establecido en el Numeral 5.</w:t>
      </w:r>
      <w:r w:rsidR="00C30870">
        <w:rPr>
          <w:rFonts w:ascii="Helvetica" w:hAnsi="Helvetica" w:cs="Helvetica"/>
          <w:sz w:val="24"/>
          <w:szCs w:val="24"/>
        </w:rPr>
        <w:t>1</w:t>
      </w:r>
      <w:r w:rsidRPr="007C7EA3">
        <w:rPr>
          <w:rFonts w:ascii="Helvetica" w:hAnsi="Helvetica" w:cs="Helvetica"/>
          <w:sz w:val="24"/>
          <w:szCs w:val="24"/>
        </w:rPr>
        <w:t xml:space="preserve"> de la Resolución CREG </w:t>
      </w:r>
      <w:hyperlink r:id="rId8" w:anchor="INICIO" w:tgtFrame="_blank" w:history="1">
        <w:r w:rsidRPr="007C7EA3">
          <w:rPr>
            <w:rFonts w:ascii="Helvetica" w:hAnsi="Helvetica" w:cs="Helvetica"/>
            <w:sz w:val="24"/>
            <w:szCs w:val="24"/>
          </w:rPr>
          <w:t>202</w:t>
        </w:r>
      </w:hyperlink>
      <w:r w:rsidRPr="007C7EA3">
        <w:rPr>
          <w:rFonts w:ascii="Helvetica" w:hAnsi="Helvetica" w:cs="Helvetica"/>
          <w:sz w:val="24"/>
          <w:szCs w:val="24"/>
        </w:rPr>
        <w:t> de 2013, solicitó aprobación de cargos de distribución</w:t>
      </w:r>
      <w:r w:rsidR="00C30870">
        <w:rPr>
          <w:rFonts w:ascii="Helvetica" w:hAnsi="Helvetica" w:cs="Helvetica"/>
          <w:sz w:val="24"/>
          <w:szCs w:val="24"/>
        </w:rPr>
        <w:t xml:space="preserve"> y comercialización</w:t>
      </w:r>
      <w:r w:rsidRPr="007C7EA3">
        <w:rPr>
          <w:rFonts w:ascii="Helvetica" w:hAnsi="Helvetica" w:cs="Helvetica"/>
          <w:sz w:val="24"/>
          <w:szCs w:val="24"/>
        </w:rPr>
        <w:t xml:space="preserve"> de Gas Licuado de Petróleo (GLP) por redes para el Mercado Relevante de Distribución Especial conformado por el municipio de</w:t>
      </w:r>
      <w:r w:rsidR="00C30870">
        <w:rPr>
          <w:rFonts w:ascii="Helvetica" w:hAnsi="Helvetica" w:cs="Helvetica"/>
          <w:sz w:val="24"/>
          <w:szCs w:val="24"/>
        </w:rPr>
        <w:t xml:space="preserve"> San Andrés de Tumaco</w:t>
      </w:r>
      <w:r w:rsidRPr="007C7EA3">
        <w:rPr>
          <w:rFonts w:ascii="Helvetica" w:hAnsi="Helvetica" w:cs="Helvetica"/>
          <w:sz w:val="24"/>
          <w:szCs w:val="24"/>
        </w:rPr>
        <w:t xml:space="preserve">, departamento de </w:t>
      </w:r>
      <w:r w:rsidR="00C30870">
        <w:rPr>
          <w:rFonts w:ascii="Helvetica" w:hAnsi="Helvetica" w:cs="Helvetica"/>
          <w:sz w:val="24"/>
          <w:szCs w:val="24"/>
        </w:rPr>
        <w:t>Nariño</w:t>
      </w:r>
      <w:r w:rsidRPr="007C7EA3">
        <w:rPr>
          <w:rFonts w:ascii="Helvetica" w:hAnsi="Helvetica" w:cs="Helvetica"/>
          <w:sz w:val="24"/>
          <w:szCs w:val="24"/>
        </w:rPr>
        <w:t>.</w:t>
      </w:r>
    </w:p>
    <w:p w14:paraId="405C67C1" w14:textId="23AA4E73" w:rsidR="005B6564" w:rsidRDefault="00FE68B5" w:rsidP="00965712">
      <w:pPr>
        <w:widowControl w:val="0"/>
        <w:adjustRightInd w:val="0"/>
        <w:spacing w:before="100" w:beforeAutospacing="1" w:after="100" w:afterAutospacing="1" w:line="360" w:lineRule="auto"/>
        <w:ind w:right="20"/>
        <w:jc w:val="both"/>
        <w:rPr>
          <w:rFonts w:ascii="Helvetica" w:hAnsi="Helvetica" w:cs="Helvetica"/>
          <w:sz w:val="24"/>
          <w:szCs w:val="24"/>
        </w:rPr>
      </w:pPr>
      <w:r>
        <w:rPr>
          <w:rFonts w:ascii="Helvetica" w:hAnsi="Helvetica" w:cs="Helvetica"/>
          <w:sz w:val="24"/>
          <w:szCs w:val="24"/>
        </w:rPr>
        <w:t>Mediante las Resoluciones CREG 092 de 2018</w:t>
      </w:r>
      <w:r w:rsidR="00CC0690">
        <w:rPr>
          <w:rStyle w:val="Refdenotaalpie"/>
          <w:rFonts w:ascii="Helvetica" w:hAnsi="Helvetica" w:cs="Helvetica"/>
          <w:sz w:val="24"/>
          <w:szCs w:val="24"/>
        </w:rPr>
        <w:footnoteReference w:id="1"/>
      </w:r>
      <w:r>
        <w:rPr>
          <w:rFonts w:ascii="Helvetica" w:hAnsi="Helvetica" w:cs="Helvetica"/>
          <w:sz w:val="24"/>
          <w:szCs w:val="24"/>
        </w:rPr>
        <w:t xml:space="preserve"> y CREG 093 de 2018</w:t>
      </w:r>
      <w:r w:rsidR="00CC0690">
        <w:rPr>
          <w:rStyle w:val="Refdenotaalpie"/>
          <w:rFonts w:ascii="Helvetica" w:hAnsi="Helvetica" w:cs="Helvetica"/>
          <w:sz w:val="24"/>
          <w:szCs w:val="24"/>
        </w:rPr>
        <w:footnoteReference w:id="2"/>
      </w:r>
      <w:r>
        <w:rPr>
          <w:rFonts w:ascii="Helvetica" w:hAnsi="Helvetica" w:cs="Helvetica"/>
          <w:sz w:val="24"/>
          <w:szCs w:val="24"/>
        </w:rPr>
        <w:t xml:space="preserve">, esta </w:t>
      </w:r>
      <w:r>
        <w:rPr>
          <w:rFonts w:ascii="Helvetica" w:hAnsi="Helvetica" w:cs="Helvetica"/>
          <w:sz w:val="24"/>
          <w:szCs w:val="24"/>
        </w:rPr>
        <w:lastRenderedPageBreak/>
        <w:t>Comisión otorgó</w:t>
      </w:r>
      <w:r w:rsidR="00CC0690">
        <w:rPr>
          <w:rFonts w:ascii="Helvetica" w:hAnsi="Helvetica" w:cs="Helvetica"/>
          <w:sz w:val="24"/>
          <w:szCs w:val="24"/>
        </w:rPr>
        <w:t xml:space="preserve"> cargos para el mercado relevante solicitado por </w:t>
      </w:r>
      <w:r w:rsidR="00CC0690" w:rsidRPr="00E22360">
        <w:rPr>
          <w:rFonts w:ascii="Helvetica" w:hAnsi="Helvetica" w:cs="Helvetica"/>
          <w:b/>
          <w:bCs/>
          <w:sz w:val="24"/>
          <w:szCs w:val="24"/>
        </w:rPr>
        <w:t>GASTUMACO DEL PACÍFICO</w:t>
      </w:r>
      <w:r w:rsidR="00ED66C1">
        <w:rPr>
          <w:rFonts w:ascii="Helvetica" w:hAnsi="Helvetica" w:cs="Helvetica"/>
          <w:sz w:val="24"/>
          <w:szCs w:val="24"/>
        </w:rPr>
        <w:t>.</w:t>
      </w:r>
    </w:p>
    <w:p w14:paraId="5327A248" w14:textId="71B12CDE" w:rsidR="00CC0690" w:rsidRPr="00DA232F" w:rsidRDefault="008B4546" w:rsidP="00965712">
      <w:pPr>
        <w:widowControl w:val="0"/>
        <w:adjustRightInd w:val="0"/>
        <w:spacing w:before="100" w:beforeAutospacing="1" w:after="100" w:afterAutospacing="1" w:line="360" w:lineRule="auto"/>
        <w:ind w:right="20"/>
        <w:jc w:val="both"/>
        <w:rPr>
          <w:rFonts w:ascii="Helvetica" w:hAnsi="Helvetica" w:cs="Helvetica"/>
          <w:sz w:val="24"/>
          <w:szCs w:val="24"/>
        </w:rPr>
      </w:pPr>
      <w:r>
        <w:rPr>
          <w:rFonts w:ascii="Helvetica" w:hAnsi="Helvetica" w:cs="Helvetica"/>
          <w:sz w:val="24"/>
          <w:szCs w:val="24"/>
        </w:rPr>
        <w:t>A través de la resolución CREG 502 048 de 2023</w:t>
      </w:r>
      <w:r>
        <w:rPr>
          <w:rStyle w:val="Refdenotaalpie"/>
          <w:rFonts w:ascii="Helvetica" w:hAnsi="Helvetica" w:cs="Helvetica"/>
          <w:sz w:val="24"/>
          <w:szCs w:val="24"/>
        </w:rPr>
        <w:footnoteReference w:id="3"/>
      </w:r>
      <w:r>
        <w:rPr>
          <w:rFonts w:ascii="Helvetica" w:hAnsi="Helvetica" w:cs="Helvetica"/>
          <w:sz w:val="24"/>
          <w:szCs w:val="24"/>
        </w:rPr>
        <w:t xml:space="preserve">, la </w:t>
      </w:r>
      <w:r w:rsidR="002D0D75">
        <w:rPr>
          <w:rFonts w:ascii="Helvetica" w:hAnsi="Helvetica" w:cs="Helvetica"/>
          <w:sz w:val="24"/>
          <w:szCs w:val="24"/>
        </w:rPr>
        <w:t>Comisión</w:t>
      </w:r>
      <w:r>
        <w:rPr>
          <w:rFonts w:ascii="Helvetica" w:hAnsi="Helvetica" w:cs="Helvetica"/>
          <w:sz w:val="24"/>
          <w:szCs w:val="24"/>
        </w:rPr>
        <w:t xml:space="preserve"> otorgó el cargo definitivo para distribución de GLP por redes a </w:t>
      </w:r>
      <w:r w:rsidR="00B10CAF" w:rsidRPr="00E22360">
        <w:rPr>
          <w:rFonts w:ascii="Helvetica" w:hAnsi="Helvetica" w:cs="Helvetica"/>
          <w:b/>
          <w:bCs/>
          <w:sz w:val="24"/>
          <w:szCs w:val="24"/>
        </w:rPr>
        <w:t>GASTUMACO DEL PACÍFICO</w:t>
      </w:r>
      <w:r w:rsidR="002D0D75">
        <w:rPr>
          <w:rFonts w:ascii="Helvetica" w:hAnsi="Helvetica" w:cs="Helvetica"/>
          <w:sz w:val="24"/>
          <w:szCs w:val="24"/>
        </w:rPr>
        <w:t>,</w:t>
      </w:r>
      <w:r>
        <w:rPr>
          <w:rFonts w:ascii="Helvetica" w:hAnsi="Helvetica" w:cs="Helvetica"/>
          <w:sz w:val="24"/>
          <w:szCs w:val="24"/>
        </w:rPr>
        <w:t xml:space="preserve"> para el mercado </w:t>
      </w:r>
      <w:r w:rsidRPr="00DA232F">
        <w:rPr>
          <w:rFonts w:ascii="Helvetica" w:hAnsi="Helvetica" w:cs="Helvetica"/>
          <w:sz w:val="24"/>
          <w:szCs w:val="24"/>
        </w:rPr>
        <w:t>relevante de San Andrés de Tumaco.</w:t>
      </w:r>
      <w:r w:rsidR="00DB0AB9" w:rsidRPr="00DA232F">
        <w:rPr>
          <w:rFonts w:ascii="Helvetica" w:hAnsi="Helvetica" w:cs="Helvetica"/>
          <w:sz w:val="24"/>
          <w:szCs w:val="24"/>
        </w:rPr>
        <w:t xml:space="preserve"> </w:t>
      </w:r>
    </w:p>
    <w:p w14:paraId="43024935" w14:textId="523A1CBE" w:rsidR="000C1276" w:rsidRDefault="00DA232F" w:rsidP="00965712">
      <w:pPr>
        <w:autoSpaceDE w:val="0"/>
        <w:autoSpaceDN w:val="0"/>
        <w:adjustRightInd w:val="0"/>
        <w:spacing w:before="100" w:beforeAutospacing="1" w:after="100" w:afterAutospacing="1" w:line="360" w:lineRule="auto"/>
        <w:jc w:val="both"/>
        <w:rPr>
          <w:rFonts w:ascii="Helvetica" w:hAnsi="Helvetica" w:cs="Helvetica"/>
          <w:sz w:val="24"/>
          <w:szCs w:val="24"/>
        </w:rPr>
      </w:pPr>
      <w:r w:rsidRPr="000C1276">
        <w:rPr>
          <w:rFonts w:ascii="Helvetica" w:hAnsi="Helvetica" w:cs="Helvetica"/>
          <w:sz w:val="24"/>
          <w:szCs w:val="24"/>
        </w:rPr>
        <w:t xml:space="preserve">Mediante radicado CREG </w:t>
      </w:r>
      <w:bookmarkStart w:id="0" w:name="_Hlk166598646"/>
      <w:r w:rsidRPr="000C1276">
        <w:rPr>
          <w:rFonts w:ascii="Helvetica" w:hAnsi="Helvetica" w:cs="Helvetica"/>
          <w:sz w:val="24"/>
          <w:szCs w:val="24"/>
        </w:rPr>
        <w:t>E2024003370 del 6 de marzo de 2024</w:t>
      </w:r>
      <w:bookmarkEnd w:id="0"/>
      <w:r w:rsidR="00DB0AB9" w:rsidRPr="000C1276">
        <w:rPr>
          <w:rFonts w:ascii="Helvetica" w:hAnsi="Helvetica" w:cs="Helvetica"/>
          <w:sz w:val="24"/>
          <w:szCs w:val="24"/>
        </w:rPr>
        <w:t xml:space="preserve">, </w:t>
      </w:r>
      <w:r w:rsidR="000C1276" w:rsidRPr="000C1276">
        <w:rPr>
          <w:rFonts w:ascii="Helvetica" w:hAnsi="Helvetica" w:cs="Helvetica"/>
          <w:sz w:val="24"/>
          <w:szCs w:val="24"/>
        </w:rPr>
        <w:t xml:space="preserve">el representante legal de </w:t>
      </w:r>
      <w:r w:rsidR="00DB0AB9" w:rsidRPr="00E22360">
        <w:rPr>
          <w:rFonts w:ascii="Helvetica" w:hAnsi="Helvetica" w:cs="Helvetica"/>
          <w:b/>
          <w:bCs/>
          <w:sz w:val="24"/>
          <w:szCs w:val="24"/>
        </w:rPr>
        <w:t>GASTUMACO DEL PACÍFICO</w:t>
      </w:r>
      <w:r w:rsidR="000C1276" w:rsidRPr="000C1276">
        <w:rPr>
          <w:rFonts w:ascii="Helvetica" w:hAnsi="Helvetica" w:cs="Helvetica"/>
          <w:sz w:val="24"/>
          <w:szCs w:val="24"/>
        </w:rPr>
        <w:t>, señor Luis Diego Hurtado Perea,</w:t>
      </w:r>
      <w:r w:rsidR="00DB0AB9" w:rsidRPr="000C1276">
        <w:rPr>
          <w:rFonts w:ascii="Helvetica" w:hAnsi="Helvetica" w:cs="Helvetica"/>
          <w:sz w:val="24"/>
          <w:szCs w:val="24"/>
        </w:rPr>
        <w:t xml:space="preserve"> </w:t>
      </w:r>
      <w:bookmarkStart w:id="1" w:name="_Hlk166598665"/>
      <w:r w:rsidRPr="000C1276">
        <w:rPr>
          <w:rFonts w:ascii="Helvetica" w:hAnsi="Helvetica" w:cs="Helvetica"/>
          <w:sz w:val="24"/>
          <w:szCs w:val="24"/>
        </w:rPr>
        <w:t xml:space="preserve">presenta una solicitud </w:t>
      </w:r>
      <w:r w:rsidR="000C1276" w:rsidRPr="000C1276">
        <w:rPr>
          <w:rFonts w:ascii="Helvetica" w:hAnsi="Helvetica" w:cs="Helvetica"/>
          <w:sz w:val="24"/>
          <w:szCs w:val="24"/>
        </w:rPr>
        <w:t>para “</w:t>
      </w:r>
      <w:r w:rsidR="000C1276" w:rsidRPr="00D82BC4">
        <w:rPr>
          <w:rFonts w:ascii="Helvetica" w:hAnsi="Helvetica" w:cs="Helvetica"/>
          <w:i/>
          <w:iCs/>
          <w:sz w:val="24"/>
          <w:szCs w:val="24"/>
        </w:rPr>
        <w:t>Revisión Tarifaria del Cargo de Distribución de gas por redes para el Mercado Relevante comprendido por el municipio de San Andrés de Tumaco en el departamento de Nariño</w:t>
      </w:r>
      <w:r w:rsidR="000C1276" w:rsidRPr="000C1276">
        <w:rPr>
          <w:rFonts w:ascii="Helvetica" w:hAnsi="Helvetica" w:cs="Helvetica"/>
          <w:sz w:val="24"/>
          <w:szCs w:val="24"/>
        </w:rPr>
        <w:t>”</w:t>
      </w:r>
      <w:r w:rsidR="009A61E2">
        <w:rPr>
          <w:rFonts w:ascii="Helvetica" w:hAnsi="Helvetica" w:cs="Helvetica"/>
          <w:sz w:val="24"/>
          <w:szCs w:val="24"/>
        </w:rPr>
        <w:t xml:space="preserve">, </w:t>
      </w:r>
      <w:r w:rsidR="00332C08">
        <w:rPr>
          <w:rFonts w:ascii="Helvetica" w:hAnsi="Helvetica" w:cs="Helvetica"/>
          <w:sz w:val="24"/>
          <w:szCs w:val="24"/>
        </w:rPr>
        <w:t>en la cual señala:</w:t>
      </w:r>
    </w:p>
    <w:bookmarkEnd w:id="1"/>
    <w:p w14:paraId="6A13E3E1" w14:textId="36F92B07" w:rsidR="00D82BC4" w:rsidRDefault="00D15F3C" w:rsidP="00E22360">
      <w:pPr>
        <w:pStyle w:val="Default"/>
        <w:spacing w:line="360" w:lineRule="auto"/>
        <w:ind w:left="567" w:right="567"/>
        <w:jc w:val="both"/>
        <w:rPr>
          <w:rFonts w:ascii="Helvetica" w:hAnsi="Helvetica" w:cs="Helvetica"/>
          <w:i/>
          <w:iCs/>
          <w:sz w:val="22"/>
          <w:szCs w:val="22"/>
        </w:rPr>
      </w:pPr>
      <w:r w:rsidRPr="00DD428C">
        <w:rPr>
          <w:rFonts w:ascii="Helvetica" w:hAnsi="Helvetica" w:cs="Helvetica"/>
          <w:i/>
          <w:iCs/>
          <w:sz w:val="22"/>
          <w:szCs w:val="22"/>
        </w:rPr>
        <w:t>“</w:t>
      </w:r>
      <w:r w:rsidR="00D82BC4" w:rsidRPr="00D82BC4">
        <w:rPr>
          <w:rFonts w:ascii="Helvetica" w:hAnsi="Helvetica" w:cs="Helvetica"/>
          <w:b/>
          <w:bCs/>
          <w:i/>
          <w:iCs/>
          <w:sz w:val="22"/>
          <w:szCs w:val="22"/>
        </w:rPr>
        <w:t>ANTECEDENTES</w:t>
      </w:r>
    </w:p>
    <w:p w14:paraId="1EB6A825" w14:textId="417CC164" w:rsidR="00D15F3C" w:rsidRPr="00DD428C" w:rsidRDefault="00D15F3C" w:rsidP="00E22360">
      <w:pPr>
        <w:pStyle w:val="Default"/>
        <w:spacing w:line="360" w:lineRule="auto"/>
        <w:ind w:left="567" w:right="567"/>
        <w:jc w:val="both"/>
        <w:rPr>
          <w:rFonts w:ascii="Helvetica" w:hAnsi="Helvetica" w:cs="Helvetica"/>
          <w:i/>
          <w:iCs/>
          <w:sz w:val="22"/>
          <w:szCs w:val="22"/>
        </w:rPr>
      </w:pPr>
      <w:r w:rsidRPr="00DD428C">
        <w:rPr>
          <w:rFonts w:ascii="Helvetica" w:hAnsi="Helvetica" w:cs="Helvetica"/>
          <w:i/>
          <w:iCs/>
          <w:sz w:val="22"/>
          <w:szCs w:val="22"/>
        </w:rPr>
        <w:t xml:space="preserve">La empresa GASTUMACO DEL PACÍFICO S.A.S. E.S.P., a través de la comunicación radicada en la CREG bajo el número E-2017-0011935 de diciembre 21 de 2017, con base en lo establecido en las resoluciones CREG 202 de 2013 y sus modificaciones y adiciones, solicitó aprobación de cargos de distribución de GLP por redes, para el mercado relevante conformado por el municipio San Andrés de Tumaco en el departamento de Nariño, con código DIVIPOLA 52835000: </w:t>
      </w:r>
    </w:p>
    <w:p w14:paraId="605D480A" w14:textId="77777777" w:rsidR="00D15F3C" w:rsidRPr="00DD428C" w:rsidRDefault="00D15F3C" w:rsidP="00E22360">
      <w:pPr>
        <w:pStyle w:val="Default"/>
        <w:spacing w:line="360" w:lineRule="auto"/>
        <w:ind w:left="567" w:right="567"/>
        <w:jc w:val="both"/>
        <w:rPr>
          <w:rFonts w:ascii="Helvetica" w:hAnsi="Helvetica" w:cs="Helvetica"/>
          <w:i/>
          <w:iCs/>
          <w:sz w:val="22"/>
          <w:szCs w:val="22"/>
        </w:rPr>
      </w:pPr>
      <w:r w:rsidRPr="00DD428C">
        <w:rPr>
          <w:rFonts w:ascii="Helvetica" w:hAnsi="Helvetica" w:cs="Helvetica"/>
          <w:i/>
          <w:iCs/>
          <w:sz w:val="22"/>
          <w:szCs w:val="22"/>
        </w:rPr>
        <w:t xml:space="preserve">En la mencionada comunicación se allegaron la proyección de los datos de demanda, gastos de administración operación y mantenimiento AOM y las inversiones clasificadas según el listado de unidades constructivas establecido en el Anexo No. 8 de la Resolución CREG 202 de 2013. </w:t>
      </w:r>
    </w:p>
    <w:p w14:paraId="75A1951A" w14:textId="77777777" w:rsidR="00D15F3C" w:rsidRPr="00DD428C" w:rsidRDefault="00D15F3C" w:rsidP="00E22360">
      <w:pPr>
        <w:spacing w:after="0" w:line="360" w:lineRule="auto"/>
        <w:ind w:left="567" w:right="567"/>
        <w:jc w:val="both"/>
        <w:rPr>
          <w:rFonts w:ascii="Helvetica" w:hAnsi="Helvetica" w:cs="Helvetica"/>
          <w:i/>
          <w:iCs/>
        </w:rPr>
      </w:pPr>
      <w:r w:rsidRPr="00DD428C">
        <w:rPr>
          <w:rFonts w:ascii="Helvetica" w:hAnsi="Helvetica" w:cs="Helvetica"/>
          <w:i/>
          <w:iCs/>
        </w:rPr>
        <w:t xml:space="preserve">La CREG como resultado del proceso administrativo, aprobó el 19 de julio de 2018, el cargo de distribución transitorio por uso del sistema de distribución de gas combustible por redes de tubería, mediante la Resolución CREG 092 de </w:t>
      </w:r>
      <w:r w:rsidRPr="00DD428C">
        <w:rPr>
          <w:rFonts w:ascii="Helvetica" w:hAnsi="Helvetica" w:cs="Helvetica"/>
          <w:i/>
          <w:iCs/>
        </w:rPr>
        <w:lastRenderedPageBreak/>
        <w:t>2018, cuya vigencia inició el 8 de octubre de 2018, con la publicación en el Diario Oficial.</w:t>
      </w:r>
    </w:p>
    <w:tbl>
      <w:tblPr>
        <w:tblStyle w:val="Tablaconcuadrcula"/>
        <w:tblW w:w="0" w:type="auto"/>
        <w:tblLook w:val="04A0" w:firstRow="1" w:lastRow="0" w:firstColumn="1" w:lastColumn="0" w:noHBand="0" w:noVBand="1"/>
      </w:tblPr>
      <w:tblGrid>
        <w:gridCol w:w="4248"/>
        <w:gridCol w:w="992"/>
        <w:gridCol w:w="1276"/>
        <w:gridCol w:w="1134"/>
        <w:gridCol w:w="1178"/>
      </w:tblGrid>
      <w:tr w:rsidR="00D15F3C" w:rsidRPr="00DD428C" w14:paraId="4090E93B" w14:textId="77777777" w:rsidTr="00D82BC4">
        <w:trPr>
          <w:trHeight w:val="567"/>
          <w:tblHeader/>
        </w:trPr>
        <w:tc>
          <w:tcPr>
            <w:tcW w:w="8828" w:type="dxa"/>
            <w:gridSpan w:val="5"/>
            <w:shd w:val="clear" w:color="auto" w:fill="BFBFBF" w:themeFill="background1" w:themeFillShade="BF"/>
            <w:vAlign w:val="center"/>
          </w:tcPr>
          <w:p w14:paraId="52E1EEBF" w14:textId="77777777" w:rsidR="00D15F3C" w:rsidRPr="00DD428C" w:rsidRDefault="00D15F3C" w:rsidP="002E4719">
            <w:pPr>
              <w:jc w:val="center"/>
              <w:rPr>
                <w:rFonts w:ascii="Helvetica" w:hAnsi="Helvetica" w:cs="Helvetica"/>
                <w:b/>
                <w:bCs/>
                <w:i/>
                <w:iCs/>
                <w:sz w:val="20"/>
                <w:szCs w:val="20"/>
              </w:rPr>
            </w:pPr>
            <w:r w:rsidRPr="00DD428C">
              <w:rPr>
                <w:rFonts w:ascii="Helvetica" w:hAnsi="Helvetica" w:cs="Helvetica"/>
                <w:b/>
                <w:bCs/>
                <w:i/>
                <w:iCs/>
                <w:sz w:val="20"/>
                <w:szCs w:val="20"/>
              </w:rPr>
              <w:t>Usuarios de Uso Residencial y No Residencial</w:t>
            </w:r>
          </w:p>
        </w:tc>
      </w:tr>
      <w:tr w:rsidR="00D15F3C" w:rsidRPr="00DD428C" w14:paraId="46FF788E" w14:textId="77777777" w:rsidTr="00D82BC4">
        <w:trPr>
          <w:trHeight w:val="567"/>
          <w:tblHeader/>
        </w:trPr>
        <w:tc>
          <w:tcPr>
            <w:tcW w:w="4248" w:type="dxa"/>
            <w:shd w:val="clear" w:color="auto" w:fill="BFBFBF" w:themeFill="background1" w:themeFillShade="BF"/>
            <w:vAlign w:val="center"/>
          </w:tcPr>
          <w:p w14:paraId="12506017" w14:textId="77777777" w:rsidR="00D15F3C" w:rsidRPr="00DD428C" w:rsidRDefault="00D15F3C" w:rsidP="002E4719">
            <w:pPr>
              <w:jc w:val="center"/>
              <w:rPr>
                <w:rFonts w:ascii="Helvetica" w:hAnsi="Helvetica" w:cs="Helvetica"/>
                <w:b/>
                <w:bCs/>
                <w:i/>
                <w:iCs/>
                <w:sz w:val="20"/>
                <w:szCs w:val="20"/>
              </w:rPr>
            </w:pPr>
            <w:r w:rsidRPr="00DD428C">
              <w:rPr>
                <w:rFonts w:ascii="Helvetica" w:hAnsi="Helvetica" w:cs="Helvetica"/>
                <w:b/>
                <w:bCs/>
                <w:i/>
                <w:iCs/>
                <w:sz w:val="20"/>
                <w:szCs w:val="20"/>
              </w:rPr>
              <w:t>Componente</w:t>
            </w:r>
          </w:p>
        </w:tc>
        <w:tc>
          <w:tcPr>
            <w:tcW w:w="992" w:type="dxa"/>
            <w:shd w:val="clear" w:color="auto" w:fill="BFBFBF" w:themeFill="background1" w:themeFillShade="BF"/>
            <w:vAlign w:val="center"/>
          </w:tcPr>
          <w:p w14:paraId="30831C29" w14:textId="77777777" w:rsidR="00D15F3C" w:rsidRPr="00DD428C" w:rsidRDefault="00D15F3C" w:rsidP="002E4719">
            <w:pPr>
              <w:jc w:val="center"/>
              <w:rPr>
                <w:rFonts w:ascii="Helvetica" w:hAnsi="Helvetica" w:cs="Helvetica"/>
                <w:b/>
                <w:bCs/>
                <w:i/>
                <w:iCs/>
                <w:sz w:val="20"/>
                <w:szCs w:val="20"/>
              </w:rPr>
            </w:pPr>
          </w:p>
        </w:tc>
        <w:tc>
          <w:tcPr>
            <w:tcW w:w="1276" w:type="dxa"/>
            <w:shd w:val="clear" w:color="auto" w:fill="BFBFBF" w:themeFill="background1" w:themeFillShade="BF"/>
            <w:vAlign w:val="center"/>
          </w:tcPr>
          <w:p w14:paraId="30DC2783" w14:textId="77777777" w:rsidR="00D15F3C" w:rsidRPr="00DD428C" w:rsidRDefault="00D15F3C" w:rsidP="002E4719">
            <w:pPr>
              <w:jc w:val="center"/>
              <w:rPr>
                <w:rFonts w:ascii="Helvetica" w:hAnsi="Helvetica" w:cs="Helvetica"/>
                <w:b/>
                <w:bCs/>
                <w:i/>
                <w:iCs/>
                <w:sz w:val="20"/>
                <w:szCs w:val="20"/>
              </w:rPr>
            </w:pPr>
            <w:r w:rsidRPr="00DD428C">
              <w:rPr>
                <w:rFonts w:ascii="Helvetica" w:hAnsi="Helvetica" w:cs="Helvetica"/>
                <w:b/>
                <w:bCs/>
                <w:i/>
                <w:iCs/>
                <w:sz w:val="20"/>
                <w:szCs w:val="20"/>
              </w:rPr>
              <w:t>2017</w:t>
            </w:r>
          </w:p>
        </w:tc>
        <w:tc>
          <w:tcPr>
            <w:tcW w:w="1134" w:type="dxa"/>
            <w:shd w:val="clear" w:color="auto" w:fill="BFBFBF" w:themeFill="background1" w:themeFillShade="BF"/>
            <w:vAlign w:val="center"/>
          </w:tcPr>
          <w:p w14:paraId="08E4A589" w14:textId="77777777" w:rsidR="00D15F3C" w:rsidRPr="00DD428C" w:rsidRDefault="00D15F3C" w:rsidP="002E4719">
            <w:pPr>
              <w:jc w:val="center"/>
              <w:rPr>
                <w:rFonts w:ascii="Helvetica" w:hAnsi="Helvetica" w:cs="Helvetica"/>
                <w:b/>
                <w:bCs/>
                <w:i/>
                <w:iCs/>
                <w:sz w:val="20"/>
                <w:szCs w:val="20"/>
              </w:rPr>
            </w:pPr>
            <w:r w:rsidRPr="00DD428C">
              <w:rPr>
                <w:rFonts w:ascii="Helvetica" w:hAnsi="Helvetica" w:cs="Helvetica"/>
                <w:b/>
                <w:bCs/>
                <w:i/>
                <w:iCs/>
                <w:sz w:val="20"/>
                <w:szCs w:val="20"/>
              </w:rPr>
              <w:t>2018</w:t>
            </w:r>
          </w:p>
        </w:tc>
        <w:tc>
          <w:tcPr>
            <w:tcW w:w="1178" w:type="dxa"/>
            <w:shd w:val="clear" w:color="auto" w:fill="BFBFBF" w:themeFill="background1" w:themeFillShade="BF"/>
            <w:vAlign w:val="center"/>
          </w:tcPr>
          <w:p w14:paraId="46AF1D2F" w14:textId="77777777" w:rsidR="00D15F3C" w:rsidRPr="00DD428C" w:rsidRDefault="00D15F3C" w:rsidP="002E4719">
            <w:pPr>
              <w:jc w:val="center"/>
              <w:rPr>
                <w:rFonts w:ascii="Helvetica" w:hAnsi="Helvetica" w:cs="Helvetica"/>
                <w:b/>
                <w:bCs/>
                <w:i/>
                <w:iCs/>
                <w:sz w:val="20"/>
                <w:szCs w:val="20"/>
              </w:rPr>
            </w:pPr>
            <w:r w:rsidRPr="00DD428C">
              <w:rPr>
                <w:rFonts w:ascii="Helvetica" w:hAnsi="Helvetica" w:cs="Helvetica"/>
                <w:b/>
                <w:bCs/>
                <w:i/>
                <w:iCs/>
                <w:sz w:val="20"/>
                <w:szCs w:val="20"/>
              </w:rPr>
              <w:t>2019-2020-2021</w:t>
            </w:r>
          </w:p>
        </w:tc>
      </w:tr>
      <w:tr w:rsidR="00D15F3C" w:rsidRPr="00DD428C" w14:paraId="7C277A07" w14:textId="77777777" w:rsidTr="00965712">
        <w:trPr>
          <w:trHeight w:val="340"/>
        </w:trPr>
        <w:tc>
          <w:tcPr>
            <w:tcW w:w="4248" w:type="dxa"/>
            <w:vAlign w:val="center"/>
          </w:tcPr>
          <w:p w14:paraId="51C0A951" w14:textId="77777777" w:rsidR="00D15F3C" w:rsidRPr="00DD428C" w:rsidRDefault="00D15F3C" w:rsidP="002E4719">
            <w:pPr>
              <w:jc w:val="center"/>
              <w:rPr>
                <w:rFonts w:ascii="Helvetica" w:hAnsi="Helvetica" w:cs="Helvetica"/>
                <w:b/>
                <w:bCs/>
                <w:i/>
                <w:iCs/>
                <w:sz w:val="20"/>
                <w:szCs w:val="20"/>
              </w:rPr>
            </w:pPr>
            <w:r w:rsidRPr="00DD428C">
              <w:rPr>
                <w:rFonts w:ascii="Helvetica" w:hAnsi="Helvetica" w:cs="Helvetica"/>
                <w:b/>
                <w:bCs/>
                <w:i/>
                <w:iCs/>
                <w:sz w:val="20"/>
                <w:szCs w:val="20"/>
              </w:rPr>
              <w:t>Cargo de distribución Total</w:t>
            </w:r>
          </w:p>
        </w:tc>
        <w:tc>
          <w:tcPr>
            <w:tcW w:w="992" w:type="dxa"/>
            <w:vAlign w:val="center"/>
          </w:tcPr>
          <w:p w14:paraId="672C5813" w14:textId="77777777" w:rsidR="00D15F3C" w:rsidRPr="00DD428C" w:rsidRDefault="00D15F3C" w:rsidP="002E4719">
            <w:pPr>
              <w:jc w:val="center"/>
              <w:rPr>
                <w:rFonts w:ascii="Helvetica" w:hAnsi="Helvetica" w:cs="Helvetica"/>
                <w:b/>
                <w:bCs/>
                <w:i/>
                <w:iCs/>
                <w:sz w:val="20"/>
                <w:szCs w:val="20"/>
              </w:rPr>
            </w:pPr>
            <w:r w:rsidRPr="00DD428C">
              <w:rPr>
                <w:rFonts w:ascii="Helvetica" w:hAnsi="Helvetica" w:cs="Helvetica"/>
                <w:b/>
                <w:bCs/>
                <w:i/>
                <w:iCs/>
                <w:sz w:val="20"/>
                <w:szCs w:val="20"/>
              </w:rPr>
              <w:t>$/m</w:t>
            </w:r>
            <w:r w:rsidRPr="00DD428C">
              <w:rPr>
                <w:rFonts w:ascii="Helvetica" w:hAnsi="Helvetica" w:cs="Helvetica"/>
                <w:b/>
                <w:bCs/>
                <w:i/>
                <w:iCs/>
                <w:sz w:val="20"/>
                <w:szCs w:val="20"/>
                <w:vertAlign w:val="superscript"/>
              </w:rPr>
              <w:t>3</w:t>
            </w:r>
          </w:p>
        </w:tc>
        <w:tc>
          <w:tcPr>
            <w:tcW w:w="1276" w:type="dxa"/>
            <w:vAlign w:val="center"/>
          </w:tcPr>
          <w:p w14:paraId="2B3BADF7" w14:textId="77777777" w:rsidR="00D15F3C" w:rsidRPr="00DD428C" w:rsidRDefault="00D15F3C" w:rsidP="002E4719">
            <w:pPr>
              <w:jc w:val="center"/>
              <w:rPr>
                <w:rFonts w:ascii="Helvetica" w:hAnsi="Helvetica" w:cs="Helvetica"/>
                <w:b/>
                <w:bCs/>
                <w:i/>
                <w:iCs/>
                <w:sz w:val="20"/>
                <w:szCs w:val="20"/>
              </w:rPr>
            </w:pPr>
            <w:r w:rsidRPr="00DD428C">
              <w:rPr>
                <w:rFonts w:ascii="Helvetica" w:hAnsi="Helvetica" w:cs="Helvetica"/>
                <w:b/>
                <w:bCs/>
                <w:i/>
                <w:iCs/>
                <w:sz w:val="20"/>
                <w:szCs w:val="20"/>
              </w:rPr>
              <w:t>931,84</w:t>
            </w:r>
          </w:p>
        </w:tc>
        <w:tc>
          <w:tcPr>
            <w:tcW w:w="1134" w:type="dxa"/>
            <w:vAlign w:val="center"/>
          </w:tcPr>
          <w:p w14:paraId="2B8DA723" w14:textId="77777777" w:rsidR="00D15F3C" w:rsidRPr="00DD428C" w:rsidRDefault="00D15F3C" w:rsidP="002E4719">
            <w:pPr>
              <w:jc w:val="center"/>
              <w:rPr>
                <w:rFonts w:ascii="Helvetica" w:hAnsi="Helvetica" w:cs="Helvetica"/>
                <w:b/>
                <w:bCs/>
                <w:i/>
                <w:iCs/>
                <w:sz w:val="20"/>
                <w:szCs w:val="20"/>
              </w:rPr>
            </w:pPr>
            <w:r w:rsidRPr="00DD428C">
              <w:rPr>
                <w:rFonts w:ascii="Helvetica" w:hAnsi="Helvetica" w:cs="Helvetica"/>
                <w:b/>
                <w:bCs/>
                <w:i/>
                <w:iCs/>
                <w:sz w:val="20"/>
                <w:szCs w:val="20"/>
              </w:rPr>
              <w:t>943,22</w:t>
            </w:r>
          </w:p>
        </w:tc>
        <w:tc>
          <w:tcPr>
            <w:tcW w:w="1178" w:type="dxa"/>
            <w:vAlign w:val="center"/>
          </w:tcPr>
          <w:p w14:paraId="7451AB59" w14:textId="77777777" w:rsidR="00D15F3C" w:rsidRPr="00DD428C" w:rsidRDefault="00D15F3C" w:rsidP="002E4719">
            <w:pPr>
              <w:jc w:val="center"/>
              <w:rPr>
                <w:rFonts w:ascii="Helvetica" w:hAnsi="Helvetica" w:cs="Helvetica"/>
                <w:b/>
                <w:bCs/>
                <w:i/>
                <w:iCs/>
                <w:sz w:val="20"/>
                <w:szCs w:val="20"/>
              </w:rPr>
            </w:pPr>
            <w:r w:rsidRPr="00DD428C">
              <w:rPr>
                <w:rFonts w:ascii="Helvetica" w:hAnsi="Helvetica" w:cs="Helvetica"/>
                <w:b/>
                <w:bCs/>
                <w:i/>
                <w:iCs/>
                <w:sz w:val="20"/>
                <w:szCs w:val="20"/>
              </w:rPr>
              <w:t>867,15</w:t>
            </w:r>
          </w:p>
        </w:tc>
      </w:tr>
      <w:tr w:rsidR="00D15F3C" w:rsidRPr="00DD428C" w14:paraId="3F3DF62B" w14:textId="77777777" w:rsidTr="00965712">
        <w:trPr>
          <w:trHeight w:val="737"/>
        </w:trPr>
        <w:tc>
          <w:tcPr>
            <w:tcW w:w="4248" w:type="dxa"/>
            <w:vAlign w:val="center"/>
          </w:tcPr>
          <w:p w14:paraId="118152C3" w14:textId="77777777" w:rsidR="00D15F3C" w:rsidRPr="00DD428C" w:rsidRDefault="00D15F3C" w:rsidP="00965712">
            <w:pPr>
              <w:jc w:val="both"/>
              <w:rPr>
                <w:rFonts w:ascii="Helvetica" w:hAnsi="Helvetica" w:cs="Helvetica"/>
                <w:i/>
                <w:iCs/>
                <w:sz w:val="20"/>
                <w:szCs w:val="20"/>
              </w:rPr>
            </w:pPr>
            <w:r w:rsidRPr="00DD428C">
              <w:rPr>
                <w:rFonts w:ascii="Helvetica" w:hAnsi="Helvetica" w:cs="Helvetica"/>
                <w:i/>
                <w:iCs/>
                <w:sz w:val="20"/>
                <w:szCs w:val="20"/>
              </w:rPr>
              <w:t>Componente de inversión pagada con recursos de la empresa Gas Tumaco del Pacífico S.A.S. E.S.P.</w:t>
            </w:r>
          </w:p>
        </w:tc>
        <w:tc>
          <w:tcPr>
            <w:tcW w:w="992" w:type="dxa"/>
            <w:vAlign w:val="center"/>
          </w:tcPr>
          <w:p w14:paraId="2950ABD4" w14:textId="77777777" w:rsidR="00D15F3C" w:rsidRPr="00DD428C" w:rsidRDefault="00D15F3C" w:rsidP="00965712">
            <w:pPr>
              <w:jc w:val="center"/>
              <w:rPr>
                <w:rFonts w:ascii="Helvetica" w:hAnsi="Helvetica" w:cs="Helvetica"/>
                <w:i/>
                <w:iCs/>
                <w:sz w:val="20"/>
                <w:szCs w:val="20"/>
              </w:rPr>
            </w:pPr>
            <w:r w:rsidRPr="00DD428C">
              <w:rPr>
                <w:rFonts w:ascii="Helvetica" w:hAnsi="Helvetica" w:cs="Helvetica"/>
                <w:i/>
                <w:iCs/>
                <w:sz w:val="20"/>
                <w:szCs w:val="20"/>
              </w:rPr>
              <w:t>$/m</w:t>
            </w:r>
            <w:r w:rsidRPr="00DD428C">
              <w:rPr>
                <w:rFonts w:ascii="Helvetica" w:hAnsi="Helvetica" w:cs="Helvetica"/>
                <w:i/>
                <w:iCs/>
                <w:sz w:val="20"/>
                <w:szCs w:val="20"/>
                <w:vertAlign w:val="superscript"/>
              </w:rPr>
              <w:t>3</w:t>
            </w:r>
          </w:p>
        </w:tc>
        <w:tc>
          <w:tcPr>
            <w:tcW w:w="1276" w:type="dxa"/>
            <w:vAlign w:val="center"/>
          </w:tcPr>
          <w:p w14:paraId="16DCA535" w14:textId="77777777" w:rsidR="00D15F3C" w:rsidRPr="00DD428C" w:rsidRDefault="00D15F3C" w:rsidP="00965712">
            <w:pPr>
              <w:jc w:val="center"/>
              <w:rPr>
                <w:rFonts w:ascii="Helvetica" w:hAnsi="Helvetica" w:cs="Helvetica"/>
                <w:i/>
                <w:iCs/>
                <w:sz w:val="20"/>
                <w:szCs w:val="20"/>
              </w:rPr>
            </w:pPr>
            <w:r w:rsidRPr="00DD428C">
              <w:rPr>
                <w:rFonts w:ascii="Helvetica" w:hAnsi="Helvetica" w:cs="Helvetica"/>
                <w:i/>
                <w:iCs/>
                <w:sz w:val="20"/>
                <w:szCs w:val="20"/>
              </w:rPr>
              <w:t>716,16</w:t>
            </w:r>
          </w:p>
        </w:tc>
        <w:tc>
          <w:tcPr>
            <w:tcW w:w="1134" w:type="dxa"/>
            <w:vAlign w:val="center"/>
          </w:tcPr>
          <w:p w14:paraId="29BA96C8" w14:textId="77777777" w:rsidR="00D15F3C" w:rsidRPr="00DD428C" w:rsidRDefault="00D15F3C" w:rsidP="00965712">
            <w:pPr>
              <w:jc w:val="center"/>
              <w:rPr>
                <w:rFonts w:ascii="Helvetica" w:hAnsi="Helvetica" w:cs="Helvetica"/>
                <w:i/>
                <w:iCs/>
                <w:sz w:val="20"/>
                <w:szCs w:val="20"/>
              </w:rPr>
            </w:pPr>
            <w:r w:rsidRPr="00DD428C">
              <w:rPr>
                <w:rFonts w:ascii="Helvetica" w:hAnsi="Helvetica" w:cs="Helvetica"/>
                <w:i/>
                <w:iCs/>
                <w:sz w:val="20"/>
                <w:szCs w:val="20"/>
              </w:rPr>
              <w:t>727,22</w:t>
            </w:r>
          </w:p>
        </w:tc>
        <w:tc>
          <w:tcPr>
            <w:tcW w:w="1178" w:type="dxa"/>
            <w:vAlign w:val="center"/>
          </w:tcPr>
          <w:p w14:paraId="763736CB" w14:textId="77777777" w:rsidR="00D15F3C" w:rsidRPr="00DD428C" w:rsidRDefault="00D15F3C" w:rsidP="00965712">
            <w:pPr>
              <w:jc w:val="center"/>
              <w:rPr>
                <w:rFonts w:ascii="Helvetica" w:hAnsi="Helvetica" w:cs="Helvetica"/>
                <w:i/>
                <w:iCs/>
                <w:sz w:val="20"/>
                <w:szCs w:val="20"/>
              </w:rPr>
            </w:pPr>
            <w:r w:rsidRPr="00DD428C">
              <w:rPr>
                <w:rFonts w:ascii="Helvetica" w:hAnsi="Helvetica" w:cs="Helvetica"/>
                <w:i/>
                <w:iCs/>
                <w:sz w:val="20"/>
                <w:szCs w:val="20"/>
              </w:rPr>
              <w:t>653,37</w:t>
            </w:r>
          </w:p>
        </w:tc>
      </w:tr>
      <w:tr w:rsidR="00D15F3C" w:rsidRPr="00DD428C" w14:paraId="6B368B1A" w14:textId="77777777" w:rsidTr="00965712">
        <w:trPr>
          <w:trHeight w:val="340"/>
        </w:trPr>
        <w:tc>
          <w:tcPr>
            <w:tcW w:w="4248" w:type="dxa"/>
            <w:vAlign w:val="center"/>
          </w:tcPr>
          <w:p w14:paraId="4719A32B" w14:textId="77777777" w:rsidR="00D15F3C" w:rsidRPr="00DD428C" w:rsidRDefault="00D15F3C" w:rsidP="00965712">
            <w:pPr>
              <w:rPr>
                <w:rFonts w:ascii="Helvetica" w:hAnsi="Helvetica" w:cs="Helvetica"/>
                <w:i/>
                <w:iCs/>
                <w:sz w:val="20"/>
                <w:szCs w:val="20"/>
              </w:rPr>
            </w:pPr>
            <w:r w:rsidRPr="00DD428C">
              <w:rPr>
                <w:rFonts w:ascii="Helvetica" w:hAnsi="Helvetica" w:cs="Helvetica"/>
                <w:i/>
                <w:iCs/>
                <w:sz w:val="20"/>
                <w:szCs w:val="20"/>
              </w:rPr>
              <w:t>Componente Gastos AOM</w:t>
            </w:r>
          </w:p>
        </w:tc>
        <w:tc>
          <w:tcPr>
            <w:tcW w:w="992" w:type="dxa"/>
            <w:vAlign w:val="center"/>
          </w:tcPr>
          <w:p w14:paraId="3D957067" w14:textId="77777777" w:rsidR="00D15F3C" w:rsidRPr="00DD428C" w:rsidRDefault="00D15F3C" w:rsidP="002E4719">
            <w:pPr>
              <w:jc w:val="center"/>
              <w:rPr>
                <w:rFonts w:ascii="Helvetica" w:hAnsi="Helvetica" w:cs="Helvetica"/>
                <w:i/>
                <w:iCs/>
                <w:sz w:val="20"/>
                <w:szCs w:val="20"/>
              </w:rPr>
            </w:pPr>
            <w:r w:rsidRPr="00DD428C">
              <w:rPr>
                <w:rFonts w:ascii="Helvetica" w:hAnsi="Helvetica" w:cs="Helvetica"/>
                <w:i/>
                <w:iCs/>
                <w:sz w:val="20"/>
                <w:szCs w:val="20"/>
              </w:rPr>
              <w:t>$/m</w:t>
            </w:r>
            <w:r w:rsidRPr="00DD428C">
              <w:rPr>
                <w:rFonts w:ascii="Helvetica" w:hAnsi="Helvetica" w:cs="Helvetica"/>
                <w:i/>
                <w:iCs/>
                <w:sz w:val="20"/>
                <w:szCs w:val="20"/>
                <w:vertAlign w:val="superscript"/>
              </w:rPr>
              <w:t>3</w:t>
            </w:r>
          </w:p>
        </w:tc>
        <w:tc>
          <w:tcPr>
            <w:tcW w:w="1276" w:type="dxa"/>
            <w:vAlign w:val="center"/>
          </w:tcPr>
          <w:p w14:paraId="2905F9B5" w14:textId="77777777" w:rsidR="00D15F3C" w:rsidRPr="00DD428C" w:rsidRDefault="00D15F3C" w:rsidP="002E4719">
            <w:pPr>
              <w:jc w:val="center"/>
              <w:rPr>
                <w:rFonts w:ascii="Helvetica" w:hAnsi="Helvetica" w:cs="Helvetica"/>
                <w:i/>
                <w:iCs/>
                <w:sz w:val="20"/>
                <w:szCs w:val="20"/>
              </w:rPr>
            </w:pPr>
            <w:r w:rsidRPr="00DD428C">
              <w:rPr>
                <w:rFonts w:ascii="Helvetica" w:hAnsi="Helvetica" w:cs="Helvetica"/>
                <w:i/>
                <w:iCs/>
                <w:sz w:val="20"/>
                <w:szCs w:val="20"/>
              </w:rPr>
              <w:t>215,68</w:t>
            </w:r>
          </w:p>
        </w:tc>
        <w:tc>
          <w:tcPr>
            <w:tcW w:w="1134" w:type="dxa"/>
            <w:vAlign w:val="center"/>
          </w:tcPr>
          <w:p w14:paraId="654969DF" w14:textId="77777777" w:rsidR="00D15F3C" w:rsidRPr="00DD428C" w:rsidRDefault="00D15F3C" w:rsidP="002E4719">
            <w:pPr>
              <w:jc w:val="center"/>
              <w:rPr>
                <w:rFonts w:ascii="Helvetica" w:hAnsi="Helvetica" w:cs="Helvetica"/>
                <w:i/>
                <w:iCs/>
                <w:sz w:val="20"/>
                <w:szCs w:val="20"/>
              </w:rPr>
            </w:pPr>
            <w:r w:rsidRPr="00DD428C">
              <w:rPr>
                <w:rFonts w:ascii="Helvetica" w:hAnsi="Helvetica" w:cs="Helvetica"/>
                <w:i/>
                <w:iCs/>
                <w:sz w:val="20"/>
                <w:szCs w:val="20"/>
              </w:rPr>
              <w:t>216,00</w:t>
            </w:r>
          </w:p>
        </w:tc>
        <w:tc>
          <w:tcPr>
            <w:tcW w:w="1178" w:type="dxa"/>
            <w:vAlign w:val="center"/>
          </w:tcPr>
          <w:p w14:paraId="4C6F770A" w14:textId="77777777" w:rsidR="00D15F3C" w:rsidRPr="00DD428C" w:rsidRDefault="00D15F3C" w:rsidP="002E4719">
            <w:pPr>
              <w:jc w:val="center"/>
              <w:rPr>
                <w:rFonts w:ascii="Helvetica" w:hAnsi="Helvetica" w:cs="Helvetica"/>
                <w:i/>
                <w:iCs/>
                <w:sz w:val="20"/>
                <w:szCs w:val="20"/>
              </w:rPr>
            </w:pPr>
            <w:r w:rsidRPr="00DD428C">
              <w:rPr>
                <w:rFonts w:ascii="Helvetica" w:hAnsi="Helvetica" w:cs="Helvetica"/>
                <w:i/>
                <w:iCs/>
                <w:sz w:val="20"/>
                <w:szCs w:val="20"/>
              </w:rPr>
              <w:t>213,78</w:t>
            </w:r>
          </w:p>
        </w:tc>
      </w:tr>
    </w:tbl>
    <w:p w14:paraId="268367CC" w14:textId="77777777" w:rsidR="00D15F3C" w:rsidRPr="00DD428C" w:rsidRDefault="00D15F3C" w:rsidP="00965712">
      <w:pPr>
        <w:spacing w:after="100" w:afterAutospacing="1" w:line="360" w:lineRule="auto"/>
        <w:rPr>
          <w:rFonts w:ascii="Helvetica" w:hAnsi="Helvetica" w:cs="Helvetica"/>
          <w:i/>
          <w:iCs/>
          <w:sz w:val="20"/>
          <w:szCs w:val="20"/>
        </w:rPr>
      </w:pPr>
      <w:r w:rsidRPr="00DD428C">
        <w:rPr>
          <w:rFonts w:ascii="Helvetica" w:hAnsi="Helvetica" w:cs="Helvetica"/>
          <w:i/>
          <w:iCs/>
          <w:sz w:val="20"/>
          <w:szCs w:val="20"/>
        </w:rPr>
        <w:t>Cifras en pesos del 31 de diciembre de 2016</w:t>
      </w:r>
    </w:p>
    <w:p w14:paraId="1A31C09F" w14:textId="77777777" w:rsidR="00D15F3C" w:rsidRPr="00DD428C" w:rsidRDefault="00D15F3C" w:rsidP="00E22360">
      <w:pPr>
        <w:pStyle w:val="Default"/>
        <w:spacing w:line="360" w:lineRule="auto"/>
        <w:ind w:left="567" w:right="567"/>
        <w:jc w:val="both"/>
        <w:rPr>
          <w:rFonts w:ascii="Helvetica" w:hAnsi="Helvetica" w:cs="Helvetica"/>
          <w:i/>
          <w:iCs/>
          <w:sz w:val="22"/>
          <w:szCs w:val="22"/>
        </w:rPr>
      </w:pPr>
      <w:r w:rsidRPr="00DD428C">
        <w:rPr>
          <w:rFonts w:ascii="Helvetica" w:hAnsi="Helvetica" w:cs="Helvetica"/>
          <w:i/>
          <w:iCs/>
          <w:sz w:val="22"/>
          <w:szCs w:val="22"/>
        </w:rPr>
        <w:t xml:space="preserve">Como puede observarse, se definieron cargos hasta el año 2021, año en que se esperaba que la CREG, como máximo, aprobara nuevos cargos de distribución en reemplazo de los transitorios. </w:t>
      </w:r>
    </w:p>
    <w:p w14:paraId="01B7607E" w14:textId="77777777" w:rsidR="00D15F3C" w:rsidRPr="00DD428C" w:rsidRDefault="00D15F3C" w:rsidP="00E22360">
      <w:pPr>
        <w:pStyle w:val="Default"/>
        <w:spacing w:line="360" w:lineRule="auto"/>
        <w:ind w:left="567" w:right="567"/>
        <w:jc w:val="both"/>
        <w:rPr>
          <w:rFonts w:ascii="Helvetica" w:hAnsi="Helvetica" w:cs="Helvetica"/>
          <w:i/>
          <w:iCs/>
          <w:sz w:val="22"/>
          <w:szCs w:val="22"/>
        </w:rPr>
      </w:pPr>
      <w:r w:rsidRPr="00DD428C">
        <w:rPr>
          <w:rFonts w:ascii="Helvetica" w:hAnsi="Helvetica" w:cs="Helvetica"/>
          <w:i/>
          <w:iCs/>
          <w:sz w:val="22"/>
          <w:szCs w:val="22"/>
        </w:rPr>
        <w:t xml:space="preserve">La empresa inició la prestación del servicio el 5 de enero de 2019. </w:t>
      </w:r>
    </w:p>
    <w:p w14:paraId="72FD753F" w14:textId="77777777" w:rsidR="00D15F3C" w:rsidRPr="00DD428C" w:rsidRDefault="00D15F3C" w:rsidP="00E22360">
      <w:pPr>
        <w:pStyle w:val="Default"/>
        <w:spacing w:line="360" w:lineRule="auto"/>
        <w:ind w:left="567" w:right="567"/>
        <w:jc w:val="both"/>
        <w:rPr>
          <w:rFonts w:ascii="Helvetica" w:hAnsi="Helvetica" w:cs="Helvetica"/>
          <w:i/>
          <w:iCs/>
          <w:sz w:val="22"/>
          <w:szCs w:val="22"/>
        </w:rPr>
      </w:pPr>
      <w:r w:rsidRPr="00DD428C">
        <w:rPr>
          <w:rFonts w:ascii="Helvetica" w:hAnsi="Helvetica" w:cs="Helvetica"/>
          <w:i/>
          <w:iCs/>
          <w:sz w:val="22"/>
          <w:szCs w:val="22"/>
        </w:rPr>
        <w:t xml:space="preserve">La aprobación de un cargo transitorio se debió a que la CREG expidió la metodología para la aprobación de cargos de distribución de manera incompleta, específicamente en los aspectos de reconocimiento de gastos de AOM y Otros Activos. </w:t>
      </w:r>
    </w:p>
    <w:p w14:paraId="0087E9EE" w14:textId="77777777" w:rsidR="00D15F3C" w:rsidRPr="00DD428C" w:rsidRDefault="00D15F3C" w:rsidP="00E22360">
      <w:pPr>
        <w:pStyle w:val="Default"/>
        <w:spacing w:line="360" w:lineRule="auto"/>
        <w:ind w:left="567" w:right="567"/>
        <w:jc w:val="both"/>
        <w:rPr>
          <w:rFonts w:ascii="Helvetica" w:hAnsi="Helvetica" w:cs="Helvetica"/>
          <w:i/>
          <w:iCs/>
          <w:sz w:val="22"/>
          <w:szCs w:val="22"/>
        </w:rPr>
      </w:pPr>
      <w:r w:rsidRPr="00DD428C">
        <w:rPr>
          <w:rFonts w:ascii="Helvetica" w:hAnsi="Helvetica" w:cs="Helvetica"/>
          <w:i/>
          <w:iCs/>
          <w:sz w:val="22"/>
          <w:szCs w:val="22"/>
        </w:rPr>
        <w:t xml:space="preserve">En dicha Resolución se estableció en el “Artículo 7o. VIGENCIA DE LOS CARGOS DE DISTRIBUCIÓN APLICABLES A LOS USUARIOS DE USO RESIDENCIAL Y A USUARIOS DIFERENTES A LOS DE USO RESIDENCIAL. &lt;Resolución derogada por el artículo 11 de la Resolución 502-48 de 2023&gt; Los Cargos de Distribución aplicables a los usuarios de uso residencial y a los usuarios diferentes a los de uso residencial, estarán vigentes desde la fecha en que quede en firme la presente resolución y hasta tanto se definan los cargos definitivos para un periodo de cinco años, calculados con los parámetros de AOM y Otros Activos que definirá la Comisión mediante resolución de carácter general”. </w:t>
      </w:r>
    </w:p>
    <w:p w14:paraId="7925F333" w14:textId="77777777" w:rsidR="00D15F3C" w:rsidRPr="00DD428C" w:rsidRDefault="00D15F3C" w:rsidP="00E22360">
      <w:pPr>
        <w:pStyle w:val="Default"/>
        <w:spacing w:line="360" w:lineRule="auto"/>
        <w:ind w:left="567" w:right="567"/>
        <w:jc w:val="both"/>
        <w:rPr>
          <w:rFonts w:ascii="Helvetica" w:hAnsi="Helvetica" w:cs="Helvetica"/>
          <w:i/>
          <w:iCs/>
          <w:sz w:val="22"/>
          <w:szCs w:val="22"/>
        </w:rPr>
      </w:pPr>
      <w:r w:rsidRPr="00DD428C">
        <w:rPr>
          <w:rFonts w:ascii="Helvetica" w:hAnsi="Helvetica" w:cs="Helvetica"/>
          <w:i/>
          <w:iCs/>
          <w:sz w:val="22"/>
          <w:szCs w:val="22"/>
        </w:rPr>
        <w:t xml:space="preserve">Mediante la circular CREG 030 de 2019 se estableció el “procedimiento aplicable al trámite de solicitud y aprobación de cargos de distribución para el siguiente período tarifario, conforme a metodología contenida en las </w:t>
      </w:r>
      <w:r w:rsidRPr="00DD428C">
        <w:rPr>
          <w:rFonts w:ascii="Helvetica" w:hAnsi="Helvetica" w:cs="Helvetica"/>
          <w:i/>
          <w:iCs/>
          <w:sz w:val="22"/>
          <w:szCs w:val="22"/>
        </w:rPr>
        <w:lastRenderedPageBreak/>
        <w:t xml:space="preserve">resoluciones CREG 202 de 2013, CREG 138 de 2014 y CREG 090 y CREG 132 de 2018”. </w:t>
      </w:r>
    </w:p>
    <w:p w14:paraId="3FEFDE05" w14:textId="77777777" w:rsidR="00D15F3C" w:rsidRPr="00DD428C" w:rsidRDefault="00D15F3C" w:rsidP="00E22360">
      <w:pPr>
        <w:pStyle w:val="Default"/>
        <w:spacing w:line="360" w:lineRule="auto"/>
        <w:ind w:left="567" w:right="567"/>
        <w:jc w:val="both"/>
        <w:rPr>
          <w:rFonts w:ascii="Helvetica" w:hAnsi="Helvetica" w:cs="Helvetica"/>
          <w:i/>
          <w:iCs/>
          <w:sz w:val="22"/>
          <w:szCs w:val="22"/>
        </w:rPr>
      </w:pPr>
      <w:r w:rsidRPr="00DD428C">
        <w:rPr>
          <w:rFonts w:ascii="Helvetica" w:hAnsi="Helvetica" w:cs="Helvetica"/>
          <w:i/>
          <w:iCs/>
          <w:sz w:val="22"/>
          <w:szCs w:val="22"/>
        </w:rPr>
        <w:t xml:space="preserve">Mediante la circular CREG 068 del 31 de julio de 2020, se modificó el cronograma establecido en la circular 062 de 2020 para la presentación de solicitudes tarifarias, correspondiéndole a GASTUMACO SAS ESP la fecha entre 9 y 14 de septiembre de 2020, lo cual se cumplió, considerándose este mercado como nuevo, de acuerdo con lo establecido en el parágrafo del artículo 27 de la Resolución CREG 138 de 2014. </w:t>
      </w:r>
    </w:p>
    <w:p w14:paraId="702539CF" w14:textId="77777777" w:rsidR="00D15F3C" w:rsidRPr="00DD428C" w:rsidRDefault="00D15F3C" w:rsidP="00E22360">
      <w:pPr>
        <w:pStyle w:val="Default"/>
        <w:spacing w:line="360" w:lineRule="auto"/>
        <w:ind w:left="567" w:right="567"/>
        <w:jc w:val="both"/>
        <w:rPr>
          <w:rFonts w:ascii="Helvetica" w:hAnsi="Helvetica" w:cs="Helvetica"/>
          <w:i/>
          <w:iCs/>
          <w:sz w:val="22"/>
          <w:szCs w:val="22"/>
        </w:rPr>
      </w:pPr>
      <w:r w:rsidRPr="00DD428C">
        <w:rPr>
          <w:rFonts w:ascii="Helvetica" w:hAnsi="Helvetica" w:cs="Helvetica"/>
          <w:i/>
          <w:iCs/>
          <w:sz w:val="22"/>
          <w:szCs w:val="22"/>
        </w:rPr>
        <w:t xml:space="preserve">De acuerdo con la información entregada en los talleres virtuales realizados por la CREG, la Comisionada de la CREG, Daisy Cerquera Lozada, dichos cargos estarían aprobados en abril de 2021. La CREG, para los mercados nuevos que en su momento le fueron aprobados cargos transitorios, solicitó información histórica de usuarios, demandas de gas, gastos de AOM de Distribución, inversiones, etc., para aprobar los cargos definitivos, lo cual tenía sentido, ya que no se trataba de mercados nuevos. </w:t>
      </w:r>
    </w:p>
    <w:p w14:paraId="5F27ABCA" w14:textId="77777777" w:rsidR="00D15F3C" w:rsidRPr="00DD428C" w:rsidRDefault="00D15F3C" w:rsidP="00E22360">
      <w:pPr>
        <w:pStyle w:val="Default"/>
        <w:spacing w:line="360" w:lineRule="auto"/>
        <w:ind w:left="567" w:right="567"/>
        <w:jc w:val="both"/>
        <w:rPr>
          <w:rFonts w:ascii="Helvetica" w:hAnsi="Helvetica" w:cs="Helvetica"/>
          <w:i/>
          <w:iCs/>
          <w:sz w:val="22"/>
          <w:szCs w:val="22"/>
        </w:rPr>
      </w:pPr>
      <w:r w:rsidRPr="00DD428C">
        <w:rPr>
          <w:rFonts w:ascii="Helvetica" w:hAnsi="Helvetica" w:cs="Helvetica"/>
          <w:i/>
          <w:iCs/>
          <w:sz w:val="22"/>
          <w:szCs w:val="22"/>
        </w:rPr>
        <w:t xml:space="preserve">En la operación de la empresa durante cinco años (2019-2023), se ha encontrado que la conexión de los usuarios potenciales ha sido muy baja, debido al poco interés de los usuarios de contar con un servicio por redes, ya que consideran que los costos de la conexión e instalación interna son altos, ya que son viviendas de bajos recursos económicos y también por los subsidios a los cilindros de gas en el departamento de Nariño. </w:t>
      </w:r>
    </w:p>
    <w:p w14:paraId="0FF64C50" w14:textId="77777777" w:rsidR="00D15F3C" w:rsidRPr="00DD428C" w:rsidRDefault="00D15F3C" w:rsidP="00E22360">
      <w:pPr>
        <w:spacing w:after="0" w:line="360" w:lineRule="auto"/>
        <w:ind w:left="567" w:right="567"/>
        <w:jc w:val="both"/>
        <w:rPr>
          <w:rFonts w:ascii="Helvetica" w:hAnsi="Helvetica" w:cs="Helvetica"/>
          <w:i/>
          <w:iCs/>
        </w:rPr>
      </w:pPr>
      <w:r w:rsidRPr="00DD428C">
        <w:rPr>
          <w:rFonts w:ascii="Helvetica" w:hAnsi="Helvetica" w:cs="Helvetica"/>
          <w:i/>
          <w:iCs/>
        </w:rPr>
        <w:t>Finalmente, la CREG mediante la Resolución 502 048 de 2023 publicada en el Diario Oficial el 6 de diciembre de 2023, aprobó el Cargo de Distribución con base en la metodología de la Resolución CREG 202 de 2013, desconociendo la información histórica del mercado y considerando solo las proyecciones presentadas en el año 2017 por la empresa.</w:t>
      </w:r>
    </w:p>
    <w:tbl>
      <w:tblPr>
        <w:tblStyle w:val="Tablaconcuadrcula"/>
        <w:tblW w:w="0" w:type="auto"/>
        <w:tblLook w:val="04A0" w:firstRow="1" w:lastRow="0" w:firstColumn="1" w:lastColumn="0" w:noHBand="0" w:noVBand="1"/>
      </w:tblPr>
      <w:tblGrid>
        <w:gridCol w:w="5807"/>
        <w:gridCol w:w="1276"/>
        <w:gridCol w:w="1745"/>
      </w:tblGrid>
      <w:tr w:rsidR="00D15F3C" w:rsidRPr="00DD428C" w14:paraId="2F584013" w14:textId="77777777" w:rsidTr="00D82BC4">
        <w:trPr>
          <w:trHeight w:val="567"/>
          <w:tblHeader/>
        </w:trPr>
        <w:tc>
          <w:tcPr>
            <w:tcW w:w="8828" w:type="dxa"/>
            <w:gridSpan w:val="3"/>
            <w:shd w:val="clear" w:color="auto" w:fill="BFBFBF" w:themeFill="background1" w:themeFillShade="BF"/>
            <w:vAlign w:val="center"/>
          </w:tcPr>
          <w:p w14:paraId="76DA4A10" w14:textId="77777777" w:rsidR="00D15F3C" w:rsidRPr="00DD428C" w:rsidRDefault="00D15F3C" w:rsidP="00D15F3C">
            <w:pPr>
              <w:jc w:val="center"/>
              <w:rPr>
                <w:rFonts w:ascii="Helvetica" w:hAnsi="Helvetica" w:cs="Helvetica"/>
                <w:b/>
                <w:bCs/>
                <w:i/>
                <w:iCs/>
                <w:sz w:val="22"/>
                <w:szCs w:val="22"/>
              </w:rPr>
            </w:pPr>
            <w:r w:rsidRPr="00DD428C">
              <w:rPr>
                <w:rFonts w:ascii="Helvetica" w:hAnsi="Helvetica" w:cs="Helvetica"/>
                <w:b/>
                <w:bCs/>
                <w:i/>
                <w:iCs/>
                <w:sz w:val="22"/>
                <w:szCs w:val="22"/>
              </w:rPr>
              <w:t>Usuarios de Uso Residencial y Usuarios Diferentes a los de Uso Residencial</w:t>
            </w:r>
          </w:p>
        </w:tc>
      </w:tr>
      <w:tr w:rsidR="00D15F3C" w:rsidRPr="00DD428C" w14:paraId="7393D90D" w14:textId="77777777" w:rsidTr="00D82BC4">
        <w:trPr>
          <w:trHeight w:val="567"/>
          <w:tblHeader/>
        </w:trPr>
        <w:tc>
          <w:tcPr>
            <w:tcW w:w="5807" w:type="dxa"/>
            <w:shd w:val="clear" w:color="auto" w:fill="BFBFBF" w:themeFill="background1" w:themeFillShade="BF"/>
            <w:vAlign w:val="center"/>
          </w:tcPr>
          <w:p w14:paraId="679EE0E8" w14:textId="77777777" w:rsidR="00D15F3C" w:rsidRPr="00DD428C" w:rsidRDefault="00D15F3C" w:rsidP="00D15F3C">
            <w:pPr>
              <w:jc w:val="center"/>
              <w:rPr>
                <w:rFonts w:ascii="Helvetica" w:hAnsi="Helvetica" w:cs="Helvetica"/>
                <w:b/>
                <w:bCs/>
                <w:i/>
                <w:iCs/>
                <w:sz w:val="22"/>
                <w:szCs w:val="22"/>
              </w:rPr>
            </w:pPr>
            <w:r w:rsidRPr="00DD428C">
              <w:rPr>
                <w:rFonts w:ascii="Helvetica" w:hAnsi="Helvetica" w:cs="Helvetica"/>
                <w:b/>
                <w:bCs/>
                <w:i/>
                <w:iCs/>
                <w:sz w:val="22"/>
                <w:szCs w:val="22"/>
              </w:rPr>
              <w:t>Componente</w:t>
            </w:r>
          </w:p>
        </w:tc>
        <w:tc>
          <w:tcPr>
            <w:tcW w:w="1276" w:type="dxa"/>
            <w:shd w:val="clear" w:color="auto" w:fill="BFBFBF" w:themeFill="background1" w:themeFillShade="BF"/>
            <w:vAlign w:val="center"/>
          </w:tcPr>
          <w:p w14:paraId="55271379" w14:textId="77777777" w:rsidR="00D15F3C" w:rsidRPr="00DD428C" w:rsidRDefault="00D15F3C" w:rsidP="00D15F3C">
            <w:pPr>
              <w:jc w:val="center"/>
              <w:rPr>
                <w:rFonts w:ascii="Helvetica" w:hAnsi="Helvetica" w:cs="Helvetica"/>
                <w:b/>
                <w:bCs/>
                <w:i/>
                <w:iCs/>
                <w:sz w:val="22"/>
                <w:szCs w:val="22"/>
              </w:rPr>
            </w:pPr>
          </w:p>
        </w:tc>
        <w:tc>
          <w:tcPr>
            <w:tcW w:w="1745" w:type="dxa"/>
            <w:shd w:val="clear" w:color="auto" w:fill="BFBFBF" w:themeFill="background1" w:themeFillShade="BF"/>
            <w:vAlign w:val="center"/>
          </w:tcPr>
          <w:p w14:paraId="5722F813" w14:textId="77777777" w:rsidR="00D15F3C" w:rsidRPr="00DD428C" w:rsidRDefault="00D15F3C" w:rsidP="00D15F3C">
            <w:pPr>
              <w:jc w:val="center"/>
              <w:rPr>
                <w:rFonts w:ascii="Helvetica" w:hAnsi="Helvetica" w:cs="Helvetica"/>
                <w:b/>
                <w:bCs/>
                <w:i/>
                <w:iCs/>
                <w:sz w:val="22"/>
                <w:szCs w:val="22"/>
              </w:rPr>
            </w:pPr>
            <w:r w:rsidRPr="00DD428C">
              <w:rPr>
                <w:rFonts w:ascii="Helvetica" w:hAnsi="Helvetica" w:cs="Helvetica"/>
                <w:b/>
                <w:bCs/>
                <w:i/>
                <w:iCs/>
                <w:sz w:val="22"/>
                <w:szCs w:val="22"/>
              </w:rPr>
              <w:t>2022 en adelante</w:t>
            </w:r>
          </w:p>
        </w:tc>
      </w:tr>
      <w:tr w:rsidR="00D15F3C" w:rsidRPr="00DD428C" w14:paraId="59965F2F" w14:textId="77777777" w:rsidTr="00965712">
        <w:trPr>
          <w:trHeight w:val="340"/>
        </w:trPr>
        <w:tc>
          <w:tcPr>
            <w:tcW w:w="5807" w:type="dxa"/>
            <w:vAlign w:val="center"/>
          </w:tcPr>
          <w:p w14:paraId="09FAB3FF" w14:textId="77777777" w:rsidR="00D15F3C" w:rsidRPr="00DD428C" w:rsidRDefault="00D15F3C" w:rsidP="00D15F3C">
            <w:pPr>
              <w:jc w:val="center"/>
              <w:rPr>
                <w:rFonts w:ascii="Helvetica" w:hAnsi="Helvetica" w:cs="Helvetica"/>
                <w:i/>
                <w:iCs/>
                <w:sz w:val="22"/>
                <w:szCs w:val="22"/>
              </w:rPr>
            </w:pPr>
            <w:r w:rsidRPr="00DD428C">
              <w:rPr>
                <w:rFonts w:ascii="Helvetica" w:hAnsi="Helvetica" w:cs="Helvetica"/>
                <w:i/>
                <w:iCs/>
                <w:sz w:val="22"/>
                <w:szCs w:val="22"/>
              </w:rPr>
              <w:t>Cargo de distribución Total</w:t>
            </w:r>
          </w:p>
        </w:tc>
        <w:tc>
          <w:tcPr>
            <w:tcW w:w="1276" w:type="dxa"/>
            <w:vAlign w:val="center"/>
          </w:tcPr>
          <w:p w14:paraId="71D8033E" w14:textId="77777777" w:rsidR="00D15F3C" w:rsidRPr="00DD428C" w:rsidRDefault="00D15F3C" w:rsidP="00D15F3C">
            <w:pPr>
              <w:jc w:val="center"/>
              <w:rPr>
                <w:rFonts w:ascii="Helvetica" w:hAnsi="Helvetica" w:cs="Helvetica"/>
                <w:i/>
                <w:iCs/>
                <w:sz w:val="22"/>
                <w:szCs w:val="22"/>
              </w:rPr>
            </w:pPr>
            <w:r w:rsidRPr="00DD428C">
              <w:rPr>
                <w:rFonts w:ascii="Helvetica" w:hAnsi="Helvetica" w:cs="Helvetica"/>
                <w:i/>
                <w:iCs/>
                <w:sz w:val="22"/>
                <w:szCs w:val="22"/>
              </w:rPr>
              <w:t>$/m</w:t>
            </w:r>
            <w:r w:rsidRPr="00DD428C">
              <w:rPr>
                <w:rFonts w:ascii="Helvetica" w:hAnsi="Helvetica" w:cs="Helvetica"/>
                <w:i/>
                <w:iCs/>
                <w:sz w:val="22"/>
                <w:szCs w:val="22"/>
                <w:vertAlign w:val="superscript"/>
              </w:rPr>
              <w:t>3</w:t>
            </w:r>
          </w:p>
        </w:tc>
        <w:tc>
          <w:tcPr>
            <w:tcW w:w="1745" w:type="dxa"/>
            <w:vAlign w:val="center"/>
          </w:tcPr>
          <w:p w14:paraId="070157EA" w14:textId="77777777" w:rsidR="00D15F3C" w:rsidRPr="00DD428C" w:rsidRDefault="00D15F3C" w:rsidP="00D15F3C">
            <w:pPr>
              <w:jc w:val="center"/>
              <w:rPr>
                <w:rFonts w:ascii="Helvetica" w:hAnsi="Helvetica" w:cs="Helvetica"/>
                <w:i/>
                <w:iCs/>
                <w:sz w:val="22"/>
                <w:szCs w:val="22"/>
              </w:rPr>
            </w:pPr>
            <w:r w:rsidRPr="00DD428C">
              <w:rPr>
                <w:rFonts w:ascii="Helvetica" w:hAnsi="Helvetica" w:cs="Helvetica"/>
                <w:i/>
                <w:iCs/>
                <w:sz w:val="22"/>
                <w:szCs w:val="22"/>
              </w:rPr>
              <w:t>964.820</w:t>
            </w:r>
          </w:p>
        </w:tc>
      </w:tr>
      <w:tr w:rsidR="00D15F3C" w:rsidRPr="00DD428C" w14:paraId="7782A953" w14:textId="77777777" w:rsidTr="00965712">
        <w:trPr>
          <w:trHeight w:val="624"/>
        </w:trPr>
        <w:tc>
          <w:tcPr>
            <w:tcW w:w="5807" w:type="dxa"/>
            <w:vAlign w:val="center"/>
          </w:tcPr>
          <w:p w14:paraId="78CE6A3C" w14:textId="77777777" w:rsidR="00D15F3C" w:rsidRPr="00DD428C" w:rsidRDefault="00D15F3C" w:rsidP="00D15F3C">
            <w:pPr>
              <w:jc w:val="center"/>
              <w:rPr>
                <w:rFonts w:ascii="Helvetica" w:hAnsi="Helvetica" w:cs="Helvetica"/>
                <w:i/>
                <w:iCs/>
                <w:sz w:val="22"/>
                <w:szCs w:val="22"/>
              </w:rPr>
            </w:pPr>
            <w:r w:rsidRPr="00DD428C">
              <w:rPr>
                <w:rFonts w:ascii="Helvetica" w:hAnsi="Helvetica" w:cs="Helvetica"/>
                <w:i/>
                <w:iCs/>
                <w:sz w:val="22"/>
                <w:szCs w:val="22"/>
              </w:rPr>
              <w:t>Componente de inversión pagada con recursos de Gas Tumaco del Pacífico S.A.S. E.S.P.</w:t>
            </w:r>
          </w:p>
        </w:tc>
        <w:tc>
          <w:tcPr>
            <w:tcW w:w="1276" w:type="dxa"/>
            <w:vAlign w:val="center"/>
          </w:tcPr>
          <w:p w14:paraId="21CE69AC" w14:textId="77777777" w:rsidR="00D15F3C" w:rsidRPr="00DD428C" w:rsidRDefault="00D15F3C" w:rsidP="00D15F3C">
            <w:pPr>
              <w:jc w:val="center"/>
              <w:rPr>
                <w:rFonts w:ascii="Helvetica" w:hAnsi="Helvetica" w:cs="Helvetica"/>
                <w:i/>
                <w:iCs/>
                <w:sz w:val="22"/>
                <w:szCs w:val="22"/>
              </w:rPr>
            </w:pPr>
            <w:r w:rsidRPr="00DD428C">
              <w:rPr>
                <w:rFonts w:ascii="Helvetica" w:hAnsi="Helvetica" w:cs="Helvetica"/>
                <w:i/>
                <w:iCs/>
                <w:sz w:val="22"/>
                <w:szCs w:val="22"/>
              </w:rPr>
              <w:t>$/m</w:t>
            </w:r>
            <w:r w:rsidRPr="00DD428C">
              <w:rPr>
                <w:rFonts w:ascii="Helvetica" w:hAnsi="Helvetica" w:cs="Helvetica"/>
                <w:i/>
                <w:iCs/>
                <w:sz w:val="22"/>
                <w:szCs w:val="22"/>
                <w:vertAlign w:val="superscript"/>
              </w:rPr>
              <w:t>3</w:t>
            </w:r>
          </w:p>
        </w:tc>
        <w:tc>
          <w:tcPr>
            <w:tcW w:w="1745" w:type="dxa"/>
            <w:vAlign w:val="center"/>
          </w:tcPr>
          <w:p w14:paraId="06B8B84A" w14:textId="77777777" w:rsidR="00D15F3C" w:rsidRPr="00DD428C" w:rsidRDefault="00D15F3C" w:rsidP="00D15F3C">
            <w:pPr>
              <w:jc w:val="center"/>
              <w:rPr>
                <w:rFonts w:ascii="Helvetica" w:hAnsi="Helvetica" w:cs="Helvetica"/>
                <w:i/>
                <w:iCs/>
                <w:sz w:val="22"/>
                <w:szCs w:val="22"/>
              </w:rPr>
            </w:pPr>
            <w:r w:rsidRPr="00DD428C">
              <w:rPr>
                <w:rFonts w:ascii="Helvetica" w:hAnsi="Helvetica" w:cs="Helvetica"/>
                <w:i/>
                <w:iCs/>
                <w:sz w:val="22"/>
                <w:szCs w:val="22"/>
              </w:rPr>
              <w:t>726.230</w:t>
            </w:r>
          </w:p>
        </w:tc>
      </w:tr>
      <w:tr w:rsidR="00D15F3C" w:rsidRPr="00DD428C" w14:paraId="31828704" w14:textId="77777777" w:rsidTr="00965712">
        <w:trPr>
          <w:trHeight w:val="340"/>
        </w:trPr>
        <w:tc>
          <w:tcPr>
            <w:tcW w:w="5807" w:type="dxa"/>
            <w:vAlign w:val="center"/>
          </w:tcPr>
          <w:p w14:paraId="6AA6C910" w14:textId="77777777" w:rsidR="00D15F3C" w:rsidRPr="00DD428C" w:rsidRDefault="00D15F3C" w:rsidP="00D15F3C">
            <w:pPr>
              <w:jc w:val="center"/>
              <w:rPr>
                <w:rFonts w:ascii="Helvetica" w:hAnsi="Helvetica" w:cs="Helvetica"/>
                <w:i/>
                <w:iCs/>
                <w:sz w:val="22"/>
                <w:szCs w:val="22"/>
              </w:rPr>
            </w:pPr>
            <w:r w:rsidRPr="00DD428C">
              <w:rPr>
                <w:rFonts w:ascii="Helvetica" w:hAnsi="Helvetica" w:cs="Helvetica"/>
                <w:i/>
                <w:iCs/>
                <w:sz w:val="22"/>
                <w:szCs w:val="22"/>
              </w:rPr>
              <w:t>Componente Gastos AOM.</w:t>
            </w:r>
          </w:p>
        </w:tc>
        <w:tc>
          <w:tcPr>
            <w:tcW w:w="1276" w:type="dxa"/>
            <w:vAlign w:val="center"/>
          </w:tcPr>
          <w:p w14:paraId="1B7C6B04" w14:textId="77777777" w:rsidR="00D15F3C" w:rsidRPr="00DD428C" w:rsidRDefault="00D15F3C" w:rsidP="00D15F3C">
            <w:pPr>
              <w:jc w:val="center"/>
              <w:rPr>
                <w:rFonts w:ascii="Helvetica" w:hAnsi="Helvetica" w:cs="Helvetica"/>
                <w:i/>
                <w:iCs/>
                <w:sz w:val="22"/>
                <w:szCs w:val="22"/>
              </w:rPr>
            </w:pPr>
            <w:r w:rsidRPr="00DD428C">
              <w:rPr>
                <w:rFonts w:ascii="Helvetica" w:hAnsi="Helvetica" w:cs="Helvetica"/>
                <w:i/>
                <w:iCs/>
                <w:sz w:val="22"/>
                <w:szCs w:val="22"/>
              </w:rPr>
              <w:t>$/m</w:t>
            </w:r>
            <w:r w:rsidRPr="00DD428C">
              <w:rPr>
                <w:rFonts w:ascii="Helvetica" w:hAnsi="Helvetica" w:cs="Helvetica"/>
                <w:i/>
                <w:iCs/>
                <w:sz w:val="22"/>
                <w:szCs w:val="22"/>
                <w:vertAlign w:val="superscript"/>
              </w:rPr>
              <w:t>3</w:t>
            </w:r>
          </w:p>
        </w:tc>
        <w:tc>
          <w:tcPr>
            <w:tcW w:w="1745" w:type="dxa"/>
            <w:vAlign w:val="center"/>
          </w:tcPr>
          <w:p w14:paraId="0F224A21" w14:textId="77777777" w:rsidR="00D15F3C" w:rsidRPr="00DD428C" w:rsidRDefault="00D15F3C" w:rsidP="00D15F3C">
            <w:pPr>
              <w:jc w:val="center"/>
              <w:rPr>
                <w:rFonts w:ascii="Helvetica" w:hAnsi="Helvetica" w:cs="Helvetica"/>
                <w:i/>
                <w:iCs/>
                <w:sz w:val="22"/>
                <w:szCs w:val="22"/>
              </w:rPr>
            </w:pPr>
            <w:r w:rsidRPr="00DD428C">
              <w:rPr>
                <w:rFonts w:ascii="Helvetica" w:hAnsi="Helvetica" w:cs="Helvetica"/>
                <w:i/>
                <w:iCs/>
                <w:sz w:val="22"/>
                <w:szCs w:val="22"/>
              </w:rPr>
              <w:t>238.580</w:t>
            </w:r>
          </w:p>
        </w:tc>
      </w:tr>
    </w:tbl>
    <w:p w14:paraId="778272AD" w14:textId="77777777" w:rsidR="00D15F3C" w:rsidRPr="00DD428C" w:rsidRDefault="00D15F3C" w:rsidP="00965712">
      <w:pPr>
        <w:spacing w:after="100" w:afterAutospacing="1" w:line="360" w:lineRule="auto"/>
        <w:rPr>
          <w:rFonts w:ascii="Helvetica" w:hAnsi="Helvetica" w:cs="Helvetica"/>
          <w:i/>
          <w:iCs/>
          <w:sz w:val="20"/>
          <w:szCs w:val="20"/>
        </w:rPr>
      </w:pPr>
      <w:r w:rsidRPr="00DD428C">
        <w:rPr>
          <w:rFonts w:ascii="Helvetica" w:hAnsi="Helvetica" w:cs="Helvetica"/>
          <w:i/>
          <w:iCs/>
          <w:sz w:val="20"/>
          <w:szCs w:val="20"/>
        </w:rPr>
        <w:lastRenderedPageBreak/>
        <w:t xml:space="preserve">Cifras en pesos colombianos del 31 de diciembre de 2019. </w:t>
      </w:r>
    </w:p>
    <w:p w14:paraId="187E81EF" w14:textId="6A80AFE3" w:rsidR="00253A7D" w:rsidRPr="00DD428C" w:rsidRDefault="00D15F3C" w:rsidP="00E22360">
      <w:pPr>
        <w:spacing w:after="0" w:line="360" w:lineRule="auto"/>
        <w:ind w:left="567" w:right="567"/>
        <w:jc w:val="both"/>
        <w:rPr>
          <w:rFonts w:ascii="Helvetica" w:hAnsi="Helvetica" w:cs="Helvetica"/>
          <w:i/>
          <w:iCs/>
        </w:rPr>
      </w:pPr>
      <w:r w:rsidRPr="00DD428C">
        <w:rPr>
          <w:rFonts w:ascii="Helvetica" w:hAnsi="Helvetica" w:cs="Helvetica"/>
          <w:i/>
          <w:iCs/>
        </w:rPr>
        <w:t>La situación actual de baja demanda y bajos cargos de Distribución y Comercialización en el mercado de San Andrés de Tumaco, comprometen en forma grave la capacidad financiera de la empresa para continuar prestando el servicio en las condiciones tarifarias previstas”.</w:t>
      </w:r>
    </w:p>
    <w:p w14:paraId="640303C5" w14:textId="0773323F" w:rsidR="00D15F3C" w:rsidRDefault="00DA0DC1" w:rsidP="00E22360">
      <w:pPr>
        <w:autoSpaceDE w:val="0"/>
        <w:autoSpaceDN w:val="0"/>
        <w:adjustRightInd w:val="0"/>
        <w:spacing w:after="0" w:line="360" w:lineRule="auto"/>
        <w:ind w:left="567" w:right="567"/>
        <w:jc w:val="both"/>
        <w:rPr>
          <w:rFonts w:ascii="Helvetica" w:hAnsi="Helvetica" w:cs="Helvetica"/>
          <w:sz w:val="24"/>
          <w:szCs w:val="24"/>
        </w:rPr>
      </w:pPr>
      <w:r>
        <w:rPr>
          <w:rFonts w:ascii="Helvetica" w:hAnsi="Helvetica" w:cs="Helvetica"/>
          <w:sz w:val="24"/>
          <w:szCs w:val="24"/>
        </w:rPr>
        <w:t>Asimismo, la Empresa señala como fundamento de su solicitud, los artículos 126 y 87 de la Ley 142 de 1994</w:t>
      </w:r>
      <w:r w:rsidR="001C79C7">
        <w:rPr>
          <w:rFonts w:ascii="Helvetica" w:hAnsi="Helvetica" w:cs="Helvetica"/>
          <w:sz w:val="24"/>
          <w:szCs w:val="24"/>
        </w:rPr>
        <w:t>,</w:t>
      </w:r>
      <w:r w:rsidR="008F434F">
        <w:rPr>
          <w:rFonts w:ascii="Helvetica" w:hAnsi="Helvetica" w:cs="Helvetica"/>
          <w:sz w:val="24"/>
          <w:szCs w:val="24"/>
        </w:rPr>
        <w:t xml:space="preserve"> </w:t>
      </w:r>
      <w:r w:rsidR="001C79C7">
        <w:rPr>
          <w:rFonts w:ascii="Helvetica" w:hAnsi="Helvetica" w:cs="Helvetica"/>
          <w:sz w:val="24"/>
          <w:szCs w:val="24"/>
        </w:rPr>
        <w:t>observándose el especial énfasis</w:t>
      </w:r>
      <w:r w:rsidR="008F434F">
        <w:rPr>
          <w:rFonts w:ascii="Helvetica" w:hAnsi="Helvetica" w:cs="Helvetica"/>
          <w:sz w:val="24"/>
          <w:szCs w:val="24"/>
        </w:rPr>
        <w:t xml:space="preserve"> que</w:t>
      </w:r>
      <w:r w:rsidR="001C79C7">
        <w:rPr>
          <w:rFonts w:ascii="Helvetica" w:hAnsi="Helvetica" w:cs="Helvetica"/>
          <w:sz w:val="24"/>
          <w:szCs w:val="24"/>
        </w:rPr>
        <w:t xml:space="preserve"> hace</w:t>
      </w:r>
      <w:r w:rsidR="008F434F">
        <w:rPr>
          <w:rFonts w:ascii="Helvetica" w:hAnsi="Helvetica" w:cs="Helvetica"/>
          <w:sz w:val="24"/>
          <w:szCs w:val="24"/>
        </w:rPr>
        <w:t xml:space="preserve"> la Empresa en </w:t>
      </w:r>
      <w:r w:rsidR="001C79C7">
        <w:rPr>
          <w:rFonts w:ascii="Helvetica" w:hAnsi="Helvetica" w:cs="Helvetica"/>
          <w:sz w:val="24"/>
          <w:szCs w:val="24"/>
        </w:rPr>
        <w:t>el</w:t>
      </w:r>
      <w:r w:rsidR="008F434F">
        <w:rPr>
          <w:rFonts w:ascii="Helvetica" w:hAnsi="Helvetica" w:cs="Helvetica"/>
          <w:sz w:val="24"/>
          <w:szCs w:val="24"/>
        </w:rPr>
        <w:t xml:space="preserve"> principio de SUFICIENCIA FINANCIERA</w:t>
      </w:r>
      <w:r w:rsidR="001C79C7">
        <w:rPr>
          <w:rFonts w:ascii="Helvetica" w:hAnsi="Helvetica" w:cs="Helvetica"/>
          <w:sz w:val="24"/>
          <w:szCs w:val="24"/>
        </w:rPr>
        <w:t>.</w:t>
      </w:r>
      <w:r w:rsidR="00510E40">
        <w:rPr>
          <w:rFonts w:ascii="Helvetica" w:hAnsi="Helvetica" w:cs="Helvetica"/>
          <w:sz w:val="24"/>
          <w:szCs w:val="24"/>
        </w:rPr>
        <w:t xml:space="preserve"> </w:t>
      </w:r>
      <w:r>
        <w:rPr>
          <w:rFonts w:ascii="Helvetica" w:hAnsi="Helvetica" w:cs="Helvetica"/>
          <w:sz w:val="24"/>
          <w:szCs w:val="24"/>
        </w:rPr>
        <w:t xml:space="preserve"> A continuación, se presenta su argumento:</w:t>
      </w:r>
    </w:p>
    <w:p w14:paraId="4DFFAB14" w14:textId="17A7E2B7" w:rsidR="00A018B9" w:rsidRPr="00DD428C" w:rsidRDefault="00DA0DC1" w:rsidP="00E22360">
      <w:pPr>
        <w:spacing w:after="0" w:line="360" w:lineRule="auto"/>
        <w:ind w:left="567" w:right="567"/>
        <w:jc w:val="both"/>
        <w:rPr>
          <w:rFonts w:ascii="Helvetica" w:hAnsi="Helvetica" w:cs="Helvetica"/>
          <w:i/>
          <w:iCs/>
        </w:rPr>
      </w:pPr>
      <w:r w:rsidRPr="00DD428C">
        <w:rPr>
          <w:rFonts w:ascii="Helvetica" w:hAnsi="Helvetica" w:cs="Helvetica"/>
          <w:i/>
          <w:iCs/>
        </w:rPr>
        <w:t>“</w:t>
      </w:r>
      <w:r w:rsidR="00A018B9" w:rsidRPr="00DD428C">
        <w:rPr>
          <w:rFonts w:ascii="Helvetica" w:hAnsi="Helvetica" w:cs="Helvetica"/>
          <w:i/>
          <w:iCs/>
        </w:rPr>
        <w:t xml:space="preserve">FUNDAMENTOS DE LA PETICION </w:t>
      </w:r>
    </w:p>
    <w:p w14:paraId="6452F614" w14:textId="77777777" w:rsidR="00A018B9" w:rsidRPr="00DD428C" w:rsidRDefault="00A018B9" w:rsidP="00E22360">
      <w:pPr>
        <w:pStyle w:val="Default"/>
        <w:spacing w:line="360" w:lineRule="auto"/>
        <w:ind w:left="567" w:right="567"/>
        <w:jc w:val="both"/>
        <w:rPr>
          <w:rFonts w:ascii="Helvetica" w:hAnsi="Helvetica" w:cs="Helvetica"/>
          <w:i/>
          <w:iCs/>
          <w:sz w:val="22"/>
          <w:szCs w:val="22"/>
        </w:rPr>
      </w:pPr>
      <w:r w:rsidRPr="00DD428C">
        <w:rPr>
          <w:rFonts w:ascii="Helvetica" w:hAnsi="Helvetica" w:cs="Helvetica"/>
          <w:i/>
          <w:iCs/>
          <w:sz w:val="22"/>
          <w:szCs w:val="22"/>
        </w:rPr>
        <w:t xml:space="preserve">Las razones en las que se fundamenta la petición son las siguientes: </w:t>
      </w:r>
    </w:p>
    <w:p w14:paraId="5DB758F9" w14:textId="77777777" w:rsidR="00A018B9" w:rsidRPr="00DD428C" w:rsidRDefault="00A018B9" w:rsidP="00E22360">
      <w:pPr>
        <w:pStyle w:val="Default"/>
        <w:spacing w:line="360" w:lineRule="auto"/>
        <w:ind w:left="567" w:right="567"/>
        <w:jc w:val="both"/>
        <w:rPr>
          <w:rFonts w:ascii="Helvetica" w:hAnsi="Helvetica" w:cs="Helvetica"/>
          <w:i/>
          <w:iCs/>
          <w:sz w:val="22"/>
          <w:szCs w:val="22"/>
        </w:rPr>
      </w:pPr>
      <w:r w:rsidRPr="00DD428C">
        <w:rPr>
          <w:rFonts w:ascii="Helvetica" w:hAnsi="Helvetica" w:cs="Helvetica"/>
          <w:i/>
          <w:iCs/>
          <w:sz w:val="22"/>
          <w:szCs w:val="22"/>
        </w:rPr>
        <w:t xml:space="preserve">ARTICULO 126. Ley 142 de 1994. Vigencia de las fórmulas de tarifas. Las fórmulas tarifarias tendrán una vigencia de cinco años, salvo que antes haya acuerdo entre la empresa de servicios públicos y la comisión para modificarlas o prorrogarlas por un período igual. Excepcionalmente podrán modificarse, de oficio o a petición de parte, antes del plazo indicado cuando sea evidente que se cometieron graves errores en su cálculo, que lesionan injustamente los intereses de los usuarios o de la empresa; o que ha habido razones de caso fortuito o fuerza mayor que comprometen en forma grave la capacidad financiera de la empresa para continuar prestando el servicio en las condiciones tarifarias previstas. </w:t>
      </w:r>
    </w:p>
    <w:p w14:paraId="5DDD1E06" w14:textId="77777777" w:rsidR="00A018B9" w:rsidRPr="00DD428C" w:rsidRDefault="00A018B9" w:rsidP="00E22360">
      <w:pPr>
        <w:pStyle w:val="Default"/>
        <w:spacing w:line="360" w:lineRule="auto"/>
        <w:ind w:left="567" w:right="567"/>
        <w:jc w:val="both"/>
        <w:rPr>
          <w:rFonts w:ascii="Helvetica" w:hAnsi="Helvetica" w:cs="Helvetica"/>
          <w:i/>
          <w:iCs/>
          <w:sz w:val="22"/>
          <w:szCs w:val="22"/>
        </w:rPr>
      </w:pPr>
      <w:r w:rsidRPr="00DD428C">
        <w:rPr>
          <w:rFonts w:ascii="Helvetica" w:hAnsi="Helvetica" w:cs="Helvetica"/>
          <w:i/>
          <w:iCs/>
          <w:sz w:val="22"/>
          <w:szCs w:val="22"/>
        </w:rPr>
        <w:t xml:space="preserve">Vencido el período de vigencia de las fórmulas tarifarias, continuarán rigiendo mientras la comisión no fije las nuevas. </w:t>
      </w:r>
    </w:p>
    <w:p w14:paraId="06D5B6A8" w14:textId="77777777" w:rsidR="00A018B9" w:rsidRPr="00DD428C" w:rsidRDefault="00A018B9" w:rsidP="00E22360">
      <w:pPr>
        <w:pStyle w:val="Default"/>
        <w:spacing w:line="360" w:lineRule="auto"/>
        <w:ind w:left="567" w:right="567"/>
        <w:jc w:val="both"/>
        <w:rPr>
          <w:rFonts w:ascii="Helvetica" w:hAnsi="Helvetica" w:cs="Helvetica"/>
          <w:i/>
          <w:iCs/>
          <w:sz w:val="22"/>
          <w:szCs w:val="22"/>
        </w:rPr>
      </w:pPr>
      <w:r w:rsidRPr="00DD428C">
        <w:rPr>
          <w:rFonts w:ascii="Helvetica" w:hAnsi="Helvetica" w:cs="Helvetica"/>
          <w:i/>
          <w:iCs/>
          <w:sz w:val="22"/>
          <w:szCs w:val="22"/>
        </w:rPr>
        <w:t xml:space="preserve">ARTICULO 87.- Criterios para definir el régimen tarifario. El régimen tarifario estará orientado por los criterios de eficiencia económica, neutralidad, solidaridad, redistribución, </w:t>
      </w:r>
      <w:r w:rsidRPr="00DD428C">
        <w:rPr>
          <w:rFonts w:ascii="Helvetica" w:hAnsi="Helvetica" w:cs="Helvetica"/>
          <w:b/>
          <w:bCs/>
          <w:i/>
          <w:iCs/>
          <w:sz w:val="22"/>
          <w:szCs w:val="22"/>
        </w:rPr>
        <w:t>suficiencia financiera</w:t>
      </w:r>
      <w:r w:rsidRPr="00DD428C">
        <w:rPr>
          <w:rFonts w:ascii="Helvetica" w:hAnsi="Helvetica" w:cs="Helvetica"/>
          <w:i/>
          <w:iCs/>
          <w:sz w:val="22"/>
          <w:szCs w:val="22"/>
        </w:rPr>
        <w:t xml:space="preserve">, simplicidad y transparencia. (Negrilla fuera de texto) </w:t>
      </w:r>
    </w:p>
    <w:p w14:paraId="43FEF980" w14:textId="77777777" w:rsidR="008F434F" w:rsidRPr="00DD428C" w:rsidRDefault="00A018B9" w:rsidP="00E22360">
      <w:pPr>
        <w:spacing w:after="0" w:line="360" w:lineRule="auto"/>
        <w:ind w:left="567" w:right="567"/>
        <w:jc w:val="both"/>
        <w:rPr>
          <w:rFonts w:ascii="Helvetica" w:hAnsi="Helvetica" w:cs="Helvetica"/>
          <w:i/>
          <w:iCs/>
        </w:rPr>
      </w:pPr>
      <w:r w:rsidRPr="00DD428C">
        <w:rPr>
          <w:rFonts w:ascii="Helvetica" w:hAnsi="Helvetica" w:cs="Helvetica"/>
          <w:i/>
          <w:iCs/>
        </w:rPr>
        <w:t xml:space="preserve">87.1.- Por eficiencia económica se entiende que el régimen de tarifas procurará que éstas se aproximen a lo que serían los precios de un mercado competitivo; que las fórmulas tarifarias deben tener en cuenta no solo los costos sino los aumentos de productividad esperados, y que éstos deben distribuirse entre la empresa y los usuarios, tal como ocurriría en un mercado competitivo; y que las </w:t>
      </w:r>
      <w:r w:rsidRPr="00DD428C">
        <w:rPr>
          <w:rFonts w:ascii="Helvetica" w:hAnsi="Helvetica" w:cs="Helvetica"/>
          <w:i/>
          <w:iCs/>
        </w:rPr>
        <w:lastRenderedPageBreak/>
        <w:t>fórmulas tarifarias no pueden trasladar a los usuarios los costos de una gestión ineficiente, ni permitir que las empresas se apropien de las utilidades provenientes de prácticas restrictivas de la competencia. En el caso de servicios públicos sujetos a fórmulas tarifarias, las tarifas deben reflejar siempre tanto el nivel y la estructura de los costos económicos de prestar el servicio, como la demanda por éste</w:t>
      </w:r>
      <w:r w:rsidR="008F434F" w:rsidRPr="00DD428C">
        <w:rPr>
          <w:rFonts w:ascii="Helvetica" w:hAnsi="Helvetica" w:cs="Helvetica"/>
          <w:i/>
          <w:iCs/>
        </w:rPr>
        <w:t>.</w:t>
      </w:r>
    </w:p>
    <w:p w14:paraId="27B671BB" w14:textId="77777777" w:rsidR="008F434F" w:rsidRPr="00DD428C" w:rsidRDefault="008F434F" w:rsidP="00E22360">
      <w:pPr>
        <w:pStyle w:val="Default"/>
        <w:spacing w:line="360" w:lineRule="auto"/>
        <w:ind w:left="567" w:right="567"/>
        <w:jc w:val="both"/>
        <w:rPr>
          <w:rFonts w:ascii="Helvetica" w:hAnsi="Helvetica" w:cs="Helvetica"/>
          <w:i/>
          <w:iCs/>
          <w:sz w:val="22"/>
          <w:szCs w:val="22"/>
        </w:rPr>
      </w:pPr>
      <w:r w:rsidRPr="00DD428C">
        <w:rPr>
          <w:rFonts w:ascii="Helvetica" w:hAnsi="Helvetica" w:cs="Helvetica"/>
          <w:i/>
          <w:iCs/>
          <w:sz w:val="22"/>
          <w:szCs w:val="22"/>
        </w:rPr>
        <w:t xml:space="preserve">87.2.- Por neutralidad se entiende que cada consumidor tendrá el derecho a tener el mismo tratamiento tarifario que cualquier otro si las características de los costos que ocasiona a las empresas de servicios públicos son iguales. El ejercicio de este derecho no debe impedir que las empresas de servicios públicos ofrezcan opciones tarifarias y que el consumidor escoja la que convenga a sus necesidades. </w:t>
      </w:r>
    </w:p>
    <w:p w14:paraId="1D35CF54" w14:textId="77777777" w:rsidR="008F434F" w:rsidRPr="00DD428C" w:rsidRDefault="008F434F" w:rsidP="00E22360">
      <w:pPr>
        <w:pStyle w:val="Default"/>
        <w:spacing w:line="360" w:lineRule="auto"/>
        <w:ind w:left="567" w:right="567"/>
        <w:jc w:val="both"/>
        <w:rPr>
          <w:rFonts w:ascii="Helvetica" w:hAnsi="Helvetica" w:cs="Helvetica"/>
          <w:i/>
          <w:iCs/>
          <w:sz w:val="22"/>
          <w:szCs w:val="22"/>
        </w:rPr>
      </w:pPr>
      <w:r w:rsidRPr="00DD428C">
        <w:rPr>
          <w:rFonts w:ascii="Helvetica" w:hAnsi="Helvetica" w:cs="Helvetica"/>
          <w:i/>
          <w:iCs/>
          <w:sz w:val="22"/>
          <w:szCs w:val="22"/>
        </w:rPr>
        <w:t xml:space="preserve">87.3.- Por solidaridad y redistribución se entiende que al poner en práctica el régimen tarifario se adoptarán medidas para asignar recursos a "fondos de solidaridad y redistribución", para que los usuarios de los estratos altos y los usuarios comerciales e industriales, ayuden a los usuarios de estratos bajos a pagar las tarifas de los servicios que cubran sus necesidades básicas. </w:t>
      </w:r>
    </w:p>
    <w:p w14:paraId="345F8C6D" w14:textId="77777777" w:rsidR="008F434F" w:rsidRPr="00DD428C" w:rsidRDefault="008F434F" w:rsidP="00E22360">
      <w:pPr>
        <w:pStyle w:val="Default"/>
        <w:spacing w:line="360" w:lineRule="auto"/>
        <w:ind w:left="567" w:right="567"/>
        <w:jc w:val="both"/>
        <w:rPr>
          <w:rFonts w:ascii="Helvetica" w:hAnsi="Helvetica" w:cs="Helvetica"/>
          <w:i/>
          <w:iCs/>
          <w:sz w:val="22"/>
          <w:szCs w:val="22"/>
        </w:rPr>
      </w:pPr>
      <w:r w:rsidRPr="00DD428C">
        <w:rPr>
          <w:rFonts w:ascii="Helvetica" w:hAnsi="Helvetica" w:cs="Helvetica"/>
          <w:i/>
          <w:iCs/>
          <w:sz w:val="22"/>
          <w:szCs w:val="22"/>
        </w:rPr>
        <w:t xml:space="preserve">87.4.- Por suficiencia financiera se entiende que las fórmulas de tarifas garantizarán la recuperación de los costos y gastos propios de operación, incluyendo la expansión, la reposición y el mantenimiento; permitirán remunerar el patrimonio de los accionistas en la misma forma en la que lo habría remunerado una empresa eficiente en un sector de riesgo comparable; y permitirán utilizar las tecnologías y sistemas administrativos que garanticen la mejor calidad, continuidad y seguridad a sus usuarios. </w:t>
      </w:r>
    </w:p>
    <w:p w14:paraId="509B134E" w14:textId="77777777" w:rsidR="008F434F" w:rsidRPr="00DD428C" w:rsidRDefault="008F434F" w:rsidP="00E22360">
      <w:pPr>
        <w:pStyle w:val="Default"/>
        <w:spacing w:line="360" w:lineRule="auto"/>
        <w:ind w:left="567" w:right="567"/>
        <w:jc w:val="both"/>
        <w:rPr>
          <w:rFonts w:ascii="Helvetica" w:hAnsi="Helvetica" w:cs="Helvetica"/>
          <w:i/>
          <w:iCs/>
          <w:sz w:val="22"/>
          <w:szCs w:val="22"/>
        </w:rPr>
      </w:pPr>
      <w:r w:rsidRPr="00DD428C">
        <w:rPr>
          <w:rFonts w:ascii="Helvetica" w:hAnsi="Helvetica" w:cs="Helvetica"/>
          <w:i/>
          <w:iCs/>
          <w:sz w:val="22"/>
          <w:szCs w:val="22"/>
        </w:rPr>
        <w:t xml:space="preserve">87.5.- Por simplicidad se entiende que las fórmulas de tarifas se elaborarán en tal forma que se facilite su comprensión, aplicación y control. </w:t>
      </w:r>
    </w:p>
    <w:p w14:paraId="68406BC7" w14:textId="77777777" w:rsidR="008F434F" w:rsidRPr="00DD428C" w:rsidRDefault="008F434F" w:rsidP="00E22360">
      <w:pPr>
        <w:pStyle w:val="Default"/>
        <w:spacing w:line="360" w:lineRule="auto"/>
        <w:ind w:left="567" w:right="567"/>
        <w:jc w:val="both"/>
        <w:rPr>
          <w:rFonts w:ascii="Helvetica" w:hAnsi="Helvetica" w:cs="Helvetica"/>
          <w:i/>
          <w:iCs/>
          <w:sz w:val="22"/>
          <w:szCs w:val="22"/>
        </w:rPr>
      </w:pPr>
      <w:r w:rsidRPr="00DD428C">
        <w:rPr>
          <w:rFonts w:ascii="Helvetica" w:hAnsi="Helvetica" w:cs="Helvetica"/>
          <w:i/>
          <w:iCs/>
          <w:sz w:val="22"/>
          <w:szCs w:val="22"/>
        </w:rPr>
        <w:t xml:space="preserve">87.6.- Por transparencia se entiende que el régimen tarifario será explícito y completamente público para todas las partes involucradas en el servicio, y para los usuarios. </w:t>
      </w:r>
    </w:p>
    <w:p w14:paraId="7D6701B6" w14:textId="06F0B19E" w:rsidR="00DA0DC1" w:rsidRPr="00DD428C" w:rsidRDefault="008F434F" w:rsidP="00E22360">
      <w:pPr>
        <w:spacing w:after="0" w:line="360" w:lineRule="auto"/>
        <w:ind w:left="567" w:right="567"/>
        <w:jc w:val="both"/>
        <w:rPr>
          <w:rFonts w:ascii="Helvetica" w:hAnsi="Helvetica" w:cs="Helvetica"/>
          <w:i/>
          <w:iCs/>
        </w:rPr>
      </w:pPr>
      <w:r w:rsidRPr="00DD428C">
        <w:rPr>
          <w:rFonts w:ascii="Helvetica" w:hAnsi="Helvetica" w:cs="Helvetica"/>
          <w:i/>
          <w:iCs/>
        </w:rPr>
        <w:t xml:space="preserve">87.7.- </w:t>
      </w:r>
      <w:r w:rsidRPr="00DD428C">
        <w:rPr>
          <w:rFonts w:ascii="Helvetica" w:hAnsi="Helvetica" w:cs="Helvetica"/>
          <w:b/>
          <w:bCs/>
          <w:i/>
          <w:iCs/>
        </w:rPr>
        <w:t xml:space="preserve">Los criterios de eficiencia y suficiencia financiera tendrán prioridad en la definición del régimen tarifario. Si llegare a existir contradicción entre el criterio de eficiencia y el de suficiencia financiera, deberá tomarse en cuenta que, para una empresa eficiente, las tarifas económicamente </w:t>
      </w:r>
      <w:r w:rsidRPr="00DD428C">
        <w:rPr>
          <w:rFonts w:ascii="Helvetica" w:hAnsi="Helvetica" w:cs="Helvetica"/>
          <w:b/>
          <w:bCs/>
          <w:i/>
          <w:iCs/>
        </w:rPr>
        <w:lastRenderedPageBreak/>
        <w:t>eficientes se definirán tomando en cuenta la suficiencia financiera</w:t>
      </w:r>
      <w:r w:rsidRPr="00DD428C">
        <w:rPr>
          <w:rFonts w:ascii="Helvetica" w:hAnsi="Helvetica" w:cs="Helvetica"/>
          <w:i/>
          <w:iCs/>
        </w:rPr>
        <w:t>. (Negrilla fuera de texto)</w:t>
      </w:r>
      <w:r w:rsidR="00DA0DC1" w:rsidRPr="00DD428C">
        <w:rPr>
          <w:rFonts w:ascii="Helvetica" w:hAnsi="Helvetica" w:cs="Helvetica"/>
          <w:i/>
          <w:iCs/>
        </w:rPr>
        <w:t>”</w:t>
      </w:r>
      <w:r w:rsidR="00A018B9" w:rsidRPr="00DD428C">
        <w:rPr>
          <w:rFonts w:ascii="Helvetica" w:hAnsi="Helvetica" w:cs="Helvetica"/>
          <w:i/>
          <w:iCs/>
        </w:rPr>
        <w:t>.</w:t>
      </w:r>
    </w:p>
    <w:p w14:paraId="1E5F4079" w14:textId="207B7DCE" w:rsidR="00A018B9" w:rsidRPr="00DD428C" w:rsidRDefault="00510E40" w:rsidP="00E22360">
      <w:pPr>
        <w:autoSpaceDE w:val="0"/>
        <w:autoSpaceDN w:val="0"/>
        <w:adjustRightInd w:val="0"/>
        <w:spacing w:after="0" w:line="360" w:lineRule="auto"/>
        <w:ind w:left="567" w:right="567"/>
        <w:jc w:val="both"/>
        <w:rPr>
          <w:rFonts w:ascii="Helvetica" w:hAnsi="Helvetica" w:cs="Helvetica"/>
          <w:sz w:val="24"/>
          <w:szCs w:val="24"/>
        </w:rPr>
      </w:pPr>
      <w:r w:rsidRPr="00DD428C">
        <w:rPr>
          <w:rFonts w:ascii="Helvetica" w:hAnsi="Helvetica" w:cs="Helvetica"/>
          <w:sz w:val="24"/>
          <w:szCs w:val="24"/>
        </w:rPr>
        <w:t>Finalmente, la Empresa hace las siguientes peticiones</w:t>
      </w:r>
      <w:r w:rsidR="008C1206">
        <w:rPr>
          <w:rFonts w:ascii="Helvetica" w:hAnsi="Helvetica" w:cs="Helvetica"/>
          <w:sz w:val="24"/>
          <w:szCs w:val="24"/>
        </w:rPr>
        <w:t xml:space="preserve"> a la Comisión</w:t>
      </w:r>
      <w:r w:rsidRPr="00DD428C">
        <w:rPr>
          <w:rFonts w:ascii="Helvetica" w:hAnsi="Helvetica" w:cs="Helvetica"/>
          <w:sz w:val="24"/>
          <w:szCs w:val="24"/>
        </w:rPr>
        <w:t>:</w:t>
      </w:r>
    </w:p>
    <w:p w14:paraId="1A3A87CE" w14:textId="77777777" w:rsidR="00510E40" w:rsidRPr="000771D2" w:rsidRDefault="00510E40" w:rsidP="00E22360">
      <w:pPr>
        <w:pStyle w:val="Default"/>
        <w:spacing w:line="360" w:lineRule="auto"/>
        <w:ind w:left="567" w:right="567"/>
        <w:jc w:val="both"/>
        <w:rPr>
          <w:rFonts w:ascii="Helvetica" w:hAnsi="Helvetica" w:cs="Helvetica"/>
          <w:i/>
          <w:iCs/>
          <w:sz w:val="22"/>
          <w:szCs w:val="22"/>
        </w:rPr>
      </w:pPr>
      <w:r w:rsidRPr="000771D2">
        <w:rPr>
          <w:rFonts w:ascii="Helvetica" w:hAnsi="Helvetica" w:cs="Helvetica"/>
          <w:i/>
          <w:iCs/>
          <w:sz w:val="22"/>
          <w:szCs w:val="22"/>
        </w:rPr>
        <w:t>“</w:t>
      </w:r>
      <w:r w:rsidRPr="000771D2">
        <w:rPr>
          <w:rFonts w:ascii="Helvetica" w:hAnsi="Helvetica" w:cs="Helvetica"/>
          <w:b/>
          <w:bCs/>
          <w:i/>
          <w:iCs/>
          <w:sz w:val="22"/>
          <w:szCs w:val="22"/>
        </w:rPr>
        <w:t xml:space="preserve">PETICIONES </w:t>
      </w:r>
    </w:p>
    <w:p w14:paraId="5278BA15" w14:textId="77777777" w:rsidR="00510E40" w:rsidRPr="000771D2" w:rsidRDefault="00510E40" w:rsidP="00E22360">
      <w:pPr>
        <w:pStyle w:val="Default"/>
        <w:spacing w:line="360" w:lineRule="auto"/>
        <w:ind w:left="567" w:right="567"/>
        <w:jc w:val="both"/>
        <w:rPr>
          <w:rFonts w:ascii="Helvetica" w:hAnsi="Helvetica" w:cs="Helvetica"/>
          <w:i/>
          <w:iCs/>
          <w:sz w:val="22"/>
          <w:szCs w:val="22"/>
        </w:rPr>
      </w:pPr>
      <w:r w:rsidRPr="000771D2">
        <w:rPr>
          <w:rFonts w:ascii="Helvetica" w:hAnsi="Helvetica" w:cs="Helvetica"/>
          <w:i/>
          <w:iCs/>
          <w:sz w:val="22"/>
          <w:szCs w:val="22"/>
        </w:rPr>
        <w:t xml:space="preserve">De manera respetuosa y con fundamento en lo establecido en la Ley 142 de 1994, solicitamos a la Comisión de Regulación de Energía y Gas-CREG, de común acuerdo entre la empresa GASTUMACO DEL PACÍFICO S.A.S. E.S.P. y la CREG, aprobar la solicitud de revisión tarifaria para los Cargos de Distribución del Mercado Relevante conformado por el municipio de San Andrés de Tumaco en el departamento de Nariño. </w:t>
      </w:r>
    </w:p>
    <w:p w14:paraId="7C87A612" w14:textId="77777777" w:rsidR="00510E40" w:rsidRPr="000771D2" w:rsidRDefault="00510E40" w:rsidP="00E22360">
      <w:pPr>
        <w:spacing w:after="0" w:line="360" w:lineRule="auto"/>
        <w:ind w:left="567" w:right="567"/>
        <w:jc w:val="both"/>
        <w:rPr>
          <w:rFonts w:ascii="Helvetica" w:hAnsi="Helvetica" w:cs="Helvetica"/>
          <w:i/>
          <w:iCs/>
        </w:rPr>
      </w:pPr>
      <w:r w:rsidRPr="000771D2">
        <w:rPr>
          <w:rFonts w:ascii="Helvetica" w:hAnsi="Helvetica" w:cs="Helvetica"/>
          <w:i/>
          <w:iCs/>
        </w:rPr>
        <w:t>Solicitamos aprobar como Cargo de Distribución por uso del sistema de distribución de Gas Licuado de Petróleo-GLP por redes de tubería, las siguientes cifras:</w:t>
      </w:r>
    </w:p>
    <w:tbl>
      <w:tblPr>
        <w:tblStyle w:val="Tablaconcuadrcula"/>
        <w:tblW w:w="0" w:type="auto"/>
        <w:tblLook w:val="04A0" w:firstRow="1" w:lastRow="0" w:firstColumn="1" w:lastColumn="0" w:noHBand="0" w:noVBand="1"/>
      </w:tblPr>
      <w:tblGrid>
        <w:gridCol w:w="6516"/>
        <w:gridCol w:w="2312"/>
      </w:tblGrid>
      <w:tr w:rsidR="00510E40" w:rsidRPr="000771D2" w14:paraId="08D71C1B" w14:textId="77777777" w:rsidTr="00603FAF">
        <w:trPr>
          <w:trHeight w:val="624"/>
          <w:tblHeader/>
        </w:trPr>
        <w:tc>
          <w:tcPr>
            <w:tcW w:w="8828" w:type="dxa"/>
            <w:gridSpan w:val="2"/>
            <w:vAlign w:val="center"/>
          </w:tcPr>
          <w:p w14:paraId="7AFAF6B3" w14:textId="77777777" w:rsidR="00510E40" w:rsidRPr="000771D2" w:rsidRDefault="00510E40" w:rsidP="002E4719">
            <w:pPr>
              <w:pStyle w:val="Default"/>
              <w:jc w:val="center"/>
              <w:rPr>
                <w:rFonts w:ascii="Helvetica" w:hAnsi="Helvetica" w:cs="Helvetica"/>
                <w:b/>
                <w:bCs/>
                <w:i/>
                <w:iCs/>
                <w:sz w:val="22"/>
                <w:szCs w:val="22"/>
              </w:rPr>
            </w:pPr>
            <w:r w:rsidRPr="000771D2">
              <w:rPr>
                <w:rFonts w:ascii="Helvetica" w:hAnsi="Helvetica" w:cs="Helvetica"/>
                <w:b/>
                <w:bCs/>
                <w:i/>
                <w:iCs/>
                <w:sz w:val="22"/>
                <w:szCs w:val="22"/>
              </w:rPr>
              <w:t>Cargo de Distribución a pesos de diciembre de 2023 usuarios de uso residencial y usuarios de uso no residencial</w:t>
            </w:r>
          </w:p>
        </w:tc>
      </w:tr>
      <w:tr w:rsidR="00510E40" w:rsidRPr="000771D2" w14:paraId="0E99FDE8" w14:textId="77777777" w:rsidTr="00603FAF">
        <w:trPr>
          <w:trHeight w:val="340"/>
          <w:tblHeader/>
        </w:trPr>
        <w:tc>
          <w:tcPr>
            <w:tcW w:w="8828" w:type="dxa"/>
            <w:gridSpan w:val="2"/>
            <w:vAlign w:val="center"/>
          </w:tcPr>
          <w:p w14:paraId="3F5DDAA7" w14:textId="77777777" w:rsidR="00510E40" w:rsidRPr="000771D2" w:rsidRDefault="00510E40" w:rsidP="002E4719">
            <w:pPr>
              <w:pStyle w:val="Default"/>
              <w:jc w:val="center"/>
              <w:rPr>
                <w:rFonts w:ascii="Helvetica" w:hAnsi="Helvetica" w:cs="Helvetica"/>
                <w:b/>
                <w:bCs/>
                <w:i/>
                <w:iCs/>
                <w:sz w:val="22"/>
                <w:szCs w:val="22"/>
              </w:rPr>
            </w:pPr>
            <w:r w:rsidRPr="000771D2">
              <w:rPr>
                <w:rFonts w:ascii="Helvetica" w:hAnsi="Helvetica" w:cs="Helvetica"/>
                <w:b/>
                <w:bCs/>
                <w:i/>
                <w:iCs/>
                <w:sz w:val="22"/>
                <w:szCs w:val="22"/>
              </w:rPr>
              <w:t>Año 2024 y siguientes</w:t>
            </w:r>
          </w:p>
        </w:tc>
      </w:tr>
      <w:tr w:rsidR="00510E40" w:rsidRPr="000771D2" w14:paraId="4BD10061" w14:textId="77777777" w:rsidTr="00965712">
        <w:trPr>
          <w:trHeight w:val="340"/>
        </w:trPr>
        <w:tc>
          <w:tcPr>
            <w:tcW w:w="6516" w:type="dxa"/>
            <w:vAlign w:val="center"/>
          </w:tcPr>
          <w:p w14:paraId="44AE5A77" w14:textId="77777777" w:rsidR="00510E40" w:rsidRPr="000771D2" w:rsidRDefault="00510E40" w:rsidP="002E4719">
            <w:pPr>
              <w:rPr>
                <w:rFonts w:ascii="Helvetica" w:hAnsi="Helvetica" w:cs="Helvetica"/>
                <w:b/>
                <w:bCs/>
                <w:i/>
                <w:iCs/>
                <w:sz w:val="22"/>
                <w:szCs w:val="22"/>
              </w:rPr>
            </w:pPr>
            <w:r w:rsidRPr="000771D2">
              <w:rPr>
                <w:rFonts w:ascii="Helvetica" w:hAnsi="Helvetica" w:cs="Helvetica"/>
                <w:b/>
                <w:bCs/>
                <w:i/>
                <w:iCs/>
                <w:sz w:val="22"/>
                <w:szCs w:val="22"/>
              </w:rPr>
              <w:t>Cargo de distribución Total $/m3</w:t>
            </w:r>
          </w:p>
        </w:tc>
        <w:tc>
          <w:tcPr>
            <w:tcW w:w="2312" w:type="dxa"/>
            <w:vAlign w:val="center"/>
          </w:tcPr>
          <w:p w14:paraId="6FD14F02" w14:textId="77777777" w:rsidR="00510E40" w:rsidRPr="000771D2" w:rsidRDefault="00510E40" w:rsidP="002E4719">
            <w:pPr>
              <w:jc w:val="center"/>
              <w:rPr>
                <w:rFonts w:ascii="Helvetica" w:hAnsi="Helvetica" w:cs="Helvetica"/>
                <w:b/>
                <w:bCs/>
                <w:i/>
                <w:iCs/>
                <w:sz w:val="22"/>
                <w:szCs w:val="22"/>
              </w:rPr>
            </w:pPr>
            <w:r w:rsidRPr="000771D2">
              <w:rPr>
                <w:rFonts w:ascii="Helvetica" w:hAnsi="Helvetica" w:cs="Helvetica"/>
                <w:b/>
                <w:bCs/>
                <w:i/>
                <w:iCs/>
                <w:sz w:val="22"/>
                <w:szCs w:val="22"/>
              </w:rPr>
              <w:t>2,795.54</w:t>
            </w:r>
          </w:p>
        </w:tc>
      </w:tr>
      <w:tr w:rsidR="00510E40" w:rsidRPr="000771D2" w14:paraId="346E765B" w14:textId="77777777" w:rsidTr="00965712">
        <w:trPr>
          <w:trHeight w:val="624"/>
        </w:trPr>
        <w:tc>
          <w:tcPr>
            <w:tcW w:w="6516" w:type="dxa"/>
            <w:vAlign w:val="center"/>
          </w:tcPr>
          <w:p w14:paraId="2C085E6F" w14:textId="77777777" w:rsidR="00510E40" w:rsidRPr="000771D2" w:rsidRDefault="00510E40" w:rsidP="002E4719">
            <w:pPr>
              <w:pStyle w:val="Default"/>
              <w:rPr>
                <w:rFonts w:ascii="Helvetica" w:hAnsi="Helvetica" w:cs="Helvetica"/>
                <w:i/>
                <w:iCs/>
                <w:sz w:val="22"/>
                <w:szCs w:val="22"/>
              </w:rPr>
            </w:pPr>
            <w:r w:rsidRPr="000771D2">
              <w:rPr>
                <w:rFonts w:ascii="Helvetica" w:hAnsi="Helvetica" w:cs="Helvetica"/>
                <w:i/>
                <w:iCs/>
                <w:sz w:val="22"/>
                <w:szCs w:val="22"/>
              </w:rPr>
              <w:t>Componente de inversión pagada con recursos de GASTUMACO DEL PACÍFICO S.A.S. E.S.P. $/m3</w:t>
            </w:r>
          </w:p>
        </w:tc>
        <w:tc>
          <w:tcPr>
            <w:tcW w:w="2312" w:type="dxa"/>
            <w:vAlign w:val="center"/>
          </w:tcPr>
          <w:p w14:paraId="581B8FF4" w14:textId="77777777" w:rsidR="00510E40" w:rsidRPr="000771D2" w:rsidRDefault="00510E40" w:rsidP="002E4719">
            <w:pPr>
              <w:jc w:val="center"/>
              <w:rPr>
                <w:rFonts w:ascii="Helvetica" w:hAnsi="Helvetica" w:cs="Helvetica"/>
                <w:i/>
                <w:iCs/>
                <w:sz w:val="22"/>
                <w:szCs w:val="22"/>
              </w:rPr>
            </w:pPr>
            <w:r w:rsidRPr="000771D2">
              <w:rPr>
                <w:rFonts w:ascii="Helvetica" w:hAnsi="Helvetica" w:cs="Helvetica"/>
                <w:i/>
                <w:iCs/>
                <w:sz w:val="22"/>
                <w:szCs w:val="22"/>
              </w:rPr>
              <w:t>2,074.90</w:t>
            </w:r>
          </w:p>
        </w:tc>
      </w:tr>
      <w:tr w:rsidR="00510E40" w:rsidRPr="000771D2" w14:paraId="2CB62A53" w14:textId="77777777" w:rsidTr="00965712">
        <w:trPr>
          <w:trHeight w:val="340"/>
        </w:trPr>
        <w:tc>
          <w:tcPr>
            <w:tcW w:w="6516" w:type="dxa"/>
            <w:vAlign w:val="center"/>
          </w:tcPr>
          <w:p w14:paraId="0CBF5E6C" w14:textId="77777777" w:rsidR="00510E40" w:rsidRPr="00DD428C" w:rsidRDefault="00510E40" w:rsidP="002E4719">
            <w:pPr>
              <w:rPr>
                <w:rFonts w:ascii="Helvetica" w:hAnsi="Helvetica" w:cs="Helvetica"/>
                <w:i/>
                <w:iCs/>
                <w:sz w:val="22"/>
                <w:szCs w:val="22"/>
              </w:rPr>
            </w:pPr>
            <w:r w:rsidRPr="00DD428C">
              <w:rPr>
                <w:rFonts w:ascii="Helvetica" w:hAnsi="Helvetica" w:cs="Helvetica"/>
                <w:i/>
                <w:iCs/>
                <w:sz w:val="22"/>
                <w:szCs w:val="22"/>
              </w:rPr>
              <w:t>Componente de gastos de AOM $/m3</w:t>
            </w:r>
          </w:p>
        </w:tc>
        <w:tc>
          <w:tcPr>
            <w:tcW w:w="2312" w:type="dxa"/>
            <w:vAlign w:val="center"/>
          </w:tcPr>
          <w:p w14:paraId="24961526" w14:textId="06295D8E" w:rsidR="00510E40" w:rsidRPr="000771D2" w:rsidRDefault="00510E40" w:rsidP="002E4719">
            <w:pPr>
              <w:jc w:val="center"/>
              <w:rPr>
                <w:rFonts w:ascii="Helvetica" w:hAnsi="Helvetica" w:cs="Helvetica"/>
                <w:sz w:val="22"/>
                <w:szCs w:val="22"/>
              </w:rPr>
            </w:pPr>
            <w:r w:rsidRPr="00DD428C">
              <w:rPr>
                <w:rFonts w:ascii="Helvetica" w:hAnsi="Helvetica" w:cs="Helvetica"/>
                <w:i/>
                <w:iCs/>
                <w:sz w:val="22"/>
                <w:szCs w:val="22"/>
              </w:rPr>
              <w:t>720.63”</w:t>
            </w:r>
          </w:p>
        </w:tc>
      </w:tr>
    </w:tbl>
    <w:p w14:paraId="540F7409" w14:textId="0D58F55C" w:rsidR="002B3527" w:rsidRPr="00C81C1C" w:rsidRDefault="008C1206" w:rsidP="002B3527">
      <w:pPr>
        <w:pStyle w:val="Textoindependiente"/>
        <w:spacing w:before="100" w:beforeAutospacing="1" w:after="100" w:afterAutospacing="1" w:line="360" w:lineRule="auto"/>
        <w:rPr>
          <w:rFonts w:ascii="Helvetica" w:hAnsi="Helvetica" w:cs="Helvetica"/>
          <w:sz w:val="24"/>
          <w:szCs w:val="24"/>
        </w:rPr>
      </w:pPr>
      <w:r w:rsidRPr="00C81C1C">
        <w:rPr>
          <w:rFonts w:ascii="Helvetica" w:hAnsi="Helvetica" w:cs="Helvetica"/>
          <w:sz w:val="24"/>
          <w:szCs w:val="24"/>
        </w:rPr>
        <w:t xml:space="preserve">Con base en lo anteriormente expuesto, esta Comisión encuentra </w:t>
      </w:r>
      <w:r w:rsidR="00C81C1C">
        <w:rPr>
          <w:rFonts w:ascii="Helvetica" w:hAnsi="Helvetica" w:cs="Helvetica"/>
          <w:sz w:val="24"/>
          <w:szCs w:val="24"/>
        </w:rPr>
        <w:t>pertinente</w:t>
      </w:r>
      <w:r w:rsidRPr="00C81C1C">
        <w:rPr>
          <w:rFonts w:ascii="Helvetica" w:hAnsi="Helvetica" w:cs="Helvetica"/>
          <w:sz w:val="24"/>
          <w:szCs w:val="24"/>
        </w:rPr>
        <w:t xml:space="preserve"> adelantar una revisión de la solicitud </w:t>
      </w:r>
      <w:r w:rsidR="00C81C1C">
        <w:rPr>
          <w:rFonts w:ascii="Helvetica" w:hAnsi="Helvetica" w:cs="Helvetica"/>
          <w:sz w:val="24"/>
          <w:szCs w:val="24"/>
        </w:rPr>
        <w:t>presentada</w:t>
      </w:r>
      <w:r w:rsidRPr="00C81C1C">
        <w:rPr>
          <w:rFonts w:ascii="Helvetica" w:hAnsi="Helvetica" w:cs="Helvetica"/>
          <w:sz w:val="24"/>
          <w:szCs w:val="24"/>
        </w:rPr>
        <w:t xml:space="preserve"> por </w:t>
      </w:r>
      <w:r w:rsidR="00A046AC" w:rsidRPr="00E22360">
        <w:rPr>
          <w:rFonts w:ascii="Helvetica" w:hAnsi="Helvetica" w:cs="Helvetica"/>
          <w:b/>
          <w:bCs/>
          <w:sz w:val="24"/>
          <w:szCs w:val="24"/>
        </w:rPr>
        <w:t>GASTUMACO DEL PACÍFICO</w:t>
      </w:r>
      <w:r w:rsidRPr="00C81C1C">
        <w:rPr>
          <w:rFonts w:ascii="Helvetica" w:hAnsi="Helvetica" w:cs="Helvetica"/>
          <w:sz w:val="24"/>
          <w:szCs w:val="24"/>
        </w:rPr>
        <w:t xml:space="preserve">, toda vez </w:t>
      </w:r>
      <w:r w:rsidR="002B3527" w:rsidRPr="00C81C1C">
        <w:rPr>
          <w:rFonts w:ascii="Helvetica" w:hAnsi="Helvetica" w:cs="Helvetica"/>
          <w:sz w:val="24"/>
          <w:szCs w:val="24"/>
        </w:rPr>
        <w:t>que en el artículo 126 de la Ley 142 de 1994</w:t>
      </w:r>
      <w:r w:rsidR="007455DF" w:rsidRPr="00C81C1C">
        <w:rPr>
          <w:rFonts w:ascii="Helvetica" w:hAnsi="Helvetica" w:cs="Helvetica"/>
          <w:sz w:val="24"/>
          <w:szCs w:val="24"/>
        </w:rPr>
        <w:t xml:space="preserve">, a su vez modificado por el artículo 52 de la Ley 2099 de 2021, </w:t>
      </w:r>
      <w:r w:rsidR="00C81C1C" w:rsidRPr="00C81C1C">
        <w:rPr>
          <w:rFonts w:ascii="Helvetica" w:hAnsi="Helvetica" w:cs="Helvetica"/>
          <w:sz w:val="24"/>
          <w:szCs w:val="24"/>
        </w:rPr>
        <w:t xml:space="preserve">se </w:t>
      </w:r>
      <w:r w:rsidR="002B3527" w:rsidRPr="00C81C1C">
        <w:rPr>
          <w:rFonts w:ascii="Helvetica" w:hAnsi="Helvetica" w:cs="Helvetica"/>
          <w:sz w:val="24"/>
          <w:szCs w:val="24"/>
        </w:rPr>
        <w:t>señala que:</w:t>
      </w:r>
    </w:p>
    <w:p w14:paraId="5F17CA53" w14:textId="49F01B3F" w:rsidR="002B3527" w:rsidRPr="00C81C1C" w:rsidRDefault="002B3527" w:rsidP="00E22360">
      <w:pPr>
        <w:autoSpaceDE w:val="0"/>
        <w:autoSpaceDN w:val="0"/>
        <w:adjustRightInd w:val="0"/>
        <w:spacing w:after="0" w:line="360" w:lineRule="auto"/>
        <w:ind w:left="567" w:right="567"/>
        <w:jc w:val="both"/>
        <w:rPr>
          <w:rFonts w:ascii="Helvetica" w:eastAsia="Times New Roman" w:hAnsi="Helvetica" w:cs="Helvetica"/>
          <w:spacing w:val="-5"/>
          <w:kern w:val="0"/>
          <w:sz w:val="24"/>
          <w:szCs w:val="24"/>
          <w14:ligatures w14:val="none"/>
        </w:rPr>
      </w:pPr>
      <w:r w:rsidRPr="00C81C1C">
        <w:rPr>
          <w:rFonts w:ascii="Helvetica" w:eastAsia="Times New Roman" w:hAnsi="Helvetica" w:cs="Helvetica"/>
          <w:spacing w:val="-5"/>
          <w:kern w:val="0"/>
          <w:sz w:val="24"/>
          <w:szCs w:val="24"/>
          <w14:ligatures w14:val="none"/>
        </w:rPr>
        <w:t>“</w:t>
      </w:r>
      <w:r w:rsidRPr="00C81C1C">
        <w:rPr>
          <w:rFonts w:ascii="Helvetica" w:eastAsia="Times New Roman" w:hAnsi="Helvetica" w:cs="Helvetica"/>
          <w:i/>
          <w:iCs/>
          <w:spacing w:val="-5"/>
          <w:kern w:val="0"/>
          <w:sz w:val="24"/>
          <w:szCs w:val="24"/>
          <w14:ligatures w14:val="none"/>
        </w:rPr>
        <w:t xml:space="preserve">Artículo 126-Vigencia de las Fórmulas tarifarias. Las fórmulas tarifarias tendrán una vigencia de cinco años, </w:t>
      </w:r>
      <w:r w:rsidRPr="009D6FED">
        <w:rPr>
          <w:rFonts w:ascii="Helvetica" w:eastAsia="Times New Roman" w:hAnsi="Helvetica" w:cs="Helvetica"/>
          <w:i/>
          <w:iCs/>
          <w:spacing w:val="-5"/>
          <w:kern w:val="0"/>
          <w:sz w:val="24"/>
          <w:szCs w:val="24"/>
          <w14:ligatures w14:val="none"/>
        </w:rPr>
        <w:t>salvo que antes haya acuerdo entre la empresa de servicios públicas y la comisión para modificarlas</w:t>
      </w:r>
      <w:r w:rsidRPr="00C81C1C">
        <w:rPr>
          <w:rFonts w:ascii="Helvetica" w:eastAsia="Times New Roman" w:hAnsi="Helvetica" w:cs="Helvetica"/>
          <w:i/>
          <w:iCs/>
          <w:spacing w:val="-5"/>
          <w:kern w:val="0"/>
          <w:sz w:val="24"/>
          <w:szCs w:val="24"/>
          <w14:ligatures w14:val="none"/>
        </w:rPr>
        <w:t xml:space="preserve"> o prorrogarlas por un periodo igual. Excepcionalmente podrán modificarse en cualquier tiempo, de oficio o </w:t>
      </w:r>
      <w:r w:rsidRPr="00C81C1C">
        <w:rPr>
          <w:rFonts w:ascii="Helvetica" w:eastAsia="Times New Roman" w:hAnsi="Helvetica" w:cs="Helvetica"/>
          <w:b/>
          <w:bCs/>
          <w:i/>
          <w:iCs/>
          <w:spacing w:val="-5"/>
          <w:kern w:val="0"/>
          <w:sz w:val="24"/>
          <w:szCs w:val="24"/>
          <w:u w:val="single"/>
          <w14:ligatures w14:val="none"/>
        </w:rPr>
        <w:t>a petición de parte</w:t>
      </w:r>
      <w:r w:rsidRPr="00C81C1C">
        <w:rPr>
          <w:rFonts w:ascii="Helvetica" w:eastAsia="Times New Roman" w:hAnsi="Helvetica" w:cs="Helvetica"/>
          <w:i/>
          <w:iCs/>
          <w:spacing w:val="-5"/>
          <w:kern w:val="0"/>
          <w:sz w:val="24"/>
          <w:szCs w:val="24"/>
          <w14:ligatures w14:val="none"/>
        </w:rPr>
        <w:t xml:space="preserve">, cuando sea evidente que se cometieron graves errores en su cálculo, </w:t>
      </w:r>
      <w:r w:rsidRPr="00C81C1C">
        <w:rPr>
          <w:rFonts w:ascii="Helvetica" w:eastAsia="Times New Roman" w:hAnsi="Helvetica" w:cs="Helvetica"/>
          <w:b/>
          <w:bCs/>
          <w:i/>
          <w:iCs/>
          <w:spacing w:val="-5"/>
          <w:kern w:val="0"/>
          <w:sz w:val="24"/>
          <w:szCs w:val="24"/>
          <w:u w:val="single"/>
          <w14:ligatures w14:val="none"/>
        </w:rPr>
        <w:t>se lesionan injustamente los intereses de los usuarios o de la empresa</w:t>
      </w:r>
      <w:r w:rsidRPr="00C81C1C">
        <w:rPr>
          <w:rFonts w:ascii="Helvetica" w:eastAsia="Times New Roman" w:hAnsi="Helvetica" w:cs="Helvetica"/>
          <w:i/>
          <w:iCs/>
          <w:spacing w:val="-5"/>
          <w:kern w:val="0"/>
          <w:sz w:val="24"/>
          <w:szCs w:val="24"/>
          <w14:ligatures w14:val="none"/>
        </w:rPr>
        <w:t xml:space="preserve">; o que ha habido razones de </w:t>
      </w:r>
      <w:r w:rsidRPr="00C81C1C">
        <w:rPr>
          <w:rFonts w:ascii="Helvetica" w:eastAsia="Times New Roman" w:hAnsi="Helvetica" w:cs="Helvetica"/>
          <w:i/>
          <w:iCs/>
          <w:spacing w:val="-5"/>
          <w:kern w:val="0"/>
          <w:sz w:val="24"/>
          <w:szCs w:val="24"/>
          <w14:ligatures w14:val="none"/>
        </w:rPr>
        <w:lastRenderedPageBreak/>
        <w:t>caso fortuito o fuerza mayor que comprometen en forma grave la capacidad financiera de la empresa para continuar prestando el servicio en las condiciones tarifarias previstas</w:t>
      </w:r>
      <w:r w:rsidRPr="00C81C1C">
        <w:rPr>
          <w:rFonts w:ascii="Helvetica" w:eastAsia="Times New Roman" w:hAnsi="Helvetica" w:cs="Helvetica"/>
          <w:spacing w:val="-5"/>
          <w:kern w:val="0"/>
          <w:sz w:val="24"/>
          <w:szCs w:val="24"/>
          <w14:ligatures w14:val="none"/>
        </w:rPr>
        <w:t>”.</w:t>
      </w:r>
      <w:r w:rsidR="00C81C1C">
        <w:rPr>
          <w:rFonts w:ascii="Helvetica" w:eastAsia="Times New Roman" w:hAnsi="Helvetica" w:cs="Helvetica"/>
          <w:spacing w:val="-5"/>
          <w:kern w:val="0"/>
          <w:sz w:val="24"/>
          <w:szCs w:val="24"/>
          <w14:ligatures w14:val="none"/>
        </w:rPr>
        <w:t xml:space="preserve"> (subrayado fuera de texto).</w:t>
      </w:r>
    </w:p>
    <w:p w14:paraId="230D4862" w14:textId="5368C3D0" w:rsidR="007455DF" w:rsidRPr="00C81C1C" w:rsidRDefault="00C81C1C" w:rsidP="008C1206">
      <w:pPr>
        <w:pStyle w:val="Textoindependiente"/>
        <w:spacing w:before="100" w:beforeAutospacing="1" w:after="100" w:afterAutospacing="1" w:line="360" w:lineRule="auto"/>
        <w:rPr>
          <w:rFonts w:ascii="Helvetica" w:hAnsi="Helvetica" w:cs="Helvetica"/>
          <w:sz w:val="24"/>
          <w:szCs w:val="24"/>
        </w:rPr>
      </w:pPr>
      <w:r w:rsidRPr="00C81C1C">
        <w:rPr>
          <w:rFonts w:ascii="Helvetica" w:hAnsi="Helvetica" w:cs="Helvetica"/>
          <w:sz w:val="24"/>
          <w:szCs w:val="24"/>
        </w:rPr>
        <w:t xml:space="preserve">En este sentido, </w:t>
      </w:r>
      <w:r w:rsidR="00603FAF">
        <w:rPr>
          <w:rFonts w:ascii="Helvetica" w:hAnsi="Helvetica" w:cs="Helvetica"/>
          <w:sz w:val="24"/>
          <w:szCs w:val="24"/>
        </w:rPr>
        <w:t>esta Comisión considera que s</w:t>
      </w:r>
      <w:r w:rsidR="008C1206" w:rsidRPr="00C81C1C">
        <w:rPr>
          <w:rFonts w:ascii="Helvetica" w:hAnsi="Helvetica" w:cs="Helvetica"/>
          <w:sz w:val="24"/>
          <w:szCs w:val="24"/>
        </w:rPr>
        <w:t xml:space="preserve">e requiere </w:t>
      </w:r>
      <w:bookmarkStart w:id="2" w:name="_Hlk166598148"/>
      <w:proofErr w:type="gramStart"/>
      <w:r w:rsidR="00542CE2">
        <w:rPr>
          <w:rFonts w:ascii="Helvetica" w:hAnsi="Helvetica" w:cs="Helvetica"/>
          <w:sz w:val="24"/>
          <w:szCs w:val="24"/>
        </w:rPr>
        <w:t>dar inicio a</w:t>
      </w:r>
      <w:proofErr w:type="gramEnd"/>
      <w:r w:rsidR="00542CE2">
        <w:rPr>
          <w:rFonts w:ascii="Helvetica" w:hAnsi="Helvetica" w:cs="Helvetica"/>
          <w:sz w:val="24"/>
          <w:szCs w:val="24"/>
        </w:rPr>
        <w:t xml:space="preserve"> la actuación </w:t>
      </w:r>
      <w:r w:rsidR="00EE2E26">
        <w:rPr>
          <w:rFonts w:ascii="Helvetica" w:hAnsi="Helvetica" w:cs="Helvetica"/>
          <w:sz w:val="24"/>
          <w:szCs w:val="24"/>
        </w:rPr>
        <w:t xml:space="preserve">administrativa </w:t>
      </w:r>
      <w:r w:rsidR="00FA6364">
        <w:rPr>
          <w:rFonts w:ascii="Helvetica" w:hAnsi="Helvetica" w:cs="Helvetica"/>
          <w:sz w:val="24"/>
          <w:szCs w:val="24"/>
        </w:rPr>
        <w:t xml:space="preserve">respectiva basado en lo que se manifiesta por parte de </w:t>
      </w:r>
      <w:r w:rsidR="00D43A95" w:rsidRPr="00E22360">
        <w:rPr>
          <w:rFonts w:ascii="Helvetica" w:hAnsi="Helvetica" w:cs="Helvetica"/>
          <w:b/>
          <w:bCs/>
          <w:sz w:val="24"/>
          <w:szCs w:val="24"/>
        </w:rPr>
        <w:t>GASTUMACO DEL PACÍFICO</w:t>
      </w:r>
      <w:r w:rsidR="00FA6364">
        <w:rPr>
          <w:rFonts w:ascii="Helvetica" w:hAnsi="Helvetica" w:cs="Helvetica"/>
          <w:sz w:val="24"/>
          <w:szCs w:val="24"/>
        </w:rPr>
        <w:t xml:space="preserve"> </w:t>
      </w:r>
      <w:r w:rsidR="0065500D">
        <w:rPr>
          <w:rFonts w:ascii="Helvetica" w:hAnsi="Helvetica" w:cs="Helvetica"/>
          <w:sz w:val="24"/>
          <w:szCs w:val="24"/>
        </w:rPr>
        <w:t xml:space="preserve">para </w:t>
      </w:r>
      <w:r w:rsidR="008C1206" w:rsidRPr="00C81C1C">
        <w:rPr>
          <w:rFonts w:ascii="Helvetica" w:hAnsi="Helvetica" w:cs="Helvetica"/>
          <w:sz w:val="24"/>
          <w:szCs w:val="24"/>
        </w:rPr>
        <w:t xml:space="preserve">el mercado relevante conformado por </w:t>
      </w:r>
      <w:r w:rsidR="007455DF" w:rsidRPr="00C81C1C">
        <w:rPr>
          <w:rFonts w:ascii="Helvetica" w:hAnsi="Helvetica" w:cs="Helvetica"/>
          <w:sz w:val="24"/>
          <w:szCs w:val="24"/>
        </w:rPr>
        <w:t>el municipio de San Andrés de Tumaco, departamento de Nariño</w:t>
      </w:r>
      <w:bookmarkEnd w:id="2"/>
      <w:r w:rsidR="007455DF" w:rsidRPr="00C81C1C">
        <w:rPr>
          <w:rFonts w:ascii="Helvetica" w:hAnsi="Helvetica" w:cs="Helvetica"/>
          <w:sz w:val="24"/>
          <w:szCs w:val="24"/>
        </w:rPr>
        <w:t xml:space="preserve">. </w:t>
      </w:r>
    </w:p>
    <w:p w14:paraId="6903AEED" w14:textId="0DBF83BF" w:rsidR="007D4500" w:rsidRPr="007C7EA3" w:rsidRDefault="0065500D" w:rsidP="007D4500">
      <w:pPr>
        <w:spacing w:before="100" w:beforeAutospacing="1" w:after="100" w:afterAutospacing="1" w:line="360" w:lineRule="auto"/>
        <w:jc w:val="both"/>
        <w:rPr>
          <w:rFonts w:ascii="Helvetica" w:hAnsi="Helvetica" w:cs="Helvetica"/>
          <w:sz w:val="24"/>
          <w:szCs w:val="24"/>
        </w:rPr>
      </w:pPr>
      <w:r>
        <w:rPr>
          <w:rFonts w:ascii="Helvetica" w:hAnsi="Helvetica" w:cs="Helvetica"/>
          <w:sz w:val="24"/>
          <w:szCs w:val="24"/>
        </w:rPr>
        <w:t>L</w:t>
      </w:r>
      <w:r w:rsidR="007D4500" w:rsidRPr="00C81C1C">
        <w:rPr>
          <w:rFonts w:ascii="Helvetica" w:hAnsi="Helvetica" w:cs="Helvetica"/>
          <w:sz w:val="24"/>
          <w:szCs w:val="24"/>
        </w:rPr>
        <w:t>a presente actuación administrativa</w:t>
      </w:r>
      <w:r w:rsidR="003D6AC2" w:rsidRPr="00C81C1C">
        <w:rPr>
          <w:rFonts w:ascii="Helvetica" w:hAnsi="Helvetica" w:cs="Helvetica"/>
          <w:sz w:val="24"/>
          <w:szCs w:val="24"/>
        </w:rPr>
        <w:t xml:space="preserve">, </w:t>
      </w:r>
      <w:r w:rsidR="007D4500" w:rsidRPr="00C81C1C">
        <w:rPr>
          <w:rFonts w:ascii="Helvetica" w:hAnsi="Helvetica" w:cs="Helvetica"/>
          <w:sz w:val="24"/>
          <w:szCs w:val="24"/>
        </w:rPr>
        <w:t>para el trámite de revisión del cargo de distribución está sujeta, en lo pertinente, a lo establecido en Artículo 126 del Capítulo V, de la Ley 142 de 1994</w:t>
      </w:r>
      <w:r w:rsidR="00451776" w:rsidRPr="00C81C1C">
        <w:rPr>
          <w:rFonts w:ascii="Helvetica" w:hAnsi="Helvetica" w:cs="Helvetica"/>
          <w:sz w:val="24"/>
          <w:szCs w:val="24"/>
        </w:rPr>
        <w:t xml:space="preserve">, a su vez modificado por el artículo </w:t>
      </w:r>
      <w:r w:rsidR="00451776" w:rsidRPr="00451776">
        <w:rPr>
          <w:rFonts w:ascii="Helvetica" w:hAnsi="Helvetica" w:cs="Helvetica"/>
          <w:sz w:val="24"/>
          <w:szCs w:val="24"/>
        </w:rPr>
        <w:t>52 de la Ley 2099 de 2021</w:t>
      </w:r>
      <w:r w:rsidR="007D4500" w:rsidRPr="007C7EA3">
        <w:rPr>
          <w:rFonts w:ascii="Helvetica" w:hAnsi="Helvetica" w:cs="Helvetica"/>
          <w:sz w:val="24"/>
          <w:szCs w:val="24"/>
        </w:rPr>
        <w:t xml:space="preserve"> y, en lo no previsto en ellos, a las normas de la Parte Primera del Código de Procedimiento Administrativo y de lo Contencioso Administrativo </w:t>
      </w:r>
      <w:r w:rsidR="0021123B">
        <w:rPr>
          <w:rFonts w:ascii="Helvetica" w:hAnsi="Helvetica" w:cs="Helvetica"/>
          <w:sz w:val="24"/>
          <w:szCs w:val="24"/>
        </w:rPr>
        <w:t>(</w:t>
      </w:r>
      <w:r w:rsidR="007D4500" w:rsidRPr="007C7EA3">
        <w:rPr>
          <w:rFonts w:ascii="Helvetica" w:hAnsi="Helvetica" w:cs="Helvetica"/>
          <w:sz w:val="24"/>
          <w:szCs w:val="24"/>
        </w:rPr>
        <w:t>CPACA</w:t>
      </w:r>
      <w:r w:rsidR="0021123B">
        <w:rPr>
          <w:rFonts w:ascii="Helvetica" w:hAnsi="Helvetica" w:cs="Helvetica"/>
          <w:sz w:val="24"/>
          <w:szCs w:val="24"/>
        </w:rPr>
        <w:t>)</w:t>
      </w:r>
      <w:r w:rsidR="007D4500" w:rsidRPr="007C7EA3">
        <w:rPr>
          <w:rFonts w:ascii="Helvetica" w:hAnsi="Helvetica" w:cs="Helvetica"/>
          <w:sz w:val="24"/>
          <w:szCs w:val="24"/>
        </w:rPr>
        <w:t>.</w:t>
      </w:r>
    </w:p>
    <w:p w14:paraId="4D5ABC66" w14:textId="77777777" w:rsidR="007D4500" w:rsidRPr="007C7EA3" w:rsidRDefault="007D4500" w:rsidP="007D4500">
      <w:pPr>
        <w:spacing w:before="100" w:beforeAutospacing="1" w:after="100" w:afterAutospacing="1" w:line="360" w:lineRule="auto"/>
        <w:jc w:val="both"/>
        <w:rPr>
          <w:rFonts w:ascii="Helvetica" w:hAnsi="Helvetica" w:cs="Helvetica"/>
          <w:sz w:val="24"/>
          <w:szCs w:val="24"/>
        </w:rPr>
      </w:pPr>
      <w:r w:rsidRPr="007C7EA3">
        <w:rPr>
          <w:rFonts w:ascii="Helvetica" w:hAnsi="Helvetica" w:cs="Helvetica"/>
          <w:sz w:val="24"/>
          <w:szCs w:val="24"/>
        </w:rPr>
        <w:t>En mérito de lo expuesto, esta Comisión,</w:t>
      </w:r>
    </w:p>
    <w:p w14:paraId="2CFA6A06" w14:textId="77777777" w:rsidR="007D4500" w:rsidRPr="007C7EA3" w:rsidRDefault="007D4500" w:rsidP="007D4500">
      <w:pPr>
        <w:pStyle w:val="Ttulo1"/>
        <w:spacing w:before="100" w:beforeAutospacing="1" w:after="100" w:afterAutospacing="1" w:line="360" w:lineRule="auto"/>
        <w:jc w:val="center"/>
        <w:rPr>
          <w:rFonts w:ascii="Helvetica" w:hAnsi="Helvetica" w:cs="Helvetica"/>
          <w:b/>
          <w:color w:val="auto"/>
          <w:sz w:val="24"/>
          <w:szCs w:val="24"/>
        </w:rPr>
      </w:pPr>
      <w:r w:rsidRPr="007C7EA3">
        <w:rPr>
          <w:rFonts w:ascii="Helvetica" w:hAnsi="Helvetica" w:cs="Helvetica"/>
          <w:b/>
          <w:color w:val="auto"/>
          <w:sz w:val="24"/>
          <w:szCs w:val="24"/>
        </w:rPr>
        <w:t>RESUELVE</w:t>
      </w:r>
    </w:p>
    <w:p w14:paraId="0848A47D" w14:textId="0E2A48CC" w:rsidR="00663B35" w:rsidRPr="00663B35" w:rsidRDefault="007D4500" w:rsidP="007D4500">
      <w:pPr>
        <w:spacing w:before="100" w:beforeAutospacing="1" w:after="100" w:afterAutospacing="1" w:line="360" w:lineRule="auto"/>
        <w:jc w:val="both"/>
        <w:rPr>
          <w:rFonts w:ascii="Helvetica" w:hAnsi="Helvetica" w:cs="Helvetica"/>
          <w:sz w:val="24"/>
          <w:szCs w:val="24"/>
        </w:rPr>
      </w:pPr>
      <w:r w:rsidRPr="00663B35">
        <w:rPr>
          <w:rFonts w:ascii="Helvetica" w:hAnsi="Helvetica" w:cs="Helvetica"/>
          <w:b/>
          <w:sz w:val="24"/>
          <w:szCs w:val="24"/>
        </w:rPr>
        <w:t xml:space="preserve">ARTÍCULO PRIMERO. </w:t>
      </w:r>
      <w:proofErr w:type="gramStart"/>
      <w:r w:rsidR="00571989">
        <w:rPr>
          <w:rFonts w:ascii="Helvetica" w:hAnsi="Helvetica" w:cs="Helvetica"/>
          <w:sz w:val="24"/>
          <w:szCs w:val="24"/>
        </w:rPr>
        <w:t>Dar inicio a</w:t>
      </w:r>
      <w:proofErr w:type="gramEnd"/>
      <w:r w:rsidR="00571989">
        <w:rPr>
          <w:rFonts w:ascii="Helvetica" w:hAnsi="Helvetica" w:cs="Helvetica"/>
          <w:sz w:val="24"/>
          <w:szCs w:val="24"/>
        </w:rPr>
        <w:t xml:space="preserve"> la </w:t>
      </w:r>
      <w:r w:rsidRPr="00663B35">
        <w:rPr>
          <w:rFonts w:ascii="Helvetica" w:hAnsi="Helvetica" w:cs="Helvetica"/>
          <w:sz w:val="24"/>
          <w:szCs w:val="24"/>
        </w:rPr>
        <w:t>actuación administrativa</w:t>
      </w:r>
      <w:r w:rsidRPr="00663B35">
        <w:rPr>
          <w:rFonts w:ascii="Helvetica" w:hAnsi="Helvetica" w:cs="Helvetica"/>
          <w:color w:val="000000"/>
          <w:sz w:val="24"/>
          <w:szCs w:val="24"/>
        </w:rPr>
        <w:t xml:space="preserve"> de acuerdo</w:t>
      </w:r>
      <w:r w:rsidR="00C81C1C" w:rsidRPr="00663B35">
        <w:rPr>
          <w:rFonts w:ascii="Helvetica" w:hAnsi="Helvetica" w:cs="Helvetica"/>
          <w:color w:val="000000"/>
          <w:sz w:val="24"/>
          <w:szCs w:val="24"/>
        </w:rPr>
        <w:t xml:space="preserve"> con </w:t>
      </w:r>
      <w:r w:rsidR="00571989">
        <w:rPr>
          <w:rFonts w:ascii="Helvetica" w:hAnsi="Helvetica" w:cs="Helvetica"/>
          <w:color w:val="000000"/>
          <w:sz w:val="24"/>
          <w:szCs w:val="24"/>
        </w:rPr>
        <w:t xml:space="preserve">lo dispuesto por </w:t>
      </w:r>
      <w:r w:rsidR="00C81C1C" w:rsidRPr="00663B35">
        <w:rPr>
          <w:rFonts w:ascii="Helvetica" w:hAnsi="Helvetica" w:cs="Helvetica"/>
          <w:color w:val="000000"/>
          <w:sz w:val="24"/>
          <w:szCs w:val="24"/>
        </w:rPr>
        <w:t>el artíc</w:t>
      </w:r>
      <w:r w:rsidRPr="00663B35">
        <w:rPr>
          <w:rFonts w:ascii="Helvetica" w:hAnsi="Helvetica" w:cs="Helvetica"/>
          <w:color w:val="000000"/>
          <w:sz w:val="24"/>
          <w:szCs w:val="24"/>
        </w:rPr>
        <w:t>ulo 126 de la Ley 142 de 1994</w:t>
      </w:r>
      <w:r w:rsidR="00451776" w:rsidRPr="00663B35">
        <w:rPr>
          <w:rFonts w:ascii="Helvetica" w:hAnsi="Helvetica" w:cs="Helvetica"/>
          <w:color w:val="000000"/>
          <w:sz w:val="24"/>
          <w:szCs w:val="24"/>
        </w:rPr>
        <w:t xml:space="preserve">, </w:t>
      </w:r>
      <w:bookmarkStart w:id="3" w:name="_Hlk166598723"/>
      <w:r w:rsidR="00451776" w:rsidRPr="00663B35">
        <w:rPr>
          <w:rFonts w:ascii="Helvetica" w:hAnsi="Helvetica" w:cs="Helvetica"/>
          <w:color w:val="000000"/>
          <w:sz w:val="24"/>
          <w:szCs w:val="24"/>
        </w:rPr>
        <w:t>a su vez modificado por el artículo 52 de la Ley 2099 de 2021</w:t>
      </w:r>
      <w:bookmarkEnd w:id="3"/>
      <w:r w:rsidR="00451776" w:rsidRPr="00663B35">
        <w:rPr>
          <w:rFonts w:ascii="Helvetica" w:hAnsi="Helvetica" w:cs="Helvetica"/>
          <w:color w:val="000000"/>
          <w:sz w:val="24"/>
          <w:szCs w:val="24"/>
        </w:rPr>
        <w:t>,</w:t>
      </w:r>
      <w:r w:rsidRPr="00663B35">
        <w:rPr>
          <w:rFonts w:ascii="Helvetica" w:hAnsi="Helvetica" w:cs="Helvetica"/>
          <w:color w:val="000000"/>
          <w:sz w:val="24"/>
          <w:szCs w:val="24"/>
        </w:rPr>
        <w:t xml:space="preserve"> </w:t>
      </w:r>
      <w:r w:rsidR="00571989">
        <w:rPr>
          <w:rFonts w:ascii="Helvetica" w:hAnsi="Helvetica" w:cs="Helvetica"/>
          <w:color w:val="000000"/>
          <w:sz w:val="24"/>
          <w:szCs w:val="24"/>
        </w:rPr>
        <w:t xml:space="preserve">con base en lo manifestado en la </w:t>
      </w:r>
      <w:r w:rsidR="005153E6">
        <w:rPr>
          <w:rFonts w:ascii="Helvetica" w:hAnsi="Helvetica" w:cs="Helvetica"/>
          <w:color w:val="000000"/>
          <w:sz w:val="24"/>
          <w:szCs w:val="24"/>
        </w:rPr>
        <w:t>solicitud</w:t>
      </w:r>
      <w:r w:rsidR="00571989">
        <w:rPr>
          <w:rFonts w:ascii="Helvetica" w:hAnsi="Helvetica" w:cs="Helvetica"/>
          <w:color w:val="000000"/>
          <w:sz w:val="24"/>
          <w:szCs w:val="24"/>
        </w:rPr>
        <w:t xml:space="preserve"> </w:t>
      </w:r>
      <w:r w:rsidR="00497CFC">
        <w:rPr>
          <w:rFonts w:ascii="Helvetica" w:hAnsi="Helvetica" w:cs="Helvetica"/>
          <w:color w:val="000000"/>
          <w:sz w:val="24"/>
          <w:szCs w:val="24"/>
        </w:rPr>
        <w:t>elevada por</w:t>
      </w:r>
      <w:r w:rsidR="00663B35" w:rsidRPr="00663B35">
        <w:rPr>
          <w:rFonts w:ascii="Helvetica" w:hAnsi="Helvetica" w:cs="Helvetica"/>
          <w:sz w:val="24"/>
          <w:szCs w:val="24"/>
        </w:rPr>
        <w:t xml:space="preserve"> </w:t>
      </w:r>
      <w:r w:rsidR="00663B35" w:rsidRPr="00E22360">
        <w:rPr>
          <w:rFonts w:ascii="Helvetica" w:hAnsi="Helvetica" w:cs="Helvetica"/>
          <w:b/>
          <w:bCs/>
          <w:sz w:val="24"/>
          <w:szCs w:val="24"/>
        </w:rPr>
        <w:t>GASTUMACO DEL PACÍFICO S.A.S. E.S.P.</w:t>
      </w:r>
      <w:r w:rsidR="00663B35" w:rsidRPr="00663B35">
        <w:rPr>
          <w:rFonts w:ascii="Helvetica" w:hAnsi="Helvetica" w:cs="Helvetica"/>
          <w:sz w:val="24"/>
          <w:szCs w:val="24"/>
        </w:rPr>
        <w:t xml:space="preserve"> para el mercado relevante conformado por el municipio de San Andrés de Tumaco, departamento de Nariño</w:t>
      </w:r>
      <w:r w:rsidR="00663B35">
        <w:rPr>
          <w:rFonts w:ascii="Helvetica" w:hAnsi="Helvetica" w:cs="Helvetica"/>
          <w:sz w:val="24"/>
          <w:szCs w:val="24"/>
        </w:rPr>
        <w:t>.</w:t>
      </w:r>
    </w:p>
    <w:p w14:paraId="31E00B2A" w14:textId="77777777" w:rsidR="00FE7658" w:rsidRDefault="007D4500" w:rsidP="007D4500">
      <w:pPr>
        <w:spacing w:before="100" w:beforeAutospacing="1" w:after="100" w:afterAutospacing="1" w:line="360" w:lineRule="auto"/>
        <w:jc w:val="both"/>
        <w:rPr>
          <w:rFonts w:ascii="Helvetica" w:hAnsi="Helvetica" w:cs="Helvetica"/>
          <w:sz w:val="24"/>
          <w:szCs w:val="24"/>
        </w:rPr>
      </w:pPr>
      <w:r w:rsidRPr="007C7EA3">
        <w:rPr>
          <w:rFonts w:ascii="Helvetica" w:hAnsi="Helvetica" w:cs="Helvetica"/>
          <w:b/>
          <w:sz w:val="24"/>
          <w:szCs w:val="24"/>
        </w:rPr>
        <w:t xml:space="preserve">ARTÍCULO </w:t>
      </w:r>
      <w:r w:rsidRPr="007C7EA3">
        <w:rPr>
          <w:rFonts w:ascii="Helvetica" w:hAnsi="Helvetica" w:cs="Helvetica"/>
          <w:b/>
          <w:bCs/>
          <w:sz w:val="24"/>
          <w:szCs w:val="24"/>
        </w:rPr>
        <w:t>SEGUNDO.</w:t>
      </w:r>
      <w:r w:rsidRPr="007C7EA3">
        <w:rPr>
          <w:rFonts w:ascii="Helvetica" w:hAnsi="Helvetica" w:cs="Helvetica"/>
          <w:sz w:val="24"/>
          <w:szCs w:val="24"/>
        </w:rPr>
        <w:t xml:space="preserve"> </w:t>
      </w:r>
      <w:r w:rsidR="00103D01" w:rsidRPr="00103D01">
        <w:rPr>
          <w:rFonts w:ascii="Helvetica" w:hAnsi="Helvetica" w:cs="Helvetica"/>
          <w:sz w:val="24"/>
          <w:szCs w:val="24"/>
        </w:rPr>
        <w:t>Ordenar la apertura del correspondiente expediente administrativo, el cual deberá contener todos los documentos y diligencias relacionados con la Actuación Administrativa de que trata el ordinal anterior.</w:t>
      </w:r>
    </w:p>
    <w:p w14:paraId="5E347247" w14:textId="77777777" w:rsidR="00AF3299" w:rsidRDefault="00AF3299" w:rsidP="007D4500">
      <w:pPr>
        <w:spacing w:before="100" w:beforeAutospacing="1" w:after="100" w:afterAutospacing="1" w:line="360" w:lineRule="auto"/>
        <w:jc w:val="both"/>
        <w:rPr>
          <w:rFonts w:ascii="Helvetica" w:hAnsi="Helvetica" w:cs="Helvetica"/>
          <w:sz w:val="24"/>
          <w:szCs w:val="24"/>
        </w:rPr>
      </w:pPr>
      <w:r w:rsidRPr="00AF3299">
        <w:rPr>
          <w:rFonts w:ascii="Helvetica" w:hAnsi="Helvetica" w:cs="Helvetica"/>
          <w:b/>
          <w:bCs/>
          <w:sz w:val="24"/>
          <w:szCs w:val="24"/>
        </w:rPr>
        <w:t>ARTÍCULO TERCERO.</w:t>
      </w:r>
      <w:r w:rsidRPr="00AF3299">
        <w:rPr>
          <w:rFonts w:ascii="Helvetica" w:hAnsi="Helvetica" w:cs="Helvetica"/>
          <w:sz w:val="24"/>
          <w:szCs w:val="24"/>
        </w:rPr>
        <w:t xml:space="preserve"> Ordenar la publicación en la página Web de la CREG y en el Diario Oficial el resumen de la solicitud tarifaria objeto de la presente Actuación </w:t>
      </w:r>
      <w:r w:rsidRPr="00AF3299">
        <w:rPr>
          <w:rFonts w:ascii="Helvetica" w:hAnsi="Helvetica" w:cs="Helvetica"/>
          <w:sz w:val="24"/>
          <w:szCs w:val="24"/>
        </w:rPr>
        <w:lastRenderedPageBreak/>
        <w:t>Administrativa, que se anexa al presente Auto, para los efectos del artículo 37 del Código de Procedimiento Administrativo y de lo Contencioso Administrativo.</w:t>
      </w:r>
    </w:p>
    <w:p w14:paraId="404ECCC8" w14:textId="07377681" w:rsidR="007D4500" w:rsidRPr="007C7EA3" w:rsidRDefault="007550A6" w:rsidP="007D4500">
      <w:pPr>
        <w:spacing w:before="100" w:beforeAutospacing="1" w:after="100" w:afterAutospacing="1" w:line="360" w:lineRule="auto"/>
        <w:jc w:val="both"/>
        <w:rPr>
          <w:rFonts w:ascii="Helvetica" w:hAnsi="Helvetica" w:cs="Helvetica"/>
          <w:sz w:val="24"/>
          <w:szCs w:val="24"/>
        </w:rPr>
      </w:pPr>
      <w:r>
        <w:rPr>
          <w:rFonts w:ascii="Helvetica" w:hAnsi="Helvetica" w:cs="Helvetica"/>
          <w:b/>
          <w:bCs/>
          <w:sz w:val="24"/>
          <w:szCs w:val="24"/>
        </w:rPr>
        <w:t xml:space="preserve">ARTÍCULO CUARTO. </w:t>
      </w:r>
      <w:r>
        <w:rPr>
          <w:rFonts w:ascii="Helvetica" w:hAnsi="Helvetica" w:cs="Helvetica"/>
          <w:sz w:val="24"/>
          <w:szCs w:val="24"/>
        </w:rPr>
        <w:t>Comunicar l</w:t>
      </w:r>
      <w:r w:rsidR="007D4500" w:rsidRPr="007C7EA3">
        <w:rPr>
          <w:rFonts w:ascii="Helvetica" w:hAnsi="Helvetica" w:cs="Helvetica"/>
          <w:sz w:val="24"/>
          <w:szCs w:val="24"/>
        </w:rPr>
        <w:t xml:space="preserve">a presente decisión al representante legal de la empresa </w:t>
      </w:r>
      <w:r w:rsidR="0065500D" w:rsidRPr="00E22360">
        <w:rPr>
          <w:rFonts w:ascii="Helvetica" w:hAnsi="Helvetica" w:cs="Helvetica"/>
          <w:b/>
          <w:bCs/>
          <w:sz w:val="24"/>
          <w:szCs w:val="24"/>
        </w:rPr>
        <w:t>GASTUMACO DEL PACÍFICO</w:t>
      </w:r>
      <w:r w:rsidR="007D4500" w:rsidRPr="00E22360">
        <w:rPr>
          <w:rFonts w:ascii="Helvetica" w:hAnsi="Helvetica" w:cs="Helvetica"/>
          <w:b/>
          <w:bCs/>
          <w:sz w:val="24"/>
          <w:szCs w:val="24"/>
        </w:rPr>
        <w:t xml:space="preserve"> S.A.</w:t>
      </w:r>
      <w:r w:rsidR="0065500D" w:rsidRPr="00E22360">
        <w:rPr>
          <w:rFonts w:ascii="Helvetica" w:hAnsi="Helvetica" w:cs="Helvetica"/>
          <w:b/>
          <w:bCs/>
          <w:sz w:val="24"/>
          <w:szCs w:val="24"/>
        </w:rPr>
        <w:t>S.</w:t>
      </w:r>
      <w:r w:rsidR="007D4500" w:rsidRPr="00E22360">
        <w:rPr>
          <w:rFonts w:ascii="Helvetica" w:hAnsi="Helvetica" w:cs="Helvetica"/>
          <w:b/>
          <w:bCs/>
          <w:sz w:val="24"/>
          <w:szCs w:val="24"/>
        </w:rPr>
        <w:t xml:space="preserve"> E.S.P.</w:t>
      </w:r>
      <w:r w:rsidR="007D4500" w:rsidRPr="007C7EA3">
        <w:rPr>
          <w:rFonts w:ascii="Helvetica" w:hAnsi="Helvetica" w:cs="Helvetica"/>
          <w:sz w:val="24"/>
          <w:szCs w:val="24"/>
        </w:rPr>
        <w:t xml:space="preserve"> o a quien haga sus veces</w:t>
      </w:r>
      <w:r w:rsidR="00090AE0">
        <w:rPr>
          <w:rFonts w:ascii="Helvetica" w:hAnsi="Helvetica" w:cs="Helvetica"/>
          <w:sz w:val="24"/>
          <w:szCs w:val="24"/>
        </w:rPr>
        <w:t>,</w:t>
      </w:r>
      <w:r w:rsidR="007D4500" w:rsidRPr="007C7EA3">
        <w:rPr>
          <w:rFonts w:ascii="Helvetica" w:hAnsi="Helvetica" w:cs="Helvetica"/>
          <w:sz w:val="24"/>
          <w:szCs w:val="24"/>
        </w:rPr>
        <w:t xml:space="preserve"> advirtiéndole que contra el presente auto no procede recurso alguno de conformidad con lo dispuesto por el artículo 40 del Código de Procedimiento Administrativo y de lo Contencioso Administrativo.</w:t>
      </w:r>
    </w:p>
    <w:p w14:paraId="2A12F0E5" w14:textId="4A545421" w:rsidR="007D4500" w:rsidRPr="007C7EA3" w:rsidRDefault="002D0D75" w:rsidP="007D4500">
      <w:pPr>
        <w:spacing w:before="100" w:beforeAutospacing="1" w:after="100" w:afterAutospacing="1" w:line="360" w:lineRule="auto"/>
        <w:jc w:val="center"/>
        <w:rPr>
          <w:rFonts w:ascii="Helvetica" w:hAnsi="Helvetica" w:cs="Helvetica"/>
          <w:b/>
          <w:sz w:val="24"/>
          <w:szCs w:val="24"/>
        </w:rPr>
      </w:pPr>
      <w:r>
        <w:rPr>
          <w:rFonts w:ascii="Helvetica" w:hAnsi="Helvetica" w:cs="Helvetica"/>
          <w:b/>
          <w:sz w:val="24"/>
          <w:szCs w:val="24"/>
        </w:rPr>
        <w:t xml:space="preserve">PUBLÍQUESE, </w:t>
      </w:r>
      <w:r w:rsidR="007D4500" w:rsidRPr="007C7EA3">
        <w:rPr>
          <w:rFonts w:ascii="Helvetica" w:hAnsi="Helvetica" w:cs="Helvetica"/>
          <w:b/>
          <w:sz w:val="24"/>
          <w:szCs w:val="24"/>
        </w:rPr>
        <w:t>COMUNÍQUESE Y CÚMPLASE</w:t>
      </w:r>
    </w:p>
    <w:p w14:paraId="33B04BAC" w14:textId="77777777" w:rsidR="007D4500" w:rsidRPr="007C7EA3" w:rsidRDefault="007D4500" w:rsidP="007D4500">
      <w:pPr>
        <w:spacing w:before="100" w:beforeAutospacing="1" w:after="100" w:afterAutospacing="1" w:line="360" w:lineRule="auto"/>
        <w:jc w:val="center"/>
        <w:rPr>
          <w:rFonts w:ascii="Helvetica" w:hAnsi="Helvetica" w:cs="Helvetica"/>
          <w:sz w:val="24"/>
          <w:szCs w:val="24"/>
        </w:rPr>
      </w:pPr>
    </w:p>
    <w:p w14:paraId="0D53CE18" w14:textId="77777777" w:rsidR="007D4500" w:rsidRPr="007C7EA3" w:rsidRDefault="007D4500" w:rsidP="007D4500">
      <w:pPr>
        <w:spacing w:before="100" w:beforeAutospacing="1" w:after="100" w:afterAutospacing="1" w:line="360" w:lineRule="auto"/>
        <w:contextualSpacing/>
        <w:jc w:val="center"/>
        <w:rPr>
          <w:rFonts w:ascii="Helvetica" w:hAnsi="Helvetica" w:cs="Helvetica"/>
          <w:b/>
          <w:sz w:val="24"/>
          <w:szCs w:val="24"/>
        </w:rPr>
      </w:pPr>
      <w:r w:rsidRPr="007C7EA3">
        <w:rPr>
          <w:rFonts w:ascii="Helvetica" w:hAnsi="Helvetica" w:cs="Helvetica"/>
          <w:b/>
          <w:sz w:val="24"/>
          <w:szCs w:val="24"/>
        </w:rPr>
        <w:t>OMAR PRIAS CAICEDO</w:t>
      </w:r>
    </w:p>
    <w:p w14:paraId="741660B9" w14:textId="26051BF4" w:rsidR="007D4500" w:rsidRPr="00451598" w:rsidRDefault="007D4500" w:rsidP="00451598">
      <w:pPr>
        <w:spacing w:before="100" w:beforeAutospacing="1" w:after="100" w:afterAutospacing="1" w:line="360" w:lineRule="auto"/>
        <w:contextualSpacing/>
        <w:jc w:val="center"/>
        <w:rPr>
          <w:rFonts w:ascii="Helvetica" w:hAnsi="Helvetica" w:cs="Helvetica"/>
          <w:sz w:val="24"/>
          <w:szCs w:val="24"/>
        </w:rPr>
      </w:pPr>
      <w:r w:rsidRPr="007C7EA3">
        <w:rPr>
          <w:rFonts w:ascii="Helvetica" w:hAnsi="Helvetica" w:cs="Helvetica"/>
          <w:sz w:val="24"/>
          <w:szCs w:val="24"/>
        </w:rPr>
        <w:t>Director Ejecutivo</w:t>
      </w:r>
    </w:p>
    <w:sectPr w:rsidR="007D4500" w:rsidRPr="00451598" w:rsidSect="00142756">
      <w:headerReference w:type="default" r:id="rId9"/>
      <w:footerReference w:type="default" r:id="rId10"/>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84200" w14:textId="77777777" w:rsidR="00DA2E40" w:rsidRDefault="00DA2E40" w:rsidP="00142756">
      <w:pPr>
        <w:spacing w:after="0" w:line="240" w:lineRule="auto"/>
      </w:pPr>
      <w:r>
        <w:separator/>
      </w:r>
    </w:p>
  </w:endnote>
  <w:endnote w:type="continuationSeparator" w:id="0">
    <w:p w14:paraId="7F0597E3" w14:textId="77777777" w:rsidR="00DA2E40" w:rsidRDefault="00DA2E40" w:rsidP="00142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5000785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01E85" w14:textId="69A3A83D" w:rsidR="00142756" w:rsidRPr="000774A9" w:rsidRDefault="00142756" w:rsidP="00142756">
    <w:pPr>
      <w:spacing w:after="0" w:line="276" w:lineRule="auto"/>
      <w:jc w:val="both"/>
      <w:rPr>
        <w:rFonts w:ascii="Helvetica" w:hAnsi="Helvetica"/>
        <w:b/>
        <w:bCs/>
        <w:sz w:val="20"/>
        <w:szCs w:val="20"/>
      </w:rPr>
    </w:pPr>
    <w:r>
      <w:rPr>
        <w:rFonts w:ascii="Helvetica" w:hAnsi="Helvetica"/>
        <w:b/>
        <w:bCs/>
        <w:sz w:val="20"/>
        <w:szCs w:val="20"/>
      </w:rPr>
      <w:t>_______________________________________________________________________________</w:t>
    </w:r>
    <w:r w:rsidRPr="000774A9">
      <w:rPr>
        <w:rFonts w:ascii="Helvetica" w:hAnsi="Helvetica"/>
        <w:b/>
        <w:bCs/>
        <w:sz w:val="20"/>
        <w:szCs w:val="20"/>
      </w:rPr>
      <w:t>Comisión de Regulación de Energía y Gas</w:t>
    </w:r>
  </w:p>
  <w:p w14:paraId="03CFA432" w14:textId="77777777" w:rsidR="00142756" w:rsidRPr="000774A9" w:rsidRDefault="00142756" w:rsidP="00142756">
    <w:pPr>
      <w:spacing w:after="0"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4FDAB767" w14:textId="77777777" w:rsidR="00142756" w:rsidRPr="000774A9" w:rsidRDefault="00142756" w:rsidP="00142756">
    <w:pPr>
      <w:spacing w:after="0" w:line="276" w:lineRule="auto"/>
      <w:jc w:val="both"/>
      <w:rPr>
        <w:rFonts w:ascii="Helvetica" w:hAnsi="Helvetica"/>
        <w:b/>
        <w:bCs/>
        <w:sz w:val="20"/>
        <w:szCs w:val="20"/>
      </w:rPr>
    </w:pPr>
    <w:r w:rsidRPr="000774A9">
      <w:rPr>
        <w:rFonts w:ascii="Helvetica" w:hAnsi="Helvetica"/>
        <w:b/>
        <w:bCs/>
        <w:sz w:val="20"/>
        <w:szCs w:val="20"/>
      </w:rPr>
      <w:t>Conmutador: (+57) 601 603 2020</w:t>
    </w:r>
  </w:p>
  <w:p w14:paraId="14BACED3" w14:textId="77777777" w:rsidR="00142756" w:rsidRPr="00256928" w:rsidRDefault="00142756" w:rsidP="00142756">
    <w:pPr>
      <w:spacing w:after="0" w:line="276" w:lineRule="auto"/>
      <w:jc w:val="both"/>
      <w:rPr>
        <w:rFonts w:ascii="Helvetica" w:hAnsi="Helvetica"/>
        <w:sz w:val="20"/>
        <w:szCs w:val="20"/>
      </w:rPr>
    </w:pPr>
    <w:r w:rsidRPr="000774A9">
      <w:rPr>
        <w:rFonts w:ascii="Helvetica" w:hAnsi="Helvetica"/>
        <w:b/>
        <w:bCs/>
        <w:sz w:val="20"/>
        <w:szCs w:val="20"/>
      </w:rPr>
      <w:t>Línea Gratuita: (+57) 01 8000 512734</w:t>
    </w:r>
  </w:p>
  <w:p w14:paraId="5C358E44" w14:textId="6D1535ED" w:rsidR="00142756" w:rsidRDefault="00142756">
    <w:pPr>
      <w:pStyle w:val="Piedepgina"/>
    </w:pPr>
  </w:p>
  <w:p w14:paraId="26AAD89A" w14:textId="77777777" w:rsidR="00142756" w:rsidRDefault="001427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5C65B" w14:textId="77777777" w:rsidR="00DA2E40" w:rsidRDefault="00DA2E40" w:rsidP="00142756">
      <w:pPr>
        <w:spacing w:after="0" w:line="240" w:lineRule="auto"/>
      </w:pPr>
      <w:r>
        <w:separator/>
      </w:r>
    </w:p>
  </w:footnote>
  <w:footnote w:type="continuationSeparator" w:id="0">
    <w:p w14:paraId="36ED5E50" w14:textId="77777777" w:rsidR="00DA2E40" w:rsidRDefault="00DA2E40" w:rsidP="00142756">
      <w:pPr>
        <w:spacing w:after="0" w:line="240" w:lineRule="auto"/>
      </w:pPr>
      <w:r>
        <w:continuationSeparator/>
      </w:r>
    </w:p>
  </w:footnote>
  <w:footnote w:id="1">
    <w:p w14:paraId="372728E6" w14:textId="51791BBF" w:rsidR="00CC0690" w:rsidRPr="00E22360" w:rsidRDefault="00CC0690" w:rsidP="00E22360">
      <w:pPr>
        <w:pStyle w:val="Textonotapie"/>
        <w:jc w:val="both"/>
        <w:rPr>
          <w:color w:val="000000" w:themeColor="text1"/>
          <w:lang w:val="es-CO"/>
        </w:rPr>
      </w:pPr>
      <w:r w:rsidRPr="00E22360">
        <w:rPr>
          <w:rStyle w:val="Refdenotaalpie"/>
          <w:color w:val="000000" w:themeColor="text1"/>
        </w:rPr>
        <w:footnoteRef/>
      </w:r>
      <w:r w:rsidRPr="00E22360">
        <w:rPr>
          <w:color w:val="000000" w:themeColor="text1"/>
        </w:rPr>
        <w:t xml:space="preserve"> </w:t>
      </w:r>
      <w:r w:rsidRPr="00E22360">
        <w:rPr>
          <w:rFonts w:ascii="Helvetica" w:hAnsi="Helvetica" w:cs="Helvetica"/>
          <w:color w:val="000000" w:themeColor="text1"/>
          <w:spacing w:val="2"/>
          <w:shd w:val="clear" w:color="auto" w:fill="FFFFFF"/>
        </w:rPr>
        <w:t xml:space="preserve">Por la cual se aprueba cargo de distribución transitorio por uso del sistema de distribución de gas combustible por redes de tubería para el mercado relevante conformado por el municipio de San Andrés de Tumaco, departamento de Nariño, según solicitud tarifaria presentada por la empresa Gas Tumaco del Pacífico S.A.S. E.S.P. </w:t>
      </w:r>
    </w:p>
  </w:footnote>
  <w:footnote w:id="2">
    <w:p w14:paraId="6716DAF0" w14:textId="75C9F5C5" w:rsidR="00CC0690" w:rsidRPr="00CC0690" w:rsidRDefault="00CC0690" w:rsidP="00E22360">
      <w:pPr>
        <w:pStyle w:val="Textonotapie"/>
        <w:jc w:val="both"/>
        <w:rPr>
          <w:lang w:val="es-CO"/>
        </w:rPr>
      </w:pPr>
      <w:r w:rsidRPr="00E22360">
        <w:rPr>
          <w:rStyle w:val="Refdenotaalpie"/>
          <w:color w:val="000000" w:themeColor="text1"/>
        </w:rPr>
        <w:footnoteRef/>
      </w:r>
      <w:r w:rsidRPr="00E22360">
        <w:rPr>
          <w:color w:val="000000" w:themeColor="text1"/>
        </w:rPr>
        <w:t xml:space="preserve"> </w:t>
      </w:r>
      <w:r w:rsidRPr="00E22360">
        <w:rPr>
          <w:rFonts w:ascii="Helvetica" w:hAnsi="Helvetica" w:cs="Helvetica"/>
          <w:color w:val="000000" w:themeColor="text1"/>
          <w:spacing w:val="2"/>
          <w:shd w:val="clear" w:color="auto" w:fill="FFFFFF"/>
        </w:rPr>
        <w:t>Por la cual se aprueba el cargo máximo base de comercialización de gas combustible por redes de tubería, para el mercado relevante conformado por el municipio de San Andrés de Tumaco, departamento de Nariño, según solicitud tarifaria presentada por la empresa G</w:t>
      </w:r>
      <w:r w:rsidR="002D0D75" w:rsidRPr="00E22360">
        <w:rPr>
          <w:rFonts w:ascii="Helvetica" w:hAnsi="Helvetica" w:cs="Helvetica"/>
          <w:color w:val="000000" w:themeColor="text1"/>
          <w:spacing w:val="2"/>
          <w:shd w:val="clear" w:color="auto" w:fill="FFFFFF"/>
        </w:rPr>
        <w:t>as</w:t>
      </w:r>
      <w:r w:rsidRPr="00E22360">
        <w:rPr>
          <w:rFonts w:ascii="Helvetica" w:hAnsi="Helvetica" w:cs="Helvetica"/>
          <w:color w:val="000000" w:themeColor="text1"/>
          <w:spacing w:val="2"/>
          <w:shd w:val="clear" w:color="auto" w:fill="FFFFFF"/>
        </w:rPr>
        <w:t xml:space="preserve"> Tumaco del Pacífico S.A.S. E.S.P.</w:t>
      </w:r>
    </w:p>
  </w:footnote>
  <w:footnote w:id="3">
    <w:p w14:paraId="769AFF23" w14:textId="1244CD58" w:rsidR="008B4546" w:rsidRPr="008B4546" w:rsidRDefault="008B4546" w:rsidP="00E22360">
      <w:pPr>
        <w:pStyle w:val="Textonotapie"/>
        <w:jc w:val="both"/>
        <w:rPr>
          <w:lang w:val="es-CO"/>
        </w:rPr>
      </w:pPr>
      <w:r w:rsidRPr="00E22360">
        <w:rPr>
          <w:rStyle w:val="Refdenotaalpie"/>
          <w:color w:val="000000" w:themeColor="text1"/>
        </w:rPr>
        <w:footnoteRef/>
      </w:r>
      <w:r w:rsidRPr="00E22360">
        <w:rPr>
          <w:color w:val="000000" w:themeColor="text1"/>
        </w:rPr>
        <w:t xml:space="preserve"> </w:t>
      </w:r>
      <w:r w:rsidRPr="00E22360">
        <w:rPr>
          <w:rFonts w:ascii="Helvetica" w:hAnsi="Helvetica" w:cs="Helvetica"/>
          <w:color w:val="000000" w:themeColor="text1"/>
          <w:spacing w:val="2"/>
          <w:shd w:val="clear" w:color="auto" w:fill="FFFFFF"/>
        </w:rPr>
        <w:t xml:space="preserve">Por la cual se aprueba el cargo de distribución por uso del sistema de distribución de Gas Licuado de Petróleo – GLP por redes de tubería para el mercado relevante conformado por el municipio de San Andrés de Tumaco en el departamento de Nariño, según solicitud tarifaria presentada por la empresa GAS TUMACO DEL PACÍFICO S.A.S. E.S.P.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051A8" w14:textId="535AD990" w:rsidR="00142756" w:rsidRDefault="00142756">
    <w:pPr>
      <w:pStyle w:val="Encabezado"/>
    </w:pPr>
    <w:r>
      <w:rPr>
        <w:noProof/>
      </w:rPr>
      <w:drawing>
        <wp:anchor distT="0" distB="0" distL="114300" distR="114300" simplePos="0" relativeHeight="251659264" behindDoc="0" locked="0" layoutInCell="1" allowOverlap="1" wp14:anchorId="26BE87EA" wp14:editId="3AC320DB">
          <wp:simplePos x="0" y="0"/>
          <wp:positionH relativeFrom="margin">
            <wp:align>left</wp:align>
          </wp:positionH>
          <wp:positionV relativeFrom="margin">
            <wp:posOffset>-581025</wp:posOffset>
          </wp:positionV>
          <wp:extent cx="1033145" cy="359410"/>
          <wp:effectExtent l="0" t="0" r="0" b="2540"/>
          <wp:wrapSquare wrapText="bothSides"/>
          <wp:docPr id="2041505639"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r>
      <w:rPr>
        <w:noProof/>
      </w:rPr>
      <w:drawing>
        <wp:anchor distT="0" distB="0" distL="114300" distR="114300" simplePos="0" relativeHeight="251658240" behindDoc="0" locked="0" layoutInCell="1" allowOverlap="1" wp14:anchorId="62D810A9" wp14:editId="18269B94">
          <wp:simplePos x="0" y="0"/>
          <wp:positionH relativeFrom="margin">
            <wp:align>right</wp:align>
          </wp:positionH>
          <wp:positionV relativeFrom="margin">
            <wp:posOffset>-523875</wp:posOffset>
          </wp:positionV>
          <wp:extent cx="644400" cy="360000"/>
          <wp:effectExtent l="0" t="0" r="3810" b="2540"/>
          <wp:wrapSquare wrapText="bothSides"/>
          <wp:docPr id="331772907"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644400" cy="360000"/>
                  </a:xfrm>
                  <a:prstGeom prst="rect">
                    <a:avLst/>
                  </a:prstGeom>
                </pic:spPr>
              </pic:pic>
            </a:graphicData>
          </a:graphic>
        </wp:anchor>
      </w:drawing>
    </w:r>
  </w:p>
  <w:p w14:paraId="0421BEEF" w14:textId="0C2857C8" w:rsidR="00142756" w:rsidRDefault="001427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8873EF"/>
    <w:multiLevelType w:val="hybridMultilevel"/>
    <w:tmpl w:val="E65C05F4"/>
    <w:lvl w:ilvl="0" w:tplc="240A000F">
      <w:start w:val="1"/>
      <w:numFmt w:val="decimal"/>
      <w:lvlText w:val="%1."/>
      <w:lvlJc w:val="left"/>
      <w:pPr>
        <w:ind w:left="502"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5292036"/>
    <w:multiLevelType w:val="hybridMultilevel"/>
    <w:tmpl w:val="F1B09DE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1424357">
    <w:abstractNumId w:val="0"/>
  </w:num>
  <w:num w:numId="2" w16cid:durableId="388765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756"/>
    <w:rsid w:val="00003CF9"/>
    <w:rsid w:val="00047A91"/>
    <w:rsid w:val="000771D2"/>
    <w:rsid w:val="00090AE0"/>
    <w:rsid w:val="000B2366"/>
    <w:rsid w:val="000C1276"/>
    <w:rsid w:val="000C7FE8"/>
    <w:rsid w:val="000D2DAF"/>
    <w:rsid w:val="0010027C"/>
    <w:rsid w:val="00103D01"/>
    <w:rsid w:val="00142756"/>
    <w:rsid w:val="001754D8"/>
    <w:rsid w:val="00177BB8"/>
    <w:rsid w:val="00184C0E"/>
    <w:rsid w:val="001B2C76"/>
    <w:rsid w:val="001C79C7"/>
    <w:rsid w:val="001E088A"/>
    <w:rsid w:val="002040B4"/>
    <w:rsid w:val="0021123B"/>
    <w:rsid w:val="00233F8F"/>
    <w:rsid w:val="00246A64"/>
    <w:rsid w:val="00253A7D"/>
    <w:rsid w:val="002A38D9"/>
    <w:rsid w:val="002B3527"/>
    <w:rsid w:val="002C4EAC"/>
    <w:rsid w:val="002D0D75"/>
    <w:rsid w:val="002E25B4"/>
    <w:rsid w:val="003257CD"/>
    <w:rsid w:val="00332C08"/>
    <w:rsid w:val="003427A2"/>
    <w:rsid w:val="00344AB7"/>
    <w:rsid w:val="00351ECC"/>
    <w:rsid w:val="003D5A89"/>
    <w:rsid w:val="003D6AC2"/>
    <w:rsid w:val="003F6C34"/>
    <w:rsid w:val="004158B2"/>
    <w:rsid w:val="00451598"/>
    <w:rsid w:val="00451776"/>
    <w:rsid w:val="004609CD"/>
    <w:rsid w:val="004830D6"/>
    <w:rsid w:val="00484AFD"/>
    <w:rsid w:val="004934EC"/>
    <w:rsid w:val="00497CFC"/>
    <w:rsid w:val="004B02BE"/>
    <w:rsid w:val="00510E40"/>
    <w:rsid w:val="005153E6"/>
    <w:rsid w:val="005414F5"/>
    <w:rsid w:val="00542CE2"/>
    <w:rsid w:val="00571989"/>
    <w:rsid w:val="005B5DCB"/>
    <w:rsid w:val="005B6564"/>
    <w:rsid w:val="00603FAF"/>
    <w:rsid w:val="0061647B"/>
    <w:rsid w:val="00636CF0"/>
    <w:rsid w:val="0065500D"/>
    <w:rsid w:val="006628E0"/>
    <w:rsid w:val="00663B35"/>
    <w:rsid w:val="006674A6"/>
    <w:rsid w:val="006A2EFA"/>
    <w:rsid w:val="00701292"/>
    <w:rsid w:val="007016F8"/>
    <w:rsid w:val="007142E5"/>
    <w:rsid w:val="007212DB"/>
    <w:rsid w:val="007455DF"/>
    <w:rsid w:val="007550A6"/>
    <w:rsid w:val="00762A22"/>
    <w:rsid w:val="007C7EA3"/>
    <w:rsid w:val="007D4500"/>
    <w:rsid w:val="007E0248"/>
    <w:rsid w:val="00840FE4"/>
    <w:rsid w:val="008418D6"/>
    <w:rsid w:val="008926E5"/>
    <w:rsid w:val="008A7327"/>
    <w:rsid w:val="008B4546"/>
    <w:rsid w:val="008C1206"/>
    <w:rsid w:val="008F434F"/>
    <w:rsid w:val="00907C30"/>
    <w:rsid w:val="00965712"/>
    <w:rsid w:val="009829E5"/>
    <w:rsid w:val="00992E7B"/>
    <w:rsid w:val="009A61E2"/>
    <w:rsid w:val="009D6FED"/>
    <w:rsid w:val="009E3747"/>
    <w:rsid w:val="009E68B9"/>
    <w:rsid w:val="00A018B9"/>
    <w:rsid w:val="00A046AC"/>
    <w:rsid w:val="00AB20CD"/>
    <w:rsid w:val="00AC4261"/>
    <w:rsid w:val="00AF3299"/>
    <w:rsid w:val="00B10CAF"/>
    <w:rsid w:val="00B248A5"/>
    <w:rsid w:val="00B37E75"/>
    <w:rsid w:val="00B63E2F"/>
    <w:rsid w:val="00BC5360"/>
    <w:rsid w:val="00C30870"/>
    <w:rsid w:val="00C3626C"/>
    <w:rsid w:val="00C54DD9"/>
    <w:rsid w:val="00C81C1C"/>
    <w:rsid w:val="00C8629F"/>
    <w:rsid w:val="00CC0690"/>
    <w:rsid w:val="00CF5CB5"/>
    <w:rsid w:val="00D15F3C"/>
    <w:rsid w:val="00D43A95"/>
    <w:rsid w:val="00D82BC4"/>
    <w:rsid w:val="00D921EE"/>
    <w:rsid w:val="00D93496"/>
    <w:rsid w:val="00DA0DC1"/>
    <w:rsid w:val="00DA232F"/>
    <w:rsid w:val="00DA2E40"/>
    <w:rsid w:val="00DB0AB9"/>
    <w:rsid w:val="00DD428C"/>
    <w:rsid w:val="00E22360"/>
    <w:rsid w:val="00E87C73"/>
    <w:rsid w:val="00ED66C1"/>
    <w:rsid w:val="00EE2E26"/>
    <w:rsid w:val="00F2325E"/>
    <w:rsid w:val="00F34FBC"/>
    <w:rsid w:val="00F431F3"/>
    <w:rsid w:val="00F50C1E"/>
    <w:rsid w:val="00F6438C"/>
    <w:rsid w:val="00F745C9"/>
    <w:rsid w:val="00FA5F9F"/>
    <w:rsid w:val="00FA6364"/>
    <w:rsid w:val="00FE68B5"/>
    <w:rsid w:val="00FE76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1137E"/>
  <w15:chartTrackingRefBased/>
  <w15:docId w15:val="{F77EF4F2-EEF4-4913-8627-73130180A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03CF9"/>
    <w:pPr>
      <w:keepNext/>
      <w:keepLines/>
      <w:spacing w:before="240" w:after="0" w:line="240" w:lineRule="auto"/>
      <w:outlineLvl w:val="0"/>
    </w:pPr>
    <w:rPr>
      <w:rFonts w:asciiTheme="majorHAnsi" w:eastAsiaTheme="majorEastAsia" w:hAnsiTheme="majorHAnsi" w:cstheme="majorBidi"/>
      <w:color w:val="2F5496" w:themeColor="accent1" w:themeShade="BF"/>
      <w:kern w:val="0"/>
      <w:sz w:val="32"/>
      <w:szCs w:val="32"/>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427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2756"/>
  </w:style>
  <w:style w:type="paragraph" w:styleId="Piedepgina">
    <w:name w:val="footer"/>
    <w:basedOn w:val="Normal"/>
    <w:link w:val="PiedepginaCar"/>
    <w:uiPriority w:val="99"/>
    <w:unhideWhenUsed/>
    <w:rsid w:val="001427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2756"/>
  </w:style>
  <w:style w:type="character" w:customStyle="1" w:styleId="Ttulo1Car">
    <w:name w:val="Título 1 Car"/>
    <w:basedOn w:val="Fuentedeprrafopredeter"/>
    <w:link w:val="Ttulo1"/>
    <w:uiPriority w:val="9"/>
    <w:rsid w:val="00003CF9"/>
    <w:rPr>
      <w:rFonts w:asciiTheme="majorHAnsi" w:eastAsiaTheme="majorEastAsia" w:hAnsiTheme="majorHAnsi" w:cstheme="majorBidi"/>
      <w:color w:val="2F5496" w:themeColor="accent1" w:themeShade="BF"/>
      <w:kern w:val="0"/>
      <w:sz w:val="32"/>
      <w:szCs w:val="32"/>
      <w:lang w:val="es-ES_tradnl"/>
      <w14:ligatures w14:val="none"/>
    </w:rPr>
  </w:style>
  <w:style w:type="paragraph" w:styleId="Textoindependiente">
    <w:name w:val="Body Text"/>
    <w:basedOn w:val="Normal"/>
    <w:link w:val="TextoindependienteCar"/>
    <w:semiHidden/>
    <w:rsid w:val="00003CF9"/>
    <w:pPr>
      <w:spacing w:after="220" w:line="220" w:lineRule="atLeast"/>
      <w:jc w:val="both"/>
    </w:pPr>
    <w:rPr>
      <w:rFonts w:ascii="Arial" w:eastAsia="Times New Roman" w:hAnsi="Arial" w:cs="Times New Roman"/>
      <w:spacing w:val="-5"/>
      <w:kern w:val="0"/>
      <w:sz w:val="20"/>
      <w:szCs w:val="20"/>
      <w14:ligatures w14:val="none"/>
    </w:rPr>
  </w:style>
  <w:style w:type="character" w:customStyle="1" w:styleId="TextoindependienteCar">
    <w:name w:val="Texto independiente Car"/>
    <w:basedOn w:val="Fuentedeprrafopredeter"/>
    <w:link w:val="Textoindependiente"/>
    <w:semiHidden/>
    <w:rsid w:val="00003CF9"/>
    <w:rPr>
      <w:rFonts w:ascii="Arial" w:eastAsia="Times New Roman" w:hAnsi="Arial" w:cs="Times New Roman"/>
      <w:spacing w:val="-5"/>
      <w:kern w:val="0"/>
      <w:sz w:val="20"/>
      <w:szCs w:val="20"/>
      <w14:ligatures w14:val="none"/>
    </w:rPr>
  </w:style>
  <w:style w:type="paragraph" w:customStyle="1" w:styleId="Destinario">
    <w:name w:val="Destinario"/>
    <w:basedOn w:val="Normal"/>
    <w:link w:val="DestinarioCar"/>
    <w:qFormat/>
    <w:rsid w:val="00003CF9"/>
    <w:pPr>
      <w:spacing w:before="120" w:after="120" w:line="360" w:lineRule="auto"/>
      <w:contextualSpacing/>
    </w:pPr>
    <w:rPr>
      <w:kern w:val="0"/>
      <w:sz w:val="24"/>
      <w:szCs w:val="24"/>
      <w14:ligatures w14:val="none"/>
    </w:rPr>
  </w:style>
  <w:style w:type="character" w:customStyle="1" w:styleId="DestinarioCar">
    <w:name w:val="Destinario Car"/>
    <w:basedOn w:val="Fuentedeprrafopredeter"/>
    <w:link w:val="Destinario"/>
    <w:rsid w:val="00003CF9"/>
    <w:rPr>
      <w:kern w:val="0"/>
      <w:sz w:val="24"/>
      <w:szCs w:val="24"/>
      <w14:ligatures w14:val="none"/>
    </w:rPr>
  </w:style>
  <w:style w:type="paragraph" w:styleId="Prrafodelista">
    <w:name w:val="List Paragraph"/>
    <w:aliases w:val="Párrafo de lista1"/>
    <w:basedOn w:val="Normal"/>
    <w:link w:val="PrrafodelistaCar"/>
    <w:uiPriority w:val="34"/>
    <w:qFormat/>
    <w:rsid w:val="00003CF9"/>
    <w:pPr>
      <w:spacing w:before="120" w:after="120" w:line="360" w:lineRule="auto"/>
      <w:ind w:left="720"/>
      <w:contextualSpacing/>
    </w:pPr>
    <w:rPr>
      <w:kern w:val="0"/>
      <w:sz w:val="24"/>
      <w:szCs w:val="24"/>
      <w14:ligatures w14:val="none"/>
    </w:rPr>
  </w:style>
  <w:style w:type="character" w:customStyle="1" w:styleId="PrrafodelistaCar">
    <w:name w:val="Párrafo de lista Car"/>
    <w:aliases w:val="Párrafo de lista1 Car"/>
    <w:link w:val="Prrafodelista"/>
    <w:uiPriority w:val="34"/>
    <w:rsid w:val="007D4500"/>
    <w:rPr>
      <w:kern w:val="0"/>
      <w:sz w:val="24"/>
      <w:szCs w:val="24"/>
      <w14:ligatures w14:val="none"/>
    </w:rPr>
  </w:style>
  <w:style w:type="paragraph" w:styleId="Textonotapie">
    <w:name w:val="footnote text"/>
    <w:basedOn w:val="Normal"/>
    <w:link w:val="TextonotapieCar"/>
    <w:uiPriority w:val="99"/>
    <w:semiHidden/>
    <w:unhideWhenUsed/>
    <w:rsid w:val="007D4500"/>
    <w:pPr>
      <w:spacing w:after="0" w:line="240" w:lineRule="auto"/>
    </w:pPr>
    <w:rPr>
      <w:rFonts w:eastAsiaTheme="minorEastAsia"/>
      <w:kern w:val="0"/>
      <w:sz w:val="20"/>
      <w:szCs w:val="20"/>
      <w:lang w:val="es-ES_tradnl"/>
      <w14:ligatures w14:val="none"/>
    </w:rPr>
  </w:style>
  <w:style w:type="character" w:customStyle="1" w:styleId="TextonotapieCar">
    <w:name w:val="Texto nota pie Car"/>
    <w:basedOn w:val="Fuentedeprrafopredeter"/>
    <w:link w:val="Textonotapie"/>
    <w:uiPriority w:val="99"/>
    <w:semiHidden/>
    <w:rsid w:val="007D4500"/>
    <w:rPr>
      <w:rFonts w:eastAsiaTheme="minorEastAsia"/>
      <w:kern w:val="0"/>
      <w:sz w:val="20"/>
      <w:szCs w:val="20"/>
      <w:lang w:val="es-ES_tradnl"/>
      <w14:ligatures w14:val="none"/>
    </w:rPr>
  </w:style>
  <w:style w:type="character" w:styleId="Refdenotaalpie">
    <w:name w:val="footnote reference"/>
    <w:basedOn w:val="Fuentedeprrafopredeter"/>
    <w:uiPriority w:val="99"/>
    <w:semiHidden/>
    <w:unhideWhenUsed/>
    <w:rsid w:val="007D4500"/>
    <w:rPr>
      <w:vertAlign w:val="superscript"/>
    </w:rPr>
  </w:style>
  <w:style w:type="table" w:styleId="Tablaconcuadrcula">
    <w:name w:val="Table Grid"/>
    <w:basedOn w:val="Tablanormal"/>
    <w:uiPriority w:val="39"/>
    <w:rsid w:val="007D4500"/>
    <w:pPr>
      <w:spacing w:after="0" w:line="240" w:lineRule="auto"/>
    </w:pPr>
    <w:rPr>
      <w:rFonts w:eastAsiaTheme="minorEastAsia"/>
      <w:kern w:val="0"/>
      <w:sz w:val="24"/>
      <w:szCs w:val="24"/>
      <w:lang w:val="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7D4500"/>
  </w:style>
  <w:style w:type="paragraph" w:customStyle="1" w:styleId="paragraph">
    <w:name w:val="paragraph"/>
    <w:basedOn w:val="Normal"/>
    <w:rsid w:val="007D4500"/>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NormalWeb">
    <w:name w:val="Normal (Web)"/>
    <w:basedOn w:val="Normal"/>
    <w:uiPriority w:val="99"/>
    <w:semiHidden/>
    <w:unhideWhenUsed/>
    <w:rsid w:val="007D4500"/>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paragraph" w:customStyle="1" w:styleId="Default">
    <w:name w:val="Default"/>
    <w:rsid w:val="000C1276"/>
    <w:pPr>
      <w:autoSpaceDE w:val="0"/>
      <w:autoSpaceDN w:val="0"/>
      <w:adjustRightInd w:val="0"/>
      <w:spacing w:after="0" w:line="240" w:lineRule="auto"/>
    </w:pPr>
    <w:rPr>
      <w:rFonts w:ascii="Arial" w:hAnsi="Arial" w:cs="Arial"/>
      <w:color w:val="000000"/>
      <w:kern w:val="0"/>
      <w:sz w:val="24"/>
      <w:szCs w:val="24"/>
    </w:rPr>
  </w:style>
  <w:style w:type="paragraph" w:styleId="Revisin">
    <w:name w:val="Revision"/>
    <w:hidden/>
    <w:uiPriority w:val="99"/>
    <w:semiHidden/>
    <w:rsid w:val="00233F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stornormativo.creg.gov.co/gestor/entorno/docs/resolucion_creg_0202_2013.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C875B-1489-421D-A99B-ED58AAFA8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2378</Words>
  <Characters>13079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Camilo Ramirez Lozano</dc:creator>
  <cp:keywords/>
  <dc:description/>
  <cp:lastModifiedBy>Wilson Sanchez Sanchez</cp:lastModifiedBy>
  <cp:revision>6</cp:revision>
  <cp:lastPrinted>2024-06-11T22:23:00Z</cp:lastPrinted>
  <dcterms:created xsi:type="dcterms:W3CDTF">2024-06-11T17:12:00Z</dcterms:created>
  <dcterms:modified xsi:type="dcterms:W3CDTF">2024-06-11T22:24:00Z</dcterms:modified>
</cp:coreProperties>
</file>