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BB7E" w14:textId="79ADDEEE" w:rsidR="00BA6D78" w:rsidRPr="006F4F6F" w:rsidRDefault="00BA6D78" w:rsidP="00BA6D78">
      <w:pPr>
        <w:rPr>
          <w:rFonts w:ascii="Helvetica" w:hAnsi="Helvetica" w:cs="Helvetica"/>
        </w:rPr>
      </w:pPr>
      <w:r w:rsidRPr="006F4F6F">
        <w:rPr>
          <w:rFonts w:ascii="Helvetica" w:hAnsi="Helvetica" w:cs="Helvetica"/>
        </w:rPr>
        <w:t>Bogotá, D. C.</w:t>
      </w:r>
      <w:r w:rsidR="005A6A41" w:rsidRPr="006F4F6F">
        <w:rPr>
          <w:rFonts w:ascii="Helvetica" w:hAnsi="Helvetica" w:cs="Helvetica"/>
        </w:rPr>
        <w:t xml:space="preserve">, </w:t>
      </w:r>
      <w:r w:rsidR="00C21834" w:rsidRPr="006F4F6F">
        <w:rPr>
          <w:rFonts w:ascii="Helvetica" w:hAnsi="Helvetica" w:cs="Helvetica"/>
        </w:rPr>
        <w:t>24 de junio de 2024</w:t>
      </w:r>
    </w:p>
    <w:p w14:paraId="0D8D5813" w14:textId="77777777" w:rsidR="00C21834" w:rsidRPr="006F4F6F" w:rsidRDefault="00C21834" w:rsidP="00C21834">
      <w:pPr>
        <w:spacing w:line="240" w:lineRule="auto"/>
        <w:rPr>
          <w:rFonts w:ascii="Helvetica" w:hAnsi="Helvetica" w:cs="Helvetica"/>
        </w:rPr>
      </w:pPr>
    </w:p>
    <w:p w14:paraId="1623A702" w14:textId="77777777" w:rsidR="00C21834" w:rsidRPr="006F4F6F" w:rsidRDefault="00C21834" w:rsidP="00C21834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6F4F6F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6F4F6F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6F4F6F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6F4F6F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6F4F6F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036 de 2024</w:t>
      </w:r>
      <w:r w:rsidRPr="006F4F6F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6F4F6F" w:rsidRDefault="00BA6D78" w:rsidP="00BA6D78">
      <w:pPr>
        <w:pStyle w:val="Ttulo5"/>
        <w:spacing w:before="0" w:line="220" w:lineRule="atLeast"/>
        <w:ind w:left="720"/>
        <w:jc w:val="center"/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</w:rPr>
      </w:pPr>
    </w:p>
    <w:p w14:paraId="638CB9A4" w14:textId="77777777" w:rsidR="00C21834" w:rsidRPr="006F4F6F" w:rsidRDefault="00C21834" w:rsidP="00C21834">
      <w:pPr>
        <w:tabs>
          <w:tab w:val="left" w:pos="709"/>
        </w:tabs>
        <w:spacing w:before="0" w:after="0" w:line="240" w:lineRule="auto"/>
        <w:ind w:left="1418" w:hanging="1418"/>
        <w:jc w:val="both"/>
        <w:rPr>
          <w:rFonts w:ascii="Helvetica" w:hAnsi="Helvetica" w:cs="Helvetica"/>
          <w:b/>
        </w:rPr>
      </w:pPr>
    </w:p>
    <w:p w14:paraId="74FF62B2" w14:textId="02787E2A" w:rsidR="00BA6D78" w:rsidRPr="006F4F6F" w:rsidRDefault="00BA6D78" w:rsidP="004142B1">
      <w:pPr>
        <w:tabs>
          <w:tab w:val="left" w:pos="709"/>
        </w:tabs>
        <w:ind w:left="1418" w:hanging="1418"/>
        <w:jc w:val="both"/>
        <w:rPr>
          <w:rFonts w:ascii="Helvetica" w:eastAsia="Times New Roman" w:hAnsi="Helvetica" w:cs="Helvetica"/>
          <w:spacing w:val="-5"/>
        </w:rPr>
      </w:pPr>
      <w:r w:rsidRPr="006F4F6F">
        <w:rPr>
          <w:rFonts w:ascii="Helvetica" w:hAnsi="Helvetica" w:cs="Helvetica"/>
          <w:b/>
        </w:rPr>
        <w:t>PARA:</w:t>
      </w:r>
      <w:r w:rsidR="00996585" w:rsidRPr="006F4F6F">
        <w:rPr>
          <w:rFonts w:ascii="Helvetica" w:hAnsi="Helvetica" w:cs="Helvetica"/>
          <w:b/>
        </w:rPr>
        <w:tab/>
      </w:r>
      <w:r w:rsidRPr="006F4F6F">
        <w:rPr>
          <w:rFonts w:ascii="Helvetica" w:hAnsi="Helvetica" w:cs="Helvetica"/>
          <w:b/>
        </w:rPr>
        <w:tab/>
      </w:r>
      <w:r w:rsidRPr="006F4F6F">
        <w:rPr>
          <w:rFonts w:ascii="Helvetica" w:hAnsi="Helvetica" w:cs="Helvetica"/>
          <w:b/>
        </w:rPr>
        <w:fldChar w:fldCharType="begin"/>
      </w:r>
      <w:r w:rsidRPr="006F4F6F">
        <w:rPr>
          <w:rFonts w:ascii="Helvetica" w:hAnsi="Helvetica" w:cs="Helvetica"/>
          <w:b/>
        </w:rPr>
        <w:instrText xml:space="preserve"> MERGEFIELD  Destinatario  \* MERGEFORMAT </w:instrText>
      </w:r>
      <w:r w:rsidRPr="006F4F6F">
        <w:rPr>
          <w:rFonts w:ascii="Helvetica" w:hAnsi="Helvetica" w:cs="Helvetica"/>
          <w:b/>
        </w:rPr>
        <w:fldChar w:fldCharType="separate"/>
      </w:r>
      <w:r w:rsidRPr="006F4F6F">
        <w:rPr>
          <w:rFonts w:ascii="Helvetica" w:hAnsi="Helvetica" w:cs="Helvetica"/>
          <w:b/>
          <w:noProof/>
        </w:rPr>
        <w:t xml:space="preserve">Comercializadores de energía eléctrica en el SIN </w:t>
      </w:r>
      <w:r w:rsidRPr="006F4F6F">
        <w:rPr>
          <w:rFonts w:ascii="Helvetica" w:hAnsi="Helvetica" w:cs="Helvetica"/>
          <w:b/>
        </w:rPr>
        <w:fldChar w:fldCharType="end"/>
      </w:r>
    </w:p>
    <w:p w14:paraId="4CC4F6D0" w14:textId="77777777" w:rsidR="00C21834" w:rsidRPr="006F4F6F" w:rsidRDefault="00C21834" w:rsidP="00C21834">
      <w:pPr>
        <w:pStyle w:val="Sangradetextonormal"/>
        <w:spacing w:after="0"/>
        <w:ind w:left="1410" w:hanging="1410"/>
        <w:rPr>
          <w:rFonts w:ascii="Helvetica" w:hAnsi="Helvetica" w:cs="Helvetica"/>
          <w:b/>
          <w:lang w:val="es-CO"/>
        </w:rPr>
      </w:pPr>
    </w:p>
    <w:p w14:paraId="5ECA4954" w14:textId="544C92CD" w:rsidR="00BA6D78" w:rsidRPr="006F4F6F" w:rsidRDefault="00BA6D78" w:rsidP="00BA6D78">
      <w:pPr>
        <w:pStyle w:val="Sangradetextonormal"/>
        <w:ind w:left="1410" w:hanging="1410"/>
        <w:rPr>
          <w:rFonts w:ascii="Helvetica" w:hAnsi="Helvetica" w:cs="Helvetica"/>
          <w:b/>
          <w:lang w:val="es-CO"/>
        </w:rPr>
      </w:pPr>
      <w:r w:rsidRPr="006F4F6F">
        <w:rPr>
          <w:rFonts w:ascii="Helvetica" w:hAnsi="Helvetica" w:cs="Helvetica"/>
          <w:b/>
          <w:lang w:val="es-CO"/>
        </w:rPr>
        <w:t>DE:</w:t>
      </w:r>
      <w:r w:rsidRPr="006F4F6F">
        <w:rPr>
          <w:rFonts w:ascii="Helvetica" w:hAnsi="Helvetica" w:cs="Helvetica"/>
          <w:b/>
          <w:lang w:val="es-CO"/>
        </w:rPr>
        <w:tab/>
      </w:r>
      <w:r w:rsidR="00C21834" w:rsidRPr="006F4F6F">
        <w:rPr>
          <w:rFonts w:ascii="Helvetica" w:hAnsi="Helvetica" w:cs="Helvetica"/>
          <w:b/>
          <w:lang w:val="es-CO"/>
        </w:rPr>
        <w:tab/>
      </w:r>
      <w:r w:rsidR="00C21834" w:rsidRPr="006F4F6F">
        <w:rPr>
          <w:rFonts w:ascii="Helvetica" w:hAnsi="Helvetica" w:cs="Helvetica"/>
          <w:b/>
          <w:lang w:val="es-CO"/>
        </w:rPr>
        <w:tab/>
      </w:r>
      <w:r w:rsidRPr="006F4F6F">
        <w:rPr>
          <w:rFonts w:ascii="Helvetica" w:hAnsi="Helvetica" w:cs="Helvetica"/>
          <w:b/>
          <w:lang w:val="es-CO"/>
        </w:rPr>
        <w:fldChar w:fldCharType="begin"/>
      </w:r>
      <w:r w:rsidRPr="006F4F6F">
        <w:rPr>
          <w:rFonts w:ascii="Helvetica" w:hAnsi="Helvetica" w:cs="Helvetica"/>
          <w:b/>
          <w:lang w:val="es-CO"/>
        </w:rPr>
        <w:instrText xml:space="preserve"> MERGEFIELD  Remitente  \* MERGEFORMAT </w:instrText>
      </w:r>
      <w:r w:rsidRPr="006F4F6F">
        <w:rPr>
          <w:rFonts w:ascii="Helvetica" w:hAnsi="Helvetica" w:cs="Helvetica"/>
          <w:b/>
          <w:lang w:val="es-CO"/>
        </w:rPr>
        <w:fldChar w:fldCharType="separate"/>
      </w:r>
      <w:r w:rsidRPr="006F4F6F">
        <w:rPr>
          <w:rFonts w:ascii="Helvetica" w:hAnsi="Helvetica" w:cs="Helvetica"/>
          <w:b/>
          <w:noProof/>
          <w:lang w:val="es-CO"/>
        </w:rPr>
        <w:t xml:space="preserve">Dirección </w:t>
      </w:r>
      <w:r w:rsidR="008D712C" w:rsidRPr="006F4F6F">
        <w:rPr>
          <w:rFonts w:ascii="Helvetica" w:hAnsi="Helvetica" w:cs="Helvetica"/>
          <w:b/>
          <w:noProof/>
          <w:lang w:val="es-CO"/>
        </w:rPr>
        <w:t>E</w:t>
      </w:r>
      <w:r w:rsidRPr="006F4F6F">
        <w:rPr>
          <w:rFonts w:ascii="Helvetica" w:hAnsi="Helvetica" w:cs="Helvetica"/>
          <w:b/>
          <w:noProof/>
          <w:lang w:val="es-CO"/>
        </w:rPr>
        <w:t>jecutiva</w:t>
      </w:r>
      <w:r w:rsidRPr="006F4F6F">
        <w:rPr>
          <w:rFonts w:ascii="Helvetica" w:hAnsi="Helvetica" w:cs="Helvetica"/>
          <w:b/>
          <w:lang w:val="es-CO"/>
        </w:rPr>
        <w:fldChar w:fldCharType="end"/>
      </w:r>
    </w:p>
    <w:p w14:paraId="19E32556" w14:textId="77777777" w:rsidR="003C2A72" w:rsidRPr="006F4F6F" w:rsidRDefault="003C2A72" w:rsidP="0065296C">
      <w:pPr>
        <w:pStyle w:val="Sangradetextonormal"/>
        <w:ind w:left="1410" w:hanging="1410"/>
        <w:rPr>
          <w:rFonts w:ascii="Helvetica" w:hAnsi="Helvetica" w:cs="Helvetica"/>
          <w:b/>
          <w:lang w:val="es-CO"/>
        </w:rPr>
      </w:pPr>
    </w:p>
    <w:p w14:paraId="4AE7CAEE" w14:textId="76067E9E" w:rsidR="00BA6D78" w:rsidRPr="006F4F6F" w:rsidRDefault="00BA6D78" w:rsidP="00FA3AD7">
      <w:pPr>
        <w:pStyle w:val="Sangradetextonormal"/>
        <w:spacing w:line="360" w:lineRule="auto"/>
        <w:ind w:left="2127" w:hanging="2127"/>
        <w:jc w:val="both"/>
        <w:rPr>
          <w:rFonts w:ascii="Helvetica" w:hAnsi="Helvetica" w:cs="Helvetica"/>
          <w:b/>
          <w:lang w:val="es-CO"/>
        </w:rPr>
      </w:pPr>
      <w:r w:rsidRPr="006F4F6F">
        <w:rPr>
          <w:rFonts w:ascii="Helvetica" w:hAnsi="Helvetica" w:cs="Helvetica"/>
          <w:b/>
          <w:lang w:val="es-CO"/>
        </w:rPr>
        <w:t>ASUNTO:</w:t>
      </w:r>
      <w:r w:rsidRPr="006F4F6F">
        <w:rPr>
          <w:rFonts w:ascii="Helvetica" w:hAnsi="Helvetica" w:cs="Helvetica"/>
          <w:b/>
          <w:lang w:val="es-CO"/>
        </w:rPr>
        <w:tab/>
      </w:r>
      <w:r w:rsidR="00AC0F7B" w:rsidRPr="006F4F6F">
        <w:rPr>
          <w:rFonts w:ascii="Helvetica" w:hAnsi="Helvetica" w:cs="Helvetica"/>
          <w:b/>
          <w:lang w:val="es-CO"/>
        </w:rPr>
        <w:t>Metodología de liquidación y distribución de ingresos causados por aplicación del costo de opción tarifaria de mercado</w:t>
      </w:r>
      <w:r w:rsidR="0065296C" w:rsidRPr="006F4F6F">
        <w:rPr>
          <w:rFonts w:ascii="Helvetica" w:hAnsi="Helvetica" w:cs="Helvetica"/>
          <w:b/>
          <w:lang w:val="es-CO"/>
        </w:rPr>
        <w:t xml:space="preserve"> (COTn,j,m). Resolución CREG 101_028 de 2023</w:t>
      </w:r>
    </w:p>
    <w:p w14:paraId="50E6A499" w14:textId="77777777" w:rsidR="00C61D21" w:rsidRPr="006F4F6F" w:rsidRDefault="00C61D21" w:rsidP="00C61D21">
      <w:pPr>
        <w:pStyle w:val="Sangradetextonormal"/>
        <w:ind w:left="1410" w:hanging="1410"/>
        <w:rPr>
          <w:rFonts w:ascii="Helvetica" w:hAnsi="Helvetica" w:cs="Helvetica"/>
          <w:lang w:val="es-CO"/>
        </w:rPr>
      </w:pPr>
    </w:p>
    <w:p w14:paraId="2685164E" w14:textId="716F1BB1" w:rsidR="005C756B" w:rsidRPr="006F4F6F" w:rsidRDefault="007D0C0A" w:rsidP="00FA3AD7">
      <w:pPr>
        <w:jc w:val="both"/>
        <w:rPr>
          <w:rFonts w:ascii="Helvetica" w:hAnsi="Helvetica" w:cs="Helvetica"/>
        </w:rPr>
      </w:pPr>
      <w:r w:rsidRPr="006F4F6F">
        <w:rPr>
          <w:rFonts w:ascii="Helvetica" w:hAnsi="Helvetica" w:cs="Helvetica"/>
        </w:rPr>
        <w:t>Co</w:t>
      </w:r>
      <w:r w:rsidR="00674ABF" w:rsidRPr="006F4F6F">
        <w:rPr>
          <w:rFonts w:ascii="Helvetica" w:hAnsi="Helvetica" w:cs="Helvetica"/>
        </w:rPr>
        <w:t>nforme a lo establecido en el</w:t>
      </w:r>
      <w:r w:rsidR="00D1590D" w:rsidRPr="006F4F6F">
        <w:rPr>
          <w:rFonts w:ascii="Helvetica" w:hAnsi="Helvetica" w:cs="Helvetica"/>
        </w:rPr>
        <w:t xml:space="preserve"> </w:t>
      </w:r>
      <w:r w:rsidR="007E1FF5" w:rsidRPr="006F4F6F">
        <w:rPr>
          <w:rFonts w:ascii="Helvetica" w:hAnsi="Helvetica" w:cs="Helvetica"/>
        </w:rPr>
        <w:t>numeral 5 del anexo 3 de la Resolución</w:t>
      </w:r>
      <w:r w:rsidR="002604A8" w:rsidRPr="006F4F6F">
        <w:rPr>
          <w:rFonts w:ascii="Helvetica" w:hAnsi="Helvetica" w:cs="Helvetica"/>
        </w:rPr>
        <w:t xml:space="preserve"> CREG</w:t>
      </w:r>
      <w:r w:rsidR="007E1FF5" w:rsidRPr="006F4F6F">
        <w:rPr>
          <w:rFonts w:ascii="Helvetica" w:hAnsi="Helvetica" w:cs="Helvetica"/>
        </w:rPr>
        <w:t xml:space="preserve"> 119 de 2007, adicionado por el artículo 6 de la Resolución</w:t>
      </w:r>
      <w:r w:rsidR="002604A8" w:rsidRPr="006F4F6F">
        <w:rPr>
          <w:rFonts w:ascii="Helvetica" w:hAnsi="Helvetica" w:cs="Helvetica"/>
        </w:rPr>
        <w:t xml:space="preserve"> CREG</w:t>
      </w:r>
      <w:r w:rsidR="007E1FF5" w:rsidRPr="006F4F6F">
        <w:rPr>
          <w:rFonts w:ascii="Helvetica" w:hAnsi="Helvetica" w:cs="Helvetica"/>
        </w:rPr>
        <w:t xml:space="preserve"> 101_028 de 2023</w:t>
      </w:r>
      <w:r w:rsidR="003619D3" w:rsidRPr="006F4F6F">
        <w:rPr>
          <w:rFonts w:ascii="Helvetica" w:hAnsi="Helvetica" w:cs="Helvetica"/>
        </w:rPr>
        <w:t xml:space="preserve">, </w:t>
      </w:r>
      <w:r w:rsidR="000E5900" w:rsidRPr="006F4F6F">
        <w:rPr>
          <w:rFonts w:ascii="Helvetica" w:hAnsi="Helvetica" w:cs="Helvetica"/>
        </w:rPr>
        <w:t>el Comité Asesor de Comercialización envió</w:t>
      </w:r>
      <w:r w:rsidR="00D57AC0" w:rsidRPr="006F4F6F">
        <w:rPr>
          <w:rFonts w:ascii="Helvetica" w:hAnsi="Helvetica" w:cs="Helvetica"/>
        </w:rPr>
        <w:t xml:space="preserve"> a la Comisión</w:t>
      </w:r>
      <w:r w:rsidR="002604A8" w:rsidRPr="006F4F6F">
        <w:rPr>
          <w:rFonts w:ascii="Helvetica" w:hAnsi="Helvetica" w:cs="Helvetica"/>
        </w:rPr>
        <w:t xml:space="preserve"> de Regulación de Energía y Gas (CREG)</w:t>
      </w:r>
      <w:r w:rsidR="00E96FC0" w:rsidRPr="006F4F6F">
        <w:rPr>
          <w:rFonts w:ascii="Helvetica" w:hAnsi="Helvetica" w:cs="Helvetica"/>
        </w:rPr>
        <w:t xml:space="preserve"> la propuesta de </w:t>
      </w:r>
      <w:r w:rsidR="003B3DA8" w:rsidRPr="006F4F6F">
        <w:rPr>
          <w:rFonts w:ascii="Helvetica" w:hAnsi="Helvetica" w:cs="Helvetica"/>
        </w:rPr>
        <w:t>metodología</w:t>
      </w:r>
      <w:r w:rsidR="00B92FDD" w:rsidRPr="006F4F6F">
        <w:rPr>
          <w:rFonts w:ascii="Helvetica" w:hAnsi="Helvetica" w:cs="Helvetica"/>
        </w:rPr>
        <w:t xml:space="preserve"> de liquidación y </w:t>
      </w:r>
      <w:r w:rsidR="003B3DA8" w:rsidRPr="006F4F6F">
        <w:rPr>
          <w:rFonts w:ascii="Helvetica" w:hAnsi="Helvetica" w:cs="Helvetica"/>
        </w:rPr>
        <w:t>distribución</w:t>
      </w:r>
      <w:r w:rsidR="00B92FDD" w:rsidRPr="006F4F6F">
        <w:rPr>
          <w:rFonts w:ascii="Helvetica" w:hAnsi="Helvetica" w:cs="Helvetica"/>
        </w:rPr>
        <w:t xml:space="preserve"> de los </w:t>
      </w:r>
      <w:r w:rsidR="00351DB1" w:rsidRPr="006F4F6F">
        <w:rPr>
          <w:rFonts w:ascii="Helvetica" w:hAnsi="Helvetica" w:cs="Helvetica"/>
        </w:rPr>
        <w:t>ingresos obtenidos por</w:t>
      </w:r>
      <w:r w:rsidR="00595EC3" w:rsidRPr="006F4F6F">
        <w:rPr>
          <w:rFonts w:ascii="Helvetica" w:hAnsi="Helvetica" w:cs="Helvetica"/>
        </w:rPr>
        <w:t xml:space="preserve"> concepto de </w:t>
      </w:r>
      <w:r w:rsidR="00E96FC0" w:rsidRPr="006F4F6F">
        <w:rPr>
          <w:rFonts w:ascii="Helvetica" w:hAnsi="Helvetica" w:cs="Helvetica"/>
        </w:rPr>
        <w:t>recuperación del saldo de la opción tarifaria en un mercado determinado</w:t>
      </w:r>
      <w:r w:rsidR="00C179F2" w:rsidRPr="006F4F6F">
        <w:rPr>
          <w:rFonts w:ascii="Helvetica" w:hAnsi="Helvetica" w:cs="Helvetica"/>
        </w:rPr>
        <w:t xml:space="preserve">, </w:t>
      </w:r>
      <w:r w:rsidR="00E96FC0" w:rsidRPr="006F4F6F">
        <w:rPr>
          <w:rFonts w:ascii="Helvetica" w:hAnsi="Helvetica" w:cs="Helvetica"/>
        </w:rPr>
        <w:t>con base en los lineamientos allí expues</w:t>
      </w:r>
      <w:r w:rsidR="005C756B" w:rsidRPr="006F4F6F">
        <w:rPr>
          <w:rFonts w:ascii="Helvetica" w:hAnsi="Helvetica" w:cs="Helvetica"/>
        </w:rPr>
        <w:t>t</w:t>
      </w:r>
      <w:r w:rsidR="00E96FC0" w:rsidRPr="006F4F6F">
        <w:rPr>
          <w:rFonts w:ascii="Helvetica" w:hAnsi="Helvetica" w:cs="Helvetica"/>
        </w:rPr>
        <w:t xml:space="preserve">os </w:t>
      </w:r>
      <w:r w:rsidR="00F34553" w:rsidRPr="006F4F6F">
        <w:rPr>
          <w:rFonts w:ascii="Helvetica" w:hAnsi="Helvetica" w:cs="Helvetica"/>
        </w:rPr>
        <w:t>y,</w:t>
      </w:r>
      <w:r w:rsidR="00E96FC0" w:rsidRPr="006F4F6F">
        <w:rPr>
          <w:rFonts w:ascii="Helvetica" w:hAnsi="Helvetica" w:cs="Helvetica"/>
        </w:rPr>
        <w:t xml:space="preserve"> por tanto, el Comité de Expertos, en sesión </w:t>
      </w:r>
      <w:r w:rsidR="00D57AC0" w:rsidRPr="006F4F6F">
        <w:rPr>
          <w:rFonts w:ascii="Helvetica" w:hAnsi="Helvetica" w:cs="Helvetica"/>
        </w:rPr>
        <w:t>11</w:t>
      </w:r>
      <w:r w:rsidR="00741E52" w:rsidRPr="006F4F6F">
        <w:rPr>
          <w:rFonts w:ascii="Helvetica" w:hAnsi="Helvetica" w:cs="Helvetica"/>
        </w:rPr>
        <w:t xml:space="preserve"> </w:t>
      </w:r>
      <w:r w:rsidR="00E96FC0" w:rsidRPr="006F4F6F">
        <w:rPr>
          <w:rFonts w:ascii="Helvetica" w:hAnsi="Helvetica" w:cs="Helvetica"/>
        </w:rPr>
        <w:t xml:space="preserve">del </w:t>
      </w:r>
      <w:r w:rsidR="00D57AC0" w:rsidRPr="006F4F6F">
        <w:rPr>
          <w:rFonts w:ascii="Helvetica" w:hAnsi="Helvetica" w:cs="Helvetica"/>
        </w:rPr>
        <w:t>12</w:t>
      </w:r>
      <w:r w:rsidR="00E96FC0" w:rsidRPr="006F4F6F">
        <w:rPr>
          <w:rFonts w:ascii="Helvetica" w:hAnsi="Helvetica" w:cs="Helvetica"/>
        </w:rPr>
        <w:t xml:space="preserve"> de </w:t>
      </w:r>
      <w:r w:rsidR="007322A0" w:rsidRPr="006F4F6F">
        <w:rPr>
          <w:rFonts w:ascii="Helvetica" w:hAnsi="Helvetica" w:cs="Helvetica"/>
        </w:rPr>
        <w:t>abril</w:t>
      </w:r>
      <w:r w:rsidR="00351DB1" w:rsidRPr="006F4F6F">
        <w:rPr>
          <w:rFonts w:ascii="Helvetica" w:hAnsi="Helvetica" w:cs="Helvetica"/>
        </w:rPr>
        <w:t xml:space="preserve"> </w:t>
      </w:r>
      <w:r w:rsidR="00E96FC0" w:rsidRPr="006F4F6F">
        <w:rPr>
          <w:rFonts w:ascii="Helvetica" w:hAnsi="Helvetica" w:cs="Helvetica"/>
        </w:rPr>
        <w:t>de</w:t>
      </w:r>
      <w:r w:rsidR="00184B01" w:rsidRPr="006F4F6F">
        <w:rPr>
          <w:rFonts w:ascii="Helvetica" w:hAnsi="Helvetica" w:cs="Helvetica"/>
        </w:rPr>
        <w:t xml:space="preserve"> </w:t>
      </w:r>
      <w:r w:rsidR="00E96FC0" w:rsidRPr="006F4F6F">
        <w:rPr>
          <w:rFonts w:ascii="Helvetica" w:hAnsi="Helvetica" w:cs="Helvetica"/>
        </w:rPr>
        <w:t>202</w:t>
      </w:r>
      <w:r w:rsidR="00FA1551" w:rsidRPr="006F4F6F">
        <w:rPr>
          <w:rFonts w:ascii="Helvetica" w:hAnsi="Helvetica" w:cs="Helvetica"/>
        </w:rPr>
        <w:t>4</w:t>
      </w:r>
      <w:r w:rsidR="00E96FC0" w:rsidRPr="006F4F6F">
        <w:rPr>
          <w:rFonts w:ascii="Helvetica" w:hAnsi="Helvetica" w:cs="Helvetica"/>
        </w:rPr>
        <w:t>, decidió acoger la propuesta</w:t>
      </w:r>
      <w:r w:rsidR="005C756B" w:rsidRPr="006F4F6F">
        <w:rPr>
          <w:rFonts w:ascii="Helvetica" w:hAnsi="Helvetica" w:cs="Helvetica"/>
        </w:rPr>
        <w:t>.</w:t>
      </w:r>
    </w:p>
    <w:p w14:paraId="5FC11980" w14:textId="77777777" w:rsidR="00FA3AD7" w:rsidRPr="006F4F6F" w:rsidRDefault="00FA3AD7" w:rsidP="00FA3AD7">
      <w:pPr>
        <w:spacing w:after="0" w:line="240" w:lineRule="auto"/>
        <w:jc w:val="both"/>
        <w:rPr>
          <w:rFonts w:ascii="Helvetica" w:hAnsi="Helvetica" w:cs="Helvetica"/>
        </w:rPr>
      </w:pPr>
    </w:p>
    <w:p w14:paraId="50F5AB94" w14:textId="0F353FD1" w:rsidR="005C756B" w:rsidRPr="006F4F6F" w:rsidRDefault="005C756B" w:rsidP="00FA3AD7">
      <w:pPr>
        <w:jc w:val="both"/>
        <w:rPr>
          <w:rFonts w:ascii="Helvetica" w:hAnsi="Helvetica" w:cs="Helvetica"/>
        </w:rPr>
      </w:pPr>
      <w:r w:rsidRPr="006F4F6F">
        <w:rPr>
          <w:rFonts w:ascii="Helvetica" w:hAnsi="Helvetica" w:cs="Helvetica"/>
        </w:rPr>
        <w:t xml:space="preserve">Así, </w:t>
      </w:r>
      <w:r w:rsidR="00FA1551" w:rsidRPr="006F4F6F">
        <w:rPr>
          <w:rFonts w:ascii="Helvetica" w:hAnsi="Helvetica" w:cs="Helvetica"/>
        </w:rPr>
        <w:t>la metodología aplicable para la liquidación y distribución de los ingresos causa</w:t>
      </w:r>
      <w:r w:rsidR="006F5C66" w:rsidRPr="006F4F6F">
        <w:rPr>
          <w:rFonts w:ascii="Helvetica" w:hAnsi="Helvetica" w:cs="Helvetica"/>
        </w:rPr>
        <w:t xml:space="preserve">dos por aplicación del costo de opción tarifaria de mercado se </w:t>
      </w:r>
      <w:r w:rsidR="00CE13D9" w:rsidRPr="006F4F6F">
        <w:rPr>
          <w:rFonts w:ascii="Helvetica" w:hAnsi="Helvetica" w:cs="Helvetica"/>
        </w:rPr>
        <w:t>expone en el documento anexo</w:t>
      </w:r>
      <w:r w:rsidRPr="006F4F6F">
        <w:rPr>
          <w:rFonts w:ascii="Helvetica" w:hAnsi="Helvetica" w:cs="Helvetica"/>
        </w:rPr>
        <w:t xml:space="preserve"> a la presente circular.</w:t>
      </w:r>
      <w:r w:rsidR="003776E0" w:rsidRPr="006F4F6F">
        <w:rPr>
          <w:rFonts w:ascii="Helvetica" w:hAnsi="Helvetica" w:cs="Helvetica"/>
        </w:rPr>
        <w:t xml:space="preserve"> Adicionalmente, </w:t>
      </w:r>
      <w:r w:rsidR="00250EDF" w:rsidRPr="006F4F6F">
        <w:rPr>
          <w:rFonts w:ascii="Helvetica" w:hAnsi="Helvetica" w:cs="Helvetica"/>
        </w:rPr>
        <w:t>a partir del numeral 5 del anexo 3 de la resolución</w:t>
      </w:r>
      <w:r w:rsidR="00D93424" w:rsidRPr="006F4F6F">
        <w:rPr>
          <w:rFonts w:ascii="Helvetica" w:hAnsi="Helvetica" w:cs="Helvetica"/>
        </w:rPr>
        <w:t xml:space="preserve"> CREG</w:t>
      </w:r>
      <w:r w:rsidR="00250EDF" w:rsidRPr="006F4F6F">
        <w:rPr>
          <w:rFonts w:ascii="Helvetica" w:hAnsi="Helvetica" w:cs="Helvetica"/>
        </w:rPr>
        <w:t xml:space="preserve"> 119 de</w:t>
      </w:r>
      <w:r w:rsidR="005916AA" w:rsidRPr="006F4F6F">
        <w:rPr>
          <w:rFonts w:ascii="Helvetica" w:hAnsi="Helvetica" w:cs="Helvetica"/>
        </w:rPr>
        <w:t xml:space="preserve"> 2007</w:t>
      </w:r>
      <w:r w:rsidR="00D93424" w:rsidRPr="006F4F6F">
        <w:rPr>
          <w:rFonts w:ascii="Helvetica" w:hAnsi="Helvetica" w:cs="Helvetica"/>
        </w:rPr>
        <w:t xml:space="preserve">, adicionado por el artículo 6 de la resolución CREG 101_028 de 2023, </w:t>
      </w:r>
      <w:r w:rsidR="003776E0" w:rsidRPr="006F4F6F">
        <w:rPr>
          <w:rFonts w:ascii="Helvetica" w:hAnsi="Helvetica" w:cs="Helvetica"/>
        </w:rPr>
        <w:lastRenderedPageBreak/>
        <w:t>el comercializador deberá mantener actualizada la información relativa a los saldos acumulados y el histórico de los valores que se trasladan a la tarifa del usuario final.</w:t>
      </w:r>
    </w:p>
    <w:p w14:paraId="394340E9" w14:textId="77777777" w:rsidR="00FA3AD7" w:rsidRPr="006F4F6F" w:rsidRDefault="00FA3AD7" w:rsidP="00DC59CD">
      <w:pPr>
        <w:rPr>
          <w:rFonts w:ascii="Helvetica" w:hAnsi="Helvetica" w:cs="Helvetica"/>
        </w:rPr>
      </w:pPr>
    </w:p>
    <w:p w14:paraId="08A5E86E" w14:textId="7DDD98FE" w:rsidR="00010001" w:rsidRPr="006F4F6F" w:rsidRDefault="007D0C0A" w:rsidP="00DC59CD">
      <w:pPr>
        <w:rPr>
          <w:rFonts w:ascii="Helvetica" w:hAnsi="Helvetica" w:cs="Helvetica"/>
        </w:rPr>
      </w:pPr>
      <w:r w:rsidRPr="006F4F6F">
        <w:rPr>
          <w:rFonts w:ascii="Helvetica" w:hAnsi="Helvetica" w:cs="Helvetica"/>
        </w:rPr>
        <w:t>Cordialmente,</w:t>
      </w:r>
    </w:p>
    <w:p w14:paraId="3283017E" w14:textId="77777777" w:rsidR="006F4F6F" w:rsidRPr="006F4F6F" w:rsidRDefault="006F4F6F" w:rsidP="005A6A41">
      <w:pPr>
        <w:spacing w:after="0" w:line="240" w:lineRule="auto"/>
        <w:jc w:val="center"/>
        <w:rPr>
          <w:rFonts w:ascii="Helvetica" w:hAnsi="Helvetica" w:cs="Helvetica"/>
          <w:b/>
          <w:bCs/>
        </w:rPr>
      </w:pPr>
    </w:p>
    <w:p w14:paraId="769A4A09" w14:textId="4E912D48" w:rsidR="007D0C0A" w:rsidRPr="006F4F6F" w:rsidRDefault="007D0C0A" w:rsidP="005A6A41">
      <w:pPr>
        <w:spacing w:after="0" w:line="240" w:lineRule="auto"/>
        <w:jc w:val="center"/>
        <w:rPr>
          <w:rFonts w:ascii="Helvetica" w:hAnsi="Helvetica" w:cs="Helvetica"/>
          <w:b/>
          <w:bCs/>
        </w:rPr>
      </w:pPr>
      <w:r w:rsidRPr="006F4F6F">
        <w:rPr>
          <w:rFonts w:ascii="Helvetica" w:hAnsi="Helvetica" w:cs="Helvetica"/>
          <w:b/>
          <w:bCs/>
        </w:rPr>
        <w:t xml:space="preserve">OMAR PRIAS CAICEDO </w:t>
      </w:r>
    </w:p>
    <w:p w14:paraId="5C28B169" w14:textId="2CE363EB" w:rsidR="00BA6D78" w:rsidRPr="006F4F6F" w:rsidRDefault="007D0C0A" w:rsidP="005A6A41">
      <w:pPr>
        <w:spacing w:after="0" w:line="240" w:lineRule="auto"/>
        <w:jc w:val="center"/>
        <w:rPr>
          <w:rFonts w:ascii="Helvetica" w:hAnsi="Helvetica" w:cs="Helvetica"/>
        </w:rPr>
      </w:pPr>
      <w:r w:rsidRPr="006F4F6F">
        <w:rPr>
          <w:rFonts w:ascii="Helvetica" w:hAnsi="Helvetica" w:cs="Helvetica"/>
        </w:rPr>
        <w:t>Director Ejecutivo</w:t>
      </w:r>
    </w:p>
    <w:p w14:paraId="02603D46" w14:textId="77777777" w:rsidR="005C756B" w:rsidRPr="006F4F6F" w:rsidRDefault="005C756B" w:rsidP="005A6A41">
      <w:pPr>
        <w:spacing w:after="0" w:line="240" w:lineRule="auto"/>
        <w:jc w:val="center"/>
        <w:rPr>
          <w:rFonts w:ascii="Helvetica" w:hAnsi="Helvetica" w:cs="Helvetica"/>
        </w:rPr>
      </w:pPr>
    </w:p>
    <w:p w14:paraId="49374587" w14:textId="77777777" w:rsidR="006F4F6F" w:rsidRPr="006F4F6F" w:rsidRDefault="006F4F6F" w:rsidP="006F4F6F">
      <w:pPr>
        <w:spacing w:before="0" w:line="240" w:lineRule="auto"/>
        <w:ind w:left="851" w:hanging="851"/>
        <w:rPr>
          <w:rFonts w:ascii="Helvetica" w:hAnsi="Helvetica" w:cs="Helvetica"/>
          <w:sz w:val="22"/>
          <w:szCs w:val="22"/>
        </w:rPr>
      </w:pPr>
    </w:p>
    <w:p w14:paraId="2E95BDDE" w14:textId="66DD0C8C" w:rsidR="00FA3AD7" w:rsidRPr="006F4F6F" w:rsidRDefault="005C756B" w:rsidP="00FA3AD7">
      <w:pPr>
        <w:spacing w:after="0" w:line="240" w:lineRule="auto"/>
        <w:ind w:left="851" w:hanging="851"/>
        <w:rPr>
          <w:rFonts w:ascii="Helvetica" w:hAnsi="Helvetica" w:cs="Helvetica"/>
          <w:sz w:val="22"/>
          <w:szCs w:val="22"/>
        </w:rPr>
      </w:pPr>
      <w:r w:rsidRPr="006F4F6F">
        <w:rPr>
          <w:rFonts w:ascii="Helvetica" w:hAnsi="Helvetica" w:cs="Helvetica"/>
          <w:sz w:val="22"/>
          <w:szCs w:val="22"/>
        </w:rPr>
        <w:t>Anexo</w:t>
      </w:r>
      <w:r w:rsidR="00741E52" w:rsidRPr="006F4F6F">
        <w:rPr>
          <w:rFonts w:ascii="Helvetica" w:hAnsi="Helvetica" w:cs="Helvetica"/>
          <w:sz w:val="22"/>
          <w:szCs w:val="22"/>
        </w:rPr>
        <w:t>s</w:t>
      </w:r>
      <w:r w:rsidRPr="006F4F6F">
        <w:rPr>
          <w:rFonts w:ascii="Helvetica" w:hAnsi="Helvetica" w:cs="Helvetica"/>
          <w:sz w:val="22"/>
          <w:szCs w:val="22"/>
        </w:rPr>
        <w:t xml:space="preserve">: </w:t>
      </w:r>
      <w:r w:rsidR="00E92BDE" w:rsidRPr="006F4F6F">
        <w:rPr>
          <w:rFonts w:ascii="Helvetica" w:hAnsi="Helvetica" w:cs="Helvetica"/>
          <w:sz w:val="22"/>
          <w:szCs w:val="22"/>
        </w:rPr>
        <w:t xml:space="preserve">Metodología </w:t>
      </w:r>
      <w:r w:rsidR="00B91E75" w:rsidRPr="006F4F6F">
        <w:rPr>
          <w:rFonts w:ascii="Helvetica" w:hAnsi="Helvetica" w:cs="Helvetica"/>
          <w:sz w:val="22"/>
          <w:szCs w:val="22"/>
        </w:rPr>
        <w:t xml:space="preserve">de </w:t>
      </w:r>
      <w:r w:rsidR="00E92BDE" w:rsidRPr="006F4F6F">
        <w:rPr>
          <w:rFonts w:ascii="Helvetica" w:hAnsi="Helvetica" w:cs="Helvetica"/>
          <w:sz w:val="22"/>
          <w:szCs w:val="22"/>
        </w:rPr>
        <w:t>liquidación y distribución de los ingresos</w:t>
      </w:r>
      <w:r w:rsidR="00FA3AD7" w:rsidRPr="006F4F6F">
        <w:rPr>
          <w:rFonts w:ascii="Helvetica" w:hAnsi="Helvetica" w:cs="Helvetica"/>
          <w:sz w:val="22"/>
          <w:szCs w:val="22"/>
        </w:rPr>
        <w:t xml:space="preserve"> (CAC-090-24_Procedimiento liquidación y distribución de ingresos COT_CREG 101_028 de 2023.pdf)</w:t>
      </w:r>
    </w:p>
    <w:sectPr w:rsidR="00FA3AD7" w:rsidRPr="006F4F6F" w:rsidSect="00C21834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021" w:right="1418" w:bottom="1474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FBF7D" w14:textId="77777777" w:rsidR="00A91C18" w:rsidRDefault="00A91C18" w:rsidP="00AA0519">
      <w:r>
        <w:separator/>
      </w:r>
    </w:p>
  </w:endnote>
  <w:endnote w:type="continuationSeparator" w:id="0">
    <w:p w14:paraId="7DE25875" w14:textId="77777777" w:rsidR="00A91C18" w:rsidRDefault="00A91C18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0916C" w14:textId="525485F5" w:rsidR="00C21834" w:rsidRDefault="00C21834" w:rsidP="00C21834">
    <w:pPr>
      <w:spacing w:before="0" w:after="0"/>
      <w:rPr>
        <w:rStyle w:val="nfasis"/>
      </w:rPr>
    </w:pPr>
    <w:r w:rsidRPr="00C37978">
      <w:rPr>
        <w:rStyle w:val="nfasis"/>
      </w:rPr>
      <w:t>____________________________________________________________________________________</w:t>
    </w:r>
  </w:p>
  <w:p w14:paraId="4D790544" w14:textId="3A291612" w:rsidR="00C21834" w:rsidRPr="00C37978" w:rsidRDefault="00C21834" w:rsidP="00C21834">
    <w:pPr>
      <w:spacing w:before="0" w:after="0"/>
      <w:rPr>
        <w:rStyle w:val="nfasis"/>
      </w:rPr>
    </w:pPr>
    <w:r w:rsidRPr="00C37978">
      <w:rPr>
        <w:rStyle w:val="nfasis"/>
      </w:rPr>
      <w:t>Comisión de Regulación de Energía y Gas</w:t>
    </w:r>
  </w:p>
  <w:p w14:paraId="36CBEA9B" w14:textId="77777777" w:rsidR="00C21834" w:rsidRPr="00C37978" w:rsidRDefault="00C21834" w:rsidP="00C21834">
    <w:pPr>
      <w:spacing w:before="0" w:after="0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47F3FB2C" w14:textId="77777777" w:rsidR="00C21834" w:rsidRPr="00C37978" w:rsidRDefault="00C21834" w:rsidP="00C21834">
    <w:pPr>
      <w:spacing w:before="0" w:after="0"/>
      <w:rPr>
        <w:rStyle w:val="nfasis"/>
      </w:rPr>
    </w:pPr>
    <w:r w:rsidRPr="00C37978">
      <w:rPr>
        <w:rStyle w:val="nfasis"/>
      </w:rPr>
      <w:t>Conmutador: (+57) 601 603 2020</w:t>
    </w:r>
  </w:p>
  <w:p w14:paraId="12EB656D" w14:textId="75F7B008" w:rsidR="00735E1F" w:rsidRDefault="00C21834" w:rsidP="00C21834">
    <w:pPr>
      <w:spacing w:before="0"/>
    </w:pPr>
    <w:r w:rsidRPr="00C37978">
      <w:rPr>
        <w:rStyle w:val="nfasis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A32D" w14:textId="77777777" w:rsidR="005A6A41" w:rsidRDefault="005A6A41" w:rsidP="005A6A41">
    <w:pPr>
      <w:spacing w:before="0" w:line="240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_____________________________________________________________________________</w:t>
    </w:r>
  </w:p>
  <w:p w14:paraId="4BF6D687" w14:textId="77777777" w:rsidR="005A6A41" w:rsidRDefault="005A6A41" w:rsidP="005A6A41">
    <w:pPr>
      <w:spacing w:before="0" w:line="240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Comisión de Regulación de Energía y Gas</w:t>
    </w:r>
  </w:p>
  <w:p w14:paraId="5790E96F" w14:textId="77777777" w:rsidR="005A6A41" w:rsidRDefault="005A6A41" w:rsidP="005A6A41">
    <w:pPr>
      <w:spacing w:before="0" w:line="240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Dirección: Calle 116 No.7 - 15, Bogotá D.C., Colombia</w:t>
    </w:r>
  </w:p>
  <w:p w14:paraId="6D5832D8" w14:textId="77777777" w:rsidR="005A6A41" w:rsidRDefault="005A6A41" w:rsidP="005A6A41">
    <w:pPr>
      <w:spacing w:before="0" w:line="240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Conmutador: (+57) 601 603 2020</w:t>
    </w:r>
  </w:p>
  <w:p w14:paraId="6BA37B68" w14:textId="77777777" w:rsidR="005A6A41" w:rsidRDefault="005A6A41" w:rsidP="005A6A41">
    <w:pPr>
      <w:spacing w:before="0" w:line="240" w:lineRule="auto"/>
      <w:jc w:val="both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Línea Gratuita: (+57) 01 8000 512734</w:t>
    </w:r>
  </w:p>
  <w:p w14:paraId="726A889B" w14:textId="4F467D78" w:rsidR="003F2F4B" w:rsidRPr="005A6A41" w:rsidRDefault="003F2F4B" w:rsidP="005A6A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873E" w14:textId="77777777" w:rsidR="00A91C18" w:rsidRDefault="00A91C18" w:rsidP="00AA0519">
      <w:r>
        <w:separator/>
      </w:r>
    </w:p>
  </w:footnote>
  <w:footnote w:type="continuationSeparator" w:id="0">
    <w:p w14:paraId="1BF5BCBD" w14:textId="77777777" w:rsidR="00A91C18" w:rsidRDefault="00A91C18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1A079913" w:rsidR="003F2F4B" w:rsidRPr="008C0A5F" w:rsidRDefault="00C21834" w:rsidP="00C21834">
    <w:pPr>
      <w:pStyle w:val="Destinario"/>
      <w:spacing w:before="240"/>
      <w:rPr>
        <w:sz w:val="22"/>
        <w:szCs w:val="22"/>
      </w:rPr>
    </w:pPr>
    <w:r w:rsidRPr="00C21834">
      <w:rPr>
        <w:noProof/>
        <w:sz w:val="22"/>
        <w:szCs w:val="22"/>
      </w:rPr>
      <w:drawing>
        <wp:anchor distT="0" distB="0" distL="114300" distR="114300" simplePos="0" relativeHeight="251670528" behindDoc="0" locked="0" layoutInCell="1" allowOverlap="1" wp14:anchorId="30883696" wp14:editId="7281D3F9">
          <wp:simplePos x="0" y="0"/>
          <wp:positionH relativeFrom="column">
            <wp:posOffset>-281940</wp:posOffset>
          </wp:positionH>
          <wp:positionV relativeFrom="paragraph">
            <wp:posOffset>-57455</wp:posOffset>
          </wp:positionV>
          <wp:extent cx="6562851" cy="453542"/>
          <wp:effectExtent l="0" t="0" r="0" b="3810"/>
          <wp:wrapNone/>
          <wp:docPr id="173280790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851" cy="453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069159F3" w:rsidR="00F82573" w:rsidRPr="005A6A41" w:rsidRDefault="005A6A41" w:rsidP="005A6A41">
    <w:pPr>
      <w:pStyle w:val="Encabezado"/>
      <w:tabs>
        <w:tab w:val="clear" w:pos="4419"/>
        <w:tab w:val="left" w:pos="7274"/>
      </w:tabs>
      <w:ind w:right="-1369"/>
    </w:pPr>
    <w:r>
      <w:rPr>
        <w:noProof/>
        <w:color w:val="000000"/>
      </w:rPr>
      <w:drawing>
        <wp:anchor distT="0" distB="0" distL="114300" distR="114300" simplePos="0" relativeHeight="251668480" behindDoc="0" locked="0" layoutInCell="1" hidden="0" allowOverlap="1" wp14:anchorId="26A173B3" wp14:editId="1AE05380">
          <wp:simplePos x="0" y="0"/>
          <wp:positionH relativeFrom="margin">
            <wp:posOffset>81915</wp:posOffset>
          </wp:positionH>
          <wp:positionV relativeFrom="topMargin">
            <wp:posOffset>632460</wp:posOffset>
          </wp:positionV>
          <wp:extent cx="1303655" cy="415290"/>
          <wp:effectExtent l="0" t="0" r="0" b="3810"/>
          <wp:wrapSquare wrapText="bothSides" distT="0" distB="0" distL="114300" distR="114300"/>
          <wp:docPr id="2012532860" name="Imagen 2012532860" descr="Un dibujo de una cara feliz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 dibujo de una cara feliz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3655" cy="415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9504" behindDoc="0" locked="0" layoutInCell="1" hidden="0" allowOverlap="1" wp14:anchorId="2AF01531" wp14:editId="5769BB69">
          <wp:simplePos x="0" y="0"/>
          <wp:positionH relativeFrom="margin">
            <wp:posOffset>5144770</wp:posOffset>
          </wp:positionH>
          <wp:positionV relativeFrom="topMargin">
            <wp:posOffset>562610</wp:posOffset>
          </wp:positionV>
          <wp:extent cx="999490" cy="516890"/>
          <wp:effectExtent l="0" t="0" r="0" b="0"/>
          <wp:wrapSquare wrapText="bothSides" distT="0" distB="0" distL="114300" distR="114300"/>
          <wp:docPr id="517044530" name="Imagen 517044530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9490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57EC"/>
    <w:rsid w:val="00010001"/>
    <w:rsid w:val="00011EC2"/>
    <w:rsid w:val="00040E20"/>
    <w:rsid w:val="00046BDF"/>
    <w:rsid w:val="000620E9"/>
    <w:rsid w:val="00071BA7"/>
    <w:rsid w:val="00074D17"/>
    <w:rsid w:val="000B439A"/>
    <w:rsid w:val="000E5900"/>
    <w:rsid w:val="000F11F6"/>
    <w:rsid w:val="000F38B4"/>
    <w:rsid w:val="001215BB"/>
    <w:rsid w:val="00124C31"/>
    <w:rsid w:val="00137F06"/>
    <w:rsid w:val="0014353D"/>
    <w:rsid w:val="00153BE7"/>
    <w:rsid w:val="00184B01"/>
    <w:rsid w:val="00190781"/>
    <w:rsid w:val="001E2DD2"/>
    <w:rsid w:val="001F303A"/>
    <w:rsid w:val="001F47AB"/>
    <w:rsid w:val="00212267"/>
    <w:rsid w:val="0024085D"/>
    <w:rsid w:val="00250EDF"/>
    <w:rsid w:val="002604A8"/>
    <w:rsid w:val="00266EB6"/>
    <w:rsid w:val="002C26C3"/>
    <w:rsid w:val="002D3943"/>
    <w:rsid w:val="00321704"/>
    <w:rsid w:val="00324760"/>
    <w:rsid w:val="00351DB1"/>
    <w:rsid w:val="00353D1D"/>
    <w:rsid w:val="0035632E"/>
    <w:rsid w:val="003619D3"/>
    <w:rsid w:val="00361DFF"/>
    <w:rsid w:val="003776E0"/>
    <w:rsid w:val="0038014E"/>
    <w:rsid w:val="003A7FC9"/>
    <w:rsid w:val="003B1FEC"/>
    <w:rsid w:val="003B3DA8"/>
    <w:rsid w:val="003C2A72"/>
    <w:rsid w:val="003C7E1C"/>
    <w:rsid w:val="003E7501"/>
    <w:rsid w:val="003F2F4B"/>
    <w:rsid w:val="003F60C4"/>
    <w:rsid w:val="00401E61"/>
    <w:rsid w:val="004142B1"/>
    <w:rsid w:val="00416683"/>
    <w:rsid w:val="004170AF"/>
    <w:rsid w:val="004212C3"/>
    <w:rsid w:val="00456720"/>
    <w:rsid w:val="00457CC2"/>
    <w:rsid w:val="0048223F"/>
    <w:rsid w:val="00483D6B"/>
    <w:rsid w:val="004973EB"/>
    <w:rsid w:val="004A6CAB"/>
    <w:rsid w:val="004C0855"/>
    <w:rsid w:val="004C69B7"/>
    <w:rsid w:val="004E017D"/>
    <w:rsid w:val="00515BEF"/>
    <w:rsid w:val="0053330D"/>
    <w:rsid w:val="00535FB4"/>
    <w:rsid w:val="00541AFB"/>
    <w:rsid w:val="00545EB7"/>
    <w:rsid w:val="005604AC"/>
    <w:rsid w:val="005723D7"/>
    <w:rsid w:val="00587F12"/>
    <w:rsid w:val="005916AA"/>
    <w:rsid w:val="00595EC3"/>
    <w:rsid w:val="005A4453"/>
    <w:rsid w:val="005A6A41"/>
    <w:rsid w:val="005B3F44"/>
    <w:rsid w:val="005B4F83"/>
    <w:rsid w:val="005B53D9"/>
    <w:rsid w:val="005B5736"/>
    <w:rsid w:val="005C287A"/>
    <w:rsid w:val="005C42EC"/>
    <w:rsid w:val="005C756B"/>
    <w:rsid w:val="005D7D66"/>
    <w:rsid w:val="005E366C"/>
    <w:rsid w:val="005F6877"/>
    <w:rsid w:val="00602072"/>
    <w:rsid w:val="00651863"/>
    <w:rsid w:val="0065296C"/>
    <w:rsid w:val="006629AD"/>
    <w:rsid w:val="00674ABF"/>
    <w:rsid w:val="006E1726"/>
    <w:rsid w:val="006E22E8"/>
    <w:rsid w:val="006F4F6F"/>
    <w:rsid w:val="006F5C66"/>
    <w:rsid w:val="00717096"/>
    <w:rsid w:val="007247FF"/>
    <w:rsid w:val="007322A0"/>
    <w:rsid w:val="00735E1F"/>
    <w:rsid w:val="0074199A"/>
    <w:rsid w:val="00741E52"/>
    <w:rsid w:val="00752DEC"/>
    <w:rsid w:val="00762CBD"/>
    <w:rsid w:val="007678D5"/>
    <w:rsid w:val="0078631A"/>
    <w:rsid w:val="007A7C1D"/>
    <w:rsid w:val="007B78B9"/>
    <w:rsid w:val="007D0C0A"/>
    <w:rsid w:val="007E1FF5"/>
    <w:rsid w:val="007F42E3"/>
    <w:rsid w:val="007F4E31"/>
    <w:rsid w:val="008066FD"/>
    <w:rsid w:val="008232F8"/>
    <w:rsid w:val="00823401"/>
    <w:rsid w:val="00847FE4"/>
    <w:rsid w:val="0086069C"/>
    <w:rsid w:val="008776E3"/>
    <w:rsid w:val="00887840"/>
    <w:rsid w:val="008A69C5"/>
    <w:rsid w:val="008B0943"/>
    <w:rsid w:val="008C0A5F"/>
    <w:rsid w:val="008D712C"/>
    <w:rsid w:val="00902889"/>
    <w:rsid w:val="00930F73"/>
    <w:rsid w:val="00957BE3"/>
    <w:rsid w:val="00976702"/>
    <w:rsid w:val="00996585"/>
    <w:rsid w:val="009A3312"/>
    <w:rsid w:val="009B2CA2"/>
    <w:rsid w:val="009E7865"/>
    <w:rsid w:val="009F02CA"/>
    <w:rsid w:val="009F3478"/>
    <w:rsid w:val="009F5428"/>
    <w:rsid w:val="00A15CDD"/>
    <w:rsid w:val="00A15D55"/>
    <w:rsid w:val="00A650A6"/>
    <w:rsid w:val="00A84924"/>
    <w:rsid w:val="00A90A86"/>
    <w:rsid w:val="00A91C18"/>
    <w:rsid w:val="00A92B44"/>
    <w:rsid w:val="00AA0519"/>
    <w:rsid w:val="00AA7A5F"/>
    <w:rsid w:val="00AC0F7B"/>
    <w:rsid w:val="00AE1F50"/>
    <w:rsid w:val="00B07809"/>
    <w:rsid w:val="00B17EB7"/>
    <w:rsid w:val="00B37FAA"/>
    <w:rsid w:val="00B74DFE"/>
    <w:rsid w:val="00B91E75"/>
    <w:rsid w:val="00B92FDD"/>
    <w:rsid w:val="00BA6D78"/>
    <w:rsid w:val="00C02E45"/>
    <w:rsid w:val="00C179F2"/>
    <w:rsid w:val="00C21834"/>
    <w:rsid w:val="00C61D21"/>
    <w:rsid w:val="00C81E1F"/>
    <w:rsid w:val="00C9169C"/>
    <w:rsid w:val="00C93328"/>
    <w:rsid w:val="00CB3666"/>
    <w:rsid w:val="00CC1550"/>
    <w:rsid w:val="00CD6394"/>
    <w:rsid w:val="00CE13D9"/>
    <w:rsid w:val="00CE66F4"/>
    <w:rsid w:val="00D1590D"/>
    <w:rsid w:val="00D31768"/>
    <w:rsid w:val="00D57AC0"/>
    <w:rsid w:val="00D71F5D"/>
    <w:rsid w:val="00D754A1"/>
    <w:rsid w:val="00D915DC"/>
    <w:rsid w:val="00D93424"/>
    <w:rsid w:val="00DC59CD"/>
    <w:rsid w:val="00DF79E2"/>
    <w:rsid w:val="00E035CC"/>
    <w:rsid w:val="00E56853"/>
    <w:rsid w:val="00E745B3"/>
    <w:rsid w:val="00E77923"/>
    <w:rsid w:val="00E92BDE"/>
    <w:rsid w:val="00E96FC0"/>
    <w:rsid w:val="00EC5291"/>
    <w:rsid w:val="00F02D43"/>
    <w:rsid w:val="00F07ADD"/>
    <w:rsid w:val="00F13D47"/>
    <w:rsid w:val="00F34553"/>
    <w:rsid w:val="00F35EFC"/>
    <w:rsid w:val="00F65A43"/>
    <w:rsid w:val="00F66BF3"/>
    <w:rsid w:val="00F80B1D"/>
    <w:rsid w:val="00F82573"/>
    <w:rsid w:val="00FA1551"/>
    <w:rsid w:val="00FA3AD7"/>
    <w:rsid w:val="00FA6661"/>
    <w:rsid w:val="00FB07C1"/>
    <w:rsid w:val="00FB4C19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7D0C0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0C0A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D1590D"/>
    <w:pPr>
      <w:spacing w:line="240" w:lineRule="auto"/>
    </w:pPr>
  </w:style>
  <w:style w:type="character" w:styleId="nfasis">
    <w:name w:val="Emphasis"/>
    <w:uiPriority w:val="20"/>
    <w:qFormat/>
    <w:rsid w:val="00C21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DD0B26ABEDD0459BD4267A57D8442E" ma:contentTypeVersion="17" ma:contentTypeDescription="Crear nuevo documento." ma:contentTypeScope="" ma:versionID="d2cb70e79c00bed14d5a5536c55124d2">
  <xsd:schema xmlns:xsd="http://www.w3.org/2001/XMLSchema" xmlns:xs="http://www.w3.org/2001/XMLSchema" xmlns:p="http://schemas.microsoft.com/office/2006/metadata/properties" xmlns:ns2="52f50d89-700a-49c3-acb1-cc45863f80d1" xmlns:ns3="c5e352c5-a0a5-4aff-9101-fc8c076df9f7" targetNamespace="http://schemas.microsoft.com/office/2006/metadata/properties" ma:root="true" ma:fieldsID="c18c26698dd5add1dafe0ebada72a9fc" ns2:_="" ns3:_="">
    <xsd:import namespace="52f50d89-700a-49c3-acb1-cc45863f80d1"/>
    <xsd:import namespace="c5e352c5-a0a5-4aff-9101-fc8c076df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0d89-700a-49c3-acb1-cc45863f8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352c5-a0a5-4aff-9101-fc8c076d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f91114-da55-458f-b2e4-07801fb3de9c}" ma:internalName="TaxCatchAll" ma:showField="CatchAllData" ma:web="c5e352c5-a0a5-4aff-9101-fc8c076df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e352c5-a0a5-4aff-9101-fc8c076df9f7" xsi:nil="true"/>
    <lcf76f155ced4ddcb4097134ff3c332f xmlns="52f50d89-700a-49c3-acb1-cc45863f80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81E336-8190-4C96-8B29-EF752392D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0343C-81CC-40DD-92C1-A50A8BFEC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50d89-700a-49c3-acb1-cc45863f80d1"/>
    <ds:schemaRef ds:uri="c5e352c5-a0a5-4aff-9101-fc8c076d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254CC3-41F1-4313-960C-C5CCDC8263B0}">
  <ds:schemaRefs>
    <ds:schemaRef ds:uri="http://schemas.microsoft.com/office/2006/metadata/properties"/>
    <ds:schemaRef ds:uri="http://schemas.microsoft.com/office/infopath/2007/PartnerControls"/>
    <ds:schemaRef ds:uri="c5e352c5-a0a5-4aff-9101-fc8c076df9f7"/>
    <ds:schemaRef ds:uri="52f50d89-700a-49c3-acb1-cc45863f80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5</cp:revision>
  <cp:lastPrinted>2024-06-24T13:53:00Z</cp:lastPrinted>
  <dcterms:created xsi:type="dcterms:W3CDTF">2024-06-20T16:25:00Z</dcterms:created>
  <dcterms:modified xsi:type="dcterms:W3CDTF">2024-06-24T13:54:00Z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0x010100DCDD0B26ABEDD0459BD4267A57D8442E</vt:lpwstr>
  </property>
  <property fmtid="{D5CDD505-2E9C-101B-9397-08002B2CF9AE}" pid="3" name="MediaServiceImageTags">
    <vt:lpwstr/>
  </property>
</Properties>
</file>