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70A74" w14:textId="1A237569" w:rsidR="00625DC6" w:rsidRPr="00E060BE" w:rsidRDefault="00000000"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8240" fillcolor="#0c9">
            <v:imagedata r:id="rId11" o:title=""/>
          </v:shape>
          <o:OLEObject Type="Embed" ProgID="PBrush" ShapeID="_x0000_s2050" DrawAspect="Content" ObjectID="_1775211417" r:id="rId12"/>
        </w:object>
      </w: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4767CFAE"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74971183"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67AC44F2" w14:textId="7FCEE4F6" w:rsidR="00A06511" w:rsidRPr="00E060BE" w:rsidRDefault="00A06511" w:rsidP="2DA57E2F">
      <w:pPr>
        <w:pStyle w:val="Ttulo5"/>
        <w:tabs>
          <w:tab w:val="right" w:pos="9356"/>
        </w:tabs>
        <w:ind w:left="0"/>
        <w:rPr>
          <w:rFonts w:ascii="Bookman Old Style" w:hAnsi="Bookman Old Style"/>
          <w:sz w:val="24"/>
          <w:szCs w:val="24"/>
          <w:lang w:val="es-ES"/>
        </w:rPr>
      </w:pPr>
      <w:r w:rsidRPr="2DA57E2F">
        <w:rPr>
          <w:rFonts w:ascii="Bookman Old Style" w:hAnsi="Bookman Old Style"/>
          <w:sz w:val="24"/>
          <w:szCs w:val="24"/>
          <w:lang w:val="es-ES"/>
        </w:rPr>
        <w:t xml:space="preserve">RESOLUCIÓN No. </w:t>
      </w:r>
      <w:r w:rsidR="00BE2813">
        <w:rPr>
          <w:rFonts w:ascii="Bookman Old Style" w:hAnsi="Bookman Old Style"/>
          <w:szCs w:val="28"/>
        </w:rPr>
        <w:t>101</w:t>
      </w:r>
      <w:r w:rsidR="00B428EB" w:rsidRPr="00B428EB">
        <w:rPr>
          <w:rFonts w:ascii="Bookman Old Style" w:hAnsi="Bookman Old Style"/>
          <w:szCs w:val="28"/>
        </w:rPr>
        <w:t xml:space="preserve"> 0</w:t>
      </w:r>
      <w:r w:rsidR="00BE2813">
        <w:rPr>
          <w:rFonts w:ascii="Bookman Old Style" w:hAnsi="Bookman Old Style"/>
          <w:szCs w:val="28"/>
        </w:rPr>
        <w:t>41</w:t>
      </w:r>
      <w:r w:rsidR="00B428EB" w:rsidRPr="00B428EB">
        <w:rPr>
          <w:rFonts w:ascii="Bookman Old Style" w:hAnsi="Bookman Old Style"/>
          <w:szCs w:val="28"/>
        </w:rPr>
        <w:t xml:space="preserve"> DE 2024</w:t>
      </w:r>
    </w:p>
    <w:p w14:paraId="0C7D114C" w14:textId="77777777" w:rsidR="00CA77FB" w:rsidRPr="00E060B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1AB6E53E" w:rsidR="00CA77FB" w:rsidRPr="00B428EB" w:rsidRDefault="00CA77FB" w:rsidP="00012259">
      <w:pPr>
        <w:pStyle w:val="Ttulo3"/>
        <w:tabs>
          <w:tab w:val="left" w:pos="0"/>
          <w:tab w:val="right" w:pos="9356"/>
        </w:tabs>
        <w:ind w:left="0"/>
        <w:rPr>
          <w:rFonts w:ascii="Bookman Old Style" w:hAnsi="Bookman Old Style" w:cs="Arial"/>
          <w:spacing w:val="20"/>
          <w:szCs w:val="24"/>
          <w:lang w:val="es-ES"/>
        </w:rPr>
      </w:pPr>
      <w:r w:rsidRPr="00B428EB">
        <w:rPr>
          <w:rFonts w:ascii="Bookman Old Style" w:hAnsi="Bookman Old Style" w:cs="Arial"/>
          <w:spacing w:val="20"/>
          <w:szCs w:val="24"/>
          <w:lang w:val="es-ES"/>
        </w:rPr>
        <w:t>(</w:t>
      </w:r>
      <w:r w:rsidR="00BE2813">
        <w:rPr>
          <w:rFonts w:ascii="Bookman Old Style" w:hAnsi="Bookman Old Style" w:cs="Arial"/>
          <w:spacing w:val="20"/>
          <w:szCs w:val="24"/>
          <w:lang w:val="es-ES"/>
        </w:rPr>
        <w:t xml:space="preserve">20 </w:t>
      </w:r>
      <w:r w:rsidR="00B428EB" w:rsidRPr="00B428EB">
        <w:rPr>
          <w:rFonts w:ascii="Bookman Old Style" w:hAnsi="Bookman Old Style" w:cs="Arial"/>
          <w:spacing w:val="20"/>
          <w:szCs w:val="24"/>
          <w:lang w:val="es-ES"/>
        </w:rPr>
        <w:t>ABR. 2024</w:t>
      </w:r>
      <w:r w:rsidRPr="00B428EB">
        <w:rPr>
          <w:rFonts w:ascii="Bookman Old Style" w:hAnsi="Bookman Old Style" w:cs="Arial"/>
          <w:spacing w:val="20"/>
          <w:szCs w:val="24"/>
          <w:lang w:val="es-ES"/>
        </w:rPr>
        <w:t>)</w:t>
      </w:r>
    </w:p>
    <w:p w14:paraId="57D77EBA" w14:textId="77777777" w:rsidR="00CA77FB" w:rsidRPr="00E060BE" w:rsidRDefault="00CA77FB" w:rsidP="00012259">
      <w:pPr>
        <w:tabs>
          <w:tab w:val="left" w:pos="0"/>
          <w:tab w:val="right" w:pos="9356"/>
        </w:tabs>
        <w:ind w:left="0"/>
        <w:jc w:val="center"/>
        <w:rPr>
          <w:rFonts w:ascii="Bookman Old Style" w:hAnsi="Bookman Old Style"/>
          <w:lang w:val="es-ES_tradnl"/>
        </w:rPr>
      </w:pPr>
    </w:p>
    <w:p w14:paraId="15A71B8E" w14:textId="77777777" w:rsidR="00B351B4" w:rsidRPr="00E060BE" w:rsidRDefault="00B351B4" w:rsidP="00012259">
      <w:pPr>
        <w:ind w:left="0"/>
        <w:rPr>
          <w:rFonts w:ascii="Bookman Old Style" w:hAnsi="Bookman Old Style"/>
          <w:bCs/>
          <w:lang w:val="es-CO"/>
        </w:rPr>
      </w:pPr>
    </w:p>
    <w:p w14:paraId="46D8C664" w14:textId="1BD52496" w:rsidR="00045D3D" w:rsidRPr="00C435C3" w:rsidRDefault="001959FE" w:rsidP="00045D3D">
      <w:pPr>
        <w:ind w:left="0"/>
        <w:jc w:val="center"/>
        <w:rPr>
          <w:rFonts w:ascii="Bookman Old Style" w:hAnsi="Bookman Old Style"/>
        </w:rPr>
      </w:pPr>
      <w:r>
        <w:rPr>
          <w:rFonts w:ascii="Bookman Old Style" w:hAnsi="Bookman Old Style"/>
        </w:rPr>
        <w:t>Por la cual se dictan medidas transitorias para el d</w:t>
      </w:r>
      <w:r w:rsidR="00F22294">
        <w:rPr>
          <w:rFonts w:ascii="Bookman Old Style" w:hAnsi="Bookman Old Style"/>
        </w:rPr>
        <w:t xml:space="preserve">espacho de </w:t>
      </w:r>
      <w:r>
        <w:rPr>
          <w:rFonts w:ascii="Bookman Old Style" w:hAnsi="Bookman Old Style"/>
        </w:rPr>
        <w:t>p</w:t>
      </w:r>
      <w:r w:rsidR="00F22294">
        <w:rPr>
          <w:rFonts w:ascii="Bookman Old Style" w:hAnsi="Bookman Old Style"/>
        </w:rPr>
        <w:t xml:space="preserve">lantas </w:t>
      </w:r>
      <w:r>
        <w:rPr>
          <w:rFonts w:ascii="Bookman Old Style" w:hAnsi="Bookman Old Style"/>
        </w:rPr>
        <w:t>h</w:t>
      </w:r>
      <w:r w:rsidR="00F22294">
        <w:rPr>
          <w:rFonts w:ascii="Bookman Old Style" w:hAnsi="Bookman Old Style"/>
        </w:rPr>
        <w:t xml:space="preserve">idráulicas con embalse disponible </w:t>
      </w:r>
      <w:r w:rsidR="00CC351F" w:rsidRPr="00CC351F">
        <w:rPr>
          <w:rFonts w:ascii="Bookman Old Style" w:hAnsi="Bookman Old Style"/>
        </w:rPr>
        <w:t>ante el Fenómeno del Niño</w:t>
      </w:r>
      <w:r w:rsidR="002E3AEE">
        <w:rPr>
          <w:rFonts w:ascii="Bookman Old Style" w:hAnsi="Bookman Old Style"/>
        </w:rPr>
        <w:t>.</w:t>
      </w:r>
    </w:p>
    <w:p w14:paraId="053FCB54" w14:textId="77777777" w:rsidR="00045D3D" w:rsidRPr="00C435C3" w:rsidRDefault="00045D3D" w:rsidP="00045D3D">
      <w:pPr>
        <w:ind w:right="51"/>
        <w:rPr>
          <w:rFonts w:ascii="Bookman Old Style" w:hAnsi="Bookman Old Style"/>
        </w:rPr>
      </w:pPr>
    </w:p>
    <w:p w14:paraId="73484C03" w14:textId="77777777" w:rsidR="000E23AE" w:rsidRDefault="000E23AE" w:rsidP="00045D3D">
      <w:pPr>
        <w:ind w:right="51"/>
        <w:jc w:val="center"/>
        <w:rPr>
          <w:rFonts w:ascii="Bookman Old Style" w:hAnsi="Bookman Old Style"/>
          <w:b/>
        </w:rPr>
      </w:pPr>
    </w:p>
    <w:p w14:paraId="7B67FAFA" w14:textId="0FEF8830"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5F144221" w14:textId="77777777" w:rsidR="00045D3D" w:rsidRPr="00C435C3" w:rsidRDefault="00045D3D" w:rsidP="00045D3D">
      <w:pPr>
        <w:ind w:left="0" w:right="51"/>
        <w:rPr>
          <w:rFonts w:ascii="Bookman Old Style" w:hAnsi="Bookman Old Style"/>
        </w:rPr>
      </w:pPr>
    </w:p>
    <w:p w14:paraId="2739C8D4" w14:textId="77777777" w:rsidR="00045D3D" w:rsidRPr="00C435C3" w:rsidRDefault="00045D3D" w:rsidP="00045D3D">
      <w:pPr>
        <w:ind w:left="0" w:right="51"/>
        <w:rPr>
          <w:rFonts w:ascii="Bookman Old Style" w:hAnsi="Bookman Old Style"/>
        </w:rPr>
      </w:pPr>
    </w:p>
    <w:p w14:paraId="1ADEBA78" w14:textId="77777777" w:rsidR="00033502" w:rsidRDefault="00045D3D" w:rsidP="00033502">
      <w:pPr>
        <w:ind w:left="0" w:right="142"/>
        <w:jc w:val="center"/>
        <w:rPr>
          <w:rFonts w:ascii="Bookman Old Style" w:hAnsi="Bookman Old Style"/>
        </w:rPr>
      </w:pPr>
      <w:r w:rsidRPr="00C435C3">
        <w:rPr>
          <w:rFonts w:ascii="Bookman Old Style" w:hAnsi="Bookman Old Style"/>
        </w:rPr>
        <w:t xml:space="preserve">En ejercicio de sus atribuciones constitucionales y legales, en especial las conferidas por las </w:t>
      </w:r>
      <w:r w:rsidR="002352B9">
        <w:rPr>
          <w:rFonts w:ascii="Bookman Old Style" w:hAnsi="Bookman Old Style"/>
        </w:rPr>
        <w:t>l</w:t>
      </w:r>
      <w:r w:rsidRPr="00C435C3">
        <w:rPr>
          <w:rFonts w:ascii="Bookman Old Style" w:hAnsi="Bookman Old Style"/>
        </w:rPr>
        <w:t xml:space="preserve">eyes 142 y 143 de 1994, y en desarrollo de los </w:t>
      </w:r>
      <w:r w:rsidR="002352B9">
        <w:rPr>
          <w:rFonts w:ascii="Bookman Old Style" w:hAnsi="Bookman Old Style"/>
        </w:rPr>
        <w:t>d</w:t>
      </w:r>
      <w:r w:rsidRPr="00C435C3">
        <w:rPr>
          <w:rFonts w:ascii="Bookman Old Style" w:hAnsi="Bookman Old Style"/>
        </w:rPr>
        <w:t>ecretos 1524 y 2253 de 1994</w:t>
      </w:r>
      <w:r w:rsidR="00033502">
        <w:rPr>
          <w:rFonts w:ascii="Bookman Old Style" w:hAnsi="Bookman Old Style"/>
          <w:b/>
        </w:rPr>
        <w:t xml:space="preserve"> </w:t>
      </w:r>
      <w:r w:rsidR="00033502">
        <w:rPr>
          <w:rFonts w:ascii="Bookman Old Style" w:hAnsi="Bookman Old Style"/>
        </w:rPr>
        <w:t>y 1260 de 2013</w:t>
      </w:r>
    </w:p>
    <w:p w14:paraId="416AEFF4" w14:textId="77777777" w:rsidR="00045D3D" w:rsidRDefault="00045D3D" w:rsidP="00045D3D">
      <w:pPr>
        <w:ind w:right="51"/>
        <w:rPr>
          <w:rFonts w:ascii="Bookman Old Style" w:hAnsi="Bookman Old Style"/>
        </w:rPr>
      </w:pPr>
    </w:p>
    <w:p w14:paraId="3E8440ED" w14:textId="77777777" w:rsidR="00045D3D" w:rsidRDefault="00045D3D" w:rsidP="00045D3D">
      <w:pPr>
        <w:ind w:right="51"/>
        <w:rPr>
          <w:rFonts w:ascii="Bookman Old Style" w:hAnsi="Bookman Old Style"/>
        </w:rPr>
      </w:pPr>
    </w:p>
    <w:p w14:paraId="72BBA367" w14:textId="77777777" w:rsidR="00045D3D" w:rsidRPr="006A33C7" w:rsidRDefault="00045D3D" w:rsidP="00045D3D">
      <w:pPr>
        <w:ind w:right="51"/>
        <w:jc w:val="center"/>
        <w:rPr>
          <w:rFonts w:ascii="Bookman Old Style" w:hAnsi="Bookman Old Style"/>
          <w:b/>
          <w:lang w:val="pt-BR"/>
        </w:rPr>
      </w:pPr>
      <w:r w:rsidRPr="006A33C7">
        <w:rPr>
          <w:rFonts w:ascii="Bookman Old Style" w:hAnsi="Bookman Old Style"/>
          <w:b/>
          <w:lang w:val="pt-BR"/>
        </w:rPr>
        <w:t xml:space="preserve">C O N S I D E R A N D </w:t>
      </w:r>
      <w:r w:rsidR="007B5A60" w:rsidRPr="006A33C7">
        <w:rPr>
          <w:rFonts w:ascii="Bookman Old Style" w:hAnsi="Bookman Old Style"/>
          <w:b/>
          <w:lang w:val="pt-BR"/>
        </w:rPr>
        <w:t>O Q</w:t>
      </w:r>
      <w:r w:rsidRPr="006A33C7">
        <w:rPr>
          <w:rFonts w:ascii="Bookman Old Style" w:hAnsi="Bookman Old Style"/>
          <w:b/>
          <w:lang w:val="pt-BR"/>
        </w:rPr>
        <w:t xml:space="preserve"> U E:</w:t>
      </w:r>
    </w:p>
    <w:p w14:paraId="2378A86C" w14:textId="77777777" w:rsidR="00045D3D" w:rsidRPr="006A33C7" w:rsidRDefault="00045D3D" w:rsidP="00045D3D">
      <w:pPr>
        <w:ind w:right="51"/>
        <w:jc w:val="center"/>
        <w:rPr>
          <w:rFonts w:ascii="Bookman Old Style" w:hAnsi="Bookman Old Style"/>
          <w:b/>
          <w:lang w:val="pt-BR"/>
        </w:rPr>
      </w:pPr>
    </w:p>
    <w:p w14:paraId="66E1F067" w14:textId="77777777" w:rsidR="00045D3D" w:rsidRPr="006A33C7" w:rsidRDefault="00045D3D" w:rsidP="00045D3D">
      <w:pPr>
        <w:rPr>
          <w:rFonts w:ascii="Bookman Old Style" w:hAnsi="Bookman Old Style"/>
          <w:b/>
          <w:lang w:val="pt-BR"/>
        </w:rPr>
      </w:pPr>
    </w:p>
    <w:p w14:paraId="3EF0E074" w14:textId="77777777" w:rsidR="00682B24" w:rsidRDefault="00682B24" w:rsidP="00682B24">
      <w:pPr>
        <w:ind w:left="0"/>
        <w:jc w:val="both"/>
        <w:rPr>
          <w:rFonts w:ascii="Bookman Old Style" w:hAnsi="Bookman Old Style"/>
        </w:rPr>
      </w:pPr>
      <w:r w:rsidRPr="00FD259E">
        <w:rPr>
          <w:rFonts w:ascii="Bookman Old Style" w:hAnsi="Bookman Old Style"/>
        </w:rPr>
        <w:t>El artículo 334 de la Constitución Política establece que corresponde al Estado la dirección general de la economía, para lo cual intervendrá, entre otros asuntos, en los servicios públicos y privados, buscando el mejoramiento de la calidad de vida de los habitantes, la distribución equitativa de las oportunidades y los beneficios del desarrollo, y la preservación de un ambiente sano.</w:t>
      </w:r>
    </w:p>
    <w:p w14:paraId="39DFA652" w14:textId="77777777" w:rsidR="00682B24" w:rsidRPr="00FD259E" w:rsidRDefault="00682B24" w:rsidP="00682B24">
      <w:pPr>
        <w:ind w:left="0"/>
        <w:jc w:val="both"/>
        <w:rPr>
          <w:rFonts w:ascii="Bookman Old Style" w:hAnsi="Bookman Old Style"/>
        </w:rPr>
      </w:pPr>
    </w:p>
    <w:p w14:paraId="53FC6C02" w14:textId="77777777" w:rsidR="00682B24" w:rsidRDefault="00682B24" w:rsidP="00682B24">
      <w:pPr>
        <w:ind w:left="0"/>
        <w:jc w:val="both"/>
        <w:rPr>
          <w:rFonts w:ascii="Bookman Old Style" w:hAnsi="Bookman Old Style"/>
        </w:rPr>
      </w:pPr>
      <w:r w:rsidRPr="00FD259E">
        <w:rPr>
          <w:rFonts w:ascii="Bookman Old Style" w:hAnsi="Bookman Old Style"/>
        </w:rPr>
        <w:t>El artículo 365 de la misma Carta Política establece que los servicios públicos son inherentes a la finalidad social del Estado y es deber de este, asegurar su prestación eficiente a todos los habitantes del territorio nacional.</w:t>
      </w:r>
    </w:p>
    <w:p w14:paraId="15C868DD" w14:textId="77777777" w:rsidR="00682B24" w:rsidRDefault="00682B24" w:rsidP="00682B24">
      <w:pPr>
        <w:ind w:left="0"/>
        <w:jc w:val="both"/>
        <w:rPr>
          <w:rFonts w:ascii="Bookman Old Style" w:hAnsi="Bookman Old Style"/>
        </w:rPr>
      </w:pPr>
    </w:p>
    <w:p w14:paraId="624D5178" w14:textId="77777777" w:rsidR="00186041" w:rsidRPr="00FD259E" w:rsidRDefault="00186041" w:rsidP="00682B24">
      <w:pPr>
        <w:ind w:left="0"/>
        <w:jc w:val="both"/>
        <w:rPr>
          <w:rFonts w:ascii="Bookman Old Style" w:hAnsi="Bookman Old Style"/>
        </w:rPr>
      </w:pPr>
    </w:p>
    <w:p w14:paraId="446B9B7C" w14:textId="77777777" w:rsidR="00682B24" w:rsidRDefault="00682B24" w:rsidP="00682B24">
      <w:pPr>
        <w:ind w:left="0"/>
        <w:jc w:val="both"/>
        <w:rPr>
          <w:rFonts w:ascii="Bookman Old Style" w:hAnsi="Bookman Old Style"/>
        </w:rPr>
      </w:pPr>
      <w:r w:rsidRPr="00FD259E">
        <w:rPr>
          <w:rFonts w:ascii="Bookman Old Style" w:hAnsi="Bookman Old Style"/>
        </w:rPr>
        <w:t>De conformidad con el artículo 2 de la Ley 142 de 1994, la intervención del Estado en la prestación de los servicios públicos domiciliarios debe perseguir entre otros fines, la prestación eficiente, continua e ininterrumpida, la libre competencia, y la no utilización abusiva de la posición dominante.</w:t>
      </w:r>
    </w:p>
    <w:p w14:paraId="6F38BC89" w14:textId="77777777" w:rsidR="00682B24" w:rsidRPr="00FD259E" w:rsidRDefault="00682B24" w:rsidP="00682B24">
      <w:pPr>
        <w:ind w:left="0"/>
        <w:jc w:val="both"/>
        <w:rPr>
          <w:rFonts w:ascii="Bookman Old Style" w:hAnsi="Bookman Old Style"/>
        </w:rPr>
      </w:pPr>
    </w:p>
    <w:p w14:paraId="6EA5C176" w14:textId="77777777" w:rsidR="00682B24" w:rsidRDefault="00682B24" w:rsidP="00682B24">
      <w:pPr>
        <w:ind w:left="0"/>
        <w:jc w:val="both"/>
        <w:rPr>
          <w:rFonts w:ascii="Bookman Old Style" w:hAnsi="Bookman Old Style"/>
        </w:rPr>
      </w:pPr>
      <w:r w:rsidRPr="00FD259E">
        <w:rPr>
          <w:rFonts w:ascii="Bookman Old Style" w:hAnsi="Bookman Old Style"/>
        </w:rPr>
        <w:t>En el artículo 73 de la Ley 142 de 1994 se señala que las Comisiones de Regulación tienen la función de promover la competencia entre quienes presten servicios públicos, para que las operaciones de los monopolistas o de los competidores sean económicamente eficientes, no impliquen abuso de la posición dominante y produzcan servicios de calidad.</w:t>
      </w:r>
    </w:p>
    <w:p w14:paraId="67FBC912" w14:textId="77777777" w:rsidR="00682B24" w:rsidRPr="00FD259E" w:rsidRDefault="00682B24" w:rsidP="00682B24">
      <w:pPr>
        <w:ind w:left="0"/>
        <w:jc w:val="both"/>
        <w:rPr>
          <w:rFonts w:ascii="Bookman Old Style" w:hAnsi="Bookman Old Style"/>
        </w:rPr>
      </w:pPr>
    </w:p>
    <w:p w14:paraId="415DA576" w14:textId="77777777" w:rsidR="00682B24" w:rsidRDefault="00682B24" w:rsidP="00682B24">
      <w:pPr>
        <w:ind w:left="0"/>
        <w:jc w:val="both"/>
        <w:rPr>
          <w:rFonts w:ascii="Bookman Old Style" w:hAnsi="Bookman Old Style"/>
        </w:rPr>
      </w:pPr>
      <w:r w:rsidRPr="00FD259E">
        <w:rPr>
          <w:rFonts w:ascii="Bookman Old Style" w:hAnsi="Bookman Old Style"/>
        </w:rPr>
        <w:t xml:space="preserve">En el artículo 74 de la Ley 142 de 1994, se señala que son funciones y facultades especiales de la Comisión de Regulación de Energía y Gas, CREG, entre otras, las de regular el ejercicio de las actividades de los sectores de energía y gas </w:t>
      </w:r>
      <w:r w:rsidRPr="00FD259E">
        <w:rPr>
          <w:rFonts w:ascii="Bookman Old Style" w:hAnsi="Bookman Old Style"/>
        </w:rPr>
        <w:lastRenderedPageBreak/>
        <w:t>combustible para asegurar la disponibilidad de una oferta energética eficiente, propiciar la competencia en el sector de minas y energía y proponer la adopción de las medidas necesarias para impedir abusos de posición dominante, buscar la liberación gradual de los mercados hacia la libre competencia, y establecer criterios para la fijación de compromisos de ventas garantizadas de energía y potencia entre las empresas eléctricas y entre estas y los grandes usuarios.</w:t>
      </w:r>
    </w:p>
    <w:p w14:paraId="40A16540" w14:textId="77777777" w:rsidR="00682B24" w:rsidRPr="00FD259E" w:rsidRDefault="00682B24" w:rsidP="00682B24">
      <w:pPr>
        <w:ind w:left="0"/>
        <w:jc w:val="both"/>
        <w:rPr>
          <w:rFonts w:ascii="Bookman Old Style" w:hAnsi="Bookman Old Style"/>
        </w:rPr>
      </w:pPr>
    </w:p>
    <w:p w14:paraId="0AB629BC" w14:textId="0DD5637D" w:rsidR="00682B24" w:rsidRDefault="00682B24" w:rsidP="00682B24">
      <w:pPr>
        <w:ind w:left="0"/>
        <w:jc w:val="both"/>
        <w:rPr>
          <w:rFonts w:ascii="Bookman Old Style" w:hAnsi="Bookman Old Style"/>
        </w:rPr>
      </w:pPr>
      <w:r w:rsidRPr="0B725BE4">
        <w:rPr>
          <w:rFonts w:ascii="Bookman Old Style" w:hAnsi="Bookman Old Style"/>
        </w:rPr>
        <w:t xml:space="preserve">Particularmente el numeral 1 del artículo 74 de la Ley 142 de 1994, le asignó a la CREG la función de expedir el Reglamento de Operación para regular el funcionamiento del Mercado Mayorista de </w:t>
      </w:r>
      <w:r w:rsidR="57DEEAF8" w:rsidRPr="0B725BE4">
        <w:rPr>
          <w:rFonts w:ascii="Bookman Old Style" w:hAnsi="Bookman Old Style"/>
        </w:rPr>
        <w:t>E</w:t>
      </w:r>
      <w:r w:rsidRPr="0B725BE4">
        <w:rPr>
          <w:rFonts w:ascii="Bookman Old Style" w:hAnsi="Bookman Old Style"/>
        </w:rPr>
        <w:t>nergía.</w:t>
      </w:r>
    </w:p>
    <w:p w14:paraId="096BD0D7" w14:textId="77777777" w:rsidR="00682B24" w:rsidRPr="00FD259E" w:rsidRDefault="00682B24" w:rsidP="00682B24">
      <w:pPr>
        <w:ind w:left="0"/>
        <w:jc w:val="both"/>
        <w:rPr>
          <w:rFonts w:ascii="Bookman Old Style" w:hAnsi="Bookman Old Style"/>
        </w:rPr>
      </w:pPr>
    </w:p>
    <w:p w14:paraId="08377CC9" w14:textId="77777777" w:rsidR="00682B24" w:rsidRDefault="00682B24" w:rsidP="00682B24">
      <w:pPr>
        <w:ind w:left="0"/>
        <w:jc w:val="both"/>
        <w:rPr>
          <w:rFonts w:ascii="Bookman Old Style" w:hAnsi="Bookman Old Style"/>
        </w:rPr>
      </w:pPr>
      <w:r w:rsidRPr="00FD259E">
        <w:rPr>
          <w:rFonts w:ascii="Bookman Old Style" w:hAnsi="Bookman Old Style"/>
        </w:rPr>
        <w:t>El artículo 2 de la Ley 143 de 1994 establece que corresponde al Estado, en relación con el servicio de energía, garantizar la prestación continua e ininterrumpida del servicio.</w:t>
      </w:r>
    </w:p>
    <w:p w14:paraId="53BAD2BB" w14:textId="77777777" w:rsidR="00682B24" w:rsidRPr="00FD259E" w:rsidRDefault="00682B24" w:rsidP="00682B24">
      <w:pPr>
        <w:ind w:left="0"/>
        <w:jc w:val="both"/>
        <w:rPr>
          <w:rFonts w:ascii="Bookman Old Style" w:hAnsi="Bookman Old Style"/>
        </w:rPr>
      </w:pPr>
    </w:p>
    <w:p w14:paraId="4133341D" w14:textId="77777777" w:rsidR="00682B24" w:rsidRDefault="00682B24" w:rsidP="00682B24">
      <w:pPr>
        <w:ind w:left="0"/>
        <w:jc w:val="both"/>
        <w:rPr>
          <w:rFonts w:ascii="Bookman Old Style" w:hAnsi="Bookman Old Style"/>
        </w:rPr>
      </w:pPr>
      <w:r w:rsidRPr="00FD259E">
        <w:rPr>
          <w:rFonts w:ascii="Bookman Old Style" w:hAnsi="Bookman Old Style"/>
        </w:rPr>
        <w:t xml:space="preserve">Así mismo el artículo 4 señala que uno de los objetivos del Estado respecto al servicio de energía es “Abastecer la demanda de electricidad de la comunidad bajo criterios económicos y de viabilidad financiera, asegurando su cubrimiento en un marco de uso racional y eficiente de los diferentes recursos energéticos del país”. </w:t>
      </w:r>
    </w:p>
    <w:p w14:paraId="646310C1" w14:textId="77777777" w:rsidR="00682B24" w:rsidRPr="00FD259E" w:rsidRDefault="00682B24" w:rsidP="00682B24">
      <w:pPr>
        <w:ind w:left="0"/>
        <w:jc w:val="both"/>
        <w:rPr>
          <w:rFonts w:ascii="Bookman Old Style" w:hAnsi="Bookman Old Style"/>
        </w:rPr>
      </w:pPr>
    </w:p>
    <w:p w14:paraId="2F5C2C45" w14:textId="77777777" w:rsidR="00682B24" w:rsidRDefault="00682B24" w:rsidP="00682B24">
      <w:pPr>
        <w:ind w:left="0"/>
        <w:jc w:val="both"/>
        <w:rPr>
          <w:rFonts w:ascii="Bookman Old Style" w:hAnsi="Bookman Old Style"/>
        </w:rPr>
      </w:pPr>
      <w:r w:rsidRPr="00FD259E">
        <w:rPr>
          <w:rFonts w:ascii="Bookman Old Style" w:hAnsi="Bookman Old Style"/>
        </w:rPr>
        <w:t>El artículo 18 de la Ley 143 de 1994 ordena que la CREG debe desarrollar el marco regulatorio que incentive la inversión en expansión de la capacidad de generación y transmisión del Sistema Interconectado Nacional, SIN, por parte de inversionistas estratégicos, y establecer esquemas que promuevan la entrada de nueva capacidad de generación y transmisión.</w:t>
      </w:r>
    </w:p>
    <w:p w14:paraId="7E1B1A65" w14:textId="77777777" w:rsidR="00682B24" w:rsidRPr="00FD259E" w:rsidRDefault="00682B24" w:rsidP="00682B24">
      <w:pPr>
        <w:ind w:left="0"/>
        <w:jc w:val="both"/>
        <w:rPr>
          <w:rFonts w:ascii="Bookman Old Style" w:hAnsi="Bookman Old Style"/>
        </w:rPr>
      </w:pPr>
    </w:p>
    <w:p w14:paraId="70D091E5" w14:textId="77777777" w:rsidR="00682B24" w:rsidRPr="00FD259E" w:rsidRDefault="00682B24" w:rsidP="00682B24">
      <w:pPr>
        <w:ind w:left="0"/>
        <w:jc w:val="both"/>
        <w:rPr>
          <w:rFonts w:ascii="Bookman Old Style" w:hAnsi="Bookman Old Style"/>
        </w:rPr>
      </w:pPr>
      <w:r w:rsidRPr="00FD259E">
        <w:rPr>
          <w:rFonts w:ascii="Bookman Old Style" w:hAnsi="Bookman Old Style"/>
        </w:rPr>
        <w:t>El artículo 20 de la Ley 143 de 1994 definió como objetivo fundamental de la regulación en el sector eléctrico, asegurar una adecuada prestación del servicio mediante el aprovechamiento eficiente de los diferentes recursos energéticos.</w:t>
      </w:r>
    </w:p>
    <w:p w14:paraId="717D493C" w14:textId="77777777" w:rsidR="00C511E7" w:rsidRDefault="00C511E7" w:rsidP="00682B24">
      <w:pPr>
        <w:ind w:left="0"/>
        <w:jc w:val="both"/>
        <w:rPr>
          <w:rFonts w:ascii="Bookman Old Style" w:hAnsi="Bookman Old Style"/>
        </w:rPr>
      </w:pPr>
    </w:p>
    <w:p w14:paraId="0C79EC1D" w14:textId="746C1562" w:rsidR="00682B24" w:rsidRDefault="00682B24" w:rsidP="00682B24">
      <w:pPr>
        <w:ind w:left="0"/>
        <w:jc w:val="both"/>
        <w:rPr>
          <w:rFonts w:ascii="Bookman Old Style" w:hAnsi="Bookman Old Style"/>
        </w:rPr>
      </w:pPr>
      <w:r w:rsidRPr="00FD259E">
        <w:rPr>
          <w:rFonts w:ascii="Bookman Old Style" w:hAnsi="Bookman Old Style"/>
        </w:rPr>
        <w:t>Para cumplir el objetivo señalado, la Ley 143 de 1994, artículo 23, atribuyó a la CREG crear las condiciones para asegurar la disponibilidad de una oferta energética eficiente capaz de abastecer la demanda bajo criterios sociales, económicos, ambientales y de viabilidad financiera, promover y preservar la competencia.</w:t>
      </w:r>
    </w:p>
    <w:p w14:paraId="3C63D9FF" w14:textId="77777777" w:rsidR="00682B24" w:rsidRPr="00FD259E" w:rsidRDefault="00682B24" w:rsidP="00682B24">
      <w:pPr>
        <w:ind w:left="0"/>
        <w:jc w:val="both"/>
        <w:rPr>
          <w:rFonts w:ascii="Bookman Old Style" w:hAnsi="Bookman Old Style"/>
        </w:rPr>
      </w:pPr>
    </w:p>
    <w:p w14:paraId="5DAECDB9" w14:textId="0B001A3C" w:rsidR="00682B24" w:rsidRDefault="00682B24" w:rsidP="00682B24">
      <w:pPr>
        <w:ind w:left="0"/>
        <w:jc w:val="both"/>
        <w:rPr>
          <w:rFonts w:ascii="Bookman Old Style" w:hAnsi="Bookman Old Style"/>
        </w:rPr>
      </w:pPr>
      <w:r w:rsidRPr="0B725BE4">
        <w:rPr>
          <w:rFonts w:ascii="Bookman Old Style" w:hAnsi="Bookman Old Style"/>
        </w:rPr>
        <w:t xml:space="preserve">La Resolución CREG 024 de 1995 reglamenta los aspectos comerciales del </w:t>
      </w:r>
      <w:r w:rsidR="33D9521A" w:rsidRPr="0B725BE4">
        <w:rPr>
          <w:rFonts w:ascii="Bookman Old Style" w:hAnsi="Bookman Old Style"/>
        </w:rPr>
        <w:t>M</w:t>
      </w:r>
      <w:r w:rsidRPr="0B725BE4">
        <w:rPr>
          <w:rFonts w:ascii="Bookman Old Style" w:hAnsi="Bookman Old Style"/>
        </w:rPr>
        <w:t xml:space="preserve">ercado </w:t>
      </w:r>
      <w:r w:rsidR="563340D4" w:rsidRPr="0B725BE4">
        <w:rPr>
          <w:rFonts w:ascii="Bookman Old Style" w:hAnsi="Bookman Old Style"/>
        </w:rPr>
        <w:t>M</w:t>
      </w:r>
      <w:r w:rsidRPr="0B725BE4">
        <w:rPr>
          <w:rFonts w:ascii="Bookman Old Style" w:hAnsi="Bookman Old Style"/>
        </w:rPr>
        <w:t xml:space="preserve">ayorista de </w:t>
      </w:r>
      <w:r w:rsidR="1F157D56" w:rsidRPr="0B725BE4">
        <w:rPr>
          <w:rFonts w:ascii="Bookman Old Style" w:hAnsi="Bookman Old Style"/>
        </w:rPr>
        <w:t>E</w:t>
      </w:r>
      <w:r w:rsidRPr="0B725BE4">
        <w:rPr>
          <w:rFonts w:ascii="Bookman Old Style" w:hAnsi="Bookman Old Style"/>
        </w:rPr>
        <w:t>nergía en el SIN, como parte del Reglamento de Operación.</w:t>
      </w:r>
    </w:p>
    <w:p w14:paraId="5D58A66B" w14:textId="77777777" w:rsidR="00A25A42" w:rsidRDefault="00A25A42" w:rsidP="00682B24">
      <w:pPr>
        <w:ind w:left="0"/>
        <w:jc w:val="both"/>
        <w:rPr>
          <w:rFonts w:ascii="Bookman Old Style" w:hAnsi="Bookman Old Style"/>
        </w:rPr>
      </w:pPr>
    </w:p>
    <w:p w14:paraId="5A510EA0" w14:textId="664C5EA9" w:rsidR="00A25A42" w:rsidRDefault="00A25A42" w:rsidP="00682B24">
      <w:pPr>
        <w:ind w:left="0"/>
        <w:jc w:val="both"/>
        <w:rPr>
          <w:rFonts w:ascii="Bookman Old Style" w:hAnsi="Bookman Old Style"/>
        </w:rPr>
      </w:pPr>
      <w:r>
        <w:rPr>
          <w:rFonts w:ascii="Bookman Old Style" w:hAnsi="Bookman Old Style"/>
        </w:rPr>
        <w:t>La Resolución CREG 025 de 1995 estable el código de operación como parte del código de redes, como parte del Reglamento de Operación del Sistema Interconectado Nacional.</w:t>
      </w:r>
    </w:p>
    <w:p w14:paraId="161713FE" w14:textId="77777777" w:rsidR="00682B24" w:rsidRDefault="00682B24" w:rsidP="00682B24">
      <w:pPr>
        <w:ind w:left="0"/>
        <w:jc w:val="both"/>
        <w:rPr>
          <w:rFonts w:ascii="Bookman Old Style" w:hAnsi="Bookman Old Style"/>
        </w:rPr>
      </w:pPr>
    </w:p>
    <w:p w14:paraId="5757CE15" w14:textId="6FCDE6A3" w:rsidR="00C4514B" w:rsidRDefault="002762C1" w:rsidP="007B4B88">
      <w:pPr>
        <w:ind w:left="0"/>
        <w:jc w:val="both"/>
        <w:rPr>
          <w:rFonts w:ascii="Bookman Old Style" w:hAnsi="Bookman Old Style"/>
        </w:rPr>
      </w:pPr>
      <w:r>
        <w:rPr>
          <w:rFonts w:ascii="Bookman Old Style" w:hAnsi="Bookman Old Style"/>
        </w:rPr>
        <w:t>D</w:t>
      </w:r>
      <w:r w:rsidR="00682B24" w:rsidRPr="007B4B88">
        <w:rPr>
          <w:rFonts w:ascii="Bookman Old Style" w:hAnsi="Bookman Old Style"/>
        </w:rPr>
        <w:t>e acuerdo con el informe entregado por XM S.A E.S.P. -en su calidad de Centro Nacional de Despacho (CND)- sobre la operación del SIN, en el marco de la reunión N°184 de la Comisión Asesora de Coordinación y Seguimiento a la Situación Energética (CACSSE) realizada el 1</w:t>
      </w:r>
      <w:r w:rsidR="00C4514B">
        <w:rPr>
          <w:rFonts w:ascii="Bookman Old Style" w:hAnsi="Bookman Old Style"/>
        </w:rPr>
        <w:t>4 y 17</w:t>
      </w:r>
      <w:r w:rsidR="00682B24" w:rsidRPr="007B4B88">
        <w:rPr>
          <w:rFonts w:ascii="Bookman Old Style" w:hAnsi="Bookman Old Style"/>
        </w:rPr>
        <w:t xml:space="preserve"> de abril de 2024, se </w:t>
      </w:r>
      <w:r w:rsidR="00BB53B8" w:rsidRPr="007B4B88">
        <w:rPr>
          <w:rFonts w:ascii="Bookman Old Style" w:hAnsi="Bookman Old Style"/>
        </w:rPr>
        <w:t>recomendó</w:t>
      </w:r>
      <w:r w:rsidR="00C4514B">
        <w:rPr>
          <w:rFonts w:ascii="Bookman Old Style" w:hAnsi="Bookman Old Style"/>
        </w:rPr>
        <w:t xml:space="preserve"> hacer un adecuado uso de las reservas individuales en los diferentes embalses y garantizar el cumplimiento de las obligaciones de energía firme</w:t>
      </w:r>
      <w:r w:rsidR="008969EE">
        <w:rPr>
          <w:rFonts w:ascii="Bookman Old Style" w:hAnsi="Bookman Old Style"/>
        </w:rPr>
        <w:t xml:space="preserve">, dada </w:t>
      </w:r>
      <w:r w:rsidR="008969EE">
        <w:rPr>
          <w:rFonts w:ascii="Bookman Old Style" w:hAnsi="Bookman Old Style"/>
        </w:rPr>
        <w:lastRenderedPageBreak/>
        <w:t>la condición que se viene presentando en el sistema por los efectos del fenómeno de El Niño</w:t>
      </w:r>
      <w:r w:rsidR="00C4514B">
        <w:rPr>
          <w:rFonts w:ascii="Bookman Old Style" w:hAnsi="Bookman Old Style"/>
        </w:rPr>
        <w:t>.</w:t>
      </w:r>
    </w:p>
    <w:p w14:paraId="6B4791D0" w14:textId="77777777" w:rsidR="00C4514B" w:rsidRDefault="00C4514B" w:rsidP="007B4B88">
      <w:pPr>
        <w:ind w:left="0"/>
        <w:jc w:val="both"/>
        <w:rPr>
          <w:rFonts w:ascii="Bookman Old Style" w:hAnsi="Bookman Old Style"/>
        </w:rPr>
      </w:pPr>
    </w:p>
    <w:p w14:paraId="4D097850" w14:textId="540BEED6" w:rsidR="00682B24" w:rsidRDefault="5B5CEE07" w:rsidP="007B4B88">
      <w:pPr>
        <w:ind w:left="0"/>
        <w:jc w:val="both"/>
        <w:rPr>
          <w:rFonts w:ascii="Bookman Old Style" w:hAnsi="Bookman Old Style"/>
        </w:rPr>
      </w:pPr>
      <w:r w:rsidRPr="0B725BE4">
        <w:rPr>
          <w:rFonts w:ascii="Bookman Old Style" w:hAnsi="Bookman Old Style"/>
        </w:rPr>
        <w:t xml:space="preserve">Así </w:t>
      </w:r>
      <w:r w:rsidR="00BE2813" w:rsidRPr="0B725BE4">
        <w:rPr>
          <w:rFonts w:ascii="Bookman Old Style" w:hAnsi="Bookman Old Style"/>
        </w:rPr>
        <w:t>mismo de</w:t>
      </w:r>
      <w:r w:rsidR="168E160E" w:rsidRPr="0B725BE4">
        <w:rPr>
          <w:rFonts w:ascii="Bookman Old Style" w:hAnsi="Bookman Old Style"/>
        </w:rPr>
        <w:t xml:space="preserve"> conformidad con</w:t>
      </w:r>
      <w:r w:rsidR="004E2D90" w:rsidRPr="0B725BE4">
        <w:rPr>
          <w:rFonts w:ascii="Bookman Old Style" w:hAnsi="Bookman Old Style"/>
        </w:rPr>
        <w:t xml:space="preserve"> los análisis de la situación</w:t>
      </w:r>
      <w:r w:rsidR="4AAFF7A6" w:rsidRPr="0B725BE4">
        <w:rPr>
          <w:rFonts w:ascii="Bookman Old Style" w:hAnsi="Bookman Old Style"/>
        </w:rPr>
        <w:t xml:space="preserve"> energética</w:t>
      </w:r>
      <w:r w:rsidR="004E2D90" w:rsidRPr="0B725BE4">
        <w:rPr>
          <w:rFonts w:ascii="Bookman Old Style" w:hAnsi="Bookman Old Style"/>
        </w:rPr>
        <w:t xml:space="preserve"> que se presentan en el CACSSE, s</w:t>
      </w:r>
      <w:r w:rsidR="00C4514B" w:rsidRPr="0B725BE4">
        <w:rPr>
          <w:rFonts w:ascii="Bookman Old Style" w:hAnsi="Bookman Old Style"/>
        </w:rPr>
        <w:t xml:space="preserve">e ha identificado que existen plantas de generación que a pesar de disponer de un nivel de embalse suficiente para </w:t>
      </w:r>
      <w:r w:rsidR="008969EE" w:rsidRPr="0B725BE4">
        <w:rPr>
          <w:rFonts w:ascii="Bookman Old Style" w:hAnsi="Bookman Old Style"/>
        </w:rPr>
        <w:t>operar a plena capacidad y sin nuevos aportes por más de un mes</w:t>
      </w:r>
      <w:r w:rsidR="00C4514B" w:rsidRPr="0B725BE4">
        <w:rPr>
          <w:rFonts w:ascii="Bookman Old Style" w:hAnsi="Bookman Old Style"/>
        </w:rPr>
        <w:t xml:space="preserve">, no están saliendo en el despacho y </w:t>
      </w:r>
      <w:r w:rsidR="008969EE" w:rsidRPr="0B725BE4">
        <w:rPr>
          <w:rFonts w:ascii="Bookman Old Style" w:hAnsi="Bookman Old Style"/>
        </w:rPr>
        <w:t xml:space="preserve">en cambio </w:t>
      </w:r>
      <w:r w:rsidR="00C4514B" w:rsidRPr="0B725BE4">
        <w:rPr>
          <w:rFonts w:ascii="Bookman Old Style" w:hAnsi="Bookman Old Style"/>
        </w:rPr>
        <w:t>se opera</w:t>
      </w:r>
      <w:r w:rsidR="008969EE" w:rsidRPr="0B725BE4">
        <w:rPr>
          <w:rFonts w:ascii="Bookman Old Style" w:hAnsi="Bookman Old Style"/>
        </w:rPr>
        <w:t xml:space="preserve"> con </w:t>
      </w:r>
      <w:r w:rsidR="00C4514B" w:rsidRPr="0B725BE4">
        <w:rPr>
          <w:rFonts w:ascii="Bookman Old Style" w:hAnsi="Bookman Old Style"/>
        </w:rPr>
        <w:t>plantas con bajos niveles de embalse que podrían</w:t>
      </w:r>
      <w:r w:rsidR="008969EE" w:rsidRPr="0B725BE4">
        <w:rPr>
          <w:rFonts w:ascii="Bookman Old Style" w:hAnsi="Bookman Old Style"/>
        </w:rPr>
        <w:t xml:space="preserve"> llegar a</w:t>
      </w:r>
      <w:r w:rsidR="00C4514B" w:rsidRPr="0B725BE4">
        <w:rPr>
          <w:rFonts w:ascii="Bookman Old Style" w:hAnsi="Bookman Old Style"/>
        </w:rPr>
        <w:t xml:space="preserve"> </w:t>
      </w:r>
      <w:r w:rsidR="008969EE" w:rsidRPr="0B725BE4">
        <w:rPr>
          <w:rFonts w:ascii="Bookman Old Style" w:hAnsi="Bookman Old Style"/>
        </w:rPr>
        <w:t xml:space="preserve">tener problemas </w:t>
      </w:r>
      <w:r w:rsidR="004E2D90" w:rsidRPr="0B725BE4">
        <w:rPr>
          <w:rFonts w:ascii="Bookman Old Style" w:hAnsi="Bookman Old Style"/>
        </w:rPr>
        <w:t>de potencia para la planta y el sistema</w:t>
      </w:r>
      <w:r w:rsidR="008969EE" w:rsidRPr="0B725BE4">
        <w:rPr>
          <w:rFonts w:ascii="Bookman Old Style" w:hAnsi="Bookman Old Style"/>
        </w:rPr>
        <w:t>.</w:t>
      </w:r>
    </w:p>
    <w:p w14:paraId="0899A5CF" w14:textId="77777777" w:rsidR="00C4514B" w:rsidRDefault="00C4514B" w:rsidP="007B4B88">
      <w:pPr>
        <w:ind w:left="0"/>
        <w:jc w:val="both"/>
        <w:rPr>
          <w:rFonts w:ascii="Bookman Old Style" w:hAnsi="Bookman Old Style"/>
        </w:rPr>
      </w:pPr>
    </w:p>
    <w:p w14:paraId="21D8163D" w14:textId="7E55F494" w:rsidR="00F53315" w:rsidRDefault="00672A9A" w:rsidP="00682B24">
      <w:pPr>
        <w:ind w:left="0"/>
        <w:jc w:val="both"/>
        <w:rPr>
          <w:rFonts w:ascii="Bookman Old Style" w:hAnsi="Bookman Old Style"/>
        </w:rPr>
      </w:pPr>
      <w:r>
        <w:rPr>
          <w:rFonts w:ascii="Bookman Old Style" w:hAnsi="Bookman Old Style"/>
        </w:rPr>
        <w:t xml:space="preserve">En el seguimiento que se realiza desde </w:t>
      </w:r>
      <w:r w:rsidR="008969EE">
        <w:rPr>
          <w:rFonts w:ascii="Bookman Old Style" w:hAnsi="Bookman Old Style"/>
        </w:rPr>
        <w:t xml:space="preserve">la Comisión se </w:t>
      </w:r>
      <w:r>
        <w:rPr>
          <w:rFonts w:ascii="Bookman Old Style" w:hAnsi="Bookman Old Style"/>
        </w:rPr>
        <w:t xml:space="preserve">encuentra que los niveles de embalse </w:t>
      </w:r>
      <w:r w:rsidR="00B118D4">
        <w:rPr>
          <w:rFonts w:ascii="Bookman Old Style" w:hAnsi="Bookman Old Style"/>
        </w:rPr>
        <w:t xml:space="preserve">agregado </w:t>
      </w:r>
      <w:r>
        <w:rPr>
          <w:rFonts w:ascii="Bookman Old Style" w:hAnsi="Bookman Old Style"/>
        </w:rPr>
        <w:t xml:space="preserve">están cerca a la senda de referencia, </w:t>
      </w:r>
      <w:r w:rsidR="008969EE">
        <w:rPr>
          <w:rFonts w:ascii="Bookman Old Style" w:hAnsi="Bookman Old Style"/>
        </w:rPr>
        <w:t xml:space="preserve">presentado en algunos casos problemas de potencia, </w:t>
      </w:r>
      <w:r w:rsidRPr="00154608">
        <w:rPr>
          <w:rFonts w:ascii="Bookman Old Style" w:hAnsi="Bookman Old Style"/>
        </w:rPr>
        <w:t xml:space="preserve">por lo </w:t>
      </w:r>
      <w:r w:rsidR="002762C1" w:rsidRPr="00154608">
        <w:rPr>
          <w:rFonts w:ascii="Bookman Old Style" w:hAnsi="Bookman Old Style"/>
        </w:rPr>
        <w:t>tanto,</w:t>
      </w:r>
      <w:r w:rsidRPr="00154608">
        <w:rPr>
          <w:rFonts w:ascii="Bookman Old Style" w:hAnsi="Bookman Old Style"/>
        </w:rPr>
        <w:t xml:space="preserve"> se requieren</w:t>
      </w:r>
      <w:r>
        <w:rPr>
          <w:rFonts w:ascii="Bookman Old Style" w:hAnsi="Bookman Old Style"/>
        </w:rPr>
        <w:t xml:space="preserve"> </w:t>
      </w:r>
      <w:r w:rsidRPr="00154608">
        <w:rPr>
          <w:rFonts w:ascii="Bookman Old Style" w:hAnsi="Bookman Old Style"/>
        </w:rPr>
        <w:t>tomar medidas urgentes para garantizar el abastecimiento del servicio público de energía eléctrica a los usuarios</w:t>
      </w:r>
      <w:r>
        <w:rPr>
          <w:rFonts w:ascii="Bookman Old Style" w:hAnsi="Bookman Old Style"/>
        </w:rPr>
        <w:t>.</w:t>
      </w:r>
    </w:p>
    <w:p w14:paraId="5078DC2F" w14:textId="77777777" w:rsidR="004E2D90" w:rsidRDefault="004E2D90" w:rsidP="00682B24">
      <w:pPr>
        <w:ind w:left="0"/>
        <w:jc w:val="both"/>
        <w:rPr>
          <w:rFonts w:ascii="Bookman Old Style" w:hAnsi="Bookman Old Style"/>
        </w:rPr>
      </w:pPr>
    </w:p>
    <w:p w14:paraId="744D1EC3" w14:textId="112041C7" w:rsidR="004E2D90" w:rsidRDefault="004E2D90" w:rsidP="00682B24">
      <w:pPr>
        <w:ind w:left="0"/>
        <w:jc w:val="both"/>
        <w:rPr>
          <w:rFonts w:ascii="Bookman Old Style" w:hAnsi="Bookman Old Style"/>
        </w:rPr>
      </w:pPr>
      <w:r>
        <w:rPr>
          <w:rFonts w:ascii="Bookman Old Style" w:hAnsi="Bookman Old Style"/>
        </w:rPr>
        <w:t xml:space="preserve">La Comisión sometió a consulta pública el proyecto de Resolución CREG 701 040 de 2024 </w:t>
      </w:r>
      <w:r w:rsidR="001959FE">
        <w:rPr>
          <w:rFonts w:ascii="Bookman Old Style" w:hAnsi="Bookman Old Style"/>
        </w:rPr>
        <w:t>el despacho de plantas hidráulicas con embalse disponible ante el fenómeno de EL Niño.</w:t>
      </w:r>
    </w:p>
    <w:p w14:paraId="09FB5921" w14:textId="77777777" w:rsidR="001959FE" w:rsidRDefault="001959FE" w:rsidP="00682B24">
      <w:pPr>
        <w:ind w:left="0"/>
        <w:jc w:val="both"/>
        <w:rPr>
          <w:rFonts w:ascii="Bookman Old Style" w:hAnsi="Bookman Old Style"/>
        </w:rPr>
      </w:pPr>
    </w:p>
    <w:p w14:paraId="6F03EF93" w14:textId="77777777" w:rsidR="009A7961" w:rsidRPr="00174A8B" w:rsidRDefault="009A7961" w:rsidP="009A7961">
      <w:pPr>
        <w:ind w:left="0" w:right="142"/>
        <w:jc w:val="both"/>
        <w:rPr>
          <w:rFonts w:ascii="Bookman Old Style" w:hAnsi="Bookman Old Style"/>
          <w:bCs/>
        </w:rPr>
      </w:pPr>
      <w:r w:rsidRPr="00174A8B">
        <w:rPr>
          <w:rFonts w:ascii="Bookman Old Style" w:hAnsi="Bookman Old Style"/>
          <w:bCs/>
        </w:rPr>
        <w:t>Los comentarios y observaciones al proyecto regulatorio antes mencionado, así como sus respuestas, se incorporan en el documento soporte que acompaña la presente resolución.</w:t>
      </w:r>
    </w:p>
    <w:p w14:paraId="47B0E74A" w14:textId="77777777" w:rsidR="009A7961" w:rsidRDefault="009A7961" w:rsidP="00682B24">
      <w:pPr>
        <w:ind w:left="0"/>
        <w:jc w:val="both"/>
        <w:rPr>
          <w:rFonts w:ascii="Bookman Old Style" w:hAnsi="Bookman Old Style"/>
        </w:rPr>
      </w:pPr>
    </w:p>
    <w:p w14:paraId="602FB514" w14:textId="5ED3A95D" w:rsidR="001959FE" w:rsidRDefault="001959FE" w:rsidP="00682B24">
      <w:pPr>
        <w:ind w:left="0"/>
        <w:jc w:val="both"/>
        <w:rPr>
          <w:rFonts w:ascii="Bookman Old Style" w:hAnsi="Bookman Old Style"/>
        </w:rPr>
      </w:pPr>
      <w:r w:rsidRPr="69289605">
        <w:rPr>
          <w:rFonts w:ascii="Bookman Old Style" w:hAnsi="Bookman Old Style"/>
        </w:rPr>
        <w:t>La resolución no se envía a la Superintendencia de Industria y Comercio (SIC), dado que la CREG considera que opera una de las causales de excepción de informar como es garantizar el suministro de un bien o servicio público esencial, dispuesta en el numeral 1.2 de</w:t>
      </w:r>
      <w:r w:rsidR="00FD5458" w:rsidRPr="69289605">
        <w:rPr>
          <w:rFonts w:ascii="Bookman Old Style" w:hAnsi="Bookman Old Style"/>
        </w:rPr>
        <w:t>l</w:t>
      </w:r>
      <w:r w:rsidRPr="69289605">
        <w:rPr>
          <w:rFonts w:ascii="Bookman Old Style" w:hAnsi="Bookman Old Style"/>
        </w:rPr>
        <w:t xml:space="preserve"> artículo 2.2.230.4 del Decreto 1074 de 2015.</w:t>
      </w:r>
    </w:p>
    <w:p w14:paraId="6C5DD236" w14:textId="77777777" w:rsidR="00672A9A" w:rsidRDefault="00672A9A" w:rsidP="00682B24">
      <w:pPr>
        <w:ind w:left="0"/>
        <w:jc w:val="both"/>
        <w:rPr>
          <w:rFonts w:ascii="Bookman Old Style" w:hAnsi="Bookman Old Style"/>
        </w:rPr>
      </w:pPr>
    </w:p>
    <w:p w14:paraId="3DB41754" w14:textId="68D66F84" w:rsidR="00045D3D" w:rsidRDefault="00682B24" w:rsidP="00143C4B">
      <w:pPr>
        <w:suppressAutoHyphens/>
        <w:ind w:left="0"/>
        <w:jc w:val="both"/>
        <w:rPr>
          <w:rFonts w:ascii="Bookman Old Style" w:hAnsi="Bookman Old Style"/>
        </w:rPr>
      </w:pPr>
      <w:r>
        <w:rPr>
          <w:rFonts w:ascii="Bookman Old Style" w:hAnsi="Bookman Old Style"/>
        </w:rPr>
        <w:t xml:space="preserve">Conforme a lo anterior, La Comisión de Regulación de Energía y Gas, en su </w:t>
      </w:r>
      <w:r w:rsidRPr="00B428EB">
        <w:rPr>
          <w:rFonts w:ascii="Bookman Old Style" w:hAnsi="Bookman Old Style"/>
        </w:rPr>
        <w:t xml:space="preserve">Sesión </w:t>
      </w:r>
      <w:r w:rsidR="007961FF">
        <w:rPr>
          <w:rFonts w:ascii="Bookman Old Style" w:hAnsi="Bookman Old Style"/>
        </w:rPr>
        <w:t>1311</w:t>
      </w:r>
      <w:r w:rsidR="00BE2813">
        <w:rPr>
          <w:rFonts w:ascii="Bookman Old Style" w:hAnsi="Bookman Old Style"/>
        </w:rPr>
        <w:t xml:space="preserve"> </w:t>
      </w:r>
      <w:r w:rsidRPr="00B428EB">
        <w:rPr>
          <w:rFonts w:ascii="Bookman Old Style" w:hAnsi="Bookman Old Style"/>
        </w:rPr>
        <w:t xml:space="preserve">del </w:t>
      </w:r>
      <w:r w:rsidR="007961FF">
        <w:rPr>
          <w:rFonts w:ascii="Bookman Old Style" w:hAnsi="Bookman Old Style"/>
        </w:rPr>
        <w:t>20</w:t>
      </w:r>
      <w:r w:rsidRPr="00B428EB">
        <w:rPr>
          <w:rFonts w:ascii="Bookman Old Style" w:hAnsi="Bookman Old Style"/>
        </w:rPr>
        <w:t xml:space="preserve"> de </w:t>
      </w:r>
      <w:r w:rsidR="00B428EB" w:rsidRPr="00B428EB">
        <w:rPr>
          <w:rFonts w:ascii="Bookman Old Style" w:hAnsi="Bookman Old Style"/>
        </w:rPr>
        <w:t>abril</w:t>
      </w:r>
      <w:r w:rsidRPr="00B428EB">
        <w:rPr>
          <w:rFonts w:ascii="Bookman Old Style" w:hAnsi="Bookman Old Style"/>
        </w:rPr>
        <w:t xml:space="preserve"> de </w:t>
      </w:r>
      <w:r w:rsidR="004A204E" w:rsidRPr="00B428EB">
        <w:rPr>
          <w:rFonts w:ascii="Bookman Old Style" w:hAnsi="Bookman Old Style"/>
        </w:rPr>
        <w:t>2024</w:t>
      </w:r>
      <w:r w:rsidRPr="00B428EB">
        <w:rPr>
          <w:rFonts w:ascii="Bookman Old Style" w:hAnsi="Bookman Old Style"/>
        </w:rPr>
        <w:t>,</w:t>
      </w:r>
      <w:r>
        <w:rPr>
          <w:rFonts w:ascii="Bookman Old Style" w:hAnsi="Bookman Old Style"/>
        </w:rPr>
        <w:t xml:space="preserve"> acordó expedir esta resolución.</w:t>
      </w:r>
    </w:p>
    <w:p w14:paraId="4ACE88E7" w14:textId="77777777" w:rsidR="00B428EB" w:rsidRDefault="00B428EB" w:rsidP="00B428EB">
      <w:pPr>
        <w:suppressAutoHyphens/>
        <w:ind w:left="0"/>
        <w:rPr>
          <w:rFonts w:ascii="Bookman Old Style" w:hAnsi="Bookman Old Style"/>
          <w:b/>
          <w:spacing w:val="-3"/>
        </w:rPr>
      </w:pPr>
    </w:p>
    <w:p w14:paraId="40EFC463" w14:textId="77777777" w:rsidR="00045D3D" w:rsidRPr="006A33C7" w:rsidRDefault="00045D3D" w:rsidP="00045D3D">
      <w:pPr>
        <w:suppressAutoHyphens/>
        <w:jc w:val="center"/>
        <w:rPr>
          <w:rFonts w:ascii="Bookman Old Style" w:hAnsi="Bookman Old Style"/>
          <w:spacing w:val="-3"/>
          <w:lang w:val="pt-BR"/>
        </w:rPr>
      </w:pPr>
      <w:r w:rsidRPr="006A33C7">
        <w:rPr>
          <w:rFonts w:ascii="Bookman Old Style" w:hAnsi="Bookman Old Style"/>
          <w:b/>
          <w:spacing w:val="-3"/>
          <w:lang w:val="pt-BR"/>
        </w:rPr>
        <w:t>R E S U E L V E:</w:t>
      </w:r>
    </w:p>
    <w:p w14:paraId="494DDFC2" w14:textId="77777777" w:rsidR="00045D3D" w:rsidRPr="006A33C7" w:rsidRDefault="00045D3D" w:rsidP="00045D3D">
      <w:pPr>
        <w:jc w:val="center"/>
        <w:rPr>
          <w:rFonts w:ascii="Bookman Old Style" w:hAnsi="Bookman Old Style"/>
          <w:lang w:val="pt-BR"/>
        </w:rPr>
      </w:pPr>
    </w:p>
    <w:p w14:paraId="1DB19DEB" w14:textId="5DF83F96" w:rsidR="00A91DD0" w:rsidRPr="00DF5E52" w:rsidRDefault="00045D3D" w:rsidP="00B118D4">
      <w:pPr>
        <w:ind w:left="0"/>
        <w:jc w:val="both"/>
        <w:rPr>
          <w:rFonts w:ascii="Bookman Old Style" w:hAnsi="Bookman Old Style"/>
          <w:iCs/>
        </w:rPr>
      </w:pPr>
      <w:r w:rsidRPr="004E2D90">
        <w:rPr>
          <w:rFonts w:ascii="Bookman Old Style" w:hAnsi="Bookman Old Style"/>
          <w:b/>
          <w:lang w:val="pt-BR"/>
        </w:rPr>
        <w:t xml:space="preserve">ARTÍCULO 1. </w:t>
      </w:r>
      <w:r w:rsidR="00B118D4">
        <w:rPr>
          <w:rFonts w:ascii="Bookman Old Style" w:hAnsi="Bookman Old Style"/>
          <w:b/>
        </w:rPr>
        <w:t>Objetivo</w:t>
      </w:r>
      <w:r w:rsidR="00D8518F">
        <w:rPr>
          <w:rFonts w:ascii="Bookman Old Style" w:hAnsi="Bookman Old Style"/>
          <w:b/>
        </w:rPr>
        <w:t xml:space="preserve">. </w:t>
      </w:r>
      <w:r w:rsidR="00B118D4" w:rsidRPr="00B118D4">
        <w:rPr>
          <w:rFonts w:ascii="Bookman Old Style" w:hAnsi="Bookman Old Style"/>
          <w:bCs/>
        </w:rPr>
        <w:t>Definir</w:t>
      </w:r>
      <w:r w:rsidR="00263AAA">
        <w:rPr>
          <w:rFonts w:ascii="Bookman Old Style" w:hAnsi="Bookman Old Style"/>
          <w:bCs/>
        </w:rPr>
        <w:t xml:space="preserve"> un</w:t>
      </w:r>
      <w:r w:rsidR="00B118D4">
        <w:rPr>
          <w:rFonts w:ascii="Bookman Old Style" w:hAnsi="Bookman Old Style"/>
          <w:bCs/>
        </w:rPr>
        <w:t xml:space="preserve"> procedimiento para hacer un uso adecuado de las reservas individuales de plantas hidráulicas de acuerdo con el nivel de reservas disponibles </w:t>
      </w:r>
      <w:r w:rsidR="005D2A3C">
        <w:rPr>
          <w:rFonts w:ascii="Bookman Old Style" w:hAnsi="Bookman Old Style"/>
          <w:bCs/>
        </w:rPr>
        <w:t>en</w:t>
      </w:r>
      <w:r w:rsidR="00B118D4">
        <w:rPr>
          <w:rFonts w:ascii="Bookman Old Style" w:hAnsi="Bookman Old Style"/>
          <w:bCs/>
        </w:rPr>
        <w:t xml:space="preserve"> la condición de El Niño 2023-2024 sin comprometer el Nivel Enficc Probabilístico (NEP).</w:t>
      </w:r>
    </w:p>
    <w:p w14:paraId="1F032986" w14:textId="77777777" w:rsidR="00045D3D" w:rsidRPr="00C435C3" w:rsidRDefault="00045D3D" w:rsidP="00045D3D">
      <w:pPr>
        <w:rPr>
          <w:rFonts w:ascii="Bookman Old Style" w:hAnsi="Bookman Old Style"/>
        </w:rPr>
      </w:pPr>
    </w:p>
    <w:p w14:paraId="575CB3AC" w14:textId="42B5476D" w:rsidR="00045D3D" w:rsidRDefault="00045D3D" w:rsidP="00DF3CA2">
      <w:pPr>
        <w:ind w:left="0"/>
        <w:jc w:val="both"/>
        <w:rPr>
          <w:rFonts w:ascii="Bookman Old Style" w:hAnsi="Bookman Old Style"/>
          <w:bCs/>
        </w:rPr>
      </w:pPr>
      <w:r w:rsidRPr="002A782A">
        <w:rPr>
          <w:rFonts w:ascii="Bookman Old Style" w:hAnsi="Bookman Old Style"/>
          <w:b/>
        </w:rPr>
        <w:t xml:space="preserve">ARTÍCULO </w:t>
      </w:r>
      <w:r>
        <w:rPr>
          <w:rFonts w:ascii="Bookman Old Style" w:hAnsi="Bookman Old Style"/>
          <w:b/>
        </w:rPr>
        <w:t>2</w:t>
      </w:r>
      <w:r w:rsidRPr="002A782A">
        <w:rPr>
          <w:rFonts w:ascii="Bookman Old Style" w:hAnsi="Bookman Old Style"/>
          <w:b/>
        </w:rPr>
        <w:t>.</w:t>
      </w:r>
      <w:r w:rsidR="007519FF">
        <w:rPr>
          <w:rFonts w:ascii="Bookman Old Style" w:hAnsi="Bookman Old Style"/>
          <w:i/>
          <w:sz w:val="22"/>
        </w:rPr>
        <w:t xml:space="preserve"> </w:t>
      </w:r>
      <w:r w:rsidR="00B118D4">
        <w:rPr>
          <w:rFonts w:ascii="Bookman Old Style" w:hAnsi="Bookman Old Style"/>
          <w:b/>
        </w:rPr>
        <w:t>Procedimiento para uso de reservas de plantas hidráulicas con embalse</w:t>
      </w:r>
      <w:r w:rsidR="00D8518F">
        <w:rPr>
          <w:rFonts w:ascii="Bookman Old Style" w:hAnsi="Bookman Old Style"/>
          <w:i/>
          <w:sz w:val="22"/>
        </w:rPr>
        <w:t xml:space="preserve">. </w:t>
      </w:r>
      <w:r w:rsidR="00B118D4">
        <w:rPr>
          <w:rFonts w:ascii="Bookman Old Style" w:hAnsi="Bookman Old Style"/>
          <w:bCs/>
        </w:rPr>
        <w:t xml:space="preserve">El Centro Nacional de Despacho -CND- aplicará </w:t>
      </w:r>
      <w:r w:rsidR="0057193C">
        <w:rPr>
          <w:rFonts w:ascii="Bookman Old Style" w:hAnsi="Bookman Old Style"/>
          <w:bCs/>
        </w:rPr>
        <w:t xml:space="preserve">diariamente </w:t>
      </w:r>
      <w:r w:rsidR="00B118D4">
        <w:rPr>
          <w:rFonts w:ascii="Bookman Old Style" w:hAnsi="Bookman Old Style"/>
          <w:bCs/>
        </w:rPr>
        <w:t xml:space="preserve">el siguiente procedimiento para hacer un uso adecuado de las reservas de </w:t>
      </w:r>
      <w:r w:rsidR="003E2E51">
        <w:rPr>
          <w:rFonts w:ascii="Bookman Old Style" w:hAnsi="Bookman Old Style"/>
          <w:bCs/>
        </w:rPr>
        <w:t xml:space="preserve">las </w:t>
      </w:r>
      <w:r w:rsidR="0057193C">
        <w:rPr>
          <w:rFonts w:ascii="Bookman Old Style" w:hAnsi="Bookman Old Style"/>
          <w:bCs/>
        </w:rPr>
        <w:t>plantas hidráulicas:</w:t>
      </w:r>
    </w:p>
    <w:p w14:paraId="11653063" w14:textId="77777777" w:rsidR="0057193C" w:rsidRDefault="0057193C" w:rsidP="00DF3CA2">
      <w:pPr>
        <w:ind w:left="0"/>
        <w:jc w:val="both"/>
        <w:rPr>
          <w:rFonts w:ascii="Bookman Old Style" w:hAnsi="Bookman Old Style"/>
          <w:bCs/>
        </w:rPr>
      </w:pPr>
    </w:p>
    <w:p w14:paraId="375735B9" w14:textId="3D2EA22F" w:rsidR="0057193C" w:rsidRDefault="0057193C" w:rsidP="0057193C">
      <w:pPr>
        <w:pStyle w:val="Prrafodelista"/>
        <w:numPr>
          <w:ilvl w:val="0"/>
          <w:numId w:val="28"/>
        </w:numPr>
        <w:jc w:val="both"/>
        <w:rPr>
          <w:rFonts w:ascii="Bookman Old Style" w:hAnsi="Bookman Old Style"/>
          <w:bCs/>
          <w:sz w:val="24"/>
          <w:szCs w:val="24"/>
        </w:rPr>
      </w:pPr>
      <w:r w:rsidRPr="0057193C">
        <w:rPr>
          <w:rFonts w:ascii="Bookman Old Style" w:hAnsi="Bookman Old Style"/>
          <w:bCs/>
          <w:sz w:val="24"/>
          <w:szCs w:val="24"/>
        </w:rPr>
        <w:t>S</w:t>
      </w:r>
      <w:r w:rsidR="00B72CCE">
        <w:rPr>
          <w:rFonts w:ascii="Bookman Old Style" w:hAnsi="Bookman Old Style"/>
          <w:bCs/>
          <w:sz w:val="24"/>
          <w:szCs w:val="24"/>
        </w:rPr>
        <w:t>i</w:t>
      </w:r>
      <w:r w:rsidRPr="0057193C">
        <w:rPr>
          <w:rFonts w:ascii="Bookman Old Style" w:hAnsi="Bookman Old Style"/>
          <w:bCs/>
          <w:sz w:val="24"/>
          <w:szCs w:val="24"/>
        </w:rPr>
        <w:t xml:space="preserve"> </w:t>
      </w:r>
      <w:r w:rsidR="00FD5458">
        <w:rPr>
          <w:rFonts w:ascii="Bookman Old Style" w:hAnsi="Bookman Old Style"/>
          <w:bCs/>
          <w:sz w:val="24"/>
          <w:szCs w:val="24"/>
        </w:rPr>
        <w:t>como resultado del predespacho ideal, la planta hidráulica con reserva disponible mayor a veinte (20) días está presente en todos los períodos en los cuales declaró disponibilidad, no se ajustará el precio de oferta</w:t>
      </w:r>
      <w:r>
        <w:rPr>
          <w:rFonts w:ascii="Bookman Old Style" w:hAnsi="Bookman Old Style"/>
          <w:bCs/>
          <w:sz w:val="24"/>
          <w:szCs w:val="24"/>
        </w:rPr>
        <w:t>.</w:t>
      </w:r>
    </w:p>
    <w:p w14:paraId="44E4B7F9" w14:textId="77777777" w:rsidR="0057193C" w:rsidRPr="0057193C" w:rsidRDefault="0057193C" w:rsidP="0057193C">
      <w:pPr>
        <w:ind w:left="0"/>
        <w:jc w:val="both"/>
        <w:rPr>
          <w:rFonts w:ascii="Bookman Old Style" w:hAnsi="Bookman Old Style"/>
          <w:bCs/>
        </w:rPr>
      </w:pPr>
    </w:p>
    <w:p w14:paraId="7FFEEABD" w14:textId="424ECABE" w:rsidR="00FD5458" w:rsidRDefault="00FD5458" w:rsidP="33A98920">
      <w:pPr>
        <w:pStyle w:val="Prrafodelista"/>
        <w:numPr>
          <w:ilvl w:val="0"/>
          <w:numId w:val="28"/>
        </w:numPr>
        <w:jc w:val="both"/>
        <w:rPr>
          <w:rFonts w:ascii="Bookman Old Style" w:hAnsi="Bookman Old Style"/>
          <w:sz w:val="24"/>
          <w:szCs w:val="24"/>
        </w:rPr>
      </w:pPr>
      <w:r w:rsidRPr="33A98920">
        <w:rPr>
          <w:rFonts w:ascii="Bookman Old Style" w:hAnsi="Bookman Old Style"/>
          <w:sz w:val="24"/>
          <w:szCs w:val="24"/>
        </w:rPr>
        <w:t>En caso contrario, se ajustará su precio de oferta con el precio de la planta hidráulica despachada centralmente con menor precio de oferta, adicionado en quince (15) pesos por kWh.</w:t>
      </w:r>
    </w:p>
    <w:p w14:paraId="71804400" w14:textId="77777777" w:rsidR="00FD5458" w:rsidRPr="00FD5458" w:rsidRDefault="00FD5458" w:rsidP="00FD5458">
      <w:pPr>
        <w:pStyle w:val="Prrafodelista"/>
        <w:rPr>
          <w:rFonts w:ascii="Bookman Old Style" w:hAnsi="Bookman Old Style"/>
          <w:bCs/>
          <w:sz w:val="24"/>
          <w:szCs w:val="24"/>
        </w:rPr>
      </w:pPr>
    </w:p>
    <w:p w14:paraId="649DA13F" w14:textId="4110ADE8" w:rsidR="009A5802" w:rsidRDefault="009A5802" w:rsidP="1F5B6F43">
      <w:pPr>
        <w:pStyle w:val="Prrafodelista"/>
        <w:numPr>
          <w:ilvl w:val="0"/>
          <w:numId w:val="28"/>
        </w:numPr>
        <w:jc w:val="both"/>
        <w:rPr>
          <w:rFonts w:ascii="Bookman Old Style" w:hAnsi="Bookman Old Style"/>
          <w:sz w:val="24"/>
          <w:szCs w:val="24"/>
        </w:rPr>
      </w:pPr>
      <w:r w:rsidRPr="1F5B6F43">
        <w:rPr>
          <w:rFonts w:ascii="Bookman Old Style" w:hAnsi="Bookman Old Style"/>
          <w:sz w:val="24"/>
          <w:szCs w:val="24"/>
        </w:rPr>
        <w:t>Con las ofertas ajustadas se adelanta</w:t>
      </w:r>
      <w:r w:rsidR="005A713E">
        <w:rPr>
          <w:rFonts w:ascii="Bookman Old Style" w:hAnsi="Bookman Old Style"/>
          <w:sz w:val="24"/>
          <w:szCs w:val="24"/>
        </w:rPr>
        <w:t>rá</w:t>
      </w:r>
      <w:r w:rsidR="0D2B54EE" w:rsidRPr="1F5B6F43">
        <w:rPr>
          <w:rFonts w:ascii="Bookman Old Style" w:hAnsi="Bookman Old Style"/>
          <w:sz w:val="24"/>
          <w:szCs w:val="24"/>
        </w:rPr>
        <w:t>n</w:t>
      </w:r>
      <w:r w:rsidRPr="1F5B6F43">
        <w:rPr>
          <w:rFonts w:ascii="Bookman Old Style" w:hAnsi="Bookman Old Style"/>
          <w:sz w:val="24"/>
          <w:szCs w:val="24"/>
        </w:rPr>
        <w:t xml:space="preserve"> los diferentes procesos de despacho</w:t>
      </w:r>
      <w:r w:rsidR="00DF091A">
        <w:rPr>
          <w:rFonts w:ascii="Bookman Old Style" w:hAnsi="Bookman Old Style"/>
          <w:sz w:val="24"/>
          <w:szCs w:val="24"/>
        </w:rPr>
        <w:t xml:space="preserve"> definidos en la regulación</w:t>
      </w:r>
      <w:r w:rsidRPr="1F5B6F43">
        <w:rPr>
          <w:rFonts w:ascii="Bookman Old Style" w:hAnsi="Bookman Old Style"/>
          <w:sz w:val="24"/>
          <w:szCs w:val="24"/>
        </w:rPr>
        <w:t>.</w:t>
      </w:r>
    </w:p>
    <w:p w14:paraId="0C0DC1B7" w14:textId="77777777" w:rsidR="009A5802" w:rsidRPr="009A5802" w:rsidRDefault="009A5802" w:rsidP="009A5802">
      <w:pPr>
        <w:pStyle w:val="Prrafodelista"/>
        <w:rPr>
          <w:rFonts w:ascii="Bookman Old Style" w:hAnsi="Bookman Old Style"/>
          <w:bCs/>
          <w:sz w:val="24"/>
          <w:szCs w:val="24"/>
        </w:rPr>
      </w:pPr>
    </w:p>
    <w:p w14:paraId="4D9FF1D8" w14:textId="7AA31089" w:rsidR="009A5802" w:rsidRDefault="009A5802" w:rsidP="33A98920">
      <w:pPr>
        <w:pStyle w:val="Prrafodelista"/>
        <w:numPr>
          <w:ilvl w:val="0"/>
          <w:numId w:val="28"/>
        </w:numPr>
        <w:jc w:val="both"/>
        <w:rPr>
          <w:rFonts w:ascii="Bookman Old Style" w:hAnsi="Bookman Old Style"/>
          <w:sz w:val="24"/>
          <w:szCs w:val="24"/>
        </w:rPr>
      </w:pPr>
      <w:r w:rsidRPr="33A98920">
        <w:rPr>
          <w:rFonts w:ascii="Bookman Old Style" w:hAnsi="Bookman Old Style"/>
          <w:sz w:val="24"/>
          <w:szCs w:val="24"/>
        </w:rPr>
        <w:t>La regla del numeral ii. no aplica si el embalse tiene un nivel igual o inferior al NEP.</w:t>
      </w:r>
      <w:r w:rsidR="00FD5458" w:rsidRPr="33A98920">
        <w:rPr>
          <w:rFonts w:ascii="Bookman Old Style" w:hAnsi="Bookman Old Style"/>
          <w:sz w:val="24"/>
          <w:szCs w:val="24"/>
        </w:rPr>
        <w:t xml:space="preserve"> Para lo anterior se tendrá en cu</w:t>
      </w:r>
      <w:r w:rsidR="00B72CCE" w:rsidRPr="33A98920">
        <w:rPr>
          <w:rFonts w:ascii="Bookman Old Style" w:hAnsi="Bookman Old Style"/>
          <w:sz w:val="24"/>
          <w:szCs w:val="24"/>
        </w:rPr>
        <w:t>enta la declaración del Nivel de Embalse que haya realizado el agente representante de la planta de las 5:00 horas del día en que se está realizando el despacho económico, conforme a lo dispuesto en el Numeral 6.2 DECL</w:t>
      </w:r>
      <w:r w:rsidR="00AB2A7E" w:rsidRPr="33A98920">
        <w:rPr>
          <w:rFonts w:ascii="Bookman Old Style" w:hAnsi="Bookman Old Style"/>
          <w:sz w:val="24"/>
          <w:szCs w:val="24"/>
        </w:rPr>
        <w:t>A</w:t>
      </w:r>
      <w:r w:rsidR="00B72CCE" w:rsidRPr="33A98920">
        <w:rPr>
          <w:rFonts w:ascii="Bookman Old Style" w:hAnsi="Bookman Old Style"/>
          <w:sz w:val="24"/>
          <w:szCs w:val="24"/>
        </w:rPr>
        <w:t>RACIÓN DE DATOS HIDROLÓGICOS del Código de Operación previsto en la Resolución CREG 025 de 1995</w:t>
      </w:r>
      <w:r w:rsidR="00FB2FD9">
        <w:rPr>
          <w:rFonts w:ascii="Bookman Old Style" w:hAnsi="Bookman Old Style"/>
          <w:sz w:val="24"/>
          <w:szCs w:val="24"/>
        </w:rPr>
        <w:t xml:space="preserve"> o aquellas que modifiquen o </w:t>
      </w:r>
      <w:r w:rsidR="00D0048D">
        <w:rPr>
          <w:rFonts w:ascii="Bookman Old Style" w:hAnsi="Bookman Old Style"/>
          <w:sz w:val="24"/>
          <w:szCs w:val="24"/>
        </w:rPr>
        <w:t>sustituya</w:t>
      </w:r>
      <w:r w:rsidR="00B72CCE" w:rsidRPr="33A98920">
        <w:rPr>
          <w:rFonts w:ascii="Bookman Old Style" w:hAnsi="Bookman Old Style"/>
          <w:sz w:val="24"/>
          <w:szCs w:val="24"/>
        </w:rPr>
        <w:t>.</w:t>
      </w:r>
    </w:p>
    <w:p w14:paraId="1BA891A8" w14:textId="77777777" w:rsidR="009A5802" w:rsidRPr="009A5802" w:rsidRDefault="009A5802" w:rsidP="009A5802">
      <w:pPr>
        <w:pStyle w:val="Prrafodelista"/>
        <w:rPr>
          <w:rFonts w:ascii="Bookman Old Style" w:hAnsi="Bookman Old Style"/>
          <w:bCs/>
          <w:sz w:val="24"/>
          <w:szCs w:val="24"/>
        </w:rPr>
      </w:pPr>
    </w:p>
    <w:p w14:paraId="7D8969B0" w14:textId="7CAF8DA6" w:rsidR="009A5802" w:rsidRDefault="009A5802" w:rsidP="009A5802">
      <w:pPr>
        <w:ind w:left="0"/>
        <w:jc w:val="both"/>
        <w:rPr>
          <w:rFonts w:ascii="Bookman Old Style" w:hAnsi="Bookman Old Style"/>
          <w:bCs/>
        </w:rPr>
      </w:pPr>
      <w:r w:rsidRPr="009A5802">
        <w:rPr>
          <w:rFonts w:ascii="Bookman Old Style" w:hAnsi="Bookman Old Style"/>
          <w:b/>
        </w:rPr>
        <w:t>Parágrafo</w:t>
      </w:r>
      <w:r w:rsidR="00EA54C2">
        <w:rPr>
          <w:rFonts w:ascii="Bookman Old Style" w:hAnsi="Bookman Old Style"/>
          <w:b/>
        </w:rPr>
        <w:t xml:space="preserve"> 1</w:t>
      </w:r>
      <w:r>
        <w:rPr>
          <w:rFonts w:ascii="Bookman Old Style" w:hAnsi="Bookman Old Style"/>
          <w:bCs/>
        </w:rPr>
        <w:t xml:space="preserve">. El CND </w:t>
      </w:r>
      <w:r w:rsidR="00B72CCE">
        <w:rPr>
          <w:rFonts w:ascii="Bookman Old Style" w:hAnsi="Bookman Old Style"/>
          <w:bCs/>
        </w:rPr>
        <w:t>remitirá</w:t>
      </w:r>
      <w:r w:rsidR="001A0A43">
        <w:rPr>
          <w:rFonts w:ascii="Bookman Old Style" w:hAnsi="Bookman Old Style"/>
          <w:bCs/>
        </w:rPr>
        <w:t xml:space="preserve"> </w:t>
      </w:r>
      <w:r w:rsidR="00B72CCE">
        <w:rPr>
          <w:rFonts w:ascii="Bookman Old Style" w:hAnsi="Bookman Old Style"/>
          <w:bCs/>
        </w:rPr>
        <w:t xml:space="preserve">a la CREG </w:t>
      </w:r>
      <w:r>
        <w:rPr>
          <w:rFonts w:ascii="Bookman Old Style" w:hAnsi="Bookman Old Style"/>
          <w:bCs/>
        </w:rPr>
        <w:t>la metodología para estimar la reserva</w:t>
      </w:r>
      <w:r w:rsidR="00B72CCE">
        <w:rPr>
          <w:rFonts w:ascii="Bookman Old Style" w:hAnsi="Bookman Old Style"/>
          <w:bCs/>
        </w:rPr>
        <w:t xml:space="preserve"> disponible</w:t>
      </w:r>
      <w:r w:rsidR="005D2A3C">
        <w:rPr>
          <w:rFonts w:ascii="Bookman Old Style" w:hAnsi="Bookman Old Style"/>
          <w:bCs/>
        </w:rPr>
        <w:t>, al siguiente día de entrada en vigencia de la presente resolución,</w:t>
      </w:r>
      <w:r>
        <w:rPr>
          <w:rFonts w:ascii="Bookman Old Style" w:hAnsi="Bookman Old Style"/>
          <w:bCs/>
        </w:rPr>
        <w:t xml:space="preserve"> teniendo en cuenta que está deberá corresponder a la relación entre la cantidad embalsada</w:t>
      </w:r>
      <w:r w:rsidR="00B72CCE">
        <w:rPr>
          <w:rFonts w:ascii="Bookman Old Style" w:hAnsi="Bookman Old Style"/>
          <w:bCs/>
        </w:rPr>
        <w:t xml:space="preserve"> en todos los embalses aguas arriba de la respectiva planta</w:t>
      </w:r>
      <w:r>
        <w:rPr>
          <w:rFonts w:ascii="Bookman Old Style" w:hAnsi="Bookman Old Style"/>
          <w:bCs/>
        </w:rPr>
        <w:t xml:space="preserve"> </w:t>
      </w:r>
      <w:r w:rsidR="00B72CCE">
        <w:rPr>
          <w:rFonts w:ascii="Bookman Old Style" w:hAnsi="Bookman Old Style"/>
          <w:bCs/>
        </w:rPr>
        <w:t xml:space="preserve">de generación </w:t>
      </w:r>
      <w:r>
        <w:rPr>
          <w:rFonts w:ascii="Bookman Old Style" w:hAnsi="Bookman Old Style"/>
          <w:bCs/>
        </w:rPr>
        <w:t xml:space="preserve">y </w:t>
      </w:r>
      <w:r w:rsidR="00B72CCE">
        <w:rPr>
          <w:rFonts w:ascii="Bookman Old Style" w:hAnsi="Bookman Old Style"/>
          <w:bCs/>
        </w:rPr>
        <w:t xml:space="preserve">su </w:t>
      </w:r>
      <w:r>
        <w:rPr>
          <w:rFonts w:ascii="Bookman Old Style" w:hAnsi="Bookman Old Style"/>
          <w:bCs/>
        </w:rPr>
        <w:t>capacidad efectiva neta (CEN).</w:t>
      </w:r>
    </w:p>
    <w:p w14:paraId="4D8A4358" w14:textId="77777777" w:rsidR="00B72CCE" w:rsidRDefault="00B72CCE" w:rsidP="009A5802">
      <w:pPr>
        <w:ind w:left="0"/>
        <w:jc w:val="both"/>
        <w:rPr>
          <w:rFonts w:ascii="Bookman Old Style" w:hAnsi="Bookman Old Style"/>
          <w:bCs/>
        </w:rPr>
      </w:pPr>
    </w:p>
    <w:p w14:paraId="25B3B96A" w14:textId="77777777" w:rsidR="00EA54C2" w:rsidRDefault="003015FD" w:rsidP="009A5802">
      <w:pPr>
        <w:ind w:left="0"/>
        <w:jc w:val="both"/>
        <w:rPr>
          <w:rFonts w:ascii="Bookman Old Style" w:hAnsi="Bookman Old Style"/>
          <w:bCs/>
        </w:rPr>
      </w:pPr>
      <w:r>
        <w:rPr>
          <w:rFonts w:ascii="Bookman Old Style" w:hAnsi="Bookman Old Style"/>
          <w:bCs/>
        </w:rPr>
        <w:t>La</w:t>
      </w:r>
      <w:r w:rsidR="00B72CCE">
        <w:rPr>
          <w:rFonts w:ascii="Bookman Old Style" w:hAnsi="Bookman Old Style"/>
          <w:bCs/>
        </w:rPr>
        <w:t xml:space="preserve"> </w:t>
      </w:r>
      <w:r>
        <w:rPr>
          <w:rFonts w:ascii="Bookman Old Style" w:hAnsi="Bookman Old Style"/>
          <w:bCs/>
        </w:rPr>
        <w:t xml:space="preserve">metodología </w:t>
      </w:r>
      <w:r w:rsidR="00AB2A7E">
        <w:rPr>
          <w:rFonts w:ascii="Bookman Old Style" w:hAnsi="Bookman Old Style"/>
          <w:bCs/>
        </w:rPr>
        <w:t xml:space="preserve">remitida por el </w:t>
      </w:r>
      <w:r w:rsidR="007D67C8">
        <w:rPr>
          <w:rFonts w:ascii="Bookman Old Style" w:hAnsi="Bookman Old Style"/>
          <w:bCs/>
        </w:rPr>
        <w:t>CND</w:t>
      </w:r>
      <w:r w:rsidR="00AB2A7E">
        <w:rPr>
          <w:rFonts w:ascii="Bookman Old Style" w:hAnsi="Bookman Old Style"/>
          <w:bCs/>
        </w:rPr>
        <w:t xml:space="preserve"> </w:t>
      </w:r>
      <w:r>
        <w:rPr>
          <w:rFonts w:ascii="Bookman Old Style" w:hAnsi="Bookman Old Style"/>
          <w:bCs/>
        </w:rPr>
        <w:t xml:space="preserve">se </w:t>
      </w:r>
      <w:r w:rsidR="00B72CCE">
        <w:rPr>
          <w:rFonts w:ascii="Bookman Old Style" w:hAnsi="Bookman Old Style"/>
          <w:bCs/>
        </w:rPr>
        <w:t>publicará mediante Circular</w:t>
      </w:r>
      <w:r>
        <w:rPr>
          <w:rFonts w:ascii="Bookman Old Style" w:hAnsi="Bookman Old Style"/>
          <w:bCs/>
        </w:rPr>
        <w:t xml:space="preserve"> por el Director Ejecutivo de la CREG.</w:t>
      </w:r>
    </w:p>
    <w:p w14:paraId="1586FD1E" w14:textId="77777777" w:rsidR="00EA54C2" w:rsidRDefault="00EA54C2" w:rsidP="009A5802">
      <w:pPr>
        <w:ind w:left="0"/>
        <w:jc w:val="both"/>
        <w:rPr>
          <w:rFonts w:ascii="Bookman Old Style" w:hAnsi="Bookman Old Style"/>
          <w:bCs/>
        </w:rPr>
      </w:pPr>
    </w:p>
    <w:p w14:paraId="45B45793" w14:textId="37EC660A" w:rsidR="00B72CCE" w:rsidRDefault="00EA54C2" w:rsidP="009A5802">
      <w:pPr>
        <w:ind w:left="0"/>
        <w:jc w:val="both"/>
        <w:rPr>
          <w:rFonts w:ascii="Bookman Old Style" w:hAnsi="Bookman Old Style"/>
          <w:bCs/>
        </w:rPr>
      </w:pPr>
      <w:r w:rsidRPr="00143C4B">
        <w:rPr>
          <w:rFonts w:ascii="Bookman Old Style" w:hAnsi="Bookman Old Style"/>
          <w:b/>
        </w:rPr>
        <w:t>Parágrafo 2</w:t>
      </w:r>
      <w:r>
        <w:rPr>
          <w:rFonts w:ascii="Bookman Old Style" w:hAnsi="Bookman Old Style"/>
          <w:bCs/>
        </w:rPr>
        <w:t xml:space="preserve">. </w:t>
      </w:r>
      <w:r w:rsidR="004A3FB1">
        <w:rPr>
          <w:rFonts w:ascii="Bookman Old Style" w:hAnsi="Bookman Old Style"/>
          <w:bCs/>
        </w:rPr>
        <w:t xml:space="preserve">EL CND informará a la Superintendencia de Servicios Públicos Domiciliarios (SSPD) los </w:t>
      </w:r>
      <w:r w:rsidR="00812C6B">
        <w:rPr>
          <w:rFonts w:ascii="Bookman Old Style" w:hAnsi="Bookman Old Style"/>
          <w:bCs/>
        </w:rPr>
        <w:t>cambios</w:t>
      </w:r>
      <w:r w:rsidR="004A3FB1">
        <w:rPr>
          <w:rFonts w:ascii="Bookman Old Style" w:hAnsi="Bookman Old Style"/>
          <w:bCs/>
        </w:rPr>
        <w:t xml:space="preserve"> atípicos de la declaración de disponibilidad de</w:t>
      </w:r>
      <w:r w:rsidR="002E245F">
        <w:rPr>
          <w:rFonts w:ascii="Bookman Old Style" w:hAnsi="Bookman Old Style"/>
          <w:bCs/>
        </w:rPr>
        <w:t xml:space="preserve"> la</w:t>
      </w:r>
      <w:r w:rsidR="007F273B">
        <w:rPr>
          <w:rFonts w:ascii="Bookman Old Style" w:hAnsi="Bookman Old Style"/>
          <w:bCs/>
        </w:rPr>
        <w:t>s</w:t>
      </w:r>
      <w:r w:rsidR="002E245F">
        <w:rPr>
          <w:rFonts w:ascii="Bookman Old Style" w:hAnsi="Bookman Old Style"/>
          <w:bCs/>
        </w:rPr>
        <w:t xml:space="preserve"> plantas hidráulicas que les aplique el artículo </w:t>
      </w:r>
      <w:r w:rsidR="007F273B">
        <w:rPr>
          <w:rFonts w:ascii="Bookman Old Style" w:hAnsi="Bookman Old Style"/>
          <w:bCs/>
        </w:rPr>
        <w:t>2 de la presente resolución.</w:t>
      </w:r>
    </w:p>
    <w:p w14:paraId="5BECD1BC" w14:textId="77777777" w:rsidR="00D0048D" w:rsidRDefault="00D0048D" w:rsidP="009A5802">
      <w:pPr>
        <w:ind w:left="0"/>
        <w:jc w:val="both"/>
        <w:rPr>
          <w:rFonts w:ascii="Bookman Old Style" w:hAnsi="Bookman Old Style"/>
          <w:bCs/>
        </w:rPr>
      </w:pPr>
    </w:p>
    <w:p w14:paraId="6949E41F" w14:textId="43A81E30" w:rsidR="00D0048D" w:rsidRDefault="00D0048D" w:rsidP="009A5802">
      <w:pPr>
        <w:ind w:left="0"/>
        <w:jc w:val="both"/>
        <w:rPr>
          <w:rFonts w:ascii="Bookman Old Style" w:hAnsi="Bookman Old Style"/>
          <w:bCs/>
        </w:rPr>
      </w:pPr>
      <w:r w:rsidRPr="00143C4B">
        <w:rPr>
          <w:rFonts w:ascii="Bookman Old Style" w:hAnsi="Bookman Old Style"/>
          <w:b/>
        </w:rPr>
        <w:t>Parágrafo 3</w:t>
      </w:r>
      <w:r>
        <w:rPr>
          <w:rFonts w:ascii="Bookman Old Style" w:hAnsi="Bookman Old Style"/>
          <w:bCs/>
        </w:rPr>
        <w:t xml:space="preserve">. El CND remitirá a la CREG un </w:t>
      </w:r>
      <w:r w:rsidR="0032783A">
        <w:rPr>
          <w:rFonts w:ascii="Bookman Old Style" w:hAnsi="Bookman Old Style"/>
          <w:bCs/>
        </w:rPr>
        <w:t xml:space="preserve">informe semanal o si lo consideran con menor frecuencia sobre </w:t>
      </w:r>
      <w:r w:rsidR="00B21A2C">
        <w:rPr>
          <w:rFonts w:ascii="Bookman Old Style" w:hAnsi="Bookman Old Style"/>
          <w:bCs/>
        </w:rPr>
        <w:t>los resultados de la aplicación de</w:t>
      </w:r>
      <w:r w:rsidR="00E7008C">
        <w:rPr>
          <w:rFonts w:ascii="Bookman Old Style" w:hAnsi="Bookman Old Style"/>
          <w:bCs/>
        </w:rPr>
        <w:t>l procedimiento del artículo 2 de la presente resolución.</w:t>
      </w:r>
    </w:p>
    <w:p w14:paraId="6185DD70" w14:textId="77777777" w:rsidR="009A5802" w:rsidRPr="009A5802" w:rsidRDefault="009A5802" w:rsidP="009A5802">
      <w:pPr>
        <w:jc w:val="both"/>
        <w:rPr>
          <w:rFonts w:ascii="Bookman Old Style" w:hAnsi="Bookman Old Style"/>
          <w:bCs/>
        </w:rPr>
      </w:pPr>
    </w:p>
    <w:p w14:paraId="789B5DD0" w14:textId="4679D939" w:rsidR="00E523E5" w:rsidRDefault="008C11E4" w:rsidP="008C11E4">
      <w:pPr>
        <w:ind w:left="0"/>
        <w:jc w:val="both"/>
        <w:rPr>
          <w:rFonts w:ascii="Bookman Old Style" w:hAnsi="Bookman Old Style"/>
          <w:bCs/>
        </w:rPr>
      </w:pPr>
      <w:r w:rsidRPr="002A782A">
        <w:rPr>
          <w:rFonts w:ascii="Bookman Old Style" w:hAnsi="Bookman Old Style"/>
          <w:b/>
        </w:rPr>
        <w:t xml:space="preserve">ARTÍCULO </w:t>
      </w:r>
      <w:r>
        <w:rPr>
          <w:rFonts w:ascii="Bookman Old Style" w:hAnsi="Bookman Old Style"/>
          <w:b/>
        </w:rPr>
        <w:t>3</w:t>
      </w:r>
      <w:r w:rsidRPr="002A782A">
        <w:rPr>
          <w:rFonts w:ascii="Bookman Old Style" w:hAnsi="Bookman Old Style"/>
          <w:b/>
        </w:rPr>
        <w:t>.</w:t>
      </w:r>
      <w:r w:rsidRPr="4985A735">
        <w:rPr>
          <w:rFonts w:ascii="Bookman Old Style" w:hAnsi="Bookman Old Style"/>
          <w:i/>
          <w:sz w:val="22"/>
          <w:szCs w:val="22"/>
        </w:rPr>
        <w:t xml:space="preserve"> </w:t>
      </w:r>
      <w:r w:rsidR="001A0A43">
        <w:rPr>
          <w:rFonts w:ascii="Bookman Old Style" w:hAnsi="Bookman Old Style"/>
          <w:b/>
        </w:rPr>
        <w:t>Aplicación del procedimiento</w:t>
      </w:r>
      <w:r w:rsidR="00D8518F">
        <w:rPr>
          <w:rFonts w:ascii="Bookman Old Style" w:hAnsi="Bookman Old Style"/>
          <w:b/>
        </w:rPr>
        <w:t>.</w:t>
      </w:r>
      <w:r w:rsidR="00D8518F" w:rsidRPr="00D8518F">
        <w:rPr>
          <w:rFonts w:ascii="Bookman Old Style" w:hAnsi="Bookman Old Style"/>
          <w:b/>
        </w:rPr>
        <w:t xml:space="preserve"> </w:t>
      </w:r>
      <w:r w:rsidR="001A0A43">
        <w:rPr>
          <w:rFonts w:ascii="Bookman Old Style" w:hAnsi="Bookman Old Style"/>
          <w:bCs/>
        </w:rPr>
        <w:t xml:space="preserve">El procedimiento señalado en </w:t>
      </w:r>
      <w:r w:rsidR="0048160F">
        <w:rPr>
          <w:rFonts w:ascii="Bookman Old Style" w:hAnsi="Bookman Old Style"/>
          <w:bCs/>
        </w:rPr>
        <w:t>el</w:t>
      </w:r>
      <w:r w:rsidR="001A0A43">
        <w:rPr>
          <w:rFonts w:ascii="Bookman Old Style" w:hAnsi="Bookman Old Style"/>
          <w:bCs/>
        </w:rPr>
        <w:t xml:space="preserve"> artículo 2 de la presente resolución</w:t>
      </w:r>
      <w:r w:rsidR="0048160F">
        <w:rPr>
          <w:rFonts w:ascii="Bookman Old Style" w:hAnsi="Bookman Old Style"/>
          <w:bCs/>
        </w:rPr>
        <w:t>, se aplicará para el despacho del segundo día después de la entrada en vigencia.</w:t>
      </w:r>
      <w:r w:rsidR="001A0A43">
        <w:rPr>
          <w:rFonts w:ascii="Bookman Old Style" w:hAnsi="Bookman Old Style"/>
          <w:bCs/>
        </w:rPr>
        <w:t xml:space="preserve"> </w:t>
      </w:r>
    </w:p>
    <w:p w14:paraId="2AC0A1D6" w14:textId="00C2E753" w:rsidR="006814C3" w:rsidRDefault="006814C3" w:rsidP="008C11E4">
      <w:pPr>
        <w:ind w:left="0"/>
        <w:jc w:val="both"/>
        <w:rPr>
          <w:rFonts w:ascii="Bookman Old Style" w:hAnsi="Bookman Old Style"/>
          <w:bCs/>
        </w:rPr>
      </w:pPr>
    </w:p>
    <w:p w14:paraId="7921E024" w14:textId="03134F6D" w:rsidR="0048160F" w:rsidRDefault="00EF033D" w:rsidP="00EF033D">
      <w:pPr>
        <w:ind w:left="0"/>
        <w:jc w:val="both"/>
        <w:rPr>
          <w:rFonts w:ascii="Bookman Old Style" w:hAnsi="Bookman Old Style"/>
          <w:color w:val="000000" w:themeColor="text1"/>
        </w:rPr>
      </w:pPr>
      <w:r w:rsidRPr="172D2A45">
        <w:rPr>
          <w:rFonts w:ascii="Bookman Old Style" w:hAnsi="Bookman Old Style"/>
          <w:b/>
          <w:bCs/>
        </w:rPr>
        <w:t>ARTÍCULO 5.</w:t>
      </w:r>
      <w:r w:rsidRPr="172D2A45">
        <w:rPr>
          <w:rFonts w:ascii="Bookman Old Style" w:hAnsi="Bookman Old Style"/>
        </w:rPr>
        <w:t xml:space="preserve"> </w:t>
      </w:r>
      <w:r w:rsidRPr="172D2A45">
        <w:rPr>
          <w:rFonts w:ascii="Bookman Old Style" w:hAnsi="Bookman Old Style"/>
          <w:b/>
          <w:bCs/>
        </w:rPr>
        <w:t>Vigenci</w:t>
      </w:r>
      <w:r w:rsidR="641F5512" w:rsidRPr="172D2A45">
        <w:rPr>
          <w:rFonts w:ascii="Bookman Old Style" w:hAnsi="Bookman Old Style"/>
          <w:b/>
          <w:bCs/>
        </w:rPr>
        <w:t>a</w:t>
      </w:r>
      <w:r w:rsidRPr="172D2A45">
        <w:rPr>
          <w:rFonts w:ascii="Bookman Old Style" w:hAnsi="Bookman Old Style"/>
        </w:rPr>
        <w:t xml:space="preserve">. </w:t>
      </w:r>
      <w:r w:rsidRPr="172D2A45">
        <w:rPr>
          <w:rFonts w:ascii="Bookman Old Style" w:hAnsi="Bookman Old Style"/>
          <w:color w:val="000000" w:themeColor="text1"/>
        </w:rPr>
        <w:t>La presente resolución rige a partir de su publicación en el </w:t>
      </w:r>
      <w:r w:rsidRPr="172D2A45">
        <w:rPr>
          <w:rFonts w:ascii="Bookman Old Style" w:hAnsi="Bookman Old Style"/>
          <w:i/>
          <w:iCs/>
          <w:color w:val="000000" w:themeColor="text1"/>
        </w:rPr>
        <w:t>Diario Oficial</w:t>
      </w:r>
      <w:r w:rsidR="0048160F" w:rsidRPr="172D2A45">
        <w:rPr>
          <w:rFonts w:ascii="Bookman Old Style" w:hAnsi="Bookman Old Style"/>
          <w:color w:val="000000" w:themeColor="text1"/>
        </w:rPr>
        <w:t xml:space="preserve"> y hasta</w:t>
      </w:r>
      <w:r w:rsidR="00353052" w:rsidRPr="172D2A45">
        <w:rPr>
          <w:rFonts w:ascii="Bookman Old Style" w:hAnsi="Bookman Old Style"/>
          <w:color w:val="000000" w:themeColor="text1"/>
        </w:rPr>
        <w:t xml:space="preserve"> </w:t>
      </w:r>
      <w:r w:rsidR="03994440" w:rsidRPr="172D2A45">
        <w:rPr>
          <w:rFonts w:ascii="Bookman Old Style" w:hAnsi="Bookman Old Style"/>
          <w:color w:val="000000" w:themeColor="text1"/>
        </w:rPr>
        <w:t xml:space="preserve">el </w:t>
      </w:r>
      <w:r w:rsidR="003015FD" w:rsidRPr="172D2A45">
        <w:rPr>
          <w:rFonts w:ascii="Bookman Old Style" w:hAnsi="Bookman Old Style"/>
          <w:color w:val="000000" w:themeColor="text1"/>
        </w:rPr>
        <w:t>once (11) de mayo de 2024</w:t>
      </w:r>
      <w:r w:rsidR="21D9E3E0" w:rsidRPr="172D2A45">
        <w:rPr>
          <w:rFonts w:ascii="Bookman Old Style" w:hAnsi="Bookman Old Style"/>
          <w:color w:val="000000" w:themeColor="text1"/>
        </w:rPr>
        <w:t>.</w:t>
      </w:r>
      <w:r w:rsidR="00AB611B" w:rsidRPr="172D2A45">
        <w:rPr>
          <w:rFonts w:ascii="Bookman Old Style" w:hAnsi="Bookman Old Style"/>
          <w:color w:val="000000" w:themeColor="text1"/>
        </w:rPr>
        <w:t xml:space="preserve"> </w:t>
      </w:r>
      <w:r w:rsidR="00353052" w:rsidRPr="172D2A45">
        <w:rPr>
          <w:rFonts w:ascii="Bookman Old Style" w:hAnsi="Bookman Old Style"/>
          <w:color w:val="000000" w:themeColor="text1"/>
        </w:rPr>
        <w:t>Previa información a la CREG</w:t>
      </w:r>
      <w:r w:rsidR="5664C40D" w:rsidRPr="172D2A45">
        <w:rPr>
          <w:rFonts w:ascii="Bookman Old Style" w:hAnsi="Bookman Old Style"/>
          <w:color w:val="000000" w:themeColor="text1"/>
        </w:rPr>
        <w:t>,</w:t>
      </w:r>
      <w:r w:rsidR="00353052" w:rsidRPr="172D2A45">
        <w:rPr>
          <w:rFonts w:ascii="Bookman Old Style" w:hAnsi="Bookman Old Style"/>
          <w:color w:val="000000" w:themeColor="text1"/>
        </w:rPr>
        <w:t xml:space="preserve"> </w:t>
      </w:r>
      <w:r w:rsidR="45930C2C" w:rsidRPr="172D2A45">
        <w:rPr>
          <w:rFonts w:ascii="Bookman Old Style" w:hAnsi="Bookman Old Style"/>
          <w:color w:val="000000" w:themeColor="text1"/>
        </w:rPr>
        <w:t xml:space="preserve">la medida </w:t>
      </w:r>
      <w:r w:rsidR="00353052" w:rsidRPr="172D2A45">
        <w:rPr>
          <w:rFonts w:ascii="Bookman Old Style" w:hAnsi="Bookman Old Style"/>
          <w:color w:val="000000" w:themeColor="text1"/>
        </w:rPr>
        <w:t>p</w:t>
      </w:r>
      <w:r w:rsidR="0048160F" w:rsidRPr="172D2A45">
        <w:rPr>
          <w:rFonts w:ascii="Bookman Old Style" w:hAnsi="Bookman Old Style"/>
          <w:color w:val="000000" w:themeColor="text1"/>
        </w:rPr>
        <w:t>odrá ser prorrogada</w:t>
      </w:r>
      <w:r w:rsidR="781DC391" w:rsidRPr="172D2A45">
        <w:rPr>
          <w:rFonts w:ascii="Bookman Old Style" w:hAnsi="Bookman Old Style"/>
          <w:color w:val="000000" w:themeColor="text1"/>
        </w:rPr>
        <w:t xml:space="preserve"> </w:t>
      </w:r>
      <w:r w:rsidR="003015FD" w:rsidRPr="172D2A45">
        <w:rPr>
          <w:rFonts w:ascii="Bookman Old Style" w:hAnsi="Bookman Old Style"/>
          <w:color w:val="000000" w:themeColor="text1"/>
        </w:rPr>
        <w:t>o no</w:t>
      </w:r>
      <w:r w:rsidR="00353052" w:rsidRPr="172D2A45">
        <w:rPr>
          <w:rFonts w:ascii="Bookman Old Style" w:hAnsi="Bookman Old Style"/>
          <w:color w:val="000000" w:themeColor="text1"/>
        </w:rPr>
        <w:t xml:space="preserve"> por el Comité de Expertos</w:t>
      </w:r>
      <w:r w:rsidR="1F4FED64" w:rsidRPr="172D2A45">
        <w:rPr>
          <w:rFonts w:ascii="Bookman Old Style" w:hAnsi="Bookman Old Style"/>
          <w:color w:val="000000" w:themeColor="text1"/>
        </w:rPr>
        <w:t xml:space="preserve"> lo cual se informará</w:t>
      </w:r>
      <w:r w:rsidR="00353052" w:rsidRPr="172D2A45">
        <w:rPr>
          <w:rFonts w:ascii="Bookman Old Style" w:hAnsi="Bookman Old Style"/>
          <w:color w:val="000000" w:themeColor="text1"/>
        </w:rPr>
        <w:t xml:space="preserve"> </w:t>
      </w:r>
      <w:r w:rsidR="7BCF305C" w:rsidRPr="172D2A45">
        <w:rPr>
          <w:rFonts w:ascii="Bookman Old Style" w:hAnsi="Bookman Old Style"/>
          <w:color w:val="000000" w:themeColor="text1"/>
        </w:rPr>
        <w:t>mediante</w:t>
      </w:r>
      <w:r w:rsidR="0048160F" w:rsidRPr="172D2A45">
        <w:rPr>
          <w:rFonts w:ascii="Bookman Old Style" w:hAnsi="Bookman Old Style"/>
          <w:color w:val="000000" w:themeColor="text1"/>
        </w:rPr>
        <w:t xml:space="preserve"> Circular </w:t>
      </w:r>
      <w:r w:rsidR="5FC25F84" w:rsidRPr="172D2A45">
        <w:rPr>
          <w:rFonts w:ascii="Bookman Old Style" w:hAnsi="Bookman Old Style"/>
          <w:color w:val="000000" w:themeColor="text1"/>
        </w:rPr>
        <w:t>d</w:t>
      </w:r>
      <w:r w:rsidR="6353716A" w:rsidRPr="172D2A45">
        <w:rPr>
          <w:rFonts w:ascii="Bookman Old Style" w:hAnsi="Bookman Old Style"/>
          <w:color w:val="000000" w:themeColor="text1"/>
        </w:rPr>
        <w:t>e la Dirección Ejecutiva</w:t>
      </w:r>
      <w:r w:rsidR="00353052" w:rsidRPr="172D2A45">
        <w:rPr>
          <w:rFonts w:ascii="Bookman Old Style" w:hAnsi="Bookman Old Style"/>
          <w:color w:val="000000" w:themeColor="text1"/>
        </w:rPr>
        <w:t>.</w:t>
      </w:r>
      <w:r w:rsidR="00642D8F" w:rsidRPr="172D2A45">
        <w:rPr>
          <w:rFonts w:ascii="Bookman Old Style" w:hAnsi="Bookman Old Style"/>
          <w:color w:val="000000" w:themeColor="text1"/>
        </w:rPr>
        <w:t xml:space="preserve"> </w:t>
      </w:r>
    </w:p>
    <w:p w14:paraId="6730AA2F" w14:textId="77777777" w:rsidR="0048160F" w:rsidRDefault="0048160F" w:rsidP="00EF033D">
      <w:pPr>
        <w:ind w:left="0"/>
        <w:jc w:val="both"/>
        <w:rPr>
          <w:rFonts w:ascii="Bookman Old Style" w:hAnsi="Bookman Old Style"/>
          <w:i/>
          <w:sz w:val="22"/>
        </w:rPr>
      </w:pPr>
    </w:p>
    <w:p w14:paraId="4C3505C4" w14:textId="77777777" w:rsidR="00045D3D" w:rsidRPr="00C435C3" w:rsidRDefault="00045D3D" w:rsidP="00045D3D">
      <w:pPr>
        <w:ind w:left="0"/>
        <w:rPr>
          <w:rFonts w:ascii="Bookman Old Style" w:hAnsi="Bookman Old Style"/>
        </w:rPr>
      </w:pPr>
    </w:p>
    <w:p w14:paraId="292B1F06" w14:textId="6DE2B38A" w:rsidR="00045D3D" w:rsidRDefault="00045D3D" w:rsidP="00045D3D">
      <w:pPr>
        <w:jc w:val="center"/>
        <w:rPr>
          <w:rFonts w:ascii="Bookman Old Style" w:hAnsi="Bookman Old Style"/>
          <w:b/>
        </w:rPr>
      </w:pPr>
      <w:r w:rsidRPr="00C435C3">
        <w:rPr>
          <w:rFonts w:ascii="Bookman Old Style" w:hAnsi="Bookman Old Style"/>
          <w:b/>
        </w:rPr>
        <w:t>PU</w:t>
      </w:r>
      <w:r w:rsidR="00CA03C8">
        <w:rPr>
          <w:rFonts w:ascii="Bookman Old Style" w:hAnsi="Bookman Old Style"/>
          <w:b/>
        </w:rPr>
        <w:t>B</w:t>
      </w:r>
      <w:r w:rsidRPr="00C435C3">
        <w:rPr>
          <w:rFonts w:ascii="Bookman Old Style" w:hAnsi="Bookman Old Style"/>
          <w:b/>
        </w:rPr>
        <w:t>LÍQUESE Y CÚMPLASE</w:t>
      </w:r>
    </w:p>
    <w:p w14:paraId="5E84F62B" w14:textId="77777777" w:rsidR="00353052" w:rsidRDefault="00353052" w:rsidP="00045D3D">
      <w:pPr>
        <w:jc w:val="center"/>
        <w:rPr>
          <w:rFonts w:ascii="Bookman Old Style" w:hAnsi="Bookman Old Style"/>
          <w:b/>
        </w:rPr>
      </w:pPr>
    </w:p>
    <w:tbl>
      <w:tblPr>
        <w:tblW w:w="0" w:type="auto"/>
        <w:tblCellMar>
          <w:top w:w="15" w:type="dxa"/>
          <w:left w:w="15" w:type="dxa"/>
          <w:bottom w:w="15" w:type="dxa"/>
          <w:right w:w="15" w:type="dxa"/>
        </w:tblCellMar>
        <w:tblLook w:val="04A0" w:firstRow="1" w:lastRow="0" w:firstColumn="1" w:lastColumn="0" w:noHBand="0" w:noVBand="1"/>
      </w:tblPr>
      <w:tblGrid>
        <w:gridCol w:w="4992"/>
        <w:gridCol w:w="4364"/>
      </w:tblGrid>
      <w:tr w:rsidR="00353052" w:rsidRPr="00353052" w14:paraId="4E5CB2CE" w14:textId="77777777" w:rsidTr="00353052">
        <w:tc>
          <w:tcPr>
            <w:tcW w:w="5067" w:type="dxa"/>
            <w:tcBorders>
              <w:top w:val="nil"/>
              <w:left w:val="nil"/>
              <w:bottom w:val="nil"/>
              <w:right w:val="nil"/>
            </w:tcBorders>
            <w:tcMar>
              <w:top w:w="0" w:type="dxa"/>
              <w:left w:w="108" w:type="dxa"/>
              <w:bottom w:w="0" w:type="dxa"/>
              <w:right w:w="108" w:type="dxa"/>
            </w:tcMar>
            <w:hideMark/>
          </w:tcPr>
          <w:p w14:paraId="3C3CF306" w14:textId="38F5C0DE" w:rsidR="00353052" w:rsidRPr="00353052" w:rsidRDefault="00353052" w:rsidP="00353052">
            <w:pPr>
              <w:spacing w:line="276" w:lineRule="atLeast"/>
              <w:ind w:left="0"/>
              <w:jc w:val="center"/>
              <w:rPr>
                <w:rFonts w:ascii="Bookman Old Style" w:hAnsi="Bookman Old Style"/>
                <w:lang w:val="es-CO" w:eastAsia="es-CO"/>
              </w:rPr>
            </w:pPr>
          </w:p>
        </w:tc>
        <w:tc>
          <w:tcPr>
            <w:tcW w:w="4429" w:type="dxa"/>
            <w:tcBorders>
              <w:top w:val="nil"/>
              <w:left w:val="nil"/>
              <w:bottom w:val="nil"/>
              <w:right w:val="nil"/>
            </w:tcBorders>
            <w:tcMar>
              <w:top w:w="0" w:type="dxa"/>
              <w:left w:w="108" w:type="dxa"/>
              <w:bottom w:w="0" w:type="dxa"/>
              <w:right w:w="108" w:type="dxa"/>
            </w:tcMar>
            <w:hideMark/>
          </w:tcPr>
          <w:p w14:paraId="133E0BF0" w14:textId="46F4E5FB" w:rsidR="00353052" w:rsidRPr="00353052" w:rsidRDefault="00353052" w:rsidP="00353052">
            <w:pPr>
              <w:spacing w:line="276" w:lineRule="atLeast"/>
              <w:ind w:left="0"/>
              <w:jc w:val="center"/>
              <w:rPr>
                <w:rFonts w:ascii="Bookman Old Style" w:hAnsi="Bookman Old Style"/>
                <w:lang w:val="es-CO" w:eastAsia="es-CO"/>
              </w:rPr>
            </w:pPr>
          </w:p>
        </w:tc>
      </w:tr>
    </w:tbl>
    <w:p w14:paraId="082C38A2" w14:textId="77777777" w:rsidR="00353052" w:rsidRPr="00B428EB" w:rsidRDefault="00353052" w:rsidP="00BE2813">
      <w:pPr>
        <w:ind w:left="0"/>
        <w:rPr>
          <w:rFonts w:ascii="Bookman Old Style" w:hAnsi="Bookman Old Style"/>
          <w:b/>
          <w:lang w:val="es-CO"/>
        </w:rPr>
      </w:pPr>
    </w:p>
    <w:p w14:paraId="145AA817" w14:textId="3E9966FA" w:rsidR="00807B6F" w:rsidRDefault="00807B6F" w:rsidP="00807B6F">
      <w:pPr>
        <w:spacing w:line="276" w:lineRule="auto"/>
        <w:ind w:left="0"/>
        <w:rPr>
          <w:rFonts w:ascii="Bookman Old Style" w:hAnsi="Bookman Old Style"/>
        </w:rPr>
      </w:pPr>
      <w:r>
        <w:rPr>
          <w:rFonts w:ascii="Bookman Old Style" w:hAnsi="Bookman Old Style"/>
        </w:rPr>
        <w:t xml:space="preserve">Dada en Bogotá, D.C., a los </w:t>
      </w:r>
      <w:r w:rsidR="00BE2813">
        <w:rPr>
          <w:rFonts w:ascii="Bookman Old Style" w:hAnsi="Bookman Old Style"/>
        </w:rPr>
        <w:t>20</w:t>
      </w:r>
      <w:r>
        <w:rPr>
          <w:rFonts w:ascii="Bookman Old Style" w:hAnsi="Bookman Old Style"/>
        </w:rPr>
        <w:t xml:space="preserve"> días de abril de 2024.</w:t>
      </w:r>
    </w:p>
    <w:p w14:paraId="74EF407C" w14:textId="77777777" w:rsidR="00807B6F" w:rsidRDefault="00807B6F" w:rsidP="00807B6F">
      <w:pPr>
        <w:spacing w:line="276" w:lineRule="auto"/>
        <w:ind w:left="0"/>
        <w:rPr>
          <w:rFonts w:ascii="Bookman Old Style" w:hAnsi="Bookman Old Style"/>
        </w:rPr>
      </w:pPr>
    </w:p>
    <w:p w14:paraId="1989D5DA" w14:textId="77777777" w:rsidR="00807B6F" w:rsidRDefault="00807B6F" w:rsidP="00807B6F">
      <w:pPr>
        <w:spacing w:line="276" w:lineRule="auto"/>
        <w:ind w:left="0"/>
        <w:rPr>
          <w:rFonts w:ascii="Bookman Old Style" w:hAnsi="Bookman Old Style"/>
        </w:rPr>
      </w:pPr>
    </w:p>
    <w:tbl>
      <w:tblPr>
        <w:tblW w:w="0" w:type="auto"/>
        <w:jc w:val="center"/>
        <w:tblLayout w:type="fixed"/>
        <w:tblCellMar>
          <w:left w:w="70" w:type="dxa"/>
          <w:right w:w="70" w:type="dxa"/>
        </w:tblCellMar>
        <w:tblLook w:val="04A0" w:firstRow="1" w:lastRow="0" w:firstColumn="1" w:lastColumn="0" w:noHBand="0" w:noVBand="1"/>
      </w:tblPr>
      <w:tblGrid>
        <w:gridCol w:w="5067"/>
        <w:gridCol w:w="4429"/>
      </w:tblGrid>
      <w:tr w:rsidR="00807B6F" w14:paraId="011F8988" w14:textId="77777777" w:rsidTr="00807B6F">
        <w:trPr>
          <w:jc w:val="center"/>
        </w:trPr>
        <w:tc>
          <w:tcPr>
            <w:tcW w:w="5067" w:type="dxa"/>
            <w:hideMark/>
          </w:tcPr>
          <w:p w14:paraId="57DDC8F6" w14:textId="77777777" w:rsidR="00807B6F" w:rsidRDefault="00807B6F">
            <w:pPr>
              <w:tabs>
                <w:tab w:val="left" w:pos="-720"/>
              </w:tabs>
              <w:suppressAutoHyphens/>
              <w:spacing w:line="276" w:lineRule="auto"/>
              <w:ind w:left="0"/>
              <w:jc w:val="center"/>
              <w:rPr>
                <w:rFonts w:ascii="Bookman Old Style" w:hAnsi="Bookman Old Style" w:cs="Arial"/>
                <w:b/>
                <w:spacing w:val="-3"/>
              </w:rPr>
            </w:pPr>
            <w:r>
              <w:rPr>
                <w:rFonts w:ascii="Bookman Old Style" w:hAnsi="Bookman Old Style" w:cs="Arial"/>
                <w:b/>
                <w:spacing w:val="-3"/>
              </w:rPr>
              <w:t>OMAR ANDRÉS CAMACHO MORALES</w:t>
            </w:r>
          </w:p>
          <w:p w14:paraId="72736B1E" w14:textId="77777777" w:rsidR="00807B6F" w:rsidRDefault="00807B6F">
            <w:pPr>
              <w:tabs>
                <w:tab w:val="left" w:pos="-720"/>
              </w:tabs>
              <w:suppressAutoHyphens/>
              <w:spacing w:line="276" w:lineRule="auto"/>
              <w:ind w:left="0"/>
              <w:jc w:val="center"/>
              <w:rPr>
                <w:rFonts w:ascii="Bookman Old Style" w:hAnsi="Bookman Old Style"/>
              </w:rPr>
            </w:pPr>
            <w:r>
              <w:rPr>
                <w:rFonts w:ascii="Bookman Old Style" w:hAnsi="Bookman Old Style"/>
              </w:rPr>
              <w:t>Ministro de Minas y Energía</w:t>
            </w:r>
          </w:p>
          <w:p w14:paraId="50E1515D" w14:textId="77777777" w:rsidR="00807B6F" w:rsidRDefault="00807B6F">
            <w:pPr>
              <w:tabs>
                <w:tab w:val="left" w:pos="-720"/>
              </w:tabs>
              <w:suppressAutoHyphens/>
              <w:spacing w:line="276" w:lineRule="auto"/>
              <w:ind w:left="0"/>
              <w:jc w:val="center"/>
              <w:rPr>
                <w:rFonts w:ascii="Bookman Old Style" w:hAnsi="Bookman Old Style" w:cs="Arial"/>
                <w:b/>
                <w:strike/>
                <w:spacing w:val="-3"/>
              </w:rPr>
            </w:pPr>
            <w:r>
              <w:rPr>
                <w:rFonts w:ascii="Bookman Old Style" w:hAnsi="Bookman Old Style"/>
              </w:rPr>
              <w:t>Presidente</w:t>
            </w:r>
          </w:p>
        </w:tc>
        <w:tc>
          <w:tcPr>
            <w:tcW w:w="4429" w:type="dxa"/>
            <w:hideMark/>
          </w:tcPr>
          <w:p w14:paraId="6EFB332D" w14:textId="77777777" w:rsidR="00807B6F" w:rsidRDefault="00807B6F">
            <w:pPr>
              <w:tabs>
                <w:tab w:val="left" w:pos="-720"/>
              </w:tabs>
              <w:suppressAutoHyphens/>
              <w:spacing w:line="276" w:lineRule="auto"/>
              <w:ind w:left="0"/>
              <w:jc w:val="center"/>
              <w:rPr>
                <w:rFonts w:ascii="Bookman Old Style" w:hAnsi="Bookman Old Style" w:cs="Arial"/>
                <w:b/>
              </w:rPr>
            </w:pPr>
            <w:r>
              <w:rPr>
                <w:rFonts w:ascii="Bookman Old Style" w:hAnsi="Bookman Old Style" w:cs="Arial"/>
                <w:b/>
              </w:rPr>
              <w:t>OMAR PRÍAS CAICEDO</w:t>
            </w:r>
          </w:p>
          <w:p w14:paraId="35E72FBF" w14:textId="77777777" w:rsidR="00807B6F" w:rsidRDefault="00807B6F">
            <w:pPr>
              <w:tabs>
                <w:tab w:val="left" w:pos="-720"/>
              </w:tabs>
              <w:suppressAutoHyphens/>
              <w:spacing w:line="276" w:lineRule="auto"/>
              <w:ind w:left="0"/>
              <w:jc w:val="center"/>
              <w:rPr>
                <w:rFonts w:ascii="Bookman Old Style" w:hAnsi="Bookman Old Style" w:cs="Arial"/>
                <w:b/>
                <w:spacing w:val="-3"/>
              </w:rPr>
            </w:pPr>
            <w:r>
              <w:rPr>
                <w:rFonts w:ascii="Bookman Old Style" w:hAnsi="Bookman Old Style" w:cs="Arial"/>
                <w:spacing w:val="-3"/>
              </w:rPr>
              <w:t>Director Ejecutivo</w:t>
            </w:r>
          </w:p>
        </w:tc>
      </w:tr>
    </w:tbl>
    <w:p w14:paraId="31EBE366" w14:textId="77777777" w:rsidR="00807B6F" w:rsidRDefault="00807B6F" w:rsidP="00807B6F">
      <w:pPr>
        <w:spacing w:line="256" w:lineRule="auto"/>
        <w:ind w:left="0"/>
        <w:rPr>
          <w:rFonts w:ascii="Bookman Old Style" w:hAnsi="Bookman Old Style"/>
        </w:rPr>
      </w:pPr>
    </w:p>
    <w:p w14:paraId="7651F574" w14:textId="77777777" w:rsidR="00045D3D" w:rsidRPr="00C435C3" w:rsidRDefault="00045D3D" w:rsidP="00045D3D">
      <w:pPr>
        <w:rPr>
          <w:rFonts w:ascii="Bookman Old Style" w:hAnsi="Bookman Old Style"/>
        </w:rPr>
      </w:pPr>
    </w:p>
    <w:sectPr w:rsidR="00045D3D" w:rsidRPr="00C435C3" w:rsidSect="00862AFD">
      <w:headerReference w:type="default" r:id="rId13"/>
      <w:headerReference w:type="first" r:id="rId14"/>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1934F" w14:textId="77777777" w:rsidR="00862AFD" w:rsidRDefault="00862AFD">
      <w:r>
        <w:separator/>
      </w:r>
    </w:p>
  </w:endnote>
  <w:endnote w:type="continuationSeparator" w:id="0">
    <w:p w14:paraId="68B54BC1" w14:textId="77777777" w:rsidR="00862AFD" w:rsidRDefault="00862AFD">
      <w:r>
        <w:continuationSeparator/>
      </w:r>
    </w:p>
  </w:endnote>
  <w:endnote w:type="continuationNotice" w:id="1">
    <w:p w14:paraId="30A4C297" w14:textId="77777777" w:rsidR="00862AFD" w:rsidRDefault="00862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E81FE" w14:textId="77777777" w:rsidR="00862AFD" w:rsidRDefault="00862AFD">
      <w:r>
        <w:separator/>
      </w:r>
    </w:p>
  </w:footnote>
  <w:footnote w:type="continuationSeparator" w:id="0">
    <w:p w14:paraId="5BC1360A" w14:textId="77777777" w:rsidR="00862AFD" w:rsidRDefault="00862AFD">
      <w:r>
        <w:continuationSeparator/>
      </w:r>
    </w:p>
  </w:footnote>
  <w:footnote w:type="continuationNotice" w:id="1">
    <w:p w14:paraId="0AAF4809" w14:textId="77777777" w:rsidR="00862AFD" w:rsidRDefault="00862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4175A108" w:rsidR="0087657D" w:rsidRPr="00951F79" w:rsidRDefault="00725FA4" w:rsidP="009F4BEC">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BE2813" w:rsidRPr="00BE2813">
      <w:rPr>
        <w:rFonts w:ascii="Bookman Old Style" w:hAnsi="Bookman Old Style" w:cs="Arial"/>
        <w:bCs/>
        <w:szCs w:val="24"/>
        <w:u w:val="single"/>
      </w:rPr>
      <w:t>101 041</w:t>
    </w:r>
    <w:r w:rsidR="00B428EB">
      <w:rPr>
        <w:rFonts w:ascii="Bookman Old Style" w:hAnsi="Bookman Old Style" w:cs="Arial"/>
        <w:b w:val="0"/>
        <w:sz w:val="22"/>
        <w:szCs w:val="22"/>
      </w:rPr>
      <w:t xml:space="preserve"> </w:t>
    </w:r>
    <w:r w:rsidR="00BE2813">
      <w:rPr>
        <w:rFonts w:ascii="Bookman Old Style" w:hAnsi="Bookman Old Style" w:cs="Arial"/>
        <w:b w:val="0"/>
        <w:sz w:val="22"/>
        <w:szCs w:val="22"/>
      </w:rPr>
      <w:t xml:space="preserve">  </w:t>
    </w:r>
    <w:r w:rsidR="00886EE1">
      <w:rPr>
        <w:rFonts w:ascii="Bookman Old Style" w:hAnsi="Bookman Old Style" w:cs="Arial"/>
        <w:b w:val="0"/>
        <w:sz w:val="22"/>
        <w:szCs w:val="22"/>
      </w:rPr>
      <w:t>DE</w:t>
    </w:r>
    <w:r w:rsidR="00B428EB">
      <w:rPr>
        <w:rFonts w:ascii="Bookman Old Style" w:hAnsi="Bookman Old Style" w:cs="Arial"/>
        <w:b w:val="0"/>
        <w:sz w:val="22"/>
        <w:szCs w:val="22"/>
      </w:rPr>
      <w:t xml:space="preserve"> </w:t>
    </w:r>
    <w:r w:rsidR="000D26F8">
      <w:rPr>
        <w:rFonts w:ascii="Bookman Old Style" w:hAnsi="Bookman Old Style" w:cs="Arial"/>
        <w:b w:val="0"/>
        <w:sz w:val="22"/>
        <w:szCs w:val="22"/>
      </w:rPr>
      <w:t xml:space="preserve"> </w:t>
    </w:r>
    <w:r w:rsidR="00BE2813" w:rsidRPr="00BE2813">
      <w:rPr>
        <w:rFonts w:ascii="Bookman Old Style" w:hAnsi="Bookman Old Style" w:cs="Arial"/>
        <w:bCs/>
        <w:szCs w:val="24"/>
        <w:u w:val="single"/>
      </w:rPr>
      <w:t>20</w:t>
    </w:r>
    <w:r w:rsidR="00B428EB" w:rsidRPr="00BE2813">
      <w:rPr>
        <w:rFonts w:ascii="Bookman Old Style" w:hAnsi="Bookman Old Style" w:cs="Arial"/>
        <w:bCs/>
        <w:szCs w:val="24"/>
        <w:u w:val="single"/>
      </w:rPr>
      <w:t xml:space="preserve"> ABR. 2024</w:t>
    </w:r>
    <w:r w:rsidR="00B428EB">
      <w:rPr>
        <w:rFonts w:ascii="Bookman Old Style" w:hAnsi="Bookman Old Style" w:cs="Arial"/>
        <w:b w:val="0"/>
        <w:sz w:val="22"/>
        <w:szCs w:val="22"/>
      </w:rPr>
      <w:t xml:space="preserve">   </w:t>
    </w:r>
    <w:r w:rsidR="00BE2813">
      <w:rPr>
        <w:rFonts w:ascii="Bookman Old Style" w:hAnsi="Bookman Old Style" w:cs="Arial"/>
        <w:b w:val="0"/>
        <w:sz w:val="22"/>
        <w:szCs w:val="22"/>
      </w:rPr>
      <w:t xml:space="preserve">                       </w:t>
    </w:r>
    <w:r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fldSimple w:instr="NUMPAGES  \* MERGEFORMAT">
      <w:r w:rsidR="00F77D2D" w:rsidRPr="00F77D2D">
        <w:rPr>
          <w:rFonts w:ascii="Bookman Old Style" w:hAnsi="Bookman Old Style" w:cs="Arial"/>
          <w:b w:val="0"/>
          <w:noProof/>
          <w:sz w:val="22"/>
          <w:szCs w:val="22"/>
        </w:rPr>
        <w:t>2</w:t>
      </w:r>
    </w:fldSimple>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8240"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E5E556D">
            <v:rect id="Rectangle 1" style="position:absolute;margin-left:-13.8pt;margin-top:10.95pt;width:493.5pt;height:7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6E8AC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w:pict>
        </mc:Fallback>
      </mc:AlternateContent>
    </w:r>
  </w:p>
  <w:p w14:paraId="16086E3D" w14:textId="78114938" w:rsidR="0044318E" w:rsidRDefault="00045D3D" w:rsidP="004E2D90">
    <w:pPr>
      <w:ind w:left="0"/>
      <w:jc w:val="both"/>
      <w:rPr>
        <w:rFonts w:ascii="Bookman Old Style" w:hAnsi="Bookman Old Style"/>
        <w:sz w:val="22"/>
        <w:szCs w:val="22"/>
      </w:rPr>
    </w:pPr>
    <w:r w:rsidRPr="00045D3D">
      <w:rPr>
        <w:rFonts w:ascii="Bookman Old Style" w:hAnsi="Bookman Old Style"/>
        <w:sz w:val="22"/>
        <w:szCs w:val="22"/>
      </w:rPr>
      <w:t xml:space="preserve">Por </w:t>
    </w:r>
    <w:r w:rsidR="00D720F8">
      <w:rPr>
        <w:rFonts w:ascii="Bookman Old Style" w:hAnsi="Bookman Old Style"/>
        <w:sz w:val="22"/>
        <w:szCs w:val="22"/>
      </w:rPr>
      <w:t>la cual se dictan m</w:t>
    </w:r>
    <w:r w:rsidR="00D720F8" w:rsidRPr="00D720F8">
      <w:rPr>
        <w:rFonts w:ascii="Bookman Old Style" w:hAnsi="Bookman Old Style"/>
        <w:sz w:val="22"/>
        <w:szCs w:val="22"/>
      </w:rPr>
      <w:t xml:space="preserve">edidas transitorias para </w:t>
    </w:r>
    <w:r w:rsidR="004E2D90">
      <w:rPr>
        <w:rFonts w:ascii="Bookman Old Style" w:hAnsi="Bookman Old Style"/>
        <w:sz w:val="22"/>
        <w:szCs w:val="22"/>
      </w:rPr>
      <w:t>el despacho de plantas hidráulicas</w:t>
    </w:r>
    <w:r w:rsidR="001959FE">
      <w:rPr>
        <w:rFonts w:ascii="Bookman Old Style" w:hAnsi="Bookman Old Style"/>
        <w:sz w:val="22"/>
        <w:szCs w:val="22"/>
      </w:rPr>
      <w:t xml:space="preserve"> con embalse disponible ante el Fenómeno de El Niño</w:t>
    </w:r>
    <w:r w:rsidR="00BE2813">
      <w:rPr>
        <w:rFonts w:ascii="Bookman Old Style" w:hAnsi="Bookman Old Style"/>
        <w:sz w:val="22"/>
        <w:szCs w:val="22"/>
      </w:rPr>
      <w:t>.</w:t>
    </w:r>
  </w:p>
  <w:p w14:paraId="2C6EC344" w14:textId="55E14438" w:rsidR="001959FE" w:rsidRPr="00045D3D" w:rsidRDefault="001959FE" w:rsidP="004E2D90">
    <w:pPr>
      <w:ind w:left="0"/>
      <w:jc w:val="both"/>
      <w:rPr>
        <w:b/>
      </w:rPr>
    </w:pPr>
    <w:r>
      <w:rPr>
        <w:rFonts w:ascii="Bookman Old Style" w:hAnsi="Bookman Old Style"/>
        <w:noProof/>
      </w:rPr>
      <mc:AlternateContent>
        <mc:Choice Requires="wps">
          <w:drawing>
            <wp:anchor distT="0" distB="0" distL="114300" distR="114300" simplePos="0" relativeHeight="251660289" behindDoc="0" locked="0" layoutInCell="1" allowOverlap="1" wp14:anchorId="3E02EC44" wp14:editId="2DCB6EB9">
              <wp:simplePos x="0" y="0"/>
              <wp:positionH relativeFrom="margin">
                <wp:align>left</wp:align>
              </wp:positionH>
              <wp:positionV relativeFrom="paragraph">
                <wp:posOffset>71120</wp:posOffset>
              </wp:positionV>
              <wp:extent cx="5951220" cy="7620"/>
              <wp:effectExtent l="0" t="0" r="30480" b="30480"/>
              <wp:wrapNone/>
              <wp:docPr id="1466706940" name="Conector recto 1"/>
              <wp:cNvGraphicFramePr/>
              <a:graphic xmlns:a="http://schemas.openxmlformats.org/drawingml/2006/main">
                <a:graphicData uri="http://schemas.microsoft.com/office/word/2010/wordprocessingShape">
                  <wps:wsp>
                    <wps:cNvCnPr/>
                    <wps:spPr>
                      <a:xfrm>
                        <a:off x="0" y="0"/>
                        <a:ext cx="5951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w:pict w14:anchorId="6F756856">
            <v:line id="Conector recto 1" style="position:absolute;z-index:25166028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o:spid="_x0000_s1026" strokecolor="black [3213]" strokeweight=".5pt" from="0,5.6pt" to="468.6pt,6.2pt" w14:anchorId="7E8F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1"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02C126">
            <v:rect id="Rectangle 2"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3C950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E0210F"/>
    <w:multiLevelType w:val="hybridMultilevel"/>
    <w:tmpl w:val="C306519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8358A"/>
    <w:multiLevelType w:val="hybridMultilevel"/>
    <w:tmpl w:val="5B36B4B2"/>
    <w:lvl w:ilvl="0" w:tplc="C2E41DA2">
      <w:start w:val="1"/>
      <w:numFmt w:val="lowerLetter"/>
      <w:lvlText w:val="%1)"/>
      <w:lvlJc w:val="left"/>
      <w:pPr>
        <w:ind w:left="720" w:hanging="360"/>
      </w:pPr>
      <w:rPr>
        <w:rFonts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4"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6"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53BE7396"/>
    <w:multiLevelType w:val="hybridMultilevel"/>
    <w:tmpl w:val="D2D00F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945655"/>
    <w:multiLevelType w:val="hybridMultilevel"/>
    <w:tmpl w:val="62E67BF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B038C4"/>
    <w:multiLevelType w:val="hybridMultilevel"/>
    <w:tmpl w:val="85F81942"/>
    <w:lvl w:ilvl="0" w:tplc="749A9790">
      <w:start w:val="1"/>
      <w:numFmt w:val="lowerRoman"/>
      <w:lvlText w:val="%1."/>
      <w:lvlJc w:val="left"/>
      <w:pPr>
        <w:ind w:left="1440" w:hanging="360"/>
      </w:pPr>
      <w:rPr>
        <w:rFonts w:hint="default"/>
        <w:i w:val="0"/>
        <w:i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4"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072B7F"/>
    <w:multiLevelType w:val="hybridMultilevel"/>
    <w:tmpl w:val="B964CD7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3"/>
  </w:num>
  <w:num w:numId="2" w16cid:durableId="1497382030">
    <w:abstractNumId w:val="5"/>
  </w:num>
  <w:num w:numId="3" w16cid:durableId="1643658739">
    <w:abstractNumId w:val="26"/>
  </w:num>
  <w:num w:numId="4" w16cid:durableId="1416053916">
    <w:abstractNumId w:val="6"/>
  </w:num>
  <w:num w:numId="5" w16cid:durableId="1460681335">
    <w:abstractNumId w:val="19"/>
  </w:num>
  <w:num w:numId="6" w16cid:durableId="432214895">
    <w:abstractNumId w:val="4"/>
  </w:num>
  <w:num w:numId="7" w16cid:durableId="845751384">
    <w:abstractNumId w:val="3"/>
  </w:num>
  <w:num w:numId="8" w16cid:durableId="29301030">
    <w:abstractNumId w:val="22"/>
  </w:num>
  <w:num w:numId="9" w16cid:durableId="2003662021">
    <w:abstractNumId w:val="21"/>
  </w:num>
  <w:num w:numId="10" w16cid:durableId="2014674860">
    <w:abstractNumId w:val="14"/>
  </w:num>
  <w:num w:numId="11" w16cid:durableId="958032325">
    <w:abstractNumId w:val="27"/>
  </w:num>
  <w:num w:numId="12" w16cid:durableId="1838691975">
    <w:abstractNumId w:val="24"/>
  </w:num>
  <w:num w:numId="13" w16cid:durableId="273679532">
    <w:abstractNumId w:val="11"/>
  </w:num>
  <w:num w:numId="14" w16cid:durableId="2070683866">
    <w:abstractNumId w:val="2"/>
  </w:num>
  <w:num w:numId="15" w16cid:durableId="1975476040">
    <w:abstractNumId w:val="15"/>
  </w:num>
  <w:num w:numId="16" w16cid:durableId="83963299">
    <w:abstractNumId w:val="1"/>
  </w:num>
  <w:num w:numId="17" w16cid:durableId="353533871">
    <w:abstractNumId w:val="10"/>
  </w:num>
  <w:num w:numId="18" w16cid:durableId="788664195">
    <w:abstractNumId w:val="0"/>
  </w:num>
  <w:num w:numId="19" w16cid:durableId="1454788596">
    <w:abstractNumId w:val="23"/>
  </w:num>
  <w:num w:numId="20" w16cid:durableId="1999069271">
    <w:abstractNumId w:val="16"/>
  </w:num>
  <w:num w:numId="21" w16cid:durableId="1075667280">
    <w:abstractNumId w:val="7"/>
  </w:num>
  <w:num w:numId="22" w16cid:durableId="40371620">
    <w:abstractNumId w:val="9"/>
  </w:num>
  <w:num w:numId="23" w16cid:durableId="1289819993">
    <w:abstractNumId w:val="17"/>
  </w:num>
  <w:num w:numId="24" w16cid:durableId="1764566570">
    <w:abstractNumId w:val="12"/>
  </w:num>
  <w:num w:numId="25" w16cid:durableId="1513495548">
    <w:abstractNumId w:val="20"/>
  </w:num>
  <w:num w:numId="26" w16cid:durableId="1096249954">
    <w:abstractNumId w:val="25"/>
  </w:num>
  <w:num w:numId="27" w16cid:durableId="946424097">
    <w:abstractNumId w:val="8"/>
  </w:num>
  <w:num w:numId="28" w16cid:durableId="13111309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0353"/>
    <w:rsid w:val="00006AE2"/>
    <w:rsid w:val="000076A1"/>
    <w:rsid w:val="00012259"/>
    <w:rsid w:val="0001627C"/>
    <w:rsid w:val="00022575"/>
    <w:rsid w:val="00025383"/>
    <w:rsid w:val="0002657F"/>
    <w:rsid w:val="00033502"/>
    <w:rsid w:val="000348BF"/>
    <w:rsid w:val="00042483"/>
    <w:rsid w:val="00045D3D"/>
    <w:rsid w:val="0004717F"/>
    <w:rsid w:val="00052C2D"/>
    <w:rsid w:val="00063657"/>
    <w:rsid w:val="000652DA"/>
    <w:rsid w:val="0007035E"/>
    <w:rsid w:val="00076680"/>
    <w:rsid w:val="00076A1D"/>
    <w:rsid w:val="00077C69"/>
    <w:rsid w:val="0008073E"/>
    <w:rsid w:val="00091CDB"/>
    <w:rsid w:val="000A0145"/>
    <w:rsid w:val="000A19AC"/>
    <w:rsid w:val="000B2EC9"/>
    <w:rsid w:val="000C7CAC"/>
    <w:rsid w:val="000D26F8"/>
    <w:rsid w:val="000D48A6"/>
    <w:rsid w:val="000E23AE"/>
    <w:rsid w:val="000E47BD"/>
    <w:rsid w:val="000E57BE"/>
    <w:rsid w:val="000E669C"/>
    <w:rsid w:val="000F3FC0"/>
    <w:rsid w:val="000F59F5"/>
    <w:rsid w:val="000F7FCB"/>
    <w:rsid w:val="001009D1"/>
    <w:rsid w:val="00106654"/>
    <w:rsid w:val="00116809"/>
    <w:rsid w:val="00117F7E"/>
    <w:rsid w:val="0013526C"/>
    <w:rsid w:val="0013688E"/>
    <w:rsid w:val="001405C6"/>
    <w:rsid w:val="00141013"/>
    <w:rsid w:val="00143C4B"/>
    <w:rsid w:val="00154608"/>
    <w:rsid w:val="00166999"/>
    <w:rsid w:val="00186041"/>
    <w:rsid w:val="0018749E"/>
    <w:rsid w:val="00192CBF"/>
    <w:rsid w:val="00192FF1"/>
    <w:rsid w:val="001959FE"/>
    <w:rsid w:val="001A0A43"/>
    <w:rsid w:val="001A5F1B"/>
    <w:rsid w:val="001B19E6"/>
    <w:rsid w:val="001B1C22"/>
    <w:rsid w:val="001B2C3D"/>
    <w:rsid w:val="001B34C6"/>
    <w:rsid w:val="001B7574"/>
    <w:rsid w:val="001C44EC"/>
    <w:rsid w:val="001D169E"/>
    <w:rsid w:val="001D507E"/>
    <w:rsid w:val="001D7832"/>
    <w:rsid w:val="001E6439"/>
    <w:rsid w:val="00210DC1"/>
    <w:rsid w:val="00211D34"/>
    <w:rsid w:val="00214F04"/>
    <w:rsid w:val="002251AA"/>
    <w:rsid w:val="002352B9"/>
    <w:rsid w:val="00237CB1"/>
    <w:rsid w:val="002475E8"/>
    <w:rsid w:val="00247A2B"/>
    <w:rsid w:val="00263AAA"/>
    <w:rsid w:val="00266CD6"/>
    <w:rsid w:val="002673AC"/>
    <w:rsid w:val="00275DAB"/>
    <w:rsid w:val="002762C1"/>
    <w:rsid w:val="0028508D"/>
    <w:rsid w:val="002903C0"/>
    <w:rsid w:val="0029076B"/>
    <w:rsid w:val="002A361A"/>
    <w:rsid w:val="002A77A2"/>
    <w:rsid w:val="002A782A"/>
    <w:rsid w:val="002B11E2"/>
    <w:rsid w:val="002B24B8"/>
    <w:rsid w:val="002C07D3"/>
    <w:rsid w:val="002D3AE9"/>
    <w:rsid w:val="002D4510"/>
    <w:rsid w:val="002D7EF9"/>
    <w:rsid w:val="002E245F"/>
    <w:rsid w:val="002E3AEE"/>
    <w:rsid w:val="002F0734"/>
    <w:rsid w:val="002F175F"/>
    <w:rsid w:val="002F3D9E"/>
    <w:rsid w:val="002F46E7"/>
    <w:rsid w:val="003015FD"/>
    <w:rsid w:val="003101DA"/>
    <w:rsid w:val="003102AE"/>
    <w:rsid w:val="003111C3"/>
    <w:rsid w:val="00314757"/>
    <w:rsid w:val="00315A16"/>
    <w:rsid w:val="003163BC"/>
    <w:rsid w:val="003211CE"/>
    <w:rsid w:val="00324D4F"/>
    <w:rsid w:val="003250DA"/>
    <w:rsid w:val="00325207"/>
    <w:rsid w:val="0032783A"/>
    <w:rsid w:val="00327B98"/>
    <w:rsid w:val="00353052"/>
    <w:rsid w:val="0035403A"/>
    <w:rsid w:val="0036394B"/>
    <w:rsid w:val="00365677"/>
    <w:rsid w:val="00366DB6"/>
    <w:rsid w:val="003709B5"/>
    <w:rsid w:val="003759C2"/>
    <w:rsid w:val="00377027"/>
    <w:rsid w:val="0038492A"/>
    <w:rsid w:val="00397365"/>
    <w:rsid w:val="003A2950"/>
    <w:rsid w:val="003A31F6"/>
    <w:rsid w:val="003C09CF"/>
    <w:rsid w:val="003C3447"/>
    <w:rsid w:val="003C3F2E"/>
    <w:rsid w:val="003C49AB"/>
    <w:rsid w:val="003D076C"/>
    <w:rsid w:val="003D24BB"/>
    <w:rsid w:val="003E1127"/>
    <w:rsid w:val="003E2E51"/>
    <w:rsid w:val="003E78B5"/>
    <w:rsid w:val="003E7A62"/>
    <w:rsid w:val="003F10C8"/>
    <w:rsid w:val="003F68C5"/>
    <w:rsid w:val="003F7E67"/>
    <w:rsid w:val="004012F8"/>
    <w:rsid w:val="00415BAB"/>
    <w:rsid w:val="00415ED2"/>
    <w:rsid w:val="0042068C"/>
    <w:rsid w:val="004251F5"/>
    <w:rsid w:val="0043534B"/>
    <w:rsid w:val="00435AC4"/>
    <w:rsid w:val="0044318E"/>
    <w:rsid w:val="00443B35"/>
    <w:rsid w:val="0045488D"/>
    <w:rsid w:val="00463AFF"/>
    <w:rsid w:val="00466B0E"/>
    <w:rsid w:val="00470B79"/>
    <w:rsid w:val="0047122B"/>
    <w:rsid w:val="00473B7A"/>
    <w:rsid w:val="0048160F"/>
    <w:rsid w:val="00491C66"/>
    <w:rsid w:val="004960E9"/>
    <w:rsid w:val="004A204E"/>
    <w:rsid w:val="004A2E88"/>
    <w:rsid w:val="004A3FB1"/>
    <w:rsid w:val="004A5305"/>
    <w:rsid w:val="004B2AD6"/>
    <w:rsid w:val="004B379C"/>
    <w:rsid w:val="004B3BD9"/>
    <w:rsid w:val="004C3AD5"/>
    <w:rsid w:val="004D05F2"/>
    <w:rsid w:val="004D2A71"/>
    <w:rsid w:val="004D7634"/>
    <w:rsid w:val="004E2D90"/>
    <w:rsid w:val="004E611A"/>
    <w:rsid w:val="004E6813"/>
    <w:rsid w:val="004E7ABF"/>
    <w:rsid w:val="004F6460"/>
    <w:rsid w:val="00501745"/>
    <w:rsid w:val="00520E9E"/>
    <w:rsid w:val="00520F90"/>
    <w:rsid w:val="005300D3"/>
    <w:rsid w:val="0053070F"/>
    <w:rsid w:val="00542A10"/>
    <w:rsid w:val="00544F82"/>
    <w:rsid w:val="005509D2"/>
    <w:rsid w:val="005528F2"/>
    <w:rsid w:val="005542A1"/>
    <w:rsid w:val="00566067"/>
    <w:rsid w:val="0057193C"/>
    <w:rsid w:val="00572199"/>
    <w:rsid w:val="00585667"/>
    <w:rsid w:val="005875E5"/>
    <w:rsid w:val="00593C4F"/>
    <w:rsid w:val="005946A8"/>
    <w:rsid w:val="005A3E06"/>
    <w:rsid w:val="005A4407"/>
    <w:rsid w:val="005A59EF"/>
    <w:rsid w:val="005A713E"/>
    <w:rsid w:val="005B1C7E"/>
    <w:rsid w:val="005C2253"/>
    <w:rsid w:val="005C6976"/>
    <w:rsid w:val="005C7677"/>
    <w:rsid w:val="005D2A3C"/>
    <w:rsid w:val="005D7880"/>
    <w:rsid w:val="005F6F41"/>
    <w:rsid w:val="0060147E"/>
    <w:rsid w:val="0062354F"/>
    <w:rsid w:val="00625DC6"/>
    <w:rsid w:val="0063560D"/>
    <w:rsid w:val="00642D8F"/>
    <w:rsid w:val="0064391D"/>
    <w:rsid w:val="006505EA"/>
    <w:rsid w:val="00651821"/>
    <w:rsid w:val="00654384"/>
    <w:rsid w:val="006640DA"/>
    <w:rsid w:val="006675CD"/>
    <w:rsid w:val="00672A9A"/>
    <w:rsid w:val="006814C3"/>
    <w:rsid w:val="00682B24"/>
    <w:rsid w:val="00684D9B"/>
    <w:rsid w:val="0068510A"/>
    <w:rsid w:val="0069292C"/>
    <w:rsid w:val="00697556"/>
    <w:rsid w:val="006A33C7"/>
    <w:rsid w:val="006B4647"/>
    <w:rsid w:val="006B4C2B"/>
    <w:rsid w:val="006B6194"/>
    <w:rsid w:val="006B6D47"/>
    <w:rsid w:val="006C5AFE"/>
    <w:rsid w:val="006E0CBA"/>
    <w:rsid w:val="006E29D8"/>
    <w:rsid w:val="006E371F"/>
    <w:rsid w:val="006F2EC8"/>
    <w:rsid w:val="006F6D95"/>
    <w:rsid w:val="00706F13"/>
    <w:rsid w:val="007072E8"/>
    <w:rsid w:val="0071618D"/>
    <w:rsid w:val="0072201F"/>
    <w:rsid w:val="00725FA4"/>
    <w:rsid w:val="00740446"/>
    <w:rsid w:val="007438A9"/>
    <w:rsid w:val="0074491E"/>
    <w:rsid w:val="007519FF"/>
    <w:rsid w:val="0076247A"/>
    <w:rsid w:val="00765BBB"/>
    <w:rsid w:val="00766ABB"/>
    <w:rsid w:val="007711CD"/>
    <w:rsid w:val="007742B6"/>
    <w:rsid w:val="00775964"/>
    <w:rsid w:val="007765FE"/>
    <w:rsid w:val="00777992"/>
    <w:rsid w:val="00783054"/>
    <w:rsid w:val="00783AAA"/>
    <w:rsid w:val="00794369"/>
    <w:rsid w:val="00794E2E"/>
    <w:rsid w:val="00795BFB"/>
    <w:rsid w:val="007961FF"/>
    <w:rsid w:val="007A0E79"/>
    <w:rsid w:val="007A3104"/>
    <w:rsid w:val="007A3ACA"/>
    <w:rsid w:val="007A6181"/>
    <w:rsid w:val="007B0C3E"/>
    <w:rsid w:val="007B2760"/>
    <w:rsid w:val="007B4B88"/>
    <w:rsid w:val="007B5A60"/>
    <w:rsid w:val="007D55B3"/>
    <w:rsid w:val="007D67C8"/>
    <w:rsid w:val="007D7E8D"/>
    <w:rsid w:val="007E449B"/>
    <w:rsid w:val="007E7C60"/>
    <w:rsid w:val="007F273B"/>
    <w:rsid w:val="00806C01"/>
    <w:rsid w:val="00807B6F"/>
    <w:rsid w:val="00812C6B"/>
    <w:rsid w:val="008148CC"/>
    <w:rsid w:val="008211A4"/>
    <w:rsid w:val="00825E8E"/>
    <w:rsid w:val="0082669A"/>
    <w:rsid w:val="0083551B"/>
    <w:rsid w:val="008452E9"/>
    <w:rsid w:val="00845301"/>
    <w:rsid w:val="0084693A"/>
    <w:rsid w:val="00847B2E"/>
    <w:rsid w:val="00862AFD"/>
    <w:rsid w:val="00862FD4"/>
    <w:rsid w:val="00866AA3"/>
    <w:rsid w:val="00873150"/>
    <w:rsid w:val="0087657D"/>
    <w:rsid w:val="008807D5"/>
    <w:rsid w:val="00880832"/>
    <w:rsid w:val="0088495B"/>
    <w:rsid w:val="00886EE1"/>
    <w:rsid w:val="0088727D"/>
    <w:rsid w:val="00891C04"/>
    <w:rsid w:val="008969EE"/>
    <w:rsid w:val="00897C75"/>
    <w:rsid w:val="008A1230"/>
    <w:rsid w:val="008A18C2"/>
    <w:rsid w:val="008A3DEA"/>
    <w:rsid w:val="008A4D85"/>
    <w:rsid w:val="008A516D"/>
    <w:rsid w:val="008B1548"/>
    <w:rsid w:val="008C0CB6"/>
    <w:rsid w:val="008C1130"/>
    <w:rsid w:val="008C11E4"/>
    <w:rsid w:val="008C1AF6"/>
    <w:rsid w:val="008D18E6"/>
    <w:rsid w:val="008D7A9B"/>
    <w:rsid w:val="008E0060"/>
    <w:rsid w:val="008E2AD1"/>
    <w:rsid w:val="008E4CD7"/>
    <w:rsid w:val="008E7091"/>
    <w:rsid w:val="008E76AC"/>
    <w:rsid w:val="008F21F6"/>
    <w:rsid w:val="00911963"/>
    <w:rsid w:val="00913A85"/>
    <w:rsid w:val="009161E6"/>
    <w:rsid w:val="00926697"/>
    <w:rsid w:val="00931629"/>
    <w:rsid w:val="00951F79"/>
    <w:rsid w:val="00954E2C"/>
    <w:rsid w:val="0095561E"/>
    <w:rsid w:val="00957F7F"/>
    <w:rsid w:val="00962D1F"/>
    <w:rsid w:val="00974AB5"/>
    <w:rsid w:val="00974C99"/>
    <w:rsid w:val="00975031"/>
    <w:rsid w:val="0098706D"/>
    <w:rsid w:val="009916B6"/>
    <w:rsid w:val="009935FB"/>
    <w:rsid w:val="009A216F"/>
    <w:rsid w:val="009A322A"/>
    <w:rsid w:val="009A5802"/>
    <w:rsid w:val="009A7961"/>
    <w:rsid w:val="009B3CAC"/>
    <w:rsid w:val="009C2300"/>
    <w:rsid w:val="009F2DC4"/>
    <w:rsid w:val="009F4A54"/>
    <w:rsid w:val="009F4BEC"/>
    <w:rsid w:val="009F5874"/>
    <w:rsid w:val="009F6E2D"/>
    <w:rsid w:val="00A06511"/>
    <w:rsid w:val="00A066A4"/>
    <w:rsid w:val="00A15BA9"/>
    <w:rsid w:val="00A21E62"/>
    <w:rsid w:val="00A21F93"/>
    <w:rsid w:val="00A25A42"/>
    <w:rsid w:val="00A25FD7"/>
    <w:rsid w:val="00A27AF5"/>
    <w:rsid w:val="00A336FF"/>
    <w:rsid w:val="00A3640B"/>
    <w:rsid w:val="00A43AFF"/>
    <w:rsid w:val="00A50DBA"/>
    <w:rsid w:val="00A546B8"/>
    <w:rsid w:val="00A56002"/>
    <w:rsid w:val="00A7793A"/>
    <w:rsid w:val="00A77A9B"/>
    <w:rsid w:val="00A81126"/>
    <w:rsid w:val="00A87C23"/>
    <w:rsid w:val="00A91DD0"/>
    <w:rsid w:val="00AA4CC7"/>
    <w:rsid w:val="00AA5E8E"/>
    <w:rsid w:val="00AB13D0"/>
    <w:rsid w:val="00AB1E47"/>
    <w:rsid w:val="00AB2445"/>
    <w:rsid w:val="00AB2A7E"/>
    <w:rsid w:val="00AB2BAD"/>
    <w:rsid w:val="00AB611B"/>
    <w:rsid w:val="00AB6CA7"/>
    <w:rsid w:val="00AC45E4"/>
    <w:rsid w:val="00AD01E4"/>
    <w:rsid w:val="00AD0858"/>
    <w:rsid w:val="00AD67FE"/>
    <w:rsid w:val="00AE02E3"/>
    <w:rsid w:val="00AE69D2"/>
    <w:rsid w:val="00AE7340"/>
    <w:rsid w:val="00AF1BBD"/>
    <w:rsid w:val="00B02D02"/>
    <w:rsid w:val="00B06053"/>
    <w:rsid w:val="00B10207"/>
    <w:rsid w:val="00B118D4"/>
    <w:rsid w:val="00B141E7"/>
    <w:rsid w:val="00B203EB"/>
    <w:rsid w:val="00B21A2C"/>
    <w:rsid w:val="00B24419"/>
    <w:rsid w:val="00B32B26"/>
    <w:rsid w:val="00B351B4"/>
    <w:rsid w:val="00B3597F"/>
    <w:rsid w:val="00B428EB"/>
    <w:rsid w:val="00B468D6"/>
    <w:rsid w:val="00B46BCA"/>
    <w:rsid w:val="00B478AA"/>
    <w:rsid w:val="00B47A28"/>
    <w:rsid w:val="00B6290F"/>
    <w:rsid w:val="00B72CCE"/>
    <w:rsid w:val="00B80E3E"/>
    <w:rsid w:val="00B87806"/>
    <w:rsid w:val="00B87EC9"/>
    <w:rsid w:val="00B90F40"/>
    <w:rsid w:val="00B95011"/>
    <w:rsid w:val="00BB0B04"/>
    <w:rsid w:val="00BB1FBB"/>
    <w:rsid w:val="00BB32C9"/>
    <w:rsid w:val="00BB53B8"/>
    <w:rsid w:val="00BC38FD"/>
    <w:rsid w:val="00BC3FFE"/>
    <w:rsid w:val="00BE2813"/>
    <w:rsid w:val="00BE34C8"/>
    <w:rsid w:val="00BE39AF"/>
    <w:rsid w:val="00BE50FC"/>
    <w:rsid w:val="00BF4259"/>
    <w:rsid w:val="00BF4519"/>
    <w:rsid w:val="00BF62CB"/>
    <w:rsid w:val="00C034CB"/>
    <w:rsid w:val="00C051A8"/>
    <w:rsid w:val="00C054BC"/>
    <w:rsid w:val="00C17897"/>
    <w:rsid w:val="00C20504"/>
    <w:rsid w:val="00C365AE"/>
    <w:rsid w:val="00C40931"/>
    <w:rsid w:val="00C409D5"/>
    <w:rsid w:val="00C435C3"/>
    <w:rsid w:val="00C44E5F"/>
    <w:rsid w:val="00C4514B"/>
    <w:rsid w:val="00C511E7"/>
    <w:rsid w:val="00C51B7C"/>
    <w:rsid w:val="00C53C08"/>
    <w:rsid w:val="00C60048"/>
    <w:rsid w:val="00C60C8E"/>
    <w:rsid w:val="00C622F4"/>
    <w:rsid w:val="00C6234B"/>
    <w:rsid w:val="00C63380"/>
    <w:rsid w:val="00C63EAE"/>
    <w:rsid w:val="00C73260"/>
    <w:rsid w:val="00C7629F"/>
    <w:rsid w:val="00C826BE"/>
    <w:rsid w:val="00C8661B"/>
    <w:rsid w:val="00C878FC"/>
    <w:rsid w:val="00CA03C8"/>
    <w:rsid w:val="00CA139A"/>
    <w:rsid w:val="00CA2899"/>
    <w:rsid w:val="00CA3A3D"/>
    <w:rsid w:val="00CA3AA6"/>
    <w:rsid w:val="00CA77FB"/>
    <w:rsid w:val="00CB379B"/>
    <w:rsid w:val="00CB5327"/>
    <w:rsid w:val="00CB5DD0"/>
    <w:rsid w:val="00CB63AF"/>
    <w:rsid w:val="00CC351F"/>
    <w:rsid w:val="00CC51D4"/>
    <w:rsid w:val="00CC65DA"/>
    <w:rsid w:val="00CE19BA"/>
    <w:rsid w:val="00CF21B9"/>
    <w:rsid w:val="00CF4DF5"/>
    <w:rsid w:val="00CF6A20"/>
    <w:rsid w:val="00CF6BF9"/>
    <w:rsid w:val="00D0048D"/>
    <w:rsid w:val="00D03800"/>
    <w:rsid w:val="00D065D3"/>
    <w:rsid w:val="00D14C94"/>
    <w:rsid w:val="00D32124"/>
    <w:rsid w:val="00D336C4"/>
    <w:rsid w:val="00D342A6"/>
    <w:rsid w:val="00D37FDD"/>
    <w:rsid w:val="00D438EF"/>
    <w:rsid w:val="00D45A1E"/>
    <w:rsid w:val="00D45CA6"/>
    <w:rsid w:val="00D464BF"/>
    <w:rsid w:val="00D514AC"/>
    <w:rsid w:val="00D53E26"/>
    <w:rsid w:val="00D57129"/>
    <w:rsid w:val="00D57ECD"/>
    <w:rsid w:val="00D60DC2"/>
    <w:rsid w:val="00D720F8"/>
    <w:rsid w:val="00D802E9"/>
    <w:rsid w:val="00D83F43"/>
    <w:rsid w:val="00D8518F"/>
    <w:rsid w:val="00D86C12"/>
    <w:rsid w:val="00D91C12"/>
    <w:rsid w:val="00DA2154"/>
    <w:rsid w:val="00DB182C"/>
    <w:rsid w:val="00DB5661"/>
    <w:rsid w:val="00DC496A"/>
    <w:rsid w:val="00DD0633"/>
    <w:rsid w:val="00DD4F0E"/>
    <w:rsid w:val="00DE2BDA"/>
    <w:rsid w:val="00DF091A"/>
    <w:rsid w:val="00DF0BF0"/>
    <w:rsid w:val="00DF16F5"/>
    <w:rsid w:val="00DF3CA2"/>
    <w:rsid w:val="00DF575E"/>
    <w:rsid w:val="00DF5E52"/>
    <w:rsid w:val="00DF753F"/>
    <w:rsid w:val="00E01463"/>
    <w:rsid w:val="00E05E0A"/>
    <w:rsid w:val="00E060BE"/>
    <w:rsid w:val="00E062EE"/>
    <w:rsid w:val="00E24075"/>
    <w:rsid w:val="00E27498"/>
    <w:rsid w:val="00E36A40"/>
    <w:rsid w:val="00E43E25"/>
    <w:rsid w:val="00E4563F"/>
    <w:rsid w:val="00E45DDE"/>
    <w:rsid w:val="00E523E5"/>
    <w:rsid w:val="00E52607"/>
    <w:rsid w:val="00E534CF"/>
    <w:rsid w:val="00E603A8"/>
    <w:rsid w:val="00E63920"/>
    <w:rsid w:val="00E7008C"/>
    <w:rsid w:val="00E81CB4"/>
    <w:rsid w:val="00E81E1C"/>
    <w:rsid w:val="00E8571C"/>
    <w:rsid w:val="00E8585B"/>
    <w:rsid w:val="00E87F41"/>
    <w:rsid w:val="00E9533B"/>
    <w:rsid w:val="00EA3F15"/>
    <w:rsid w:val="00EA5490"/>
    <w:rsid w:val="00EA54C2"/>
    <w:rsid w:val="00EA7847"/>
    <w:rsid w:val="00EB4C2F"/>
    <w:rsid w:val="00EB59EB"/>
    <w:rsid w:val="00EB68B5"/>
    <w:rsid w:val="00ED04AF"/>
    <w:rsid w:val="00EE2E6E"/>
    <w:rsid w:val="00EF033D"/>
    <w:rsid w:val="00EF3F0E"/>
    <w:rsid w:val="00F04541"/>
    <w:rsid w:val="00F0759E"/>
    <w:rsid w:val="00F1229C"/>
    <w:rsid w:val="00F16A43"/>
    <w:rsid w:val="00F21110"/>
    <w:rsid w:val="00F22294"/>
    <w:rsid w:val="00F278EF"/>
    <w:rsid w:val="00F364B5"/>
    <w:rsid w:val="00F46780"/>
    <w:rsid w:val="00F53315"/>
    <w:rsid w:val="00F55DB1"/>
    <w:rsid w:val="00F61E24"/>
    <w:rsid w:val="00F77D2D"/>
    <w:rsid w:val="00F81606"/>
    <w:rsid w:val="00F821A3"/>
    <w:rsid w:val="00F9314A"/>
    <w:rsid w:val="00F93382"/>
    <w:rsid w:val="00F940B2"/>
    <w:rsid w:val="00FA0C70"/>
    <w:rsid w:val="00FA304E"/>
    <w:rsid w:val="00FA62AB"/>
    <w:rsid w:val="00FB1C7C"/>
    <w:rsid w:val="00FB2FD9"/>
    <w:rsid w:val="00FC58EF"/>
    <w:rsid w:val="00FD33DF"/>
    <w:rsid w:val="00FD5458"/>
    <w:rsid w:val="00FE39D7"/>
    <w:rsid w:val="00FE5F8B"/>
    <w:rsid w:val="00FF0B59"/>
    <w:rsid w:val="01BF87D4"/>
    <w:rsid w:val="026A5530"/>
    <w:rsid w:val="03994440"/>
    <w:rsid w:val="042F4DE7"/>
    <w:rsid w:val="068A837A"/>
    <w:rsid w:val="06DFEBF2"/>
    <w:rsid w:val="07F7816B"/>
    <w:rsid w:val="0AF32369"/>
    <w:rsid w:val="0B725BE4"/>
    <w:rsid w:val="0D2B54EE"/>
    <w:rsid w:val="0E149126"/>
    <w:rsid w:val="0F273DF2"/>
    <w:rsid w:val="112D9E30"/>
    <w:rsid w:val="13DBC57F"/>
    <w:rsid w:val="168E160E"/>
    <w:rsid w:val="172D2A45"/>
    <w:rsid w:val="17E89F9B"/>
    <w:rsid w:val="1B7C1075"/>
    <w:rsid w:val="1C49B3E7"/>
    <w:rsid w:val="1F157D56"/>
    <w:rsid w:val="1F4FED64"/>
    <w:rsid w:val="1F5B6F43"/>
    <w:rsid w:val="21ABAD57"/>
    <w:rsid w:val="21D9E3E0"/>
    <w:rsid w:val="228F2211"/>
    <w:rsid w:val="230D68AC"/>
    <w:rsid w:val="259C7825"/>
    <w:rsid w:val="26C7D951"/>
    <w:rsid w:val="26E396BA"/>
    <w:rsid w:val="27311571"/>
    <w:rsid w:val="27D3F736"/>
    <w:rsid w:val="28CCE20D"/>
    <w:rsid w:val="2982D14E"/>
    <w:rsid w:val="2D60F78A"/>
    <w:rsid w:val="2DA57E2F"/>
    <w:rsid w:val="2E8BFB0E"/>
    <w:rsid w:val="30BB9ECA"/>
    <w:rsid w:val="31C807DD"/>
    <w:rsid w:val="33A98920"/>
    <w:rsid w:val="33D9521A"/>
    <w:rsid w:val="360E692D"/>
    <w:rsid w:val="36DFBF72"/>
    <w:rsid w:val="3B493216"/>
    <w:rsid w:val="3CA59033"/>
    <w:rsid w:val="3E9C5CD6"/>
    <w:rsid w:val="3F728E0C"/>
    <w:rsid w:val="3F8F57A2"/>
    <w:rsid w:val="42239AEF"/>
    <w:rsid w:val="43A18D17"/>
    <w:rsid w:val="446A9424"/>
    <w:rsid w:val="45930C2C"/>
    <w:rsid w:val="470164E3"/>
    <w:rsid w:val="4714D67C"/>
    <w:rsid w:val="4985A735"/>
    <w:rsid w:val="49AC238A"/>
    <w:rsid w:val="4A448A26"/>
    <w:rsid w:val="4AAFF7A6"/>
    <w:rsid w:val="4C261A68"/>
    <w:rsid w:val="4E53F8EC"/>
    <w:rsid w:val="51F2AC3C"/>
    <w:rsid w:val="528486A5"/>
    <w:rsid w:val="52C63BF2"/>
    <w:rsid w:val="53EBFF51"/>
    <w:rsid w:val="53F3EA63"/>
    <w:rsid w:val="55508DCF"/>
    <w:rsid w:val="55D94AD8"/>
    <w:rsid w:val="563340D4"/>
    <w:rsid w:val="5664C40D"/>
    <w:rsid w:val="5780232C"/>
    <w:rsid w:val="57DEEAF8"/>
    <w:rsid w:val="5B5CEE07"/>
    <w:rsid w:val="5BA2DCCE"/>
    <w:rsid w:val="5C509D32"/>
    <w:rsid w:val="5CC7BB1A"/>
    <w:rsid w:val="5DDCE5CC"/>
    <w:rsid w:val="5DF1CA68"/>
    <w:rsid w:val="5F7F0024"/>
    <w:rsid w:val="5FC25F84"/>
    <w:rsid w:val="60FB94AD"/>
    <w:rsid w:val="617A86B4"/>
    <w:rsid w:val="61AC127B"/>
    <w:rsid w:val="6353716A"/>
    <w:rsid w:val="638DD5EA"/>
    <w:rsid w:val="641F5512"/>
    <w:rsid w:val="64AF927E"/>
    <w:rsid w:val="65D96E6E"/>
    <w:rsid w:val="67A10D61"/>
    <w:rsid w:val="69289605"/>
    <w:rsid w:val="6AB32D02"/>
    <w:rsid w:val="6B1EFC2F"/>
    <w:rsid w:val="6CFE3991"/>
    <w:rsid w:val="6CFF26ED"/>
    <w:rsid w:val="6D86C6A9"/>
    <w:rsid w:val="6E3A7CC9"/>
    <w:rsid w:val="6F825453"/>
    <w:rsid w:val="6FE0A4AC"/>
    <w:rsid w:val="764A5785"/>
    <w:rsid w:val="77F37146"/>
    <w:rsid w:val="781DC391"/>
    <w:rsid w:val="785E754B"/>
    <w:rsid w:val="78B4ADBD"/>
    <w:rsid w:val="7BCF305C"/>
    <w:rsid w:val="7C0ACD05"/>
    <w:rsid w:val="7EFB4B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styleId="Hipervnculo">
    <w:name w:val="Hyperlink"/>
    <w:basedOn w:val="Fuentedeprrafopredeter"/>
    <w:uiPriority w:val="99"/>
    <w:semiHidden/>
    <w:unhideWhenUsed/>
    <w:rsid w:val="00911963"/>
    <w:rPr>
      <w:color w:val="0563C1" w:themeColor="hyperlink"/>
      <w:u w:val="single"/>
    </w:rPr>
  </w:style>
  <w:style w:type="paragraph" w:styleId="Revisin">
    <w:name w:val="Revision"/>
    <w:hidden/>
    <w:uiPriority w:val="99"/>
    <w:semiHidden/>
    <w:rsid w:val="007B4B88"/>
    <w:rPr>
      <w:sz w:val="24"/>
      <w:szCs w:val="24"/>
      <w:lang w:val="es-ES" w:eastAsia="es-ES"/>
    </w:rPr>
  </w:style>
  <w:style w:type="paragraph" w:styleId="NormalWeb">
    <w:name w:val="Normal (Web)"/>
    <w:basedOn w:val="Normal"/>
    <w:uiPriority w:val="99"/>
    <w:semiHidden/>
    <w:unhideWhenUsed/>
    <w:rsid w:val="00353052"/>
    <w:pPr>
      <w:spacing w:before="100" w:beforeAutospacing="1" w:after="100" w:afterAutospacing="1"/>
      <w:ind w:left="0"/>
    </w:pPr>
    <w:rPr>
      <w:lang w:val="es-CO" w:eastAsia="es-CO"/>
    </w:rPr>
  </w:style>
  <w:style w:type="character" w:styleId="Refdecomentario">
    <w:name w:val="annotation reference"/>
    <w:basedOn w:val="Fuentedeprrafopredeter"/>
    <w:uiPriority w:val="99"/>
    <w:semiHidden/>
    <w:unhideWhenUsed/>
    <w:rsid w:val="004E2D90"/>
    <w:rPr>
      <w:sz w:val="16"/>
      <w:szCs w:val="16"/>
    </w:rPr>
  </w:style>
  <w:style w:type="paragraph" w:styleId="Textocomentario">
    <w:name w:val="annotation text"/>
    <w:basedOn w:val="Normal"/>
    <w:link w:val="TextocomentarioCar"/>
    <w:uiPriority w:val="99"/>
    <w:unhideWhenUsed/>
    <w:rsid w:val="004E2D90"/>
    <w:rPr>
      <w:sz w:val="20"/>
      <w:szCs w:val="20"/>
    </w:rPr>
  </w:style>
  <w:style w:type="character" w:customStyle="1" w:styleId="TextocomentarioCar">
    <w:name w:val="Texto comentario Car"/>
    <w:basedOn w:val="Fuentedeprrafopredeter"/>
    <w:link w:val="Textocomentario"/>
    <w:uiPriority w:val="99"/>
    <w:rsid w:val="004E2D90"/>
    <w:rPr>
      <w:lang w:val="es-ES" w:eastAsia="es-ES"/>
    </w:rPr>
  </w:style>
  <w:style w:type="paragraph" w:styleId="Asuntodelcomentario">
    <w:name w:val="annotation subject"/>
    <w:basedOn w:val="Textocomentario"/>
    <w:next w:val="Textocomentario"/>
    <w:link w:val="AsuntodelcomentarioCar"/>
    <w:uiPriority w:val="99"/>
    <w:semiHidden/>
    <w:unhideWhenUsed/>
    <w:rsid w:val="004E2D90"/>
    <w:rPr>
      <w:b/>
      <w:bCs/>
    </w:rPr>
  </w:style>
  <w:style w:type="character" w:customStyle="1" w:styleId="AsuntodelcomentarioCar">
    <w:name w:val="Asunto del comentario Car"/>
    <w:basedOn w:val="TextocomentarioCar"/>
    <w:link w:val="Asuntodelcomentario"/>
    <w:uiPriority w:val="99"/>
    <w:semiHidden/>
    <w:rsid w:val="004E2D9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980">
      <w:bodyDiv w:val="1"/>
      <w:marLeft w:val="0"/>
      <w:marRight w:val="0"/>
      <w:marTop w:val="0"/>
      <w:marBottom w:val="0"/>
      <w:divBdr>
        <w:top w:val="none" w:sz="0" w:space="0" w:color="auto"/>
        <w:left w:val="none" w:sz="0" w:space="0" w:color="auto"/>
        <w:bottom w:val="none" w:sz="0" w:space="0" w:color="auto"/>
        <w:right w:val="none" w:sz="0" w:space="0" w:color="auto"/>
      </w:divBdr>
    </w:div>
    <w:div w:id="135266761">
      <w:bodyDiv w:val="1"/>
      <w:marLeft w:val="0"/>
      <w:marRight w:val="0"/>
      <w:marTop w:val="0"/>
      <w:marBottom w:val="0"/>
      <w:divBdr>
        <w:top w:val="none" w:sz="0" w:space="0" w:color="auto"/>
        <w:left w:val="none" w:sz="0" w:space="0" w:color="auto"/>
        <w:bottom w:val="none" w:sz="0" w:space="0" w:color="auto"/>
        <w:right w:val="none" w:sz="0" w:space="0" w:color="auto"/>
      </w:divBdr>
    </w:div>
    <w:div w:id="824471946">
      <w:bodyDiv w:val="1"/>
      <w:marLeft w:val="0"/>
      <w:marRight w:val="0"/>
      <w:marTop w:val="0"/>
      <w:marBottom w:val="0"/>
      <w:divBdr>
        <w:top w:val="none" w:sz="0" w:space="0" w:color="auto"/>
        <w:left w:val="none" w:sz="0" w:space="0" w:color="auto"/>
        <w:bottom w:val="none" w:sz="0" w:space="0" w:color="auto"/>
        <w:right w:val="none" w:sz="0" w:space="0" w:color="auto"/>
      </w:divBdr>
    </w:div>
    <w:div w:id="1267424148">
      <w:bodyDiv w:val="1"/>
      <w:marLeft w:val="0"/>
      <w:marRight w:val="0"/>
      <w:marTop w:val="0"/>
      <w:marBottom w:val="0"/>
      <w:divBdr>
        <w:top w:val="none" w:sz="0" w:space="0" w:color="auto"/>
        <w:left w:val="none" w:sz="0" w:space="0" w:color="auto"/>
        <w:bottom w:val="none" w:sz="0" w:space="0" w:color="auto"/>
        <w:right w:val="none" w:sz="0" w:space="0" w:color="auto"/>
      </w:divBdr>
    </w:div>
    <w:div w:id="1356268308">
      <w:bodyDiv w:val="1"/>
      <w:marLeft w:val="0"/>
      <w:marRight w:val="0"/>
      <w:marTop w:val="0"/>
      <w:marBottom w:val="0"/>
      <w:divBdr>
        <w:top w:val="none" w:sz="0" w:space="0" w:color="auto"/>
        <w:left w:val="none" w:sz="0" w:space="0" w:color="auto"/>
        <w:bottom w:val="none" w:sz="0" w:space="0" w:color="auto"/>
        <w:right w:val="none" w:sz="0" w:space="0" w:color="auto"/>
      </w:divBdr>
    </w:div>
    <w:div w:id="1447852568">
      <w:bodyDiv w:val="1"/>
      <w:marLeft w:val="0"/>
      <w:marRight w:val="0"/>
      <w:marTop w:val="0"/>
      <w:marBottom w:val="0"/>
      <w:divBdr>
        <w:top w:val="none" w:sz="0" w:space="0" w:color="auto"/>
        <w:left w:val="none" w:sz="0" w:space="0" w:color="auto"/>
        <w:bottom w:val="none" w:sz="0" w:space="0" w:color="auto"/>
        <w:right w:val="none" w:sz="0" w:space="0" w:color="auto"/>
      </w:divBdr>
      <w:divsChild>
        <w:div w:id="1779451197">
          <w:marLeft w:val="446"/>
          <w:marRight w:val="0"/>
          <w:marTop w:val="0"/>
          <w:marBottom w:val="0"/>
          <w:divBdr>
            <w:top w:val="none" w:sz="0" w:space="0" w:color="auto"/>
            <w:left w:val="none" w:sz="0" w:space="0" w:color="auto"/>
            <w:bottom w:val="none" w:sz="0" w:space="0" w:color="auto"/>
            <w:right w:val="none" w:sz="0" w:space="0" w:color="auto"/>
          </w:divBdr>
        </w:div>
      </w:divsChild>
    </w:div>
    <w:div w:id="1978686540">
      <w:bodyDiv w:val="1"/>
      <w:marLeft w:val="0"/>
      <w:marRight w:val="0"/>
      <w:marTop w:val="0"/>
      <w:marBottom w:val="0"/>
      <w:divBdr>
        <w:top w:val="none" w:sz="0" w:space="0" w:color="auto"/>
        <w:left w:val="none" w:sz="0" w:space="0" w:color="auto"/>
        <w:bottom w:val="none" w:sz="0" w:space="0" w:color="auto"/>
        <w:right w:val="none" w:sz="0" w:space="0" w:color="auto"/>
      </w:divBdr>
    </w:div>
    <w:div w:id="2036155042">
      <w:bodyDiv w:val="1"/>
      <w:marLeft w:val="0"/>
      <w:marRight w:val="0"/>
      <w:marTop w:val="0"/>
      <w:marBottom w:val="0"/>
      <w:divBdr>
        <w:top w:val="none" w:sz="0" w:space="0" w:color="auto"/>
        <w:left w:val="none" w:sz="0" w:space="0" w:color="auto"/>
        <w:bottom w:val="none" w:sz="0" w:space="0" w:color="auto"/>
        <w:right w:val="none" w:sz="0" w:space="0" w:color="auto"/>
      </w:divBdr>
      <w:divsChild>
        <w:div w:id="18078159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90cc45-9d06-4234-8034-eeec6c0c7cc1">
      <Terms xmlns="http://schemas.microsoft.com/office/infopath/2007/PartnerControls"/>
    </lcf76f155ced4ddcb4097134ff3c332f>
    <TaxCatchAll xmlns="309f6219-a73f-4366-a00d-6bacb1e9f8e0" xsi:nil="true"/>
    <SharedWithUsers xmlns="309f6219-a73f-4366-a00d-6bacb1e9f8e0">
      <UserInfo>
        <DisplayName>Juan Camilo Cely Castro</DisplayName>
        <AccountId>16</AccountId>
        <AccountType/>
      </UserInfo>
      <UserInfo>
        <DisplayName>Diego Ernesto Mariño Silva</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639E-A322-46F9-B9E0-34AA77C8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DC861-0F56-4C11-90F3-0B66818DD50B}">
  <ds:schemaRefs>
    <ds:schemaRef ds:uri="http://schemas.microsoft.com/office/2006/metadata/properties"/>
    <ds:schemaRef ds:uri="http://schemas.microsoft.com/office/infopath/2007/PartnerControls"/>
    <ds:schemaRef ds:uri="0f90cc45-9d06-4234-8034-eeec6c0c7cc1"/>
    <ds:schemaRef ds:uri="309f6219-a73f-4366-a00d-6bacb1e9f8e0"/>
  </ds:schemaRefs>
</ds:datastoreItem>
</file>

<file path=customXml/itemProps3.xml><?xml version="1.0" encoding="utf-8"?>
<ds:datastoreItem xmlns:ds="http://schemas.openxmlformats.org/officeDocument/2006/customXml" ds:itemID="{CAD88D91-2041-445E-985C-5E7240BA260E}">
  <ds:schemaRefs>
    <ds:schemaRef ds:uri="http://schemas.microsoft.com/sharepoint/v3/contenttype/forms"/>
  </ds:schemaRefs>
</ds:datastoreItem>
</file>

<file path=customXml/itemProps4.xml><?xml version="1.0" encoding="utf-8"?>
<ds:datastoreItem xmlns:ds="http://schemas.openxmlformats.org/officeDocument/2006/customXml" ds:itemID="{A8B270DB-E4AE-472E-8448-CFBCDA39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PLANTILLA1.dotx</Template>
  <TotalTime>5</TotalTime>
  <Pages>4</Pages>
  <Words>1490</Words>
  <Characters>8198</Characters>
  <Application>Microsoft Office Word</Application>
  <DocSecurity>0</DocSecurity>
  <Lines>68</Lines>
  <Paragraphs>19</Paragraphs>
  <ScaleCrop>false</ScaleCrop>
  <Company>CREG</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3</cp:revision>
  <cp:lastPrinted>2024-04-21T18:30:00Z</cp:lastPrinted>
  <dcterms:created xsi:type="dcterms:W3CDTF">2024-04-21T18:30:00Z</dcterms:created>
  <dcterms:modified xsi:type="dcterms:W3CDTF">2024-04-21T18:31:00Z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y fmtid="{D5CDD505-2E9C-101B-9397-08002B2CF9AE}" pid="3" name="MediaServiceImageTags">
    <vt:lpwstr/>
  </property>
</Properties>
</file>