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1A1BF" w14:textId="77777777" w:rsidR="00625DC6" w:rsidRPr="00E060BE" w:rsidRDefault="00000000" w:rsidP="0001225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02.4pt;margin-top:-53.35pt;width:52.5pt;height:48.75pt;z-index:251657728;mso-wrap-edited:f;mso-width-percent:0;mso-height-percent:0;mso-width-percent:0;mso-height-percent:0" fillcolor="#0c9">
            <v:imagedata r:id="rId7" o:title=""/>
          </v:shape>
          <o:OLEObject Type="Embed" ProgID="PBrush" ShapeID="_x0000_s2050" DrawAspect="Content" ObjectID="_1775212435" r:id="rId8"/>
        </w:object>
      </w:r>
    </w:p>
    <w:p w14:paraId="67770A74" w14:textId="77777777" w:rsidR="00625DC6" w:rsidRPr="00E060BE" w:rsidRDefault="00625DC6" w:rsidP="00012259">
      <w:pPr>
        <w:pStyle w:val="Encabezado"/>
        <w:tabs>
          <w:tab w:val="clear" w:pos="8504"/>
          <w:tab w:val="left" w:pos="0"/>
          <w:tab w:val="right" w:pos="9356"/>
        </w:tabs>
        <w:ind w:left="0"/>
        <w:jc w:val="both"/>
        <w:rPr>
          <w:rFonts w:ascii="Bookman Old Style" w:hAnsi="Bookman Old Style"/>
          <w:szCs w:val="24"/>
        </w:rPr>
      </w:pP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E060BE" w:rsidRDefault="00CA77FB" w:rsidP="00012259">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74971183" w14:textId="77777777" w:rsidR="00CA77FB" w:rsidRPr="00E060BE" w:rsidRDefault="00CA77FB" w:rsidP="00396F1C">
      <w:pPr>
        <w:pStyle w:val="Ttulo5"/>
        <w:tabs>
          <w:tab w:val="left" w:pos="0"/>
          <w:tab w:val="right" w:pos="9356"/>
        </w:tabs>
        <w:ind w:left="0"/>
        <w:jc w:val="left"/>
        <w:rPr>
          <w:rFonts w:ascii="Bookman Old Style" w:hAnsi="Bookman Old Style"/>
          <w:sz w:val="24"/>
          <w:szCs w:val="24"/>
        </w:rPr>
      </w:pPr>
    </w:p>
    <w:p w14:paraId="67AC44F2" w14:textId="1759E314" w:rsidR="00A06511" w:rsidRDefault="00A06511" w:rsidP="00A06511">
      <w:pPr>
        <w:pStyle w:val="Ttulo5"/>
        <w:tabs>
          <w:tab w:val="left" w:pos="0"/>
          <w:tab w:val="right" w:pos="9356"/>
        </w:tabs>
        <w:ind w:left="0"/>
        <w:rPr>
          <w:rFonts w:ascii="Bookman Old Style" w:hAnsi="Bookman Old Style"/>
          <w:szCs w:val="28"/>
        </w:rPr>
      </w:pPr>
      <w:r w:rsidRPr="00E060BE">
        <w:rPr>
          <w:rFonts w:ascii="Bookman Old Style" w:hAnsi="Bookman Old Style"/>
          <w:sz w:val="24"/>
          <w:szCs w:val="24"/>
        </w:rPr>
        <w:t xml:space="preserve">RESOLUCIÓN No. </w:t>
      </w:r>
      <w:r w:rsidR="00234064">
        <w:rPr>
          <w:rFonts w:ascii="Bookman Old Style" w:hAnsi="Bookman Old Style"/>
          <w:szCs w:val="28"/>
        </w:rPr>
        <w:t>1</w:t>
      </w:r>
      <w:r w:rsidR="00752248" w:rsidRPr="00752248">
        <w:rPr>
          <w:rFonts w:ascii="Bookman Old Style" w:hAnsi="Bookman Old Style"/>
          <w:szCs w:val="28"/>
        </w:rPr>
        <w:t>05 00</w:t>
      </w:r>
      <w:r w:rsidR="002D1960">
        <w:rPr>
          <w:rFonts w:ascii="Bookman Old Style" w:hAnsi="Bookman Old Style"/>
          <w:szCs w:val="28"/>
        </w:rPr>
        <w:t>8</w:t>
      </w:r>
      <w:r w:rsidR="00752248" w:rsidRPr="00752248">
        <w:rPr>
          <w:rFonts w:ascii="Bookman Old Style" w:hAnsi="Bookman Old Style"/>
          <w:szCs w:val="28"/>
        </w:rPr>
        <w:t xml:space="preserve"> DE 2024</w:t>
      </w:r>
    </w:p>
    <w:p w14:paraId="55C914CB" w14:textId="2478663B" w:rsidR="002D1960" w:rsidRPr="002D1960" w:rsidRDefault="002D1960" w:rsidP="002D1960">
      <w:pPr>
        <w:rPr>
          <w:lang w:val="es-ES_tradnl"/>
        </w:rPr>
      </w:pPr>
    </w:p>
    <w:p w14:paraId="0C7D114C" w14:textId="75B99D0C" w:rsidR="00CA77FB" w:rsidRPr="002D1960" w:rsidRDefault="002D1960" w:rsidP="00012259">
      <w:pPr>
        <w:tabs>
          <w:tab w:val="left" w:pos="0"/>
          <w:tab w:val="right" w:pos="9356"/>
        </w:tabs>
        <w:ind w:left="0"/>
        <w:jc w:val="center"/>
        <w:rPr>
          <w:rFonts w:ascii="Bookman Old Style" w:hAnsi="Bookman Old Style" w:cs="Arial"/>
          <w:b/>
          <w:snapToGrid w:val="0"/>
          <w:color w:val="000000"/>
          <w:spacing w:val="20"/>
          <w:lang w:val="es-ES_tradnl"/>
        </w:rPr>
      </w:pPr>
      <w:r w:rsidRPr="002D1960">
        <w:rPr>
          <w:rFonts w:ascii="Bookman Old Style" w:hAnsi="Bookman Old Style" w:cs="Arial"/>
          <w:b/>
          <w:snapToGrid w:val="0"/>
          <w:color w:val="000000"/>
          <w:spacing w:val="20"/>
          <w:lang w:val="es-ES_tradnl"/>
        </w:rPr>
        <w:t>(20 ABR. 202</w:t>
      </w:r>
      <w:r>
        <w:rPr>
          <w:rFonts w:ascii="Bookman Old Style" w:hAnsi="Bookman Old Style" w:cs="Arial"/>
          <w:b/>
          <w:snapToGrid w:val="0"/>
          <w:color w:val="000000"/>
          <w:spacing w:val="20"/>
          <w:lang w:val="es-ES_tradnl"/>
        </w:rPr>
        <w:t>4</w:t>
      </w:r>
      <w:r w:rsidRPr="002D1960">
        <w:rPr>
          <w:rFonts w:ascii="Bookman Old Style" w:hAnsi="Bookman Old Style" w:cs="Arial"/>
          <w:b/>
          <w:snapToGrid w:val="0"/>
          <w:color w:val="000000"/>
          <w:spacing w:val="20"/>
          <w:lang w:val="es-ES_tradnl"/>
        </w:rPr>
        <w:t>)</w:t>
      </w:r>
    </w:p>
    <w:p w14:paraId="7C79A9C9" w14:textId="77777777" w:rsidR="00FB13DA" w:rsidRDefault="00FB13DA" w:rsidP="00045D3D">
      <w:pPr>
        <w:ind w:left="0"/>
        <w:jc w:val="center"/>
        <w:rPr>
          <w:rFonts w:ascii="Bookman Old Style" w:hAnsi="Bookman Old Style"/>
          <w:b/>
          <w:bCs/>
        </w:rPr>
      </w:pPr>
    </w:p>
    <w:p w14:paraId="1CE94AC3" w14:textId="1AF5E095" w:rsidR="00FB13DA" w:rsidRDefault="00FB13DA" w:rsidP="00045D3D">
      <w:pPr>
        <w:ind w:left="0"/>
        <w:jc w:val="center"/>
        <w:rPr>
          <w:rFonts w:ascii="Bookman Old Style" w:hAnsi="Bookman Old Style"/>
          <w:b/>
          <w:bCs/>
        </w:rPr>
      </w:pPr>
      <w:r w:rsidRPr="00FB13DA">
        <w:rPr>
          <w:rFonts w:ascii="Bookman Old Style" w:hAnsi="Bookman Old Style"/>
        </w:rPr>
        <w:t>Por la cual se modifica el artículo 3 de la Resolución CREG 105 007 de 2024</w:t>
      </w:r>
      <w:r>
        <w:rPr>
          <w:rFonts w:ascii="Bookman Old Style" w:hAnsi="Bookman Old Style"/>
        </w:rPr>
        <w:t>.</w:t>
      </w:r>
    </w:p>
    <w:p w14:paraId="053FCB54" w14:textId="77777777" w:rsidR="00045D3D" w:rsidRPr="00C435C3" w:rsidRDefault="00045D3D" w:rsidP="00396F1C">
      <w:pPr>
        <w:ind w:left="0" w:right="51"/>
        <w:rPr>
          <w:rFonts w:ascii="Bookman Old Style" w:hAnsi="Bookman Old Style"/>
        </w:rPr>
      </w:pPr>
    </w:p>
    <w:p w14:paraId="7B67FAFA" w14:textId="77777777" w:rsidR="00045D3D" w:rsidRPr="00C435C3" w:rsidRDefault="00045D3D" w:rsidP="00045D3D">
      <w:pPr>
        <w:ind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2739C8D4" w14:textId="77777777" w:rsidR="00045D3D" w:rsidRPr="00C435C3" w:rsidRDefault="00045D3D" w:rsidP="00045D3D">
      <w:pPr>
        <w:ind w:left="0" w:right="51"/>
        <w:rPr>
          <w:rFonts w:ascii="Bookman Old Style" w:hAnsi="Bookman Old Style"/>
        </w:rPr>
      </w:pPr>
    </w:p>
    <w:p w14:paraId="416AEFF4" w14:textId="241CAFE9" w:rsidR="00045D3D" w:rsidRPr="00396F1C" w:rsidRDefault="00045D3D" w:rsidP="00396F1C">
      <w:pPr>
        <w:pStyle w:val="Textoindependiente3"/>
        <w:ind w:left="0"/>
        <w:rPr>
          <w:rFonts w:ascii="Bookman Old Style" w:hAnsi="Bookman Old Style"/>
          <w:b w:val="0"/>
        </w:rPr>
      </w:pPr>
      <w:r w:rsidRPr="00C435C3">
        <w:rPr>
          <w:rFonts w:ascii="Bookman Old Style" w:hAnsi="Bookman Old Style"/>
          <w:b w:val="0"/>
        </w:rPr>
        <w:t xml:space="preserve">En ejercicio de sus atribuciones constitucionales y legales, en especial las conferidas por las </w:t>
      </w:r>
      <w:r w:rsidR="002352B9">
        <w:rPr>
          <w:rFonts w:ascii="Bookman Old Style" w:hAnsi="Bookman Old Style"/>
          <w:b w:val="0"/>
        </w:rPr>
        <w:t>l</w:t>
      </w:r>
      <w:r w:rsidRPr="00C435C3">
        <w:rPr>
          <w:rFonts w:ascii="Bookman Old Style" w:hAnsi="Bookman Old Style"/>
          <w:b w:val="0"/>
        </w:rPr>
        <w:t xml:space="preserve">eyes 142 y 143 de 1994, y en desarrollo de los </w:t>
      </w:r>
      <w:r w:rsidR="002352B9">
        <w:rPr>
          <w:rFonts w:ascii="Bookman Old Style" w:hAnsi="Bookman Old Style"/>
          <w:b w:val="0"/>
        </w:rPr>
        <w:t>d</w:t>
      </w:r>
      <w:r w:rsidRPr="00C435C3">
        <w:rPr>
          <w:rFonts w:ascii="Bookman Old Style" w:hAnsi="Bookman Old Style"/>
          <w:b w:val="0"/>
        </w:rPr>
        <w:t>ecretos 1524 y 2253 de 1994.</w:t>
      </w:r>
    </w:p>
    <w:p w14:paraId="3E8440ED" w14:textId="77777777" w:rsidR="00045D3D" w:rsidRDefault="00045D3D" w:rsidP="00045D3D">
      <w:pPr>
        <w:ind w:right="51"/>
        <w:rPr>
          <w:rFonts w:ascii="Bookman Old Style" w:hAnsi="Bookman Old Style"/>
        </w:rPr>
      </w:pPr>
    </w:p>
    <w:p w14:paraId="72BBA367" w14:textId="77777777" w:rsidR="00045D3D" w:rsidRPr="00C435C3" w:rsidRDefault="00045D3D" w:rsidP="00045D3D">
      <w:pPr>
        <w:ind w:right="51"/>
        <w:jc w:val="center"/>
        <w:rPr>
          <w:rFonts w:ascii="Bookman Old Style" w:hAnsi="Bookman Old Style"/>
          <w:b/>
        </w:rPr>
      </w:pPr>
      <w:r w:rsidRPr="00C435C3">
        <w:rPr>
          <w:rFonts w:ascii="Bookman Old Style" w:hAnsi="Bookman Old Style"/>
          <w:b/>
        </w:rPr>
        <w:t xml:space="preserve">C O N S I D E R A N D </w:t>
      </w:r>
      <w:r w:rsidR="007B5A60" w:rsidRPr="00C435C3">
        <w:rPr>
          <w:rFonts w:ascii="Bookman Old Style" w:hAnsi="Bookman Old Style"/>
          <w:b/>
        </w:rPr>
        <w:t>O</w:t>
      </w:r>
      <w:r w:rsidR="007B5A60">
        <w:rPr>
          <w:rFonts w:ascii="Bookman Old Style" w:hAnsi="Bookman Old Style"/>
          <w:b/>
        </w:rPr>
        <w:t xml:space="preserve"> Q</w:t>
      </w:r>
      <w:r>
        <w:rPr>
          <w:rFonts w:ascii="Bookman Old Style" w:hAnsi="Bookman Old Style"/>
          <w:b/>
        </w:rPr>
        <w:t xml:space="preserve"> U E</w:t>
      </w:r>
      <w:r w:rsidRPr="00C435C3">
        <w:rPr>
          <w:rFonts w:ascii="Bookman Old Style" w:hAnsi="Bookman Old Style"/>
          <w:b/>
        </w:rPr>
        <w:t>:</w:t>
      </w:r>
    </w:p>
    <w:p w14:paraId="04D08FF7" w14:textId="77777777" w:rsidR="00045D3D" w:rsidRDefault="00045D3D" w:rsidP="00045D3D">
      <w:pPr>
        <w:ind w:left="0"/>
        <w:jc w:val="both"/>
        <w:rPr>
          <w:rFonts w:ascii="Bookman Old Style" w:hAnsi="Bookman Old Style"/>
        </w:rPr>
      </w:pPr>
    </w:p>
    <w:p w14:paraId="7E2684DA" w14:textId="3F124187" w:rsidR="00CD7626" w:rsidRDefault="00CD7626" w:rsidP="00CD7626">
      <w:pPr>
        <w:spacing w:line="259" w:lineRule="auto"/>
        <w:ind w:left="142" w:right="142"/>
        <w:jc w:val="both"/>
        <w:rPr>
          <w:rFonts w:ascii="Bookman Old Style" w:hAnsi="Bookman Old Style" w:cs="Arial"/>
          <w:color w:val="000000"/>
        </w:rPr>
      </w:pPr>
      <w:r w:rsidRPr="00041E36">
        <w:rPr>
          <w:rFonts w:ascii="Bookman Old Style" w:hAnsi="Bookman Old Style" w:cs="Arial"/>
          <w:color w:val="000000"/>
        </w:rPr>
        <w:t>Mediante la Resolución CREG 105 007 de 2024 se modific</w:t>
      </w:r>
      <w:r w:rsidR="00516581">
        <w:rPr>
          <w:rFonts w:ascii="Bookman Old Style" w:hAnsi="Bookman Old Style" w:cs="Arial"/>
          <w:color w:val="000000"/>
        </w:rPr>
        <w:t>aron</w:t>
      </w:r>
      <w:r w:rsidRPr="00041E36">
        <w:rPr>
          <w:rFonts w:ascii="Bookman Old Style" w:hAnsi="Bookman Old Style" w:cs="Arial"/>
          <w:color w:val="000000"/>
        </w:rPr>
        <w:t xml:space="preserve"> </w:t>
      </w:r>
      <w:r>
        <w:rPr>
          <w:rFonts w:ascii="Bookman Old Style" w:hAnsi="Bookman Old Style" w:cs="Arial"/>
          <w:color w:val="000000"/>
        </w:rPr>
        <w:t xml:space="preserve">transitoriamente los artículos 37 y 38 de la Resolución CREG 108 de 1997 en lo que respecta a la </w:t>
      </w:r>
      <w:r w:rsidRPr="00041E36">
        <w:rPr>
          <w:rFonts w:ascii="Bookman Old Style" w:hAnsi="Bookman Old Style" w:cs="Arial"/>
          <w:color w:val="000000"/>
        </w:rPr>
        <w:t xml:space="preserve">obligación de las empresas </w:t>
      </w:r>
      <w:r w:rsidR="00516581">
        <w:rPr>
          <w:rFonts w:ascii="Bookman Old Style" w:hAnsi="Bookman Old Style" w:cs="Arial"/>
          <w:color w:val="000000"/>
        </w:rPr>
        <w:t>al</w:t>
      </w:r>
      <w:r w:rsidRPr="00041E36">
        <w:rPr>
          <w:rFonts w:ascii="Bookman Old Style" w:hAnsi="Bookman Old Style" w:cs="Arial"/>
          <w:color w:val="000000"/>
        </w:rPr>
        <w:t xml:space="preserve"> elaborar las facturas, </w:t>
      </w:r>
      <w:r w:rsidR="00516581">
        <w:rPr>
          <w:rFonts w:ascii="Bookman Old Style" w:hAnsi="Bookman Old Style" w:cs="Arial"/>
          <w:color w:val="000000"/>
        </w:rPr>
        <w:t xml:space="preserve">de </w:t>
      </w:r>
      <w:r w:rsidRPr="00041E36">
        <w:rPr>
          <w:rFonts w:ascii="Bookman Old Style" w:hAnsi="Bookman Old Style" w:cs="Arial"/>
          <w:color w:val="000000"/>
        </w:rPr>
        <w:t>adoptar mecanismos eficientes que permitan someter su facturación a investigación de desviaciones significativas entre el consumo registrado del suscriptor o usuario durante un período de facturación y sus promedios de consumo anteriores.</w:t>
      </w:r>
    </w:p>
    <w:p w14:paraId="26C39E5A" w14:textId="77777777" w:rsidR="00CD7626" w:rsidRPr="00041E36" w:rsidRDefault="00CD7626" w:rsidP="00CD7626">
      <w:pPr>
        <w:spacing w:line="259" w:lineRule="auto"/>
        <w:ind w:left="142" w:right="142"/>
        <w:jc w:val="both"/>
        <w:rPr>
          <w:rFonts w:ascii="Bookman Old Style" w:hAnsi="Bookman Old Style" w:cs="Arial"/>
          <w:color w:val="000000"/>
        </w:rPr>
      </w:pPr>
    </w:p>
    <w:p w14:paraId="399E9F9D" w14:textId="77777777" w:rsidR="00CD7626" w:rsidRDefault="00CD7626" w:rsidP="00CD7626">
      <w:pPr>
        <w:spacing w:line="259" w:lineRule="auto"/>
        <w:ind w:left="142" w:right="142"/>
        <w:jc w:val="both"/>
        <w:rPr>
          <w:rFonts w:ascii="Bookman Old Style" w:hAnsi="Bookman Old Style" w:cs="Arial"/>
          <w:color w:val="000000"/>
        </w:rPr>
      </w:pPr>
      <w:r w:rsidRPr="00041E36">
        <w:rPr>
          <w:rFonts w:ascii="Bookman Old Style" w:hAnsi="Bookman Old Style" w:cs="Arial"/>
          <w:color w:val="000000"/>
        </w:rPr>
        <w:t>En esta resolución se indica el procedimiento que deben seguir las empresas comercializadoras que prestan el servicio público domiciliario de energía y gas, para determinar cuando el consumo de un usuario en el periodo de análisis presenta una desviación significativa frente a sus consumos anteriores y debe hacer la investigación respectiva.</w:t>
      </w:r>
    </w:p>
    <w:p w14:paraId="155E175D" w14:textId="77777777" w:rsidR="00CD7626" w:rsidRPr="00041E36" w:rsidRDefault="00CD7626" w:rsidP="00CD7626">
      <w:pPr>
        <w:spacing w:line="259" w:lineRule="auto"/>
        <w:ind w:left="142" w:right="142"/>
        <w:jc w:val="both"/>
        <w:rPr>
          <w:rFonts w:ascii="Bookman Old Style" w:hAnsi="Bookman Old Style" w:cs="Arial"/>
          <w:color w:val="000000"/>
        </w:rPr>
      </w:pPr>
    </w:p>
    <w:p w14:paraId="55B30FA5" w14:textId="77777777" w:rsidR="00CD7626" w:rsidRDefault="00CD7626" w:rsidP="00CD7626">
      <w:pPr>
        <w:spacing w:line="259" w:lineRule="auto"/>
        <w:ind w:left="142" w:right="142"/>
        <w:jc w:val="both"/>
        <w:rPr>
          <w:rFonts w:ascii="Bookman Old Style" w:hAnsi="Bookman Old Style" w:cs="Arial"/>
          <w:color w:val="000000"/>
        </w:rPr>
      </w:pPr>
      <w:r w:rsidRPr="00041E36">
        <w:rPr>
          <w:rFonts w:ascii="Bookman Old Style" w:hAnsi="Bookman Old Style" w:cs="Arial"/>
          <w:color w:val="000000"/>
        </w:rPr>
        <w:t>Así mismo, se determinó en la misma Resolución CREG 105 007 de 2024 en su artículo 3</w:t>
      </w:r>
      <w:r>
        <w:rPr>
          <w:rFonts w:ascii="Bookman Old Style" w:hAnsi="Bookman Old Style" w:cs="Arial"/>
          <w:color w:val="000000"/>
        </w:rPr>
        <w:t>,</w:t>
      </w:r>
      <w:r w:rsidRPr="00041E36">
        <w:rPr>
          <w:rFonts w:ascii="Bookman Old Style" w:hAnsi="Bookman Old Style" w:cs="Arial"/>
          <w:color w:val="000000"/>
        </w:rPr>
        <w:t xml:space="preserve"> que la aplicación de lo dispuesto</w:t>
      </w:r>
      <w:r>
        <w:rPr>
          <w:rFonts w:ascii="Bookman Old Style" w:hAnsi="Bookman Old Style" w:cs="Arial"/>
          <w:color w:val="000000"/>
        </w:rPr>
        <w:t xml:space="preserve"> en esta</w:t>
      </w:r>
      <w:r w:rsidRPr="00041E36">
        <w:rPr>
          <w:rFonts w:ascii="Bookman Old Style" w:hAnsi="Bookman Old Style" w:cs="Arial"/>
          <w:color w:val="000000"/>
        </w:rPr>
        <w:t xml:space="preserve"> se iniciará una vez transcurridos treinta (30) días hábiles desde la publicación</w:t>
      </w:r>
      <w:r>
        <w:rPr>
          <w:rFonts w:ascii="Bookman Old Style" w:hAnsi="Bookman Old Style" w:cs="Arial"/>
          <w:color w:val="000000"/>
        </w:rPr>
        <w:t>.</w:t>
      </w:r>
    </w:p>
    <w:p w14:paraId="516C0402" w14:textId="77777777" w:rsidR="00CD7626" w:rsidRDefault="00CD7626" w:rsidP="00CD7626">
      <w:pPr>
        <w:spacing w:line="259" w:lineRule="auto"/>
        <w:ind w:left="142" w:right="142"/>
        <w:jc w:val="both"/>
        <w:rPr>
          <w:rFonts w:ascii="Bookman Old Style" w:hAnsi="Bookman Old Style" w:cs="Arial"/>
          <w:color w:val="000000"/>
        </w:rPr>
      </w:pPr>
    </w:p>
    <w:p w14:paraId="37E29D1D" w14:textId="1D3BE1FB" w:rsidR="00CD7626" w:rsidRDefault="00CD7626" w:rsidP="00CD7626">
      <w:pPr>
        <w:spacing w:line="259" w:lineRule="auto"/>
        <w:ind w:left="142" w:right="142"/>
        <w:jc w:val="both"/>
        <w:rPr>
          <w:rFonts w:ascii="Bookman Old Style" w:hAnsi="Bookman Old Style" w:cs="Arial"/>
          <w:color w:val="000000"/>
        </w:rPr>
      </w:pPr>
      <w:r>
        <w:rPr>
          <w:rFonts w:ascii="Bookman Old Style" w:hAnsi="Bookman Old Style" w:cs="Arial"/>
          <w:color w:val="000000"/>
        </w:rPr>
        <w:t xml:space="preserve">Conforme a lo previsto y a la fecha de publicación de la Resolución en mención, se tiene que su aplicación </w:t>
      </w:r>
      <w:r w:rsidR="00D27D14">
        <w:rPr>
          <w:rFonts w:ascii="Bookman Old Style" w:hAnsi="Bookman Old Style" w:cs="Arial"/>
          <w:color w:val="000000"/>
        </w:rPr>
        <w:t xml:space="preserve">inicia </w:t>
      </w:r>
      <w:r>
        <w:rPr>
          <w:rFonts w:ascii="Bookman Old Style" w:hAnsi="Bookman Old Style" w:cs="Arial"/>
          <w:color w:val="000000"/>
        </w:rPr>
        <w:t xml:space="preserve">el día 24 de abril de 2024. Sin embargo, una vez se acerca la fecha prevista </w:t>
      </w:r>
      <w:r w:rsidR="00CB1726">
        <w:rPr>
          <w:rFonts w:ascii="Bookman Old Style" w:hAnsi="Bookman Old Style" w:cs="Arial"/>
          <w:color w:val="000000"/>
        </w:rPr>
        <w:t>por</w:t>
      </w:r>
      <w:r>
        <w:rPr>
          <w:rFonts w:ascii="Bookman Old Style" w:hAnsi="Bookman Old Style" w:cs="Arial"/>
          <w:color w:val="000000"/>
        </w:rPr>
        <w:t xml:space="preserve"> la C</w:t>
      </w:r>
      <w:r w:rsidR="00CB1726">
        <w:rPr>
          <w:rFonts w:ascii="Bookman Old Style" w:hAnsi="Bookman Old Style" w:cs="Arial"/>
          <w:color w:val="000000"/>
        </w:rPr>
        <w:t>REG,</w:t>
      </w:r>
      <w:r>
        <w:rPr>
          <w:rFonts w:ascii="Bookman Old Style" w:hAnsi="Bookman Old Style" w:cs="Arial"/>
          <w:color w:val="000000"/>
        </w:rPr>
        <w:t xml:space="preserve"> se han radicado solicitudes de los comercializadores de energía eléctrica</w:t>
      </w:r>
      <w:r w:rsidR="00CB1726">
        <w:rPr>
          <w:rFonts w:ascii="Bookman Old Style" w:hAnsi="Bookman Old Style" w:cs="Arial"/>
          <w:color w:val="000000"/>
        </w:rPr>
        <w:t xml:space="preserve">, </w:t>
      </w:r>
      <w:r>
        <w:rPr>
          <w:rFonts w:ascii="Bookman Old Style" w:hAnsi="Bookman Old Style" w:cs="Arial"/>
          <w:color w:val="000000"/>
        </w:rPr>
        <w:t xml:space="preserve">de gas natural y GLP que atienden por redes de tubería, así como de gremios, para que se amplie el plazo de inicio de aplicación. </w:t>
      </w:r>
    </w:p>
    <w:p w14:paraId="0BB239F4" w14:textId="77777777" w:rsidR="00CD7626" w:rsidRDefault="00CD7626" w:rsidP="00CD7626">
      <w:pPr>
        <w:spacing w:line="259" w:lineRule="auto"/>
        <w:ind w:left="142" w:right="142"/>
        <w:jc w:val="both"/>
        <w:rPr>
          <w:rFonts w:ascii="Bookman Old Style" w:hAnsi="Bookman Old Style" w:cs="Arial"/>
          <w:color w:val="000000"/>
        </w:rPr>
      </w:pPr>
    </w:p>
    <w:p w14:paraId="1CE7114A" w14:textId="761542F5" w:rsidR="00CD7626" w:rsidRDefault="00CD7626" w:rsidP="00CD7626">
      <w:pPr>
        <w:spacing w:line="259" w:lineRule="auto"/>
        <w:ind w:left="142" w:right="142"/>
        <w:jc w:val="both"/>
        <w:rPr>
          <w:rFonts w:ascii="Bookman Old Style" w:hAnsi="Bookman Old Style" w:cs="Arial"/>
          <w:color w:val="000000"/>
        </w:rPr>
      </w:pPr>
      <w:r w:rsidRPr="00E80E00">
        <w:rPr>
          <w:rFonts w:ascii="Bookman Old Style" w:hAnsi="Bookman Old Style" w:cs="Arial"/>
          <w:color w:val="000000"/>
        </w:rPr>
        <w:t>Dentro de las varias razones dadas por los solicitantes para que se amplíe el plazo</w:t>
      </w:r>
      <w:r w:rsidR="00CB1726">
        <w:rPr>
          <w:rFonts w:ascii="Bookman Old Style" w:hAnsi="Bookman Old Style" w:cs="Arial"/>
          <w:color w:val="000000"/>
        </w:rPr>
        <w:t>,</w:t>
      </w:r>
      <w:r w:rsidRPr="00E80E00">
        <w:rPr>
          <w:rFonts w:ascii="Bookman Old Style" w:hAnsi="Bookman Old Style" w:cs="Arial"/>
          <w:color w:val="000000"/>
        </w:rPr>
        <w:t xml:space="preserve"> ya que consideran que el vigente no es suficiente, se encuentran: la necesidad de modificación tecnológica, actualización de los</w:t>
      </w:r>
      <w:r w:rsidRPr="001071A6">
        <w:rPr>
          <w:rFonts w:ascii="Bookman Old Style" w:hAnsi="Bookman Old Style" w:cs="Arial"/>
          <w:color w:val="000000"/>
        </w:rPr>
        <w:t xml:space="preserve"> sistema</w:t>
      </w:r>
      <w:r w:rsidRPr="00E80E00">
        <w:rPr>
          <w:rFonts w:ascii="Bookman Old Style" w:hAnsi="Bookman Old Style" w:cs="Arial"/>
          <w:color w:val="000000"/>
        </w:rPr>
        <w:t>s</w:t>
      </w:r>
      <w:r w:rsidRPr="001071A6">
        <w:rPr>
          <w:rFonts w:ascii="Bookman Old Style" w:hAnsi="Bookman Old Style" w:cs="Arial"/>
          <w:color w:val="000000"/>
        </w:rPr>
        <w:t xml:space="preserve"> comercial</w:t>
      </w:r>
      <w:r w:rsidRPr="00E80E00">
        <w:rPr>
          <w:rFonts w:ascii="Bookman Old Style" w:hAnsi="Bookman Old Style" w:cs="Arial"/>
          <w:color w:val="000000"/>
        </w:rPr>
        <w:t xml:space="preserve">es, diseño y establecimiento del procedimiento de analítica de datos, </w:t>
      </w:r>
      <w:r w:rsidRPr="00E80E00">
        <w:rPr>
          <w:rFonts w:ascii="Bookman Old Style" w:hAnsi="Bookman Old Style" w:cs="Arial"/>
          <w:color w:val="000000"/>
        </w:rPr>
        <w:lastRenderedPageBreak/>
        <w:t>así como</w:t>
      </w:r>
      <w:r w:rsidR="00CB1726">
        <w:rPr>
          <w:rFonts w:ascii="Bookman Old Style" w:hAnsi="Bookman Old Style" w:cs="Arial"/>
          <w:color w:val="000000"/>
        </w:rPr>
        <w:t xml:space="preserve"> la modificación de</w:t>
      </w:r>
      <w:r w:rsidRPr="00E80E00">
        <w:rPr>
          <w:rFonts w:ascii="Bookman Old Style" w:hAnsi="Bookman Old Style" w:cs="Arial"/>
          <w:color w:val="000000"/>
        </w:rPr>
        <w:t xml:space="preserve"> los contratos de condiciones uniformes, capacitación del personal operativo y comercial, c</w:t>
      </w:r>
      <w:r w:rsidRPr="00CD3321">
        <w:rPr>
          <w:rFonts w:ascii="Bookman Old Style" w:hAnsi="Bookman Old Style" w:cs="Arial"/>
          <w:color w:val="000000"/>
        </w:rPr>
        <w:t>onstrucción de</w:t>
      </w:r>
      <w:r w:rsidRPr="00E80E00">
        <w:rPr>
          <w:rFonts w:ascii="Bookman Old Style" w:hAnsi="Bookman Old Style" w:cs="Arial"/>
          <w:color w:val="000000"/>
        </w:rPr>
        <w:t xml:space="preserve"> los nuevos </w:t>
      </w:r>
      <w:r w:rsidRPr="00CD3321">
        <w:rPr>
          <w:rFonts w:ascii="Bookman Old Style" w:hAnsi="Bookman Old Style" w:cs="Arial"/>
          <w:color w:val="000000"/>
        </w:rPr>
        <w:t>reporte</w:t>
      </w:r>
      <w:r w:rsidRPr="00E80E00">
        <w:rPr>
          <w:rFonts w:ascii="Bookman Old Style" w:hAnsi="Bookman Old Style" w:cs="Arial"/>
          <w:color w:val="000000"/>
        </w:rPr>
        <w:t>s al</w:t>
      </w:r>
      <w:r w:rsidRPr="00CD3321">
        <w:rPr>
          <w:rFonts w:ascii="Bookman Old Style" w:hAnsi="Bookman Old Style" w:cs="Arial"/>
          <w:color w:val="000000"/>
        </w:rPr>
        <w:t xml:space="preserve"> SU</w:t>
      </w:r>
      <w:r w:rsidRPr="00E80E00">
        <w:rPr>
          <w:rFonts w:ascii="Bookman Old Style" w:hAnsi="Bookman Old Style" w:cs="Arial"/>
          <w:color w:val="000000"/>
        </w:rPr>
        <w:t>I, modificación en</w:t>
      </w:r>
      <w:r w:rsidRPr="00CD3321">
        <w:rPr>
          <w:rFonts w:ascii="Bookman Old Style" w:hAnsi="Bookman Old Style" w:cs="Arial"/>
          <w:color w:val="000000"/>
        </w:rPr>
        <w:t xml:space="preserve">  la  capacidad  operativa  con  respecto  a  la capacidad instalada hoy día</w:t>
      </w:r>
      <w:r w:rsidRPr="00E80E00">
        <w:rPr>
          <w:rFonts w:ascii="Bookman Old Style" w:hAnsi="Bookman Old Style" w:cs="Arial"/>
          <w:color w:val="000000"/>
        </w:rPr>
        <w:t>, capacitación a los usuarios, adecuación de las plataformas para que el usuario pueda registrar e informar la caracterización de usuario con consumo estacional</w:t>
      </w:r>
      <w:r>
        <w:rPr>
          <w:rFonts w:ascii="Bookman Old Style" w:hAnsi="Bookman Old Style" w:cs="Arial"/>
          <w:color w:val="000000"/>
        </w:rPr>
        <w:t>.</w:t>
      </w:r>
    </w:p>
    <w:p w14:paraId="678EF4A9" w14:textId="77777777" w:rsidR="00CD7626" w:rsidRPr="00CD3321" w:rsidRDefault="00CD7626" w:rsidP="00CD7626">
      <w:pPr>
        <w:spacing w:line="259" w:lineRule="auto"/>
        <w:ind w:left="142" w:right="142"/>
        <w:jc w:val="both"/>
        <w:rPr>
          <w:rFonts w:ascii="Bookman Old Style" w:hAnsi="Bookman Old Style" w:cs="Arial"/>
          <w:color w:val="000000"/>
        </w:rPr>
      </w:pPr>
    </w:p>
    <w:p w14:paraId="4376AE10" w14:textId="78AECAAE" w:rsidR="00234064" w:rsidRPr="00234064" w:rsidRDefault="00234064" w:rsidP="00CD7626">
      <w:pPr>
        <w:spacing w:line="259" w:lineRule="auto"/>
        <w:ind w:left="142" w:right="142"/>
        <w:jc w:val="both"/>
        <w:rPr>
          <w:rFonts w:ascii="Bookman Old Style" w:hAnsi="Bookman Old Style" w:cs="Arial"/>
          <w:color w:val="000000"/>
        </w:rPr>
      </w:pPr>
      <w:r w:rsidRPr="00234064">
        <w:rPr>
          <w:rFonts w:ascii="Bookman Old Style" w:hAnsi="Bookman Old Style" w:cs="Arial"/>
          <w:color w:val="000000"/>
        </w:rPr>
        <w:t>Conforme a lo anterior mediante la Resolución CREG 705 006 de 2024 se sometió a consulta una propuesta para modificar el artículo 3 de la Resolución CREG 105 007 de 2024 en lo que respecta al plazo establecido para el inicio de aplicación de las disposiciones contenidas en dicha resolución.</w:t>
      </w:r>
    </w:p>
    <w:p w14:paraId="460C6603" w14:textId="77777777" w:rsidR="00234064" w:rsidRPr="00234064" w:rsidRDefault="00234064" w:rsidP="00CD7626">
      <w:pPr>
        <w:spacing w:line="259" w:lineRule="auto"/>
        <w:ind w:left="142" w:right="142"/>
        <w:jc w:val="both"/>
        <w:rPr>
          <w:rFonts w:ascii="Bookman Old Style" w:hAnsi="Bookman Old Style" w:cs="Arial"/>
          <w:color w:val="000000"/>
        </w:rPr>
      </w:pPr>
    </w:p>
    <w:p w14:paraId="2A8AC04C" w14:textId="3A406922" w:rsidR="00234064" w:rsidRPr="00234064" w:rsidRDefault="00234064" w:rsidP="00CD7626">
      <w:pPr>
        <w:spacing w:line="259" w:lineRule="auto"/>
        <w:ind w:left="142" w:right="142"/>
        <w:jc w:val="both"/>
        <w:rPr>
          <w:rFonts w:ascii="Bookman Old Style" w:hAnsi="Bookman Old Style" w:cs="Arial"/>
          <w:color w:val="000000"/>
        </w:rPr>
      </w:pPr>
      <w:r w:rsidRPr="00234064">
        <w:rPr>
          <w:rFonts w:ascii="Bookman Old Style" w:hAnsi="Bookman Old Style" w:cs="Arial"/>
          <w:color w:val="000000"/>
        </w:rPr>
        <w:t xml:space="preserve">El plazo propuesto se estableció considerado que las empresas cuentan con todas las herramientas para aplicar el nuevo mecanismo dado que actualmente deben estar realizando las debidas investigaciones por desviaciones significativas tal y como lo exige el artículo 149 de la ley 142 de 1994 y que el procedimiento establecido en la Resolución CREG 105 007 de 2024 no presenta mayor complejidad </w:t>
      </w:r>
      <w:r w:rsidR="00CB1726">
        <w:rPr>
          <w:rFonts w:ascii="Bookman Old Style" w:hAnsi="Bookman Old Style" w:cs="Arial"/>
          <w:color w:val="000000"/>
        </w:rPr>
        <w:t>por cuanto</w:t>
      </w:r>
      <w:r w:rsidRPr="00234064">
        <w:rPr>
          <w:rFonts w:ascii="Bookman Old Style" w:hAnsi="Bookman Old Style" w:cs="Arial"/>
          <w:color w:val="000000"/>
        </w:rPr>
        <w:t xml:space="preserve"> se puede </w:t>
      </w:r>
      <w:r w:rsidR="00CB1726">
        <w:rPr>
          <w:rFonts w:ascii="Bookman Old Style" w:hAnsi="Bookman Old Style" w:cs="Arial"/>
          <w:color w:val="000000"/>
        </w:rPr>
        <w:t>cumplir el objetivo</w:t>
      </w:r>
      <w:r w:rsidRPr="00234064">
        <w:rPr>
          <w:rFonts w:ascii="Bookman Old Style" w:hAnsi="Bookman Old Style" w:cs="Arial"/>
          <w:color w:val="000000"/>
        </w:rPr>
        <w:t xml:space="preserve"> parametrizando en los sistemas comerciales unas operaciones matemáticas y estadísticas básicas. Adicionalmente es claro que las empresas actualmente capturan, procesan y archivan la información relacionada con el consumo y la facturación de sus usuarios</w:t>
      </w:r>
      <w:r>
        <w:rPr>
          <w:rFonts w:ascii="Bookman Old Style" w:hAnsi="Bookman Old Style" w:cs="Arial"/>
          <w:color w:val="000000"/>
        </w:rPr>
        <w:t>.</w:t>
      </w:r>
    </w:p>
    <w:p w14:paraId="196C9356" w14:textId="77777777" w:rsidR="00234064" w:rsidRPr="00A94A8A" w:rsidRDefault="00234064" w:rsidP="00CD7626">
      <w:pPr>
        <w:spacing w:line="259" w:lineRule="auto"/>
        <w:ind w:left="142" w:right="142"/>
        <w:jc w:val="both"/>
        <w:rPr>
          <w:rFonts w:ascii="Bookman Old Style" w:hAnsi="Bookman Old Style" w:cs="Arial"/>
          <w:color w:val="000000"/>
        </w:rPr>
      </w:pPr>
    </w:p>
    <w:p w14:paraId="0ED4071C" w14:textId="27EDEE9B" w:rsidR="00234064" w:rsidRPr="00A94A8A" w:rsidRDefault="00234064" w:rsidP="00CD7626">
      <w:pPr>
        <w:spacing w:line="259" w:lineRule="auto"/>
        <w:ind w:left="142" w:right="142"/>
        <w:jc w:val="both"/>
        <w:rPr>
          <w:rFonts w:ascii="Bookman Old Style" w:hAnsi="Bookman Old Style" w:cs="Arial"/>
          <w:color w:val="000000"/>
        </w:rPr>
      </w:pPr>
      <w:r w:rsidRPr="00A94A8A">
        <w:rPr>
          <w:rFonts w:ascii="Bookman Old Style" w:hAnsi="Bookman Old Style" w:cs="Arial"/>
          <w:color w:val="000000"/>
        </w:rPr>
        <w:t xml:space="preserve">De lo consignado en la </w:t>
      </w:r>
      <w:r w:rsidR="00A94A8A" w:rsidRPr="00A94A8A">
        <w:rPr>
          <w:rFonts w:ascii="Bookman Old Style" w:hAnsi="Bookman Old Style" w:cs="Arial"/>
          <w:color w:val="000000"/>
        </w:rPr>
        <w:t>Resolución</w:t>
      </w:r>
      <w:r w:rsidRPr="00A94A8A">
        <w:rPr>
          <w:rFonts w:ascii="Bookman Old Style" w:hAnsi="Bookman Old Style" w:cs="Arial"/>
          <w:color w:val="000000"/>
        </w:rPr>
        <w:t xml:space="preserve"> CREG 705 006 de 2024 se recibieron comentarios con los siguientes radicados:</w:t>
      </w:r>
    </w:p>
    <w:p w14:paraId="6C552449" w14:textId="77777777" w:rsidR="00234064" w:rsidRDefault="00234064" w:rsidP="00CD7626">
      <w:pPr>
        <w:spacing w:line="259" w:lineRule="auto"/>
        <w:ind w:left="142" w:right="142"/>
        <w:jc w:val="both"/>
        <w:rPr>
          <w:rFonts w:ascii="Arial" w:hAnsi="Arial" w:cs="Arial"/>
        </w:rPr>
      </w:pPr>
    </w:p>
    <w:tbl>
      <w:tblPr>
        <w:tblW w:w="92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681"/>
        <w:gridCol w:w="3961"/>
      </w:tblGrid>
      <w:tr w:rsidR="00A94A8A" w:rsidRPr="00234064" w14:paraId="4FD53D10" w14:textId="77777777" w:rsidTr="00A94A8A">
        <w:trPr>
          <w:trHeight w:val="300"/>
        </w:trPr>
        <w:tc>
          <w:tcPr>
            <w:tcW w:w="567" w:type="dxa"/>
            <w:shd w:val="clear" w:color="auto" w:fill="auto"/>
            <w:noWrap/>
            <w:vAlign w:val="bottom"/>
            <w:hideMark/>
          </w:tcPr>
          <w:p w14:paraId="561D13E1" w14:textId="77777777" w:rsidR="00234064" w:rsidRPr="00234064" w:rsidRDefault="00234064" w:rsidP="00234064">
            <w:pPr>
              <w:ind w:left="0"/>
              <w:jc w:val="center"/>
              <w:rPr>
                <w:rFonts w:ascii="Bookman Old Style" w:hAnsi="Bookman Old Style"/>
                <w:b/>
                <w:bCs/>
                <w:color w:val="000000"/>
                <w:sz w:val="22"/>
                <w:szCs w:val="22"/>
                <w:lang w:val="es-CO" w:eastAsia="es-CO"/>
              </w:rPr>
            </w:pPr>
            <w:r w:rsidRPr="00234064">
              <w:rPr>
                <w:rFonts w:ascii="Bookman Old Style" w:hAnsi="Bookman Old Style"/>
                <w:b/>
                <w:bCs/>
                <w:color w:val="000000"/>
                <w:sz w:val="22"/>
                <w:szCs w:val="22"/>
                <w:lang w:val="es-CO" w:eastAsia="es-CO"/>
              </w:rPr>
              <w:t>#</w:t>
            </w:r>
          </w:p>
        </w:tc>
        <w:tc>
          <w:tcPr>
            <w:tcW w:w="4681" w:type="dxa"/>
            <w:shd w:val="clear" w:color="auto" w:fill="auto"/>
            <w:noWrap/>
            <w:vAlign w:val="bottom"/>
            <w:hideMark/>
          </w:tcPr>
          <w:p w14:paraId="34907CB3" w14:textId="77777777" w:rsidR="00234064" w:rsidRPr="00234064" w:rsidRDefault="00234064" w:rsidP="00234064">
            <w:pPr>
              <w:ind w:left="0"/>
              <w:jc w:val="center"/>
              <w:rPr>
                <w:rFonts w:ascii="Bookman Old Style" w:hAnsi="Bookman Old Style"/>
                <w:b/>
                <w:bCs/>
                <w:color w:val="000000"/>
                <w:sz w:val="22"/>
                <w:szCs w:val="22"/>
                <w:lang w:val="es-CO" w:eastAsia="es-CO"/>
              </w:rPr>
            </w:pPr>
            <w:r w:rsidRPr="00234064">
              <w:rPr>
                <w:rFonts w:ascii="Bookman Old Style" w:hAnsi="Bookman Old Style"/>
                <w:b/>
                <w:bCs/>
                <w:color w:val="000000"/>
                <w:sz w:val="22"/>
                <w:szCs w:val="22"/>
                <w:lang w:val="es-CO" w:eastAsia="es-CO"/>
              </w:rPr>
              <w:t>REMITENTE</w:t>
            </w:r>
          </w:p>
        </w:tc>
        <w:tc>
          <w:tcPr>
            <w:tcW w:w="3961" w:type="dxa"/>
            <w:shd w:val="clear" w:color="auto" w:fill="auto"/>
            <w:noWrap/>
            <w:vAlign w:val="bottom"/>
            <w:hideMark/>
          </w:tcPr>
          <w:p w14:paraId="260CB054" w14:textId="77777777" w:rsidR="00234064" w:rsidRPr="00234064" w:rsidRDefault="00234064" w:rsidP="00234064">
            <w:pPr>
              <w:ind w:left="0"/>
              <w:jc w:val="center"/>
              <w:rPr>
                <w:rFonts w:ascii="Bookman Old Style" w:hAnsi="Bookman Old Style"/>
                <w:b/>
                <w:bCs/>
                <w:color w:val="000000"/>
                <w:sz w:val="22"/>
                <w:szCs w:val="22"/>
                <w:lang w:val="es-CO" w:eastAsia="es-CO"/>
              </w:rPr>
            </w:pPr>
            <w:r w:rsidRPr="00234064">
              <w:rPr>
                <w:rFonts w:ascii="Bookman Old Style" w:hAnsi="Bookman Old Style"/>
                <w:b/>
                <w:bCs/>
                <w:color w:val="000000"/>
                <w:sz w:val="22"/>
                <w:szCs w:val="22"/>
                <w:lang w:val="es-CO" w:eastAsia="es-CO"/>
              </w:rPr>
              <w:t>RADICADO</w:t>
            </w:r>
          </w:p>
        </w:tc>
      </w:tr>
      <w:tr w:rsidR="00234064" w:rsidRPr="00234064" w14:paraId="36405732" w14:textId="77777777" w:rsidTr="00A94A8A">
        <w:trPr>
          <w:trHeight w:val="300"/>
        </w:trPr>
        <w:tc>
          <w:tcPr>
            <w:tcW w:w="567" w:type="dxa"/>
            <w:shd w:val="clear" w:color="auto" w:fill="auto"/>
            <w:noWrap/>
            <w:vAlign w:val="bottom"/>
            <w:hideMark/>
          </w:tcPr>
          <w:p w14:paraId="429471A5"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w:t>
            </w:r>
          </w:p>
        </w:tc>
        <w:tc>
          <w:tcPr>
            <w:tcW w:w="4681" w:type="dxa"/>
            <w:shd w:val="clear" w:color="auto" w:fill="auto"/>
            <w:noWrap/>
            <w:vAlign w:val="bottom"/>
            <w:hideMark/>
          </w:tcPr>
          <w:p w14:paraId="53D890D2"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METROGAS</w:t>
            </w:r>
          </w:p>
        </w:tc>
        <w:tc>
          <w:tcPr>
            <w:tcW w:w="3961" w:type="dxa"/>
            <w:shd w:val="clear" w:color="auto" w:fill="auto"/>
            <w:noWrap/>
            <w:vAlign w:val="bottom"/>
            <w:hideMark/>
          </w:tcPr>
          <w:p w14:paraId="3638A5E0"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E2024005250</w:t>
            </w:r>
          </w:p>
        </w:tc>
      </w:tr>
      <w:tr w:rsidR="00234064" w:rsidRPr="00234064" w14:paraId="5E415AF3" w14:textId="77777777" w:rsidTr="00A94A8A">
        <w:trPr>
          <w:trHeight w:val="300"/>
        </w:trPr>
        <w:tc>
          <w:tcPr>
            <w:tcW w:w="567" w:type="dxa"/>
            <w:shd w:val="clear" w:color="auto" w:fill="auto"/>
            <w:noWrap/>
            <w:vAlign w:val="bottom"/>
            <w:hideMark/>
          </w:tcPr>
          <w:p w14:paraId="5D5DE451"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w:t>
            </w:r>
          </w:p>
        </w:tc>
        <w:tc>
          <w:tcPr>
            <w:tcW w:w="4681" w:type="dxa"/>
            <w:shd w:val="clear" w:color="auto" w:fill="auto"/>
            <w:noWrap/>
            <w:vAlign w:val="bottom"/>
            <w:hideMark/>
          </w:tcPr>
          <w:p w14:paraId="760CD861"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EFIGAS</w:t>
            </w:r>
          </w:p>
        </w:tc>
        <w:tc>
          <w:tcPr>
            <w:tcW w:w="3961" w:type="dxa"/>
            <w:shd w:val="clear" w:color="auto" w:fill="auto"/>
            <w:noWrap/>
            <w:vAlign w:val="bottom"/>
            <w:hideMark/>
          </w:tcPr>
          <w:p w14:paraId="65D60316"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E2024005252</w:t>
            </w:r>
          </w:p>
        </w:tc>
      </w:tr>
      <w:tr w:rsidR="00234064" w:rsidRPr="00234064" w14:paraId="38C2DDEE" w14:textId="77777777" w:rsidTr="00A94A8A">
        <w:trPr>
          <w:trHeight w:val="300"/>
        </w:trPr>
        <w:tc>
          <w:tcPr>
            <w:tcW w:w="567" w:type="dxa"/>
            <w:shd w:val="clear" w:color="auto" w:fill="auto"/>
            <w:noWrap/>
            <w:vAlign w:val="bottom"/>
            <w:hideMark/>
          </w:tcPr>
          <w:p w14:paraId="0C4B1511"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3</w:t>
            </w:r>
          </w:p>
        </w:tc>
        <w:tc>
          <w:tcPr>
            <w:tcW w:w="4681" w:type="dxa"/>
            <w:shd w:val="clear" w:color="auto" w:fill="auto"/>
            <w:noWrap/>
            <w:vAlign w:val="bottom"/>
            <w:hideMark/>
          </w:tcPr>
          <w:p w14:paraId="3773D929"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REDNOVA</w:t>
            </w:r>
          </w:p>
        </w:tc>
        <w:tc>
          <w:tcPr>
            <w:tcW w:w="3961" w:type="dxa"/>
            <w:shd w:val="clear" w:color="auto" w:fill="auto"/>
            <w:noWrap/>
            <w:vAlign w:val="bottom"/>
            <w:hideMark/>
          </w:tcPr>
          <w:p w14:paraId="725EC545"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E2024005257</w:t>
            </w:r>
          </w:p>
        </w:tc>
      </w:tr>
      <w:tr w:rsidR="00234064" w:rsidRPr="00234064" w14:paraId="769FE962" w14:textId="77777777" w:rsidTr="00A94A8A">
        <w:trPr>
          <w:trHeight w:val="300"/>
        </w:trPr>
        <w:tc>
          <w:tcPr>
            <w:tcW w:w="567" w:type="dxa"/>
            <w:shd w:val="clear" w:color="auto" w:fill="auto"/>
            <w:noWrap/>
            <w:vAlign w:val="bottom"/>
            <w:hideMark/>
          </w:tcPr>
          <w:p w14:paraId="26C8C2A9"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4</w:t>
            </w:r>
          </w:p>
        </w:tc>
        <w:tc>
          <w:tcPr>
            <w:tcW w:w="4681" w:type="dxa"/>
            <w:shd w:val="clear" w:color="auto" w:fill="auto"/>
            <w:noWrap/>
            <w:vAlign w:val="bottom"/>
            <w:hideMark/>
          </w:tcPr>
          <w:p w14:paraId="7EE0A701"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NATURGAS</w:t>
            </w:r>
          </w:p>
        </w:tc>
        <w:tc>
          <w:tcPr>
            <w:tcW w:w="3961" w:type="dxa"/>
            <w:shd w:val="clear" w:color="auto" w:fill="auto"/>
            <w:noWrap/>
            <w:vAlign w:val="bottom"/>
            <w:hideMark/>
          </w:tcPr>
          <w:p w14:paraId="0B73DADC"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E2024005291</w:t>
            </w:r>
          </w:p>
        </w:tc>
      </w:tr>
      <w:tr w:rsidR="00234064" w:rsidRPr="00234064" w14:paraId="3BC267AA" w14:textId="77777777" w:rsidTr="00A94A8A">
        <w:trPr>
          <w:trHeight w:val="300"/>
        </w:trPr>
        <w:tc>
          <w:tcPr>
            <w:tcW w:w="567" w:type="dxa"/>
            <w:shd w:val="clear" w:color="auto" w:fill="auto"/>
            <w:noWrap/>
            <w:vAlign w:val="bottom"/>
            <w:hideMark/>
          </w:tcPr>
          <w:p w14:paraId="6FC94F08"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5</w:t>
            </w:r>
          </w:p>
        </w:tc>
        <w:tc>
          <w:tcPr>
            <w:tcW w:w="4681" w:type="dxa"/>
            <w:shd w:val="clear" w:color="auto" w:fill="auto"/>
            <w:noWrap/>
            <w:vAlign w:val="bottom"/>
            <w:hideMark/>
          </w:tcPr>
          <w:p w14:paraId="18E9DE9E"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ELECTROHUILA</w:t>
            </w:r>
          </w:p>
        </w:tc>
        <w:tc>
          <w:tcPr>
            <w:tcW w:w="3961" w:type="dxa"/>
            <w:shd w:val="clear" w:color="auto" w:fill="auto"/>
            <w:noWrap/>
            <w:vAlign w:val="bottom"/>
            <w:hideMark/>
          </w:tcPr>
          <w:p w14:paraId="5F0E1EDA"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E2024005218, E2024005223</w:t>
            </w:r>
          </w:p>
        </w:tc>
      </w:tr>
      <w:tr w:rsidR="00234064" w:rsidRPr="00234064" w14:paraId="36787484" w14:textId="77777777" w:rsidTr="00A94A8A">
        <w:trPr>
          <w:trHeight w:val="300"/>
        </w:trPr>
        <w:tc>
          <w:tcPr>
            <w:tcW w:w="567" w:type="dxa"/>
            <w:shd w:val="clear" w:color="auto" w:fill="auto"/>
            <w:noWrap/>
            <w:vAlign w:val="bottom"/>
            <w:hideMark/>
          </w:tcPr>
          <w:p w14:paraId="2C0FAFC3"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6</w:t>
            </w:r>
          </w:p>
        </w:tc>
        <w:tc>
          <w:tcPr>
            <w:tcW w:w="4681" w:type="dxa"/>
            <w:shd w:val="clear" w:color="auto" w:fill="auto"/>
            <w:noWrap/>
            <w:vAlign w:val="bottom"/>
            <w:hideMark/>
          </w:tcPr>
          <w:p w14:paraId="70D69EDC"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ACCE</w:t>
            </w:r>
          </w:p>
        </w:tc>
        <w:tc>
          <w:tcPr>
            <w:tcW w:w="3961" w:type="dxa"/>
            <w:shd w:val="clear" w:color="auto" w:fill="auto"/>
            <w:noWrap/>
            <w:vAlign w:val="bottom"/>
            <w:hideMark/>
          </w:tcPr>
          <w:p w14:paraId="749941A6"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E2024005230</w:t>
            </w:r>
          </w:p>
        </w:tc>
      </w:tr>
      <w:tr w:rsidR="00234064" w:rsidRPr="00234064" w14:paraId="1C596FC2" w14:textId="77777777" w:rsidTr="00A94A8A">
        <w:trPr>
          <w:trHeight w:val="300"/>
        </w:trPr>
        <w:tc>
          <w:tcPr>
            <w:tcW w:w="567" w:type="dxa"/>
            <w:shd w:val="clear" w:color="auto" w:fill="auto"/>
            <w:noWrap/>
            <w:vAlign w:val="bottom"/>
            <w:hideMark/>
          </w:tcPr>
          <w:p w14:paraId="461AC57E"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7</w:t>
            </w:r>
          </w:p>
        </w:tc>
        <w:tc>
          <w:tcPr>
            <w:tcW w:w="4681" w:type="dxa"/>
            <w:shd w:val="clear" w:color="auto" w:fill="auto"/>
            <w:noWrap/>
            <w:vAlign w:val="bottom"/>
            <w:hideMark/>
          </w:tcPr>
          <w:p w14:paraId="0C174EF0"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CAC</w:t>
            </w:r>
          </w:p>
        </w:tc>
        <w:tc>
          <w:tcPr>
            <w:tcW w:w="3961" w:type="dxa"/>
            <w:shd w:val="clear" w:color="auto" w:fill="auto"/>
            <w:noWrap/>
            <w:vAlign w:val="bottom"/>
            <w:hideMark/>
          </w:tcPr>
          <w:p w14:paraId="753C10B2"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E2024005262, E2024005304</w:t>
            </w:r>
          </w:p>
        </w:tc>
      </w:tr>
      <w:tr w:rsidR="00234064" w:rsidRPr="00234064" w14:paraId="196D585E" w14:textId="77777777" w:rsidTr="00A94A8A">
        <w:trPr>
          <w:trHeight w:val="300"/>
        </w:trPr>
        <w:tc>
          <w:tcPr>
            <w:tcW w:w="567" w:type="dxa"/>
            <w:shd w:val="clear" w:color="auto" w:fill="auto"/>
            <w:noWrap/>
            <w:vAlign w:val="bottom"/>
            <w:hideMark/>
          </w:tcPr>
          <w:p w14:paraId="2E2118F4"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8</w:t>
            </w:r>
          </w:p>
        </w:tc>
        <w:tc>
          <w:tcPr>
            <w:tcW w:w="4681" w:type="dxa"/>
            <w:shd w:val="clear" w:color="auto" w:fill="auto"/>
            <w:noWrap/>
            <w:vAlign w:val="bottom"/>
            <w:hideMark/>
          </w:tcPr>
          <w:p w14:paraId="46C71A50"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GECELCA</w:t>
            </w:r>
          </w:p>
        </w:tc>
        <w:tc>
          <w:tcPr>
            <w:tcW w:w="3961" w:type="dxa"/>
            <w:shd w:val="clear" w:color="auto" w:fill="auto"/>
            <w:noWrap/>
            <w:vAlign w:val="bottom"/>
            <w:hideMark/>
          </w:tcPr>
          <w:p w14:paraId="5F494873"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E2024005267</w:t>
            </w:r>
          </w:p>
        </w:tc>
      </w:tr>
      <w:tr w:rsidR="00234064" w:rsidRPr="00234064" w14:paraId="675A856B" w14:textId="77777777" w:rsidTr="00A94A8A">
        <w:trPr>
          <w:trHeight w:val="300"/>
        </w:trPr>
        <w:tc>
          <w:tcPr>
            <w:tcW w:w="567" w:type="dxa"/>
            <w:shd w:val="clear" w:color="auto" w:fill="auto"/>
            <w:noWrap/>
            <w:vAlign w:val="bottom"/>
            <w:hideMark/>
          </w:tcPr>
          <w:p w14:paraId="12E3D9E7"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9</w:t>
            </w:r>
          </w:p>
        </w:tc>
        <w:tc>
          <w:tcPr>
            <w:tcW w:w="4681" w:type="dxa"/>
            <w:shd w:val="clear" w:color="auto" w:fill="auto"/>
            <w:noWrap/>
            <w:vAlign w:val="bottom"/>
            <w:hideMark/>
          </w:tcPr>
          <w:p w14:paraId="4A2B3EE5"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EPM</w:t>
            </w:r>
          </w:p>
        </w:tc>
        <w:tc>
          <w:tcPr>
            <w:tcW w:w="3961" w:type="dxa"/>
            <w:shd w:val="clear" w:color="auto" w:fill="auto"/>
            <w:noWrap/>
            <w:vAlign w:val="bottom"/>
            <w:hideMark/>
          </w:tcPr>
          <w:p w14:paraId="7818B812"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E2024005268</w:t>
            </w:r>
          </w:p>
        </w:tc>
      </w:tr>
      <w:tr w:rsidR="00234064" w:rsidRPr="00234064" w14:paraId="1F364AB2" w14:textId="77777777" w:rsidTr="00A94A8A">
        <w:trPr>
          <w:trHeight w:val="300"/>
        </w:trPr>
        <w:tc>
          <w:tcPr>
            <w:tcW w:w="567" w:type="dxa"/>
            <w:shd w:val="clear" w:color="auto" w:fill="auto"/>
            <w:noWrap/>
            <w:vAlign w:val="bottom"/>
            <w:hideMark/>
          </w:tcPr>
          <w:p w14:paraId="16BD55E1"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10</w:t>
            </w:r>
          </w:p>
        </w:tc>
        <w:tc>
          <w:tcPr>
            <w:tcW w:w="4681" w:type="dxa"/>
            <w:shd w:val="clear" w:color="auto" w:fill="auto"/>
            <w:noWrap/>
            <w:vAlign w:val="bottom"/>
            <w:hideMark/>
          </w:tcPr>
          <w:p w14:paraId="789463D0"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EMCALI</w:t>
            </w:r>
          </w:p>
        </w:tc>
        <w:tc>
          <w:tcPr>
            <w:tcW w:w="3961" w:type="dxa"/>
            <w:shd w:val="clear" w:color="auto" w:fill="auto"/>
            <w:noWrap/>
            <w:vAlign w:val="bottom"/>
            <w:hideMark/>
          </w:tcPr>
          <w:p w14:paraId="6FC622E9"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E2024005269</w:t>
            </w:r>
          </w:p>
        </w:tc>
      </w:tr>
      <w:tr w:rsidR="00234064" w:rsidRPr="00234064" w14:paraId="5943CD58" w14:textId="77777777" w:rsidTr="00A94A8A">
        <w:trPr>
          <w:trHeight w:val="300"/>
        </w:trPr>
        <w:tc>
          <w:tcPr>
            <w:tcW w:w="567" w:type="dxa"/>
            <w:shd w:val="clear" w:color="auto" w:fill="auto"/>
            <w:noWrap/>
            <w:vAlign w:val="bottom"/>
            <w:hideMark/>
          </w:tcPr>
          <w:p w14:paraId="00DC407F"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11</w:t>
            </w:r>
          </w:p>
        </w:tc>
        <w:tc>
          <w:tcPr>
            <w:tcW w:w="4681" w:type="dxa"/>
            <w:shd w:val="clear" w:color="auto" w:fill="auto"/>
            <w:noWrap/>
            <w:vAlign w:val="bottom"/>
            <w:hideMark/>
          </w:tcPr>
          <w:p w14:paraId="1CA2F399"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CEDENAR</w:t>
            </w:r>
          </w:p>
        </w:tc>
        <w:tc>
          <w:tcPr>
            <w:tcW w:w="3961" w:type="dxa"/>
            <w:shd w:val="clear" w:color="auto" w:fill="auto"/>
            <w:noWrap/>
            <w:vAlign w:val="bottom"/>
            <w:hideMark/>
          </w:tcPr>
          <w:p w14:paraId="3267F58C"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E2024005271</w:t>
            </w:r>
          </w:p>
        </w:tc>
      </w:tr>
      <w:tr w:rsidR="00234064" w:rsidRPr="00234064" w14:paraId="77A63222" w14:textId="77777777" w:rsidTr="00A94A8A">
        <w:trPr>
          <w:trHeight w:val="300"/>
        </w:trPr>
        <w:tc>
          <w:tcPr>
            <w:tcW w:w="567" w:type="dxa"/>
            <w:shd w:val="clear" w:color="auto" w:fill="auto"/>
            <w:noWrap/>
            <w:vAlign w:val="bottom"/>
            <w:hideMark/>
          </w:tcPr>
          <w:p w14:paraId="1929841F"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12</w:t>
            </w:r>
          </w:p>
        </w:tc>
        <w:tc>
          <w:tcPr>
            <w:tcW w:w="4681" w:type="dxa"/>
            <w:shd w:val="clear" w:color="auto" w:fill="auto"/>
            <w:noWrap/>
            <w:vAlign w:val="bottom"/>
            <w:hideMark/>
          </w:tcPr>
          <w:p w14:paraId="68BE5EA5"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SURGAS</w:t>
            </w:r>
          </w:p>
        </w:tc>
        <w:tc>
          <w:tcPr>
            <w:tcW w:w="3961" w:type="dxa"/>
            <w:shd w:val="clear" w:color="auto" w:fill="auto"/>
            <w:noWrap/>
            <w:vAlign w:val="bottom"/>
            <w:hideMark/>
          </w:tcPr>
          <w:p w14:paraId="6A41C16C"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E2024005273</w:t>
            </w:r>
          </w:p>
        </w:tc>
      </w:tr>
      <w:tr w:rsidR="00234064" w:rsidRPr="00234064" w14:paraId="5598E582" w14:textId="77777777" w:rsidTr="00A94A8A">
        <w:trPr>
          <w:trHeight w:val="300"/>
        </w:trPr>
        <w:tc>
          <w:tcPr>
            <w:tcW w:w="567" w:type="dxa"/>
            <w:shd w:val="clear" w:color="auto" w:fill="auto"/>
            <w:noWrap/>
            <w:vAlign w:val="bottom"/>
            <w:hideMark/>
          </w:tcPr>
          <w:p w14:paraId="3DDE43C1"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13</w:t>
            </w:r>
          </w:p>
        </w:tc>
        <w:tc>
          <w:tcPr>
            <w:tcW w:w="4681" w:type="dxa"/>
            <w:shd w:val="clear" w:color="auto" w:fill="auto"/>
            <w:noWrap/>
            <w:vAlign w:val="bottom"/>
            <w:hideMark/>
          </w:tcPr>
          <w:p w14:paraId="12DA1144"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ENEL</w:t>
            </w:r>
          </w:p>
        </w:tc>
        <w:tc>
          <w:tcPr>
            <w:tcW w:w="3961" w:type="dxa"/>
            <w:shd w:val="clear" w:color="auto" w:fill="auto"/>
            <w:noWrap/>
            <w:vAlign w:val="bottom"/>
            <w:hideMark/>
          </w:tcPr>
          <w:p w14:paraId="52D5227D"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E2024005275</w:t>
            </w:r>
          </w:p>
        </w:tc>
      </w:tr>
      <w:tr w:rsidR="00234064" w:rsidRPr="00234064" w14:paraId="34C503FB" w14:textId="77777777" w:rsidTr="00A94A8A">
        <w:trPr>
          <w:trHeight w:val="300"/>
        </w:trPr>
        <w:tc>
          <w:tcPr>
            <w:tcW w:w="567" w:type="dxa"/>
            <w:shd w:val="clear" w:color="auto" w:fill="auto"/>
            <w:noWrap/>
            <w:vAlign w:val="bottom"/>
            <w:hideMark/>
          </w:tcPr>
          <w:p w14:paraId="65A98CBB"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14</w:t>
            </w:r>
          </w:p>
        </w:tc>
        <w:tc>
          <w:tcPr>
            <w:tcW w:w="4681" w:type="dxa"/>
            <w:shd w:val="clear" w:color="auto" w:fill="auto"/>
            <w:noWrap/>
            <w:vAlign w:val="bottom"/>
            <w:hideMark/>
          </w:tcPr>
          <w:p w14:paraId="3488E057"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ANDESCO</w:t>
            </w:r>
          </w:p>
        </w:tc>
        <w:tc>
          <w:tcPr>
            <w:tcW w:w="3961" w:type="dxa"/>
            <w:shd w:val="clear" w:color="auto" w:fill="auto"/>
            <w:noWrap/>
            <w:vAlign w:val="bottom"/>
            <w:hideMark/>
          </w:tcPr>
          <w:p w14:paraId="02132D7F"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E2024005277</w:t>
            </w:r>
          </w:p>
        </w:tc>
      </w:tr>
      <w:tr w:rsidR="00234064" w:rsidRPr="00234064" w14:paraId="199B8665" w14:textId="77777777" w:rsidTr="00A94A8A">
        <w:trPr>
          <w:trHeight w:val="300"/>
        </w:trPr>
        <w:tc>
          <w:tcPr>
            <w:tcW w:w="567" w:type="dxa"/>
            <w:shd w:val="clear" w:color="auto" w:fill="auto"/>
            <w:noWrap/>
            <w:vAlign w:val="bottom"/>
            <w:hideMark/>
          </w:tcPr>
          <w:p w14:paraId="0536796C"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15</w:t>
            </w:r>
          </w:p>
        </w:tc>
        <w:tc>
          <w:tcPr>
            <w:tcW w:w="4681" w:type="dxa"/>
            <w:shd w:val="clear" w:color="auto" w:fill="auto"/>
            <w:noWrap/>
            <w:vAlign w:val="bottom"/>
            <w:hideMark/>
          </w:tcPr>
          <w:p w14:paraId="15DCE86C"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ALCANOS</w:t>
            </w:r>
          </w:p>
        </w:tc>
        <w:tc>
          <w:tcPr>
            <w:tcW w:w="3961" w:type="dxa"/>
            <w:shd w:val="clear" w:color="auto" w:fill="auto"/>
            <w:noWrap/>
            <w:vAlign w:val="bottom"/>
            <w:hideMark/>
          </w:tcPr>
          <w:p w14:paraId="56CD35F3"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E2024005278, E2024005284</w:t>
            </w:r>
          </w:p>
        </w:tc>
      </w:tr>
      <w:tr w:rsidR="00234064" w:rsidRPr="00234064" w14:paraId="0E4F1B48" w14:textId="77777777" w:rsidTr="00A94A8A">
        <w:trPr>
          <w:trHeight w:val="300"/>
        </w:trPr>
        <w:tc>
          <w:tcPr>
            <w:tcW w:w="567" w:type="dxa"/>
            <w:shd w:val="clear" w:color="auto" w:fill="auto"/>
            <w:noWrap/>
            <w:vAlign w:val="bottom"/>
            <w:hideMark/>
          </w:tcPr>
          <w:p w14:paraId="7E7F7F5E"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16</w:t>
            </w:r>
          </w:p>
        </w:tc>
        <w:tc>
          <w:tcPr>
            <w:tcW w:w="4681" w:type="dxa"/>
            <w:shd w:val="clear" w:color="auto" w:fill="auto"/>
            <w:noWrap/>
            <w:vAlign w:val="bottom"/>
            <w:hideMark/>
          </w:tcPr>
          <w:p w14:paraId="7C463F91"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EMPRESA ENERGÍA DE PEREIRA</w:t>
            </w:r>
          </w:p>
        </w:tc>
        <w:tc>
          <w:tcPr>
            <w:tcW w:w="3961" w:type="dxa"/>
            <w:shd w:val="clear" w:color="auto" w:fill="auto"/>
            <w:noWrap/>
            <w:vAlign w:val="bottom"/>
            <w:hideMark/>
          </w:tcPr>
          <w:p w14:paraId="2E0198C9"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E2024005285</w:t>
            </w:r>
          </w:p>
        </w:tc>
      </w:tr>
      <w:tr w:rsidR="00234064" w:rsidRPr="00234064" w14:paraId="60316C09" w14:textId="77777777" w:rsidTr="00A94A8A">
        <w:trPr>
          <w:trHeight w:val="300"/>
        </w:trPr>
        <w:tc>
          <w:tcPr>
            <w:tcW w:w="567" w:type="dxa"/>
            <w:shd w:val="clear" w:color="auto" w:fill="auto"/>
            <w:noWrap/>
            <w:vAlign w:val="bottom"/>
            <w:hideMark/>
          </w:tcPr>
          <w:p w14:paraId="0BD65ED8"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17</w:t>
            </w:r>
          </w:p>
        </w:tc>
        <w:tc>
          <w:tcPr>
            <w:tcW w:w="4681" w:type="dxa"/>
            <w:shd w:val="clear" w:color="auto" w:fill="auto"/>
            <w:noWrap/>
            <w:vAlign w:val="bottom"/>
            <w:hideMark/>
          </w:tcPr>
          <w:p w14:paraId="3A013519"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GASORIENTE</w:t>
            </w:r>
          </w:p>
        </w:tc>
        <w:tc>
          <w:tcPr>
            <w:tcW w:w="3961" w:type="dxa"/>
            <w:shd w:val="clear" w:color="auto" w:fill="auto"/>
            <w:noWrap/>
            <w:vAlign w:val="bottom"/>
            <w:hideMark/>
          </w:tcPr>
          <w:p w14:paraId="5B5ED580"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E2024005286</w:t>
            </w:r>
          </w:p>
        </w:tc>
      </w:tr>
      <w:tr w:rsidR="00234064" w:rsidRPr="00234064" w14:paraId="770B9902" w14:textId="77777777" w:rsidTr="00A94A8A">
        <w:trPr>
          <w:trHeight w:val="300"/>
        </w:trPr>
        <w:tc>
          <w:tcPr>
            <w:tcW w:w="567" w:type="dxa"/>
            <w:shd w:val="clear" w:color="auto" w:fill="auto"/>
            <w:noWrap/>
            <w:vAlign w:val="bottom"/>
            <w:hideMark/>
          </w:tcPr>
          <w:p w14:paraId="630A7B9F"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18</w:t>
            </w:r>
          </w:p>
        </w:tc>
        <w:tc>
          <w:tcPr>
            <w:tcW w:w="4681" w:type="dxa"/>
            <w:shd w:val="clear" w:color="auto" w:fill="auto"/>
            <w:noWrap/>
            <w:vAlign w:val="bottom"/>
            <w:hideMark/>
          </w:tcPr>
          <w:p w14:paraId="24356140"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CELCIA</w:t>
            </w:r>
          </w:p>
        </w:tc>
        <w:tc>
          <w:tcPr>
            <w:tcW w:w="3961" w:type="dxa"/>
            <w:shd w:val="clear" w:color="auto" w:fill="auto"/>
            <w:noWrap/>
            <w:vAlign w:val="bottom"/>
            <w:hideMark/>
          </w:tcPr>
          <w:p w14:paraId="2EE0899A"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E2024005287</w:t>
            </w:r>
          </w:p>
        </w:tc>
      </w:tr>
      <w:tr w:rsidR="00234064" w:rsidRPr="00234064" w14:paraId="0FDB90A5" w14:textId="77777777" w:rsidTr="00A94A8A">
        <w:trPr>
          <w:trHeight w:val="300"/>
        </w:trPr>
        <w:tc>
          <w:tcPr>
            <w:tcW w:w="567" w:type="dxa"/>
            <w:shd w:val="clear" w:color="auto" w:fill="auto"/>
            <w:noWrap/>
            <w:vAlign w:val="bottom"/>
            <w:hideMark/>
          </w:tcPr>
          <w:p w14:paraId="12F9C72F"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19</w:t>
            </w:r>
          </w:p>
        </w:tc>
        <w:tc>
          <w:tcPr>
            <w:tcW w:w="4681" w:type="dxa"/>
            <w:shd w:val="clear" w:color="auto" w:fill="auto"/>
            <w:noWrap/>
            <w:vAlign w:val="bottom"/>
            <w:hideMark/>
          </w:tcPr>
          <w:p w14:paraId="135B0774"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CODISGEN</w:t>
            </w:r>
          </w:p>
        </w:tc>
        <w:tc>
          <w:tcPr>
            <w:tcW w:w="3961" w:type="dxa"/>
            <w:shd w:val="clear" w:color="auto" w:fill="auto"/>
            <w:noWrap/>
            <w:vAlign w:val="bottom"/>
            <w:hideMark/>
          </w:tcPr>
          <w:p w14:paraId="2639BB84"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E2024005279</w:t>
            </w:r>
          </w:p>
        </w:tc>
      </w:tr>
      <w:tr w:rsidR="00234064" w:rsidRPr="00234064" w14:paraId="6378628F" w14:textId="77777777" w:rsidTr="00A94A8A">
        <w:trPr>
          <w:trHeight w:val="300"/>
        </w:trPr>
        <w:tc>
          <w:tcPr>
            <w:tcW w:w="567" w:type="dxa"/>
            <w:shd w:val="clear" w:color="auto" w:fill="auto"/>
            <w:noWrap/>
            <w:vAlign w:val="bottom"/>
            <w:hideMark/>
          </w:tcPr>
          <w:p w14:paraId="7548CDAC"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20</w:t>
            </w:r>
          </w:p>
        </w:tc>
        <w:tc>
          <w:tcPr>
            <w:tcW w:w="4681" w:type="dxa"/>
            <w:shd w:val="clear" w:color="auto" w:fill="auto"/>
            <w:noWrap/>
            <w:vAlign w:val="bottom"/>
            <w:hideMark/>
          </w:tcPr>
          <w:p w14:paraId="0507477C"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GASES DEL CARIBE</w:t>
            </w:r>
          </w:p>
        </w:tc>
        <w:tc>
          <w:tcPr>
            <w:tcW w:w="3961" w:type="dxa"/>
            <w:shd w:val="clear" w:color="auto" w:fill="auto"/>
            <w:noWrap/>
            <w:vAlign w:val="bottom"/>
            <w:hideMark/>
          </w:tcPr>
          <w:p w14:paraId="034E073D"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E2024005280</w:t>
            </w:r>
          </w:p>
        </w:tc>
      </w:tr>
      <w:tr w:rsidR="00234064" w:rsidRPr="00234064" w14:paraId="6AFC8FD6" w14:textId="77777777" w:rsidTr="00A94A8A">
        <w:trPr>
          <w:trHeight w:val="300"/>
        </w:trPr>
        <w:tc>
          <w:tcPr>
            <w:tcW w:w="567" w:type="dxa"/>
            <w:shd w:val="clear" w:color="auto" w:fill="auto"/>
            <w:noWrap/>
            <w:vAlign w:val="bottom"/>
            <w:hideMark/>
          </w:tcPr>
          <w:p w14:paraId="1C69F905"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lastRenderedPageBreak/>
              <w:t>21</w:t>
            </w:r>
          </w:p>
        </w:tc>
        <w:tc>
          <w:tcPr>
            <w:tcW w:w="4681" w:type="dxa"/>
            <w:shd w:val="clear" w:color="auto" w:fill="auto"/>
            <w:noWrap/>
            <w:vAlign w:val="bottom"/>
            <w:hideMark/>
          </w:tcPr>
          <w:p w14:paraId="288302F8"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CEO</w:t>
            </w:r>
          </w:p>
        </w:tc>
        <w:tc>
          <w:tcPr>
            <w:tcW w:w="3961" w:type="dxa"/>
            <w:shd w:val="clear" w:color="auto" w:fill="auto"/>
            <w:noWrap/>
            <w:vAlign w:val="bottom"/>
            <w:hideMark/>
          </w:tcPr>
          <w:p w14:paraId="4515A8E1"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E2024005281</w:t>
            </w:r>
          </w:p>
        </w:tc>
      </w:tr>
      <w:tr w:rsidR="00234064" w:rsidRPr="00234064" w14:paraId="192DBE6E" w14:textId="77777777" w:rsidTr="00A94A8A">
        <w:trPr>
          <w:trHeight w:val="300"/>
        </w:trPr>
        <w:tc>
          <w:tcPr>
            <w:tcW w:w="567" w:type="dxa"/>
            <w:shd w:val="clear" w:color="auto" w:fill="auto"/>
            <w:noWrap/>
            <w:vAlign w:val="bottom"/>
            <w:hideMark/>
          </w:tcPr>
          <w:p w14:paraId="7626E53F"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22</w:t>
            </w:r>
          </w:p>
        </w:tc>
        <w:tc>
          <w:tcPr>
            <w:tcW w:w="4681" w:type="dxa"/>
            <w:shd w:val="clear" w:color="auto" w:fill="auto"/>
            <w:noWrap/>
            <w:vAlign w:val="bottom"/>
            <w:hideMark/>
          </w:tcPr>
          <w:p w14:paraId="4D35A04A"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VANTI</w:t>
            </w:r>
          </w:p>
        </w:tc>
        <w:tc>
          <w:tcPr>
            <w:tcW w:w="3961" w:type="dxa"/>
            <w:shd w:val="clear" w:color="auto" w:fill="auto"/>
            <w:noWrap/>
            <w:vAlign w:val="bottom"/>
            <w:hideMark/>
          </w:tcPr>
          <w:p w14:paraId="1D532135"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E2024005290</w:t>
            </w:r>
          </w:p>
        </w:tc>
      </w:tr>
      <w:tr w:rsidR="00234064" w:rsidRPr="00234064" w14:paraId="1229CBB2" w14:textId="77777777" w:rsidTr="00A94A8A">
        <w:trPr>
          <w:trHeight w:val="300"/>
        </w:trPr>
        <w:tc>
          <w:tcPr>
            <w:tcW w:w="567" w:type="dxa"/>
            <w:shd w:val="clear" w:color="auto" w:fill="auto"/>
            <w:noWrap/>
            <w:vAlign w:val="bottom"/>
            <w:hideMark/>
          </w:tcPr>
          <w:p w14:paraId="0AEF4314"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23</w:t>
            </w:r>
          </w:p>
        </w:tc>
        <w:tc>
          <w:tcPr>
            <w:tcW w:w="4681" w:type="dxa"/>
            <w:shd w:val="clear" w:color="auto" w:fill="auto"/>
            <w:noWrap/>
            <w:vAlign w:val="bottom"/>
            <w:hideMark/>
          </w:tcPr>
          <w:p w14:paraId="17ED03D3"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GDO</w:t>
            </w:r>
          </w:p>
        </w:tc>
        <w:tc>
          <w:tcPr>
            <w:tcW w:w="3961" w:type="dxa"/>
            <w:shd w:val="clear" w:color="auto" w:fill="auto"/>
            <w:noWrap/>
            <w:vAlign w:val="bottom"/>
            <w:hideMark/>
          </w:tcPr>
          <w:p w14:paraId="7AB879E9"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E2024005292</w:t>
            </w:r>
          </w:p>
        </w:tc>
      </w:tr>
      <w:tr w:rsidR="00234064" w:rsidRPr="00234064" w14:paraId="1CCAB002" w14:textId="77777777" w:rsidTr="00A94A8A">
        <w:trPr>
          <w:trHeight w:val="300"/>
        </w:trPr>
        <w:tc>
          <w:tcPr>
            <w:tcW w:w="567" w:type="dxa"/>
            <w:shd w:val="clear" w:color="auto" w:fill="auto"/>
            <w:noWrap/>
            <w:vAlign w:val="bottom"/>
            <w:hideMark/>
          </w:tcPr>
          <w:p w14:paraId="68781C71"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24</w:t>
            </w:r>
          </w:p>
        </w:tc>
        <w:tc>
          <w:tcPr>
            <w:tcW w:w="4681" w:type="dxa"/>
            <w:shd w:val="clear" w:color="auto" w:fill="auto"/>
            <w:noWrap/>
            <w:vAlign w:val="bottom"/>
            <w:hideMark/>
          </w:tcPr>
          <w:p w14:paraId="62E7FE67"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GRUPO DEL LLANO</w:t>
            </w:r>
          </w:p>
        </w:tc>
        <w:tc>
          <w:tcPr>
            <w:tcW w:w="3961" w:type="dxa"/>
            <w:shd w:val="clear" w:color="auto" w:fill="auto"/>
            <w:noWrap/>
            <w:vAlign w:val="bottom"/>
            <w:hideMark/>
          </w:tcPr>
          <w:p w14:paraId="7917B013"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E2024005293</w:t>
            </w:r>
          </w:p>
        </w:tc>
      </w:tr>
      <w:tr w:rsidR="00234064" w:rsidRPr="00234064" w14:paraId="45328634" w14:textId="77777777" w:rsidTr="00A94A8A">
        <w:trPr>
          <w:trHeight w:val="300"/>
        </w:trPr>
        <w:tc>
          <w:tcPr>
            <w:tcW w:w="567" w:type="dxa"/>
            <w:shd w:val="clear" w:color="auto" w:fill="auto"/>
            <w:noWrap/>
            <w:vAlign w:val="bottom"/>
            <w:hideMark/>
          </w:tcPr>
          <w:p w14:paraId="26CEEDCE"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25</w:t>
            </w:r>
          </w:p>
        </w:tc>
        <w:tc>
          <w:tcPr>
            <w:tcW w:w="4681" w:type="dxa"/>
            <w:shd w:val="clear" w:color="auto" w:fill="auto"/>
            <w:noWrap/>
            <w:vAlign w:val="bottom"/>
            <w:hideMark/>
          </w:tcPr>
          <w:p w14:paraId="6B85D0B3"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CUSIANAGAS</w:t>
            </w:r>
          </w:p>
        </w:tc>
        <w:tc>
          <w:tcPr>
            <w:tcW w:w="3961" w:type="dxa"/>
            <w:shd w:val="clear" w:color="auto" w:fill="auto"/>
            <w:noWrap/>
            <w:vAlign w:val="bottom"/>
            <w:hideMark/>
          </w:tcPr>
          <w:p w14:paraId="07A44D34"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E2024005294</w:t>
            </w:r>
          </w:p>
        </w:tc>
      </w:tr>
      <w:tr w:rsidR="00234064" w:rsidRPr="00234064" w14:paraId="77B52780" w14:textId="77777777" w:rsidTr="00A94A8A">
        <w:trPr>
          <w:trHeight w:val="300"/>
        </w:trPr>
        <w:tc>
          <w:tcPr>
            <w:tcW w:w="567" w:type="dxa"/>
            <w:shd w:val="clear" w:color="auto" w:fill="auto"/>
            <w:noWrap/>
            <w:vAlign w:val="bottom"/>
            <w:hideMark/>
          </w:tcPr>
          <w:p w14:paraId="3E534937"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26</w:t>
            </w:r>
          </w:p>
        </w:tc>
        <w:tc>
          <w:tcPr>
            <w:tcW w:w="4681" w:type="dxa"/>
            <w:shd w:val="clear" w:color="auto" w:fill="auto"/>
            <w:noWrap/>
            <w:vAlign w:val="bottom"/>
            <w:hideMark/>
          </w:tcPr>
          <w:p w14:paraId="1C2C9208"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ASOCODIS</w:t>
            </w:r>
          </w:p>
        </w:tc>
        <w:tc>
          <w:tcPr>
            <w:tcW w:w="3961" w:type="dxa"/>
            <w:shd w:val="clear" w:color="auto" w:fill="auto"/>
            <w:noWrap/>
            <w:vAlign w:val="bottom"/>
            <w:hideMark/>
          </w:tcPr>
          <w:p w14:paraId="74EB0895"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E2024005295</w:t>
            </w:r>
          </w:p>
        </w:tc>
      </w:tr>
      <w:tr w:rsidR="00234064" w:rsidRPr="00234064" w14:paraId="329C7C7A" w14:textId="77777777" w:rsidTr="00A94A8A">
        <w:trPr>
          <w:trHeight w:val="300"/>
        </w:trPr>
        <w:tc>
          <w:tcPr>
            <w:tcW w:w="567" w:type="dxa"/>
            <w:shd w:val="clear" w:color="auto" w:fill="auto"/>
            <w:noWrap/>
            <w:vAlign w:val="bottom"/>
            <w:hideMark/>
          </w:tcPr>
          <w:p w14:paraId="7BB93E93"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27</w:t>
            </w:r>
          </w:p>
        </w:tc>
        <w:tc>
          <w:tcPr>
            <w:tcW w:w="4681" w:type="dxa"/>
            <w:shd w:val="clear" w:color="auto" w:fill="auto"/>
            <w:noWrap/>
            <w:vAlign w:val="bottom"/>
            <w:hideMark/>
          </w:tcPr>
          <w:p w14:paraId="0CA28EF5"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VATIA</w:t>
            </w:r>
          </w:p>
        </w:tc>
        <w:tc>
          <w:tcPr>
            <w:tcW w:w="3961" w:type="dxa"/>
            <w:shd w:val="clear" w:color="auto" w:fill="auto"/>
            <w:noWrap/>
            <w:vAlign w:val="bottom"/>
            <w:hideMark/>
          </w:tcPr>
          <w:p w14:paraId="535302BA"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E2024005297</w:t>
            </w:r>
          </w:p>
        </w:tc>
      </w:tr>
      <w:tr w:rsidR="00234064" w:rsidRPr="00234064" w14:paraId="00239213" w14:textId="77777777" w:rsidTr="00A94A8A">
        <w:trPr>
          <w:trHeight w:val="300"/>
        </w:trPr>
        <w:tc>
          <w:tcPr>
            <w:tcW w:w="567" w:type="dxa"/>
            <w:shd w:val="clear" w:color="auto" w:fill="auto"/>
            <w:noWrap/>
            <w:vAlign w:val="bottom"/>
            <w:hideMark/>
          </w:tcPr>
          <w:p w14:paraId="3860252B"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28</w:t>
            </w:r>
          </w:p>
        </w:tc>
        <w:tc>
          <w:tcPr>
            <w:tcW w:w="4681" w:type="dxa"/>
            <w:shd w:val="clear" w:color="auto" w:fill="auto"/>
            <w:noWrap/>
            <w:vAlign w:val="bottom"/>
            <w:hideMark/>
          </w:tcPr>
          <w:p w14:paraId="5B7EBC16"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SURTIGAS</w:t>
            </w:r>
          </w:p>
        </w:tc>
        <w:tc>
          <w:tcPr>
            <w:tcW w:w="3961" w:type="dxa"/>
            <w:shd w:val="clear" w:color="auto" w:fill="auto"/>
            <w:noWrap/>
            <w:vAlign w:val="bottom"/>
            <w:hideMark/>
          </w:tcPr>
          <w:p w14:paraId="28026D30"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E2024005298, E2024005317</w:t>
            </w:r>
          </w:p>
        </w:tc>
      </w:tr>
      <w:tr w:rsidR="00234064" w:rsidRPr="00234064" w14:paraId="2061762B" w14:textId="77777777" w:rsidTr="00A94A8A">
        <w:trPr>
          <w:trHeight w:val="300"/>
        </w:trPr>
        <w:tc>
          <w:tcPr>
            <w:tcW w:w="567" w:type="dxa"/>
            <w:shd w:val="clear" w:color="auto" w:fill="auto"/>
            <w:noWrap/>
            <w:vAlign w:val="bottom"/>
            <w:hideMark/>
          </w:tcPr>
          <w:p w14:paraId="6FA788E3"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29</w:t>
            </w:r>
          </w:p>
        </w:tc>
        <w:tc>
          <w:tcPr>
            <w:tcW w:w="4681" w:type="dxa"/>
            <w:shd w:val="clear" w:color="auto" w:fill="auto"/>
            <w:noWrap/>
            <w:vAlign w:val="bottom"/>
            <w:hideMark/>
          </w:tcPr>
          <w:p w14:paraId="093B7032"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AIRE</w:t>
            </w:r>
          </w:p>
        </w:tc>
        <w:tc>
          <w:tcPr>
            <w:tcW w:w="3961" w:type="dxa"/>
            <w:shd w:val="clear" w:color="auto" w:fill="auto"/>
            <w:noWrap/>
            <w:vAlign w:val="bottom"/>
            <w:hideMark/>
          </w:tcPr>
          <w:p w14:paraId="484BD61A"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E2024005306</w:t>
            </w:r>
          </w:p>
        </w:tc>
      </w:tr>
      <w:tr w:rsidR="00234064" w:rsidRPr="00234064" w14:paraId="79440A3D" w14:textId="77777777" w:rsidTr="00A94A8A">
        <w:trPr>
          <w:trHeight w:val="300"/>
        </w:trPr>
        <w:tc>
          <w:tcPr>
            <w:tcW w:w="567" w:type="dxa"/>
            <w:shd w:val="clear" w:color="auto" w:fill="auto"/>
            <w:noWrap/>
            <w:vAlign w:val="bottom"/>
            <w:hideMark/>
          </w:tcPr>
          <w:p w14:paraId="55FF177A"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30</w:t>
            </w:r>
          </w:p>
        </w:tc>
        <w:tc>
          <w:tcPr>
            <w:tcW w:w="4681" w:type="dxa"/>
            <w:shd w:val="clear" w:color="auto" w:fill="auto"/>
            <w:noWrap/>
            <w:vAlign w:val="bottom"/>
            <w:hideMark/>
          </w:tcPr>
          <w:p w14:paraId="36348494"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ELECTROCAQUETA</w:t>
            </w:r>
          </w:p>
        </w:tc>
        <w:tc>
          <w:tcPr>
            <w:tcW w:w="3961" w:type="dxa"/>
            <w:shd w:val="clear" w:color="auto" w:fill="auto"/>
            <w:noWrap/>
            <w:vAlign w:val="bottom"/>
            <w:hideMark/>
          </w:tcPr>
          <w:p w14:paraId="17CEF2C4"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E2024005313</w:t>
            </w:r>
          </w:p>
        </w:tc>
      </w:tr>
      <w:tr w:rsidR="00234064" w:rsidRPr="00234064" w14:paraId="563E4A6E" w14:textId="77777777" w:rsidTr="00A94A8A">
        <w:trPr>
          <w:trHeight w:val="300"/>
        </w:trPr>
        <w:tc>
          <w:tcPr>
            <w:tcW w:w="567" w:type="dxa"/>
            <w:shd w:val="clear" w:color="auto" w:fill="auto"/>
            <w:noWrap/>
            <w:vAlign w:val="bottom"/>
            <w:hideMark/>
          </w:tcPr>
          <w:p w14:paraId="4249B97A" w14:textId="77777777" w:rsidR="00234064" w:rsidRPr="00234064" w:rsidRDefault="00234064" w:rsidP="00234064">
            <w:pPr>
              <w:ind w:left="0"/>
              <w:jc w:val="right"/>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31</w:t>
            </w:r>
          </w:p>
        </w:tc>
        <w:tc>
          <w:tcPr>
            <w:tcW w:w="4681" w:type="dxa"/>
            <w:shd w:val="clear" w:color="auto" w:fill="auto"/>
            <w:noWrap/>
            <w:vAlign w:val="bottom"/>
            <w:hideMark/>
          </w:tcPr>
          <w:p w14:paraId="215D45C7" w14:textId="77777777" w:rsidR="00234064" w:rsidRPr="00234064" w:rsidRDefault="00234064" w:rsidP="00234064">
            <w:pPr>
              <w:ind w:left="0"/>
              <w:rPr>
                <w:rFonts w:ascii="Bookman Old Style" w:hAnsi="Bookman Old Style"/>
                <w:color w:val="000000"/>
                <w:sz w:val="22"/>
                <w:szCs w:val="22"/>
                <w:lang w:val="es-CO" w:eastAsia="es-CO"/>
              </w:rPr>
            </w:pPr>
            <w:r w:rsidRPr="00234064">
              <w:rPr>
                <w:rFonts w:ascii="Bookman Old Style" w:hAnsi="Bookman Old Style"/>
                <w:color w:val="000000"/>
                <w:sz w:val="22"/>
                <w:szCs w:val="22"/>
                <w:lang w:val="es-CO" w:eastAsia="es-CO"/>
              </w:rPr>
              <w:t>ENERTOTAL</w:t>
            </w:r>
          </w:p>
        </w:tc>
        <w:tc>
          <w:tcPr>
            <w:tcW w:w="3961" w:type="dxa"/>
            <w:shd w:val="clear" w:color="auto" w:fill="auto"/>
            <w:noWrap/>
            <w:vAlign w:val="bottom"/>
            <w:hideMark/>
          </w:tcPr>
          <w:p w14:paraId="124AAF93" w14:textId="77777777" w:rsidR="00234064" w:rsidRPr="00234064" w:rsidRDefault="00234064" w:rsidP="00234064">
            <w:pPr>
              <w:ind w:left="0"/>
              <w:rPr>
                <w:rFonts w:ascii="Bookman Old Style" w:hAnsi="Bookman Old Style" w:cs="Arial"/>
                <w:color w:val="000000"/>
                <w:sz w:val="22"/>
                <w:szCs w:val="22"/>
                <w:lang w:val="es-CO" w:eastAsia="es-CO"/>
              </w:rPr>
            </w:pPr>
            <w:r w:rsidRPr="00234064">
              <w:rPr>
                <w:rFonts w:ascii="Bookman Old Style" w:hAnsi="Bookman Old Style" w:cs="Arial"/>
                <w:color w:val="000000"/>
                <w:sz w:val="22"/>
                <w:szCs w:val="22"/>
                <w:lang w:val="es-CO" w:eastAsia="es-CO"/>
              </w:rPr>
              <w:t>E2024005289</w:t>
            </w:r>
          </w:p>
        </w:tc>
      </w:tr>
    </w:tbl>
    <w:p w14:paraId="41F45810" w14:textId="77777777" w:rsidR="00234064" w:rsidRDefault="00234064" w:rsidP="00CD7626">
      <w:pPr>
        <w:spacing w:line="259" w:lineRule="auto"/>
        <w:ind w:left="142" w:right="142"/>
        <w:jc w:val="both"/>
        <w:rPr>
          <w:rFonts w:ascii="Arial" w:hAnsi="Arial" w:cs="Arial"/>
        </w:rPr>
      </w:pPr>
    </w:p>
    <w:p w14:paraId="6C4293BF" w14:textId="77777777" w:rsidR="00A94A8A" w:rsidRDefault="00A94A8A" w:rsidP="00A94A8A">
      <w:pPr>
        <w:spacing w:line="259" w:lineRule="auto"/>
        <w:ind w:left="142" w:right="142"/>
        <w:jc w:val="both"/>
        <w:rPr>
          <w:rFonts w:ascii="Bookman Old Style" w:hAnsi="Bookman Old Style" w:cs="Arial"/>
          <w:color w:val="000000"/>
        </w:rPr>
      </w:pPr>
      <w:r w:rsidRPr="00A94A8A">
        <w:rPr>
          <w:rFonts w:ascii="Bookman Old Style" w:hAnsi="Bookman Old Style" w:cs="Arial"/>
          <w:color w:val="000000"/>
        </w:rPr>
        <w:t>El análisis y respuesta a los comentarios recibidos al proyecto de resolución, así como las consideraciones adicionales de la Comisión se encuentran en el documento soporte de la resolución.</w:t>
      </w:r>
    </w:p>
    <w:p w14:paraId="7CC4E580" w14:textId="77777777" w:rsidR="00A94A8A" w:rsidRDefault="00A94A8A" w:rsidP="00A94A8A">
      <w:pPr>
        <w:spacing w:line="259" w:lineRule="auto"/>
        <w:ind w:left="142" w:right="142"/>
        <w:jc w:val="both"/>
        <w:rPr>
          <w:rFonts w:ascii="Bookman Old Style" w:hAnsi="Bookman Old Style" w:cs="Arial"/>
          <w:color w:val="000000"/>
        </w:rPr>
      </w:pPr>
    </w:p>
    <w:p w14:paraId="512AE70B" w14:textId="77777777" w:rsidR="00A94A8A" w:rsidRDefault="00A94A8A" w:rsidP="00A94A8A">
      <w:pPr>
        <w:spacing w:line="259" w:lineRule="auto"/>
        <w:ind w:left="142" w:right="142"/>
        <w:jc w:val="both"/>
        <w:rPr>
          <w:rFonts w:ascii="Bookman Old Style" w:hAnsi="Bookman Old Style" w:cs="Arial"/>
          <w:color w:val="000000"/>
        </w:rPr>
      </w:pPr>
      <w:r w:rsidRPr="00A94A8A">
        <w:rPr>
          <w:rFonts w:ascii="Bookman Old Style" w:hAnsi="Bookman Old Style" w:cs="Arial"/>
          <w:color w:val="000000"/>
        </w:rPr>
        <w:t>Diligenciado el cuestionario de que trata el artículo </w:t>
      </w:r>
      <w:hyperlink r:id="rId9" w:anchor="2.2.2.30.5" w:tgtFrame="_blank" w:history="1">
        <w:r w:rsidRPr="00A94A8A">
          <w:rPr>
            <w:rFonts w:ascii="Bookman Old Style" w:hAnsi="Bookman Old Style" w:cs="Arial"/>
            <w:color w:val="000000"/>
          </w:rPr>
          <w:t>2.2.2.30.5</w:t>
        </w:r>
      </w:hyperlink>
      <w:r w:rsidRPr="00A94A8A">
        <w:rPr>
          <w:rFonts w:ascii="Bookman Old Style" w:hAnsi="Bookman Old Style" w:cs="Arial"/>
          <w:color w:val="000000"/>
        </w:rPr>
        <w:t> del Decreto 1074 de 2015, se encontró que el ajuste regulatorio propuesto no tiene incidencia sobre la libre competencia, por lo cual no fue informado a la Superintendencia de Industria y Comercio - SIC.</w:t>
      </w:r>
    </w:p>
    <w:p w14:paraId="6BF08727" w14:textId="77777777" w:rsidR="00A94A8A" w:rsidRPr="00A94A8A" w:rsidRDefault="00A94A8A" w:rsidP="00A94A8A">
      <w:pPr>
        <w:spacing w:line="259" w:lineRule="auto"/>
        <w:ind w:left="142" w:right="142"/>
        <w:jc w:val="both"/>
        <w:rPr>
          <w:rFonts w:ascii="Bookman Old Style" w:hAnsi="Bookman Old Style" w:cs="Arial"/>
          <w:color w:val="000000"/>
        </w:rPr>
      </w:pPr>
    </w:p>
    <w:p w14:paraId="75EE771F" w14:textId="50560D1C" w:rsidR="00A94A8A" w:rsidRPr="00A94A8A" w:rsidRDefault="00A94A8A" w:rsidP="00A94A8A">
      <w:pPr>
        <w:spacing w:line="259" w:lineRule="auto"/>
        <w:ind w:left="142" w:right="142"/>
        <w:jc w:val="both"/>
        <w:rPr>
          <w:rFonts w:ascii="Bookman Old Style" w:hAnsi="Bookman Old Style" w:cs="Arial"/>
          <w:color w:val="000000"/>
        </w:rPr>
      </w:pPr>
      <w:r w:rsidRPr="00A94A8A">
        <w:rPr>
          <w:rFonts w:ascii="Bookman Old Style" w:hAnsi="Bookman Old Style" w:cs="Arial"/>
          <w:color w:val="000000"/>
        </w:rPr>
        <w:t xml:space="preserve">La Comisión de Regulación de Energía y Gas, en su sesión </w:t>
      </w:r>
      <w:r w:rsidRPr="002D1960">
        <w:rPr>
          <w:rFonts w:ascii="Bookman Old Style" w:hAnsi="Bookman Old Style" w:cs="Arial"/>
          <w:color w:val="000000"/>
        </w:rPr>
        <w:t xml:space="preserve">CREG </w:t>
      </w:r>
      <w:r w:rsidR="002D1960" w:rsidRPr="002D1960">
        <w:rPr>
          <w:rFonts w:ascii="Bookman Old Style" w:hAnsi="Bookman Old Style" w:cs="Arial"/>
          <w:color w:val="000000"/>
        </w:rPr>
        <w:t>1311</w:t>
      </w:r>
      <w:r w:rsidRPr="002D1960">
        <w:rPr>
          <w:rFonts w:ascii="Bookman Old Style" w:hAnsi="Bookman Old Style" w:cs="Arial"/>
          <w:color w:val="000000"/>
        </w:rPr>
        <w:t xml:space="preserve"> de </w:t>
      </w:r>
      <w:r w:rsidR="002D1960" w:rsidRPr="002D1960">
        <w:rPr>
          <w:rFonts w:ascii="Bookman Old Style" w:hAnsi="Bookman Old Style" w:cs="Arial"/>
          <w:color w:val="000000"/>
        </w:rPr>
        <w:t>20</w:t>
      </w:r>
      <w:r w:rsidR="002D1960">
        <w:rPr>
          <w:rFonts w:ascii="Bookman Old Style" w:hAnsi="Bookman Old Style" w:cs="Arial"/>
          <w:color w:val="000000"/>
        </w:rPr>
        <w:t xml:space="preserve"> </w:t>
      </w:r>
      <w:r w:rsidRPr="00A94A8A">
        <w:rPr>
          <w:rFonts w:ascii="Bookman Old Style" w:hAnsi="Bookman Old Style" w:cs="Arial"/>
          <w:color w:val="000000"/>
        </w:rPr>
        <w:t xml:space="preserve">de </w:t>
      </w:r>
      <w:r>
        <w:rPr>
          <w:rFonts w:ascii="Bookman Old Style" w:hAnsi="Bookman Old Style" w:cs="Arial"/>
          <w:color w:val="000000"/>
        </w:rPr>
        <w:t>abril</w:t>
      </w:r>
      <w:r w:rsidRPr="00A94A8A">
        <w:rPr>
          <w:rFonts w:ascii="Bookman Old Style" w:hAnsi="Bookman Old Style" w:cs="Arial"/>
          <w:color w:val="000000"/>
        </w:rPr>
        <w:t xml:space="preserve"> de 2024, acordó expedir la presente resolución.</w:t>
      </w:r>
    </w:p>
    <w:p w14:paraId="3DB41754" w14:textId="77777777" w:rsidR="00045D3D" w:rsidRDefault="00045D3D" w:rsidP="00396F1C">
      <w:pPr>
        <w:suppressAutoHyphens/>
        <w:ind w:left="0"/>
        <w:rPr>
          <w:rFonts w:ascii="Bookman Old Style" w:hAnsi="Bookman Old Style"/>
          <w:b/>
          <w:spacing w:val="-3"/>
        </w:rPr>
      </w:pPr>
    </w:p>
    <w:p w14:paraId="40EFC463" w14:textId="77777777" w:rsidR="00045D3D" w:rsidRPr="002D1960" w:rsidRDefault="00045D3D" w:rsidP="00045D3D">
      <w:pPr>
        <w:suppressAutoHyphens/>
        <w:jc w:val="center"/>
        <w:rPr>
          <w:rFonts w:ascii="Bookman Old Style" w:hAnsi="Bookman Old Style"/>
          <w:spacing w:val="-3"/>
        </w:rPr>
      </w:pPr>
      <w:r w:rsidRPr="002D1960">
        <w:rPr>
          <w:rFonts w:ascii="Bookman Old Style" w:hAnsi="Bookman Old Style"/>
          <w:b/>
          <w:spacing w:val="-3"/>
        </w:rPr>
        <w:t>R E S U E L V E:</w:t>
      </w:r>
    </w:p>
    <w:p w14:paraId="494DDFC2" w14:textId="77777777" w:rsidR="00045D3D" w:rsidRPr="002D1960" w:rsidRDefault="00045D3D" w:rsidP="00045D3D">
      <w:pPr>
        <w:jc w:val="center"/>
        <w:rPr>
          <w:rFonts w:ascii="Bookman Old Style" w:hAnsi="Bookman Old Style"/>
        </w:rPr>
      </w:pPr>
    </w:p>
    <w:p w14:paraId="1F032986" w14:textId="4C7CC2C6" w:rsidR="00045D3D" w:rsidRDefault="002D1960" w:rsidP="002D1960">
      <w:pPr>
        <w:ind w:left="0"/>
        <w:rPr>
          <w:rFonts w:ascii="Bookman Old Style" w:hAnsi="Bookman Old Style" w:cs="Arial"/>
        </w:rPr>
      </w:pPr>
      <w:r w:rsidRPr="002D1960">
        <w:rPr>
          <w:rFonts w:ascii="Bookman Old Style" w:hAnsi="Bookman Old Style"/>
          <w:b/>
        </w:rPr>
        <w:t>Artículo 1.</w:t>
      </w:r>
      <w:r>
        <w:rPr>
          <w:rFonts w:ascii="Bookman Old Style" w:hAnsi="Bookman Old Style" w:cs="Arial"/>
        </w:rPr>
        <w:t xml:space="preserve"> </w:t>
      </w:r>
      <w:r w:rsidR="00CD7626" w:rsidRPr="002D1960">
        <w:rPr>
          <w:rFonts w:ascii="Bookman Old Style" w:hAnsi="Bookman Old Style" w:cs="Arial"/>
        </w:rPr>
        <w:t>Modifíquese</w:t>
      </w:r>
      <w:r w:rsidR="00CD7626" w:rsidRPr="00D27A04">
        <w:rPr>
          <w:rFonts w:ascii="Bookman Old Style" w:hAnsi="Bookman Old Style" w:cs="Arial"/>
        </w:rPr>
        <w:t xml:space="preserve"> el artículo 3 en lo que respecta al plazo establecido para el inicio de aplicación de las disposiciones contenidas en la Resolución CREG 105 007 de 2024, </w:t>
      </w:r>
      <w:r w:rsidR="00CD7626" w:rsidRPr="002D1960">
        <w:rPr>
          <w:rFonts w:ascii="Bookman Old Style" w:hAnsi="Bookman Old Style" w:cs="Arial"/>
        </w:rPr>
        <w:t xml:space="preserve">el cual se amplía </w:t>
      </w:r>
      <w:r w:rsidR="00D27A04" w:rsidRPr="002D1960">
        <w:rPr>
          <w:rFonts w:ascii="Bookman Old Style" w:hAnsi="Bookman Old Style" w:cs="Arial"/>
        </w:rPr>
        <w:t>hasta el 24 de julio de 2024.</w:t>
      </w:r>
    </w:p>
    <w:p w14:paraId="79A96095" w14:textId="77777777" w:rsidR="00396F1C" w:rsidRPr="00D27A04" w:rsidRDefault="00396F1C" w:rsidP="002D1960">
      <w:pPr>
        <w:ind w:left="0"/>
        <w:rPr>
          <w:rFonts w:ascii="Bookman Old Style" w:hAnsi="Bookman Old Style"/>
          <w:highlight w:val="yellow"/>
        </w:rPr>
      </w:pPr>
    </w:p>
    <w:p w14:paraId="5F5B7DDF" w14:textId="285CB236" w:rsidR="00CD7626" w:rsidRDefault="002D1960" w:rsidP="002D1960">
      <w:pPr>
        <w:tabs>
          <w:tab w:val="left" w:pos="1701"/>
          <w:tab w:val="num" w:pos="2150"/>
        </w:tabs>
        <w:spacing w:before="120" w:after="240"/>
        <w:ind w:left="0"/>
        <w:jc w:val="both"/>
        <w:rPr>
          <w:rFonts w:ascii="Bookman Old Style" w:hAnsi="Bookman Old Style" w:cs="Arial"/>
        </w:rPr>
      </w:pPr>
      <w:r>
        <w:rPr>
          <w:rFonts w:ascii="Bookman Old Style" w:hAnsi="Bookman Old Style"/>
          <w:b/>
        </w:rPr>
        <w:t>Artículo 2</w:t>
      </w:r>
      <w:r w:rsidR="00396F1C">
        <w:rPr>
          <w:rFonts w:ascii="Bookman Old Style" w:hAnsi="Bookman Old Style"/>
          <w:b/>
        </w:rPr>
        <w:t xml:space="preserve">. </w:t>
      </w:r>
      <w:r w:rsidR="00CD7626">
        <w:rPr>
          <w:rFonts w:ascii="Bookman Old Style" w:hAnsi="Bookman Old Style"/>
          <w:b/>
        </w:rPr>
        <w:t>Vigencia y derogatorias.</w:t>
      </w:r>
      <w:r w:rsidR="00396F1C">
        <w:rPr>
          <w:rFonts w:ascii="Bookman Old Style" w:hAnsi="Bookman Old Style"/>
          <w:i/>
          <w:sz w:val="22"/>
        </w:rPr>
        <w:t xml:space="preserve"> </w:t>
      </w:r>
      <w:r w:rsidR="00CD7626" w:rsidRPr="00E30F97">
        <w:rPr>
          <w:rFonts w:ascii="Bookman Old Style" w:hAnsi="Bookman Old Style" w:cs="Arial"/>
        </w:rPr>
        <w:t>La presente resolución</w:t>
      </w:r>
      <w:r w:rsidR="00CD7626">
        <w:rPr>
          <w:rFonts w:ascii="Bookman Old Style" w:hAnsi="Bookman Old Style" w:cs="Arial"/>
        </w:rPr>
        <w:t xml:space="preserve"> </w:t>
      </w:r>
      <w:r w:rsidR="00CD7626" w:rsidRPr="00E30F97">
        <w:rPr>
          <w:rFonts w:ascii="Bookman Old Style" w:hAnsi="Bookman Old Style" w:cs="Arial"/>
        </w:rPr>
        <w:t xml:space="preserve">rige </w:t>
      </w:r>
      <w:r w:rsidR="00CD7626">
        <w:rPr>
          <w:rFonts w:ascii="Bookman Old Style" w:hAnsi="Bookman Old Style" w:cs="Arial"/>
        </w:rPr>
        <w:t xml:space="preserve">de forma transitoria </w:t>
      </w:r>
      <w:r w:rsidR="00CD7626" w:rsidRPr="00E30F97">
        <w:rPr>
          <w:rFonts w:ascii="Bookman Old Style" w:hAnsi="Bookman Old Style" w:cs="Arial"/>
        </w:rPr>
        <w:t xml:space="preserve">a partir de su publicación en el </w:t>
      </w:r>
      <w:r w:rsidR="00CD7626" w:rsidRPr="003F0F63">
        <w:rPr>
          <w:rFonts w:ascii="Bookman Old Style" w:hAnsi="Bookman Old Style" w:cs="Arial"/>
          <w:i/>
          <w:iCs/>
        </w:rPr>
        <w:t>Diario Oficial</w:t>
      </w:r>
      <w:r w:rsidR="00CD7626">
        <w:rPr>
          <w:rFonts w:ascii="Bookman Old Style" w:hAnsi="Bookman Old Style" w:cs="Arial"/>
        </w:rPr>
        <w:t xml:space="preserve"> .</w:t>
      </w:r>
    </w:p>
    <w:p w14:paraId="676D6F21" w14:textId="77777777" w:rsidR="00AA6766" w:rsidRDefault="00AA6766" w:rsidP="00AA6766">
      <w:pPr>
        <w:pStyle w:val="Prrafodelista"/>
        <w:rPr>
          <w:rFonts w:ascii="Bookman Old Style" w:hAnsi="Bookman Old Style" w:cs="Arial"/>
        </w:rPr>
      </w:pPr>
    </w:p>
    <w:p w14:paraId="49F35126" w14:textId="77777777" w:rsidR="00396F1C" w:rsidRDefault="00396F1C" w:rsidP="00396F1C">
      <w:pPr>
        <w:jc w:val="center"/>
        <w:rPr>
          <w:rFonts w:ascii="Bookman Old Style" w:hAnsi="Bookman Old Style"/>
          <w:b/>
        </w:rPr>
      </w:pPr>
      <w:r w:rsidRPr="00C435C3">
        <w:rPr>
          <w:rFonts w:ascii="Bookman Old Style" w:hAnsi="Bookman Old Style"/>
          <w:b/>
        </w:rPr>
        <w:t>PU</w:t>
      </w:r>
      <w:r>
        <w:rPr>
          <w:rFonts w:ascii="Bookman Old Style" w:hAnsi="Bookman Old Style"/>
          <w:b/>
        </w:rPr>
        <w:t>B</w:t>
      </w:r>
      <w:r w:rsidRPr="00C435C3">
        <w:rPr>
          <w:rFonts w:ascii="Bookman Old Style" w:hAnsi="Bookman Old Style"/>
          <w:b/>
        </w:rPr>
        <w:t>LÍQUESE Y CÚMPLASE</w:t>
      </w:r>
    </w:p>
    <w:p w14:paraId="167CEE9B" w14:textId="77777777" w:rsidR="00396F1C" w:rsidRDefault="00396F1C" w:rsidP="00396F1C">
      <w:pPr>
        <w:jc w:val="center"/>
        <w:rPr>
          <w:rFonts w:ascii="Bookman Old Style" w:hAnsi="Bookman Old Style"/>
          <w:b/>
        </w:rPr>
      </w:pPr>
    </w:p>
    <w:tbl>
      <w:tblPr>
        <w:tblW w:w="0" w:type="auto"/>
        <w:tblCellMar>
          <w:top w:w="15" w:type="dxa"/>
          <w:left w:w="15" w:type="dxa"/>
          <w:bottom w:w="15" w:type="dxa"/>
          <w:right w:w="15" w:type="dxa"/>
        </w:tblCellMar>
        <w:tblLook w:val="04A0" w:firstRow="1" w:lastRow="0" w:firstColumn="1" w:lastColumn="0" w:noHBand="0" w:noVBand="1"/>
      </w:tblPr>
      <w:tblGrid>
        <w:gridCol w:w="4992"/>
        <w:gridCol w:w="4364"/>
      </w:tblGrid>
      <w:tr w:rsidR="00396F1C" w:rsidRPr="00353052" w14:paraId="5AEC03A7" w14:textId="77777777" w:rsidTr="00F464BE">
        <w:tc>
          <w:tcPr>
            <w:tcW w:w="5067" w:type="dxa"/>
            <w:tcBorders>
              <w:top w:val="nil"/>
              <w:left w:val="nil"/>
              <w:bottom w:val="nil"/>
              <w:right w:val="nil"/>
            </w:tcBorders>
            <w:tcMar>
              <w:top w:w="0" w:type="dxa"/>
              <w:left w:w="108" w:type="dxa"/>
              <w:bottom w:w="0" w:type="dxa"/>
              <w:right w:w="108" w:type="dxa"/>
            </w:tcMar>
            <w:hideMark/>
          </w:tcPr>
          <w:p w14:paraId="51DA74F1" w14:textId="77777777" w:rsidR="00396F1C" w:rsidRPr="00353052" w:rsidRDefault="00396F1C" w:rsidP="00F464BE">
            <w:pPr>
              <w:spacing w:line="276" w:lineRule="atLeast"/>
              <w:ind w:left="0"/>
              <w:jc w:val="center"/>
              <w:rPr>
                <w:rFonts w:ascii="Bookman Old Style" w:hAnsi="Bookman Old Style"/>
                <w:lang w:val="es-CO" w:eastAsia="es-CO"/>
              </w:rPr>
            </w:pPr>
          </w:p>
        </w:tc>
        <w:tc>
          <w:tcPr>
            <w:tcW w:w="4429" w:type="dxa"/>
            <w:tcBorders>
              <w:top w:val="nil"/>
              <w:left w:val="nil"/>
              <w:bottom w:val="nil"/>
              <w:right w:val="nil"/>
            </w:tcBorders>
            <w:tcMar>
              <w:top w:w="0" w:type="dxa"/>
              <w:left w:w="108" w:type="dxa"/>
              <w:bottom w:w="0" w:type="dxa"/>
              <w:right w:w="108" w:type="dxa"/>
            </w:tcMar>
            <w:hideMark/>
          </w:tcPr>
          <w:p w14:paraId="44C52A13" w14:textId="77777777" w:rsidR="00396F1C" w:rsidRPr="00353052" w:rsidRDefault="00396F1C" w:rsidP="00F464BE">
            <w:pPr>
              <w:spacing w:line="276" w:lineRule="atLeast"/>
              <w:ind w:left="0"/>
              <w:jc w:val="center"/>
              <w:rPr>
                <w:rFonts w:ascii="Bookman Old Style" w:hAnsi="Bookman Old Style"/>
                <w:lang w:val="es-CO" w:eastAsia="es-CO"/>
              </w:rPr>
            </w:pPr>
          </w:p>
        </w:tc>
      </w:tr>
    </w:tbl>
    <w:p w14:paraId="2B54F4F6" w14:textId="77777777" w:rsidR="00396F1C" w:rsidRPr="00B428EB" w:rsidRDefault="00396F1C" w:rsidP="00396F1C">
      <w:pPr>
        <w:ind w:left="0"/>
        <w:rPr>
          <w:rFonts w:ascii="Bookman Old Style" w:hAnsi="Bookman Old Style"/>
          <w:b/>
          <w:lang w:val="es-CO"/>
        </w:rPr>
      </w:pPr>
    </w:p>
    <w:p w14:paraId="75464C4B" w14:textId="77777777" w:rsidR="00396F1C" w:rsidRDefault="00396F1C" w:rsidP="00396F1C">
      <w:pPr>
        <w:spacing w:line="276" w:lineRule="auto"/>
        <w:ind w:left="0"/>
        <w:rPr>
          <w:rFonts w:ascii="Bookman Old Style" w:hAnsi="Bookman Old Style"/>
        </w:rPr>
      </w:pPr>
      <w:r>
        <w:rPr>
          <w:rFonts w:ascii="Bookman Old Style" w:hAnsi="Bookman Old Style"/>
        </w:rPr>
        <w:t>Dada en Bogotá, D.C., a los 20 días de abril de 2024.</w:t>
      </w:r>
    </w:p>
    <w:p w14:paraId="24E9CBAA" w14:textId="77777777" w:rsidR="00396F1C" w:rsidRDefault="00396F1C" w:rsidP="00396F1C">
      <w:pPr>
        <w:spacing w:line="276" w:lineRule="auto"/>
        <w:ind w:left="0"/>
        <w:rPr>
          <w:rFonts w:ascii="Bookman Old Style" w:hAnsi="Bookman Old Style"/>
        </w:rPr>
      </w:pPr>
    </w:p>
    <w:p w14:paraId="3836FA52" w14:textId="77777777" w:rsidR="00396F1C" w:rsidRDefault="00396F1C" w:rsidP="00396F1C">
      <w:pPr>
        <w:spacing w:line="276" w:lineRule="auto"/>
        <w:ind w:left="0"/>
        <w:rPr>
          <w:rFonts w:ascii="Bookman Old Style" w:hAnsi="Bookman Old Style"/>
        </w:rPr>
      </w:pPr>
    </w:p>
    <w:tbl>
      <w:tblPr>
        <w:tblW w:w="0" w:type="auto"/>
        <w:jc w:val="center"/>
        <w:tblLayout w:type="fixed"/>
        <w:tblCellMar>
          <w:left w:w="70" w:type="dxa"/>
          <w:right w:w="70" w:type="dxa"/>
        </w:tblCellMar>
        <w:tblLook w:val="04A0" w:firstRow="1" w:lastRow="0" w:firstColumn="1" w:lastColumn="0" w:noHBand="0" w:noVBand="1"/>
      </w:tblPr>
      <w:tblGrid>
        <w:gridCol w:w="5067"/>
        <w:gridCol w:w="4429"/>
      </w:tblGrid>
      <w:tr w:rsidR="00396F1C" w14:paraId="3789F725" w14:textId="77777777" w:rsidTr="00F464BE">
        <w:trPr>
          <w:jc w:val="center"/>
        </w:trPr>
        <w:tc>
          <w:tcPr>
            <w:tcW w:w="5067" w:type="dxa"/>
            <w:hideMark/>
          </w:tcPr>
          <w:p w14:paraId="302DF328" w14:textId="77777777" w:rsidR="00396F1C" w:rsidRDefault="00396F1C" w:rsidP="00F464BE">
            <w:pPr>
              <w:tabs>
                <w:tab w:val="left" w:pos="-720"/>
              </w:tabs>
              <w:suppressAutoHyphens/>
              <w:spacing w:line="276" w:lineRule="auto"/>
              <w:ind w:left="0"/>
              <w:jc w:val="center"/>
              <w:rPr>
                <w:rFonts w:ascii="Bookman Old Style" w:hAnsi="Bookman Old Style" w:cs="Arial"/>
                <w:b/>
                <w:spacing w:val="-3"/>
              </w:rPr>
            </w:pPr>
            <w:r>
              <w:rPr>
                <w:rFonts w:ascii="Bookman Old Style" w:hAnsi="Bookman Old Style" w:cs="Arial"/>
                <w:b/>
                <w:spacing w:val="-3"/>
              </w:rPr>
              <w:t>OMAR ANDRÉS CAMACHO MORALES</w:t>
            </w:r>
          </w:p>
          <w:p w14:paraId="6DD6176D" w14:textId="77777777" w:rsidR="00396F1C" w:rsidRDefault="00396F1C" w:rsidP="00F464BE">
            <w:pPr>
              <w:tabs>
                <w:tab w:val="left" w:pos="-720"/>
              </w:tabs>
              <w:suppressAutoHyphens/>
              <w:spacing w:line="276" w:lineRule="auto"/>
              <w:ind w:left="0"/>
              <w:jc w:val="center"/>
              <w:rPr>
                <w:rFonts w:ascii="Bookman Old Style" w:hAnsi="Bookman Old Style"/>
              </w:rPr>
            </w:pPr>
            <w:r>
              <w:rPr>
                <w:rFonts w:ascii="Bookman Old Style" w:hAnsi="Bookman Old Style"/>
              </w:rPr>
              <w:t>Ministro de Minas y Energía</w:t>
            </w:r>
          </w:p>
          <w:p w14:paraId="494D9EE4" w14:textId="77777777" w:rsidR="00396F1C" w:rsidRDefault="00396F1C" w:rsidP="00F464BE">
            <w:pPr>
              <w:tabs>
                <w:tab w:val="left" w:pos="-720"/>
              </w:tabs>
              <w:suppressAutoHyphens/>
              <w:spacing w:line="276" w:lineRule="auto"/>
              <w:ind w:left="0"/>
              <w:jc w:val="center"/>
              <w:rPr>
                <w:rFonts w:ascii="Bookman Old Style" w:hAnsi="Bookman Old Style" w:cs="Arial"/>
                <w:b/>
                <w:strike/>
                <w:spacing w:val="-3"/>
              </w:rPr>
            </w:pPr>
            <w:r>
              <w:rPr>
                <w:rFonts w:ascii="Bookman Old Style" w:hAnsi="Bookman Old Style"/>
              </w:rPr>
              <w:t>Presidente</w:t>
            </w:r>
          </w:p>
        </w:tc>
        <w:tc>
          <w:tcPr>
            <w:tcW w:w="4429" w:type="dxa"/>
            <w:hideMark/>
          </w:tcPr>
          <w:p w14:paraId="41D5790E" w14:textId="77777777" w:rsidR="00396F1C" w:rsidRDefault="00396F1C" w:rsidP="00F464BE">
            <w:pPr>
              <w:tabs>
                <w:tab w:val="left" w:pos="-720"/>
              </w:tabs>
              <w:suppressAutoHyphens/>
              <w:spacing w:line="276" w:lineRule="auto"/>
              <w:ind w:left="0"/>
              <w:jc w:val="center"/>
              <w:rPr>
                <w:rFonts w:ascii="Bookman Old Style" w:hAnsi="Bookman Old Style" w:cs="Arial"/>
                <w:b/>
              </w:rPr>
            </w:pPr>
            <w:r>
              <w:rPr>
                <w:rFonts w:ascii="Bookman Old Style" w:hAnsi="Bookman Old Style" w:cs="Arial"/>
                <w:b/>
              </w:rPr>
              <w:t>OMAR PRÍAS CAICEDO</w:t>
            </w:r>
          </w:p>
          <w:p w14:paraId="3591DAF7" w14:textId="77777777" w:rsidR="00396F1C" w:rsidRDefault="00396F1C" w:rsidP="00F464BE">
            <w:pPr>
              <w:tabs>
                <w:tab w:val="left" w:pos="-720"/>
              </w:tabs>
              <w:suppressAutoHyphens/>
              <w:spacing w:line="276" w:lineRule="auto"/>
              <w:ind w:left="0"/>
              <w:jc w:val="center"/>
              <w:rPr>
                <w:rFonts w:ascii="Bookman Old Style" w:hAnsi="Bookman Old Style" w:cs="Arial"/>
                <w:b/>
                <w:spacing w:val="-3"/>
              </w:rPr>
            </w:pPr>
            <w:r>
              <w:rPr>
                <w:rFonts w:ascii="Bookman Old Style" w:hAnsi="Bookman Old Style" w:cs="Arial"/>
                <w:spacing w:val="-3"/>
              </w:rPr>
              <w:t>Director Ejecutivo</w:t>
            </w:r>
          </w:p>
        </w:tc>
      </w:tr>
    </w:tbl>
    <w:p w14:paraId="63FEF82F" w14:textId="77777777" w:rsidR="00396F1C" w:rsidRDefault="00396F1C" w:rsidP="00AA6766">
      <w:pPr>
        <w:tabs>
          <w:tab w:val="left" w:pos="1701"/>
          <w:tab w:val="num" w:pos="2150"/>
        </w:tabs>
        <w:spacing w:before="120" w:after="240"/>
        <w:ind w:left="142"/>
        <w:jc w:val="center"/>
        <w:rPr>
          <w:rFonts w:ascii="Bookman Old Style" w:hAnsi="Bookman Old Style" w:cs="Arial"/>
        </w:rPr>
      </w:pPr>
    </w:p>
    <w:p w14:paraId="575CB3AC" w14:textId="53F8C1B5" w:rsidR="00045D3D" w:rsidRDefault="00045D3D" w:rsidP="00DF3CA2">
      <w:pPr>
        <w:ind w:left="0"/>
        <w:jc w:val="both"/>
        <w:rPr>
          <w:rFonts w:ascii="Bookman Old Style" w:hAnsi="Bookman Old Style"/>
          <w:i/>
          <w:sz w:val="22"/>
        </w:rPr>
      </w:pPr>
      <w:r>
        <w:rPr>
          <w:rFonts w:ascii="Bookman Old Style" w:hAnsi="Bookman Old Style"/>
          <w:i/>
          <w:sz w:val="22"/>
        </w:rPr>
        <w:t xml:space="preserve"> </w:t>
      </w:r>
    </w:p>
    <w:p w14:paraId="1A65BDF4" w14:textId="77777777" w:rsidR="00045D3D" w:rsidRDefault="00045D3D" w:rsidP="00045D3D">
      <w:pPr>
        <w:jc w:val="both"/>
        <w:rPr>
          <w:rFonts w:ascii="Bookman Old Style" w:hAnsi="Bookman Old Style"/>
          <w:i/>
          <w:sz w:val="22"/>
        </w:rPr>
      </w:pPr>
    </w:p>
    <w:p w14:paraId="4C3505C4" w14:textId="77777777" w:rsidR="00045D3D" w:rsidRPr="00C435C3" w:rsidRDefault="00045D3D" w:rsidP="00045D3D">
      <w:pPr>
        <w:ind w:left="0"/>
        <w:rPr>
          <w:rFonts w:ascii="Bookman Old Style" w:hAnsi="Bookman Old Style"/>
        </w:rPr>
      </w:pPr>
    </w:p>
    <w:sectPr w:rsidR="00045D3D" w:rsidRPr="00C435C3" w:rsidSect="00246283">
      <w:headerReference w:type="default" r:id="rId10"/>
      <w:headerReference w:type="first" r:id="rId11"/>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B598E" w14:textId="77777777" w:rsidR="00246283" w:rsidRDefault="00246283">
      <w:r>
        <w:separator/>
      </w:r>
    </w:p>
  </w:endnote>
  <w:endnote w:type="continuationSeparator" w:id="0">
    <w:p w14:paraId="14B56F07" w14:textId="77777777" w:rsidR="00246283" w:rsidRDefault="0024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F8C7D" w14:textId="77777777" w:rsidR="00246283" w:rsidRDefault="00246283">
      <w:r>
        <w:separator/>
      </w:r>
    </w:p>
  </w:footnote>
  <w:footnote w:type="continuationSeparator" w:id="0">
    <w:p w14:paraId="6E9F59DF" w14:textId="77777777" w:rsidR="00246283" w:rsidRDefault="00246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A87ED" w14:textId="0E832655" w:rsidR="00CC51D4" w:rsidRDefault="00CC51D4" w:rsidP="00951F79">
    <w:pPr>
      <w:pStyle w:val="Ttulo1"/>
      <w:ind w:right="6"/>
      <w:jc w:val="left"/>
      <w:rPr>
        <w:rFonts w:ascii="Bookman Old Style" w:hAnsi="Bookman Old Style" w:cs="Arial"/>
        <w:b w:val="0"/>
        <w:sz w:val="22"/>
        <w:szCs w:val="22"/>
      </w:rPr>
    </w:pPr>
  </w:p>
  <w:p w14:paraId="267D8AF5" w14:textId="5F4E8944" w:rsidR="0087657D" w:rsidRPr="00951F79" w:rsidRDefault="00725FA4" w:rsidP="009F4BEC">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00A94A8A" w:rsidRPr="002D1960">
      <w:rPr>
        <w:rFonts w:ascii="Bookman Old Style" w:hAnsi="Bookman Old Style" w:cs="Arial"/>
        <w:bCs/>
        <w:szCs w:val="24"/>
        <w:u w:val="single"/>
      </w:rPr>
      <w:t>1</w:t>
    </w:r>
    <w:r w:rsidR="00752248" w:rsidRPr="002D1960">
      <w:rPr>
        <w:rFonts w:ascii="Bookman Old Style" w:hAnsi="Bookman Old Style" w:cs="Arial"/>
        <w:bCs/>
        <w:szCs w:val="24"/>
        <w:u w:val="single"/>
      </w:rPr>
      <w:t>05 00</w:t>
    </w:r>
    <w:r w:rsidR="002D1960" w:rsidRPr="002D1960">
      <w:rPr>
        <w:rFonts w:ascii="Bookman Old Style" w:hAnsi="Bookman Old Style" w:cs="Arial"/>
        <w:bCs/>
        <w:szCs w:val="24"/>
        <w:u w:val="single"/>
      </w:rPr>
      <w:t>8</w:t>
    </w:r>
    <w:r w:rsidR="002D1960">
      <w:rPr>
        <w:rFonts w:ascii="Bookman Old Style" w:hAnsi="Bookman Old Style" w:cs="Arial"/>
        <w:bCs/>
        <w:sz w:val="22"/>
        <w:szCs w:val="22"/>
        <w:u w:val="single"/>
      </w:rPr>
      <w:t xml:space="preserve"> </w:t>
    </w:r>
    <w:r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0D26F8">
      <w:rPr>
        <w:rFonts w:ascii="Bookman Old Style" w:hAnsi="Bookman Old Style" w:cs="Arial"/>
        <w:b w:val="0"/>
        <w:sz w:val="22"/>
        <w:szCs w:val="22"/>
      </w:rPr>
      <w:t xml:space="preserve"> </w:t>
    </w:r>
    <w:r w:rsidR="00752248">
      <w:rPr>
        <w:rFonts w:ascii="Bookman Old Style" w:hAnsi="Bookman Old Style" w:cs="Arial"/>
        <w:b w:val="0"/>
        <w:sz w:val="22"/>
        <w:szCs w:val="22"/>
      </w:rPr>
      <w:t xml:space="preserve">    </w:t>
    </w:r>
    <w:r w:rsidR="002D1960" w:rsidRPr="002D1960">
      <w:rPr>
        <w:rFonts w:ascii="Bookman Old Style" w:hAnsi="Bookman Old Style" w:cs="Arial"/>
        <w:bCs/>
        <w:szCs w:val="24"/>
        <w:u w:val="single"/>
      </w:rPr>
      <w:t xml:space="preserve">20 </w:t>
    </w:r>
    <w:r w:rsidR="00752248" w:rsidRPr="002D1960">
      <w:rPr>
        <w:rFonts w:ascii="Bookman Old Style" w:hAnsi="Bookman Old Style" w:cs="Arial"/>
        <w:bCs/>
        <w:szCs w:val="24"/>
        <w:u w:val="single"/>
      </w:rPr>
      <w:t>ABR. 2024</w:t>
    </w:r>
    <w:r w:rsidR="003D076C">
      <w:rPr>
        <w:rFonts w:ascii="Bookman Old Style" w:hAnsi="Bookman Old Style" w:cs="Arial"/>
        <w:b w:val="0"/>
        <w:sz w:val="22"/>
        <w:szCs w:val="22"/>
      </w:rPr>
      <w:tab/>
    </w:r>
    <w:r w:rsidR="00752248">
      <w:rPr>
        <w:rFonts w:ascii="Bookman Old Style" w:hAnsi="Bookman Old Style" w:cs="Arial"/>
        <w:b w:val="0"/>
        <w:sz w:val="22"/>
        <w:szCs w:val="22"/>
      </w:rPr>
      <w:t xml:space="preserve">                   </w:t>
    </w:r>
    <w:r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fldSimple w:instr=" NUMPAGES  \* MERGEFORMAT ">
      <w:r w:rsidR="00F77D2D" w:rsidRPr="00F77D2D">
        <w:rPr>
          <w:rFonts w:ascii="Bookman Old Style" w:hAnsi="Bookman Old Style" w:cs="Arial"/>
          <w:b w:val="0"/>
          <w:noProof/>
          <w:sz w:val="22"/>
          <w:szCs w:val="22"/>
        </w:rPr>
        <w:t>2</w:t>
      </w:r>
    </w:fldSimple>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7216"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C70F" id="Rectangle 1" o:spid="_x0000_s1026" style="position:absolute;margin-left:-13.8pt;margin-top:10.95pt;width:493.5pt;height:7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30B7CB8B" w14:textId="49BC8842" w:rsidR="00045D3D" w:rsidRPr="00045D3D" w:rsidRDefault="00045D3D" w:rsidP="00045D3D">
    <w:pPr>
      <w:ind w:left="0"/>
      <w:jc w:val="both"/>
      <w:rPr>
        <w:rFonts w:ascii="Bookman Old Style" w:hAnsi="Bookman Old Style"/>
        <w:sz w:val="22"/>
        <w:szCs w:val="22"/>
      </w:rPr>
    </w:pPr>
  </w:p>
  <w:p w14:paraId="16086E3D" w14:textId="58623729" w:rsidR="0044318E" w:rsidRPr="00045D3D" w:rsidRDefault="002D1960" w:rsidP="00AD01E4">
    <w:pPr>
      <w:pBdr>
        <w:bottom w:val="single" w:sz="4" w:space="1" w:color="auto"/>
      </w:pBdr>
      <w:ind w:left="142" w:right="148"/>
      <w:rPr>
        <w:b/>
      </w:rPr>
    </w:pPr>
    <w:r w:rsidRPr="00FB13DA">
      <w:rPr>
        <w:rFonts w:ascii="Bookman Old Style" w:hAnsi="Bookman Old Style"/>
      </w:rPr>
      <w:t>Por la cual se modifica el artículo 3 de la Resolución CREG 105 007 de 2024</w:t>
    </w:r>
    <w:r>
      <w:rPr>
        <w:rFonts w:ascii="Bookman Old Style" w:hAnsi="Bookman Old Sty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DA16" w14:textId="77777777"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0"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78AB" id="Rectangle 2" o:spid="_x0000_s1026" style="position:absolute;margin-left:-16.8pt;margin-top:29.7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F47E467C"/>
    <w:lvl w:ilvl="0" w:tplc="749277F4">
      <w:start w:val="1"/>
      <w:numFmt w:val="decimal"/>
      <w:lvlText w:val="Artículo %1."/>
      <w:lvlJc w:val="left"/>
      <w:pPr>
        <w:tabs>
          <w:tab w:val="num" w:pos="1440"/>
        </w:tabs>
        <w:ind w:left="0" w:firstLine="0"/>
      </w:pPr>
      <w:rPr>
        <w:rFonts w:hint="default"/>
        <w:b/>
        <w:i w:val="0"/>
        <w:color w:val="000000" w:themeColor="text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2"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4"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5"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953670">
    <w:abstractNumId w:val="11"/>
  </w:num>
  <w:num w:numId="2" w16cid:durableId="1497382030">
    <w:abstractNumId w:val="5"/>
  </w:num>
  <w:num w:numId="3" w16cid:durableId="1643658739">
    <w:abstractNumId w:val="20"/>
  </w:num>
  <w:num w:numId="4" w16cid:durableId="1416053916">
    <w:abstractNumId w:val="6"/>
  </w:num>
  <w:num w:numId="5" w16cid:durableId="1460681335">
    <w:abstractNumId w:val="15"/>
  </w:num>
  <w:num w:numId="6" w16cid:durableId="432214895">
    <w:abstractNumId w:val="4"/>
  </w:num>
  <w:num w:numId="7" w16cid:durableId="845751384">
    <w:abstractNumId w:val="3"/>
  </w:num>
  <w:num w:numId="8" w16cid:durableId="29301030">
    <w:abstractNumId w:val="17"/>
  </w:num>
  <w:num w:numId="9" w16cid:durableId="2003662021">
    <w:abstractNumId w:val="16"/>
  </w:num>
  <w:num w:numId="10" w16cid:durableId="2014674860">
    <w:abstractNumId w:val="12"/>
  </w:num>
  <w:num w:numId="11" w16cid:durableId="958032325">
    <w:abstractNumId w:val="21"/>
  </w:num>
  <w:num w:numId="12" w16cid:durableId="1838691975">
    <w:abstractNumId w:val="19"/>
  </w:num>
  <w:num w:numId="13" w16cid:durableId="273679532">
    <w:abstractNumId w:val="10"/>
  </w:num>
  <w:num w:numId="14" w16cid:durableId="2070683866">
    <w:abstractNumId w:val="2"/>
  </w:num>
  <w:num w:numId="15" w16cid:durableId="1975476040">
    <w:abstractNumId w:val="13"/>
  </w:num>
  <w:num w:numId="16" w16cid:durableId="83963299">
    <w:abstractNumId w:val="1"/>
  </w:num>
  <w:num w:numId="17" w16cid:durableId="353533871">
    <w:abstractNumId w:val="9"/>
  </w:num>
  <w:num w:numId="18" w16cid:durableId="788664195">
    <w:abstractNumId w:val="0"/>
  </w:num>
  <w:num w:numId="19" w16cid:durableId="1454788596">
    <w:abstractNumId w:val="18"/>
  </w:num>
  <w:num w:numId="20" w16cid:durableId="1999069271">
    <w:abstractNumId w:val="14"/>
  </w:num>
  <w:num w:numId="21" w16cid:durableId="1075667280">
    <w:abstractNumId w:val="7"/>
  </w:num>
  <w:num w:numId="22" w16cid:durableId="403716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6AE2"/>
    <w:rsid w:val="000076A1"/>
    <w:rsid w:val="00012259"/>
    <w:rsid w:val="00025383"/>
    <w:rsid w:val="00045D3D"/>
    <w:rsid w:val="00063657"/>
    <w:rsid w:val="00076680"/>
    <w:rsid w:val="00076A1D"/>
    <w:rsid w:val="0008073E"/>
    <w:rsid w:val="00091CDB"/>
    <w:rsid w:val="00093DFC"/>
    <w:rsid w:val="000A19AC"/>
    <w:rsid w:val="000B2EC9"/>
    <w:rsid w:val="000D26F8"/>
    <w:rsid w:val="00106654"/>
    <w:rsid w:val="0013526C"/>
    <w:rsid w:val="001405C6"/>
    <w:rsid w:val="00141013"/>
    <w:rsid w:val="00192CBF"/>
    <w:rsid w:val="00192FF1"/>
    <w:rsid w:val="001A5F1B"/>
    <w:rsid w:val="001B1C22"/>
    <w:rsid w:val="001B34C6"/>
    <w:rsid w:val="001D25C7"/>
    <w:rsid w:val="001D7832"/>
    <w:rsid w:val="00210DC1"/>
    <w:rsid w:val="00211D34"/>
    <w:rsid w:val="00214F04"/>
    <w:rsid w:val="00234064"/>
    <w:rsid w:val="002352B9"/>
    <w:rsid w:val="00246283"/>
    <w:rsid w:val="00266CD6"/>
    <w:rsid w:val="002673AC"/>
    <w:rsid w:val="00275DAB"/>
    <w:rsid w:val="002903C0"/>
    <w:rsid w:val="002A782A"/>
    <w:rsid w:val="002B11E2"/>
    <w:rsid w:val="002B24B8"/>
    <w:rsid w:val="002D1960"/>
    <w:rsid w:val="002D3AE9"/>
    <w:rsid w:val="002D4510"/>
    <w:rsid w:val="002F0734"/>
    <w:rsid w:val="002F175F"/>
    <w:rsid w:val="002F46E7"/>
    <w:rsid w:val="003101DA"/>
    <w:rsid w:val="003111C3"/>
    <w:rsid w:val="00314757"/>
    <w:rsid w:val="003163BC"/>
    <w:rsid w:val="003211CE"/>
    <w:rsid w:val="0035403A"/>
    <w:rsid w:val="0036394B"/>
    <w:rsid w:val="00366DB6"/>
    <w:rsid w:val="003709B5"/>
    <w:rsid w:val="003759C2"/>
    <w:rsid w:val="00396F1C"/>
    <w:rsid w:val="00397365"/>
    <w:rsid w:val="003A31F6"/>
    <w:rsid w:val="003C3447"/>
    <w:rsid w:val="003D076C"/>
    <w:rsid w:val="003E78B5"/>
    <w:rsid w:val="00415BAB"/>
    <w:rsid w:val="00415ED2"/>
    <w:rsid w:val="0042068C"/>
    <w:rsid w:val="0044318E"/>
    <w:rsid w:val="00443B35"/>
    <w:rsid w:val="0045488D"/>
    <w:rsid w:val="0047122B"/>
    <w:rsid w:val="00473B7A"/>
    <w:rsid w:val="004960E9"/>
    <w:rsid w:val="004A2E88"/>
    <w:rsid w:val="004A5305"/>
    <w:rsid w:val="004D7634"/>
    <w:rsid w:val="004E611A"/>
    <w:rsid w:val="004F6460"/>
    <w:rsid w:val="00510D99"/>
    <w:rsid w:val="00516581"/>
    <w:rsid w:val="005300D3"/>
    <w:rsid w:val="00542A10"/>
    <w:rsid w:val="00544F82"/>
    <w:rsid w:val="00545FC2"/>
    <w:rsid w:val="005509D2"/>
    <w:rsid w:val="00593C4F"/>
    <w:rsid w:val="005946A8"/>
    <w:rsid w:val="005A4407"/>
    <w:rsid w:val="005A59EF"/>
    <w:rsid w:val="005B1C7E"/>
    <w:rsid w:val="005C157A"/>
    <w:rsid w:val="005C6976"/>
    <w:rsid w:val="005F6F41"/>
    <w:rsid w:val="00625DC6"/>
    <w:rsid w:val="0064391D"/>
    <w:rsid w:val="00651821"/>
    <w:rsid w:val="00654384"/>
    <w:rsid w:val="006675CD"/>
    <w:rsid w:val="00684D9B"/>
    <w:rsid w:val="0068510A"/>
    <w:rsid w:val="00697556"/>
    <w:rsid w:val="006B4647"/>
    <w:rsid w:val="006B4C2B"/>
    <w:rsid w:val="006B6194"/>
    <w:rsid w:val="006B6D47"/>
    <w:rsid w:val="006C5AFE"/>
    <w:rsid w:val="006E43FB"/>
    <w:rsid w:val="006F2EC8"/>
    <w:rsid w:val="006F6D95"/>
    <w:rsid w:val="00706F13"/>
    <w:rsid w:val="007072E8"/>
    <w:rsid w:val="00711CCE"/>
    <w:rsid w:val="0071618D"/>
    <w:rsid w:val="00725FA4"/>
    <w:rsid w:val="00740446"/>
    <w:rsid w:val="007438A9"/>
    <w:rsid w:val="0074491E"/>
    <w:rsid w:val="00752248"/>
    <w:rsid w:val="0076247A"/>
    <w:rsid w:val="00775964"/>
    <w:rsid w:val="007765FE"/>
    <w:rsid w:val="00794E2E"/>
    <w:rsid w:val="00795BFB"/>
    <w:rsid w:val="007A6181"/>
    <w:rsid w:val="007B2760"/>
    <w:rsid w:val="007B5A60"/>
    <w:rsid w:val="00805AFF"/>
    <w:rsid w:val="00806C01"/>
    <w:rsid w:val="008148CC"/>
    <w:rsid w:val="008211A4"/>
    <w:rsid w:val="0084693A"/>
    <w:rsid w:val="00873150"/>
    <w:rsid w:val="0087657D"/>
    <w:rsid w:val="008807D5"/>
    <w:rsid w:val="00880832"/>
    <w:rsid w:val="00886EE1"/>
    <w:rsid w:val="0088727D"/>
    <w:rsid w:val="00897C75"/>
    <w:rsid w:val="008C1130"/>
    <w:rsid w:val="008D18E6"/>
    <w:rsid w:val="008D7A9B"/>
    <w:rsid w:val="008E0060"/>
    <w:rsid w:val="008E7091"/>
    <w:rsid w:val="008E76AC"/>
    <w:rsid w:val="008F21F6"/>
    <w:rsid w:val="00951F79"/>
    <w:rsid w:val="00974AB5"/>
    <w:rsid w:val="0098706D"/>
    <w:rsid w:val="009935FB"/>
    <w:rsid w:val="009F4A54"/>
    <w:rsid w:val="009F4BEC"/>
    <w:rsid w:val="009F5874"/>
    <w:rsid w:val="00A06511"/>
    <w:rsid w:val="00A25FD7"/>
    <w:rsid w:val="00A43AFF"/>
    <w:rsid w:val="00A7793A"/>
    <w:rsid w:val="00A94A8A"/>
    <w:rsid w:val="00AA0ABC"/>
    <w:rsid w:val="00AA4CC7"/>
    <w:rsid w:val="00AA5E8E"/>
    <w:rsid w:val="00AA6766"/>
    <w:rsid w:val="00AB2BAD"/>
    <w:rsid w:val="00AB6CA7"/>
    <w:rsid w:val="00AD01E4"/>
    <w:rsid w:val="00AD0858"/>
    <w:rsid w:val="00AE02E3"/>
    <w:rsid w:val="00AE7340"/>
    <w:rsid w:val="00AF1BBD"/>
    <w:rsid w:val="00B10207"/>
    <w:rsid w:val="00B141E7"/>
    <w:rsid w:val="00B351B4"/>
    <w:rsid w:val="00B46BCA"/>
    <w:rsid w:val="00B478AA"/>
    <w:rsid w:val="00B55132"/>
    <w:rsid w:val="00B81BD6"/>
    <w:rsid w:val="00B87806"/>
    <w:rsid w:val="00B87EC9"/>
    <w:rsid w:val="00BC38FD"/>
    <w:rsid w:val="00C034CB"/>
    <w:rsid w:val="00C051A8"/>
    <w:rsid w:val="00C054BC"/>
    <w:rsid w:val="00C17897"/>
    <w:rsid w:val="00C409D5"/>
    <w:rsid w:val="00C435C3"/>
    <w:rsid w:val="00C44E5F"/>
    <w:rsid w:val="00C51B7C"/>
    <w:rsid w:val="00C6234B"/>
    <w:rsid w:val="00C63EAE"/>
    <w:rsid w:val="00C73260"/>
    <w:rsid w:val="00C7629F"/>
    <w:rsid w:val="00C8661B"/>
    <w:rsid w:val="00CA03C8"/>
    <w:rsid w:val="00CA139A"/>
    <w:rsid w:val="00CA2899"/>
    <w:rsid w:val="00CA3A3D"/>
    <w:rsid w:val="00CA3AA6"/>
    <w:rsid w:val="00CA77FB"/>
    <w:rsid w:val="00CB1726"/>
    <w:rsid w:val="00CB379B"/>
    <w:rsid w:val="00CB5DD0"/>
    <w:rsid w:val="00CC51D4"/>
    <w:rsid w:val="00CC65DA"/>
    <w:rsid w:val="00CD7626"/>
    <w:rsid w:val="00CF21B9"/>
    <w:rsid w:val="00CF6BF9"/>
    <w:rsid w:val="00D03800"/>
    <w:rsid w:val="00D065D3"/>
    <w:rsid w:val="00D14C94"/>
    <w:rsid w:val="00D27A04"/>
    <w:rsid w:val="00D27D14"/>
    <w:rsid w:val="00D342A6"/>
    <w:rsid w:val="00D45CA6"/>
    <w:rsid w:val="00D464BF"/>
    <w:rsid w:val="00D53E26"/>
    <w:rsid w:val="00D83F43"/>
    <w:rsid w:val="00DB182C"/>
    <w:rsid w:val="00DC5F3C"/>
    <w:rsid w:val="00DD4F0E"/>
    <w:rsid w:val="00DF0BF0"/>
    <w:rsid w:val="00DF16F5"/>
    <w:rsid w:val="00DF3CA2"/>
    <w:rsid w:val="00DF753F"/>
    <w:rsid w:val="00E01463"/>
    <w:rsid w:val="00E05E0A"/>
    <w:rsid w:val="00E060BE"/>
    <w:rsid w:val="00E534CF"/>
    <w:rsid w:val="00E63920"/>
    <w:rsid w:val="00E81CB4"/>
    <w:rsid w:val="00E8585B"/>
    <w:rsid w:val="00E87F41"/>
    <w:rsid w:val="00EA3F15"/>
    <w:rsid w:val="00EA7847"/>
    <w:rsid w:val="00EB4C2F"/>
    <w:rsid w:val="00EE2E6E"/>
    <w:rsid w:val="00F0759E"/>
    <w:rsid w:val="00F16A43"/>
    <w:rsid w:val="00F46780"/>
    <w:rsid w:val="00F55DB1"/>
    <w:rsid w:val="00F77D2D"/>
    <w:rsid w:val="00F821A3"/>
    <w:rsid w:val="00F9314A"/>
    <w:rsid w:val="00F940B2"/>
    <w:rsid w:val="00FB13DA"/>
    <w:rsid w:val="00FC58EF"/>
    <w:rsid w:val="00FD33DF"/>
    <w:rsid w:val="00FE39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character" w:customStyle="1" w:styleId="ui-provider">
    <w:name w:val="ui-provider"/>
    <w:basedOn w:val="Fuentedeprrafopredeter"/>
    <w:rsid w:val="00FB13DA"/>
  </w:style>
  <w:style w:type="paragraph" w:styleId="NormalWeb">
    <w:name w:val="Normal (Web)"/>
    <w:basedOn w:val="Normal"/>
    <w:uiPriority w:val="99"/>
    <w:semiHidden/>
    <w:unhideWhenUsed/>
    <w:rsid w:val="00A94A8A"/>
    <w:pPr>
      <w:spacing w:before="100" w:beforeAutospacing="1" w:after="100" w:afterAutospacing="1"/>
      <w:ind w:left="0"/>
    </w:pPr>
    <w:rPr>
      <w:lang w:val="es-CO" w:eastAsia="es-CO"/>
    </w:rPr>
  </w:style>
  <w:style w:type="character" w:styleId="Hipervnculo">
    <w:name w:val="Hyperlink"/>
    <w:basedOn w:val="Fuentedeprrafopredeter"/>
    <w:uiPriority w:val="99"/>
    <w:semiHidden/>
    <w:unhideWhenUsed/>
    <w:rsid w:val="00A94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979074">
      <w:bodyDiv w:val="1"/>
      <w:marLeft w:val="0"/>
      <w:marRight w:val="0"/>
      <w:marTop w:val="0"/>
      <w:marBottom w:val="0"/>
      <w:divBdr>
        <w:top w:val="none" w:sz="0" w:space="0" w:color="auto"/>
        <w:left w:val="none" w:sz="0" w:space="0" w:color="auto"/>
        <w:bottom w:val="none" w:sz="0" w:space="0" w:color="auto"/>
        <w:right w:val="none" w:sz="0" w:space="0" w:color="auto"/>
      </w:divBdr>
    </w:div>
    <w:div w:id="1233614121">
      <w:bodyDiv w:val="1"/>
      <w:marLeft w:val="0"/>
      <w:marRight w:val="0"/>
      <w:marTop w:val="0"/>
      <w:marBottom w:val="0"/>
      <w:divBdr>
        <w:top w:val="none" w:sz="0" w:space="0" w:color="auto"/>
        <w:left w:val="none" w:sz="0" w:space="0" w:color="auto"/>
        <w:bottom w:val="none" w:sz="0" w:space="0" w:color="auto"/>
        <w:right w:val="none" w:sz="0" w:space="0" w:color="auto"/>
      </w:divBdr>
    </w:div>
    <w:div w:id="12856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estornormativo.creg.gov.co/gestor/entorno/docs/decreto_1074_201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PLANTILLA1.dotx</Template>
  <TotalTime>2</TotalTime>
  <Pages>3</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3</cp:revision>
  <cp:lastPrinted>2024-04-21T18:47:00Z</cp:lastPrinted>
  <dcterms:created xsi:type="dcterms:W3CDTF">2024-04-21T18:47:00Z</dcterms:created>
  <dcterms:modified xsi:type="dcterms:W3CDTF">2024-04-21T18:47:00Z</dcterms:modified>
</cp:coreProperties>
</file>