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FE0E" w14:textId="19A20C2F" w:rsidR="004C7E91" w:rsidRDefault="00000000" w:rsidP="00CE2082">
      <w:pPr>
        <w:pStyle w:val="Encabezado"/>
        <w:spacing w:before="0" w:after="0"/>
        <w:rPr>
          <w:rFonts w:ascii="Arial" w:hAnsi="Arial" w:cs="Arial"/>
          <w:spacing w:val="20"/>
          <w:sz w:val="20"/>
        </w:rPr>
      </w:pPr>
      <w:r>
        <w:rPr>
          <w:b/>
          <w:caps/>
          <w:noProof/>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7.4pt;margin-top:-57pt;width:52.5pt;height:48.75pt;z-index:251660288" fillcolor="#0c9">
            <v:imagedata r:id="rId11" o:title=""/>
          </v:shape>
          <o:OLEObject Type="Embed" ProgID="PBrush" ShapeID="_x0000_s2051" DrawAspect="Content" ObjectID="_1775213624" r:id="rId12"/>
        </w:object>
      </w:r>
      <w:r w:rsidR="007F294D" w:rsidRPr="004C7E91">
        <w:rPr>
          <w:rFonts w:ascii="Arial" w:hAnsi="Arial" w:cs="Arial"/>
          <w:noProof/>
          <w:spacing w:val="20"/>
          <w:sz w:val="20"/>
        </w:rPr>
        <mc:AlternateContent>
          <mc:Choice Requires="wps">
            <w:drawing>
              <wp:anchor distT="0" distB="0" distL="114300" distR="114300" simplePos="0" relativeHeight="251661312" behindDoc="0" locked="0" layoutInCell="1" allowOverlap="1" wp14:anchorId="25696300" wp14:editId="1B012141">
                <wp:simplePos x="0" y="0"/>
                <wp:positionH relativeFrom="margin">
                  <wp:align>center</wp:align>
                </wp:positionH>
                <wp:positionV relativeFrom="paragraph">
                  <wp:posOffset>-341630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A165" id="Rectangle 2" o:spid="_x0000_s1026" style="position:absolute;margin-left:0;margin-top:-26.9pt;width:499.5pt;height:774.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" filled="f" strokeweight="1.5pt">
                <w10:wrap anchorx="margin"/>
              </v:rect>
            </w:pict>
          </mc:Fallback>
        </mc:AlternateContent>
      </w:r>
    </w:p>
    <w:p w14:paraId="61001B07" w14:textId="77777777" w:rsidR="00CD3BB6" w:rsidRPr="00E060BE" w:rsidRDefault="00CD3BB6" w:rsidP="00C10EDF">
      <w:pPr>
        <w:jc w:val="center"/>
        <w:rPr>
          <w:b/>
          <w:noProof/>
        </w:rPr>
      </w:pPr>
      <w:r w:rsidRPr="00E060BE">
        <w:t>Ministerio de Minas y Energía</w:t>
      </w:r>
    </w:p>
    <w:p w14:paraId="1B0AB339" w14:textId="77777777" w:rsidR="00D770A2" w:rsidRDefault="00D770A2" w:rsidP="00D770A2">
      <w:pPr>
        <w:pStyle w:val="TDC1"/>
        <w:spacing w:before="480" w:after="480"/>
        <w:jc w:val="center"/>
      </w:pPr>
      <w:r w:rsidRPr="004E6CFC">
        <w:t>COMISIÓN DE REGULACIÓN DE ENERGÍA Y GAS</w:t>
      </w:r>
    </w:p>
    <w:p w14:paraId="31CAC696" w14:textId="5D385B36" w:rsidR="008006CE" w:rsidRPr="008006CE" w:rsidRDefault="008006CE" w:rsidP="008006CE">
      <w:pPr>
        <w:jc w:val="center"/>
        <w:rPr>
          <w:b/>
        </w:rPr>
      </w:pPr>
      <w:r w:rsidRPr="008006CE">
        <w:rPr>
          <w:b/>
        </w:rPr>
        <w:t>PROYECTO DE RESOLUCIÓN No</w:t>
      </w:r>
      <w:r w:rsidRPr="00CE2082">
        <w:rPr>
          <w:b/>
          <w:sz w:val="28"/>
          <w:szCs w:val="28"/>
        </w:rPr>
        <w:t xml:space="preserve">. 701 </w:t>
      </w:r>
      <w:r w:rsidR="00CE2082" w:rsidRPr="00CE2082">
        <w:rPr>
          <w:b/>
          <w:bCs/>
          <w:sz w:val="28"/>
          <w:szCs w:val="28"/>
        </w:rPr>
        <w:t>038 DE 2024</w:t>
      </w:r>
    </w:p>
    <w:p w14:paraId="39944207" w14:textId="1BCA462D" w:rsidR="008006CE" w:rsidRPr="00CE2082" w:rsidRDefault="008006CE" w:rsidP="008006CE">
      <w:pPr>
        <w:jc w:val="center"/>
        <w:rPr>
          <w:b/>
          <w:bCs/>
        </w:rPr>
      </w:pPr>
      <w:r w:rsidRPr="00CE2082">
        <w:rPr>
          <w:b/>
          <w:bCs/>
        </w:rPr>
        <w:t>(</w:t>
      </w:r>
      <w:r w:rsidR="00CE2082" w:rsidRPr="00CE2082">
        <w:rPr>
          <w:b/>
          <w:bCs/>
        </w:rPr>
        <w:t>13 ABR. 2024</w:t>
      </w:r>
      <w:r w:rsidRPr="00CE2082">
        <w:rPr>
          <w:b/>
          <w:bCs/>
        </w:rPr>
        <w:t>)</w:t>
      </w:r>
    </w:p>
    <w:p w14:paraId="07B5E628" w14:textId="4CC5A1A1" w:rsidR="008006CE" w:rsidRDefault="008006CE" w:rsidP="008006CE">
      <w:r>
        <w:t xml:space="preserve">La Comisión de Regulación de Energía y Gas, en su sesión </w:t>
      </w:r>
      <w:r w:rsidR="003F24AF" w:rsidRPr="003F24AF">
        <w:t>1308</w:t>
      </w:r>
      <w:r>
        <w:t xml:space="preserve"> del </w:t>
      </w:r>
      <w:r w:rsidR="003F24AF" w:rsidRPr="003F24AF">
        <w:t>13</w:t>
      </w:r>
      <w:r>
        <w:t xml:space="preserve"> de </w:t>
      </w:r>
      <w:r w:rsidR="003F24AF" w:rsidRPr="003F24AF">
        <w:t>abril</w:t>
      </w:r>
      <w:r>
        <w:t xml:space="preserve"> de </w:t>
      </w:r>
      <w:r w:rsidR="003F24AF" w:rsidRPr="003F24AF">
        <w:t>2024</w:t>
      </w:r>
      <w:r>
        <w:t xml:space="preserve">, aprobó someter a consulta pública, durante </w:t>
      </w:r>
      <w:r w:rsidR="00613316">
        <w:t>el término previsto</w:t>
      </w:r>
      <w:r>
        <w:t xml:space="preserve"> en el </w:t>
      </w:r>
      <w:r w:rsidR="000042F8">
        <w:t xml:space="preserve">numeral 11.4 del artículo 4 del Decreto </w:t>
      </w:r>
      <w:r w:rsidR="00332CB5">
        <w:t>2696 de 2004</w:t>
      </w:r>
      <w:r>
        <w:t>, el presente proyecto de resolución</w:t>
      </w:r>
      <w:r w:rsidR="00B35991">
        <w:t>.</w:t>
      </w:r>
      <w:r>
        <w:t xml:space="preserve"> Por la cual se </w:t>
      </w:r>
      <w:r w:rsidR="00933ABC" w:rsidRPr="00933ABC">
        <w:t>establece la metodología para</w:t>
      </w:r>
      <w:r>
        <w:t xml:space="preserve"> la </w:t>
      </w:r>
      <w:r w:rsidR="00933ABC" w:rsidRPr="00933ABC">
        <w:t>remuneración</w:t>
      </w:r>
      <w:r>
        <w:t xml:space="preserve"> de la </w:t>
      </w:r>
      <w:r w:rsidR="00933ABC" w:rsidRPr="00933ABC">
        <w:t>actividad de comercialización</w:t>
      </w:r>
      <w:r>
        <w:t xml:space="preserve"> de </w:t>
      </w:r>
      <w:r w:rsidR="00933ABC" w:rsidRPr="00933ABC">
        <w:t>energía eléctrica a usuarios regulados en el Sistema Interconectado Naciona</w:t>
      </w:r>
      <w:r w:rsidR="00933ABC">
        <w:t>l</w:t>
      </w:r>
      <w:r>
        <w:t xml:space="preserve">. </w:t>
      </w:r>
    </w:p>
    <w:p w14:paraId="684B3750" w14:textId="4B6809AF" w:rsidR="008006CE" w:rsidRDefault="008006CE" w:rsidP="008006CE">
      <w:r>
        <w:t xml:space="preserve">Se invita a las empresas, los usuarios, las autoridades y demás partes interesadas a presentar sus observaciones y sugerencias dentro del plazo establecido, mediante comunicaciones electrónicas dirigidas al </w:t>
      </w:r>
      <w:proofErr w:type="gramStart"/>
      <w:r>
        <w:t>Director Ejecutivo</w:t>
      </w:r>
      <w:proofErr w:type="gramEnd"/>
      <w:r>
        <w:t xml:space="preserve"> de la CREG, al correo electrónico </w:t>
      </w:r>
      <w:hyperlink r:id="rId13" w:history="1">
        <w:r w:rsidR="000A2C54" w:rsidRPr="00BC0E44">
          <w:rPr>
            <w:rStyle w:val="Hipervnculo"/>
          </w:rPr>
          <w:t>creg@creg.gov.co</w:t>
        </w:r>
      </w:hyperlink>
      <w:r>
        <w:t>.</w:t>
      </w:r>
      <w:r w:rsidR="000A2C54">
        <w:t xml:space="preserve"> </w:t>
      </w:r>
      <w:r>
        <w:t xml:space="preserve"> </w:t>
      </w:r>
    </w:p>
    <w:p w14:paraId="1EA169A3" w14:textId="7BC78E2D" w:rsidR="00011215" w:rsidRPr="000A2C54" w:rsidRDefault="008006CE" w:rsidP="000A2C54">
      <w:r>
        <w:t xml:space="preserve">Al vencimiento de la consulta pública, la CREG determinará si el proyecto debe ser informado a la Superintendencia de Industria y Comercio, para el ejercicio de la Abogacía de la Competencia, con fundamento en las disposiciones del Decreto 1074 de 2015, artículo 2.2.2.30.5.  </w:t>
      </w:r>
    </w:p>
    <w:p w14:paraId="472CFA98" w14:textId="790C109A" w:rsidR="00462750" w:rsidRPr="00850313" w:rsidRDefault="00850313" w:rsidP="00850313">
      <w:pPr>
        <w:spacing w:before="360" w:after="360"/>
        <w:jc w:val="center"/>
        <w:rPr>
          <w:b/>
        </w:rPr>
      </w:pPr>
      <w:r w:rsidRPr="00850313">
        <w:rPr>
          <w:b/>
        </w:rPr>
        <w:t>PROYECTO DE RESOLUCIÓN</w:t>
      </w:r>
    </w:p>
    <w:p w14:paraId="707B70B2" w14:textId="6A6DE42D" w:rsidR="00577C79" w:rsidRDefault="00284F56" w:rsidP="00952F30">
      <w:pPr>
        <w:spacing w:before="600" w:after="600"/>
        <w:jc w:val="center"/>
      </w:pPr>
      <w:r w:rsidRPr="00284F56">
        <w:t>Por la cual se establecen los criterios generales para determinar la remuneración de la actividad de comercialización de energía eléctrica a usuarios regulados en el Sistema Interconectado Nacional</w:t>
      </w:r>
    </w:p>
    <w:p w14:paraId="6003A848" w14:textId="77777777" w:rsidR="00193054" w:rsidRPr="004E6CFC" w:rsidRDefault="00193054" w:rsidP="003E3F37">
      <w:pPr>
        <w:spacing w:before="360" w:after="360"/>
        <w:jc w:val="center"/>
        <w:rPr>
          <w:b/>
        </w:rPr>
      </w:pPr>
      <w:r w:rsidRPr="004E6CFC">
        <w:rPr>
          <w:b/>
        </w:rPr>
        <w:t>LA COMISIÓN DE REGULACIÓN DE ENERGÍA Y GAS</w:t>
      </w:r>
    </w:p>
    <w:p w14:paraId="075BBFC8" w14:textId="44EE1205" w:rsidR="00193054" w:rsidRPr="004E6CFC" w:rsidRDefault="00E81D8E" w:rsidP="00193054">
      <w:r w:rsidRPr="00E81D8E">
        <w:t>En ejercicio de sus atribuciones legales, en especial las conferidas por las leyes 142 y 143 de 1994, y en desarrollo de los decretos 1524, 2253 de 1994 y 1260 de 2013 y</w:t>
      </w:r>
      <w:r w:rsidR="00174FAF">
        <w:rPr>
          <w:caps/>
        </w:rPr>
        <w:t>,</w:t>
      </w:r>
    </w:p>
    <w:p w14:paraId="65D9052A" w14:textId="77777777" w:rsidR="00193054" w:rsidRPr="004E6CFC" w:rsidRDefault="00193054" w:rsidP="003E3F37">
      <w:pPr>
        <w:spacing w:before="360" w:after="360"/>
        <w:jc w:val="center"/>
        <w:rPr>
          <w:rFonts w:cs="Arial"/>
          <w:b/>
        </w:rPr>
      </w:pPr>
      <w:r w:rsidRPr="00DA7FDA">
        <w:rPr>
          <w:rFonts w:cs="Arial"/>
          <w:b/>
        </w:rPr>
        <w:t>CONSIDERANDO QUE:</w:t>
      </w:r>
    </w:p>
    <w:p w14:paraId="51A80E39" w14:textId="22527C2F" w:rsidR="00637A3F" w:rsidRPr="004E6CFC" w:rsidRDefault="00637A3F" w:rsidP="00637A3F">
      <w:r w:rsidRPr="004E6CFC">
        <w:t>Le corresponde a la CREG señalar las políticas generales de administración y control de eficiencia de los servicios públicos domiciliarios, en los términos de la Constitución Nacional y la Ley, y definir el régimen tarifario con fundamento en los criterios establecidos para garantizar el cumplimiento de los fines de la intervención del Estado en la prestación de los servicios públicos y conforme a la política pública del Gobierno Nacional.</w:t>
      </w:r>
    </w:p>
    <w:p w14:paraId="6EE6A200" w14:textId="5A1598EC" w:rsidR="00B231C4" w:rsidRPr="004E6CFC" w:rsidRDefault="00B231C4" w:rsidP="00637A3F">
      <w:r w:rsidRPr="00B231C4">
        <w:lastRenderedPageBreak/>
        <w:t>De acuerdo con lo previsto en la Ley 142 de 1994 le corresponde a la Comisión ejercer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lo cual puede, entre otras, proponer la adopción de las medidas necesarias para impedir abusos de posición dominante y adoptar reglas de comportamiento diferencial, según la posición de las empresas en el mercado, conforme a los artículos 73 y 74 de la Ley 142 de 1994.</w:t>
      </w:r>
    </w:p>
    <w:p w14:paraId="3736851D" w14:textId="77777777" w:rsidR="00637A3F" w:rsidRPr="004E6CFC" w:rsidRDefault="00637A3F" w:rsidP="00637A3F">
      <w:r w:rsidRPr="004E6CFC">
        <w:t>En virtud de lo dispuesto en el Capítulo V de la Ley 142 de 1994, las fórmulas tarifarias tienen una vigencia de cinco años y continuarán rigiendo mientras la Comisión no fije las nuevas; no obstante, la Comisión deberá iniciar la actuación administrativa para fijar las nuevas tarifas, doce meses antes de la fecha prevista para que termine la vigencia de las fórmulas tarifarias y siguiendo el procedimiento establecido en el artículo 11 del Decreto 2696 de 2004 sobre reglas de difusión para la adopción de fórmulas tarifarias.</w:t>
      </w:r>
    </w:p>
    <w:p w14:paraId="4F507361" w14:textId="77777777" w:rsidR="00637A3F" w:rsidRPr="004E6CFC" w:rsidRDefault="00637A3F" w:rsidP="00637A3F">
      <w:r w:rsidRPr="004E6CFC">
        <w:t xml:space="preserve">Mediante el Decreto 387 de 2007, modificado por </w:t>
      </w:r>
      <w:r>
        <w:t>los</w:t>
      </w:r>
      <w:r w:rsidRPr="004E6CFC">
        <w:t xml:space="preserve"> Decreto</w:t>
      </w:r>
      <w:r>
        <w:t>s</w:t>
      </w:r>
      <w:r w:rsidRPr="004E6CFC">
        <w:t xml:space="preserve"> 4977 de 2007</w:t>
      </w:r>
      <w:r>
        <w:t xml:space="preserve"> y 1937 de 2013</w:t>
      </w:r>
      <w:r w:rsidRPr="004E6CFC">
        <w:t>, el Gobierno Nacional estableció políticas generales en relación con la actividad de comercialización del servicio de energía eléctrica, incluyendo a los usuarios del STN como parte de los mercados de comercialización.</w:t>
      </w:r>
    </w:p>
    <w:p w14:paraId="53E9554A" w14:textId="6977C98A" w:rsidR="00693E44" w:rsidRPr="00693E44" w:rsidRDefault="00693E44" w:rsidP="00693E44">
      <w:pPr>
        <w:rPr>
          <w:lang w:val="es-ES_tradnl"/>
        </w:rPr>
      </w:pPr>
      <w:r w:rsidRPr="00693E44">
        <w:rPr>
          <w:lang w:val="es-ES_tradnl"/>
        </w:rPr>
        <w:t>La regulación corresponde entonces a una actividad continua y permanente, la cual comprende el seguimiento de la evolución del sector y la actividad correspondiente y que implica la adopción de diversos tipos de decisiones y actos adecuados tanto para orientar la dinámica del sector hacia los fines que la justifican en cada caso, fines que están previstos en la Ley 142 de 1994, así como en los decretos mediante los cuales el Gobierno Nacional define los lineamientos de pol</w:t>
      </w:r>
      <w:r>
        <w:rPr>
          <w:lang w:val="es-ES_tradnl"/>
        </w:rPr>
        <w:t>ítica</w:t>
      </w:r>
      <w:r w:rsidRPr="00693E44">
        <w:rPr>
          <w:lang w:val="es-ES_tradnl"/>
        </w:rPr>
        <w:t xml:space="preserve"> para el sector regulado, y, también,  para permitir el flujo de la actividad socio-económica respectiva. </w:t>
      </w:r>
    </w:p>
    <w:p w14:paraId="13A5BE68" w14:textId="0612BD3C" w:rsidR="00693E44" w:rsidRPr="00693E44" w:rsidRDefault="00693E44" w:rsidP="00693E44">
      <w:pPr>
        <w:rPr>
          <w:lang w:val="es-ES_tradnl"/>
        </w:rPr>
      </w:pPr>
      <w:r w:rsidRPr="00693E44">
        <w:rPr>
          <w:lang w:val="es-ES_tradnl"/>
        </w:rPr>
        <w:t>De esto hace parte el seguimiento del comportamiento de los agentes, así como la evaluación y el análisis de la forma en que se remuneran estas actividades, a fin de orientar sus conductas y establecer mecanismos que garanticen la aplicación de los criterios previstos en materia tarifaria, dentro de los fines perseguidos en materia de servicios públicos de acuerdo con lo previsto en la Ley 142 de 1994.</w:t>
      </w:r>
    </w:p>
    <w:p w14:paraId="23E55C4B" w14:textId="2658088E" w:rsidR="00693E44" w:rsidRPr="00693E44" w:rsidRDefault="00693E44" w:rsidP="00693E44">
      <w:pPr>
        <w:rPr>
          <w:lang w:val="es-ES_tradnl"/>
        </w:rPr>
      </w:pPr>
      <w:r w:rsidRPr="00693E44">
        <w:rPr>
          <w:lang w:val="es-ES_tradnl"/>
        </w:rPr>
        <w:t>En este sentido, la aplicación de los criterios en materia tarifaria, así como su aplicación armónica con los principios constitucionales y legales en materia de servicios públicos, implica que debe existir una convergencia y equilibrio entre los intereses colectivos que persigue la prestación de los servicios públicos, como aquellos intereses de las empresas en relación con la competencia, la iniciativa privada y la libertad de empresa. Por lo tanto, esta convergencia y el equilibrio que se debe generar, entre otros, a través de los mecanismos regulatorios definidos por esta Comisión, los cuales deben garantizar el equilibrio entre la libertad económica (incentivo económico), la promoción de intereses colectivos concretos y la prestación de servicios públicos, es decir, la regulación ha de propender por hacer compatibles los intereses privados, que actúan como motor de la actividad económica, con la satisfacción de las necesidades colectivas.</w:t>
      </w:r>
    </w:p>
    <w:p w14:paraId="1A3EB040" w14:textId="062532E6" w:rsidR="00D81424" w:rsidRDefault="00A773BF" w:rsidP="00637A3F">
      <w:pPr>
        <w:rPr>
          <w:noProof/>
        </w:rPr>
      </w:pPr>
      <w:r w:rsidRPr="00A773BF">
        <w:rPr>
          <w:noProof/>
        </w:rPr>
        <w:lastRenderedPageBreak/>
        <w:t xml:space="preserve">En la </w:t>
      </w:r>
      <w:r>
        <w:rPr>
          <w:noProof/>
        </w:rPr>
        <w:t xml:space="preserve">Resolución </w:t>
      </w:r>
      <w:r w:rsidRPr="00A773BF">
        <w:rPr>
          <w:noProof/>
        </w:rPr>
        <w:t>CREG 180 de 2014</w:t>
      </w:r>
      <w:r>
        <w:rPr>
          <w:noProof/>
        </w:rPr>
        <w:t xml:space="preserve"> se estableció la metodología de remuneración de la actividad de comercialización </w:t>
      </w:r>
      <w:r w:rsidR="00AD36D1" w:rsidRPr="00AD36D1">
        <w:rPr>
          <w:noProof/>
        </w:rPr>
        <w:t xml:space="preserve"> a usuarios regulados en el Sistema Interconectado Nacional</w:t>
      </w:r>
      <w:r w:rsidR="00735560">
        <w:rPr>
          <w:noProof/>
        </w:rPr>
        <w:t xml:space="preserve"> </w:t>
      </w:r>
      <w:r>
        <w:rPr>
          <w:noProof/>
        </w:rPr>
        <w:t xml:space="preserve">que se encuentra vigente a la fecha de expedición de esta resolución. </w:t>
      </w:r>
    </w:p>
    <w:p w14:paraId="60B36391" w14:textId="2287030E" w:rsidR="002F0159" w:rsidRPr="00A773BF" w:rsidRDefault="002F0159" w:rsidP="00637A3F">
      <w:pPr>
        <w:rPr>
          <w:noProof/>
        </w:rPr>
      </w:pPr>
      <w:r>
        <w:rPr>
          <w:noProof/>
        </w:rPr>
        <w:t xml:space="preserve">En la Resolución CREG 191 de 2014 se </w:t>
      </w:r>
      <w:r w:rsidR="00C16D2D" w:rsidRPr="00C16D2D">
        <w:rPr>
          <w:noProof/>
        </w:rPr>
        <w:t>modific</w:t>
      </w:r>
      <w:r w:rsidR="00C16D2D">
        <w:rPr>
          <w:noProof/>
        </w:rPr>
        <w:t>ó</w:t>
      </w:r>
      <w:r w:rsidR="00C16D2D" w:rsidRPr="00C16D2D">
        <w:rPr>
          <w:noProof/>
        </w:rPr>
        <w:t xml:space="preserve"> y complement</w:t>
      </w:r>
      <w:r w:rsidR="00C16D2D">
        <w:rPr>
          <w:noProof/>
        </w:rPr>
        <w:t>ó</w:t>
      </w:r>
      <w:r w:rsidR="00C16D2D" w:rsidRPr="00C16D2D">
        <w:rPr>
          <w:noProof/>
        </w:rPr>
        <w:t xml:space="preserve"> la Resolución CREG 119 de 2007</w:t>
      </w:r>
      <w:r w:rsidR="00C16D2D">
        <w:rPr>
          <w:noProof/>
        </w:rPr>
        <w:t xml:space="preserve">, </w:t>
      </w:r>
      <w:r w:rsidR="00542D14">
        <w:rPr>
          <w:noProof/>
        </w:rPr>
        <w:t xml:space="preserve">con el objetivo de incorporar las variables definidas en la Resolución </w:t>
      </w:r>
      <w:r w:rsidR="00542D14" w:rsidRPr="00A773BF">
        <w:rPr>
          <w:noProof/>
        </w:rPr>
        <w:t>CREG 180 de 2014</w:t>
      </w:r>
      <w:r w:rsidR="00542D14">
        <w:rPr>
          <w:noProof/>
        </w:rPr>
        <w:t>.</w:t>
      </w:r>
    </w:p>
    <w:p w14:paraId="2AAC40C1" w14:textId="013E598A" w:rsidR="00685A85" w:rsidRDefault="000C1224" w:rsidP="00637A3F">
      <w:r w:rsidRPr="00686CB7">
        <w:t xml:space="preserve">En la </w:t>
      </w:r>
      <w:r w:rsidR="004E3330" w:rsidRPr="00686CB7">
        <w:t>Resolución 19 de 2018</w:t>
      </w:r>
      <w:r w:rsidRPr="00686CB7">
        <w:t xml:space="preserve"> se hicieron aclaraciones sobre </w:t>
      </w:r>
      <w:r w:rsidR="00686CB7" w:rsidRPr="00686CB7">
        <w:t xml:space="preserve">la aplicación del </w:t>
      </w:r>
      <w:r w:rsidR="004E3330" w:rsidRPr="00686CB7">
        <w:t>artículo 18 de la Resolución CREG 180 de 2014</w:t>
      </w:r>
      <w:r w:rsidR="00686CB7" w:rsidRPr="00686CB7">
        <w:t xml:space="preserve"> relacionado con los costos financieros asociados con </w:t>
      </w:r>
      <w:r w:rsidR="00686CB7">
        <w:t xml:space="preserve">el giro de </w:t>
      </w:r>
      <w:r w:rsidR="00686CB7" w:rsidRPr="00686CB7">
        <w:t>subsidios</w:t>
      </w:r>
      <w:r w:rsidR="00686CB7">
        <w:t xml:space="preserve"> por parte del Ministerio de Minas y Energía</w:t>
      </w:r>
      <w:r w:rsidR="004E3330" w:rsidRPr="00686CB7">
        <w:t>.</w:t>
      </w:r>
    </w:p>
    <w:p w14:paraId="42483330" w14:textId="42438556" w:rsidR="00F664C4" w:rsidRDefault="006129BF" w:rsidP="00637A3F">
      <w:pPr>
        <w:rPr>
          <w:noProof/>
        </w:rPr>
      </w:pPr>
      <w:r>
        <w:rPr>
          <w:noProof/>
        </w:rPr>
        <w:t xml:space="preserve">En la Resolución CREG 101 003 de 2023 </w:t>
      </w:r>
      <w:r w:rsidRPr="006129BF">
        <w:rPr>
          <w:noProof/>
        </w:rPr>
        <w:t>se complementan las resoluciones CREG 180 de 2014 y 015 de 2018 para tramitar las solicitudes de cargos de las empresas prestadoras del servicio que atienden mercados en ZNI que se conectan al SIN</w:t>
      </w:r>
      <w:r>
        <w:rPr>
          <w:noProof/>
        </w:rPr>
        <w:t>, entre otras.</w:t>
      </w:r>
    </w:p>
    <w:p w14:paraId="58E095C5" w14:textId="758CD55E" w:rsidR="00637A3F" w:rsidRPr="004E6CFC" w:rsidRDefault="00637A3F" w:rsidP="00637A3F">
      <w:pPr>
        <w:rPr>
          <w:noProof/>
        </w:rPr>
      </w:pPr>
      <w:r w:rsidRPr="004E6CFC">
        <w:rPr>
          <w:noProof/>
        </w:rPr>
        <w:t xml:space="preserve">Mediante la Resolución CREG </w:t>
      </w:r>
      <w:r w:rsidR="00C5220F" w:rsidRPr="007E5995">
        <w:rPr>
          <w:noProof/>
        </w:rPr>
        <w:t>155</w:t>
      </w:r>
      <w:r w:rsidRPr="004E6CFC">
        <w:rPr>
          <w:noProof/>
        </w:rPr>
        <w:t xml:space="preserve"> de 201</w:t>
      </w:r>
      <w:r w:rsidR="00902E42">
        <w:rPr>
          <w:noProof/>
        </w:rPr>
        <w:t>9</w:t>
      </w:r>
      <w:r w:rsidRPr="004E6CFC">
        <w:rPr>
          <w:noProof/>
        </w:rPr>
        <w:t xml:space="preserve">, la Comisión </w:t>
      </w:r>
      <w:r w:rsidR="00D3037E">
        <w:rPr>
          <w:noProof/>
        </w:rPr>
        <w:t xml:space="preserve">publicó </w:t>
      </w:r>
      <w:r w:rsidRPr="004E6CFC">
        <w:rPr>
          <w:noProof/>
        </w:rPr>
        <w:t xml:space="preserve">las bases sobre las cuales </w:t>
      </w:r>
      <w:r w:rsidR="00D3037E">
        <w:rPr>
          <w:noProof/>
        </w:rPr>
        <w:t xml:space="preserve">se </w:t>
      </w:r>
      <w:r w:rsidRPr="004E6CFC">
        <w:rPr>
          <w:noProof/>
        </w:rPr>
        <w:t xml:space="preserve">efectuaría el estudio para determinar los principios generales, la metodología y fórmulas del siguiente periodo tarifario, </w:t>
      </w:r>
      <w:r w:rsidR="009632D0" w:rsidRPr="009632D0">
        <w:rPr>
          <w:noProof/>
        </w:rPr>
        <w:t>para determinar la remuneración de la actividad de comercialización de energía eléctrica a usuarios regulados en el Sistema Interconectado Nacional.</w:t>
      </w:r>
      <w:r w:rsidRPr="004E6CFC">
        <w:rPr>
          <w:noProof/>
        </w:rPr>
        <w:t xml:space="preserve"> Lo anterior en cumplimiento de lo previsto en los numerales 11.1 y 11.2 del artículo 11 del Decreto 2696 de 2004 cuya publicación se realizó en la página web de la CREG</w:t>
      </w:r>
      <w:r w:rsidR="008A70C9">
        <w:rPr>
          <w:noProof/>
        </w:rPr>
        <w:t>.</w:t>
      </w:r>
    </w:p>
    <w:p w14:paraId="35904C69" w14:textId="68C5E990" w:rsidR="002272F2" w:rsidRDefault="00484BD0" w:rsidP="00637A3F">
      <w:pPr>
        <w:rPr>
          <w:noProof/>
        </w:rPr>
      </w:pPr>
      <w:r>
        <w:rPr>
          <w:noProof/>
        </w:rPr>
        <w:t>En la Circular 114 de 2019</w:t>
      </w:r>
      <w:r w:rsidR="00814163">
        <w:rPr>
          <w:noProof/>
        </w:rPr>
        <w:t xml:space="preserve"> se publicaron los formatos para el reporte</w:t>
      </w:r>
      <w:r w:rsidR="00A85910">
        <w:rPr>
          <w:noProof/>
        </w:rPr>
        <w:t>,</w:t>
      </w:r>
      <w:r w:rsidR="00A85910" w:rsidRPr="00A85910">
        <w:rPr>
          <w:noProof/>
        </w:rPr>
        <w:t xml:space="preserve"> </w:t>
      </w:r>
      <w:r w:rsidR="00A85910">
        <w:rPr>
          <w:noProof/>
        </w:rPr>
        <w:t>por parte de las empresas,</w:t>
      </w:r>
      <w:r w:rsidR="00814163">
        <w:rPr>
          <w:noProof/>
        </w:rPr>
        <w:t xml:space="preserve"> de </w:t>
      </w:r>
      <w:r w:rsidR="002272F2" w:rsidRPr="002272F2">
        <w:rPr>
          <w:noProof/>
        </w:rPr>
        <w:t>la información de los gastos de Administración, Operación y Mantenimiento, separados por actividades</w:t>
      </w:r>
      <w:r w:rsidR="00E30961">
        <w:rPr>
          <w:noProof/>
        </w:rPr>
        <w:t xml:space="preserve">, como parte del </w:t>
      </w:r>
      <w:r w:rsidR="00E30961" w:rsidRPr="00E30961">
        <w:rPr>
          <w:noProof/>
        </w:rPr>
        <w:t>modelo de reporte de información con fines regulatorios</w:t>
      </w:r>
      <w:r w:rsidR="00E57388">
        <w:rPr>
          <w:noProof/>
        </w:rPr>
        <w:t>,</w:t>
      </w:r>
      <w:r w:rsidR="00E30961">
        <w:rPr>
          <w:noProof/>
        </w:rPr>
        <w:t xml:space="preserve"> ICR.</w:t>
      </w:r>
    </w:p>
    <w:p w14:paraId="2F2A62E1" w14:textId="07535679" w:rsidR="005D0A57" w:rsidRDefault="005D0A57" w:rsidP="00637A3F">
      <w:pPr>
        <w:rPr>
          <w:noProof/>
        </w:rPr>
      </w:pPr>
      <w:r>
        <w:rPr>
          <w:noProof/>
        </w:rPr>
        <w:t>En la</w:t>
      </w:r>
      <w:r w:rsidR="00747BE7">
        <w:rPr>
          <w:noProof/>
        </w:rPr>
        <w:t>s</w:t>
      </w:r>
      <w:r>
        <w:rPr>
          <w:noProof/>
        </w:rPr>
        <w:t xml:space="preserve"> Circular</w:t>
      </w:r>
      <w:r w:rsidR="00747BE7">
        <w:rPr>
          <w:noProof/>
        </w:rPr>
        <w:t>es</w:t>
      </w:r>
      <w:r>
        <w:rPr>
          <w:noProof/>
        </w:rPr>
        <w:t xml:space="preserve"> CREG 074 de 2021</w:t>
      </w:r>
      <w:r w:rsidR="001975C9">
        <w:rPr>
          <w:noProof/>
        </w:rPr>
        <w:t xml:space="preserve">, </w:t>
      </w:r>
      <w:r w:rsidR="00B9582A">
        <w:rPr>
          <w:noProof/>
        </w:rPr>
        <w:t xml:space="preserve">CREG 022 </w:t>
      </w:r>
      <w:r w:rsidR="001975C9">
        <w:rPr>
          <w:noProof/>
        </w:rPr>
        <w:t xml:space="preserve">de 2023 y CREG 023 </w:t>
      </w:r>
      <w:r w:rsidR="00B9582A">
        <w:rPr>
          <w:noProof/>
        </w:rPr>
        <w:t>de 2023</w:t>
      </w:r>
      <w:r>
        <w:rPr>
          <w:noProof/>
        </w:rPr>
        <w:t xml:space="preserve"> se </w:t>
      </w:r>
      <w:r w:rsidR="00C642E8">
        <w:rPr>
          <w:noProof/>
        </w:rPr>
        <w:t xml:space="preserve">solicitó </w:t>
      </w:r>
      <w:r w:rsidR="00C642E8" w:rsidRPr="00C642E8">
        <w:rPr>
          <w:noProof/>
        </w:rPr>
        <w:t xml:space="preserve">información general de los usuarios y </w:t>
      </w:r>
      <w:r w:rsidR="00EB06E6">
        <w:rPr>
          <w:noProof/>
        </w:rPr>
        <w:t xml:space="preserve">la </w:t>
      </w:r>
      <w:r w:rsidR="00C642E8" w:rsidRPr="00C642E8">
        <w:rPr>
          <w:noProof/>
        </w:rPr>
        <w:t>cartera a las empresas que desarrollan las actividades de distribución y comercialización de energía eléctrica de forma integrada en el SIN</w:t>
      </w:r>
      <w:r w:rsidR="00C642E8">
        <w:rPr>
          <w:noProof/>
        </w:rPr>
        <w:t>.</w:t>
      </w:r>
    </w:p>
    <w:p w14:paraId="1A5EE112" w14:textId="382CAF5B" w:rsidR="00A36F22" w:rsidRDefault="0051162E" w:rsidP="00637A3F">
      <w:pPr>
        <w:rPr>
          <w:noProof/>
        </w:rPr>
      </w:pPr>
      <w:r>
        <w:rPr>
          <w:noProof/>
        </w:rPr>
        <w:t xml:space="preserve">La Comisión adelantó </w:t>
      </w:r>
      <w:r w:rsidR="00A36F22">
        <w:rPr>
          <w:noProof/>
        </w:rPr>
        <w:t xml:space="preserve">un </w:t>
      </w:r>
      <w:r w:rsidR="00637A3F" w:rsidRPr="004E6CFC">
        <w:rPr>
          <w:noProof/>
        </w:rPr>
        <w:t>estudio</w:t>
      </w:r>
      <w:r w:rsidR="00A36F22">
        <w:rPr>
          <w:noProof/>
        </w:rPr>
        <w:t xml:space="preserve"> relacionado con </w:t>
      </w:r>
      <w:r w:rsidR="00392EAE" w:rsidRPr="00910A0A">
        <w:rPr>
          <w:noProof/>
        </w:rPr>
        <w:t>el proceso de liberalización gradual del mercado regulado y la revisión de la metodología de remuneración de la actividad de comercialización de energía eléctrica a usuarios regulados del</w:t>
      </w:r>
      <w:r w:rsidR="00910A0A" w:rsidRPr="00910A0A">
        <w:rPr>
          <w:noProof/>
        </w:rPr>
        <w:t xml:space="preserve"> SIN</w:t>
      </w:r>
      <w:r w:rsidR="00392EAE">
        <w:rPr>
          <w:noProof/>
        </w:rPr>
        <w:t xml:space="preserve"> con la Universidad Tec</w:t>
      </w:r>
      <w:r w:rsidR="00566850">
        <w:rPr>
          <w:noProof/>
        </w:rPr>
        <w:t>n</w:t>
      </w:r>
      <w:r w:rsidR="00392EAE">
        <w:rPr>
          <w:noProof/>
        </w:rPr>
        <w:t>ol</w:t>
      </w:r>
      <w:r w:rsidR="006854B5">
        <w:rPr>
          <w:noProof/>
        </w:rPr>
        <w:t>ó</w:t>
      </w:r>
      <w:r w:rsidR="00392EAE">
        <w:rPr>
          <w:noProof/>
        </w:rPr>
        <w:t>gica de Pereira</w:t>
      </w:r>
      <w:r w:rsidR="003D19A5">
        <w:rPr>
          <w:noProof/>
        </w:rPr>
        <w:t>,</w:t>
      </w:r>
      <w:r w:rsidR="00A73E68">
        <w:rPr>
          <w:noProof/>
        </w:rPr>
        <w:t xml:space="preserve"> </w:t>
      </w:r>
      <w:r w:rsidR="00561264">
        <w:rPr>
          <w:noProof/>
        </w:rPr>
        <w:t>UTP</w:t>
      </w:r>
      <w:r w:rsidR="00A73E68">
        <w:rPr>
          <w:noProof/>
        </w:rPr>
        <w:t>,</w:t>
      </w:r>
      <w:r w:rsidR="00561264">
        <w:rPr>
          <w:noProof/>
        </w:rPr>
        <w:t xml:space="preserve"> </w:t>
      </w:r>
      <w:r w:rsidR="002A1266">
        <w:rPr>
          <w:noProof/>
        </w:rPr>
        <w:t xml:space="preserve">el cuál fue </w:t>
      </w:r>
      <w:r w:rsidR="002A1266" w:rsidRPr="004E6CFC">
        <w:rPr>
          <w:noProof/>
        </w:rPr>
        <w:t xml:space="preserve">publicado mediante la Circular CREG </w:t>
      </w:r>
      <w:r w:rsidR="002A1266">
        <w:rPr>
          <w:noProof/>
        </w:rPr>
        <w:t>087 de 2021.</w:t>
      </w:r>
    </w:p>
    <w:p w14:paraId="3ADE8CEB" w14:textId="7B2FDE0C" w:rsidR="00637A3F" w:rsidRDefault="002A1266" w:rsidP="00637A3F">
      <w:pPr>
        <w:rPr>
          <w:noProof/>
        </w:rPr>
      </w:pPr>
      <w:r>
        <w:rPr>
          <w:noProof/>
        </w:rPr>
        <w:t>Adcionalmente</w:t>
      </w:r>
      <w:r w:rsidR="00F3526A">
        <w:rPr>
          <w:noProof/>
        </w:rPr>
        <w:t>,</w:t>
      </w:r>
      <w:r>
        <w:rPr>
          <w:noProof/>
        </w:rPr>
        <w:t xml:space="preserve"> se </w:t>
      </w:r>
      <w:r w:rsidR="009264BC">
        <w:rPr>
          <w:noProof/>
        </w:rPr>
        <w:t xml:space="preserve">desarrolló </w:t>
      </w:r>
      <w:r w:rsidR="008D3EA1">
        <w:rPr>
          <w:noProof/>
        </w:rPr>
        <w:t xml:space="preserve">el estudio de </w:t>
      </w:r>
      <w:r w:rsidR="00A36F22">
        <w:rPr>
          <w:noProof/>
        </w:rPr>
        <w:t xml:space="preserve">indicadores para evaluar la calidad en la atención a los usuarios </w:t>
      </w:r>
      <w:r w:rsidR="001C7EF2">
        <w:rPr>
          <w:noProof/>
        </w:rPr>
        <w:t xml:space="preserve">por parte de las empresas comercializadoras </w:t>
      </w:r>
      <w:r w:rsidR="000C7EDE">
        <w:rPr>
          <w:noProof/>
        </w:rPr>
        <w:t xml:space="preserve">con </w:t>
      </w:r>
      <w:r w:rsidR="003D19A5">
        <w:rPr>
          <w:noProof/>
        </w:rPr>
        <w:t xml:space="preserve">la firma </w:t>
      </w:r>
      <w:r w:rsidR="00F47FF3">
        <w:rPr>
          <w:noProof/>
        </w:rPr>
        <w:t>D</w:t>
      </w:r>
      <w:r w:rsidR="00A32F9C">
        <w:rPr>
          <w:noProof/>
        </w:rPr>
        <w:t>i</w:t>
      </w:r>
      <w:r w:rsidR="00F47FF3">
        <w:rPr>
          <w:noProof/>
        </w:rPr>
        <w:t>-A</w:t>
      </w:r>
      <w:r w:rsidR="00A32F9C">
        <w:rPr>
          <w:noProof/>
        </w:rPr>
        <w:t>vante</w:t>
      </w:r>
      <w:r w:rsidR="002F0509">
        <w:rPr>
          <w:noProof/>
        </w:rPr>
        <w:t xml:space="preserve">, </w:t>
      </w:r>
      <w:r w:rsidR="001C7EF2">
        <w:rPr>
          <w:noProof/>
        </w:rPr>
        <w:t xml:space="preserve">el cual </w:t>
      </w:r>
      <w:r w:rsidR="00637A3F" w:rsidRPr="004E6CFC">
        <w:rPr>
          <w:noProof/>
        </w:rPr>
        <w:t xml:space="preserve">fue publicado mediante la Circular CREG </w:t>
      </w:r>
      <w:r w:rsidR="005164DE">
        <w:rPr>
          <w:noProof/>
        </w:rPr>
        <w:t>092 de 2021</w:t>
      </w:r>
      <w:r w:rsidR="00B300EA">
        <w:rPr>
          <w:noProof/>
        </w:rPr>
        <w:t>.</w:t>
      </w:r>
    </w:p>
    <w:p w14:paraId="63675F77" w14:textId="29BDE6BE" w:rsidR="00A9417F" w:rsidRDefault="001744C2" w:rsidP="00637A3F">
      <w:pPr>
        <w:rPr>
          <w:noProof/>
        </w:rPr>
      </w:pPr>
      <w:r>
        <w:rPr>
          <w:noProof/>
        </w:rPr>
        <w:t xml:space="preserve">En la Resolución CREG 101 001 de 2022 </w:t>
      </w:r>
      <w:r w:rsidRPr="001744C2">
        <w:rPr>
          <w:noProof/>
        </w:rPr>
        <w:t>se establec</w:t>
      </w:r>
      <w:r>
        <w:rPr>
          <w:noProof/>
        </w:rPr>
        <w:t xml:space="preserve">ieron </w:t>
      </w:r>
      <w:r w:rsidRPr="001744C2">
        <w:rPr>
          <w:noProof/>
        </w:rPr>
        <w:t>condiciones para la implementación de la infraestructura de medición avanzada en el SIN</w:t>
      </w:r>
      <w:r>
        <w:rPr>
          <w:noProof/>
        </w:rPr>
        <w:t xml:space="preserve">, </w:t>
      </w:r>
      <w:r w:rsidR="00040547">
        <w:rPr>
          <w:noProof/>
        </w:rPr>
        <w:t xml:space="preserve">en el artículo 10 se </w:t>
      </w:r>
      <w:r w:rsidR="00E5403F">
        <w:rPr>
          <w:noProof/>
        </w:rPr>
        <w:t xml:space="preserve">define </w:t>
      </w:r>
      <w:r w:rsidR="00040547">
        <w:rPr>
          <w:noProof/>
        </w:rPr>
        <w:t>lo siguien</w:t>
      </w:r>
      <w:r w:rsidR="00FB4FF4">
        <w:rPr>
          <w:noProof/>
        </w:rPr>
        <w:t>te</w:t>
      </w:r>
      <w:r w:rsidR="00040547">
        <w:rPr>
          <w:noProof/>
        </w:rPr>
        <w:t xml:space="preserve">: </w:t>
      </w:r>
    </w:p>
    <w:p w14:paraId="567E7833" w14:textId="0D79F692" w:rsidR="00040547" w:rsidRDefault="00040547" w:rsidP="009C3524">
      <w:pPr>
        <w:ind w:left="284"/>
        <w:rPr>
          <w:i/>
          <w:iCs/>
          <w:noProof/>
        </w:rPr>
      </w:pPr>
      <w:r w:rsidRPr="00040547">
        <w:rPr>
          <w:i/>
          <w:iCs/>
          <w:noProof/>
        </w:rPr>
        <w:t>A</w:t>
      </w:r>
      <w:r w:rsidR="0048799D" w:rsidRPr="00040547">
        <w:rPr>
          <w:i/>
          <w:iCs/>
          <w:noProof/>
        </w:rPr>
        <w:t>rtículo</w:t>
      </w:r>
      <w:r w:rsidRPr="00040547">
        <w:rPr>
          <w:i/>
          <w:iCs/>
          <w:noProof/>
        </w:rPr>
        <w:t xml:space="preserve"> 10.  </w:t>
      </w:r>
      <w:r>
        <w:rPr>
          <w:i/>
          <w:iCs/>
          <w:noProof/>
        </w:rPr>
        <w:t>R</w:t>
      </w:r>
      <w:r w:rsidRPr="00040547">
        <w:rPr>
          <w:i/>
          <w:iCs/>
          <w:noProof/>
        </w:rPr>
        <w:t>esponsabilidades del OR respecto de AMI. El OR tendrá la obligación de instalar, administrar, operar, mantener y reponer los equipos que hacen parte de AMI en el mercado que atiende, para lo cual deberá:</w:t>
      </w:r>
    </w:p>
    <w:p w14:paraId="3C8C3C6C" w14:textId="78EF3ECE" w:rsidR="009C3524" w:rsidRDefault="009C3524" w:rsidP="009C3524">
      <w:pPr>
        <w:ind w:left="284"/>
        <w:rPr>
          <w:i/>
          <w:iCs/>
          <w:noProof/>
        </w:rPr>
      </w:pPr>
      <w:r>
        <w:rPr>
          <w:i/>
          <w:iCs/>
          <w:noProof/>
        </w:rPr>
        <w:lastRenderedPageBreak/>
        <w:t>(…)</w:t>
      </w:r>
    </w:p>
    <w:p w14:paraId="0284DEF0" w14:textId="4B3E9FFB" w:rsidR="00040547" w:rsidRDefault="009C3524" w:rsidP="009C3524">
      <w:pPr>
        <w:ind w:left="284"/>
        <w:rPr>
          <w:i/>
          <w:iCs/>
          <w:noProof/>
        </w:rPr>
      </w:pPr>
      <w:r w:rsidRPr="009C3524">
        <w:rPr>
          <w:i/>
          <w:iCs/>
          <w:noProof/>
        </w:rPr>
        <w:t>q) Leer los medidores de todos los usuarios regulados en su mercado de comercialización sin reporte al ASIC, independientemente de que tengan solución AMI o no, y entregar los datos al GIDI, una vez éste entre en funcionamiento, a partir del mes siguiente al de actualización de los cargos aprobados para el mercado de comercialización, como consecuencia de la aplicación de la metodología que reemplace la establecida en la Resolución CREG 180 de 2014.</w:t>
      </w:r>
    </w:p>
    <w:p w14:paraId="2AD0F6DA" w14:textId="48A890B6" w:rsidR="00040547" w:rsidRPr="007A390A" w:rsidRDefault="007A390A" w:rsidP="00637A3F">
      <w:pPr>
        <w:rPr>
          <w:noProof/>
        </w:rPr>
      </w:pPr>
      <w:r>
        <w:rPr>
          <w:noProof/>
        </w:rPr>
        <w:t>El artículo 13 de la Resolución CREG 101 001 de 2022 establece que la respo</w:t>
      </w:r>
      <w:r w:rsidR="00212AEB">
        <w:rPr>
          <w:noProof/>
        </w:rPr>
        <w:t>n</w:t>
      </w:r>
      <w:r w:rsidR="0048799D">
        <w:rPr>
          <w:noProof/>
        </w:rPr>
        <w:t>sabilidad del sistema de medida será del OR</w:t>
      </w:r>
      <w:r>
        <w:rPr>
          <w:noProof/>
        </w:rPr>
        <w:t xml:space="preserve">: </w:t>
      </w:r>
    </w:p>
    <w:p w14:paraId="46F3C3FF" w14:textId="4DF6C5ED" w:rsidR="007A390A" w:rsidRPr="007A390A" w:rsidRDefault="007A390A" w:rsidP="007A390A">
      <w:pPr>
        <w:ind w:left="284"/>
        <w:rPr>
          <w:i/>
          <w:iCs/>
          <w:noProof/>
        </w:rPr>
      </w:pPr>
      <w:r w:rsidRPr="007A390A">
        <w:rPr>
          <w:i/>
          <w:iCs/>
          <w:noProof/>
        </w:rPr>
        <w:t>A</w:t>
      </w:r>
      <w:r w:rsidR="0048799D" w:rsidRPr="007A390A">
        <w:rPr>
          <w:i/>
          <w:iCs/>
          <w:noProof/>
        </w:rPr>
        <w:t>rtículo</w:t>
      </w:r>
      <w:r w:rsidRPr="007A390A">
        <w:rPr>
          <w:i/>
          <w:iCs/>
          <w:noProof/>
        </w:rPr>
        <w:t xml:space="preserve"> 13. C</w:t>
      </w:r>
      <w:r w:rsidR="0048799D" w:rsidRPr="007A390A">
        <w:rPr>
          <w:i/>
          <w:iCs/>
          <w:noProof/>
        </w:rPr>
        <w:t>ambio del responsable del sistema de medida</w:t>
      </w:r>
      <w:r w:rsidRPr="007A390A">
        <w:rPr>
          <w:i/>
          <w:iCs/>
          <w:noProof/>
        </w:rPr>
        <w:t>. Según lo descrito en el literal f) del artículo 10, a partir de la fecha de instalación del medidor avanzado a un usuario, el OR será responsable por el sistema de medición instalado en la frontera comercial.</w:t>
      </w:r>
    </w:p>
    <w:p w14:paraId="3B55A5B9" w14:textId="77777777" w:rsidR="007A390A" w:rsidRPr="007A390A" w:rsidRDefault="007A390A" w:rsidP="007A390A">
      <w:pPr>
        <w:ind w:left="284"/>
        <w:rPr>
          <w:i/>
          <w:iCs/>
          <w:noProof/>
        </w:rPr>
      </w:pPr>
      <w:r w:rsidRPr="007A390A">
        <w:rPr>
          <w:i/>
          <w:iCs/>
          <w:noProof/>
        </w:rPr>
        <w:t>Independientemente de lo anterior, el OR será responsable del sistema de medida instalado en todas las fronteras comerciales de los usuarios regulados sin reporte al ASIC en el mercado que atiende, con las obligaciones y responsabilidades definidas en el código de medida.</w:t>
      </w:r>
    </w:p>
    <w:p w14:paraId="0C128FC1" w14:textId="69E45B15" w:rsidR="007A390A" w:rsidRDefault="007A390A" w:rsidP="007A390A">
      <w:pPr>
        <w:ind w:left="284"/>
        <w:rPr>
          <w:i/>
          <w:iCs/>
          <w:noProof/>
        </w:rPr>
      </w:pPr>
      <w:r w:rsidRPr="007A390A">
        <w:rPr>
          <w:i/>
          <w:iCs/>
          <w:noProof/>
        </w:rPr>
        <w:t>Los comercializadores deberán entregar al OR la hoja de vida de los sistemas de medición y los documentos anexos dentro de los cinco (5) meses siguientes al de inicio de la lectura de medidores de que trata el literal q) del artículo 10.</w:t>
      </w:r>
    </w:p>
    <w:p w14:paraId="01CDDAA4" w14:textId="04DAAFB1" w:rsidR="005D5C8B" w:rsidRDefault="005D5C8B" w:rsidP="005D5C8B">
      <w:pPr>
        <w:rPr>
          <w:noProof/>
        </w:rPr>
      </w:pPr>
      <w:r>
        <w:rPr>
          <w:noProof/>
        </w:rPr>
        <w:t xml:space="preserve">El artículo 43 de la Resolución CREG 101 001 de 2022 establece lo siguiente: </w:t>
      </w:r>
    </w:p>
    <w:p w14:paraId="0B71533A" w14:textId="1D0E701D" w:rsidR="005D5C8B" w:rsidRPr="005D5C8B" w:rsidRDefault="005D5C8B" w:rsidP="005D5C8B">
      <w:pPr>
        <w:ind w:left="284"/>
        <w:rPr>
          <w:i/>
          <w:iCs/>
          <w:noProof/>
        </w:rPr>
      </w:pPr>
      <w:r w:rsidRPr="005D5C8B">
        <w:rPr>
          <w:i/>
          <w:iCs/>
          <w:noProof/>
        </w:rPr>
        <w:t xml:space="preserve">Artículo 43. Acceso a las mediciones de usuarios </w:t>
      </w:r>
      <w:r w:rsidR="0090536E" w:rsidRPr="005D5C8B">
        <w:rPr>
          <w:i/>
          <w:iCs/>
          <w:noProof/>
        </w:rPr>
        <w:t xml:space="preserve">sin </w:t>
      </w:r>
      <w:r w:rsidRPr="005D5C8B">
        <w:rPr>
          <w:i/>
          <w:iCs/>
          <w:noProof/>
        </w:rPr>
        <w:t>AMI. Acorde con lo establecido en el literal q) del artículo 10, mientras un usuario no disponga de medición avanzada, el OR será el responsable por la lectura de su medidor, y deberá enviar dicha información al comercializador que represente a dicho usuario en un término no superior a 24 horas posteriores al de recolección de la información, enviando toda la información leída necesaria para realizar la facturación.</w:t>
      </w:r>
    </w:p>
    <w:p w14:paraId="30A5EB1E" w14:textId="77777777" w:rsidR="005D5C8B" w:rsidRPr="005D5C8B" w:rsidRDefault="005D5C8B" w:rsidP="005D5C8B">
      <w:pPr>
        <w:ind w:left="284"/>
        <w:rPr>
          <w:i/>
          <w:iCs/>
          <w:noProof/>
        </w:rPr>
      </w:pPr>
      <w:r w:rsidRPr="005D5C8B">
        <w:rPr>
          <w:i/>
          <w:iCs/>
          <w:noProof/>
        </w:rPr>
        <w:t>El diseño de los formatos de suministro de información, reporte de las mediciones para los usuarios y para los comercializadores, así como la información adicional que permita al usuario gestionar su consumo, serán determinados por el Comité Asesor de Comercialización, dentro de los seis (6) meses siguientes a la fecha de entrada en vigencia de la presente resolución.</w:t>
      </w:r>
    </w:p>
    <w:p w14:paraId="59125D7B" w14:textId="060794E8" w:rsidR="005D5C8B" w:rsidRDefault="005D5C8B" w:rsidP="005D5C8B">
      <w:pPr>
        <w:ind w:left="284"/>
        <w:rPr>
          <w:i/>
          <w:iCs/>
          <w:noProof/>
        </w:rPr>
      </w:pPr>
      <w:r w:rsidRPr="005D5C8B">
        <w:rPr>
          <w:i/>
          <w:iCs/>
          <w:noProof/>
        </w:rPr>
        <w:t>Los formatos e información adicional serán enviados a la Comisión para su aprobación y publicación vía circular.</w:t>
      </w:r>
    </w:p>
    <w:p w14:paraId="371EEC88" w14:textId="058A1603" w:rsidR="00324636" w:rsidRPr="00324636" w:rsidRDefault="00324636" w:rsidP="00324636">
      <w:pPr>
        <w:rPr>
          <w:rFonts w:cs="Arial"/>
          <w:color w:val="000000" w:themeColor="text1"/>
        </w:rPr>
      </w:pPr>
      <w:r w:rsidRPr="00324636">
        <w:rPr>
          <w:rFonts w:cs="Arial"/>
          <w:color w:val="000000" w:themeColor="text1"/>
        </w:rPr>
        <w:t>Mediante la Resolución 40272 del 15 de septiembre de 2020, el Ministerio de Minas y Energía reglamentó lo establecido en el Decreto 1231 de 2020, determinando lo siguiente:</w:t>
      </w:r>
    </w:p>
    <w:p w14:paraId="1201197F" w14:textId="77777777" w:rsidR="00324636" w:rsidRPr="00F563C0" w:rsidRDefault="00324636" w:rsidP="00F563C0">
      <w:pPr>
        <w:ind w:left="284"/>
        <w:rPr>
          <w:rFonts w:cs="Arial"/>
          <w:i/>
          <w:iCs/>
          <w:color w:val="000000" w:themeColor="text1"/>
        </w:rPr>
      </w:pPr>
      <w:r w:rsidRPr="00F563C0">
        <w:rPr>
          <w:rFonts w:cs="Arial"/>
          <w:i/>
          <w:iCs/>
          <w:color w:val="000000" w:themeColor="text1"/>
        </w:rPr>
        <w:t xml:space="preserve">Artículo 1. Con independencia del número de prestadores del servicio público de energía eléctrica que atiendan el mercado que fuere operado por la Electrificadora del Caribe S.A. E.S.P. a la fecha de expedición de la Ley 1955 de 2019, los cargos de comercialización aplicables al prestador o los </w:t>
      </w:r>
      <w:proofErr w:type="gramStart"/>
      <w:r w:rsidRPr="00F563C0">
        <w:rPr>
          <w:rFonts w:cs="Arial"/>
          <w:i/>
          <w:iCs/>
          <w:color w:val="000000" w:themeColor="text1"/>
        </w:rPr>
        <w:t>prestadores,</w:t>
      </w:r>
      <w:proofErr w:type="gramEnd"/>
      <w:r w:rsidRPr="00F563C0">
        <w:rPr>
          <w:rFonts w:cs="Arial"/>
          <w:i/>
          <w:iCs/>
          <w:color w:val="000000" w:themeColor="text1"/>
        </w:rPr>
        <w:t xml:space="preserve"> </w:t>
      </w:r>
      <w:r w:rsidRPr="00F563C0">
        <w:rPr>
          <w:rFonts w:cs="Arial"/>
          <w:i/>
          <w:iCs/>
          <w:color w:val="000000" w:themeColor="text1"/>
        </w:rPr>
        <w:lastRenderedPageBreak/>
        <w:t>serán los correspondientes a los del mercado existente a la fecha de expedición de dicha ley, con las siguientes modificaciones transitorias:</w:t>
      </w:r>
    </w:p>
    <w:p w14:paraId="45D89C08" w14:textId="77777777" w:rsidR="00324636" w:rsidRPr="00F563C0" w:rsidRDefault="00324636" w:rsidP="00F563C0">
      <w:pPr>
        <w:ind w:left="284"/>
        <w:rPr>
          <w:rFonts w:cs="Arial"/>
          <w:i/>
          <w:iCs/>
          <w:color w:val="000000" w:themeColor="text1"/>
        </w:rPr>
      </w:pPr>
      <w:r w:rsidRPr="00F563C0">
        <w:rPr>
          <w:rFonts w:cs="Arial"/>
          <w:i/>
          <w:iCs/>
          <w:color w:val="000000" w:themeColor="text1"/>
        </w:rPr>
        <w:t>1. El valor del Costo Base de Comercialización (</w:t>
      </w:r>
      <w:proofErr w:type="spellStart"/>
      <w:r w:rsidRPr="00F563C0">
        <w:rPr>
          <w:rFonts w:cs="Arial"/>
          <w:i/>
          <w:iCs/>
          <w:color w:val="000000" w:themeColor="text1"/>
        </w:rPr>
        <w:t>Cfj</w:t>
      </w:r>
      <w:proofErr w:type="spellEnd"/>
      <w:r w:rsidRPr="00F563C0">
        <w:rPr>
          <w:rFonts w:cs="Arial"/>
          <w:i/>
          <w:iCs/>
          <w:color w:val="000000" w:themeColor="text1"/>
        </w:rPr>
        <w:t>) vigente en 2020 se incrementará en 20%. Este valor se actualizará de acuerdo con la normatividad vigente.</w:t>
      </w:r>
    </w:p>
    <w:p w14:paraId="2DF0AA8A" w14:textId="77777777" w:rsidR="00324636" w:rsidRPr="00F563C0" w:rsidRDefault="00324636" w:rsidP="00F563C0">
      <w:pPr>
        <w:ind w:left="284"/>
        <w:rPr>
          <w:rFonts w:cs="Arial"/>
          <w:i/>
          <w:iCs/>
          <w:color w:val="000000" w:themeColor="text1"/>
        </w:rPr>
      </w:pPr>
      <w:r w:rsidRPr="00F563C0">
        <w:rPr>
          <w:rFonts w:cs="Arial"/>
          <w:i/>
          <w:iCs/>
          <w:color w:val="000000" w:themeColor="text1"/>
        </w:rPr>
        <w:t>2. Al resultado mensual del cálculo del riesgo de cartera (</w:t>
      </w:r>
      <w:proofErr w:type="spellStart"/>
      <w:proofErr w:type="gramStart"/>
      <w:r w:rsidRPr="00F563C0">
        <w:rPr>
          <w:rFonts w:cs="Arial"/>
          <w:i/>
          <w:iCs/>
          <w:color w:val="000000" w:themeColor="text1"/>
        </w:rPr>
        <w:t>RCi,j</w:t>
      </w:r>
      <w:proofErr w:type="gramEnd"/>
      <w:r w:rsidRPr="00F563C0">
        <w:rPr>
          <w:rFonts w:cs="Arial"/>
          <w:i/>
          <w:iCs/>
          <w:color w:val="000000" w:themeColor="text1"/>
        </w:rPr>
        <w:t>,m</w:t>
      </w:r>
      <w:proofErr w:type="spellEnd"/>
      <w:r w:rsidRPr="00F563C0">
        <w:rPr>
          <w:rFonts w:cs="Arial"/>
          <w:i/>
          <w:iCs/>
          <w:color w:val="000000" w:themeColor="text1"/>
        </w:rPr>
        <w:t>), conforme la metodología actual, se le adicionarán 300 puntos básicos.</w:t>
      </w:r>
    </w:p>
    <w:p w14:paraId="03CAFF30" w14:textId="74F55F2E" w:rsidR="00324636" w:rsidRPr="00F563C0" w:rsidRDefault="00324636" w:rsidP="00F563C0">
      <w:pPr>
        <w:ind w:left="284"/>
        <w:rPr>
          <w:rFonts w:cs="Arial"/>
          <w:i/>
          <w:iCs/>
          <w:color w:val="000000" w:themeColor="text1"/>
        </w:rPr>
      </w:pPr>
      <w:r w:rsidRPr="00F563C0">
        <w:rPr>
          <w:rFonts w:cs="Arial"/>
          <w:i/>
          <w:iCs/>
          <w:color w:val="000000" w:themeColor="text1"/>
        </w:rPr>
        <w:t>PARÁGRAFO PRIMERO. Lo dispuesto en los numerales primero y segundo del presente artículo aplicará de conformidad con las siguientes reglas:</w:t>
      </w:r>
    </w:p>
    <w:p w14:paraId="17D2675A" w14:textId="799AA124" w:rsidR="00324636" w:rsidRPr="00F563C0" w:rsidRDefault="00324636" w:rsidP="00F563C0">
      <w:pPr>
        <w:ind w:left="284"/>
        <w:rPr>
          <w:rFonts w:cs="Arial"/>
          <w:i/>
          <w:iCs/>
          <w:color w:val="000000" w:themeColor="text1"/>
        </w:rPr>
      </w:pPr>
      <w:r w:rsidRPr="00F563C0">
        <w:rPr>
          <w:rFonts w:cs="Arial"/>
          <w:i/>
          <w:iCs/>
          <w:color w:val="000000" w:themeColor="text1"/>
        </w:rPr>
        <w:t>(i) Como máximo, el 1 de diciembre de 2020 la Comisión de Regulación de energía y Gas – CREG, actualizará los cargos particulares de comercialización actualmente aplicables para el prestador o los prestadores que atiendan el mercado que fuere operado por la Electrificadora del Caribe S.A. E.S.P. a la fecha de expedición de la Ley 1955 de 2019, con el fin de que se incluya el resultado de la aplicación de lo dispuesto en el numeral 1.</w:t>
      </w:r>
    </w:p>
    <w:p w14:paraId="3D13D4B4" w14:textId="539EF21C" w:rsidR="00324636" w:rsidRPr="00F563C0" w:rsidRDefault="00324636" w:rsidP="00F563C0">
      <w:pPr>
        <w:ind w:left="284"/>
        <w:rPr>
          <w:rFonts w:cs="Arial"/>
          <w:i/>
          <w:iCs/>
          <w:color w:val="000000" w:themeColor="text1"/>
        </w:rPr>
      </w:pPr>
      <w:r w:rsidRPr="00F563C0">
        <w:rPr>
          <w:rFonts w:cs="Arial"/>
          <w:i/>
          <w:iCs/>
          <w:color w:val="000000" w:themeColor="text1"/>
        </w:rPr>
        <w:t>(</w:t>
      </w:r>
      <w:proofErr w:type="spellStart"/>
      <w:r w:rsidRPr="00F563C0">
        <w:rPr>
          <w:rFonts w:cs="Arial"/>
          <w:i/>
          <w:iCs/>
          <w:color w:val="000000" w:themeColor="text1"/>
        </w:rPr>
        <w:t>ii</w:t>
      </w:r>
      <w:proofErr w:type="spellEnd"/>
      <w:r w:rsidRPr="00F563C0">
        <w:rPr>
          <w:rFonts w:cs="Arial"/>
          <w:i/>
          <w:iCs/>
          <w:color w:val="000000" w:themeColor="text1"/>
        </w:rPr>
        <w:t>) El prestador o los prestadores actualizarán directamente lo dispuesto en el numeral 2.</w:t>
      </w:r>
    </w:p>
    <w:p w14:paraId="42D5ABCE" w14:textId="780678F8" w:rsidR="00324636" w:rsidRDefault="00324636" w:rsidP="00F563C0">
      <w:pPr>
        <w:ind w:left="284"/>
        <w:rPr>
          <w:rFonts w:cs="Arial"/>
          <w:i/>
          <w:iCs/>
          <w:color w:val="000000" w:themeColor="text1"/>
        </w:rPr>
      </w:pPr>
      <w:r w:rsidRPr="00F563C0">
        <w:rPr>
          <w:rFonts w:cs="Arial"/>
          <w:i/>
          <w:iCs/>
          <w:color w:val="000000" w:themeColor="text1"/>
        </w:rPr>
        <w:t>(</w:t>
      </w:r>
      <w:proofErr w:type="spellStart"/>
      <w:r w:rsidRPr="00F563C0">
        <w:rPr>
          <w:rFonts w:cs="Arial"/>
          <w:i/>
          <w:iCs/>
          <w:color w:val="000000" w:themeColor="text1"/>
        </w:rPr>
        <w:t>iii</w:t>
      </w:r>
      <w:proofErr w:type="spellEnd"/>
      <w:r w:rsidRPr="00F563C0">
        <w:rPr>
          <w:rFonts w:cs="Arial"/>
          <w:i/>
          <w:iCs/>
          <w:color w:val="000000" w:themeColor="text1"/>
        </w:rPr>
        <w:t>) La actualización de los cargos conforme a lo dispuesto en los anteriores numerales de este parágrafo, aplicará a partir de la firmeza de la resolución a la que se refiere el numeral (i)</w:t>
      </w:r>
    </w:p>
    <w:p w14:paraId="3CCD60EC" w14:textId="58D059B0" w:rsidR="00BB1FBF" w:rsidRDefault="00CC114B" w:rsidP="00F563C0">
      <w:pPr>
        <w:ind w:left="284"/>
        <w:rPr>
          <w:rFonts w:cs="Arial"/>
          <w:i/>
          <w:iCs/>
          <w:color w:val="000000" w:themeColor="text1"/>
        </w:rPr>
      </w:pPr>
      <w:r>
        <w:rPr>
          <w:rFonts w:cs="Arial"/>
          <w:i/>
          <w:iCs/>
          <w:color w:val="000000" w:themeColor="text1"/>
        </w:rPr>
        <w:t>(…)</w:t>
      </w:r>
    </w:p>
    <w:p w14:paraId="4C0D9F8F" w14:textId="30B45623" w:rsidR="00CC114B" w:rsidRPr="00C77D60" w:rsidRDefault="00CC114B" w:rsidP="00F563C0">
      <w:pPr>
        <w:ind w:left="284"/>
        <w:rPr>
          <w:rFonts w:cs="Arial"/>
          <w:i/>
          <w:iCs/>
          <w:color w:val="000000" w:themeColor="text1"/>
        </w:rPr>
      </w:pPr>
      <w:r w:rsidRPr="00CC114B">
        <w:rPr>
          <w:rFonts w:cs="Arial"/>
          <w:i/>
          <w:iCs/>
          <w:color w:val="000000" w:themeColor="text1"/>
        </w:rPr>
        <w:t>A</w:t>
      </w:r>
      <w:r>
        <w:rPr>
          <w:rFonts w:cs="Arial"/>
          <w:i/>
          <w:iCs/>
          <w:color w:val="000000" w:themeColor="text1"/>
        </w:rPr>
        <w:t xml:space="preserve">rtículo </w:t>
      </w:r>
      <w:r w:rsidRPr="00CC114B">
        <w:rPr>
          <w:rFonts w:cs="Arial"/>
          <w:i/>
          <w:iCs/>
          <w:color w:val="000000" w:themeColor="text1"/>
        </w:rPr>
        <w:t xml:space="preserve">2. En concordancia con lo dispuesto en el numeral 4, artículo 2.2.3.2.2.1.3 del Decreto número 1073 de 2015, modificado por el Decreto número 1231 de 2020, </w:t>
      </w:r>
      <w:r w:rsidRPr="00C77D60">
        <w:rPr>
          <w:rFonts w:cs="Arial"/>
          <w:i/>
          <w:iCs/>
          <w:color w:val="000000" w:themeColor="text1"/>
        </w:rPr>
        <w:t>los cargos aplicables según lo dispuesto en esta resolución, y en desarrollo de lo previsto en el mencionado decreto, estarán vigentes por 5 años o hasta que se expida una nueva metodología de comercialización, lo que primero ocurra. En todo caso, lo dispuesto en la presente resolución y los cargos que actualice la CREG, continuarán rigiendo hasta que esta apruebe los nuevos cargos de acuerdo con la metodología de remuneración de la actividad de comercialización vigente en ese momento.</w:t>
      </w:r>
    </w:p>
    <w:p w14:paraId="4B0C1C9B" w14:textId="25A3DB0F" w:rsidR="00F563C0" w:rsidRDefault="009D47AD" w:rsidP="00637A3F">
      <w:pPr>
        <w:rPr>
          <w:rFonts w:cs="Arial"/>
          <w:color w:val="000000" w:themeColor="text1"/>
        </w:rPr>
      </w:pPr>
      <w:r>
        <w:rPr>
          <w:rFonts w:cs="Arial"/>
          <w:color w:val="000000" w:themeColor="text1"/>
        </w:rPr>
        <w:t xml:space="preserve">Con base en lo </w:t>
      </w:r>
      <w:r w:rsidR="00024721">
        <w:rPr>
          <w:rFonts w:cs="Arial"/>
          <w:color w:val="000000" w:themeColor="text1"/>
        </w:rPr>
        <w:t xml:space="preserve">establecido en la </w:t>
      </w:r>
      <w:r w:rsidR="00024721" w:rsidRPr="00324636">
        <w:rPr>
          <w:rFonts w:cs="Arial"/>
          <w:color w:val="000000" w:themeColor="text1"/>
        </w:rPr>
        <w:t>Resolución 40272 de 2020</w:t>
      </w:r>
      <w:r w:rsidR="00024721">
        <w:rPr>
          <w:rFonts w:cs="Arial"/>
          <w:color w:val="000000" w:themeColor="text1"/>
        </w:rPr>
        <w:t xml:space="preserve"> d</w:t>
      </w:r>
      <w:r w:rsidR="00024721" w:rsidRPr="00324636">
        <w:rPr>
          <w:rFonts w:cs="Arial"/>
          <w:color w:val="000000" w:themeColor="text1"/>
        </w:rPr>
        <w:t>el Ministerio de Minas y Energía</w:t>
      </w:r>
      <w:r w:rsidR="00024721">
        <w:rPr>
          <w:rFonts w:cs="Arial"/>
          <w:color w:val="000000" w:themeColor="text1"/>
        </w:rPr>
        <w:t xml:space="preserve">, La Comisión expidió la </w:t>
      </w:r>
      <w:r w:rsidR="006405AE">
        <w:rPr>
          <w:rFonts w:cs="Arial"/>
          <w:color w:val="000000" w:themeColor="text1"/>
        </w:rPr>
        <w:t xml:space="preserve">Resolución CREG 188 de 2020 </w:t>
      </w:r>
      <w:r w:rsidR="00024721">
        <w:rPr>
          <w:rFonts w:cs="Arial"/>
          <w:color w:val="000000" w:themeColor="text1"/>
        </w:rPr>
        <w:t xml:space="preserve">que establece lo </w:t>
      </w:r>
      <w:r w:rsidR="00C27243">
        <w:rPr>
          <w:rFonts w:cs="Arial"/>
          <w:color w:val="000000" w:themeColor="text1"/>
        </w:rPr>
        <w:t xml:space="preserve">siguiente: </w:t>
      </w:r>
    </w:p>
    <w:p w14:paraId="64EDF17F" w14:textId="74DAAF53" w:rsidR="00DF15BD" w:rsidRDefault="00DF15BD" w:rsidP="00C27243">
      <w:pPr>
        <w:ind w:left="284"/>
        <w:rPr>
          <w:rFonts w:cs="Arial"/>
          <w:i/>
          <w:iCs/>
          <w:color w:val="000000" w:themeColor="text1"/>
        </w:rPr>
      </w:pPr>
      <w:r w:rsidRPr="00DF15BD">
        <w:rPr>
          <w:rFonts w:cs="Arial"/>
          <w:i/>
          <w:iCs/>
          <w:color w:val="000000" w:themeColor="text1"/>
        </w:rPr>
        <w:t>Artículo 1. Modificación del costo base de comercialización del mercado atendido por electrificadora del caribe S.A. E.S.P. Modificar el Artículo 1 de la Resolución CREG 036 de 2015, el cual quedará así:</w:t>
      </w:r>
    </w:p>
    <w:p w14:paraId="06406839" w14:textId="2AC1B949" w:rsidR="006405AE" w:rsidRPr="00C27243" w:rsidRDefault="006405AE" w:rsidP="002F0509">
      <w:pPr>
        <w:ind w:left="339" w:hanging="55"/>
        <w:rPr>
          <w:rFonts w:cs="Arial"/>
          <w:i/>
          <w:iCs/>
          <w:color w:val="000000" w:themeColor="text1"/>
        </w:rPr>
      </w:pPr>
      <w:r w:rsidRPr="00C27243">
        <w:rPr>
          <w:rFonts w:cs="Arial"/>
          <w:i/>
          <w:iCs/>
          <w:color w:val="000000" w:themeColor="text1"/>
        </w:rPr>
        <w:t>Artículo 1. Costo base de comercialización. El costo base de comercialización para el mercado de comercialización atendido por la Electrificadora del Caribe S.A. E.SP., Electricaribe, conforme a lo establecido en el artículo 6 de la Resolución CREG 180 de 2014 y la Resolución MME 40272 de 2020 es:</w:t>
      </w:r>
    </w:p>
    <w:p w14:paraId="147FABC3" w14:textId="4419775F" w:rsidR="00C27243" w:rsidRPr="00C27243" w:rsidRDefault="00C27243" w:rsidP="00C27243">
      <w:pPr>
        <w:ind w:left="284"/>
        <w:rPr>
          <w:rFonts w:cs="Arial"/>
          <w:i/>
          <w:iCs/>
          <w:color w:val="000000" w:themeColor="text1"/>
        </w:rPr>
      </w:pPr>
      <w:r w:rsidRPr="00C27243">
        <w:rPr>
          <w:rFonts w:cs="Arial"/>
          <w:i/>
          <w:iCs/>
          <w:color w:val="000000" w:themeColor="text1"/>
        </w:rPr>
        <w:t>(…)</w:t>
      </w:r>
    </w:p>
    <w:p w14:paraId="39295E09" w14:textId="0484FD4A" w:rsidR="006405AE" w:rsidRPr="007C356D" w:rsidRDefault="006405AE" w:rsidP="00C27243">
      <w:pPr>
        <w:ind w:left="284"/>
        <w:rPr>
          <w:rFonts w:cs="Arial"/>
          <w:i/>
          <w:iCs/>
          <w:color w:val="000000" w:themeColor="text1"/>
        </w:rPr>
      </w:pPr>
      <w:r w:rsidRPr="007C356D">
        <w:rPr>
          <w:rFonts w:cs="Arial"/>
          <w:i/>
          <w:iCs/>
          <w:color w:val="000000" w:themeColor="text1"/>
        </w:rPr>
        <w:lastRenderedPageBreak/>
        <w:t>PARÁGRAFO. Los cargos aplicables según lo dispuesto en esta resolución estarán vigentes por 5 años, o hasta que se expida una nueva metodología de comercialización, lo que primero ocurra. En todo caso, los cargos calculados con base en la presente actualización continuarán rigiendo hasta que se aprueben los nuevos cargos, de acuerdo con la metodología de remuneración de la actividad de comercialización vigente en ese momento.</w:t>
      </w:r>
    </w:p>
    <w:p w14:paraId="228B1868" w14:textId="1D64AD8D" w:rsidR="00E262C6" w:rsidRDefault="00F104A6" w:rsidP="00B9261A">
      <w:pPr>
        <w:rPr>
          <w:noProof/>
        </w:rPr>
      </w:pPr>
      <w:r>
        <w:rPr>
          <w:noProof/>
        </w:rPr>
        <w:t>E</w:t>
      </w:r>
      <w:r w:rsidR="00E93F9C">
        <w:rPr>
          <w:noProof/>
        </w:rPr>
        <w:t xml:space="preserve">l </w:t>
      </w:r>
      <w:r w:rsidR="00B46E7C">
        <w:rPr>
          <w:noProof/>
        </w:rPr>
        <w:t xml:space="preserve">artículo 235 de la Ley </w:t>
      </w:r>
      <w:r w:rsidR="00E93F9C">
        <w:rPr>
          <w:noProof/>
        </w:rPr>
        <w:t xml:space="preserve">2294 de 2023 establece </w:t>
      </w:r>
      <w:r w:rsidR="00E262C6">
        <w:rPr>
          <w:noProof/>
        </w:rPr>
        <w:t xml:space="preserve">lo siguiente: </w:t>
      </w:r>
    </w:p>
    <w:p w14:paraId="7D7A53D1" w14:textId="79A44840" w:rsidR="00E262C6" w:rsidRPr="001F5EEA" w:rsidRDefault="00E262C6" w:rsidP="001F5EEA">
      <w:pPr>
        <w:ind w:left="284"/>
        <w:rPr>
          <w:i/>
          <w:iCs/>
          <w:noProof/>
        </w:rPr>
      </w:pPr>
      <w:r w:rsidRPr="001F5EEA">
        <w:rPr>
          <w:i/>
          <w:iCs/>
          <w:noProof/>
        </w:rPr>
        <w:t>ART</w:t>
      </w:r>
      <w:r w:rsidR="00A575A7" w:rsidRPr="001F5EEA">
        <w:rPr>
          <w:i/>
          <w:iCs/>
          <w:noProof/>
        </w:rPr>
        <w:t>Í</w:t>
      </w:r>
      <w:r w:rsidRPr="001F5EEA">
        <w:rPr>
          <w:i/>
          <w:iCs/>
          <w:noProof/>
        </w:rPr>
        <w:t>CULO 235. Modifíquese los numerales 10 y 23 y adiciónense los numerales 25 y 26 al artículo 5 de la Ley 1715 de 2014, así:</w:t>
      </w:r>
    </w:p>
    <w:p w14:paraId="1D20D07F" w14:textId="12ED88F4" w:rsidR="00E262C6" w:rsidRPr="001F5EEA" w:rsidRDefault="00E262C6" w:rsidP="001F5EEA">
      <w:pPr>
        <w:ind w:left="284"/>
        <w:rPr>
          <w:i/>
          <w:iCs/>
          <w:noProof/>
        </w:rPr>
      </w:pPr>
      <w:r w:rsidRPr="001F5EEA">
        <w:rPr>
          <w:i/>
          <w:iCs/>
          <w:noProof/>
        </w:rPr>
        <w:t>ART</w:t>
      </w:r>
      <w:r w:rsidR="00A575A7" w:rsidRPr="001F5EEA">
        <w:rPr>
          <w:i/>
          <w:iCs/>
          <w:noProof/>
        </w:rPr>
        <w:t>Í</w:t>
      </w:r>
      <w:r w:rsidRPr="001F5EEA">
        <w:rPr>
          <w:i/>
          <w:iCs/>
          <w:noProof/>
        </w:rPr>
        <w:t>CULO 5°. DEFINICIONES.</w:t>
      </w:r>
    </w:p>
    <w:p w14:paraId="2F3974D1" w14:textId="10B55217" w:rsidR="00A575A7" w:rsidRPr="001F5EEA" w:rsidRDefault="00A575A7" w:rsidP="001F5EEA">
      <w:pPr>
        <w:ind w:left="284"/>
        <w:rPr>
          <w:i/>
          <w:iCs/>
          <w:noProof/>
        </w:rPr>
      </w:pPr>
      <w:r w:rsidRPr="001F5EEA">
        <w:rPr>
          <w:i/>
          <w:iCs/>
          <w:noProof/>
        </w:rPr>
        <w:t>(…)</w:t>
      </w:r>
    </w:p>
    <w:p w14:paraId="7BF50C95" w14:textId="08B1C834" w:rsidR="007E0F2A" w:rsidRPr="001F5EEA" w:rsidRDefault="007E0F2A" w:rsidP="001F5EEA">
      <w:pPr>
        <w:ind w:left="284"/>
        <w:rPr>
          <w:i/>
          <w:iCs/>
          <w:noProof/>
        </w:rPr>
      </w:pPr>
      <w:r w:rsidRPr="001F5EEA">
        <w:rPr>
          <w:i/>
          <w:iCs/>
          <w:noProof/>
        </w:rPr>
        <w:t xml:space="preserve">25. Comunidades Energéticas. Los usuarios o potenciales usuarios de servicios energéticos podrán constituir Comunidades Energéticas para generar, </w:t>
      </w:r>
      <w:r w:rsidRPr="006A4D66">
        <w:rPr>
          <w:i/>
          <w:iCs/>
          <w:noProof/>
        </w:rPr>
        <w:t>comercializar y/</w:t>
      </w:r>
      <w:r w:rsidRPr="001F5EEA">
        <w:rPr>
          <w:i/>
          <w:iCs/>
          <w:noProof/>
        </w:rPr>
        <w:t>o usar eficientemente la energía a través del uso de fuentes no convencionales de energía renovables -FNCER-, combustibles renovables y recursos energéticos distribuidos.</w:t>
      </w:r>
    </w:p>
    <w:p w14:paraId="124F0AE9" w14:textId="27890A3E" w:rsidR="00A575A7" w:rsidRPr="001F5EEA" w:rsidRDefault="007E0F2A" w:rsidP="001F5EEA">
      <w:pPr>
        <w:ind w:left="284"/>
        <w:rPr>
          <w:i/>
          <w:iCs/>
          <w:noProof/>
        </w:rPr>
      </w:pPr>
      <w:r w:rsidRPr="001F5EEA">
        <w:rPr>
          <w:i/>
          <w:iCs/>
          <w:noProof/>
        </w:rPr>
        <w:t>Las Comunidades Energéticas podrán ser conformadas por personas naturales y/o jurídicas. En el caso de las personas naturales y de las estructuras de Gobierno Propio de los Pueblos y Comunidades Indígenas y de las comunidades campesinas, negras, afrocolombianas, raizales y palenqueras que se constituyan como Comunidades Energéticas, podrán ser beneficiarias de recursos públicos para el financiamiento de inversión, operación y mantenimiento de infraestructura, con base en los criterios de focalización que defina el Ministerio de Minas y Energía. La infraestructura que se desarrolle con recursos públicos podrá cederse a título gratuito a las Comunidades Energéticas, en las condiciones que defina el Ministerio de Minas y Energía, en coordinación con las entidades competentes.</w:t>
      </w:r>
    </w:p>
    <w:p w14:paraId="73E304DA" w14:textId="66A68B73" w:rsidR="00E262C6" w:rsidRPr="001F5EEA" w:rsidRDefault="001F5EEA" w:rsidP="001F5EEA">
      <w:pPr>
        <w:ind w:left="284"/>
        <w:rPr>
          <w:i/>
          <w:iCs/>
          <w:noProof/>
        </w:rPr>
      </w:pPr>
      <w:r w:rsidRPr="001F5EEA">
        <w:rPr>
          <w:i/>
          <w:iCs/>
          <w:noProof/>
        </w:rPr>
        <w:t>(…)</w:t>
      </w:r>
    </w:p>
    <w:p w14:paraId="080B652C" w14:textId="7AD270B2" w:rsidR="007C356D" w:rsidRPr="001F5EEA" w:rsidRDefault="00B9261A" w:rsidP="001F5EEA">
      <w:pPr>
        <w:ind w:left="284"/>
        <w:rPr>
          <w:i/>
          <w:iCs/>
          <w:noProof/>
        </w:rPr>
      </w:pPr>
      <w:r w:rsidRPr="001F5EEA">
        <w:rPr>
          <w:i/>
          <w:iCs/>
          <w:noProof/>
        </w:rPr>
        <w:t>La Comisión de Regulación de Energía y Gas CREG definirá en el</w:t>
      </w:r>
      <w:r w:rsidR="00334C07" w:rsidRPr="001F5EEA">
        <w:rPr>
          <w:i/>
          <w:iCs/>
          <w:noProof/>
        </w:rPr>
        <w:t xml:space="preserve"> </w:t>
      </w:r>
      <w:r w:rsidRPr="001F5EEA">
        <w:rPr>
          <w:i/>
          <w:iCs/>
          <w:noProof/>
        </w:rPr>
        <w:t>marco de sus competencias las condiciones asociadas a los términos</w:t>
      </w:r>
      <w:r w:rsidR="00334C07" w:rsidRPr="001F5EEA">
        <w:rPr>
          <w:i/>
          <w:iCs/>
          <w:noProof/>
        </w:rPr>
        <w:t xml:space="preserve"> </w:t>
      </w:r>
      <w:r w:rsidRPr="001F5EEA">
        <w:rPr>
          <w:i/>
          <w:iCs/>
          <w:noProof/>
        </w:rPr>
        <w:t>de la prestación del servicio de la Comunidad Energética</w:t>
      </w:r>
      <w:r w:rsidR="00334C07" w:rsidRPr="001F5EEA">
        <w:rPr>
          <w:i/>
          <w:iCs/>
          <w:noProof/>
        </w:rPr>
        <w:t>.</w:t>
      </w:r>
    </w:p>
    <w:p w14:paraId="3FC55438" w14:textId="6ACD5ED3" w:rsidR="004E2206" w:rsidRDefault="004E2206" w:rsidP="008507B6">
      <w:pPr>
        <w:rPr>
          <w:noProof/>
        </w:rPr>
      </w:pPr>
      <w:r>
        <w:rPr>
          <w:noProof/>
        </w:rPr>
        <w:t xml:space="preserve">Mediante el Decreto </w:t>
      </w:r>
      <w:r w:rsidR="006666A6">
        <w:rPr>
          <w:noProof/>
        </w:rPr>
        <w:t>2236 de 2023, p</w:t>
      </w:r>
      <w:r w:rsidR="006666A6" w:rsidRPr="006666A6">
        <w:rPr>
          <w:noProof/>
        </w:rPr>
        <w:t xml:space="preserve">or el cual se adiciona al Decreto 1073 de 2015 </w:t>
      </w:r>
      <w:r w:rsidR="006666A6">
        <w:rPr>
          <w:noProof/>
        </w:rPr>
        <w:t>el Gobierno Nacional reglamentó</w:t>
      </w:r>
      <w:r w:rsidR="006666A6" w:rsidRPr="006666A6">
        <w:rPr>
          <w:noProof/>
        </w:rPr>
        <w:t xml:space="preserve"> parcialmente el artículo 235 de la Ley 2294 de 2023 del Plan Nacional de Desarrollo 2022 - 2026 en lo relacionado con las Comunidades Energéticas</w:t>
      </w:r>
      <w:r w:rsidR="006666A6">
        <w:rPr>
          <w:noProof/>
        </w:rPr>
        <w:t>.</w:t>
      </w:r>
    </w:p>
    <w:p w14:paraId="6E7F9A24" w14:textId="79193020" w:rsidR="00502167" w:rsidRDefault="008507B6" w:rsidP="00502AD8">
      <w:r>
        <w:rPr>
          <w:noProof/>
        </w:rPr>
        <w:t xml:space="preserve">En </w:t>
      </w:r>
      <w:r w:rsidRPr="004E6CFC">
        <w:rPr>
          <w:noProof/>
        </w:rPr>
        <w:t xml:space="preserve">cumplimiento </w:t>
      </w:r>
      <w:r>
        <w:rPr>
          <w:noProof/>
        </w:rPr>
        <w:t>de</w:t>
      </w:r>
      <w:r w:rsidRPr="004E6CFC">
        <w:rPr>
          <w:noProof/>
        </w:rPr>
        <w:t xml:space="preserve"> lo establecido en el Decreto 2696 de 2004, el cual a su vez fue compilado mediante el Decreto 1078 de 2015, en relación con la obligación que tiene la Comisión de publicar los proyectos de metodologías y de fórmulas, los estudios respectivos y los textos de los proyectos de resoluciones para comentarios, se publica la resolución </w:t>
      </w:r>
      <w:r w:rsidRPr="00DC2C29">
        <w:rPr>
          <w:i/>
          <w:iCs/>
          <w:noProof/>
        </w:rPr>
        <w:t>Por la cual se establecen los criterios generales para determinar la remuneración de la actividad de comercialización de energía eléctrica a usuarios regulados en el Sistema Interconectado Nacional.</w:t>
      </w:r>
      <w:r w:rsidRPr="004E6CFC">
        <w:rPr>
          <w:noProof/>
        </w:rPr>
        <w:t xml:space="preserve"> </w:t>
      </w:r>
      <w:bookmarkStart w:id="0" w:name="_Ref208741538"/>
      <w:bookmarkStart w:id="1" w:name="_Ref208800103"/>
      <w:bookmarkStart w:id="2" w:name="_Ref208800198"/>
      <w:bookmarkStart w:id="3" w:name="_Ref208801482"/>
      <w:bookmarkStart w:id="4" w:name="_Ref208801521"/>
      <w:bookmarkStart w:id="5" w:name="_Ref208804214"/>
      <w:bookmarkStart w:id="6" w:name="_Ref208806182"/>
      <w:bookmarkStart w:id="7" w:name="_Ref209855218"/>
      <w:bookmarkStart w:id="8" w:name="_Ref209855264"/>
      <w:bookmarkStart w:id="9" w:name="_Toc210616028"/>
    </w:p>
    <w:p w14:paraId="27FB1CF3" w14:textId="77777777" w:rsidR="00CE2082" w:rsidRDefault="00CE2082" w:rsidP="00193054">
      <w:pPr>
        <w:spacing w:before="360" w:after="360"/>
        <w:jc w:val="center"/>
        <w:rPr>
          <w:b/>
        </w:rPr>
      </w:pPr>
    </w:p>
    <w:p w14:paraId="2FBB5EC8" w14:textId="6090A447" w:rsidR="00193054" w:rsidRPr="004E6CFC" w:rsidRDefault="00193054" w:rsidP="00193054">
      <w:pPr>
        <w:spacing w:before="360" w:after="360"/>
        <w:jc w:val="center"/>
        <w:rPr>
          <w:b/>
          <w:spacing w:val="40"/>
        </w:rPr>
      </w:pPr>
      <w:r w:rsidRPr="004E6CFC">
        <w:rPr>
          <w:b/>
        </w:rPr>
        <w:t>RESUELV</w:t>
      </w:r>
      <w:r w:rsidRPr="004E6CFC">
        <w:rPr>
          <w:b/>
          <w:spacing w:val="40"/>
        </w:rPr>
        <w:t>E:</w:t>
      </w:r>
    </w:p>
    <w:p w14:paraId="422FF2A7" w14:textId="5DB4CEE4" w:rsidR="00F574BA" w:rsidRPr="00271B91" w:rsidRDefault="00F574BA" w:rsidP="0095159A">
      <w:pPr>
        <w:pStyle w:val="Artculo"/>
        <w:ind w:left="0" w:firstLine="0"/>
        <w:rPr>
          <w:b w:val="0"/>
        </w:rPr>
      </w:pPr>
      <w:bookmarkStart w:id="10" w:name="_Ref207937090"/>
      <w:r w:rsidRPr="00271B91">
        <w:t>Objeto.</w:t>
      </w:r>
      <w:r w:rsidRPr="00271B91">
        <w:rPr>
          <w:b w:val="0"/>
        </w:rPr>
        <w:t xml:space="preserve"> </w:t>
      </w:r>
      <w:r w:rsidR="009F50FC" w:rsidRPr="009F50FC">
        <w:rPr>
          <w:b w:val="0"/>
        </w:rPr>
        <w:t>La presente resolución tiene por objeto establecer los criterios generales para determinar la remuneración de la actividad de comercialización de energía eléctrica a usuarios regulados en el Sistema Interconectado Nacional, SIN</w:t>
      </w:r>
      <w:r w:rsidRPr="00271B91">
        <w:rPr>
          <w:b w:val="0"/>
        </w:rPr>
        <w:t>.</w:t>
      </w:r>
    </w:p>
    <w:p w14:paraId="58E8F8CC" w14:textId="1CF504B1" w:rsidR="000F6A45" w:rsidRPr="007A1A17" w:rsidRDefault="00F574BA" w:rsidP="007A1A17">
      <w:pPr>
        <w:pStyle w:val="Artculo"/>
        <w:ind w:left="0" w:firstLine="0"/>
      </w:pPr>
      <w:r w:rsidRPr="00271B91">
        <w:t>Ámbito de Aplicación.</w:t>
      </w:r>
      <w:r w:rsidRPr="007A1A17">
        <w:t xml:space="preserve"> </w:t>
      </w:r>
      <w:r w:rsidR="00494F85" w:rsidRPr="007A1A17">
        <w:rPr>
          <w:b w:val="0"/>
          <w:bCs/>
        </w:rPr>
        <w:t xml:space="preserve">Esta resolución se aplica a todas las personas que, estando organizadas en alguna de las formas dispuestas por el Título I de la Ley 142 de 1994, desarrollan la actividad de comercialización de energía eléctrica a usuarios regulados en el SIN. </w:t>
      </w:r>
    </w:p>
    <w:p w14:paraId="447CBBE5" w14:textId="1B557E28" w:rsidR="00F574BA" w:rsidRDefault="000F6A45">
      <w:pPr>
        <w:pStyle w:val="Artculo"/>
        <w:numPr>
          <w:ilvl w:val="0"/>
          <w:numId w:val="0"/>
        </w:numPr>
        <w:tabs>
          <w:tab w:val="left" w:pos="1701"/>
        </w:tabs>
        <w:rPr>
          <w:b w:val="0"/>
        </w:rPr>
      </w:pPr>
      <w:r>
        <w:rPr>
          <w:b w:val="0"/>
        </w:rPr>
        <w:t>L</w:t>
      </w:r>
      <w:r w:rsidR="004E158D">
        <w:rPr>
          <w:b w:val="0"/>
        </w:rPr>
        <w:t xml:space="preserve">as </w:t>
      </w:r>
      <w:r w:rsidR="001E1F4A">
        <w:rPr>
          <w:b w:val="0"/>
        </w:rPr>
        <w:t xml:space="preserve">condiciones </w:t>
      </w:r>
      <w:r w:rsidR="00CB1844">
        <w:rPr>
          <w:b w:val="0"/>
        </w:rPr>
        <w:t xml:space="preserve">para la prestación del servicio por parte de las </w:t>
      </w:r>
      <w:r w:rsidR="004E158D">
        <w:rPr>
          <w:b w:val="0"/>
        </w:rPr>
        <w:t xml:space="preserve">comunidades energéticas </w:t>
      </w:r>
      <w:r w:rsidR="00AC2BBD">
        <w:rPr>
          <w:b w:val="0"/>
        </w:rPr>
        <w:t>constituidas para comercializar energía eléctrica</w:t>
      </w:r>
      <w:r w:rsidR="005A6199">
        <w:rPr>
          <w:b w:val="0"/>
        </w:rPr>
        <w:t xml:space="preserve"> a usuarios regulados</w:t>
      </w:r>
      <w:r w:rsidR="00AC2BBD">
        <w:rPr>
          <w:b w:val="0"/>
        </w:rPr>
        <w:t xml:space="preserve"> de acuerdo con lo establecido en la Ley 2294 de 2023</w:t>
      </w:r>
      <w:r w:rsidR="006666A6">
        <w:rPr>
          <w:b w:val="0"/>
        </w:rPr>
        <w:t xml:space="preserve"> y el Decreto 2236 de 2023</w:t>
      </w:r>
      <w:r w:rsidR="005B3D63">
        <w:rPr>
          <w:b w:val="0"/>
        </w:rPr>
        <w:t>, se definirá en resolución aparte</w:t>
      </w:r>
      <w:r w:rsidR="007D483C">
        <w:rPr>
          <w:b w:val="0"/>
        </w:rPr>
        <w:t>, incluidas las c</w:t>
      </w:r>
      <w:r w:rsidR="007D483C" w:rsidRPr="007D483C">
        <w:rPr>
          <w:b w:val="0"/>
        </w:rPr>
        <w:t>ondiciones para la comercialización de energía</w:t>
      </w:r>
      <w:r w:rsidR="005B3D63">
        <w:rPr>
          <w:b w:val="0"/>
        </w:rPr>
        <w:t>.</w:t>
      </w:r>
    </w:p>
    <w:p w14:paraId="0041281F" w14:textId="4F60B503" w:rsidR="00F574BA" w:rsidRPr="004E6CFC" w:rsidRDefault="00F574BA" w:rsidP="0095159A">
      <w:pPr>
        <w:pStyle w:val="Artculo"/>
        <w:ind w:left="0" w:firstLine="0"/>
        <w:rPr>
          <w:b w:val="0"/>
        </w:rPr>
      </w:pPr>
      <w:bookmarkStart w:id="11" w:name="_Ref445135063"/>
      <w:r w:rsidRPr="00271B91">
        <w:t xml:space="preserve">Definiciones. </w:t>
      </w:r>
      <w:r w:rsidRPr="00271B91">
        <w:rPr>
          <w:b w:val="0"/>
        </w:rPr>
        <w:t>Para la interpretación y aplicación de esta resolución, se tendrán en</w:t>
      </w:r>
      <w:r w:rsidRPr="004E6CFC">
        <w:rPr>
          <w:b w:val="0"/>
        </w:rPr>
        <w:t xml:space="preserve"> cuenta, además de las definiciones establecidas en las leyes 142 y 143 de 1994, </w:t>
      </w:r>
      <w:r w:rsidR="009322D3" w:rsidRPr="009322D3">
        <w:rPr>
          <w:b w:val="0"/>
        </w:rPr>
        <w:t>y en resoluciones vigentes que tratan los aspectos relativos a la actividad de comercialización, las siguientes</w:t>
      </w:r>
      <w:r w:rsidRPr="004E6CFC">
        <w:rPr>
          <w:b w:val="0"/>
        </w:rPr>
        <w:t>:</w:t>
      </w:r>
      <w:bookmarkEnd w:id="10"/>
      <w:bookmarkEnd w:id="11"/>
    </w:p>
    <w:p w14:paraId="09DD9311" w14:textId="5123E6A0" w:rsidR="00BA59FC" w:rsidRPr="00BA59FC" w:rsidRDefault="00BA59FC" w:rsidP="00BA59FC">
      <w:r w:rsidRPr="00BA59FC">
        <w:rPr>
          <w:b/>
          <w:bCs/>
        </w:rPr>
        <w:t>Áreas especiales:</w:t>
      </w:r>
      <w:r w:rsidRPr="00BA59FC">
        <w:t xml:space="preserve"> corresponden a las áreas definidas en el </w:t>
      </w:r>
      <w:r w:rsidR="009B6D87" w:rsidRPr="009B6D87">
        <w:t>artículo 2.2.3.1.2 del Decreto Único Reglamentario 1073 de 2015</w:t>
      </w:r>
      <w:r w:rsidR="009B6D87">
        <w:t xml:space="preserve"> </w:t>
      </w:r>
      <w:r w:rsidRPr="00BA59FC">
        <w:t>del Ministerio de Minas y Energía o aquel que lo modifique</w:t>
      </w:r>
      <w:r w:rsidR="00FA7B16">
        <w:t>, comple</w:t>
      </w:r>
      <w:r w:rsidR="009174AB">
        <w:t>me</w:t>
      </w:r>
      <w:r w:rsidR="00FA7B16">
        <w:t>nte</w:t>
      </w:r>
      <w:r w:rsidRPr="00BA59FC">
        <w:t xml:space="preserve"> o sustituya. </w:t>
      </w:r>
    </w:p>
    <w:p w14:paraId="3B4A2850" w14:textId="478BB45B" w:rsidR="00D6138E" w:rsidRDefault="00D6138E" w:rsidP="00BA59FC">
      <w:r w:rsidRPr="00A8631E">
        <w:rPr>
          <w:b/>
        </w:rPr>
        <w:t>Actividad de Comercialización Minorista:</w:t>
      </w:r>
      <w:r w:rsidRPr="00D6138E">
        <w:t xml:space="preserve"> Actividad que consiste en la intermediación comercial entre los agentes que prestan los servicios de generación, transmisión y distribución de energía eléctrica y los usuarios finales de dichos servicios, bien sea que esa actividad se desarrolle o no en forma combinada con otras actividades del sector eléctrico, según lo dispuesto por la regulación y la ley.</w:t>
      </w:r>
    </w:p>
    <w:p w14:paraId="22ED08A5" w14:textId="0B821654" w:rsidR="00903DFE" w:rsidRDefault="00903DFE" w:rsidP="00BA59FC">
      <w:r w:rsidRPr="00903DFE">
        <w:rPr>
          <w:b/>
          <w:bCs/>
        </w:rPr>
        <w:t>Cargos de comercialización</w:t>
      </w:r>
      <w:r w:rsidRPr="00903DFE">
        <w:t>. Corresponde al cálculo de las variables contenidas en la metodología de remuneración de comercialización establecida en esta resolución, relativas a Costo Base de Comercialización y el Costo Variable de Comercialización.</w:t>
      </w:r>
    </w:p>
    <w:p w14:paraId="3FC1C140" w14:textId="6FF7BBAD" w:rsidR="00903DFE" w:rsidRDefault="00903DFE" w:rsidP="00BA59FC">
      <w:r w:rsidRPr="002C1C1C">
        <w:rPr>
          <w:b/>
          <w:bCs/>
        </w:rPr>
        <w:t>Comercialización Minorista:</w:t>
      </w:r>
      <w:r w:rsidRPr="002C1C1C">
        <w:t xml:space="preserve"> Para efectos de esta resolución, corresponde a la actividad que consiste en la compra y venta de energía eléctrica en el mercado mayorista y su venta con destino a otras operaciones en dicho mercado o a los usuarios finales. Incluye la celebración de los contratos de servicios públicos y la atención comercial de los usuarios.</w:t>
      </w:r>
    </w:p>
    <w:p w14:paraId="692880E1" w14:textId="312DD0D0" w:rsidR="00903DFE" w:rsidRPr="00903DFE" w:rsidRDefault="00903DFE" w:rsidP="00BA59FC">
      <w:r w:rsidRPr="00903DFE">
        <w:rPr>
          <w:b/>
          <w:bCs/>
        </w:rPr>
        <w:t xml:space="preserve">Comercializador Minorista: </w:t>
      </w:r>
      <w:r w:rsidRPr="00903DFE">
        <w:t>Para efectos de esta resolución, corresponde la persona natural o jurídica que ejerce la actividad de comercialización minorista.</w:t>
      </w:r>
    </w:p>
    <w:p w14:paraId="51AF4279" w14:textId="69CA3CDD" w:rsidR="00BA59FC" w:rsidRPr="00BA59FC" w:rsidRDefault="00BA59FC" w:rsidP="00BA59FC">
      <w:r w:rsidRPr="00BA59FC">
        <w:rPr>
          <w:b/>
          <w:bCs/>
        </w:rPr>
        <w:t>Costo base de comercialización:</w:t>
      </w:r>
      <w:r w:rsidRPr="00BA59FC">
        <w:t xml:space="preserve"> componente de la fórmula tarifaria que remunera los costos fijos de las actividades desarrolladas por los comercializadores de energía eléctrica que actúan en el mercado regulado y que </w:t>
      </w:r>
      <w:r w:rsidRPr="00BA59FC">
        <w:lastRenderedPageBreak/>
        <w:t>se causan por usuario atendido en un mercado de comercialización</w:t>
      </w:r>
      <w:r w:rsidR="0093626E">
        <w:t xml:space="preserve">, de acuerdo con lo establecido en el decreto </w:t>
      </w:r>
      <w:r w:rsidR="002F353E">
        <w:t>387 de 2007, o aquel que lo modifique</w:t>
      </w:r>
      <w:r w:rsidR="00547708">
        <w:t>, complemente</w:t>
      </w:r>
      <w:r w:rsidR="002F353E">
        <w:t xml:space="preserve"> o sustituya</w:t>
      </w:r>
      <w:r w:rsidRPr="00BA59FC">
        <w:t xml:space="preserve">. </w:t>
      </w:r>
    </w:p>
    <w:p w14:paraId="4B960F92" w14:textId="13114F6B" w:rsidR="00BA59FC" w:rsidRDefault="00BA59FC" w:rsidP="00BA59FC">
      <w:r w:rsidRPr="00BA59FC">
        <w:rPr>
          <w:b/>
          <w:bCs/>
        </w:rPr>
        <w:t>Costo unitario de prestación del servicio:</w:t>
      </w:r>
      <w:r w:rsidRPr="00BA59FC">
        <w:t xml:space="preserve"> es el costo económico eficiente de prestación del servicio al usuario final regulado, que resulta de aplicar la fórmula tarifaria general establecida en la Resolución CREG 119 de 2007, o aquella que la modifique</w:t>
      </w:r>
      <w:r w:rsidR="00547708">
        <w:t>, complemente</w:t>
      </w:r>
      <w:r w:rsidRPr="00BA59FC">
        <w:t xml:space="preserve"> o sustituya, y que corresponde a la suma de los costos eficientes de cada una de las actividades de la prestación del servicio.</w:t>
      </w:r>
    </w:p>
    <w:p w14:paraId="06AC73AB" w14:textId="0E608EEB" w:rsidR="00B724DE" w:rsidRDefault="00A14510" w:rsidP="00B724DE">
      <w:bookmarkStart w:id="12" w:name="_Hlk164352917"/>
      <w:r>
        <w:rPr>
          <w:b/>
          <w:bCs/>
        </w:rPr>
        <w:t>Valor(es) Atípico(s)</w:t>
      </w:r>
      <w:r w:rsidR="00903DFE" w:rsidRPr="00903DFE">
        <w:t xml:space="preserve">. </w:t>
      </w:r>
      <w:bookmarkEnd w:id="12"/>
      <w:r w:rsidR="00187941">
        <w:t>Un valor atípico es extremo si se encuentra a más de 3fs del cuarto más cercano</w:t>
      </w:r>
      <w:r w:rsidR="00FE6D08">
        <w:t xml:space="preserve"> </w:t>
      </w:r>
      <w:proofErr w:type="gramStart"/>
      <w:r w:rsidR="00FE6D08">
        <w:t>de acuerdo al</w:t>
      </w:r>
      <w:proofErr w:type="gramEnd"/>
      <w:r w:rsidR="00FE6D08">
        <w:t xml:space="preserve"> siguiente procedimiento:</w:t>
      </w:r>
      <w:r w:rsidR="00187941">
        <w:t xml:space="preserve"> </w:t>
      </w:r>
      <w:r w:rsidR="00B724DE">
        <w:t xml:space="preserve">Se ordenan las n observaciones de la más pequeña a la más grande y se separa la mitad más pequeña de la más grande; si n es impar se incluye la mediana en ambas mitades. En tal caso el cuarto inferior es la mediana de la mitad más pequeña (percentil 25) y el cuarto superior es la mediana de la mitad más grande (percentil 75). Una medida de dispersión resistente a los valores atípicos es la distancia entre cuartos </w:t>
      </w:r>
      <w:proofErr w:type="spellStart"/>
      <w:r w:rsidR="00B724DE">
        <w:t>fs</w:t>
      </w:r>
      <w:proofErr w:type="spellEnd"/>
      <w:r w:rsidR="00B724DE">
        <w:t xml:space="preserve">, dada </w:t>
      </w:r>
      <w:proofErr w:type="spellStart"/>
      <w:r w:rsidR="00B724DE">
        <w:t>porfs</w:t>
      </w:r>
      <w:proofErr w:type="spellEnd"/>
      <w:r w:rsidR="00B724DE">
        <w:t xml:space="preserve"> = cuarto superior - cuarto inferior.</w:t>
      </w:r>
    </w:p>
    <w:p w14:paraId="7501B96A" w14:textId="4C341F95" w:rsidR="00862BB2" w:rsidRPr="00B724DE" w:rsidRDefault="00862BB2" w:rsidP="00B724DE">
      <w:pPr>
        <w:rPr>
          <w:b/>
          <w:bCs/>
        </w:rPr>
      </w:pPr>
      <w:r w:rsidRPr="00862BB2">
        <w:rPr>
          <w:b/>
          <w:bCs/>
        </w:rPr>
        <w:t xml:space="preserve">Información de Costos para la Regulación, ICR: </w:t>
      </w:r>
      <w:r w:rsidRPr="00A8631E">
        <w:t xml:space="preserve">Módulo del Sistema de Información de Costos para la Regulación, desarrollado por la CREG con fines regulatorios, con el propósito de capturar información de los gastos de Administración, Operación y Mantenimiento, separados por actividades, conforme se </w:t>
      </w:r>
      <w:r w:rsidRPr="00FA1D26">
        <w:t>indica en la Circular 114 de 2019.</w:t>
      </w:r>
    </w:p>
    <w:p w14:paraId="2DF9C457" w14:textId="10795F3A" w:rsidR="00903DFE" w:rsidRDefault="00903DFE" w:rsidP="00BA59FC">
      <w:pPr>
        <w:rPr>
          <w:b/>
          <w:bCs/>
        </w:rPr>
      </w:pPr>
      <w:r>
        <w:rPr>
          <w:b/>
        </w:rPr>
        <w:t>Fecha base</w:t>
      </w:r>
      <w:r w:rsidRPr="00B86654">
        <w:rPr>
          <w:b/>
        </w:rPr>
        <w:t xml:space="preserve"> de la metodología: </w:t>
      </w:r>
      <w:r w:rsidRPr="00B3738C">
        <w:rPr>
          <w:bCs/>
        </w:rPr>
        <w:t>Es la fecha de referencia para realizar el cálculo de las variables descritas en la metodología, corresponde</w:t>
      </w:r>
      <w:r>
        <w:rPr>
          <w:bCs/>
        </w:rPr>
        <w:t xml:space="preserve"> a la información del año anterior</w:t>
      </w:r>
      <w:r>
        <w:t xml:space="preserve"> </w:t>
      </w:r>
      <w:r w:rsidRPr="00B86654">
        <w:t>año</w:t>
      </w:r>
      <w:r>
        <w:t xml:space="preserve"> de la publicación de la presente resolución expresada en pesos del 31 de diciembre de este año</w:t>
      </w:r>
      <w:r w:rsidRPr="00B86654">
        <w:t>.</w:t>
      </w:r>
    </w:p>
    <w:p w14:paraId="72DC706E" w14:textId="2EEDC58A" w:rsidR="00BA59FC" w:rsidRPr="00BA59FC" w:rsidRDefault="00BA59FC" w:rsidP="00BA59FC">
      <w:r w:rsidRPr="00BA59FC">
        <w:rPr>
          <w:b/>
          <w:bCs/>
        </w:rPr>
        <w:t>Mercado de comercialización:</w:t>
      </w:r>
      <w:r w:rsidRPr="00BA59FC">
        <w:t xml:space="preserve"> </w:t>
      </w:r>
      <w:r w:rsidR="001C7343" w:rsidRPr="001C7343">
        <w:t>conjunto de usuarios regulados y no regulados conectados a un mismo STR y/o SDL, servido por un mismo OR. También hacen parte del mercado de comercialización los usuarios conectados directamente al STN del área de influencia del respectivo OR, así como los usuarios conectados a activos de un TR dentro de esta misma área.</w:t>
      </w:r>
      <w:r w:rsidRPr="00BA59FC">
        <w:t xml:space="preserve"> </w:t>
      </w:r>
    </w:p>
    <w:p w14:paraId="4F67E723" w14:textId="153ABCA6" w:rsidR="00BA59FC" w:rsidRPr="002C1C1C" w:rsidRDefault="00BA59FC" w:rsidP="00BA59FC">
      <w:r w:rsidRPr="00B25C63">
        <w:rPr>
          <w:b/>
          <w:bCs/>
        </w:rPr>
        <w:t>Usuario:</w:t>
      </w:r>
      <w:r w:rsidRPr="00BA59FC">
        <w:t xml:space="preserve"> persona natural o jurídica que se beneficia con la prestación del servicio público domiciliario de energía eléctrica, bien como propietario del inmueble en </w:t>
      </w:r>
      <w:r w:rsidRPr="002C1C1C">
        <w:t>donde éste se presta, o como receptor directo del servicio. A este último usuario se le denomina también consumidor.</w:t>
      </w:r>
    </w:p>
    <w:p w14:paraId="3FB9804C" w14:textId="18C2EE4A" w:rsidR="00F574BA" w:rsidRPr="004E6CFC" w:rsidRDefault="00F574BA" w:rsidP="00560C50">
      <w:pPr>
        <w:pStyle w:val="Artculo"/>
        <w:ind w:left="0" w:firstLine="0"/>
      </w:pPr>
      <w:r w:rsidRPr="005D4F76">
        <w:t xml:space="preserve">Criterios generales. </w:t>
      </w:r>
      <w:r w:rsidR="005B4E8E" w:rsidRPr="005D4F76">
        <w:rPr>
          <w:b w:val="0"/>
        </w:rPr>
        <w:t xml:space="preserve">La metodología para </w:t>
      </w:r>
      <w:r w:rsidR="005B4E8E" w:rsidRPr="00252EB9">
        <w:rPr>
          <w:b w:val="0"/>
        </w:rPr>
        <w:t>determinar la remuneración de la actividad de comercialización de energía eléctrica a usuarios regulados en el Sistema Interconectado Nacional</w:t>
      </w:r>
      <w:r w:rsidR="00E34A98">
        <w:rPr>
          <w:b w:val="0"/>
        </w:rPr>
        <w:t xml:space="preserve">, SIN, </w:t>
      </w:r>
      <w:r w:rsidR="005B4E8E" w:rsidRPr="005D4F76">
        <w:rPr>
          <w:b w:val="0"/>
        </w:rPr>
        <w:t>tendrá en cuenta los siguientes criterios gene</w:t>
      </w:r>
      <w:r w:rsidR="005B4E8E" w:rsidRPr="004E6CFC">
        <w:rPr>
          <w:b w:val="0"/>
        </w:rPr>
        <w:t>rales</w:t>
      </w:r>
      <w:r w:rsidRPr="004E6CFC">
        <w:rPr>
          <w:b w:val="0"/>
        </w:rPr>
        <w:t>:</w:t>
      </w:r>
    </w:p>
    <w:p w14:paraId="4A7BAD7D" w14:textId="7DC9884A" w:rsidR="00F574BA" w:rsidRPr="00EA5D04" w:rsidRDefault="00F574BA" w:rsidP="00A652C6">
      <w:pPr>
        <w:pStyle w:val="Prrafodelista"/>
        <w:numPr>
          <w:ilvl w:val="0"/>
          <w:numId w:val="102"/>
        </w:numPr>
      </w:pPr>
      <w:r w:rsidRPr="00EA5D04">
        <w:t xml:space="preserve">En virtud del principio de integralidad de la tarifa establecido en la Ley, los ingresos </w:t>
      </w:r>
      <w:r w:rsidR="00EB03B9" w:rsidRPr="00EA5D04">
        <w:t xml:space="preserve">de los comercializadores </w:t>
      </w:r>
      <w:r w:rsidRPr="00F31F09">
        <w:t>variarán según los índices de calidad del servicio prestado.</w:t>
      </w:r>
    </w:p>
    <w:p w14:paraId="62B52029" w14:textId="0919F48A" w:rsidR="00D33C1C" w:rsidRPr="00EA5D04" w:rsidRDefault="00D33C1C" w:rsidP="00A652C6">
      <w:pPr>
        <w:pStyle w:val="Prrafodelista"/>
        <w:numPr>
          <w:ilvl w:val="0"/>
          <w:numId w:val="102"/>
        </w:numPr>
      </w:pPr>
      <w:r w:rsidRPr="00EA5D04">
        <w:t>El costo fijo refleja los costos económicos para garantizar la disponibilidad permanente del servicio independ</w:t>
      </w:r>
      <w:r w:rsidR="00245A54">
        <w:t>i</w:t>
      </w:r>
      <w:r w:rsidRPr="00EA5D04">
        <w:t>ente del nivel de consumo.</w:t>
      </w:r>
    </w:p>
    <w:p w14:paraId="599FA780" w14:textId="73E00F16" w:rsidR="00D33C1C" w:rsidRPr="00EA5D04" w:rsidRDefault="00D33C1C" w:rsidP="00A652C6">
      <w:pPr>
        <w:pStyle w:val="Prrafodelista"/>
        <w:numPr>
          <w:ilvl w:val="0"/>
          <w:numId w:val="102"/>
        </w:numPr>
      </w:pPr>
      <w:r w:rsidRPr="00EA5D04">
        <w:lastRenderedPageBreak/>
        <w:t>El costo variable refleja los costos asociados con el nivel de consumo de</w:t>
      </w:r>
      <w:r w:rsidR="005E4556">
        <w:t xml:space="preserve"> cada </w:t>
      </w:r>
      <w:r w:rsidRPr="00EA5D04">
        <w:t>usuario del mercado de comercialización.</w:t>
      </w:r>
    </w:p>
    <w:p w14:paraId="03FA6846" w14:textId="30D49B16" w:rsidR="00705858" w:rsidRDefault="00CD3244" w:rsidP="00A652C6">
      <w:pPr>
        <w:pStyle w:val="Prrafodelista"/>
        <w:numPr>
          <w:ilvl w:val="0"/>
          <w:numId w:val="102"/>
        </w:numPr>
      </w:pPr>
      <w:r>
        <w:t xml:space="preserve">Los costos resultantes de la aplicación de esta metodología </w:t>
      </w:r>
      <w:r w:rsidR="005E4556">
        <w:t xml:space="preserve">deben </w:t>
      </w:r>
      <w:r w:rsidR="00840BD6">
        <w:t>refleja</w:t>
      </w:r>
      <w:r w:rsidR="005E4556">
        <w:t>r</w:t>
      </w:r>
      <w:r w:rsidR="00840BD6">
        <w:t xml:space="preserve"> las eficiencias alcanzadas por los comercializadores durante el periodo tarifario anterior, </w:t>
      </w:r>
      <w:r w:rsidR="00370C8E">
        <w:t>con base en el esquema de remuneración previsto</w:t>
      </w:r>
      <w:r w:rsidR="003434CB">
        <w:t xml:space="preserve"> en la Resolución CREG 180 de 2014</w:t>
      </w:r>
      <w:r w:rsidR="00370C8E">
        <w:t xml:space="preserve">, </w:t>
      </w:r>
      <w:r w:rsidR="00840BD6">
        <w:t>así como</w:t>
      </w:r>
      <w:r w:rsidR="00370C8E">
        <w:t>, la</w:t>
      </w:r>
      <w:r w:rsidR="003434CB">
        <w:t xml:space="preserve"> mejor información disponible </w:t>
      </w:r>
      <w:r w:rsidR="00262270">
        <w:t xml:space="preserve">reportada por las empresas </w:t>
      </w:r>
      <w:r w:rsidR="00480EAF">
        <w:t xml:space="preserve">a la CREG en el sistema </w:t>
      </w:r>
      <w:r w:rsidR="00262270">
        <w:t xml:space="preserve">de </w:t>
      </w:r>
      <w:r w:rsidR="00480EAF">
        <w:t>i</w:t>
      </w:r>
      <w:r w:rsidR="00262270">
        <w:t xml:space="preserve">nformación de cuentas para la regulación, ICR. </w:t>
      </w:r>
    </w:p>
    <w:p w14:paraId="15AB0876" w14:textId="089C6056" w:rsidR="00EB7AB5" w:rsidRDefault="00B02C25" w:rsidP="00A652C6">
      <w:pPr>
        <w:pStyle w:val="Prrafodelista"/>
        <w:numPr>
          <w:ilvl w:val="0"/>
          <w:numId w:val="102"/>
        </w:numPr>
      </w:pPr>
      <w:r w:rsidRPr="00B02C25">
        <w:t xml:space="preserve">La metodología propuesta </w:t>
      </w:r>
      <w:r>
        <w:t xml:space="preserve">a través de la presente resolución corresponde </w:t>
      </w:r>
      <w:r w:rsidR="00D05FEE">
        <w:t>a</w:t>
      </w:r>
      <w:r w:rsidRPr="00B02C25">
        <w:t xml:space="preserve"> un conjunto de variables y procedimientos de cálculo para determinar los cargos máximos que puede cobrar </w:t>
      </w:r>
      <w:r w:rsidR="00D05FEE">
        <w:t>un comercializador de energía eléctrica</w:t>
      </w:r>
      <w:r w:rsidRPr="00B02C25">
        <w:t xml:space="preserve"> por el </w:t>
      </w:r>
      <w:r w:rsidR="00D05FEE">
        <w:t>desarrollo de esta actividad</w:t>
      </w:r>
      <w:r w:rsidR="00B7238D">
        <w:t xml:space="preserve"> en un mercado de comercialización</w:t>
      </w:r>
      <w:r w:rsidRPr="00B02C25">
        <w:t>, y contiene las fórmulas que durante el período tarifario se deben aplicar para el cálculo de estos cargos</w:t>
      </w:r>
      <w:r w:rsidR="001269C3">
        <w:t xml:space="preserve"> por parte del comercializador</w:t>
      </w:r>
      <w:r w:rsidRPr="00B02C25">
        <w:t xml:space="preserve">. Por tanto, a esta metodología le aplican las reglas y principios </w:t>
      </w:r>
      <w:r w:rsidR="004D6D73">
        <w:t xml:space="preserve">que orientan </w:t>
      </w:r>
      <w:r w:rsidRPr="00B02C25">
        <w:t>el régimen tarifario definido</w:t>
      </w:r>
      <w:r w:rsidR="004D6D73">
        <w:t>s</w:t>
      </w:r>
      <w:r w:rsidRPr="00B02C25">
        <w:t xml:space="preserve"> </w:t>
      </w:r>
      <w:r w:rsidR="004D6D73">
        <w:t>en</w:t>
      </w:r>
      <w:r w:rsidRPr="00B02C25">
        <w:t xml:space="preserve"> la </w:t>
      </w:r>
      <w:r w:rsidR="004D6D73">
        <w:t>Ley 142 de 1994</w:t>
      </w:r>
      <w:r w:rsidRPr="00B02C25">
        <w:t>.</w:t>
      </w:r>
    </w:p>
    <w:p w14:paraId="5CE9B4D6" w14:textId="528A1095" w:rsidR="00D33C1C" w:rsidRPr="00EA5D04" w:rsidRDefault="00D33C1C" w:rsidP="00A652C6">
      <w:pPr>
        <w:pStyle w:val="Prrafodelista"/>
        <w:numPr>
          <w:ilvl w:val="0"/>
          <w:numId w:val="102"/>
        </w:numPr>
      </w:pPr>
      <w:r w:rsidRPr="00EA5D04">
        <w:t xml:space="preserve">Los </w:t>
      </w:r>
      <w:r w:rsidR="005E4556">
        <w:t xml:space="preserve">cargos </w:t>
      </w:r>
      <w:r w:rsidRPr="00EA5D04">
        <w:t xml:space="preserve">resultantes de las fórmulas tarifarias definidas en esta resolución y demás regulación </w:t>
      </w:r>
      <w:r w:rsidR="0065685F">
        <w:t xml:space="preserve">relacionada </w:t>
      </w:r>
      <w:r w:rsidRPr="00EA5D04">
        <w:t xml:space="preserve">son valores máximos, es decir, los comercializadores podrán cobrar a sus usuarios valores menores, siempre que cumplan con lo establecido en el artículo 98 de la Ley 142 de 1994.  </w:t>
      </w:r>
    </w:p>
    <w:p w14:paraId="0CCB5FB2" w14:textId="3076B884" w:rsidR="00D33C1C" w:rsidRPr="00EA5D04" w:rsidRDefault="0065685F" w:rsidP="00A652C6">
      <w:pPr>
        <w:pStyle w:val="Prrafodelista"/>
        <w:numPr>
          <w:ilvl w:val="0"/>
          <w:numId w:val="102"/>
        </w:numPr>
      </w:pPr>
      <w:r>
        <w:t>E</w:t>
      </w:r>
      <w:r w:rsidR="00D33C1C" w:rsidRPr="00EA5D04">
        <w:t xml:space="preserve">n la remuneración de la actividad de comercialización </w:t>
      </w:r>
      <w:r>
        <w:t xml:space="preserve">se consideran </w:t>
      </w:r>
      <w:r w:rsidR="00D33C1C" w:rsidRPr="00EA5D04">
        <w:t>criterios de eficiencia y mecanismos para trasladar a los usuarios la reducción de los costos de las actividades relacionadas con la comercialización de energía eléctrica, con base en l</w:t>
      </w:r>
      <w:r w:rsidR="00B002B6">
        <w:t>os</w:t>
      </w:r>
      <w:r w:rsidR="00D33C1C" w:rsidRPr="00EA5D04">
        <w:t xml:space="preserve"> artículo</w:t>
      </w:r>
      <w:r w:rsidR="00B002B6">
        <w:t>s 87 y</w:t>
      </w:r>
      <w:r w:rsidR="00D33C1C" w:rsidRPr="00EA5D04">
        <w:t xml:space="preserve"> 92 de la Ley 142 de 1994.</w:t>
      </w:r>
    </w:p>
    <w:p w14:paraId="7122DCFE" w14:textId="7DB4B4D9" w:rsidR="00D33C1C" w:rsidRPr="00EA5D04" w:rsidRDefault="00D33C1C" w:rsidP="00A652C6">
      <w:pPr>
        <w:pStyle w:val="Prrafodelista"/>
        <w:numPr>
          <w:ilvl w:val="0"/>
          <w:numId w:val="102"/>
        </w:numPr>
      </w:pPr>
      <w:r w:rsidRPr="00EA5D04">
        <w:t xml:space="preserve">Se define </w:t>
      </w:r>
      <w:r w:rsidR="00AA2873">
        <w:t xml:space="preserve">un esquema de </w:t>
      </w:r>
      <w:r w:rsidR="00300C76">
        <w:t xml:space="preserve">seguimiento de la </w:t>
      </w:r>
      <w:r w:rsidRPr="00EA5D04">
        <w:t>calidad del servicio comercial</w:t>
      </w:r>
      <w:r w:rsidR="00300C76">
        <w:t xml:space="preserve">, </w:t>
      </w:r>
      <w:r w:rsidRPr="00EA5D04">
        <w:t xml:space="preserve">que deben ser </w:t>
      </w:r>
      <w:r w:rsidR="00F3759E">
        <w:t xml:space="preserve">aplicado </w:t>
      </w:r>
      <w:r w:rsidRPr="00EA5D04">
        <w:t xml:space="preserve">por todos los comercializadores, así como mecanismos para incentivar la mejora de la calidad comercial.  </w:t>
      </w:r>
    </w:p>
    <w:p w14:paraId="0D9D73EE" w14:textId="3121BBB5" w:rsidR="008039A2" w:rsidRDefault="00530A79" w:rsidP="00A652C6">
      <w:pPr>
        <w:pStyle w:val="Prrafodelista"/>
        <w:numPr>
          <w:ilvl w:val="0"/>
          <w:numId w:val="102"/>
        </w:numPr>
      </w:pPr>
      <w:r>
        <w:t xml:space="preserve">La información utilizada </w:t>
      </w:r>
      <w:r w:rsidR="00A55566">
        <w:t xml:space="preserve">para aplicar la </w:t>
      </w:r>
      <w:r>
        <w:t>me</w:t>
      </w:r>
      <w:r w:rsidR="00D55CAA">
        <w:t xml:space="preserve">todología </w:t>
      </w:r>
      <w:r w:rsidR="00A55566">
        <w:t xml:space="preserve">definida en esta resolución </w:t>
      </w:r>
      <w:r w:rsidR="008039A2">
        <w:t xml:space="preserve">en cada mercado de comercialización </w:t>
      </w:r>
      <w:r w:rsidR="00D55CAA">
        <w:t>corresponde</w:t>
      </w:r>
      <w:r w:rsidR="00A55566">
        <w:t xml:space="preserve"> </w:t>
      </w:r>
      <w:r w:rsidR="00D55CAA">
        <w:t xml:space="preserve">a </w:t>
      </w:r>
      <w:r w:rsidR="008039A2">
        <w:t xml:space="preserve">la </w:t>
      </w:r>
      <w:r w:rsidR="00D55CAA">
        <w:t xml:space="preserve">información histórica que fue reportada por los agentes al Sistema Único de Información SUI, y a la CREG en respuesta a </w:t>
      </w:r>
      <w:r w:rsidR="00C55D8D">
        <w:t>las C</w:t>
      </w:r>
      <w:r w:rsidR="00D55CAA">
        <w:t>irculares</w:t>
      </w:r>
      <w:r w:rsidR="00C55D8D">
        <w:t xml:space="preserve"> relacionadas</w:t>
      </w:r>
      <w:r w:rsidR="00D55CAA">
        <w:t xml:space="preserve">. </w:t>
      </w:r>
    </w:p>
    <w:p w14:paraId="14142501" w14:textId="78723BE9" w:rsidR="00B504C6" w:rsidRPr="00FA5287" w:rsidRDefault="007C459C" w:rsidP="00A652C6">
      <w:pPr>
        <w:pStyle w:val="Prrafodelista"/>
        <w:numPr>
          <w:ilvl w:val="0"/>
          <w:numId w:val="102"/>
        </w:numPr>
      </w:pPr>
      <w:r w:rsidRPr="00EC2217">
        <w:t>U</w:t>
      </w:r>
      <w:r w:rsidR="003011F7" w:rsidRPr="00EC2217">
        <w:t xml:space="preserve">na vez </w:t>
      </w:r>
      <w:r w:rsidR="00717959" w:rsidRPr="00EC2217">
        <w:t xml:space="preserve">se </w:t>
      </w:r>
      <w:r w:rsidR="006745F9" w:rsidRPr="00EC2217">
        <w:t>expida</w:t>
      </w:r>
      <w:r w:rsidR="00717959" w:rsidRPr="00EC2217">
        <w:t xml:space="preserve"> la metodología definida en esta r</w:t>
      </w:r>
      <w:r w:rsidR="003011F7" w:rsidRPr="00EC2217">
        <w:t>esolución</w:t>
      </w:r>
      <w:r w:rsidR="00717959" w:rsidRPr="00EC2217">
        <w:t>,</w:t>
      </w:r>
      <w:r w:rsidR="003011F7" w:rsidRPr="00EC2217">
        <w:t xml:space="preserve"> las empresas </w:t>
      </w:r>
      <w:r w:rsidR="005E1602" w:rsidRPr="00EC2217">
        <w:t xml:space="preserve">le </w:t>
      </w:r>
      <w:r w:rsidR="00334E2A" w:rsidRPr="00EC2217">
        <w:t>darán aplicación</w:t>
      </w:r>
      <w:r w:rsidR="005E1602" w:rsidRPr="00EC2217">
        <w:t xml:space="preserve"> para el período tarifario correspondiente, para lo cual</w:t>
      </w:r>
      <w:r w:rsidR="00334E2A" w:rsidRPr="00EC2217">
        <w:t xml:space="preserve"> </w:t>
      </w:r>
      <w:r w:rsidR="00B504C6" w:rsidRPr="00EC2217">
        <w:t xml:space="preserve">calcularán los nuevos cargos empleando </w:t>
      </w:r>
      <w:r w:rsidR="003011F7" w:rsidRPr="00EC2217">
        <w:t xml:space="preserve">las fórmulas </w:t>
      </w:r>
      <w:r w:rsidR="000130D2" w:rsidRPr="00EC2217">
        <w:t xml:space="preserve">acá </w:t>
      </w:r>
      <w:r w:rsidR="003011F7" w:rsidRPr="00EC2217">
        <w:t xml:space="preserve">definidas </w:t>
      </w:r>
      <w:r w:rsidR="00123E65" w:rsidRPr="00EC2217">
        <w:t xml:space="preserve">y </w:t>
      </w:r>
      <w:r w:rsidRPr="00EC2217">
        <w:t xml:space="preserve">la </w:t>
      </w:r>
      <w:r w:rsidR="009724CC" w:rsidRPr="00EC2217">
        <w:t xml:space="preserve">información </w:t>
      </w:r>
      <w:r w:rsidRPr="00EC2217">
        <w:t>histórica reportada al SUI y a la CREG, tal como se señal</w:t>
      </w:r>
      <w:r w:rsidR="000130D2" w:rsidRPr="00EC2217">
        <w:t>a</w:t>
      </w:r>
      <w:r w:rsidRPr="00EC2217">
        <w:t xml:space="preserve"> en la </w:t>
      </w:r>
      <w:r w:rsidR="00B504C6" w:rsidRPr="00FA5287">
        <w:t>presente resolución</w:t>
      </w:r>
      <w:r w:rsidR="009724CC" w:rsidRPr="00FA5287">
        <w:t>.</w:t>
      </w:r>
    </w:p>
    <w:p w14:paraId="129F88D3" w14:textId="2D280773" w:rsidR="007C7FEC" w:rsidRPr="00FA5287" w:rsidRDefault="00CD286B" w:rsidP="00A652C6">
      <w:pPr>
        <w:pStyle w:val="Prrafodelista"/>
        <w:numPr>
          <w:ilvl w:val="0"/>
          <w:numId w:val="102"/>
        </w:numPr>
      </w:pPr>
      <w:r w:rsidRPr="00FA5287">
        <w:t xml:space="preserve">La </w:t>
      </w:r>
      <w:r w:rsidR="00F572B5" w:rsidRPr="00FA5287">
        <w:t xml:space="preserve">metodología </w:t>
      </w:r>
      <w:r w:rsidR="007C7FEC" w:rsidRPr="00FA5287">
        <w:t xml:space="preserve">general </w:t>
      </w:r>
      <w:r w:rsidR="0011706F" w:rsidRPr="00FA5287">
        <w:t>establecida</w:t>
      </w:r>
      <w:r w:rsidR="00456B59" w:rsidRPr="00FA5287">
        <w:t xml:space="preserve"> y los cargos resultantes</w:t>
      </w:r>
      <w:r w:rsidR="0011706F" w:rsidRPr="00FA5287">
        <w:t xml:space="preserve"> </w:t>
      </w:r>
      <w:r w:rsidR="00F572B5" w:rsidRPr="00FA5287">
        <w:t>aplicará</w:t>
      </w:r>
      <w:r w:rsidR="00456B59" w:rsidRPr="00FA5287">
        <w:t>n</w:t>
      </w:r>
      <w:r w:rsidR="00F572B5" w:rsidRPr="00FA5287">
        <w:t xml:space="preserve"> </w:t>
      </w:r>
      <w:r w:rsidR="00DC4FC3" w:rsidRPr="00FA5287">
        <w:t xml:space="preserve">al siguiente mes de </w:t>
      </w:r>
      <w:proofErr w:type="gramStart"/>
      <w:r w:rsidR="005A4732" w:rsidRPr="00FA5287">
        <w:t xml:space="preserve">entrada en </w:t>
      </w:r>
      <w:r w:rsidR="00DC4FC3" w:rsidRPr="00FA5287">
        <w:t>vigencia</w:t>
      </w:r>
      <w:proofErr w:type="gramEnd"/>
      <w:r w:rsidR="00DC4FC3" w:rsidRPr="00FA5287">
        <w:t xml:space="preserve"> de </w:t>
      </w:r>
      <w:r w:rsidR="0011706F" w:rsidRPr="00FA5287">
        <w:t>esta resolución</w:t>
      </w:r>
      <w:r w:rsidR="006A1519" w:rsidRPr="00FA5287">
        <w:t>.</w:t>
      </w:r>
    </w:p>
    <w:p w14:paraId="7232BBCF" w14:textId="77777777" w:rsidR="008B336D" w:rsidRDefault="008F6381">
      <w:pPr>
        <w:pStyle w:val="Prrafodelista"/>
        <w:numPr>
          <w:ilvl w:val="0"/>
          <w:numId w:val="102"/>
        </w:numPr>
      </w:pPr>
      <w:r>
        <w:t>Durante el periodo tarifario, e</w:t>
      </w:r>
      <w:r w:rsidR="003F4D38">
        <w:t xml:space="preserve">l reconocimiento de </w:t>
      </w:r>
      <w:r w:rsidR="00D33C1C" w:rsidRPr="00EA5D04">
        <w:t xml:space="preserve">costos podrá ajustarse en función de </w:t>
      </w:r>
      <w:r w:rsidR="009E10AF">
        <w:t xml:space="preserve">cambios </w:t>
      </w:r>
      <w:r w:rsidR="00823431">
        <w:t xml:space="preserve">en las actividades </w:t>
      </w:r>
      <w:r w:rsidR="00272B68">
        <w:t xml:space="preserve">reguladas </w:t>
      </w:r>
      <w:r w:rsidR="009E10AF">
        <w:t>realizadas por el comercializador</w:t>
      </w:r>
      <w:r w:rsidR="00B823BF">
        <w:t xml:space="preserve"> en aplicación de nueva regulación de la Comisión</w:t>
      </w:r>
      <w:r w:rsidR="00D171A2">
        <w:t xml:space="preserve"> asociada con la implementación de </w:t>
      </w:r>
      <w:r w:rsidR="008B336D">
        <w:t xml:space="preserve">políticas públicas definidas en </w:t>
      </w:r>
      <w:r w:rsidR="00D171A2">
        <w:t>normas de carácter superior</w:t>
      </w:r>
      <w:r w:rsidR="00B823BF">
        <w:t>.</w:t>
      </w:r>
    </w:p>
    <w:p w14:paraId="5CECDEA9" w14:textId="66A64783" w:rsidR="007D31CC" w:rsidRDefault="007D31CC">
      <w:pPr>
        <w:pStyle w:val="Prrafodelista"/>
        <w:numPr>
          <w:ilvl w:val="0"/>
          <w:numId w:val="102"/>
        </w:numPr>
      </w:pPr>
      <w:r>
        <w:lastRenderedPageBreak/>
        <w:t xml:space="preserve">El reporte de información </w:t>
      </w:r>
      <w:r w:rsidR="00A1287E">
        <w:t>es responsabilidad del comercializa</w:t>
      </w:r>
      <w:r w:rsidR="00180D0F">
        <w:t>dor, en caso de no</w:t>
      </w:r>
      <w:r w:rsidR="00C12859">
        <w:t xml:space="preserve"> realizar dicho reporte, la </w:t>
      </w:r>
      <w:r w:rsidR="00945362">
        <w:t xml:space="preserve">CREG </w:t>
      </w:r>
      <w:r w:rsidR="00EF2EC6">
        <w:t>establecerá los criterios para el c</w:t>
      </w:r>
      <w:r w:rsidR="009B66DB">
        <w:t>álculo de los cargos</w:t>
      </w:r>
      <w:r w:rsidR="00835326">
        <w:t xml:space="preserve"> de acuerdo con lo previsto en la presente resolución</w:t>
      </w:r>
      <w:r w:rsidR="0034367F">
        <w:t xml:space="preserve">. </w:t>
      </w:r>
    </w:p>
    <w:p w14:paraId="31A73F14" w14:textId="2B0BAA7C" w:rsidR="00794876" w:rsidRDefault="00A861D4" w:rsidP="00342F78">
      <w:pPr>
        <w:pStyle w:val="Prrafodelista"/>
        <w:numPr>
          <w:ilvl w:val="0"/>
          <w:numId w:val="102"/>
        </w:numPr>
      </w:pPr>
      <w:r>
        <w:t>La modificación y revisión de la metodología</w:t>
      </w:r>
      <w:r w:rsidR="00136D95">
        <w:t xml:space="preserve">, así como el </w:t>
      </w:r>
      <w:r w:rsidR="000B527D">
        <w:t>recono</w:t>
      </w:r>
      <w:r w:rsidR="009669B2">
        <w:t xml:space="preserve">cimiento de circunstancias particulares y específicas de los </w:t>
      </w:r>
      <w:r w:rsidR="00A04572">
        <w:t>comercializadores</w:t>
      </w:r>
      <w:r>
        <w:t xml:space="preserve"> </w:t>
      </w:r>
      <w:r w:rsidR="00342F78">
        <w:t>en los mercados de comercialización</w:t>
      </w:r>
      <w:r w:rsidR="00794876" w:rsidRPr="00794876">
        <w:t xml:space="preserve"> </w:t>
      </w:r>
      <w:r>
        <w:t xml:space="preserve">estará sujeta </w:t>
      </w:r>
      <w:r w:rsidR="00136D95">
        <w:t xml:space="preserve">a lo dispuesto </w:t>
      </w:r>
      <w:r w:rsidR="009669B2">
        <w:t xml:space="preserve">en el artículo 126 </w:t>
      </w:r>
      <w:r w:rsidR="00342F78">
        <w:t>de la Ley 142 de 1994, m</w:t>
      </w:r>
      <w:r w:rsidR="00342F78" w:rsidRPr="00342F78">
        <w:t xml:space="preserve">odificado por el </w:t>
      </w:r>
      <w:r w:rsidR="00342F78">
        <w:t xml:space="preserve">artículo </w:t>
      </w:r>
      <w:r w:rsidR="00342F78" w:rsidRPr="00342F78">
        <w:t>52 de la Ley 2099 de 2021</w:t>
      </w:r>
      <w:r w:rsidR="00342F78">
        <w:t>.</w:t>
      </w:r>
      <w:r w:rsidR="00794876" w:rsidRPr="00794876">
        <w:t xml:space="preserve"> </w:t>
      </w:r>
    </w:p>
    <w:p w14:paraId="60353BD6" w14:textId="5B9B863A" w:rsidR="0009345B" w:rsidRPr="0009345B" w:rsidRDefault="00D33C1C" w:rsidP="0009345B">
      <w:r w:rsidRPr="00EA5D04">
        <w:t>Los comercializadores podrán ofrecer a los usuarios servicios diferentes a los relacionados con la prestación del servicio de energía eléctrica, el costo asociado con estos servicios no puede ser incluido en los costos reconocidos en esta metodología.</w:t>
      </w:r>
    </w:p>
    <w:p w14:paraId="1EBD9A95" w14:textId="5761DBAC" w:rsidR="00FA20F9" w:rsidRPr="00FA20F9" w:rsidRDefault="00D33C1C" w:rsidP="00F7158E">
      <w:pPr>
        <w:pStyle w:val="Artculo"/>
        <w:ind w:left="0" w:firstLine="0"/>
        <w:rPr>
          <w:b w:val="0"/>
        </w:rPr>
      </w:pPr>
      <w:r w:rsidRPr="00EA5D04">
        <w:t xml:space="preserve"> </w:t>
      </w:r>
      <w:bookmarkStart w:id="13" w:name="_Ref195412735"/>
      <w:bookmarkStart w:id="14" w:name="_Ref209833384"/>
      <w:bookmarkStart w:id="15" w:name="_Ref476757639"/>
      <w:r w:rsidR="008B336D">
        <w:t xml:space="preserve"> </w:t>
      </w:r>
      <w:r w:rsidR="00FA20F9">
        <w:t>R</w:t>
      </w:r>
      <w:r w:rsidR="008B336D">
        <w:t>é</w:t>
      </w:r>
      <w:r w:rsidR="00CE356E">
        <w:t>gime</w:t>
      </w:r>
      <w:r w:rsidR="00FA20F9">
        <w:t>n</w:t>
      </w:r>
      <w:r w:rsidR="00FA20F9" w:rsidRPr="00FA20F9">
        <w:t xml:space="preserve"> </w:t>
      </w:r>
      <w:r w:rsidR="00FA20F9" w:rsidRPr="00FA20F9">
        <w:rPr>
          <w:bCs/>
        </w:rPr>
        <w:t>de libertad regulada.</w:t>
      </w:r>
      <w:r w:rsidR="00FA20F9" w:rsidRPr="00FA20F9">
        <w:rPr>
          <w:b w:val="0"/>
        </w:rPr>
        <w:t xml:space="preserve"> Las empresas que desarrollan la actividad de comercialización, al fijar sus tarifas a los usuarios finales regulados, quedan sometidas al régimen de libertad regulada previsto en los artículos 14.10 y 88.1 de la Ley 142 de 1994.</w:t>
      </w:r>
    </w:p>
    <w:p w14:paraId="1E272512" w14:textId="26A4C1E1" w:rsidR="00DB343F" w:rsidRDefault="00FA20F9" w:rsidP="00FA20F9">
      <w:r w:rsidRPr="00FA20F9">
        <w:t>Toda empresa que preste el servicio público de comercialización de energía eléctrica determinará con la fórmula tarifaria general aprobada en la Resolución CREG 119 de 2007 o aquellas que la modifiquen, complementen o sustituyan, y con la metodología establecida en esta resolución, las tarifas que aplicará a los usuarios finales regulados.</w:t>
      </w:r>
    </w:p>
    <w:p w14:paraId="2EF5CB9F" w14:textId="29458B2C" w:rsidR="00617BB5" w:rsidRPr="00BB226B" w:rsidRDefault="00FF0FBB" w:rsidP="005E4075">
      <w:pPr>
        <w:pStyle w:val="Artculo"/>
        <w:ind w:left="0" w:firstLine="0"/>
        <w:rPr>
          <w:b w:val="0"/>
          <w:bCs/>
        </w:rPr>
      </w:pPr>
      <w:r>
        <w:t xml:space="preserve"> </w:t>
      </w:r>
      <w:r w:rsidR="002C24CB">
        <w:t xml:space="preserve">Aplicación </w:t>
      </w:r>
      <w:r w:rsidR="00AA1FC0">
        <w:t xml:space="preserve">de </w:t>
      </w:r>
      <w:r w:rsidR="002C24CB">
        <w:t xml:space="preserve">los </w:t>
      </w:r>
      <w:r w:rsidR="00AA1FC0">
        <w:t xml:space="preserve">cargos de comercialización: </w:t>
      </w:r>
      <w:r w:rsidR="00617BB5">
        <w:rPr>
          <w:b w:val="0"/>
          <w:bCs/>
        </w:rPr>
        <w:t>L</w:t>
      </w:r>
      <w:r w:rsidR="00617BB5" w:rsidRPr="00617BB5">
        <w:rPr>
          <w:b w:val="0"/>
          <w:bCs/>
        </w:rPr>
        <w:t xml:space="preserve">os agentes </w:t>
      </w:r>
      <w:r w:rsidR="00617BB5">
        <w:rPr>
          <w:b w:val="0"/>
          <w:bCs/>
        </w:rPr>
        <w:t>comercializadores</w:t>
      </w:r>
      <w:r w:rsidR="00617BB5" w:rsidRPr="00617BB5">
        <w:rPr>
          <w:b w:val="0"/>
          <w:bCs/>
        </w:rPr>
        <w:t xml:space="preserve"> aplicarán los cargos resultantes para el cobro </w:t>
      </w:r>
      <w:r w:rsidR="007018B4">
        <w:rPr>
          <w:b w:val="0"/>
          <w:bCs/>
        </w:rPr>
        <w:t>de la actividad de comercialización</w:t>
      </w:r>
      <w:r w:rsidR="00617BB5" w:rsidRPr="00617BB5">
        <w:rPr>
          <w:b w:val="0"/>
          <w:bCs/>
        </w:rPr>
        <w:t xml:space="preserve"> siguiendo </w:t>
      </w:r>
      <w:r w:rsidR="005E4075">
        <w:rPr>
          <w:b w:val="0"/>
          <w:bCs/>
        </w:rPr>
        <w:t xml:space="preserve">el procedimiento </w:t>
      </w:r>
      <w:r w:rsidR="00617BB5" w:rsidRPr="00617BB5">
        <w:rPr>
          <w:b w:val="0"/>
          <w:bCs/>
        </w:rPr>
        <w:t xml:space="preserve">que se describe en </w:t>
      </w:r>
      <w:r w:rsidR="007018B4">
        <w:rPr>
          <w:b w:val="0"/>
          <w:bCs/>
        </w:rPr>
        <w:t xml:space="preserve">el Anexo General de la presente resolución. </w:t>
      </w:r>
    </w:p>
    <w:p w14:paraId="162187EE" w14:textId="6A277AF0" w:rsidR="00F92ABF" w:rsidRDefault="00836C48" w:rsidP="00D8445B">
      <w:pPr>
        <w:pStyle w:val="Artculo"/>
        <w:numPr>
          <w:ilvl w:val="0"/>
          <w:numId w:val="0"/>
        </w:numPr>
        <w:rPr>
          <w:b w:val="0"/>
          <w:bCs/>
        </w:rPr>
      </w:pPr>
      <w:r w:rsidRPr="00F52379">
        <w:rPr>
          <w:b w:val="0"/>
          <w:bCs/>
        </w:rPr>
        <w:t>El costo base de comercialización</w:t>
      </w:r>
      <w:r w:rsidR="00D858C3" w:rsidRPr="00F52379">
        <w:rPr>
          <w:b w:val="0"/>
          <w:bCs/>
        </w:rPr>
        <w:t>,</w:t>
      </w:r>
      <w:r w:rsidR="006863D3">
        <w:rPr>
          <w:b w:val="0"/>
          <w:bCs/>
        </w:rPr>
        <w:t xml:space="preserve"> el costo variable de comercialización</w:t>
      </w:r>
      <w:r w:rsidRPr="00F52379">
        <w:rPr>
          <w:b w:val="0"/>
          <w:bCs/>
        </w:rPr>
        <w:t xml:space="preserve"> </w:t>
      </w:r>
      <w:r w:rsidR="00D858C3" w:rsidRPr="00F52379">
        <w:rPr>
          <w:b w:val="0"/>
          <w:bCs/>
        </w:rPr>
        <w:t xml:space="preserve">y demás </w:t>
      </w:r>
      <w:r w:rsidR="0017147C" w:rsidRPr="00F52379">
        <w:rPr>
          <w:b w:val="0"/>
          <w:bCs/>
        </w:rPr>
        <w:t xml:space="preserve">variables </w:t>
      </w:r>
      <w:r w:rsidRPr="00F52379">
        <w:rPr>
          <w:b w:val="0"/>
          <w:bCs/>
        </w:rPr>
        <w:t xml:space="preserve">de que trata la fórmula tarifaria general establecida en la Resolución CREG 119 de 2007 o aquellas que la modifiquen, complementen o sustituyan, se determinarán conforme a lo señalado en </w:t>
      </w:r>
      <w:r w:rsidR="007C09B6" w:rsidRPr="00F52379">
        <w:rPr>
          <w:b w:val="0"/>
          <w:bCs/>
        </w:rPr>
        <w:t xml:space="preserve">el anexo general de </w:t>
      </w:r>
      <w:r w:rsidRPr="00F52379">
        <w:rPr>
          <w:b w:val="0"/>
          <w:bCs/>
        </w:rPr>
        <w:t>esta resolución.</w:t>
      </w:r>
    </w:p>
    <w:p w14:paraId="43555CE6" w14:textId="295EEBC4" w:rsidR="00F717D1" w:rsidRPr="00DE2DC9" w:rsidRDefault="00F717D1" w:rsidP="00F717D1">
      <w:r w:rsidRPr="00DE2DC9">
        <w:t xml:space="preserve">Los cargos de comercialización </w:t>
      </w:r>
      <w:r w:rsidR="00D13E7F" w:rsidRPr="00DE2DC9">
        <w:t xml:space="preserve">establecidos con base en la metodología </w:t>
      </w:r>
      <w:r w:rsidR="00D2329F" w:rsidRPr="00DE2DC9">
        <w:t xml:space="preserve">acá </w:t>
      </w:r>
      <w:r w:rsidR="00D13E7F" w:rsidRPr="00DE2DC9">
        <w:t xml:space="preserve">definida </w:t>
      </w:r>
      <w:r w:rsidR="00457D35" w:rsidRPr="00DE2DC9">
        <w:t xml:space="preserve">aplicarán a partir del </w:t>
      </w:r>
      <w:r w:rsidR="00651A07" w:rsidRPr="00DE2DC9">
        <w:t xml:space="preserve">siguiente </w:t>
      </w:r>
      <w:r w:rsidR="00457D35" w:rsidRPr="00DE2DC9">
        <w:t xml:space="preserve">mes </w:t>
      </w:r>
      <w:r w:rsidR="00D13E7F" w:rsidRPr="00DE2DC9">
        <w:t xml:space="preserve">al de </w:t>
      </w:r>
      <w:proofErr w:type="gramStart"/>
      <w:r w:rsidR="00457D35" w:rsidRPr="00DE2DC9">
        <w:t xml:space="preserve">entrada </w:t>
      </w:r>
      <w:r w:rsidR="002350D2" w:rsidRPr="00DE2DC9">
        <w:t>en vigencia</w:t>
      </w:r>
      <w:proofErr w:type="gramEnd"/>
      <w:r w:rsidR="002350D2" w:rsidRPr="00DE2DC9">
        <w:t xml:space="preserve"> de esta resolución.</w:t>
      </w:r>
      <w:r w:rsidR="00BB226B">
        <w:t xml:space="preserve"> </w:t>
      </w:r>
      <w:r w:rsidR="00BB226B">
        <w:rPr>
          <w:bCs/>
        </w:rPr>
        <w:t xml:space="preserve">y </w:t>
      </w:r>
      <w:r w:rsidR="00EB0521" w:rsidRPr="005E4075">
        <w:rPr>
          <w:bCs/>
        </w:rPr>
        <w:t xml:space="preserve">reemplazarán </w:t>
      </w:r>
      <w:r w:rsidR="00EB0521" w:rsidRPr="00BB226B">
        <w:rPr>
          <w:bCs/>
        </w:rPr>
        <w:t>los cargos regulados vigentes definidos</w:t>
      </w:r>
      <w:r w:rsidR="00226A62">
        <w:rPr>
          <w:bCs/>
        </w:rPr>
        <w:t xml:space="preserve"> en resoluciones particulares</w:t>
      </w:r>
      <w:r w:rsidR="00EB0521" w:rsidRPr="00BB226B">
        <w:rPr>
          <w:bCs/>
        </w:rPr>
        <w:t xml:space="preserve"> con base en la Resolución CREG 180 de 2014.</w:t>
      </w:r>
    </w:p>
    <w:p w14:paraId="2E8CDCF6" w14:textId="2D9472B2" w:rsidR="002239E9" w:rsidRDefault="002239E9" w:rsidP="00F717D1">
      <w:pPr>
        <w:rPr>
          <w:rFonts w:cs="Arial"/>
          <w:color w:val="000000" w:themeColor="text1"/>
        </w:rPr>
      </w:pPr>
      <w:r w:rsidRPr="00D8328D">
        <w:rPr>
          <w:b/>
        </w:rPr>
        <w:t>Parágrafo</w:t>
      </w:r>
      <w:r w:rsidR="00AF6182">
        <w:rPr>
          <w:b/>
        </w:rPr>
        <w:t xml:space="preserve"> 1o</w:t>
      </w:r>
      <w:r w:rsidRPr="00D8328D">
        <w:rPr>
          <w:b/>
          <w:bCs/>
        </w:rPr>
        <w:t>.</w:t>
      </w:r>
      <w:r w:rsidRPr="00D8328D">
        <w:t xml:space="preserve"> </w:t>
      </w:r>
      <w:r w:rsidR="006D1045" w:rsidRPr="00D8328D">
        <w:t xml:space="preserve">En aplicación de lo establecido en </w:t>
      </w:r>
      <w:r w:rsidR="00C118C2" w:rsidRPr="00D8328D">
        <w:t>la Resolución MME 40272 de 2020, a</w:t>
      </w:r>
      <w:r w:rsidRPr="00D8328D">
        <w:t xml:space="preserve"> partir de</w:t>
      </w:r>
      <w:r w:rsidR="009F0D6A" w:rsidRPr="00D8328D">
        <w:t xml:space="preserve">l </w:t>
      </w:r>
      <w:r w:rsidR="00651A07" w:rsidRPr="00D8328D">
        <w:t xml:space="preserve">siguiente </w:t>
      </w:r>
      <w:r w:rsidR="009F0D6A" w:rsidRPr="00D8328D">
        <w:t>mes a</w:t>
      </w:r>
      <w:r w:rsidR="00651A07" w:rsidRPr="00D8328D">
        <w:t xml:space="preserve">l de </w:t>
      </w:r>
      <w:proofErr w:type="gramStart"/>
      <w:r w:rsidRPr="00D8328D">
        <w:t>entrada en vigencia</w:t>
      </w:r>
      <w:proofErr w:type="gramEnd"/>
      <w:r w:rsidRPr="00D8328D">
        <w:t xml:space="preserve"> de esta resolución se </w:t>
      </w:r>
      <w:r w:rsidR="003B0D1C" w:rsidRPr="00D8328D">
        <w:t>dejar</w:t>
      </w:r>
      <w:r w:rsidR="00AD195B" w:rsidRPr="00D8328D">
        <w:t>á</w:t>
      </w:r>
      <w:r w:rsidR="003B0D1C" w:rsidRPr="00D8328D">
        <w:t xml:space="preserve">n de aplicar </w:t>
      </w:r>
      <w:r w:rsidR="00A95DC9" w:rsidRPr="00D8328D">
        <w:t xml:space="preserve">los </w:t>
      </w:r>
      <w:r w:rsidR="0042379F" w:rsidRPr="00D8328D">
        <w:t xml:space="preserve">cargos </w:t>
      </w:r>
      <w:r w:rsidR="00425273" w:rsidRPr="00D8328D">
        <w:t xml:space="preserve">definidos en </w:t>
      </w:r>
      <w:r w:rsidR="003B0D1C" w:rsidRPr="00D8328D">
        <w:t>la Resolución CREG 188 de 2020</w:t>
      </w:r>
      <w:r w:rsidR="00061B32" w:rsidRPr="00D8328D">
        <w:t xml:space="preserve">, </w:t>
      </w:r>
      <w:r w:rsidR="00884F2A" w:rsidRPr="00D8328D">
        <w:t xml:space="preserve">igualmente se </w:t>
      </w:r>
      <w:r w:rsidR="009760D4" w:rsidRPr="00D8328D">
        <w:t xml:space="preserve">finalizará </w:t>
      </w:r>
      <w:r w:rsidR="00961BC5" w:rsidRPr="00D8328D">
        <w:t xml:space="preserve">la aplicación </w:t>
      </w:r>
      <w:r w:rsidR="006E0CAD" w:rsidRPr="00D8328D">
        <w:t>de</w:t>
      </w:r>
      <w:r w:rsidR="009760D4" w:rsidRPr="00D8328D">
        <w:t xml:space="preserve"> </w:t>
      </w:r>
      <w:r w:rsidR="00061B32" w:rsidRPr="00D8328D">
        <w:t xml:space="preserve">300 puntos básicos </w:t>
      </w:r>
      <w:r w:rsidR="00F83CA1" w:rsidRPr="00D8328D">
        <w:t xml:space="preserve">adicionales </w:t>
      </w:r>
      <w:r w:rsidR="00061B32" w:rsidRPr="00D8328D">
        <w:t xml:space="preserve">en el riesgo de cartera </w:t>
      </w:r>
      <w:r w:rsidR="00F83CA1" w:rsidRPr="00D8328D">
        <w:t xml:space="preserve">que </w:t>
      </w:r>
      <w:r w:rsidR="008B336D" w:rsidRPr="00D8328D">
        <w:t xml:space="preserve">fueron </w:t>
      </w:r>
      <w:r w:rsidR="007E45FC" w:rsidRPr="00D8328D">
        <w:t xml:space="preserve">definidos </w:t>
      </w:r>
      <w:r w:rsidR="00061B32" w:rsidRPr="00D8328D">
        <w:t xml:space="preserve">en </w:t>
      </w:r>
      <w:r w:rsidR="00552427" w:rsidRPr="00D8328D">
        <w:t xml:space="preserve">la </w:t>
      </w:r>
      <w:r w:rsidR="00552427" w:rsidRPr="00D8328D">
        <w:rPr>
          <w:rFonts w:cs="Arial"/>
          <w:color w:val="000000" w:themeColor="text1"/>
        </w:rPr>
        <w:t xml:space="preserve">Resolución 40272 de 2020 del </w:t>
      </w:r>
      <w:r w:rsidR="001F37DB" w:rsidRPr="00D8328D">
        <w:rPr>
          <w:rFonts w:cs="Arial"/>
          <w:color w:val="000000" w:themeColor="text1"/>
        </w:rPr>
        <w:t>MME</w:t>
      </w:r>
      <w:r w:rsidR="007E45FC" w:rsidRPr="00D8328D">
        <w:rPr>
          <w:rFonts w:cs="Arial"/>
          <w:color w:val="000000" w:themeColor="text1"/>
        </w:rPr>
        <w:t>.</w:t>
      </w:r>
    </w:p>
    <w:p w14:paraId="42F1E6FE" w14:textId="75A501A8" w:rsidR="00175806" w:rsidRPr="008D4AD6" w:rsidRDefault="00AF6182" w:rsidP="00F717D1">
      <w:pPr>
        <w:rPr>
          <w:rFonts w:cs="Arial"/>
          <w:color w:val="000000" w:themeColor="text1"/>
        </w:rPr>
      </w:pPr>
      <w:r w:rsidRPr="008D4AD6">
        <w:rPr>
          <w:rFonts w:cs="Arial"/>
          <w:b/>
          <w:bCs/>
          <w:color w:val="000000" w:themeColor="text1"/>
        </w:rPr>
        <w:t>Parágrafo 2</w:t>
      </w:r>
      <w:r w:rsidR="008D4AD6" w:rsidRPr="008D4AD6">
        <w:rPr>
          <w:rFonts w:cs="Arial"/>
          <w:b/>
          <w:bCs/>
          <w:color w:val="000000" w:themeColor="text1"/>
        </w:rPr>
        <w:t>o</w:t>
      </w:r>
      <w:r w:rsidRPr="008D4AD6">
        <w:rPr>
          <w:rFonts w:cs="Arial"/>
          <w:b/>
          <w:bCs/>
          <w:color w:val="000000" w:themeColor="text1"/>
        </w:rPr>
        <w:t>.</w:t>
      </w:r>
      <w:r>
        <w:rPr>
          <w:rFonts w:cs="Arial"/>
          <w:color w:val="000000" w:themeColor="text1"/>
        </w:rPr>
        <w:t xml:space="preserve"> A partir de la información a que hace referencia el artículo 10 de la presente resolución, la Comisión evaluara la pertinencia de establecer </w:t>
      </w:r>
      <w:r w:rsidR="00175806">
        <w:rPr>
          <w:rFonts w:cs="Arial"/>
          <w:color w:val="000000" w:themeColor="text1"/>
        </w:rPr>
        <w:t>las medidas que permitan su aplicación para los</w:t>
      </w:r>
      <w:r w:rsidR="00175806" w:rsidRPr="00175806">
        <w:rPr>
          <w:rFonts w:cs="Arial"/>
          <w:color w:val="000000" w:themeColor="text1"/>
        </w:rPr>
        <w:t xml:space="preserve"> cargos </w:t>
      </w:r>
      <w:r w:rsidR="00175806">
        <w:rPr>
          <w:rFonts w:cs="Arial"/>
          <w:color w:val="000000" w:themeColor="text1"/>
        </w:rPr>
        <w:t xml:space="preserve">máximos de comercialización </w:t>
      </w:r>
      <w:r w:rsidR="00175806" w:rsidRPr="00175806">
        <w:rPr>
          <w:rFonts w:cs="Arial"/>
          <w:color w:val="000000" w:themeColor="text1"/>
        </w:rPr>
        <w:t>de las empresas prestadoras del servicio que atienden mercados en ZNI que se conectan al SIN, entre otras</w:t>
      </w:r>
      <w:r w:rsidR="008D4AD6">
        <w:rPr>
          <w:rFonts w:cs="Arial"/>
          <w:color w:val="000000" w:themeColor="text1"/>
        </w:rPr>
        <w:t xml:space="preserve">, en reemplazo de la </w:t>
      </w:r>
      <w:r w:rsidR="00175806" w:rsidRPr="00175806">
        <w:rPr>
          <w:rFonts w:cs="Arial"/>
          <w:color w:val="000000" w:themeColor="text1"/>
        </w:rPr>
        <w:t xml:space="preserve">Resolución CREG 101 003 de 2023 </w:t>
      </w:r>
      <w:r w:rsidR="008D4AD6">
        <w:rPr>
          <w:rFonts w:cs="Arial"/>
          <w:color w:val="000000" w:themeColor="text1"/>
        </w:rPr>
        <w:t xml:space="preserve">o aquellas que la complementen, modifiquen y/o sustituyan. </w:t>
      </w:r>
    </w:p>
    <w:p w14:paraId="6E33A314" w14:textId="67619EB7" w:rsidR="00C549EF" w:rsidRDefault="00C549EF" w:rsidP="007B2078">
      <w:pPr>
        <w:pStyle w:val="Artculo"/>
        <w:ind w:left="0" w:firstLine="0"/>
        <w:rPr>
          <w:b w:val="0"/>
          <w:bCs/>
        </w:rPr>
      </w:pPr>
      <w:bookmarkStart w:id="16" w:name="_Ref194754334"/>
      <w:bookmarkEnd w:id="13"/>
      <w:bookmarkEnd w:id="14"/>
      <w:bookmarkEnd w:id="15"/>
      <w:r>
        <w:lastRenderedPageBreak/>
        <w:t xml:space="preserve">Vigencia </w:t>
      </w:r>
      <w:r w:rsidR="000D1D8E">
        <w:t>de las variables para calcular los cargos de comercialización</w:t>
      </w:r>
      <w:r>
        <w:t xml:space="preserve">. </w:t>
      </w:r>
      <w:r w:rsidR="00185854" w:rsidRPr="00185854">
        <w:rPr>
          <w:b w:val="0"/>
          <w:bCs/>
        </w:rPr>
        <w:t>El costo base de comercialización</w:t>
      </w:r>
      <w:r w:rsidR="00370FF8">
        <w:rPr>
          <w:b w:val="0"/>
          <w:bCs/>
        </w:rPr>
        <w:t>,</w:t>
      </w:r>
      <w:r w:rsidR="00185854" w:rsidRPr="00581874">
        <w:rPr>
          <w:b w:val="0"/>
          <w:bCs/>
        </w:rPr>
        <w:t xml:space="preserve"> </w:t>
      </w:r>
      <w:r w:rsidR="00370FF8">
        <w:rPr>
          <w:b w:val="0"/>
          <w:bCs/>
        </w:rPr>
        <w:t>el riesgo de cartera</w:t>
      </w:r>
      <w:r w:rsidR="003D27B5">
        <w:rPr>
          <w:b w:val="0"/>
          <w:bCs/>
        </w:rPr>
        <w:t xml:space="preserve">, </w:t>
      </w:r>
      <w:r w:rsidR="00370FF8">
        <w:rPr>
          <w:b w:val="0"/>
          <w:bCs/>
        </w:rPr>
        <w:t xml:space="preserve">el margen de comercialización </w:t>
      </w:r>
      <w:r w:rsidR="003D27B5">
        <w:rPr>
          <w:b w:val="0"/>
          <w:bCs/>
        </w:rPr>
        <w:t xml:space="preserve">y demás variables </w:t>
      </w:r>
      <w:r w:rsidR="00581874" w:rsidRPr="00581874">
        <w:rPr>
          <w:b w:val="0"/>
          <w:bCs/>
        </w:rPr>
        <w:t>establecid</w:t>
      </w:r>
      <w:r w:rsidR="003D27B5">
        <w:rPr>
          <w:b w:val="0"/>
          <w:bCs/>
        </w:rPr>
        <w:t>a</w:t>
      </w:r>
      <w:r w:rsidR="00725EB3">
        <w:rPr>
          <w:b w:val="0"/>
          <w:bCs/>
        </w:rPr>
        <w:t>s</w:t>
      </w:r>
      <w:r w:rsidR="00581874" w:rsidRPr="00581874">
        <w:rPr>
          <w:b w:val="0"/>
          <w:bCs/>
        </w:rPr>
        <w:t xml:space="preserve"> </w:t>
      </w:r>
      <w:r w:rsidR="00581874">
        <w:rPr>
          <w:b w:val="0"/>
          <w:bCs/>
        </w:rPr>
        <w:t xml:space="preserve">con base en la metodología definida en esta resolución </w:t>
      </w:r>
      <w:r w:rsidRPr="007C29D9">
        <w:rPr>
          <w:b w:val="0"/>
          <w:bCs/>
        </w:rPr>
        <w:t>estará</w:t>
      </w:r>
      <w:r w:rsidR="00725EB3">
        <w:rPr>
          <w:b w:val="0"/>
          <w:bCs/>
        </w:rPr>
        <w:t xml:space="preserve">n </w:t>
      </w:r>
      <w:r w:rsidRPr="007C29D9">
        <w:rPr>
          <w:b w:val="0"/>
          <w:bCs/>
        </w:rPr>
        <w:t>vige</w:t>
      </w:r>
      <w:r w:rsidRPr="00185854">
        <w:rPr>
          <w:b w:val="0"/>
          <w:bCs/>
        </w:rPr>
        <w:t xml:space="preserve">nte </w:t>
      </w:r>
      <w:r w:rsidR="00F84723">
        <w:rPr>
          <w:b w:val="0"/>
          <w:bCs/>
        </w:rPr>
        <w:t>por un periodo de cinco años contado</w:t>
      </w:r>
      <w:r w:rsidR="00725EB3">
        <w:rPr>
          <w:b w:val="0"/>
          <w:bCs/>
        </w:rPr>
        <w:t>s</w:t>
      </w:r>
      <w:r w:rsidR="00F84723">
        <w:rPr>
          <w:b w:val="0"/>
          <w:bCs/>
        </w:rPr>
        <w:t xml:space="preserve"> </w:t>
      </w:r>
      <w:r w:rsidRPr="00185854">
        <w:rPr>
          <w:b w:val="0"/>
          <w:bCs/>
        </w:rPr>
        <w:t xml:space="preserve">desde la </w:t>
      </w:r>
      <w:r w:rsidR="00241823">
        <w:rPr>
          <w:b w:val="0"/>
          <w:bCs/>
        </w:rPr>
        <w:t xml:space="preserve">expedición </w:t>
      </w:r>
      <w:r w:rsidR="00E26A72">
        <w:rPr>
          <w:b w:val="0"/>
          <w:bCs/>
        </w:rPr>
        <w:t xml:space="preserve">y publicación en el Diario </w:t>
      </w:r>
      <w:r w:rsidR="0037467F">
        <w:rPr>
          <w:b w:val="0"/>
          <w:bCs/>
        </w:rPr>
        <w:t>O</w:t>
      </w:r>
      <w:r w:rsidR="00E26A72">
        <w:rPr>
          <w:b w:val="0"/>
          <w:bCs/>
        </w:rPr>
        <w:t xml:space="preserve">ficial </w:t>
      </w:r>
      <w:r w:rsidR="00241823">
        <w:rPr>
          <w:b w:val="0"/>
          <w:bCs/>
        </w:rPr>
        <w:t>de</w:t>
      </w:r>
      <w:r w:rsidRPr="00185854">
        <w:rPr>
          <w:b w:val="0"/>
          <w:bCs/>
        </w:rPr>
        <w:t xml:space="preserve"> la </w:t>
      </w:r>
      <w:r w:rsidR="007C29D9" w:rsidRPr="00185854">
        <w:rPr>
          <w:b w:val="0"/>
          <w:bCs/>
        </w:rPr>
        <w:t xml:space="preserve">presente </w:t>
      </w:r>
      <w:r w:rsidRPr="00185854">
        <w:rPr>
          <w:b w:val="0"/>
          <w:bCs/>
        </w:rPr>
        <w:t>resolución, sin perjuicio de las actualizaciones a que haya lugar</w:t>
      </w:r>
      <w:r w:rsidR="0037467F">
        <w:rPr>
          <w:b w:val="0"/>
          <w:bCs/>
        </w:rPr>
        <w:t xml:space="preserve">. Atendiendo lo dispuesto </w:t>
      </w:r>
      <w:r w:rsidR="00FC1B19">
        <w:rPr>
          <w:b w:val="0"/>
          <w:bCs/>
        </w:rPr>
        <w:t xml:space="preserve">en el artículo 126 de la Ley 142 de 1994, modificado por el </w:t>
      </w:r>
      <w:r w:rsidR="00926FB2">
        <w:rPr>
          <w:b w:val="0"/>
          <w:bCs/>
        </w:rPr>
        <w:t>artículo</w:t>
      </w:r>
      <w:r w:rsidR="00926FB2" w:rsidRPr="00926FB2">
        <w:rPr>
          <w:b w:val="0"/>
          <w:bCs/>
        </w:rPr>
        <w:t xml:space="preserve"> 52 de la Ley 2099 de 2021</w:t>
      </w:r>
      <w:r w:rsidR="007F6D9B">
        <w:rPr>
          <w:b w:val="0"/>
          <w:bCs/>
        </w:rPr>
        <w:t xml:space="preserve"> v</w:t>
      </w:r>
      <w:r w:rsidRPr="00185854">
        <w:rPr>
          <w:b w:val="0"/>
          <w:bCs/>
        </w:rPr>
        <w:t xml:space="preserve">encido el </w:t>
      </w:r>
      <w:r w:rsidR="00B653F8">
        <w:rPr>
          <w:b w:val="0"/>
          <w:bCs/>
        </w:rPr>
        <w:t>período de vigencia</w:t>
      </w:r>
      <w:r w:rsidRPr="007C29D9">
        <w:rPr>
          <w:b w:val="0"/>
          <w:bCs/>
        </w:rPr>
        <w:t xml:space="preserve">, éstos continuarán rigiendo hasta que la Comisión apruebe </w:t>
      </w:r>
      <w:r w:rsidR="007F6D9B">
        <w:rPr>
          <w:b w:val="0"/>
          <w:bCs/>
        </w:rPr>
        <w:t>una nueva metodología</w:t>
      </w:r>
      <w:r w:rsidRPr="007C29D9">
        <w:rPr>
          <w:b w:val="0"/>
          <w:bCs/>
        </w:rPr>
        <w:t>.</w:t>
      </w:r>
    </w:p>
    <w:p w14:paraId="59488767" w14:textId="271A6525" w:rsidR="00212A24" w:rsidRDefault="00212A24" w:rsidP="007B2078">
      <w:pPr>
        <w:pStyle w:val="Artculo"/>
        <w:ind w:left="0" w:firstLine="0"/>
        <w:rPr>
          <w:b w:val="0"/>
          <w:bCs/>
        </w:rPr>
      </w:pPr>
      <w:r>
        <w:t xml:space="preserve">Reportes de información. </w:t>
      </w:r>
      <w:r w:rsidRPr="006364D7">
        <w:rPr>
          <w:b w:val="0"/>
          <w:bCs/>
        </w:rPr>
        <w:t>Los comercializadores deben reportar</w:t>
      </w:r>
      <w:r w:rsidR="00F916CF" w:rsidRPr="006364D7">
        <w:rPr>
          <w:b w:val="0"/>
          <w:bCs/>
        </w:rPr>
        <w:t xml:space="preserve"> </w:t>
      </w:r>
      <w:r w:rsidR="00C30CAC">
        <w:rPr>
          <w:b w:val="0"/>
          <w:bCs/>
        </w:rPr>
        <w:t xml:space="preserve">anualmente a la </w:t>
      </w:r>
      <w:r w:rsidR="006A4364">
        <w:rPr>
          <w:b w:val="0"/>
          <w:bCs/>
        </w:rPr>
        <w:t xml:space="preserve">CREG </w:t>
      </w:r>
      <w:r w:rsidR="00C30CAC">
        <w:rPr>
          <w:b w:val="0"/>
          <w:bCs/>
        </w:rPr>
        <w:t xml:space="preserve">la </w:t>
      </w:r>
      <w:r w:rsidR="00F916CF" w:rsidRPr="006364D7">
        <w:rPr>
          <w:b w:val="0"/>
          <w:bCs/>
        </w:rPr>
        <w:t xml:space="preserve">información </w:t>
      </w:r>
      <w:r w:rsidR="006A4364">
        <w:rPr>
          <w:b w:val="0"/>
          <w:bCs/>
        </w:rPr>
        <w:t xml:space="preserve">que se definirá en Circular </w:t>
      </w:r>
      <w:r w:rsidR="00C30CAC">
        <w:rPr>
          <w:b w:val="0"/>
          <w:bCs/>
        </w:rPr>
        <w:t xml:space="preserve">que </w:t>
      </w:r>
      <w:r w:rsidR="006A4364">
        <w:rPr>
          <w:b w:val="0"/>
          <w:bCs/>
        </w:rPr>
        <w:t xml:space="preserve">se </w:t>
      </w:r>
      <w:r w:rsidR="008B79AD">
        <w:rPr>
          <w:b w:val="0"/>
          <w:bCs/>
        </w:rPr>
        <w:t xml:space="preserve">expedirá </w:t>
      </w:r>
      <w:r w:rsidR="006A4364">
        <w:rPr>
          <w:b w:val="0"/>
          <w:bCs/>
        </w:rPr>
        <w:t>posterior</w:t>
      </w:r>
      <w:r w:rsidR="00FD69C8">
        <w:rPr>
          <w:b w:val="0"/>
          <w:bCs/>
        </w:rPr>
        <w:t xml:space="preserve"> a la expedición de esta resolución</w:t>
      </w:r>
      <w:r w:rsidR="00C30CAC">
        <w:rPr>
          <w:b w:val="0"/>
          <w:bCs/>
        </w:rPr>
        <w:t>.</w:t>
      </w:r>
    </w:p>
    <w:p w14:paraId="652294C8" w14:textId="77777777" w:rsidR="00DD43F8" w:rsidRDefault="00DD43F8" w:rsidP="007B2078">
      <w:pPr>
        <w:pStyle w:val="Artculo"/>
        <w:ind w:left="0" w:firstLine="0"/>
        <w:rPr>
          <w:b w:val="0"/>
          <w:bCs/>
        </w:rPr>
      </w:pPr>
      <w:r w:rsidRPr="00510F53">
        <w:rPr>
          <w:rFonts w:cs="Times New Roman"/>
        </w:rPr>
        <w:t>Verificaciones de información</w:t>
      </w:r>
      <w:r w:rsidRPr="00510F53">
        <w:rPr>
          <w:bCs/>
        </w:rPr>
        <w:t xml:space="preserve">. </w:t>
      </w:r>
      <w:r w:rsidRPr="00F915A7">
        <w:rPr>
          <w:b w:val="0"/>
        </w:rPr>
        <w:t>La Comisión</w:t>
      </w:r>
      <w:r>
        <w:rPr>
          <w:bCs/>
        </w:rPr>
        <w:t xml:space="preserve"> </w:t>
      </w:r>
      <w:r w:rsidRPr="00510F53">
        <w:rPr>
          <w:b w:val="0"/>
          <w:bCs/>
        </w:rPr>
        <w:t>podrá establecer procedimientos de verificación periódica de los sistemas de información de calidad comercial y de las variables de calidad reportadas por los comercializadores.</w:t>
      </w:r>
    </w:p>
    <w:p w14:paraId="0E612BB7" w14:textId="71ACE92A" w:rsidR="00A73B2B" w:rsidRPr="009877EE" w:rsidRDefault="00A671B1" w:rsidP="0051401D">
      <w:pPr>
        <w:pStyle w:val="Artculo"/>
        <w:ind w:left="0" w:firstLine="0"/>
        <w:rPr>
          <w:b w:val="0"/>
        </w:rPr>
      </w:pPr>
      <w:bookmarkStart w:id="17" w:name="_Ref164344897"/>
      <w:r>
        <w:rPr>
          <w:bCs/>
        </w:rPr>
        <w:t>Información para el cálculo de las variables</w:t>
      </w:r>
      <w:r w:rsidRPr="00510F53">
        <w:rPr>
          <w:bCs/>
        </w:rPr>
        <w:t xml:space="preserve">. </w:t>
      </w:r>
      <w:r w:rsidR="005C5FAB" w:rsidRPr="009877EE">
        <w:rPr>
          <w:b w:val="0"/>
        </w:rPr>
        <w:t>A partir de la información disponible</w:t>
      </w:r>
      <w:r w:rsidR="004E49A4" w:rsidRPr="009877EE">
        <w:rPr>
          <w:b w:val="0"/>
        </w:rPr>
        <w:t xml:space="preserve"> mediante reporte </w:t>
      </w:r>
      <w:r w:rsidR="009877EE" w:rsidRPr="009877EE">
        <w:rPr>
          <w:b w:val="0"/>
        </w:rPr>
        <w:t>a la C</w:t>
      </w:r>
      <w:r w:rsidR="009877EE">
        <w:rPr>
          <w:b w:val="0"/>
        </w:rPr>
        <w:t>REG</w:t>
      </w:r>
      <w:r w:rsidR="009877EE" w:rsidRPr="009877EE">
        <w:rPr>
          <w:b w:val="0"/>
        </w:rPr>
        <w:t xml:space="preserve"> o a la SSPD, l</w:t>
      </w:r>
      <w:r w:rsidRPr="009877EE">
        <w:rPr>
          <w:b w:val="0"/>
        </w:rPr>
        <w:t xml:space="preserve">a Comisión expedirá mediante circular la información </w:t>
      </w:r>
      <w:r w:rsidR="009766AB">
        <w:rPr>
          <w:b w:val="0"/>
        </w:rPr>
        <w:t xml:space="preserve">que se debe </w:t>
      </w:r>
      <w:r w:rsidRPr="009877EE">
        <w:rPr>
          <w:b w:val="0"/>
        </w:rPr>
        <w:t xml:space="preserve">a utilizar para el cálculo </w:t>
      </w:r>
      <w:r w:rsidR="00897958" w:rsidRPr="009877EE">
        <w:rPr>
          <w:b w:val="0"/>
        </w:rPr>
        <w:t>de</w:t>
      </w:r>
      <w:r w:rsidR="00B202E6" w:rsidRPr="009877EE">
        <w:rPr>
          <w:b w:val="0"/>
        </w:rPr>
        <w:t xml:space="preserve"> las variables descritas en </w:t>
      </w:r>
      <w:r w:rsidR="009A7C3E" w:rsidRPr="009877EE">
        <w:rPr>
          <w:b w:val="0"/>
        </w:rPr>
        <w:t>esta metodología</w:t>
      </w:r>
      <w:r w:rsidR="009766AB">
        <w:rPr>
          <w:b w:val="0"/>
        </w:rPr>
        <w:t>, correspondiente a</w:t>
      </w:r>
      <w:bookmarkEnd w:id="17"/>
      <w:r w:rsidR="00760E64">
        <w:rPr>
          <w:b w:val="0"/>
        </w:rPr>
        <w:t>:</w:t>
      </w:r>
    </w:p>
    <w:p w14:paraId="2EF6B618" w14:textId="352F53C2" w:rsidR="006C384C" w:rsidRDefault="006C384C" w:rsidP="00903DFE">
      <w:pPr>
        <w:pStyle w:val="articulo"/>
        <w:numPr>
          <w:ilvl w:val="0"/>
          <w:numId w:val="120"/>
        </w:numPr>
      </w:pPr>
      <w:r>
        <w:t>Información de c</w:t>
      </w:r>
      <w:r w:rsidR="00713F6E">
        <w:t>ostos</w:t>
      </w:r>
      <w:r>
        <w:t xml:space="preserve"> para la regulación ICR</w:t>
      </w:r>
    </w:p>
    <w:p w14:paraId="38E79738" w14:textId="1CF99C87" w:rsidR="0035012A" w:rsidRPr="0035012A" w:rsidRDefault="009D27B3" w:rsidP="00903DFE">
      <w:pPr>
        <w:pStyle w:val="articulo"/>
        <w:numPr>
          <w:ilvl w:val="0"/>
          <w:numId w:val="120"/>
        </w:numPr>
      </w:pPr>
      <w:r>
        <w:t>Cantidad de facturas para usuarios regulados</w:t>
      </w:r>
    </w:p>
    <w:p w14:paraId="35A4387A" w14:textId="640BD260" w:rsidR="002F6673" w:rsidRPr="002F6673" w:rsidRDefault="002F6673" w:rsidP="00903DFE">
      <w:pPr>
        <w:pStyle w:val="Prrafodelista"/>
        <w:numPr>
          <w:ilvl w:val="0"/>
          <w:numId w:val="120"/>
        </w:numPr>
      </w:pPr>
      <w:r w:rsidRPr="00B5484E">
        <w:rPr>
          <w:rFonts w:cs="Arial"/>
        </w:rPr>
        <w:t xml:space="preserve">Factor de eficiencia </w:t>
      </w:r>
      <w:r w:rsidRPr="0058566E">
        <w:rPr>
          <w:rFonts w:cs="Arial"/>
        </w:rPr>
        <w:t xml:space="preserve">del </w:t>
      </w:r>
      <w:r w:rsidRPr="00081B40">
        <w:rPr>
          <w:rFonts w:cs="Arial"/>
        </w:rPr>
        <w:t>mercado de comercialización</w:t>
      </w:r>
    </w:p>
    <w:p w14:paraId="365A3F34" w14:textId="79A24C77" w:rsidR="00847E20" w:rsidRPr="00847E20" w:rsidRDefault="00847E20" w:rsidP="00EF1F8A">
      <w:pPr>
        <w:pStyle w:val="Prrafodelista"/>
        <w:numPr>
          <w:ilvl w:val="0"/>
          <w:numId w:val="120"/>
        </w:numPr>
      </w:pPr>
      <w:r>
        <w:rPr>
          <w:rFonts w:cs="Arial"/>
        </w:rPr>
        <w:t>Usuarios totales del comercializador</w:t>
      </w:r>
    </w:p>
    <w:p w14:paraId="0533D930" w14:textId="2F9471AC" w:rsidR="00847E20" w:rsidRPr="00847E20" w:rsidRDefault="00847E20" w:rsidP="00EF1F8A">
      <w:pPr>
        <w:pStyle w:val="Prrafodelista"/>
        <w:numPr>
          <w:ilvl w:val="0"/>
          <w:numId w:val="120"/>
        </w:numPr>
      </w:pPr>
      <w:r w:rsidRPr="00F459A5">
        <w:rPr>
          <w:rFonts w:cs="Arial"/>
        </w:rPr>
        <w:t>Consumo total kWh en el mercado de comercialización</w:t>
      </w:r>
    </w:p>
    <w:p w14:paraId="5C982D1C" w14:textId="704601C4" w:rsidR="00847E20" w:rsidRPr="00847E20" w:rsidRDefault="00847E20" w:rsidP="00EF1F8A">
      <w:pPr>
        <w:pStyle w:val="Prrafodelista"/>
        <w:numPr>
          <w:ilvl w:val="0"/>
          <w:numId w:val="120"/>
        </w:numPr>
      </w:pPr>
      <w:r>
        <w:rPr>
          <w:rFonts w:cs="Arial"/>
        </w:rPr>
        <w:t>Facturación total, $ en el mercado de comercialización</w:t>
      </w:r>
    </w:p>
    <w:p w14:paraId="365D32DE" w14:textId="6CF596BC" w:rsidR="00847E20" w:rsidRPr="00847E20" w:rsidRDefault="00847E20" w:rsidP="00EF1F8A">
      <w:pPr>
        <w:pStyle w:val="Prrafodelista"/>
        <w:numPr>
          <w:ilvl w:val="0"/>
          <w:numId w:val="120"/>
        </w:numPr>
      </w:pPr>
      <w:r>
        <w:rPr>
          <w:rFonts w:cs="Arial"/>
        </w:rPr>
        <w:t>Usuarios rurales en el mercado de comercialización</w:t>
      </w:r>
    </w:p>
    <w:p w14:paraId="42788BC1" w14:textId="503DCC9C" w:rsidR="00847E20" w:rsidRPr="00847E20" w:rsidRDefault="00847E20" w:rsidP="00EF1F8A">
      <w:pPr>
        <w:pStyle w:val="Prrafodelista"/>
        <w:numPr>
          <w:ilvl w:val="0"/>
          <w:numId w:val="120"/>
        </w:numPr>
      </w:pPr>
      <w:r>
        <w:rPr>
          <w:rFonts w:cs="Arial"/>
        </w:rPr>
        <w:t>Longitud de redes rurales en el mercado de comercialización</w:t>
      </w:r>
    </w:p>
    <w:p w14:paraId="4C635A80" w14:textId="62C83B05" w:rsidR="00847E20" w:rsidRPr="00847E20" w:rsidRDefault="00847E20" w:rsidP="00EF1F8A">
      <w:pPr>
        <w:pStyle w:val="Prrafodelista"/>
        <w:numPr>
          <w:ilvl w:val="0"/>
          <w:numId w:val="120"/>
        </w:numPr>
      </w:pPr>
      <w:r>
        <w:rPr>
          <w:rFonts w:cs="Arial"/>
        </w:rPr>
        <w:t>Usuarios urbanos en el mercado de comercialización</w:t>
      </w:r>
    </w:p>
    <w:p w14:paraId="271C1CAB" w14:textId="00B32F49" w:rsidR="00847E20" w:rsidRPr="002F6673" w:rsidRDefault="00847E20" w:rsidP="00903DFE">
      <w:pPr>
        <w:pStyle w:val="Prrafodelista"/>
        <w:numPr>
          <w:ilvl w:val="0"/>
          <w:numId w:val="120"/>
        </w:numPr>
      </w:pPr>
      <w:r>
        <w:rPr>
          <w:rFonts w:cs="Arial"/>
        </w:rPr>
        <w:t>Longitud de redes urbanas en el mercado de comercialización</w:t>
      </w:r>
    </w:p>
    <w:p w14:paraId="474A0072" w14:textId="465804CC" w:rsidR="00711428" w:rsidRPr="002F6673" w:rsidRDefault="00711428" w:rsidP="00903DFE">
      <w:pPr>
        <w:pStyle w:val="Prrafodelista"/>
        <w:numPr>
          <w:ilvl w:val="0"/>
          <w:numId w:val="120"/>
        </w:numPr>
      </w:pPr>
      <w:r>
        <w:t>Costo Unitario de Prestación del Servicio</w:t>
      </w:r>
    </w:p>
    <w:p w14:paraId="19EBEACE" w14:textId="0D64C057" w:rsidR="009A610B" w:rsidRPr="009A610B" w:rsidRDefault="009A610B" w:rsidP="00EF1F8A">
      <w:pPr>
        <w:pStyle w:val="Prrafodelista"/>
        <w:numPr>
          <w:ilvl w:val="0"/>
          <w:numId w:val="120"/>
        </w:numPr>
      </w:pPr>
      <w:r w:rsidRPr="44B85804">
        <w:rPr>
          <w:rFonts w:cs="Arial"/>
        </w:rPr>
        <w:t xml:space="preserve">Número de usuarios a los que se les cortó </w:t>
      </w:r>
      <w:r>
        <w:rPr>
          <w:rFonts w:cs="Arial"/>
        </w:rPr>
        <w:t>y continúan sin servicio por un periodo superior a 12 meses.</w:t>
      </w:r>
    </w:p>
    <w:p w14:paraId="7EB9544E" w14:textId="322EAB43" w:rsidR="009A610B" w:rsidRPr="002F6673" w:rsidRDefault="003F3376" w:rsidP="00903DFE">
      <w:pPr>
        <w:pStyle w:val="Prrafodelista"/>
        <w:numPr>
          <w:ilvl w:val="0"/>
          <w:numId w:val="120"/>
        </w:numPr>
      </w:pPr>
      <w:r w:rsidRPr="037FA108">
        <w:rPr>
          <w:rFonts w:cs="Arial"/>
        </w:rPr>
        <w:t>Promedio de facturación tota</w:t>
      </w:r>
      <w:r>
        <w:rPr>
          <w:rFonts w:cs="Arial"/>
        </w:rPr>
        <w:t>l</w:t>
      </w:r>
    </w:p>
    <w:p w14:paraId="48E62476" w14:textId="290DA394" w:rsidR="003F3376" w:rsidRPr="002F6673" w:rsidRDefault="00441048" w:rsidP="00903DFE">
      <w:pPr>
        <w:pStyle w:val="Prrafodelista"/>
        <w:numPr>
          <w:ilvl w:val="0"/>
          <w:numId w:val="120"/>
        </w:numPr>
      </w:pPr>
      <w:r w:rsidRPr="362AF1A7">
        <w:rPr>
          <w:rFonts w:cs="Arial"/>
        </w:rPr>
        <w:t>Valor total facturado</w:t>
      </w:r>
    </w:p>
    <w:p w14:paraId="07EDDE1E" w14:textId="7018BE32" w:rsidR="00441048" w:rsidRPr="004172DC" w:rsidRDefault="002B42A8" w:rsidP="00903DFE">
      <w:pPr>
        <w:pStyle w:val="Prrafodelista"/>
        <w:numPr>
          <w:ilvl w:val="0"/>
          <w:numId w:val="120"/>
        </w:numPr>
      </w:pPr>
      <w:r w:rsidRPr="002F3859">
        <w:rPr>
          <w:rFonts w:eastAsiaTheme="minorEastAsia"/>
        </w:rPr>
        <w:t>Castigo de cartera</w:t>
      </w:r>
      <w:r w:rsidR="009A2DEC">
        <w:rPr>
          <w:rFonts w:eastAsiaTheme="minorEastAsia"/>
        </w:rPr>
        <w:t xml:space="preserve"> áreas especiales</w:t>
      </w:r>
    </w:p>
    <w:p w14:paraId="4663C6B5" w14:textId="4C62AA9E" w:rsidR="002F6673" w:rsidRPr="002F6673" w:rsidRDefault="002B42A8" w:rsidP="00760E64">
      <w:pPr>
        <w:pStyle w:val="Prrafodelista"/>
        <w:numPr>
          <w:ilvl w:val="0"/>
          <w:numId w:val="120"/>
        </w:numPr>
      </w:pPr>
      <w:r w:rsidRPr="002F3859">
        <w:rPr>
          <w:rFonts w:eastAsiaTheme="minorEastAsia"/>
        </w:rPr>
        <w:lastRenderedPageBreak/>
        <w:t>Facturación total</w:t>
      </w:r>
      <w:r w:rsidR="009A2DEC">
        <w:rPr>
          <w:rFonts w:eastAsiaTheme="minorEastAsia"/>
        </w:rPr>
        <w:t xml:space="preserve"> áreas especiales </w:t>
      </w:r>
    </w:p>
    <w:p w14:paraId="5CF46973" w14:textId="4C958786" w:rsidR="00DD1D1A" w:rsidRPr="00FD562F" w:rsidRDefault="00C549EF" w:rsidP="00FD562F">
      <w:pPr>
        <w:pStyle w:val="Artculo"/>
        <w:ind w:left="0" w:firstLine="0"/>
        <w:rPr>
          <w:b w:val="0"/>
          <w:bCs/>
        </w:rPr>
      </w:pPr>
      <w:r>
        <w:t>D</w:t>
      </w:r>
      <w:r w:rsidR="0044043E">
        <w:t xml:space="preserve">erogatorias. </w:t>
      </w:r>
      <w:r w:rsidR="0044043E" w:rsidRPr="00FD562F">
        <w:rPr>
          <w:b w:val="0"/>
          <w:bCs/>
        </w:rPr>
        <w:t xml:space="preserve">La presente resolución deroga </w:t>
      </w:r>
      <w:r w:rsidR="0048126C" w:rsidRPr="00FD562F">
        <w:rPr>
          <w:b w:val="0"/>
          <w:bCs/>
        </w:rPr>
        <w:t xml:space="preserve">las </w:t>
      </w:r>
      <w:r w:rsidR="0008575A" w:rsidRPr="00FD562F">
        <w:rPr>
          <w:b w:val="0"/>
          <w:bCs/>
        </w:rPr>
        <w:t xml:space="preserve">resoluciones </w:t>
      </w:r>
      <w:r w:rsidR="008D1E84" w:rsidRPr="00FD562F">
        <w:rPr>
          <w:b w:val="0"/>
          <w:bCs/>
        </w:rPr>
        <w:t xml:space="preserve">CREG </w:t>
      </w:r>
      <w:r w:rsidR="00D563A4" w:rsidRPr="00FD562F">
        <w:rPr>
          <w:b w:val="0"/>
          <w:bCs/>
        </w:rPr>
        <w:t xml:space="preserve">036, </w:t>
      </w:r>
      <w:r w:rsidR="00225877" w:rsidRPr="00FD562F">
        <w:rPr>
          <w:b w:val="0"/>
          <w:bCs/>
        </w:rPr>
        <w:t xml:space="preserve">117, </w:t>
      </w:r>
      <w:r w:rsidR="006E71BE" w:rsidRPr="00FD562F">
        <w:rPr>
          <w:b w:val="0"/>
          <w:bCs/>
        </w:rPr>
        <w:t xml:space="preserve">118, </w:t>
      </w:r>
      <w:r w:rsidR="00661345" w:rsidRPr="00FD562F">
        <w:rPr>
          <w:b w:val="0"/>
          <w:bCs/>
        </w:rPr>
        <w:t xml:space="preserve">119, </w:t>
      </w:r>
      <w:r w:rsidR="00856CE0" w:rsidRPr="00FD562F">
        <w:rPr>
          <w:b w:val="0"/>
          <w:bCs/>
        </w:rPr>
        <w:t xml:space="preserve">120, </w:t>
      </w:r>
      <w:r w:rsidR="00B04441" w:rsidRPr="00FD562F">
        <w:rPr>
          <w:b w:val="0"/>
          <w:bCs/>
        </w:rPr>
        <w:t xml:space="preserve">121, </w:t>
      </w:r>
      <w:r w:rsidR="00E62CB3" w:rsidRPr="00FD562F">
        <w:rPr>
          <w:b w:val="0"/>
          <w:bCs/>
        </w:rPr>
        <w:t xml:space="preserve">122, 123, </w:t>
      </w:r>
      <w:r w:rsidR="00F303C6" w:rsidRPr="00FD562F">
        <w:rPr>
          <w:b w:val="0"/>
          <w:bCs/>
        </w:rPr>
        <w:t xml:space="preserve">124, </w:t>
      </w:r>
      <w:r w:rsidR="00E62CB3" w:rsidRPr="00FD562F">
        <w:rPr>
          <w:b w:val="0"/>
          <w:bCs/>
        </w:rPr>
        <w:t>187, 188</w:t>
      </w:r>
      <w:r w:rsidR="00ED0618" w:rsidRPr="00FD562F">
        <w:rPr>
          <w:b w:val="0"/>
          <w:bCs/>
        </w:rPr>
        <w:t xml:space="preserve">, </w:t>
      </w:r>
      <w:r w:rsidR="00AE51BA" w:rsidRPr="00FD562F">
        <w:rPr>
          <w:b w:val="0"/>
          <w:bCs/>
        </w:rPr>
        <w:t xml:space="preserve">189, </w:t>
      </w:r>
      <w:r w:rsidR="00197E5F" w:rsidRPr="00FD562F">
        <w:rPr>
          <w:b w:val="0"/>
          <w:bCs/>
        </w:rPr>
        <w:t xml:space="preserve">190, </w:t>
      </w:r>
      <w:r w:rsidR="00F920DB" w:rsidRPr="00FD562F">
        <w:rPr>
          <w:b w:val="0"/>
          <w:bCs/>
        </w:rPr>
        <w:t xml:space="preserve">199, </w:t>
      </w:r>
      <w:r w:rsidR="00225877" w:rsidRPr="00FD562F">
        <w:rPr>
          <w:b w:val="0"/>
          <w:bCs/>
        </w:rPr>
        <w:t xml:space="preserve">205, </w:t>
      </w:r>
      <w:r w:rsidR="00F303C6" w:rsidRPr="00FD562F">
        <w:rPr>
          <w:b w:val="0"/>
          <w:bCs/>
        </w:rPr>
        <w:t xml:space="preserve">206, </w:t>
      </w:r>
      <w:r w:rsidR="00A2748A" w:rsidRPr="00FD562F">
        <w:rPr>
          <w:b w:val="0"/>
          <w:bCs/>
        </w:rPr>
        <w:t>216</w:t>
      </w:r>
      <w:r w:rsidR="006E71BE" w:rsidRPr="00FD562F">
        <w:rPr>
          <w:b w:val="0"/>
          <w:bCs/>
        </w:rPr>
        <w:t xml:space="preserve">, </w:t>
      </w:r>
      <w:r w:rsidR="00856CE0" w:rsidRPr="00FD562F">
        <w:rPr>
          <w:b w:val="0"/>
          <w:bCs/>
        </w:rPr>
        <w:t>217</w:t>
      </w:r>
      <w:r w:rsidR="00F303C6" w:rsidRPr="00FD562F">
        <w:rPr>
          <w:b w:val="0"/>
          <w:bCs/>
        </w:rPr>
        <w:t xml:space="preserve"> de 2015</w:t>
      </w:r>
      <w:r w:rsidR="00FD562F">
        <w:rPr>
          <w:b w:val="0"/>
          <w:bCs/>
        </w:rPr>
        <w:t xml:space="preserve">, </w:t>
      </w:r>
      <w:r w:rsidR="003B2706" w:rsidRPr="00FD562F">
        <w:rPr>
          <w:b w:val="0"/>
          <w:bCs/>
        </w:rPr>
        <w:t xml:space="preserve">013, </w:t>
      </w:r>
      <w:r w:rsidR="00810780" w:rsidRPr="00FD562F">
        <w:rPr>
          <w:b w:val="0"/>
          <w:bCs/>
        </w:rPr>
        <w:t xml:space="preserve">014, </w:t>
      </w:r>
      <w:r w:rsidR="00EF04CA" w:rsidRPr="00FD562F">
        <w:rPr>
          <w:b w:val="0"/>
          <w:bCs/>
        </w:rPr>
        <w:t xml:space="preserve">015, </w:t>
      </w:r>
      <w:r w:rsidR="00810780" w:rsidRPr="00FD562F">
        <w:rPr>
          <w:b w:val="0"/>
          <w:bCs/>
        </w:rPr>
        <w:t xml:space="preserve">016, </w:t>
      </w:r>
      <w:r w:rsidR="00B0281E" w:rsidRPr="00FD562F">
        <w:rPr>
          <w:b w:val="0"/>
          <w:bCs/>
        </w:rPr>
        <w:t xml:space="preserve">017, </w:t>
      </w:r>
      <w:r w:rsidR="00810780" w:rsidRPr="00FD562F">
        <w:rPr>
          <w:b w:val="0"/>
          <w:bCs/>
        </w:rPr>
        <w:t xml:space="preserve">223, </w:t>
      </w:r>
      <w:r w:rsidR="00541F0D" w:rsidRPr="00FD562F">
        <w:rPr>
          <w:b w:val="0"/>
          <w:bCs/>
        </w:rPr>
        <w:t>229</w:t>
      </w:r>
      <w:r w:rsidR="002C5E98" w:rsidRPr="00FD562F">
        <w:rPr>
          <w:b w:val="0"/>
          <w:bCs/>
        </w:rPr>
        <w:t xml:space="preserve">, </w:t>
      </w:r>
      <w:r w:rsidR="005C5B90" w:rsidRPr="00FD562F">
        <w:rPr>
          <w:b w:val="0"/>
          <w:bCs/>
        </w:rPr>
        <w:t>231</w:t>
      </w:r>
      <w:r w:rsidR="00330481" w:rsidRPr="00FD562F">
        <w:rPr>
          <w:b w:val="0"/>
          <w:bCs/>
        </w:rPr>
        <w:t xml:space="preserve"> y</w:t>
      </w:r>
      <w:r w:rsidR="005C5B90" w:rsidRPr="00FD562F">
        <w:rPr>
          <w:b w:val="0"/>
          <w:bCs/>
        </w:rPr>
        <w:t xml:space="preserve"> </w:t>
      </w:r>
      <w:r w:rsidR="002C5E98" w:rsidRPr="00FD562F">
        <w:rPr>
          <w:b w:val="0"/>
          <w:bCs/>
        </w:rPr>
        <w:t>232</w:t>
      </w:r>
      <w:r w:rsidR="005C5B90" w:rsidRPr="00FD562F">
        <w:rPr>
          <w:b w:val="0"/>
          <w:bCs/>
        </w:rPr>
        <w:t xml:space="preserve"> de 2016</w:t>
      </w:r>
      <w:r w:rsidR="00FD562F">
        <w:rPr>
          <w:b w:val="0"/>
          <w:bCs/>
        </w:rPr>
        <w:t xml:space="preserve"> y la Resolución CREG </w:t>
      </w:r>
      <w:r w:rsidR="00983EE7">
        <w:rPr>
          <w:b w:val="0"/>
          <w:bCs/>
        </w:rPr>
        <w:t>188 de 2020</w:t>
      </w:r>
      <w:r w:rsidR="005C5B90" w:rsidRPr="00FD562F">
        <w:rPr>
          <w:b w:val="0"/>
          <w:bCs/>
        </w:rPr>
        <w:t>.</w:t>
      </w:r>
      <w:r w:rsidR="006E71BE" w:rsidRPr="00FD562F">
        <w:rPr>
          <w:b w:val="0"/>
          <w:bCs/>
        </w:rPr>
        <w:t xml:space="preserve"> </w:t>
      </w:r>
      <w:r w:rsidR="00197E5F" w:rsidRPr="00FD562F">
        <w:rPr>
          <w:b w:val="0"/>
          <w:bCs/>
        </w:rPr>
        <w:t xml:space="preserve"> </w:t>
      </w:r>
      <w:r w:rsidR="00011391" w:rsidRPr="00FD562F">
        <w:rPr>
          <w:b w:val="0"/>
          <w:bCs/>
        </w:rPr>
        <w:t>La Resolución CREG 180 de 2014 y sus modificaciones se mantendrá</w:t>
      </w:r>
      <w:r w:rsidR="00FE0686">
        <w:rPr>
          <w:b w:val="0"/>
          <w:bCs/>
        </w:rPr>
        <w:t>n</w:t>
      </w:r>
      <w:r w:rsidR="00011391" w:rsidRPr="00FD562F">
        <w:rPr>
          <w:b w:val="0"/>
          <w:bCs/>
        </w:rPr>
        <w:t xml:space="preserve"> vigente</w:t>
      </w:r>
      <w:r w:rsidR="00FE0686">
        <w:rPr>
          <w:b w:val="0"/>
          <w:bCs/>
        </w:rPr>
        <w:t>s</w:t>
      </w:r>
      <w:r w:rsidR="00011391" w:rsidRPr="00FD562F">
        <w:rPr>
          <w:b w:val="0"/>
          <w:bCs/>
        </w:rPr>
        <w:t xml:space="preserve"> solo para los efectos de lo previsto en la Resolución </w:t>
      </w:r>
      <w:r w:rsidR="005D6749" w:rsidRPr="00FD562F">
        <w:rPr>
          <w:b w:val="0"/>
          <w:bCs/>
        </w:rPr>
        <w:t>101 003 del 2023</w:t>
      </w:r>
      <w:bookmarkEnd w:id="16"/>
      <w:r w:rsidR="00FE0686">
        <w:rPr>
          <w:b w:val="0"/>
          <w:bCs/>
        </w:rPr>
        <w:t>.</w:t>
      </w:r>
    </w:p>
    <w:p w14:paraId="2970115E" w14:textId="77777777" w:rsidR="007C5DE6" w:rsidRPr="004E6CFC" w:rsidRDefault="007C5DE6" w:rsidP="00452F58">
      <w:pPr>
        <w:spacing w:before="480" w:after="480"/>
        <w:jc w:val="center"/>
        <w:rPr>
          <w:b/>
        </w:rPr>
      </w:pPr>
      <w:r w:rsidRPr="004E6CFC">
        <w:rPr>
          <w:b/>
        </w:rPr>
        <w:t>PUBLÍQUESE Y CÚMPLASE</w:t>
      </w:r>
    </w:p>
    <w:tbl>
      <w:tblPr>
        <w:tblW w:w="10125" w:type="dxa"/>
        <w:jc w:val="right"/>
        <w:tblLayout w:type="fixed"/>
        <w:tblCellMar>
          <w:left w:w="70" w:type="dxa"/>
          <w:right w:w="70" w:type="dxa"/>
        </w:tblCellMar>
        <w:tblLook w:val="04A0" w:firstRow="1" w:lastRow="0" w:firstColumn="1" w:lastColumn="0" w:noHBand="0" w:noVBand="1"/>
      </w:tblPr>
      <w:tblGrid>
        <w:gridCol w:w="4869"/>
        <w:gridCol w:w="5256"/>
      </w:tblGrid>
      <w:tr w:rsidR="00E1070C" w:rsidRPr="00E1070C" w14:paraId="573C0029" w14:textId="77777777">
        <w:trPr>
          <w:jc w:val="right"/>
        </w:trPr>
        <w:tc>
          <w:tcPr>
            <w:tcW w:w="4869" w:type="dxa"/>
          </w:tcPr>
          <w:p w14:paraId="10C0BFF8" w14:textId="77777777" w:rsidR="00E1070C" w:rsidRPr="00E1070C" w:rsidRDefault="00E1070C" w:rsidP="00A54CBC">
            <w:pPr>
              <w:spacing w:before="0" w:after="0"/>
              <w:jc w:val="left"/>
              <w:rPr>
                <w:rFonts w:cs="Arial"/>
                <w:spacing w:val="-3"/>
                <w:lang w:val="es-ES_tradnl"/>
              </w:rPr>
            </w:pPr>
          </w:p>
        </w:tc>
        <w:tc>
          <w:tcPr>
            <w:tcW w:w="5256" w:type="dxa"/>
          </w:tcPr>
          <w:p w14:paraId="4D9138C7" w14:textId="77777777" w:rsidR="00E1070C" w:rsidRPr="00E1070C" w:rsidRDefault="00E1070C" w:rsidP="00E1070C">
            <w:pPr>
              <w:spacing w:before="0" w:after="0"/>
              <w:ind w:left="567"/>
              <w:jc w:val="left"/>
              <w:rPr>
                <w:rFonts w:cs="Arial"/>
                <w:spacing w:val="-3"/>
                <w:lang w:val="es-ES_tradnl"/>
              </w:rPr>
            </w:pPr>
          </w:p>
        </w:tc>
      </w:tr>
    </w:tbl>
    <w:p w14:paraId="73910CB5" w14:textId="5449F439" w:rsidR="00193054" w:rsidRPr="004E6CFC" w:rsidRDefault="00334F9E" w:rsidP="00DE48C6">
      <w:pPr>
        <w:spacing w:before="0" w:after="0"/>
        <w:jc w:val="center"/>
        <w:rPr>
          <w:b/>
        </w:rPr>
      </w:pPr>
      <w:r w:rsidRPr="004E6CFC">
        <w:rPr>
          <w:b/>
        </w:rPr>
        <w:br w:type="page"/>
      </w:r>
      <w:r w:rsidR="00193054" w:rsidRPr="00E24F2C">
        <w:rPr>
          <w:b/>
        </w:rPr>
        <w:lastRenderedPageBreak/>
        <w:t>ANEXO GENERAL</w:t>
      </w:r>
    </w:p>
    <w:p w14:paraId="1EA1779D" w14:textId="77777777" w:rsidR="00193054" w:rsidRPr="004E6CFC" w:rsidRDefault="00193054" w:rsidP="00193054">
      <w:pPr>
        <w:spacing w:before="0" w:after="0"/>
        <w:jc w:val="center"/>
        <w:rPr>
          <w:b/>
        </w:rPr>
      </w:pPr>
    </w:p>
    <w:p w14:paraId="33767F41" w14:textId="77777777" w:rsidR="00193054" w:rsidRPr="004E6CFC" w:rsidRDefault="00193054" w:rsidP="00193054">
      <w:pPr>
        <w:spacing w:before="0" w:after="0"/>
        <w:jc w:val="center"/>
        <w:rPr>
          <w:b/>
        </w:rPr>
      </w:pPr>
      <w:r w:rsidRPr="004E6CFC">
        <w:rPr>
          <w:b/>
        </w:rPr>
        <w:t>CONTENIDO</w:t>
      </w:r>
    </w:p>
    <w:p w14:paraId="63FCA373" w14:textId="77777777" w:rsidR="00193054" w:rsidRPr="004E6CFC" w:rsidRDefault="00193054" w:rsidP="00193054">
      <w:pPr>
        <w:spacing w:before="0" w:after="0"/>
        <w:jc w:val="center"/>
        <w:rPr>
          <w:b/>
        </w:rPr>
      </w:pPr>
    </w:p>
    <w:sdt>
      <w:sdtPr>
        <w:rPr>
          <w:b w:val="0"/>
          <w:caps w:val="0"/>
          <w:noProof w:val="0"/>
        </w:rPr>
        <w:id w:val="634762318"/>
        <w:docPartObj>
          <w:docPartGallery w:val="Table of Contents"/>
          <w:docPartUnique/>
        </w:docPartObj>
      </w:sdtPr>
      <w:sdtEndPr>
        <w:rPr>
          <w:b/>
          <w:bCs/>
          <w:caps/>
          <w:noProof/>
        </w:rPr>
      </w:sdtEndPr>
      <w:sdtContent>
        <w:p w14:paraId="3E46873C" w14:textId="6FAEEF9A" w:rsidR="008257AE" w:rsidRDefault="0014422A">
          <w:pPr>
            <w:pStyle w:val="TDC1"/>
            <w:tabs>
              <w:tab w:val="left" w:pos="1858"/>
            </w:tabs>
            <w:rPr>
              <w:rFonts w:asciiTheme="minorHAnsi" w:eastAsiaTheme="minorEastAsia" w:hAnsiTheme="minorHAnsi" w:cstheme="minorBidi"/>
              <w:b w:val="0"/>
              <w:caps w:val="0"/>
              <w:kern w:val="2"/>
              <w:lang w:val="es-CO" w:eastAsia="es-CO"/>
              <w14:ligatures w14:val="standardContextual"/>
            </w:rPr>
          </w:pPr>
          <w:r w:rsidRPr="004E6CFC">
            <w:fldChar w:fldCharType="begin"/>
          </w:r>
          <w:r w:rsidRPr="004E6CFC">
            <w:instrText xml:space="preserve"> TOC \o "1-3" \h \z \u </w:instrText>
          </w:r>
          <w:r w:rsidRPr="004E6CFC">
            <w:fldChar w:fldCharType="separate"/>
          </w:r>
          <w:hyperlink w:anchor="_Toc164064356" w:history="1">
            <w:r w:rsidR="008257AE" w:rsidRPr="005F27BD">
              <w:rPr>
                <w:rStyle w:val="Hipervnculo"/>
              </w:rPr>
              <w:t>CAPITULO 1.</w:t>
            </w:r>
            <w:r w:rsidR="008257AE">
              <w:rPr>
                <w:rFonts w:asciiTheme="minorHAnsi" w:eastAsiaTheme="minorEastAsia" w:hAnsiTheme="minorHAnsi" w:cstheme="minorBidi"/>
                <w:b w:val="0"/>
                <w:caps w:val="0"/>
                <w:kern w:val="2"/>
                <w:lang w:val="es-CO" w:eastAsia="es-CO"/>
                <w14:ligatures w14:val="standardContextual"/>
              </w:rPr>
              <w:tab/>
            </w:r>
            <w:r w:rsidR="008257AE" w:rsidRPr="005F27BD">
              <w:rPr>
                <w:rStyle w:val="Hipervnculo"/>
              </w:rPr>
              <w:t>CÁLCULO DE COSTOS FIJOS</w:t>
            </w:r>
            <w:r w:rsidR="008257AE">
              <w:rPr>
                <w:webHidden/>
              </w:rPr>
              <w:tab/>
            </w:r>
            <w:r w:rsidR="008257AE">
              <w:rPr>
                <w:webHidden/>
              </w:rPr>
              <w:fldChar w:fldCharType="begin"/>
            </w:r>
            <w:r w:rsidR="008257AE">
              <w:rPr>
                <w:webHidden/>
              </w:rPr>
              <w:instrText xml:space="preserve"> PAGEREF _Toc164064356 \h </w:instrText>
            </w:r>
            <w:r w:rsidR="008257AE">
              <w:rPr>
                <w:webHidden/>
              </w:rPr>
            </w:r>
            <w:r w:rsidR="008257AE">
              <w:rPr>
                <w:webHidden/>
              </w:rPr>
              <w:fldChar w:fldCharType="separate"/>
            </w:r>
            <w:r w:rsidR="00625E8F">
              <w:rPr>
                <w:webHidden/>
              </w:rPr>
              <w:t>14</w:t>
            </w:r>
            <w:r w:rsidR="008257AE">
              <w:rPr>
                <w:webHidden/>
              </w:rPr>
              <w:fldChar w:fldCharType="end"/>
            </w:r>
          </w:hyperlink>
        </w:p>
        <w:p w14:paraId="32BEEE67" w14:textId="07EA479F"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57" w:history="1">
            <w:r w:rsidR="008257AE" w:rsidRPr="005F27BD">
              <w:rPr>
                <w:rStyle w:val="Hipervnculo"/>
              </w:rPr>
              <w:t>1.1</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Costo base de comercialización</w:t>
            </w:r>
            <w:r w:rsidR="008257AE">
              <w:rPr>
                <w:webHidden/>
              </w:rPr>
              <w:tab/>
            </w:r>
            <w:r w:rsidR="008257AE">
              <w:rPr>
                <w:webHidden/>
              </w:rPr>
              <w:fldChar w:fldCharType="begin"/>
            </w:r>
            <w:r w:rsidR="008257AE">
              <w:rPr>
                <w:webHidden/>
              </w:rPr>
              <w:instrText xml:space="preserve"> PAGEREF _Toc164064357 \h </w:instrText>
            </w:r>
            <w:r w:rsidR="008257AE">
              <w:rPr>
                <w:webHidden/>
              </w:rPr>
            </w:r>
            <w:r w:rsidR="008257AE">
              <w:rPr>
                <w:webHidden/>
              </w:rPr>
              <w:fldChar w:fldCharType="separate"/>
            </w:r>
            <w:r w:rsidR="00625E8F">
              <w:rPr>
                <w:webHidden/>
              </w:rPr>
              <w:t>14</w:t>
            </w:r>
            <w:r w:rsidR="008257AE">
              <w:rPr>
                <w:webHidden/>
              </w:rPr>
              <w:fldChar w:fldCharType="end"/>
            </w:r>
          </w:hyperlink>
        </w:p>
        <w:p w14:paraId="61CCA495" w14:textId="0B6863D1"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58" w:history="1">
            <w:r w:rsidR="008257AE" w:rsidRPr="005F27BD">
              <w:rPr>
                <w:rStyle w:val="Hipervnculo"/>
              </w:rPr>
              <w:t>1.1.1</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Costos y Gastos fijos reconocidos</w:t>
            </w:r>
            <w:r w:rsidR="008257AE">
              <w:rPr>
                <w:webHidden/>
              </w:rPr>
              <w:tab/>
            </w:r>
            <w:r w:rsidR="008257AE">
              <w:rPr>
                <w:webHidden/>
              </w:rPr>
              <w:fldChar w:fldCharType="begin"/>
            </w:r>
            <w:r w:rsidR="008257AE">
              <w:rPr>
                <w:webHidden/>
              </w:rPr>
              <w:instrText xml:space="preserve"> PAGEREF _Toc164064358 \h </w:instrText>
            </w:r>
            <w:r w:rsidR="008257AE">
              <w:rPr>
                <w:webHidden/>
              </w:rPr>
            </w:r>
            <w:r w:rsidR="008257AE">
              <w:rPr>
                <w:webHidden/>
              </w:rPr>
              <w:fldChar w:fldCharType="separate"/>
            </w:r>
            <w:r w:rsidR="00625E8F">
              <w:rPr>
                <w:webHidden/>
              </w:rPr>
              <w:t>14</w:t>
            </w:r>
            <w:r w:rsidR="008257AE">
              <w:rPr>
                <w:webHidden/>
              </w:rPr>
              <w:fldChar w:fldCharType="end"/>
            </w:r>
          </w:hyperlink>
        </w:p>
        <w:p w14:paraId="02D2C6B1" w14:textId="6920A7D7"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59" w:history="1">
            <w:r w:rsidR="008257AE" w:rsidRPr="005F27BD">
              <w:rPr>
                <w:rStyle w:val="Hipervnculo"/>
              </w:rPr>
              <w:t>1.1.2</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Facturas expedidas</w:t>
            </w:r>
            <w:r w:rsidR="008257AE">
              <w:rPr>
                <w:webHidden/>
              </w:rPr>
              <w:tab/>
            </w:r>
            <w:r w:rsidR="008257AE">
              <w:rPr>
                <w:webHidden/>
              </w:rPr>
              <w:fldChar w:fldCharType="begin"/>
            </w:r>
            <w:r w:rsidR="008257AE">
              <w:rPr>
                <w:webHidden/>
              </w:rPr>
              <w:instrText xml:space="preserve"> PAGEREF _Toc164064359 \h </w:instrText>
            </w:r>
            <w:r w:rsidR="008257AE">
              <w:rPr>
                <w:webHidden/>
              </w:rPr>
            </w:r>
            <w:r w:rsidR="008257AE">
              <w:rPr>
                <w:webHidden/>
              </w:rPr>
              <w:fldChar w:fldCharType="separate"/>
            </w:r>
            <w:r w:rsidR="00625E8F">
              <w:rPr>
                <w:webHidden/>
              </w:rPr>
              <w:t>16</w:t>
            </w:r>
            <w:r w:rsidR="008257AE">
              <w:rPr>
                <w:webHidden/>
              </w:rPr>
              <w:fldChar w:fldCharType="end"/>
            </w:r>
          </w:hyperlink>
        </w:p>
        <w:p w14:paraId="6B1D309E" w14:textId="700EDC02"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60" w:history="1">
            <w:r w:rsidR="008257AE" w:rsidRPr="005F27BD">
              <w:rPr>
                <w:rStyle w:val="Hipervnculo"/>
              </w:rPr>
              <w:t>1.1.3</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Factor de eficiencia</w:t>
            </w:r>
            <w:r w:rsidR="008257AE">
              <w:rPr>
                <w:webHidden/>
              </w:rPr>
              <w:tab/>
            </w:r>
            <w:r w:rsidR="008257AE">
              <w:rPr>
                <w:webHidden/>
              </w:rPr>
              <w:fldChar w:fldCharType="begin"/>
            </w:r>
            <w:r w:rsidR="008257AE">
              <w:rPr>
                <w:webHidden/>
              </w:rPr>
              <w:instrText xml:space="preserve"> PAGEREF _Toc164064360 \h </w:instrText>
            </w:r>
            <w:r w:rsidR="008257AE">
              <w:rPr>
                <w:webHidden/>
              </w:rPr>
            </w:r>
            <w:r w:rsidR="008257AE">
              <w:rPr>
                <w:webHidden/>
              </w:rPr>
              <w:fldChar w:fldCharType="separate"/>
            </w:r>
            <w:r w:rsidR="00625E8F">
              <w:rPr>
                <w:webHidden/>
              </w:rPr>
              <w:t>17</w:t>
            </w:r>
            <w:r w:rsidR="008257AE">
              <w:rPr>
                <w:webHidden/>
              </w:rPr>
              <w:fldChar w:fldCharType="end"/>
            </w:r>
          </w:hyperlink>
        </w:p>
        <w:p w14:paraId="59DEFFB5" w14:textId="67CE9EBF"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61" w:history="1">
            <w:r w:rsidR="008257AE" w:rsidRPr="005F27BD">
              <w:rPr>
                <w:rStyle w:val="Hipervnculo"/>
              </w:rPr>
              <w:t>1.1.4</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Costos y gastos reconocidos para comercializadores sin información.</w:t>
            </w:r>
            <w:r w:rsidR="008257AE">
              <w:rPr>
                <w:webHidden/>
              </w:rPr>
              <w:tab/>
            </w:r>
            <w:r w:rsidR="008257AE">
              <w:rPr>
                <w:webHidden/>
              </w:rPr>
              <w:fldChar w:fldCharType="begin"/>
            </w:r>
            <w:r w:rsidR="008257AE">
              <w:rPr>
                <w:webHidden/>
              </w:rPr>
              <w:instrText xml:space="preserve"> PAGEREF _Toc164064361 \h </w:instrText>
            </w:r>
            <w:r w:rsidR="008257AE">
              <w:rPr>
                <w:webHidden/>
              </w:rPr>
              <w:fldChar w:fldCharType="separate"/>
            </w:r>
            <w:r w:rsidR="00625E8F">
              <w:rPr>
                <w:b/>
                <w:bCs/>
                <w:webHidden/>
                <w:lang w:val="es-ES"/>
              </w:rPr>
              <w:t>¡Error! Marcador no definido.</w:t>
            </w:r>
            <w:r w:rsidR="008257AE">
              <w:rPr>
                <w:webHidden/>
              </w:rPr>
              <w:fldChar w:fldCharType="end"/>
            </w:r>
          </w:hyperlink>
        </w:p>
        <w:p w14:paraId="5B04994B" w14:textId="13BC6F0A"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62" w:history="1">
            <w:r w:rsidR="008257AE" w:rsidRPr="005F27BD">
              <w:rPr>
                <w:rStyle w:val="Hipervnculo"/>
              </w:rPr>
              <w:t>1.2</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Actualización del costo base</w:t>
            </w:r>
            <w:r w:rsidR="008257AE">
              <w:rPr>
                <w:webHidden/>
              </w:rPr>
              <w:tab/>
            </w:r>
            <w:r w:rsidR="008257AE">
              <w:rPr>
                <w:webHidden/>
              </w:rPr>
              <w:fldChar w:fldCharType="begin"/>
            </w:r>
            <w:r w:rsidR="008257AE">
              <w:rPr>
                <w:webHidden/>
              </w:rPr>
              <w:instrText xml:space="preserve"> PAGEREF _Toc164064362 \h </w:instrText>
            </w:r>
            <w:r w:rsidR="008257AE">
              <w:rPr>
                <w:webHidden/>
              </w:rPr>
            </w:r>
            <w:r w:rsidR="008257AE">
              <w:rPr>
                <w:webHidden/>
              </w:rPr>
              <w:fldChar w:fldCharType="separate"/>
            </w:r>
            <w:r w:rsidR="00625E8F">
              <w:rPr>
                <w:webHidden/>
              </w:rPr>
              <w:t>18</w:t>
            </w:r>
            <w:r w:rsidR="008257AE">
              <w:rPr>
                <w:webHidden/>
              </w:rPr>
              <w:fldChar w:fldCharType="end"/>
            </w:r>
          </w:hyperlink>
        </w:p>
        <w:p w14:paraId="5A79CA94" w14:textId="7BDC4D5F" w:rsidR="008257AE" w:rsidRDefault="00000000">
          <w:pPr>
            <w:pStyle w:val="TDC1"/>
            <w:tabs>
              <w:tab w:val="left" w:pos="1858"/>
            </w:tabs>
            <w:rPr>
              <w:rFonts w:asciiTheme="minorHAnsi" w:eastAsiaTheme="minorEastAsia" w:hAnsiTheme="minorHAnsi" w:cstheme="minorBidi"/>
              <w:b w:val="0"/>
              <w:caps w:val="0"/>
              <w:kern w:val="2"/>
              <w:lang w:val="es-CO" w:eastAsia="es-CO"/>
              <w14:ligatures w14:val="standardContextual"/>
            </w:rPr>
          </w:pPr>
          <w:hyperlink w:anchor="_Toc164064363" w:history="1">
            <w:r w:rsidR="008257AE" w:rsidRPr="005F27BD">
              <w:rPr>
                <w:rStyle w:val="Hipervnculo"/>
              </w:rPr>
              <w:t>CAPITULO 2.</w:t>
            </w:r>
            <w:r w:rsidR="008257AE">
              <w:rPr>
                <w:rFonts w:asciiTheme="minorHAnsi" w:eastAsiaTheme="minorEastAsia" w:hAnsiTheme="minorHAnsi" w:cstheme="minorBidi"/>
                <w:b w:val="0"/>
                <w:caps w:val="0"/>
                <w:kern w:val="2"/>
                <w:lang w:val="es-CO" w:eastAsia="es-CO"/>
                <w14:ligatures w14:val="standardContextual"/>
              </w:rPr>
              <w:tab/>
            </w:r>
            <w:r w:rsidR="008257AE" w:rsidRPr="005F27BD">
              <w:rPr>
                <w:rStyle w:val="Hipervnculo"/>
              </w:rPr>
              <w:t>COSTOS VARIABLES</w:t>
            </w:r>
            <w:r w:rsidR="008257AE">
              <w:rPr>
                <w:webHidden/>
              </w:rPr>
              <w:tab/>
            </w:r>
            <w:r w:rsidR="008257AE">
              <w:rPr>
                <w:webHidden/>
              </w:rPr>
              <w:fldChar w:fldCharType="begin"/>
            </w:r>
            <w:r w:rsidR="008257AE">
              <w:rPr>
                <w:webHidden/>
              </w:rPr>
              <w:instrText xml:space="preserve"> PAGEREF _Toc164064363 \h </w:instrText>
            </w:r>
            <w:r w:rsidR="008257AE">
              <w:rPr>
                <w:webHidden/>
              </w:rPr>
            </w:r>
            <w:r w:rsidR="008257AE">
              <w:rPr>
                <w:webHidden/>
              </w:rPr>
              <w:fldChar w:fldCharType="separate"/>
            </w:r>
            <w:r w:rsidR="00625E8F">
              <w:rPr>
                <w:webHidden/>
              </w:rPr>
              <w:t>19</w:t>
            </w:r>
            <w:r w:rsidR="008257AE">
              <w:rPr>
                <w:webHidden/>
              </w:rPr>
              <w:fldChar w:fldCharType="end"/>
            </w:r>
          </w:hyperlink>
        </w:p>
        <w:p w14:paraId="0D5D8508" w14:textId="55061367"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64" w:history="1">
            <w:r w:rsidR="008257AE" w:rsidRPr="005F27BD">
              <w:rPr>
                <w:rStyle w:val="Hipervnculo"/>
              </w:rPr>
              <w:t>2.1</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Margen de comercialización</w:t>
            </w:r>
            <w:r w:rsidR="008257AE">
              <w:rPr>
                <w:webHidden/>
              </w:rPr>
              <w:tab/>
            </w:r>
            <w:r w:rsidR="008257AE">
              <w:rPr>
                <w:webHidden/>
              </w:rPr>
              <w:fldChar w:fldCharType="begin"/>
            </w:r>
            <w:r w:rsidR="008257AE">
              <w:rPr>
                <w:webHidden/>
              </w:rPr>
              <w:instrText xml:space="preserve"> PAGEREF _Toc164064364 \h </w:instrText>
            </w:r>
            <w:r w:rsidR="008257AE">
              <w:rPr>
                <w:webHidden/>
              </w:rPr>
            </w:r>
            <w:r w:rsidR="008257AE">
              <w:rPr>
                <w:webHidden/>
              </w:rPr>
              <w:fldChar w:fldCharType="separate"/>
            </w:r>
            <w:r w:rsidR="00625E8F">
              <w:rPr>
                <w:webHidden/>
              </w:rPr>
              <w:t>19</w:t>
            </w:r>
            <w:r w:rsidR="008257AE">
              <w:rPr>
                <w:webHidden/>
              </w:rPr>
              <w:fldChar w:fldCharType="end"/>
            </w:r>
          </w:hyperlink>
        </w:p>
        <w:p w14:paraId="57C541A5" w14:textId="1194CA70"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65" w:history="1">
            <w:r w:rsidR="008257AE" w:rsidRPr="005F27BD">
              <w:rPr>
                <w:rStyle w:val="Hipervnculo"/>
              </w:rPr>
              <w:t>2.2</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Riesgo de cartera reconocido</w:t>
            </w:r>
            <w:r w:rsidR="008257AE">
              <w:rPr>
                <w:webHidden/>
              </w:rPr>
              <w:tab/>
            </w:r>
            <w:r w:rsidR="008257AE">
              <w:rPr>
                <w:webHidden/>
              </w:rPr>
              <w:fldChar w:fldCharType="begin"/>
            </w:r>
            <w:r w:rsidR="008257AE">
              <w:rPr>
                <w:webHidden/>
              </w:rPr>
              <w:instrText xml:space="preserve"> PAGEREF _Toc164064365 \h </w:instrText>
            </w:r>
            <w:r w:rsidR="008257AE">
              <w:rPr>
                <w:webHidden/>
              </w:rPr>
            </w:r>
            <w:r w:rsidR="008257AE">
              <w:rPr>
                <w:webHidden/>
              </w:rPr>
              <w:fldChar w:fldCharType="separate"/>
            </w:r>
            <w:r w:rsidR="00625E8F">
              <w:rPr>
                <w:webHidden/>
              </w:rPr>
              <w:t>20</w:t>
            </w:r>
            <w:r w:rsidR="008257AE">
              <w:rPr>
                <w:webHidden/>
              </w:rPr>
              <w:fldChar w:fldCharType="end"/>
            </w:r>
          </w:hyperlink>
        </w:p>
        <w:p w14:paraId="45744A8E" w14:textId="31EF2563"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66" w:history="1">
            <w:r w:rsidR="008257AE" w:rsidRPr="005F27BD">
              <w:rPr>
                <w:rStyle w:val="Hipervnculo"/>
              </w:rPr>
              <w:t>2.2.1</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Riesgo de cartera reconocido para el mercado</w:t>
            </w:r>
            <w:r w:rsidR="008257AE">
              <w:rPr>
                <w:webHidden/>
              </w:rPr>
              <w:tab/>
            </w:r>
            <w:r w:rsidR="008257AE">
              <w:rPr>
                <w:webHidden/>
              </w:rPr>
              <w:fldChar w:fldCharType="begin"/>
            </w:r>
            <w:r w:rsidR="008257AE">
              <w:rPr>
                <w:webHidden/>
              </w:rPr>
              <w:instrText xml:space="preserve"> PAGEREF _Toc164064366 \h </w:instrText>
            </w:r>
            <w:r w:rsidR="008257AE">
              <w:rPr>
                <w:webHidden/>
              </w:rPr>
            </w:r>
            <w:r w:rsidR="008257AE">
              <w:rPr>
                <w:webHidden/>
              </w:rPr>
              <w:fldChar w:fldCharType="separate"/>
            </w:r>
            <w:r w:rsidR="00625E8F">
              <w:rPr>
                <w:webHidden/>
              </w:rPr>
              <w:t>21</w:t>
            </w:r>
            <w:r w:rsidR="008257AE">
              <w:rPr>
                <w:webHidden/>
              </w:rPr>
              <w:fldChar w:fldCharType="end"/>
            </w:r>
          </w:hyperlink>
        </w:p>
        <w:p w14:paraId="195D0DD8" w14:textId="6E746E91"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67" w:history="1">
            <w:r w:rsidR="008257AE" w:rsidRPr="005F27BD">
              <w:rPr>
                <w:rStyle w:val="Hipervnculo"/>
              </w:rPr>
              <w:t>2.3</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costos financieros reconocidos</w:t>
            </w:r>
            <w:r w:rsidR="008257AE">
              <w:rPr>
                <w:webHidden/>
              </w:rPr>
              <w:tab/>
            </w:r>
            <w:r w:rsidR="008257AE">
              <w:rPr>
                <w:webHidden/>
              </w:rPr>
              <w:fldChar w:fldCharType="begin"/>
            </w:r>
            <w:r w:rsidR="008257AE">
              <w:rPr>
                <w:webHidden/>
              </w:rPr>
              <w:instrText xml:space="preserve"> PAGEREF _Toc164064367 \h </w:instrText>
            </w:r>
            <w:r w:rsidR="008257AE">
              <w:rPr>
                <w:webHidden/>
              </w:rPr>
            </w:r>
            <w:r w:rsidR="008257AE">
              <w:rPr>
                <w:webHidden/>
              </w:rPr>
              <w:fldChar w:fldCharType="separate"/>
            </w:r>
            <w:r w:rsidR="00625E8F">
              <w:rPr>
                <w:webHidden/>
              </w:rPr>
              <w:t>24</w:t>
            </w:r>
            <w:r w:rsidR="008257AE">
              <w:rPr>
                <w:webHidden/>
              </w:rPr>
              <w:fldChar w:fldCharType="end"/>
            </w:r>
          </w:hyperlink>
        </w:p>
        <w:p w14:paraId="21E8CC4C" w14:textId="5B7382AA"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68" w:history="1">
            <w:r w:rsidR="008257AE" w:rsidRPr="005F27BD">
              <w:rPr>
                <w:rStyle w:val="Hipervnculo"/>
              </w:rPr>
              <w:t>2.3.1</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Costos financieros</w:t>
            </w:r>
            <w:r w:rsidR="008257AE">
              <w:rPr>
                <w:webHidden/>
              </w:rPr>
              <w:tab/>
            </w:r>
            <w:r w:rsidR="008257AE">
              <w:rPr>
                <w:webHidden/>
              </w:rPr>
              <w:fldChar w:fldCharType="begin"/>
            </w:r>
            <w:r w:rsidR="008257AE">
              <w:rPr>
                <w:webHidden/>
              </w:rPr>
              <w:instrText xml:space="preserve"> PAGEREF _Toc164064368 \h </w:instrText>
            </w:r>
            <w:r w:rsidR="008257AE">
              <w:rPr>
                <w:webHidden/>
              </w:rPr>
            </w:r>
            <w:r w:rsidR="008257AE">
              <w:rPr>
                <w:webHidden/>
              </w:rPr>
              <w:fldChar w:fldCharType="separate"/>
            </w:r>
            <w:r w:rsidR="00625E8F">
              <w:rPr>
                <w:webHidden/>
              </w:rPr>
              <w:t>25</w:t>
            </w:r>
            <w:r w:rsidR="008257AE">
              <w:rPr>
                <w:webHidden/>
              </w:rPr>
              <w:fldChar w:fldCharType="end"/>
            </w:r>
          </w:hyperlink>
        </w:p>
        <w:p w14:paraId="7AF23541" w14:textId="3C858750" w:rsidR="008257AE" w:rsidRDefault="00000000">
          <w:pPr>
            <w:pStyle w:val="TDC1"/>
            <w:tabs>
              <w:tab w:val="left" w:pos="1858"/>
            </w:tabs>
            <w:rPr>
              <w:rFonts w:asciiTheme="minorHAnsi" w:eastAsiaTheme="minorEastAsia" w:hAnsiTheme="minorHAnsi" w:cstheme="minorBidi"/>
              <w:b w:val="0"/>
              <w:caps w:val="0"/>
              <w:kern w:val="2"/>
              <w:lang w:val="es-CO" w:eastAsia="es-CO"/>
              <w14:ligatures w14:val="standardContextual"/>
            </w:rPr>
          </w:pPr>
          <w:hyperlink w:anchor="_Toc164064369" w:history="1">
            <w:r w:rsidR="008257AE" w:rsidRPr="005F27BD">
              <w:rPr>
                <w:rStyle w:val="Hipervnculo"/>
              </w:rPr>
              <w:t>CAPITULO 3.</w:t>
            </w:r>
            <w:r w:rsidR="008257AE">
              <w:rPr>
                <w:rFonts w:asciiTheme="minorHAnsi" w:eastAsiaTheme="minorEastAsia" w:hAnsiTheme="minorHAnsi" w:cstheme="minorBidi"/>
                <w:b w:val="0"/>
                <w:caps w:val="0"/>
                <w:kern w:val="2"/>
                <w:lang w:val="es-CO" w:eastAsia="es-CO"/>
                <w14:ligatures w14:val="standardContextual"/>
              </w:rPr>
              <w:tab/>
            </w:r>
            <w:r w:rsidR="008257AE" w:rsidRPr="005F27BD">
              <w:rPr>
                <w:rStyle w:val="Hipervnculo"/>
              </w:rPr>
              <w:t>CALIDAD DEL SERVICIO COMERCIAL</w:t>
            </w:r>
            <w:r w:rsidR="008257AE">
              <w:rPr>
                <w:webHidden/>
              </w:rPr>
              <w:tab/>
            </w:r>
            <w:r w:rsidR="008257AE">
              <w:rPr>
                <w:webHidden/>
              </w:rPr>
              <w:fldChar w:fldCharType="begin"/>
            </w:r>
            <w:r w:rsidR="008257AE">
              <w:rPr>
                <w:webHidden/>
              </w:rPr>
              <w:instrText xml:space="preserve"> PAGEREF _Toc164064369 \h </w:instrText>
            </w:r>
            <w:r w:rsidR="008257AE">
              <w:rPr>
                <w:webHidden/>
              </w:rPr>
            </w:r>
            <w:r w:rsidR="008257AE">
              <w:rPr>
                <w:webHidden/>
              </w:rPr>
              <w:fldChar w:fldCharType="separate"/>
            </w:r>
            <w:r w:rsidR="00625E8F">
              <w:rPr>
                <w:webHidden/>
              </w:rPr>
              <w:t>30</w:t>
            </w:r>
            <w:r w:rsidR="008257AE">
              <w:rPr>
                <w:webHidden/>
              </w:rPr>
              <w:fldChar w:fldCharType="end"/>
            </w:r>
          </w:hyperlink>
        </w:p>
        <w:p w14:paraId="38F200EA" w14:textId="75027205"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70" w:history="1">
            <w:r w:rsidR="008257AE" w:rsidRPr="005F27BD">
              <w:rPr>
                <w:rStyle w:val="Hipervnculo"/>
              </w:rPr>
              <w:t>3.1</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Indicadores de calidad del servicio</w:t>
            </w:r>
            <w:r w:rsidR="008257AE">
              <w:rPr>
                <w:webHidden/>
              </w:rPr>
              <w:tab/>
            </w:r>
            <w:r w:rsidR="008257AE">
              <w:rPr>
                <w:webHidden/>
              </w:rPr>
              <w:fldChar w:fldCharType="begin"/>
            </w:r>
            <w:r w:rsidR="008257AE">
              <w:rPr>
                <w:webHidden/>
              </w:rPr>
              <w:instrText xml:space="preserve"> PAGEREF _Toc164064370 \h </w:instrText>
            </w:r>
            <w:r w:rsidR="008257AE">
              <w:rPr>
                <w:webHidden/>
              </w:rPr>
            </w:r>
            <w:r w:rsidR="008257AE">
              <w:rPr>
                <w:webHidden/>
              </w:rPr>
              <w:fldChar w:fldCharType="separate"/>
            </w:r>
            <w:r w:rsidR="00625E8F">
              <w:rPr>
                <w:webHidden/>
              </w:rPr>
              <w:t>30</w:t>
            </w:r>
            <w:r w:rsidR="008257AE">
              <w:rPr>
                <w:webHidden/>
              </w:rPr>
              <w:fldChar w:fldCharType="end"/>
            </w:r>
          </w:hyperlink>
        </w:p>
        <w:p w14:paraId="3719E60D" w14:textId="31C1F4AC"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71" w:history="1">
            <w:r w:rsidR="008257AE" w:rsidRPr="005F27BD">
              <w:rPr>
                <w:rStyle w:val="Hipervnculo"/>
              </w:rPr>
              <w:t>3.1.1</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Cantidad de quejas</w:t>
            </w:r>
            <w:r w:rsidR="008257AE">
              <w:rPr>
                <w:webHidden/>
              </w:rPr>
              <w:tab/>
            </w:r>
            <w:r w:rsidR="008257AE">
              <w:rPr>
                <w:webHidden/>
              </w:rPr>
              <w:fldChar w:fldCharType="begin"/>
            </w:r>
            <w:r w:rsidR="008257AE">
              <w:rPr>
                <w:webHidden/>
              </w:rPr>
              <w:instrText xml:space="preserve"> PAGEREF _Toc164064371 \h </w:instrText>
            </w:r>
            <w:r w:rsidR="008257AE">
              <w:rPr>
                <w:webHidden/>
              </w:rPr>
            </w:r>
            <w:r w:rsidR="008257AE">
              <w:rPr>
                <w:webHidden/>
              </w:rPr>
              <w:fldChar w:fldCharType="separate"/>
            </w:r>
            <w:r w:rsidR="00625E8F">
              <w:rPr>
                <w:webHidden/>
              </w:rPr>
              <w:t>31</w:t>
            </w:r>
            <w:r w:rsidR="008257AE">
              <w:rPr>
                <w:webHidden/>
              </w:rPr>
              <w:fldChar w:fldCharType="end"/>
            </w:r>
          </w:hyperlink>
        </w:p>
        <w:p w14:paraId="779B60C7" w14:textId="006B0B8E"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72" w:history="1">
            <w:r w:rsidR="008257AE" w:rsidRPr="005F27BD">
              <w:rPr>
                <w:rStyle w:val="Hipervnculo"/>
              </w:rPr>
              <w:t>3.1.2</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Calidad en la respuesta a reclamaciones</w:t>
            </w:r>
            <w:r w:rsidR="008257AE">
              <w:rPr>
                <w:webHidden/>
              </w:rPr>
              <w:tab/>
            </w:r>
            <w:r w:rsidR="008257AE">
              <w:rPr>
                <w:webHidden/>
              </w:rPr>
              <w:fldChar w:fldCharType="begin"/>
            </w:r>
            <w:r w:rsidR="008257AE">
              <w:rPr>
                <w:webHidden/>
              </w:rPr>
              <w:instrText xml:space="preserve"> PAGEREF _Toc164064372 \h </w:instrText>
            </w:r>
            <w:r w:rsidR="008257AE">
              <w:rPr>
                <w:webHidden/>
              </w:rPr>
            </w:r>
            <w:r w:rsidR="008257AE">
              <w:rPr>
                <w:webHidden/>
              </w:rPr>
              <w:fldChar w:fldCharType="separate"/>
            </w:r>
            <w:r w:rsidR="00625E8F">
              <w:rPr>
                <w:webHidden/>
              </w:rPr>
              <w:t>31</w:t>
            </w:r>
            <w:r w:rsidR="008257AE">
              <w:rPr>
                <w:webHidden/>
              </w:rPr>
              <w:fldChar w:fldCharType="end"/>
            </w:r>
          </w:hyperlink>
        </w:p>
        <w:p w14:paraId="1EDCAD41" w14:textId="120D86E7"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73" w:history="1">
            <w:r w:rsidR="008257AE" w:rsidRPr="005F27BD">
              <w:rPr>
                <w:rStyle w:val="Hipervnculo"/>
              </w:rPr>
              <w:t>3.1.3</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Calidad en la atención de llamadas telefónicas</w:t>
            </w:r>
            <w:r w:rsidR="008257AE">
              <w:rPr>
                <w:webHidden/>
              </w:rPr>
              <w:tab/>
            </w:r>
            <w:r w:rsidR="008257AE">
              <w:rPr>
                <w:webHidden/>
              </w:rPr>
              <w:fldChar w:fldCharType="begin"/>
            </w:r>
            <w:r w:rsidR="008257AE">
              <w:rPr>
                <w:webHidden/>
              </w:rPr>
              <w:instrText xml:space="preserve"> PAGEREF _Toc164064373 \h </w:instrText>
            </w:r>
            <w:r w:rsidR="008257AE">
              <w:rPr>
                <w:webHidden/>
              </w:rPr>
            </w:r>
            <w:r w:rsidR="008257AE">
              <w:rPr>
                <w:webHidden/>
              </w:rPr>
              <w:fldChar w:fldCharType="separate"/>
            </w:r>
            <w:r w:rsidR="00625E8F">
              <w:rPr>
                <w:webHidden/>
              </w:rPr>
              <w:t>31</w:t>
            </w:r>
            <w:r w:rsidR="008257AE">
              <w:rPr>
                <w:webHidden/>
              </w:rPr>
              <w:fldChar w:fldCharType="end"/>
            </w:r>
          </w:hyperlink>
        </w:p>
        <w:p w14:paraId="12EF4CF0" w14:textId="24AC1E1E"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74" w:history="1">
            <w:r w:rsidR="008257AE" w:rsidRPr="005F27BD">
              <w:rPr>
                <w:rStyle w:val="Hipervnculo"/>
              </w:rPr>
              <w:t>3.1.4</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Gestión de abandono de llamada</w:t>
            </w:r>
            <w:r w:rsidR="008257AE">
              <w:rPr>
                <w:webHidden/>
              </w:rPr>
              <w:tab/>
            </w:r>
            <w:r w:rsidR="008257AE">
              <w:rPr>
                <w:webHidden/>
              </w:rPr>
              <w:fldChar w:fldCharType="begin"/>
            </w:r>
            <w:r w:rsidR="008257AE">
              <w:rPr>
                <w:webHidden/>
              </w:rPr>
              <w:instrText xml:space="preserve"> PAGEREF _Toc164064374 \h </w:instrText>
            </w:r>
            <w:r w:rsidR="008257AE">
              <w:rPr>
                <w:webHidden/>
              </w:rPr>
            </w:r>
            <w:r w:rsidR="008257AE">
              <w:rPr>
                <w:webHidden/>
              </w:rPr>
              <w:fldChar w:fldCharType="separate"/>
            </w:r>
            <w:r w:rsidR="00625E8F">
              <w:rPr>
                <w:webHidden/>
              </w:rPr>
              <w:t>31</w:t>
            </w:r>
            <w:r w:rsidR="008257AE">
              <w:rPr>
                <w:webHidden/>
              </w:rPr>
              <w:fldChar w:fldCharType="end"/>
            </w:r>
          </w:hyperlink>
        </w:p>
        <w:p w14:paraId="0167611E" w14:textId="41B48712"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75" w:history="1">
            <w:r w:rsidR="008257AE" w:rsidRPr="005F27BD">
              <w:rPr>
                <w:rStyle w:val="Hipervnculo"/>
              </w:rPr>
              <w:t>3.1.5</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Respuesta a medios electrónicos</w:t>
            </w:r>
            <w:r w:rsidR="008257AE">
              <w:rPr>
                <w:webHidden/>
              </w:rPr>
              <w:tab/>
            </w:r>
            <w:r w:rsidR="008257AE">
              <w:rPr>
                <w:webHidden/>
              </w:rPr>
              <w:fldChar w:fldCharType="begin"/>
            </w:r>
            <w:r w:rsidR="008257AE">
              <w:rPr>
                <w:webHidden/>
              </w:rPr>
              <w:instrText xml:space="preserve"> PAGEREF _Toc164064375 \h </w:instrText>
            </w:r>
            <w:r w:rsidR="008257AE">
              <w:rPr>
                <w:webHidden/>
              </w:rPr>
            </w:r>
            <w:r w:rsidR="008257AE">
              <w:rPr>
                <w:webHidden/>
              </w:rPr>
              <w:fldChar w:fldCharType="separate"/>
            </w:r>
            <w:r w:rsidR="00625E8F">
              <w:rPr>
                <w:webHidden/>
              </w:rPr>
              <w:t>31</w:t>
            </w:r>
            <w:r w:rsidR="008257AE">
              <w:rPr>
                <w:webHidden/>
              </w:rPr>
              <w:fldChar w:fldCharType="end"/>
            </w:r>
          </w:hyperlink>
        </w:p>
        <w:p w14:paraId="76056BC6" w14:textId="60883FCB"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76" w:history="1">
            <w:r w:rsidR="008257AE" w:rsidRPr="005F27BD">
              <w:rPr>
                <w:rStyle w:val="Hipervnculo"/>
              </w:rPr>
              <w:t>3.1.6</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Calidad de atención al cliente en medio digital</w:t>
            </w:r>
            <w:r w:rsidR="008257AE">
              <w:rPr>
                <w:webHidden/>
              </w:rPr>
              <w:tab/>
            </w:r>
            <w:r w:rsidR="008257AE">
              <w:rPr>
                <w:webHidden/>
              </w:rPr>
              <w:fldChar w:fldCharType="begin"/>
            </w:r>
            <w:r w:rsidR="008257AE">
              <w:rPr>
                <w:webHidden/>
              </w:rPr>
              <w:instrText xml:space="preserve"> PAGEREF _Toc164064376 \h </w:instrText>
            </w:r>
            <w:r w:rsidR="008257AE">
              <w:rPr>
                <w:webHidden/>
              </w:rPr>
              <w:fldChar w:fldCharType="separate"/>
            </w:r>
            <w:r w:rsidR="00625E8F">
              <w:rPr>
                <w:b/>
                <w:bCs/>
                <w:webHidden/>
                <w:lang w:val="es-ES"/>
              </w:rPr>
              <w:t>¡Error! Marcador no definido.</w:t>
            </w:r>
            <w:r w:rsidR="008257AE">
              <w:rPr>
                <w:webHidden/>
              </w:rPr>
              <w:fldChar w:fldCharType="end"/>
            </w:r>
          </w:hyperlink>
        </w:p>
        <w:p w14:paraId="49048DC1" w14:textId="4A78BE70" w:rsidR="008257AE" w:rsidRDefault="00000000">
          <w:pPr>
            <w:pStyle w:val="TDC3"/>
            <w:rPr>
              <w:rFonts w:asciiTheme="minorHAnsi" w:eastAsiaTheme="minorEastAsia" w:hAnsiTheme="minorHAnsi" w:cstheme="minorBidi"/>
              <w:kern w:val="2"/>
              <w:sz w:val="24"/>
              <w:szCs w:val="24"/>
              <w:lang w:eastAsia="es-CO"/>
              <w14:ligatures w14:val="standardContextual"/>
            </w:rPr>
          </w:pPr>
          <w:hyperlink w:anchor="_Toc164064377" w:history="1">
            <w:r w:rsidR="008257AE" w:rsidRPr="005F27BD">
              <w:rPr>
                <w:rStyle w:val="Hipervnculo"/>
              </w:rPr>
              <w:t>3.1.7</w:t>
            </w:r>
            <w:r w:rsidR="008257AE">
              <w:rPr>
                <w:rFonts w:asciiTheme="minorHAnsi" w:eastAsiaTheme="minorEastAsia" w:hAnsiTheme="minorHAnsi" w:cstheme="minorBidi"/>
                <w:kern w:val="2"/>
                <w:sz w:val="24"/>
                <w:szCs w:val="24"/>
                <w:lang w:eastAsia="es-CO"/>
                <w14:ligatures w14:val="standardContextual"/>
              </w:rPr>
              <w:tab/>
            </w:r>
            <w:r w:rsidR="008257AE" w:rsidRPr="005F27BD">
              <w:rPr>
                <w:rStyle w:val="Hipervnculo"/>
              </w:rPr>
              <w:t>Calidad de la facturación</w:t>
            </w:r>
            <w:r w:rsidR="008257AE">
              <w:rPr>
                <w:webHidden/>
              </w:rPr>
              <w:tab/>
            </w:r>
            <w:r w:rsidR="008257AE">
              <w:rPr>
                <w:webHidden/>
              </w:rPr>
              <w:fldChar w:fldCharType="begin"/>
            </w:r>
            <w:r w:rsidR="008257AE">
              <w:rPr>
                <w:webHidden/>
              </w:rPr>
              <w:instrText xml:space="preserve"> PAGEREF _Toc164064377 \h </w:instrText>
            </w:r>
            <w:r w:rsidR="008257AE">
              <w:rPr>
                <w:webHidden/>
              </w:rPr>
            </w:r>
            <w:r w:rsidR="008257AE">
              <w:rPr>
                <w:webHidden/>
              </w:rPr>
              <w:fldChar w:fldCharType="separate"/>
            </w:r>
            <w:r w:rsidR="00625E8F">
              <w:rPr>
                <w:webHidden/>
              </w:rPr>
              <w:t>32</w:t>
            </w:r>
            <w:r w:rsidR="008257AE">
              <w:rPr>
                <w:webHidden/>
              </w:rPr>
              <w:fldChar w:fldCharType="end"/>
            </w:r>
          </w:hyperlink>
        </w:p>
        <w:p w14:paraId="4EBF1009" w14:textId="39ADD898"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78" w:history="1">
            <w:r w:rsidR="008257AE" w:rsidRPr="005F27BD">
              <w:rPr>
                <w:rStyle w:val="Hipervnculo"/>
              </w:rPr>
              <w:t>3.2</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Responsabilidad por la calidad del servicio comercial y por la medición Y Reporte de indicadores.</w:t>
            </w:r>
            <w:r w:rsidR="008257AE">
              <w:rPr>
                <w:webHidden/>
              </w:rPr>
              <w:tab/>
            </w:r>
            <w:r w:rsidR="008257AE">
              <w:rPr>
                <w:webHidden/>
              </w:rPr>
              <w:fldChar w:fldCharType="begin"/>
            </w:r>
            <w:r w:rsidR="008257AE">
              <w:rPr>
                <w:webHidden/>
              </w:rPr>
              <w:instrText xml:space="preserve"> PAGEREF _Toc164064378 \h </w:instrText>
            </w:r>
            <w:r w:rsidR="008257AE">
              <w:rPr>
                <w:webHidden/>
              </w:rPr>
            </w:r>
            <w:r w:rsidR="008257AE">
              <w:rPr>
                <w:webHidden/>
              </w:rPr>
              <w:fldChar w:fldCharType="separate"/>
            </w:r>
            <w:r w:rsidR="00625E8F">
              <w:rPr>
                <w:webHidden/>
              </w:rPr>
              <w:t>33</w:t>
            </w:r>
            <w:r w:rsidR="008257AE">
              <w:rPr>
                <w:webHidden/>
              </w:rPr>
              <w:fldChar w:fldCharType="end"/>
            </w:r>
          </w:hyperlink>
        </w:p>
        <w:p w14:paraId="12D70AD4" w14:textId="141746CB"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79" w:history="1">
            <w:r w:rsidR="008257AE" w:rsidRPr="005F27BD">
              <w:rPr>
                <w:rStyle w:val="Hipervnculo"/>
              </w:rPr>
              <w:t>3.3</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Reporte de indicadores de calidad del servicio comercial</w:t>
            </w:r>
            <w:r w:rsidR="008257AE">
              <w:rPr>
                <w:webHidden/>
              </w:rPr>
              <w:tab/>
            </w:r>
            <w:r w:rsidR="008257AE">
              <w:rPr>
                <w:webHidden/>
              </w:rPr>
              <w:fldChar w:fldCharType="begin"/>
            </w:r>
            <w:r w:rsidR="008257AE">
              <w:rPr>
                <w:webHidden/>
              </w:rPr>
              <w:instrText xml:space="preserve"> PAGEREF _Toc164064379 \h </w:instrText>
            </w:r>
            <w:r w:rsidR="008257AE">
              <w:rPr>
                <w:webHidden/>
              </w:rPr>
              <w:fldChar w:fldCharType="separate"/>
            </w:r>
            <w:r w:rsidR="00625E8F">
              <w:rPr>
                <w:b/>
                <w:bCs w:val="0"/>
                <w:webHidden/>
                <w:lang w:val="es-ES"/>
              </w:rPr>
              <w:t>¡Error! Marcador no definido.</w:t>
            </w:r>
            <w:r w:rsidR="008257AE">
              <w:rPr>
                <w:webHidden/>
              </w:rPr>
              <w:fldChar w:fldCharType="end"/>
            </w:r>
          </w:hyperlink>
        </w:p>
        <w:p w14:paraId="5EC72D86" w14:textId="3841D055"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80" w:history="1">
            <w:r w:rsidR="008257AE" w:rsidRPr="005F27BD">
              <w:rPr>
                <w:rStyle w:val="Hipervnculo"/>
              </w:rPr>
              <w:t>3.4</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Limite de los indicadores</w:t>
            </w:r>
            <w:r w:rsidR="008257AE">
              <w:rPr>
                <w:webHidden/>
              </w:rPr>
              <w:tab/>
            </w:r>
            <w:r w:rsidR="008257AE">
              <w:rPr>
                <w:webHidden/>
              </w:rPr>
              <w:fldChar w:fldCharType="begin"/>
            </w:r>
            <w:r w:rsidR="008257AE">
              <w:rPr>
                <w:webHidden/>
              </w:rPr>
              <w:instrText xml:space="preserve"> PAGEREF _Toc164064380 \h </w:instrText>
            </w:r>
            <w:r w:rsidR="008257AE">
              <w:rPr>
                <w:webHidden/>
              </w:rPr>
              <w:fldChar w:fldCharType="separate"/>
            </w:r>
            <w:r w:rsidR="00625E8F">
              <w:rPr>
                <w:b/>
                <w:bCs w:val="0"/>
                <w:webHidden/>
                <w:lang w:val="es-ES"/>
              </w:rPr>
              <w:t>¡Error! Marcador no definido.</w:t>
            </w:r>
            <w:r w:rsidR="008257AE">
              <w:rPr>
                <w:webHidden/>
              </w:rPr>
              <w:fldChar w:fldCharType="end"/>
            </w:r>
          </w:hyperlink>
        </w:p>
        <w:p w14:paraId="1A2A4499" w14:textId="3119BC58" w:rsidR="008257AE" w:rsidRDefault="00000000">
          <w:pPr>
            <w:pStyle w:val="TDC2"/>
            <w:rPr>
              <w:rFonts w:asciiTheme="minorHAnsi" w:eastAsiaTheme="minorEastAsia" w:hAnsiTheme="minorHAnsi" w:cstheme="minorBidi"/>
              <w:bCs w:val="0"/>
              <w:caps w:val="0"/>
              <w:kern w:val="2"/>
              <w:sz w:val="24"/>
              <w:szCs w:val="24"/>
              <w:lang w:eastAsia="es-CO"/>
              <w14:ligatures w14:val="standardContextual"/>
            </w:rPr>
          </w:pPr>
          <w:hyperlink w:anchor="_Toc164064381" w:history="1">
            <w:r w:rsidR="008257AE" w:rsidRPr="005F27BD">
              <w:rPr>
                <w:rStyle w:val="Hipervnculo"/>
              </w:rPr>
              <w:t>3.5</w:t>
            </w:r>
            <w:r w:rsidR="008257AE">
              <w:rPr>
                <w:rFonts w:asciiTheme="minorHAnsi" w:eastAsiaTheme="minorEastAsia" w:hAnsiTheme="minorHAnsi" w:cstheme="minorBidi"/>
                <w:bCs w:val="0"/>
                <w:caps w:val="0"/>
                <w:kern w:val="2"/>
                <w:sz w:val="24"/>
                <w:szCs w:val="24"/>
                <w:lang w:eastAsia="es-CO"/>
                <w14:ligatures w14:val="standardContextual"/>
              </w:rPr>
              <w:tab/>
            </w:r>
            <w:r w:rsidR="008257AE" w:rsidRPr="005F27BD">
              <w:rPr>
                <w:rStyle w:val="Hipervnculo"/>
              </w:rPr>
              <w:t>Publicidad de los resultados de medición de indicadores de calidad comercial</w:t>
            </w:r>
            <w:r w:rsidR="008257AE">
              <w:rPr>
                <w:webHidden/>
              </w:rPr>
              <w:tab/>
            </w:r>
            <w:r w:rsidR="008257AE">
              <w:rPr>
                <w:webHidden/>
              </w:rPr>
              <w:fldChar w:fldCharType="begin"/>
            </w:r>
            <w:r w:rsidR="008257AE">
              <w:rPr>
                <w:webHidden/>
              </w:rPr>
              <w:instrText xml:space="preserve"> PAGEREF _Toc164064381 \h </w:instrText>
            </w:r>
            <w:r w:rsidR="008257AE">
              <w:rPr>
                <w:webHidden/>
              </w:rPr>
            </w:r>
            <w:r w:rsidR="008257AE">
              <w:rPr>
                <w:webHidden/>
              </w:rPr>
              <w:fldChar w:fldCharType="separate"/>
            </w:r>
            <w:r w:rsidR="00625E8F">
              <w:rPr>
                <w:webHidden/>
              </w:rPr>
              <w:t>33</w:t>
            </w:r>
            <w:r w:rsidR="008257AE">
              <w:rPr>
                <w:webHidden/>
              </w:rPr>
              <w:fldChar w:fldCharType="end"/>
            </w:r>
          </w:hyperlink>
        </w:p>
        <w:p w14:paraId="6BE57B88" w14:textId="62967008" w:rsidR="00193054" w:rsidRPr="004E6CFC" w:rsidRDefault="0014422A" w:rsidP="006178BD">
          <w:pPr>
            <w:pStyle w:val="TDC1"/>
            <w:tabs>
              <w:tab w:val="left" w:pos="1996"/>
            </w:tabs>
            <w:rPr>
              <w:b w:val="0"/>
            </w:rPr>
          </w:pPr>
          <w:r w:rsidRPr="004E6CFC">
            <w:rPr>
              <w:b w:val="0"/>
              <w:bCs/>
            </w:rPr>
            <w:fldChar w:fldCharType="end"/>
          </w:r>
        </w:p>
      </w:sdtContent>
    </w:sdt>
    <w:p w14:paraId="5DC0FC87" w14:textId="77777777" w:rsidR="00D8423C" w:rsidRPr="004E6CFC" w:rsidRDefault="00D8423C">
      <w:pPr>
        <w:spacing w:before="0" w:after="0"/>
        <w:jc w:val="left"/>
        <w:rPr>
          <w:b/>
        </w:rPr>
      </w:pPr>
      <w:r w:rsidRPr="004E6CFC">
        <w:rPr>
          <w:b/>
        </w:rPr>
        <w:br w:type="page"/>
      </w:r>
    </w:p>
    <w:p w14:paraId="4FA4A514" w14:textId="4335BABF" w:rsidR="00193054" w:rsidRPr="00DA7FDA" w:rsidRDefault="002063F9" w:rsidP="00E30B87">
      <w:pPr>
        <w:pStyle w:val="Ttulo1"/>
      </w:pPr>
      <w:bookmarkStart w:id="18" w:name="_Toc191987516"/>
      <w:bookmarkStart w:id="19" w:name="_Toc191987519"/>
      <w:bookmarkStart w:id="20" w:name="_Toc191987520"/>
      <w:bookmarkStart w:id="21" w:name="_Toc191987521"/>
      <w:bookmarkStart w:id="22" w:name="_Toc191987522"/>
      <w:bookmarkStart w:id="23" w:name="_Ref403641580"/>
      <w:bookmarkStart w:id="24" w:name="_Toc408493115"/>
      <w:bookmarkStart w:id="25" w:name="_Toc164064356"/>
      <w:bookmarkStart w:id="26" w:name="_Ref403033921"/>
      <w:bookmarkEnd w:id="0"/>
      <w:bookmarkEnd w:id="1"/>
      <w:bookmarkEnd w:id="2"/>
      <w:bookmarkEnd w:id="3"/>
      <w:bookmarkEnd w:id="4"/>
      <w:bookmarkEnd w:id="5"/>
      <w:bookmarkEnd w:id="6"/>
      <w:bookmarkEnd w:id="7"/>
      <w:bookmarkEnd w:id="8"/>
      <w:bookmarkEnd w:id="9"/>
      <w:bookmarkEnd w:id="18"/>
      <w:bookmarkEnd w:id="19"/>
      <w:bookmarkEnd w:id="20"/>
      <w:bookmarkEnd w:id="21"/>
      <w:bookmarkEnd w:id="22"/>
      <w:r w:rsidRPr="00DA7FDA">
        <w:rPr>
          <w:caps w:val="0"/>
        </w:rPr>
        <w:lastRenderedPageBreak/>
        <w:t>CÁLCULO DE C</w:t>
      </w:r>
      <w:r w:rsidR="00C8181C">
        <w:rPr>
          <w:caps w:val="0"/>
        </w:rPr>
        <w:t xml:space="preserve">OSTOS </w:t>
      </w:r>
      <w:bookmarkEnd w:id="23"/>
      <w:bookmarkEnd w:id="24"/>
      <w:r w:rsidR="006F3BD5">
        <w:rPr>
          <w:caps w:val="0"/>
        </w:rPr>
        <w:t>FIJOS</w:t>
      </w:r>
      <w:bookmarkEnd w:id="25"/>
    </w:p>
    <w:p w14:paraId="3927A1EE" w14:textId="0233EE6C" w:rsidR="0055136D" w:rsidRDefault="009563B7" w:rsidP="00F27066">
      <w:pPr>
        <w:pStyle w:val="Ttulo2"/>
      </w:pPr>
      <w:bookmarkStart w:id="27" w:name="_Ref141263845"/>
      <w:bookmarkStart w:id="28" w:name="_Toc164064357"/>
      <w:bookmarkStart w:id="29" w:name="_Ref128475755"/>
      <w:r>
        <w:t>Costo base de comercialización</w:t>
      </w:r>
      <w:bookmarkEnd w:id="27"/>
      <w:bookmarkEnd w:id="28"/>
    </w:p>
    <w:p w14:paraId="4F9A74EA" w14:textId="42DE643C" w:rsidR="004650DF" w:rsidRDefault="00186CED" w:rsidP="004650DF">
      <w:pPr>
        <w:rPr>
          <w:lang w:val="es-ES_tradnl"/>
        </w:rPr>
      </w:pPr>
      <w:r>
        <w:t xml:space="preserve">El costo base de comercialización </w:t>
      </w:r>
      <w:r w:rsidR="00F65EB4">
        <w:t xml:space="preserve">aprobado para cada mercado </w:t>
      </w:r>
      <w:r w:rsidR="00224EEF">
        <w:rPr>
          <w:lang w:val="es-ES_tradnl"/>
        </w:rPr>
        <w:t>será calculado de la siguiente manera</w:t>
      </w:r>
      <w:r w:rsidR="00540D70">
        <w:rPr>
          <w:lang w:val="es-ES_tradnl"/>
        </w:rPr>
        <w:t>:</w:t>
      </w:r>
    </w:p>
    <w:p w14:paraId="53A606E6" w14:textId="714C1279" w:rsidR="008264C3" w:rsidRPr="00B45BE6" w:rsidRDefault="00000000" w:rsidP="008264C3">
      <w:pPr>
        <w:rPr>
          <w:snapToGrid w:val="0"/>
          <w:lang w:val="es-ES_tradnl"/>
        </w:rPr>
      </w:pPr>
      <m:oMathPara>
        <m:oMath>
          <m:sSub>
            <m:sSubPr>
              <m:ctrlPr>
                <w:rPr>
                  <w:rFonts w:ascii="Cambria Math" w:hAnsi="Cambria Math"/>
                  <w:snapToGrid w:val="0"/>
                  <w:lang w:val="es-ES_tradnl"/>
                </w:rPr>
              </m:ctrlPr>
            </m:sSubPr>
            <m:e>
              <m:r>
                <w:rPr>
                  <w:rFonts w:ascii="Cambria Math" w:hAnsi="Cambria Math"/>
                  <w:snapToGrid w:val="0"/>
                  <w:lang w:val="es-ES_tradnl"/>
                </w:rPr>
                <m:t>Cf</m:t>
              </m:r>
            </m:e>
            <m:sub>
              <m:r>
                <w:rPr>
                  <w:rFonts w:ascii="Cambria Math" w:hAnsi="Cambria Math"/>
                  <w:snapToGrid w:val="0"/>
                  <w:lang w:val="es-ES_tradnl"/>
                </w:rPr>
                <m:t>j</m:t>
              </m:r>
              <m:r>
                <m:rPr>
                  <m:sty m:val="p"/>
                </m:rPr>
                <w:rPr>
                  <w:rFonts w:ascii="Cambria Math" w:hAnsi="Cambria Math"/>
                  <w:snapToGrid w:val="0"/>
                  <w:lang w:val="es-ES_tradnl"/>
                </w:rPr>
                <m:t>,</m:t>
              </m:r>
              <m:r>
                <w:rPr>
                  <w:rFonts w:ascii="Cambria Math" w:hAnsi="Cambria Math"/>
                  <w:snapToGrid w:val="0"/>
                  <w:lang w:val="es-ES_tradnl"/>
                </w:rPr>
                <m:t>t</m:t>
              </m:r>
            </m:sub>
          </m:sSub>
          <m:r>
            <m:rPr>
              <m:sty m:val="p"/>
            </m:rPr>
            <w:rPr>
              <w:rFonts w:ascii="Cambria Math" w:hAnsi="Cambria Math"/>
              <w:snapToGrid w:val="0"/>
              <w:lang w:val="es-ES_tradnl"/>
            </w:rPr>
            <m:t>=</m:t>
          </m:r>
          <m:f>
            <m:fPr>
              <m:ctrlPr>
                <w:rPr>
                  <w:rFonts w:ascii="Cambria Math" w:hAnsi="Cambria Math"/>
                  <w:snapToGrid w:val="0"/>
                  <w:lang w:val="es-ES_tradnl"/>
                </w:rPr>
              </m:ctrlPr>
            </m:fPr>
            <m:num>
              <m:sSub>
                <m:sSubPr>
                  <m:ctrlPr>
                    <w:rPr>
                      <w:rFonts w:ascii="Cambria Math" w:hAnsi="Cambria Math"/>
                      <w:snapToGrid w:val="0"/>
                      <w:lang w:val="es-ES_tradnl"/>
                    </w:rPr>
                  </m:ctrlPr>
                </m:sSubPr>
                <m:e>
                  <m:r>
                    <w:rPr>
                      <w:rFonts w:ascii="Cambria Math" w:hAnsi="Cambria Math"/>
                      <w:snapToGrid w:val="0"/>
                      <w:lang w:val="es-ES_tradnl"/>
                    </w:rPr>
                    <m:t>GC</m:t>
                  </m:r>
                </m:e>
                <m:sub>
                  <m:r>
                    <w:rPr>
                      <w:rFonts w:ascii="Cambria Math" w:hAnsi="Cambria Math"/>
                      <w:snapToGrid w:val="0"/>
                      <w:lang w:val="es-ES_tradnl"/>
                    </w:rPr>
                    <m:t>i,j</m:t>
                  </m:r>
                </m:sub>
              </m:sSub>
              <m:r>
                <w:rPr>
                  <w:rFonts w:ascii="Cambria Math" w:hAnsi="Cambria Math"/>
                  <w:snapToGrid w:val="0"/>
                  <w:lang w:val="es-ES_tradnl"/>
                </w:rPr>
                <m:t>+</m:t>
              </m:r>
              <m:sSub>
                <m:sSubPr>
                  <m:ctrlPr>
                    <w:rPr>
                      <w:rFonts w:ascii="Cambria Math" w:hAnsi="Cambria Math"/>
                      <w:i/>
                      <w:snapToGrid w:val="0"/>
                      <w:lang w:val="es-ES_tradnl"/>
                    </w:rPr>
                  </m:ctrlPr>
                </m:sSubPr>
                <m:e>
                  <m:r>
                    <w:rPr>
                      <w:rFonts w:ascii="Cambria Math" w:hAnsi="Cambria Math"/>
                      <w:snapToGrid w:val="0"/>
                      <w:lang w:val="es-ES_tradnl"/>
                    </w:rPr>
                    <m:t>CL</m:t>
                  </m:r>
                </m:e>
                <m:sub>
                  <m:r>
                    <w:rPr>
                      <w:rFonts w:ascii="Cambria Math" w:hAnsi="Cambria Math"/>
                      <w:snapToGrid w:val="0"/>
                      <w:lang w:val="es-ES_tradnl"/>
                    </w:rPr>
                    <m:t>ij</m:t>
                  </m:r>
                </m:sub>
              </m:sSub>
            </m:num>
            <m:den>
              <m:sSub>
                <m:sSubPr>
                  <m:ctrlPr>
                    <w:rPr>
                      <w:rFonts w:ascii="Cambria Math" w:hAnsi="Cambria Math"/>
                      <w:snapToGrid w:val="0"/>
                      <w:lang w:val="es-ES_tradnl"/>
                    </w:rPr>
                  </m:ctrlPr>
                </m:sSubPr>
                <m:e>
                  <m:r>
                    <w:rPr>
                      <w:rFonts w:ascii="Cambria Math" w:hAnsi="Cambria Math"/>
                      <w:snapToGrid w:val="0"/>
                      <w:lang w:val="es-ES_tradnl"/>
                    </w:rPr>
                    <m:t>Fact</m:t>
                  </m:r>
                </m:e>
                <m:sub>
                  <m:r>
                    <w:rPr>
                      <w:rFonts w:ascii="Cambria Math" w:hAnsi="Cambria Math"/>
                      <w:snapToGrid w:val="0"/>
                      <w:lang w:val="es-ES_tradnl"/>
                    </w:rPr>
                    <m:t>i,j</m:t>
                  </m:r>
                </m:sub>
              </m:sSub>
            </m:den>
          </m:f>
          <m:r>
            <w:rPr>
              <w:rFonts w:ascii="Cambria Math" w:hAnsi="Cambria Math"/>
              <w:snapToGrid w:val="0"/>
              <w:lang w:val="es-ES_tradnl"/>
            </w:rPr>
            <m:t>*</m:t>
          </m:r>
          <m:sSub>
            <m:sSubPr>
              <m:ctrlPr>
                <w:rPr>
                  <w:rFonts w:ascii="Cambria Math" w:hAnsi="Cambria Math"/>
                  <w:i/>
                  <w:snapToGrid w:val="0"/>
                  <w:lang w:val="es-ES_tradnl"/>
                </w:rPr>
              </m:ctrlPr>
            </m:sSubPr>
            <m:e>
              <m:r>
                <w:rPr>
                  <w:rFonts w:ascii="Cambria Math" w:hAnsi="Cambria Math"/>
                  <w:snapToGrid w:val="0"/>
                  <w:lang w:val="es-ES_tradnl"/>
                </w:rPr>
                <m:t>η</m:t>
              </m:r>
            </m:e>
            <m:sub>
              <m:r>
                <w:rPr>
                  <w:rFonts w:ascii="Cambria Math" w:hAnsi="Cambria Math"/>
                  <w:snapToGrid w:val="0"/>
                  <w:lang w:val="es-ES_tradnl"/>
                </w:rPr>
                <m:t>j,t</m:t>
              </m:r>
            </m:sub>
          </m:sSub>
        </m:oMath>
      </m:oMathPara>
    </w:p>
    <w:p w14:paraId="70C7D97C" w14:textId="77777777" w:rsidR="008264C3" w:rsidRPr="00A02DDF" w:rsidRDefault="008264C3" w:rsidP="008264C3">
      <w:r w:rsidRPr="00A02DDF">
        <w:t>Donde:</w:t>
      </w:r>
    </w:p>
    <w:p w14:paraId="3DEF67A1" w14:textId="21ABDD21" w:rsidR="008264C3" w:rsidRDefault="008264C3" w:rsidP="008264C3">
      <w:pPr>
        <w:ind w:left="1418" w:right="45" w:hanging="1418"/>
        <w:rPr>
          <w:rFonts w:cs="Arial"/>
        </w:rPr>
      </w:pPr>
      <w:proofErr w:type="spellStart"/>
      <w:proofErr w:type="gramStart"/>
      <w:r w:rsidRPr="00695418">
        <w:rPr>
          <w:rFonts w:cs="Arial"/>
          <w:i/>
        </w:rPr>
        <w:t>Cf</w:t>
      </w:r>
      <w:r w:rsidRPr="00695418">
        <w:rPr>
          <w:rFonts w:cs="Arial"/>
          <w:i/>
          <w:vertAlign w:val="subscript"/>
        </w:rPr>
        <w:t>j</w:t>
      </w:r>
      <w:r>
        <w:rPr>
          <w:rFonts w:cs="Arial"/>
          <w:i/>
          <w:vertAlign w:val="subscript"/>
        </w:rPr>
        <w:t>,t</w:t>
      </w:r>
      <w:proofErr w:type="spellEnd"/>
      <w:proofErr w:type="gramEnd"/>
      <w:r>
        <w:rPr>
          <w:rFonts w:cs="Arial"/>
          <w:vertAlign w:val="subscript"/>
        </w:rPr>
        <w:t>:</w:t>
      </w:r>
      <w:r>
        <w:rPr>
          <w:rFonts w:cs="Arial"/>
          <w:vertAlign w:val="subscript"/>
        </w:rPr>
        <w:tab/>
      </w:r>
      <w:r w:rsidRPr="007D1D8B">
        <w:rPr>
          <w:rFonts w:cs="Arial"/>
        </w:rPr>
        <w:t xml:space="preserve">Costo base de comercialización del mercado de comercialización </w:t>
      </w:r>
      <w:r w:rsidRPr="007D1D8B">
        <w:rPr>
          <w:rFonts w:cs="Arial"/>
          <w:i/>
        </w:rPr>
        <w:t>j</w:t>
      </w:r>
      <w:r w:rsidRPr="007D1D8B">
        <w:rPr>
          <w:rFonts w:cs="Arial"/>
        </w:rPr>
        <w:t xml:space="preserve">, para el año </w:t>
      </w:r>
      <w:r w:rsidRPr="007D1D8B">
        <w:rPr>
          <w:rFonts w:cs="Arial"/>
          <w:i/>
        </w:rPr>
        <w:t>t</w:t>
      </w:r>
      <w:r w:rsidRPr="007D1D8B">
        <w:rPr>
          <w:rFonts w:cs="Arial"/>
        </w:rPr>
        <w:t xml:space="preserve">, expresado en pesos por factura de diciembre </w:t>
      </w:r>
      <w:r w:rsidR="00CC6349" w:rsidRPr="000A29D6">
        <w:rPr>
          <w:rFonts w:cs="Arial"/>
        </w:rPr>
        <w:t>de</w:t>
      </w:r>
      <w:r w:rsidR="00CC6349">
        <w:rPr>
          <w:rFonts w:cs="Arial"/>
        </w:rPr>
        <w:t>l año anterior a</w:t>
      </w:r>
      <w:r w:rsidR="00372C54">
        <w:rPr>
          <w:rFonts w:cs="Arial"/>
        </w:rPr>
        <w:t xml:space="preserve"> la</w:t>
      </w:r>
      <w:r w:rsidR="00CC6349">
        <w:rPr>
          <w:rFonts w:cs="Arial"/>
        </w:rPr>
        <w:t xml:space="preserve"> expedición de esta Resolución</w:t>
      </w:r>
      <w:r w:rsidRPr="007D1D8B">
        <w:rPr>
          <w:rFonts w:cs="Arial"/>
        </w:rPr>
        <w:t>.</w:t>
      </w:r>
    </w:p>
    <w:p w14:paraId="7964B124" w14:textId="6B9E8418" w:rsidR="00F25F64" w:rsidRPr="00F25F64" w:rsidRDefault="00F25F64" w:rsidP="008264C3">
      <w:pPr>
        <w:ind w:left="1418" w:right="45" w:hanging="1418"/>
        <w:rPr>
          <w:rFonts w:cs="Arial"/>
          <w:iCs/>
        </w:rPr>
      </w:pPr>
      <w:r>
        <w:rPr>
          <w:rFonts w:cs="Arial"/>
          <w:i/>
        </w:rPr>
        <w:tab/>
      </w:r>
      <w:r>
        <w:rPr>
          <w:rFonts w:cs="Arial"/>
          <w:iCs/>
        </w:rPr>
        <w:t xml:space="preserve">Para los comercializadores que no cuenten con </w:t>
      </w:r>
      <w:r w:rsidR="009147B7">
        <w:rPr>
          <w:rFonts w:cs="Arial"/>
          <w:iCs/>
        </w:rPr>
        <w:t xml:space="preserve">la </w:t>
      </w:r>
      <w:r>
        <w:rPr>
          <w:rFonts w:cs="Arial"/>
          <w:iCs/>
        </w:rPr>
        <w:t>información para el c</w:t>
      </w:r>
      <w:r w:rsidR="00023E52">
        <w:rPr>
          <w:rFonts w:cs="Arial"/>
          <w:iCs/>
        </w:rPr>
        <w:t>á</w:t>
      </w:r>
      <w:r>
        <w:rPr>
          <w:rFonts w:cs="Arial"/>
          <w:iCs/>
        </w:rPr>
        <w:t>lculo del costo base de comercialización,</w:t>
      </w:r>
      <w:r w:rsidR="001F6526">
        <w:rPr>
          <w:rFonts w:cs="Arial"/>
          <w:iCs/>
        </w:rPr>
        <w:t xml:space="preserve"> o que esta información </w:t>
      </w:r>
      <w:r w:rsidR="006C1563">
        <w:rPr>
          <w:rFonts w:cs="Arial"/>
          <w:iCs/>
        </w:rPr>
        <w:t>se considere</w:t>
      </w:r>
      <w:r w:rsidR="006C128A">
        <w:rPr>
          <w:rFonts w:cs="Arial"/>
          <w:iCs/>
        </w:rPr>
        <w:t xml:space="preserve"> un </w:t>
      </w:r>
      <w:r w:rsidR="00FE6D08">
        <w:rPr>
          <w:rFonts w:cs="Arial"/>
          <w:iCs/>
        </w:rPr>
        <w:t>v</w:t>
      </w:r>
      <w:r w:rsidR="00FE6D08" w:rsidRPr="00FE6D08">
        <w:rPr>
          <w:rFonts w:cs="Arial"/>
          <w:iCs/>
        </w:rPr>
        <w:t xml:space="preserve">alor(es) </w:t>
      </w:r>
      <w:r w:rsidR="006C1563">
        <w:rPr>
          <w:rFonts w:cs="Arial"/>
          <w:iCs/>
        </w:rPr>
        <w:t>a</w:t>
      </w:r>
      <w:r w:rsidR="00FE6D08" w:rsidRPr="00FE6D08">
        <w:rPr>
          <w:rFonts w:cs="Arial"/>
          <w:iCs/>
        </w:rPr>
        <w:t>típico(s)</w:t>
      </w:r>
      <w:r w:rsidR="006C1563">
        <w:rPr>
          <w:rFonts w:cs="Arial"/>
          <w:iCs/>
        </w:rPr>
        <w:t xml:space="preserve"> </w:t>
      </w:r>
      <w:r w:rsidR="006C128A">
        <w:rPr>
          <w:rFonts w:cs="Arial"/>
          <w:iCs/>
        </w:rPr>
        <w:t>con respecto a su histórico</w:t>
      </w:r>
      <w:r w:rsidR="000739DA">
        <w:rPr>
          <w:rFonts w:cs="Arial"/>
          <w:iCs/>
        </w:rPr>
        <w:t xml:space="preserve"> o la de otros comercializadores</w:t>
      </w:r>
      <w:r w:rsidR="001F6526">
        <w:rPr>
          <w:rFonts w:cs="Arial"/>
          <w:iCs/>
        </w:rPr>
        <w:t>,</w:t>
      </w:r>
      <w:r w:rsidR="008C293A">
        <w:rPr>
          <w:rFonts w:cs="Arial"/>
          <w:iCs/>
        </w:rPr>
        <w:t xml:space="preserve"> el costo base de comercialización </w:t>
      </w:r>
      <w:r w:rsidR="00023E52">
        <w:rPr>
          <w:rFonts w:cs="Arial"/>
          <w:iCs/>
        </w:rPr>
        <w:t>será igual al 90% del meno</w:t>
      </w:r>
      <w:r w:rsidR="00AE2EE3">
        <w:rPr>
          <w:rFonts w:cs="Arial"/>
          <w:iCs/>
        </w:rPr>
        <w:t>r</w:t>
      </w:r>
      <w:r w:rsidR="00023E52">
        <w:rPr>
          <w:rFonts w:cs="Arial"/>
          <w:iCs/>
        </w:rPr>
        <w:t xml:space="preserve"> costo base de comercialización calculado con esta </w:t>
      </w:r>
      <w:r w:rsidR="00DA17AF">
        <w:rPr>
          <w:rFonts w:cs="Arial"/>
          <w:iCs/>
        </w:rPr>
        <w:t>metodología</w:t>
      </w:r>
      <w:r w:rsidR="00023E52">
        <w:rPr>
          <w:rFonts w:cs="Arial"/>
          <w:iCs/>
        </w:rPr>
        <w:t xml:space="preserve">. </w:t>
      </w:r>
    </w:p>
    <w:p w14:paraId="24674F73" w14:textId="6BCD4479" w:rsidR="008264C3" w:rsidRDefault="008264C3" w:rsidP="008264C3">
      <w:pPr>
        <w:ind w:left="1418" w:right="45" w:hanging="1418"/>
        <w:rPr>
          <w:rFonts w:cs="Arial"/>
        </w:rPr>
      </w:pPr>
      <w:proofErr w:type="spellStart"/>
      <w:proofErr w:type="gramStart"/>
      <w:r w:rsidRPr="007D1D8B">
        <w:rPr>
          <w:rFonts w:cs="Arial"/>
          <w:i/>
        </w:rPr>
        <w:t>GC</w:t>
      </w:r>
      <w:r w:rsidR="009D5D0F" w:rsidRPr="007D1D8B">
        <w:rPr>
          <w:rFonts w:cs="Arial"/>
          <w:i/>
          <w:vertAlign w:val="subscript"/>
        </w:rPr>
        <w:t>i,</w:t>
      </w:r>
      <w:r w:rsidR="009E6A28" w:rsidRPr="007D1D8B">
        <w:rPr>
          <w:rFonts w:cs="Arial"/>
          <w:i/>
          <w:vertAlign w:val="subscript"/>
        </w:rPr>
        <w:t>j</w:t>
      </w:r>
      <w:proofErr w:type="spellEnd"/>
      <w:proofErr w:type="gramEnd"/>
      <w:r w:rsidRPr="007D1D8B">
        <w:rPr>
          <w:rFonts w:cs="Arial"/>
        </w:rPr>
        <w:t>:</w:t>
      </w:r>
      <w:r w:rsidRPr="007D1D8B">
        <w:rPr>
          <w:rFonts w:cs="Arial"/>
        </w:rPr>
        <w:tab/>
        <w:t>Gastos reconocidos</w:t>
      </w:r>
      <w:r>
        <w:rPr>
          <w:rFonts w:cs="Arial"/>
        </w:rPr>
        <w:t xml:space="preserve"> </w:t>
      </w:r>
      <w:r w:rsidRPr="00EF0CAF">
        <w:rPr>
          <w:rFonts w:cs="Arial"/>
        </w:rPr>
        <w:t>en la actividad</w:t>
      </w:r>
      <w:r>
        <w:rPr>
          <w:rFonts w:cs="Arial"/>
        </w:rPr>
        <w:t xml:space="preserve"> </w:t>
      </w:r>
      <w:r w:rsidRPr="00EF0CAF">
        <w:rPr>
          <w:rFonts w:cs="Arial"/>
        </w:rPr>
        <w:t xml:space="preserve">de comercialización </w:t>
      </w:r>
      <w:r>
        <w:rPr>
          <w:rFonts w:cs="Arial"/>
          <w:lang w:eastAsia="es-CO"/>
        </w:rPr>
        <w:t xml:space="preserve">del comercializador </w:t>
      </w:r>
      <w:r w:rsidR="009D5D0F" w:rsidRPr="009D5D0F">
        <w:rPr>
          <w:rFonts w:cs="Arial"/>
          <w:i/>
          <w:iCs/>
          <w:lang w:eastAsia="es-CO"/>
        </w:rPr>
        <w:t>i</w:t>
      </w:r>
      <w:r w:rsidR="009D5D0F">
        <w:rPr>
          <w:rFonts w:cs="Arial"/>
          <w:lang w:eastAsia="es-CO"/>
        </w:rPr>
        <w:t xml:space="preserve"> </w:t>
      </w:r>
      <w:r>
        <w:rPr>
          <w:rFonts w:cs="Arial"/>
          <w:lang w:eastAsia="es-CO"/>
        </w:rPr>
        <w:t>integrado al OR que sirve el mercado de comercialización</w:t>
      </w:r>
      <w:r>
        <w:rPr>
          <w:rFonts w:cs="Arial"/>
        </w:rPr>
        <w:t xml:space="preserve"> </w:t>
      </w:r>
      <w:r w:rsidRPr="00695418">
        <w:rPr>
          <w:rFonts w:cs="Arial"/>
          <w:i/>
        </w:rPr>
        <w:t>j</w:t>
      </w:r>
      <w:r w:rsidR="003E259A" w:rsidRPr="003E259A">
        <w:rPr>
          <w:rFonts w:cs="Arial"/>
          <w:iCs/>
        </w:rPr>
        <w:t>,</w:t>
      </w:r>
      <w:r w:rsidR="00C23854">
        <w:rPr>
          <w:rFonts w:cs="Arial"/>
        </w:rPr>
        <w:t xml:space="preserve"> </w:t>
      </w:r>
      <w:r w:rsidR="00C23854" w:rsidRPr="00081B40">
        <w:rPr>
          <w:rFonts w:cs="Arial"/>
          <w:lang w:eastAsia="es-CO"/>
        </w:rPr>
        <w:t xml:space="preserve">calculado de acuerdo con lo establecido </w:t>
      </w:r>
      <w:r w:rsidR="00C23854" w:rsidRPr="00A22C5F">
        <w:rPr>
          <w:rFonts w:cs="Arial"/>
        </w:rPr>
        <w:t xml:space="preserve">en el </w:t>
      </w:r>
      <w:r w:rsidR="00C23854">
        <w:rPr>
          <w:rFonts w:cs="Arial"/>
        </w:rPr>
        <w:t xml:space="preserve">numeral </w:t>
      </w:r>
      <w:r w:rsidR="009F118C">
        <w:rPr>
          <w:rFonts w:cs="Arial"/>
        </w:rPr>
        <w:fldChar w:fldCharType="begin"/>
      </w:r>
      <w:r w:rsidR="009F118C">
        <w:rPr>
          <w:rFonts w:cs="Arial"/>
        </w:rPr>
        <w:instrText xml:space="preserve"> REF _Ref134699424 \r \h </w:instrText>
      </w:r>
      <w:r w:rsidR="009F118C">
        <w:rPr>
          <w:rFonts w:cs="Arial"/>
        </w:rPr>
      </w:r>
      <w:r w:rsidR="009F118C">
        <w:rPr>
          <w:rFonts w:cs="Arial"/>
        </w:rPr>
        <w:fldChar w:fldCharType="separate"/>
      </w:r>
      <w:r w:rsidR="00625E8F">
        <w:rPr>
          <w:rFonts w:cs="Arial"/>
        </w:rPr>
        <w:t>1.1.1</w:t>
      </w:r>
      <w:r w:rsidR="009F118C">
        <w:rPr>
          <w:rFonts w:cs="Arial"/>
        </w:rPr>
        <w:fldChar w:fldCharType="end"/>
      </w:r>
      <w:r w:rsidR="00C23854" w:rsidRPr="00B5484E">
        <w:rPr>
          <w:rFonts w:cs="Arial"/>
        </w:rPr>
        <w:t>.</w:t>
      </w:r>
    </w:p>
    <w:p w14:paraId="1B05DEAC" w14:textId="1893BBFB" w:rsidR="007E29D6" w:rsidRDefault="00C42B6C" w:rsidP="001D453B">
      <w:pPr>
        <w:ind w:left="1418" w:right="45" w:hanging="1418"/>
        <w:rPr>
          <w:rFonts w:cs="Arial"/>
        </w:rPr>
      </w:pPr>
      <w:proofErr w:type="spellStart"/>
      <w:proofErr w:type="gramStart"/>
      <w:r>
        <w:rPr>
          <w:rFonts w:cs="Arial"/>
          <w:i/>
        </w:rPr>
        <w:t>CL</w:t>
      </w:r>
      <w:r w:rsidR="001D453B" w:rsidRPr="007D1D8B">
        <w:rPr>
          <w:rFonts w:cs="Arial"/>
          <w:i/>
          <w:vertAlign w:val="subscript"/>
        </w:rPr>
        <w:t>i,j</w:t>
      </w:r>
      <w:proofErr w:type="spellEnd"/>
      <w:proofErr w:type="gramEnd"/>
      <w:r w:rsidR="001D453B" w:rsidRPr="007D1D8B">
        <w:rPr>
          <w:rFonts w:cs="Arial"/>
        </w:rPr>
        <w:t>:</w:t>
      </w:r>
      <w:r w:rsidR="001D453B" w:rsidRPr="007D1D8B">
        <w:rPr>
          <w:rFonts w:cs="Arial"/>
        </w:rPr>
        <w:tab/>
        <w:t>Gastos reconocidos</w:t>
      </w:r>
      <w:r w:rsidR="001D453B">
        <w:rPr>
          <w:rFonts w:cs="Arial"/>
        </w:rPr>
        <w:t xml:space="preserve"> </w:t>
      </w:r>
      <w:r w:rsidR="001D453B" w:rsidRPr="00EF0CAF">
        <w:rPr>
          <w:rFonts w:cs="Arial"/>
        </w:rPr>
        <w:t>en la actividad</w:t>
      </w:r>
      <w:r w:rsidR="001D453B">
        <w:rPr>
          <w:rFonts w:cs="Arial"/>
        </w:rPr>
        <w:t xml:space="preserve"> </w:t>
      </w:r>
      <w:r w:rsidR="001D453B" w:rsidRPr="00EF0CAF">
        <w:rPr>
          <w:rFonts w:cs="Arial"/>
        </w:rPr>
        <w:t xml:space="preserve">de comercialización </w:t>
      </w:r>
      <w:r w:rsidR="001D453B">
        <w:rPr>
          <w:rFonts w:cs="Arial"/>
          <w:lang w:eastAsia="es-CO"/>
        </w:rPr>
        <w:t xml:space="preserve">del comercializador </w:t>
      </w:r>
      <w:r w:rsidR="001D453B" w:rsidRPr="009D5D0F">
        <w:rPr>
          <w:rFonts w:cs="Arial"/>
          <w:i/>
          <w:iCs/>
          <w:lang w:eastAsia="es-CO"/>
        </w:rPr>
        <w:t>i</w:t>
      </w:r>
      <w:r w:rsidR="001D453B">
        <w:rPr>
          <w:rFonts w:cs="Arial"/>
          <w:lang w:eastAsia="es-CO"/>
        </w:rPr>
        <w:t xml:space="preserve"> integrado al OR que sirve el mercado de comercialización</w:t>
      </w:r>
      <w:r w:rsidR="001D453B">
        <w:rPr>
          <w:rFonts w:cs="Arial"/>
        </w:rPr>
        <w:t xml:space="preserve"> </w:t>
      </w:r>
      <w:r w:rsidR="001D453B" w:rsidRPr="00695418">
        <w:rPr>
          <w:rFonts w:cs="Arial"/>
          <w:i/>
        </w:rPr>
        <w:t>j</w:t>
      </w:r>
      <w:r w:rsidR="001D453B" w:rsidRPr="003E259A">
        <w:rPr>
          <w:rFonts w:cs="Arial"/>
          <w:iCs/>
        </w:rPr>
        <w:t>,</w:t>
      </w:r>
      <w:r w:rsidR="001D453B">
        <w:rPr>
          <w:rFonts w:cs="Arial"/>
        </w:rPr>
        <w:t xml:space="preserve"> </w:t>
      </w:r>
      <w:r w:rsidR="007F78FE">
        <w:rPr>
          <w:rFonts w:cs="Arial"/>
        </w:rPr>
        <w:t xml:space="preserve">en el </w:t>
      </w:r>
      <w:r w:rsidR="00E749DE">
        <w:rPr>
          <w:rFonts w:cs="Arial"/>
        </w:rPr>
        <w:t xml:space="preserve">valor del </w:t>
      </w:r>
      <w:r w:rsidRPr="00C42B6C">
        <w:rPr>
          <w:rFonts w:cs="Arial"/>
        </w:rPr>
        <w:t>concepto</w:t>
      </w:r>
      <w:r w:rsidR="00FF170A">
        <w:rPr>
          <w:rFonts w:cs="Arial"/>
        </w:rPr>
        <w:t xml:space="preserve"> ICR</w:t>
      </w:r>
      <w:r w:rsidRPr="00C42B6C">
        <w:rPr>
          <w:rFonts w:cs="Arial"/>
        </w:rPr>
        <w:t xml:space="preserve"> 02150300 relacionado con la toma de lectura</w:t>
      </w:r>
      <w:r w:rsidR="007E29D6">
        <w:rPr>
          <w:rFonts w:cs="Arial"/>
        </w:rPr>
        <w:t>.</w:t>
      </w:r>
    </w:p>
    <w:p w14:paraId="5EE1E01D" w14:textId="62B15018" w:rsidR="001D453B" w:rsidRDefault="00AC1155" w:rsidP="00AC1155">
      <w:pPr>
        <w:ind w:left="1418" w:right="45"/>
        <w:rPr>
          <w:rFonts w:cs="Arial"/>
        </w:rPr>
      </w:pPr>
      <w:r w:rsidRPr="00655A35">
        <w:rPr>
          <w:rFonts w:cs="Arial"/>
        </w:rPr>
        <w:t xml:space="preserve">El valor de </w:t>
      </w:r>
      <w:proofErr w:type="spellStart"/>
      <w:proofErr w:type="gramStart"/>
      <w:r w:rsidRPr="00E84A12">
        <w:rPr>
          <w:rFonts w:cs="Arial"/>
          <w:i/>
          <w:iCs/>
        </w:rPr>
        <w:t>CL</w:t>
      </w:r>
      <w:r w:rsidRPr="00A87F95">
        <w:rPr>
          <w:rFonts w:cs="Arial"/>
          <w:i/>
          <w:iCs/>
          <w:vertAlign w:val="subscript"/>
        </w:rPr>
        <w:t>i,j</w:t>
      </w:r>
      <w:proofErr w:type="spellEnd"/>
      <w:proofErr w:type="gramEnd"/>
      <w:r w:rsidRPr="00A87F95">
        <w:rPr>
          <w:rFonts w:cs="Arial"/>
          <w:i/>
          <w:iCs/>
          <w:vertAlign w:val="subscript"/>
        </w:rPr>
        <w:t xml:space="preserve"> </w:t>
      </w:r>
      <w:r>
        <w:rPr>
          <w:rFonts w:cs="Arial"/>
        </w:rPr>
        <w:t xml:space="preserve"> será </w:t>
      </w:r>
      <w:r w:rsidR="00670159">
        <w:rPr>
          <w:rFonts w:cs="Arial"/>
        </w:rPr>
        <w:t>cer</w:t>
      </w:r>
      <w:r w:rsidR="00155504">
        <w:rPr>
          <w:rFonts w:cs="Arial"/>
        </w:rPr>
        <w:t>o</w:t>
      </w:r>
      <w:r w:rsidR="00655A35">
        <w:rPr>
          <w:rFonts w:cs="Arial"/>
        </w:rPr>
        <w:t xml:space="preserve"> una vez se aprueben </w:t>
      </w:r>
      <w:r w:rsidR="00155504">
        <w:rPr>
          <w:rFonts w:cs="Arial"/>
        </w:rPr>
        <w:t xml:space="preserve">los planes de implementación </w:t>
      </w:r>
      <w:r w:rsidR="00655A35">
        <w:rPr>
          <w:rFonts w:cs="Arial"/>
        </w:rPr>
        <w:t xml:space="preserve">de </w:t>
      </w:r>
      <w:r w:rsidR="004B4378">
        <w:rPr>
          <w:rFonts w:cs="Arial"/>
        </w:rPr>
        <w:t xml:space="preserve">la Infraestructura de Medición Avanzada, </w:t>
      </w:r>
      <w:r w:rsidR="00CB72CC">
        <w:rPr>
          <w:rFonts w:cs="Arial"/>
        </w:rPr>
        <w:t>AMI previstos e</w:t>
      </w:r>
      <w:r w:rsidR="00D06A75">
        <w:rPr>
          <w:rFonts w:cs="Arial"/>
        </w:rPr>
        <w:t xml:space="preserve">n la </w:t>
      </w:r>
      <w:r w:rsidR="00C42B6C" w:rsidRPr="00C42B6C">
        <w:rPr>
          <w:rFonts w:cs="Arial"/>
        </w:rPr>
        <w:t>Resolución CREG 101 001 de 2022</w:t>
      </w:r>
      <w:r w:rsidR="00D06A75">
        <w:rPr>
          <w:rFonts w:cs="Arial"/>
        </w:rPr>
        <w:t xml:space="preserve">, o </w:t>
      </w:r>
      <w:r w:rsidR="004B521F">
        <w:rPr>
          <w:rFonts w:cs="Arial"/>
        </w:rPr>
        <w:t>aquellas que la modifiquen</w:t>
      </w:r>
      <w:r w:rsidR="00450FB1">
        <w:rPr>
          <w:rFonts w:cs="Arial"/>
        </w:rPr>
        <w:t>, complementen</w:t>
      </w:r>
      <w:r w:rsidR="004B521F">
        <w:rPr>
          <w:rFonts w:cs="Arial"/>
        </w:rPr>
        <w:t xml:space="preserve"> o sustituyan</w:t>
      </w:r>
      <w:r w:rsidR="00C42B6C" w:rsidRPr="00C42B6C">
        <w:rPr>
          <w:rFonts w:cs="Arial"/>
        </w:rPr>
        <w:t>.</w:t>
      </w:r>
    </w:p>
    <w:p w14:paraId="1173D4FC" w14:textId="7E570573" w:rsidR="00871AF4" w:rsidRDefault="008264C3" w:rsidP="00871AF4">
      <w:pPr>
        <w:ind w:left="1418" w:right="45" w:hanging="1418"/>
        <w:rPr>
          <w:rFonts w:cs="Arial"/>
        </w:rPr>
      </w:pPr>
      <w:proofErr w:type="spellStart"/>
      <w:proofErr w:type="gramStart"/>
      <w:r w:rsidRPr="00695418">
        <w:rPr>
          <w:rFonts w:cs="Arial"/>
          <w:i/>
        </w:rPr>
        <w:t>Fact</w:t>
      </w:r>
      <w:r w:rsidR="009D5D0F">
        <w:rPr>
          <w:rFonts w:cs="Arial"/>
          <w:i/>
          <w:vertAlign w:val="subscript"/>
        </w:rPr>
        <w:t>i,j</w:t>
      </w:r>
      <w:proofErr w:type="spellEnd"/>
      <w:proofErr w:type="gramEnd"/>
      <w:r>
        <w:rPr>
          <w:rFonts w:cs="Arial"/>
        </w:rPr>
        <w:t>:</w:t>
      </w:r>
      <w:r>
        <w:rPr>
          <w:rFonts w:cs="Arial"/>
        </w:rPr>
        <w:tab/>
        <w:t xml:space="preserve">Cantidad de facturas </w:t>
      </w:r>
      <w:r w:rsidR="004C42C0">
        <w:rPr>
          <w:rFonts w:cs="Arial"/>
        </w:rPr>
        <w:t xml:space="preserve">para usuarios regulados </w:t>
      </w:r>
      <w:r w:rsidR="005F3F8A">
        <w:rPr>
          <w:rFonts w:cs="Arial"/>
        </w:rPr>
        <w:t xml:space="preserve">expedidas </w:t>
      </w:r>
      <w:r>
        <w:rPr>
          <w:rFonts w:cs="Arial"/>
        </w:rPr>
        <w:t xml:space="preserve">en el año </w:t>
      </w:r>
      <w:r w:rsidR="00CC6349">
        <w:rPr>
          <w:rFonts w:cs="Arial"/>
        </w:rPr>
        <w:t xml:space="preserve">anterior </w:t>
      </w:r>
      <w:r w:rsidR="00333693">
        <w:rPr>
          <w:rFonts w:cs="Arial"/>
        </w:rPr>
        <w:t xml:space="preserve">a la </w:t>
      </w:r>
      <w:r w:rsidR="00CC6349">
        <w:rPr>
          <w:rFonts w:cs="Arial"/>
        </w:rPr>
        <w:t>expedición de esta Resolución</w:t>
      </w:r>
      <w:r w:rsidR="00C36EC2">
        <w:rPr>
          <w:rFonts w:cs="Arial"/>
        </w:rPr>
        <w:t xml:space="preserve"> </w:t>
      </w:r>
      <w:r>
        <w:rPr>
          <w:rFonts w:cs="Arial"/>
        </w:rPr>
        <w:t xml:space="preserve">por el comercializador </w:t>
      </w:r>
      <w:r w:rsidR="00B9658B" w:rsidRPr="00B9658B">
        <w:rPr>
          <w:rFonts w:cs="Arial"/>
          <w:i/>
          <w:iCs/>
        </w:rPr>
        <w:t>i</w:t>
      </w:r>
      <w:r w:rsidR="00B9658B">
        <w:rPr>
          <w:rFonts w:cs="Arial"/>
        </w:rPr>
        <w:t xml:space="preserve"> </w:t>
      </w:r>
      <w:r>
        <w:rPr>
          <w:rFonts w:cs="Arial"/>
        </w:rPr>
        <w:t xml:space="preserve">integrado al OR que sirve al mercado de </w:t>
      </w:r>
      <w:r w:rsidRPr="00EF0CAF">
        <w:rPr>
          <w:rFonts w:cs="Arial"/>
        </w:rPr>
        <w:t>comercialización</w:t>
      </w:r>
      <w:r>
        <w:rPr>
          <w:rFonts w:cs="Arial"/>
          <w:i/>
        </w:rPr>
        <w:t xml:space="preserve"> j</w:t>
      </w:r>
      <w:r w:rsidRPr="00432259">
        <w:rPr>
          <w:rFonts w:cs="Arial"/>
        </w:rPr>
        <w:t xml:space="preserve">, </w:t>
      </w:r>
      <w:r>
        <w:rPr>
          <w:rFonts w:cs="Arial"/>
        </w:rPr>
        <w:t>determinadas de acuerdo con lo establecido en el numeral</w:t>
      </w:r>
      <w:r w:rsidR="006D7D7F">
        <w:rPr>
          <w:rFonts w:cs="Arial"/>
        </w:rPr>
        <w:t xml:space="preserve"> </w:t>
      </w:r>
      <w:r w:rsidR="006D7D7F">
        <w:rPr>
          <w:rFonts w:cs="Arial"/>
        </w:rPr>
        <w:fldChar w:fldCharType="begin"/>
      </w:r>
      <w:r w:rsidR="006D7D7F">
        <w:rPr>
          <w:rFonts w:cs="Arial"/>
        </w:rPr>
        <w:instrText xml:space="preserve"> REF _Ref128562271 \r \h </w:instrText>
      </w:r>
      <w:r w:rsidR="006D7D7F">
        <w:rPr>
          <w:rFonts w:cs="Arial"/>
        </w:rPr>
      </w:r>
      <w:r w:rsidR="006D7D7F">
        <w:rPr>
          <w:rFonts w:cs="Arial"/>
        </w:rPr>
        <w:fldChar w:fldCharType="separate"/>
      </w:r>
      <w:r w:rsidR="00625E8F">
        <w:rPr>
          <w:rFonts w:cs="Arial"/>
        </w:rPr>
        <w:t>1.1.2</w:t>
      </w:r>
      <w:r w:rsidR="006D7D7F">
        <w:rPr>
          <w:rFonts w:cs="Arial"/>
        </w:rPr>
        <w:fldChar w:fldCharType="end"/>
      </w:r>
      <w:r w:rsidR="00F83F6D">
        <w:rPr>
          <w:rFonts w:cs="Arial"/>
        </w:rPr>
        <w:t>.</w:t>
      </w:r>
      <w:r w:rsidR="00165EE8">
        <w:rPr>
          <w:rFonts w:cs="Arial"/>
        </w:rPr>
        <w:t xml:space="preserve"> </w:t>
      </w:r>
    </w:p>
    <w:p w14:paraId="1887555C" w14:textId="1EBA21EF" w:rsidR="00692050" w:rsidRPr="0044618B" w:rsidRDefault="00692050" w:rsidP="00692050">
      <w:pPr>
        <w:ind w:left="1418" w:right="45" w:hanging="1418"/>
      </w:pPr>
      <w:r>
        <w:rPr>
          <w:rFonts w:ascii="Symbol" w:hAnsi="Symbol" w:cs="Arial"/>
          <w:i/>
        </w:rPr>
        <w:t>h</w:t>
      </w:r>
      <w:proofErr w:type="spellStart"/>
      <w:proofErr w:type="gramStart"/>
      <w:r w:rsidR="00871AF4" w:rsidRPr="00871AF4">
        <w:rPr>
          <w:rFonts w:cs="Arial"/>
          <w:i/>
          <w:vertAlign w:val="subscript"/>
        </w:rPr>
        <w:t>j</w:t>
      </w:r>
      <w:r w:rsidR="006451AE">
        <w:rPr>
          <w:rFonts w:cs="Arial"/>
          <w:i/>
          <w:vertAlign w:val="subscript"/>
        </w:rPr>
        <w:t>,t</w:t>
      </w:r>
      <w:proofErr w:type="spellEnd"/>
      <w:proofErr w:type="gramEnd"/>
      <w:r w:rsidR="00871AF4" w:rsidRPr="00871AF4">
        <w:rPr>
          <w:rFonts w:cs="Arial"/>
        </w:rPr>
        <w:t>:</w:t>
      </w:r>
      <w:r w:rsidR="00871AF4">
        <w:rPr>
          <w:rFonts w:cs="Arial"/>
        </w:rPr>
        <w:t xml:space="preserve"> </w:t>
      </w:r>
      <w:r w:rsidR="00871AF4">
        <w:rPr>
          <w:rFonts w:cs="Arial"/>
        </w:rPr>
        <w:tab/>
      </w:r>
      <w:r w:rsidR="00871AF4" w:rsidRPr="00B5484E">
        <w:rPr>
          <w:rFonts w:cs="Arial"/>
        </w:rPr>
        <w:t xml:space="preserve">Factor de eficiencia </w:t>
      </w:r>
      <w:r w:rsidR="00871AF4" w:rsidRPr="0058566E">
        <w:rPr>
          <w:rFonts w:cs="Arial"/>
        </w:rPr>
        <w:t xml:space="preserve">del </w:t>
      </w:r>
      <w:r w:rsidR="00871AF4" w:rsidRPr="00081B40">
        <w:rPr>
          <w:rFonts w:cs="Arial"/>
        </w:rPr>
        <w:t>mercado de comercialización</w:t>
      </w:r>
      <w:r w:rsidR="00871AF4">
        <w:rPr>
          <w:rFonts w:cs="Arial"/>
        </w:rPr>
        <w:t xml:space="preserve"> </w:t>
      </w:r>
      <w:r w:rsidR="00871AF4" w:rsidRPr="00695418">
        <w:rPr>
          <w:rFonts w:cs="Arial"/>
          <w:i/>
          <w:lang w:eastAsia="es-CO"/>
        </w:rPr>
        <w:t>j</w:t>
      </w:r>
      <w:r w:rsidR="00871AF4">
        <w:rPr>
          <w:rFonts w:cs="Arial"/>
          <w:lang w:eastAsia="es-CO"/>
        </w:rPr>
        <w:t xml:space="preserve">, </w:t>
      </w:r>
      <w:r w:rsidR="00F71172">
        <w:rPr>
          <w:rFonts w:cs="Arial"/>
          <w:lang w:eastAsia="es-CO"/>
        </w:rPr>
        <w:t>para</w:t>
      </w:r>
      <w:r w:rsidR="006451AE">
        <w:rPr>
          <w:rFonts w:cs="Arial"/>
          <w:lang w:eastAsia="es-CO"/>
        </w:rPr>
        <w:t xml:space="preserve"> el año </w:t>
      </w:r>
      <w:r w:rsidR="006451AE" w:rsidRPr="006D493D">
        <w:rPr>
          <w:rFonts w:cs="Arial"/>
          <w:i/>
          <w:iCs/>
          <w:lang w:eastAsia="es-CO"/>
        </w:rPr>
        <w:t>t</w:t>
      </w:r>
      <w:r w:rsidR="00871AF4">
        <w:rPr>
          <w:rFonts w:cs="Arial"/>
          <w:lang w:eastAsia="es-CO"/>
        </w:rPr>
        <w:t xml:space="preserve"> </w:t>
      </w:r>
      <w:r w:rsidR="00871AF4" w:rsidRPr="00081B40">
        <w:rPr>
          <w:rFonts w:cs="Arial"/>
          <w:lang w:eastAsia="es-CO"/>
        </w:rPr>
        <w:t xml:space="preserve">calculado de acuerdo con lo establecido </w:t>
      </w:r>
      <w:r w:rsidR="00871AF4" w:rsidRPr="00A22C5F">
        <w:rPr>
          <w:rFonts w:cs="Arial"/>
        </w:rPr>
        <w:t xml:space="preserve">en el </w:t>
      </w:r>
      <w:r w:rsidR="00871AF4">
        <w:rPr>
          <w:rFonts w:cs="Arial"/>
        </w:rPr>
        <w:t xml:space="preserve">numeral </w:t>
      </w:r>
      <w:r w:rsidR="00871AF4">
        <w:rPr>
          <w:rFonts w:cs="Arial"/>
        </w:rPr>
        <w:fldChar w:fldCharType="begin"/>
      </w:r>
      <w:r w:rsidR="00871AF4">
        <w:rPr>
          <w:rFonts w:cs="Arial"/>
        </w:rPr>
        <w:instrText xml:space="preserve"> REF _Ref128562196 \r \h </w:instrText>
      </w:r>
      <w:r w:rsidR="00871AF4">
        <w:rPr>
          <w:rFonts w:cs="Arial"/>
        </w:rPr>
      </w:r>
      <w:r w:rsidR="00871AF4">
        <w:rPr>
          <w:rFonts w:cs="Arial"/>
        </w:rPr>
        <w:fldChar w:fldCharType="separate"/>
      </w:r>
      <w:r w:rsidR="00625E8F">
        <w:rPr>
          <w:rFonts w:cs="Arial"/>
        </w:rPr>
        <w:t>1.1.3</w:t>
      </w:r>
      <w:r w:rsidR="00871AF4">
        <w:rPr>
          <w:rFonts w:cs="Arial"/>
        </w:rPr>
        <w:fldChar w:fldCharType="end"/>
      </w:r>
      <w:r w:rsidR="00871AF4" w:rsidRPr="00B5484E">
        <w:rPr>
          <w:rFonts w:cs="Arial"/>
        </w:rPr>
        <w:t>.</w:t>
      </w:r>
      <w:r w:rsidR="0075287E">
        <w:rPr>
          <w:rFonts w:cs="Arial"/>
        </w:rPr>
        <w:t xml:space="preserve"> </w:t>
      </w:r>
    </w:p>
    <w:p w14:paraId="67BBC233" w14:textId="541FEA9B" w:rsidR="00692B4F" w:rsidRDefault="00432259" w:rsidP="004525D7">
      <w:pPr>
        <w:pStyle w:val="Ttulo3"/>
      </w:pPr>
      <w:bookmarkStart w:id="30" w:name="_Ref134699424"/>
      <w:bookmarkStart w:id="31" w:name="_Toc164064358"/>
      <w:r>
        <w:t>C</w:t>
      </w:r>
      <w:r w:rsidR="00D31F65">
        <w:t xml:space="preserve">ostos y </w:t>
      </w:r>
      <w:r w:rsidR="00692B4F">
        <w:t xml:space="preserve">Gastos </w:t>
      </w:r>
      <w:r w:rsidR="00D31F65">
        <w:t xml:space="preserve">fijos </w:t>
      </w:r>
      <w:r w:rsidR="00692B4F">
        <w:t>reconocidos</w:t>
      </w:r>
      <w:bookmarkEnd w:id="30"/>
      <w:bookmarkEnd w:id="31"/>
      <w:r w:rsidR="00BE7167">
        <w:t xml:space="preserve"> </w:t>
      </w:r>
    </w:p>
    <w:p w14:paraId="11CCD23C" w14:textId="73C4BCAE" w:rsidR="00BE7167" w:rsidRDefault="00BE7167" w:rsidP="00BE7167">
      <w:r w:rsidRPr="0044618B">
        <w:t>Los</w:t>
      </w:r>
      <w:r w:rsidRPr="008B11FB">
        <w:t xml:space="preserve"> </w:t>
      </w:r>
      <w:r>
        <w:t>g</w:t>
      </w:r>
      <w:r w:rsidRPr="00FA36E1">
        <w:t xml:space="preserve">astos </w:t>
      </w:r>
      <w:r>
        <w:t xml:space="preserve">reconocidos para </w:t>
      </w:r>
      <w:r w:rsidRPr="00FA36E1">
        <w:t>la actividad de comercialización</w:t>
      </w:r>
      <w:r>
        <w:t xml:space="preserve"> se </w:t>
      </w:r>
      <w:r w:rsidR="007C2C57">
        <w:t>calcularán</w:t>
      </w:r>
      <w:r>
        <w:t xml:space="preserve"> de acuerdo con lo establecido en la siguiente fórmula: </w:t>
      </w:r>
    </w:p>
    <w:p w14:paraId="79A9EFE1" w14:textId="6ADD4B1E" w:rsidR="00BE7167" w:rsidRPr="00B45BE6" w:rsidRDefault="00000000" w:rsidP="00BE7167">
      <w:pPr>
        <w:rPr>
          <w:snapToGrid w:val="0"/>
          <w:lang w:val="es-ES_tradnl"/>
        </w:rPr>
      </w:pPr>
      <m:oMathPara>
        <m:oMath>
          <m:sSub>
            <m:sSubPr>
              <m:ctrlPr>
                <w:rPr>
                  <w:rFonts w:ascii="Cambria Math" w:hAnsi="Cambria Math"/>
                  <w:snapToGrid w:val="0"/>
                  <w:lang w:val="es-ES_tradnl"/>
                </w:rPr>
              </m:ctrlPr>
            </m:sSubPr>
            <m:e>
              <m:r>
                <w:rPr>
                  <w:rFonts w:ascii="Cambria Math" w:hAnsi="Cambria Math"/>
                  <w:snapToGrid w:val="0"/>
                  <w:lang w:val="es-ES_tradnl"/>
                </w:rPr>
                <m:t>GC</m:t>
              </m:r>
            </m:e>
            <m:sub>
              <m:r>
                <w:rPr>
                  <w:rFonts w:ascii="Cambria Math" w:hAnsi="Cambria Math"/>
                  <w:snapToGrid w:val="0"/>
                  <w:lang w:val="es-ES_tradnl"/>
                </w:rPr>
                <m:t>j</m:t>
              </m:r>
            </m:sub>
          </m:sSub>
          <m:r>
            <m:rPr>
              <m:sty m:val="p"/>
            </m:rPr>
            <w:rPr>
              <w:rFonts w:ascii="Cambria Math" w:hAnsi="Cambria Math"/>
              <w:snapToGrid w:val="0"/>
              <w:lang w:val="es-ES_tradnl"/>
            </w:rPr>
            <m:t xml:space="preserve">= </m:t>
          </m:r>
          <m:nary>
            <m:naryPr>
              <m:chr m:val="∑"/>
              <m:limLoc m:val="undOvr"/>
              <m:ctrlPr>
                <w:rPr>
                  <w:rFonts w:ascii="Cambria Math" w:hAnsi="Cambria Math"/>
                  <w:bCs/>
                  <w:snapToGrid w:val="0"/>
                  <w:lang w:val="es-ES_tradnl"/>
                </w:rPr>
              </m:ctrlPr>
            </m:naryPr>
            <m:sub>
              <m:r>
                <w:rPr>
                  <w:rFonts w:ascii="Cambria Math" w:hAnsi="Cambria Math"/>
                  <w:snapToGrid w:val="0"/>
                  <w:lang w:val="es-ES_tradnl"/>
                </w:rPr>
                <m:t>i</m:t>
              </m:r>
              <m:r>
                <m:rPr>
                  <m:sty m:val="p"/>
                </m:rPr>
                <w:rPr>
                  <w:rFonts w:ascii="Cambria Math" w:hAnsi="Cambria Math"/>
                  <w:snapToGrid w:val="0"/>
                  <w:lang w:val="es-ES_tradnl"/>
                </w:rPr>
                <m:t>=1</m:t>
              </m:r>
            </m:sub>
            <m:sup>
              <m:r>
                <w:rPr>
                  <w:rFonts w:ascii="Cambria Math" w:hAnsi="Cambria Math"/>
                  <w:snapToGrid w:val="0"/>
                  <w:lang w:val="es-ES_tradnl"/>
                </w:rPr>
                <m:t>q</m:t>
              </m:r>
            </m:sup>
            <m:e>
              <m:sSub>
                <m:sSubPr>
                  <m:ctrlPr>
                    <w:rPr>
                      <w:rFonts w:ascii="Cambria Math" w:hAnsi="Cambria Math"/>
                      <w:bCs/>
                      <w:snapToGrid w:val="0"/>
                      <w:lang w:val="es-ES_tradnl"/>
                    </w:rPr>
                  </m:ctrlPr>
                </m:sSubPr>
                <m:e>
                  <m:r>
                    <w:rPr>
                      <w:rFonts w:ascii="Cambria Math" w:hAnsi="Cambria Math"/>
                      <w:snapToGrid w:val="0"/>
                      <w:lang w:val="es-ES_tradnl"/>
                    </w:rPr>
                    <m:t>CR</m:t>
                  </m:r>
                </m:e>
                <m:sub>
                  <m:r>
                    <w:rPr>
                      <w:rFonts w:ascii="Cambria Math" w:hAnsi="Cambria Math"/>
                      <w:snapToGrid w:val="0"/>
                      <w:lang w:val="es-ES_tradnl"/>
                    </w:rPr>
                    <m:t>q</m:t>
                  </m:r>
                  <m:r>
                    <m:rPr>
                      <m:sty m:val="p"/>
                    </m:rPr>
                    <w:rPr>
                      <w:rFonts w:ascii="Cambria Math" w:hAnsi="Cambria Math"/>
                      <w:snapToGrid w:val="0"/>
                      <w:lang w:val="es-ES_tradnl"/>
                    </w:rPr>
                    <m:t>,</m:t>
                  </m:r>
                  <m:r>
                    <w:rPr>
                      <w:rFonts w:ascii="Cambria Math" w:hAnsi="Cambria Math"/>
                      <w:snapToGrid w:val="0"/>
                      <w:lang w:val="es-ES_tradnl"/>
                    </w:rPr>
                    <m:t>j</m:t>
                  </m:r>
                </m:sub>
              </m:sSub>
            </m:e>
          </m:nary>
        </m:oMath>
      </m:oMathPara>
    </w:p>
    <w:p w14:paraId="076491C3" w14:textId="77777777" w:rsidR="00BE7167" w:rsidRDefault="00BE7167" w:rsidP="00BE7167">
      <w:r>
        <w:lastRenderedPageBreak/>
        <w:t>Donde:</w:t>
      </w:r>
    </w:p>
    <w:p w14:paraId="3838A59B" w14:textId="76A93320" w:rsidR="00BE7167" w:rsidRDefault="00BE7167" w:rsidP="00BE7167">
      <w:pPr>
        <w:ind w:left="1276" w:right="45" w:hanging="1276"/>
        <w:rPr>
          <w:rFonts w:cs="Arial"/>
        </w:rPr>
      </w:pPr>
      <w:proofErr w:type="spellStart"/>
      <w:r w:rsidRPr="00695418">
        <w:rPr>
          <w:rFonts w:cs="Arial"/>
          <w:i/>
        </w:rPr>
        <w:t>GC</w:t>
      </w:r>
      <w:r w:rsidRPr="00695418">
        <w:rPr>
          <w:rFonts w:cs="Arial"/>
          <w:i/>
          <w:vertAlign w:val="subscript"/>
        </w:rPr>
        <w:t>j</w:t>
      </w:r>
      <w:proofErr w:type="spellEnd"/>
      <w:r>
        <w:rPr>
          <w:rFonts w:cs="Arial"/>
        </w:rPr>
        <w:t>:</w:t>
      </w:r>
      <w:r>
        <w:rPr>
          <w:rFonts w:cs="Arial"/>
        </w:rPr>
        <w:tab/>
        <w:t>G</w:t>
      </w:r>
      <w:r w:rsidRPr="00EF0CAF">
        <w:rPr>
          <w:rFonts w:cs="Arial"/>
        </w:rPr>
        <w:t xml:space="preserve">astos </w:t>
      </w:r>
      <w:r w:rsidR="00CF1062">
        <w:rPr>
          <w:rFonts w:cs="Arial"/>
        </w:rPr>
        <w:t>y costos</w:t>
      </w:r>
      <w:r w:rsidRPr="00EF0CAF">
        <w:rPr>
          <w:rFonts w:cs="Arial"/>
        </w:rPr>
        <w:t xml:space="preserve"> </w:t>
      </w:r>
      <w:r>
        <w:rPr>
          <w:rFonts w:cs="Arial"/>
        </w:rPr>
        <w:t xml:space="preserve">reconocidos </w:t>
      </w:r>
      <w:r w:rsidRPr="00EF0CAF">
        <w:rPr>
          <w:rFonts w:cs="Arial"/>
        </w:rPr>
        <w:t>en la actividad</w:t>
      </w:r>
      <w:r>
        <w:rPr>
          <w:rFonts w:cs="Arial"/>
        </w:rPr>
        <w:t xml:space="preserve"> </w:t>
      </w:r>
      <w:r w:rsidRPr="00EF0CAF">
        <w:rPr>
          <w:rFonts w:cs="Arial"/>
        </w:rPr>
        <w:t xml:space="preserve">de comercialización </w:t>
      </w:r>
      <w:r>
        <w:rPr>
          <w:rFonts w:cs="Arial"/>
        </w:rPr>
        <w:t xml:space="preserve">del comercializador integrado al OR que sirve el mercado de comercialización </w:t>
      </w:r>
      <w:r w:rsidR="001653B2">
        <w:rPr>
          <w:rFonts w:cs="Arial"/>
          <w:i/>
          <w:iCs/>
        </w:rPr>
        <w:t xml:space="preserve">j </w:t>
      </w:r>
      <w:r w:rsidR="007D2E84" w:rsidRPr="007D2E84">
        <w:rPr>
          <w:rFonts w:cs="Arial"/>
        </w:rPr>
        <w:t xml:space="preserve">de la fecha base de la </w:t>
      </w:r>
      <w:r w:rsidR="00B46535" w:rsidRPr="007D2E84">
        <w:rPr>
          <w:rFonts w:cs="Arial"/>
        </w:rPr>
        <w:t>metodología</w:t>
      </w:r>
      <w:r w:rsidRPr="007D2E84">
        <w:rPr>
          <w:rFonts w:cs="Arial"/>
        </w:rPr>
        <w:t>.</w:t>
      </w:r>
    </w:p>
    <w:p w14:paraId="4F8F3BF6" w14:textId="59F3DBCF" w:rsidR="001A2443" w:rsidRDefault="00BE7167" w:rsidP="00BE7167">
      <w:pPr>
        <w:ind w:left="1243" w:hanging="1243"/>
        <w:rPr>
          <w:rFonts w:cs="Arial"/>
        </w:rPr>
      </w:pPr>
      <w:proofErr w:type="spellStart"/>
      <w:proofErr w:type="gramStart"/>
      <w:r w:rsidRPr="00695418">
        <w:rPr>
          <w:rFonts w:cs="Arial"/>
          <w:i/>
        </w:rPr>
        <w:t>C</w:t>
      </w:r>
      <w:r>
        <w:rPr>
          <w:rFonts w:cs="Arial"/>
          <w:i/>
        </w:rPr>
        <w:t>R</w:t>
      </w:r>
      <w:r w:rsidR="00264A44">
        <w:rPr>
          <w:rFonts w:cs="Arial"/>
          <w:i/>
          <w:vertAlign w:val="subscript"/>
        </w:rPr>
        <w:t>q</w:t>
      </w:r>
      <w:r>
        <w:rPr>
          <w:rFonts w:cs="Arial"/>
          <w:i/>
          <w:vertAlign w:val="subscript"/>
        </w:rPr>
        <w:t>,j</w:t>
      </w:r>
      <w:proofErr w:type="spellEnd"/>
      <w:proofErr w:type="gramEnd"/>
      <w:r>
        <w:rPr>
          <w:rFonts w:cs="Arial"/>
          <w:i/>
          <w:vertAlign w:val="subscript"/>
        </w:rPr>
        <w:t xml:space="preserve"> </w:t>
      </w:r>
      <w:r>
        <w:rPr>
          <w:rFonts w:cs="Arial"/>
        </w:rPr>
        <w:t>:</w:t>
      </w:r>
      <w:r>
        <w:rPr>
          <w:rFonts w:cs="Arial"/>
        </w:rPr>
        <w:tab/>
      </w:r>
      <w:r w:rsidR="00D251F8">
        <w:rPr>
          <w:rFonts w:cs="Arial"/>
        </w:rPr>
        <w:t xml:space="preserve">Valor </w:t>
      </w:r>
      <w:r w:rsidR="007C1D8F">
        <w:rPr>
          <w:rFonts w:cs="Arial"/>
        </w:rPr>
        <w:t xml:space="preserve">del </w:t>
      </w:r>
      <w:r w:rsidR="00D251F8">
        <w:rPr>
          <w:rFonts w:cs="Arial"/>
        </w:rPr>
        <w:t>concepto</w:t>
      </w:r>
      <w:r w:rsidR="007C1D8F">
        <w:rPr>
          <w:rFonts w:cs="Arial"/>
        </w:rPr>
        <w:t xml:space="preserve"> </w:t>
      </w:r>
      <w:r w:rsidR="00252447">
        <w:rPr>
          <w:rFonts w:cs="Arial"/>
          <w:i/>
          <w:iCs/>
        </w:rPr>
        <w:t>q</w:t>
      </w:r>
      <w:r w:rsidR="00D251F8">
        <w:rPr>
          <w:rFonts w:cs="Arial"/>
        </w:rPr>
        <w:t xml:space="preserve"> reconocido para la actividad de comercialización de energía eléctrica del comercializador </w:t>
      </w:r>
      <w:r w:rsidR="00D251F8" w:rsidRPr="001C49AD">
        <w:rPr>
          <w:rFonts w:cs="Arial"/>
          <w:i/>
          <w:iCs/>
        </w:rPr>
        <w:t>j</w:t>
      </w:r>
      <w:r w:rsidR="00515D5A">
        <w:rPr>
          <w:rFonts w:cs="Arial"/>
        </w:rPr>
        <w:t>.</w:t>
      </w:r>
      <w:r w:rsidR="00D251F8">
        <w:rPr>
          <w:rFonts w:cs="Arial"/>
        </w:rPr>
        <w:t xml:space="preserve"> </w:t>
      </w:r>
      <w:r w:rsidR="00515D5A">
        <w:rPr>
          <w:rFonts w:cs="Arial"/>
        </w:rPr>
        <w:t>C</w:t>
      </w:r>
      <w:r w:rsidR="00D251F8">
        <w:rPr>
          <w:rFonts w:cs="Arial"/>
        </w:rPr>
        <w:t xml:space="preserve">orresponde </w:t>
      </w:r>
      <w:r w:rsidR="00482CB1">
        <w:rPr>
          <w:rFonts w:cs="Arial"/>
        </w:rPr>
        <w:t xml:space="preserve">al valor de la fecha base </w:t>
      </w:r>
      <w:r w:rsidR="00515D5A">
        <w:rPr>
          <w:rFonts w:cs="Arial"/>
        </w:rPr>
        <w:t xml:space="preserve">reportado </w:t>
      </w:r>
      <w:r w:rsidR="001A4283" w:rsidRPr="0082587B">
        <w:rPr>
          <w:rFonts w:cs="Arial"/>
        </w:rPr>
        <w:t xml:space="preserve">por el comercializador </w:t>
      </w:r>
      <w:r w:rsidR="001A4283" w:rsidRPr="00692B4F">
        <w:rPr>
          <w:rFonts w:cs="Arial"/>
          <w:i/>
          <w:iCs/>
        </w:rPr>
        <w:t>j</w:t>
      </w:r>
      <w:r w:rsidR="001A4283" w:rsidRPr="0082587B">
        <w:rPr>
          <w:rFonts w:cs="Arial"/>
        </w:rPr>
        <w:t xml:space="preserve"> </w:t>
      </w:r>
      <w:r w:rsidR="001A4283">
        <w:rPr>
          <w:rFonts w:cs="Arial"/>
        </w:rPr>
        <w:t xml:space="preserve">a la Comisión </w:t>
      </w:r>
      <w:r w:rsidR="00457B9F">
        <w:rPr>
          <w:rFonts w:cs="Arial"/>
        </w:rPr>
        <w:t xml:space="preserve">en </w:t>
      </w:r>
      <w:r w:rsidR="001A2443">
        <w:rPr>
          <w:rFonts w:cs="Arial"/>
        </w:rPr>
        <w:t xml:space="preserve">los formatos definidos en la </w:t>
      </w:r>
      <w:r w:rsidR="00D251F8">
        <w:rPr>
          <w:rFonts w:cs="Arial"/>
        </w:rPr>
        <w:t xml:space="preserve">Circular </w:t>
      </w:r>
      <w:r w:rsidR="002C3EF7">
        <w:rPr>
          <w:rFonts w:cs="Arial"/>
        </w:rPr>
        <w:t xml:space="preserve">CREG </w:t>
      </w:r>
      <w:r w:rsidR="0063582A">
        <w:rPr>
          <w:rFonts w:cs="Arial"/>
        </w:rPr>
        <w:t>114 de 2019</w:t>
      </w:r>
      <w:r w:rsidR="001A2443">
        <w:rPr>
          <w:rFonts w:cs="Arial"/>
        </w:rPr>
        <w:t>.</w:t>
      </w:r>
    </w:p>
    <w:p w14:paraId="7035F4E3" w14:textId="6E9D392D" w:rsidR="00B92305" w:rsidRDefault="0063582A" w:rsidP="00B92305">
      <w:pPr>
        <w:ind w:left="1243" w:hanging="113"/>
        <w:rPr>
          <w:rFonts w:cs="Arial"/>
        </w:rPr>
      </w:pPr>
      <w:r>
        <w:rPr>
          <w:rFonts w:cs="Arial"/>
        </w:rPr>
        <w:t xml:space="preserve"> </w:t>
      </w:r>
      <w:r w:rsidR="00457B9F">
        <w:rPr>
          <w:rFonts w:cs="Arial"/>
        </w:rPr>
        <w:t xml:space="preserve">La información corresponde a la reportada </w:t>
      </w:r>
      <w:r w:rsidR="00D42B56">
        <w:rPr>
          <w:rFonts w:cs="Arial"/>
        </w:rPr>
        <w:t>a la Comisión</w:t>
      </w:r>
      <w:r w:rsidR="00CE7DD7">
        <w:rPr>
          <w:rFonts w:cs="Arial"/>
        </w:rPr>
        <w:t xml:space="preserve"> </w:t>
      </w:r>
      <w:r w:rsidR="007B12BB">
        <w:rPr>
          <w:rFonts w:cs="Arial"/>
        </w:rPr>
        <w:t xml:space="preserve">antes del 31 de </w:t>
      </w:r>
      <w:r w:rsidR="00713F6E">
        <w:rPr>
          <w:rFonts w:cs="Arial"/>
        </w:rPr>
        <w:t>abril</w:t>
      </w:r>
      <w:r w:rsidR="007B12BB">
        <w:rPr>
          <w:rFonts w:cs="Arial"/>
        </w:rPr>
        <w:t xml:space="preserve"> de 2024</w:t>
      </w:r>
      <w:r w:rsidR="004E1ECC">
        <w:rPr>
          <w:rFonts w:cs="Arial"/>
        </w:rPr>
        <w:t xml:space="preserve">. </w:t>
      </w:r>
    </w:p>
    <w:p w14:paraId="6DB5E382" w14:textId="5C24125D" w:rsidR="00BE7167" w:rsidRPr="003A69EE" w:rsidRDefault="00AC2EF6" w:rsidP="00B92305">
      <w:pPr>
        <w:ind w:left="1243" w:hanging="1243"/>
        <w:rPr>
          <w:rFonts w:cs="Arial"/>
        </w:rPr>
      </w:pPr>
      <w:r>
        <w:rPr>
          <w:rFonts w:cs="Arial"/>
          <w:i/>
        </w:rPr>
        <w:t>q</w:t>
      </w:r>
      <w:r w:rsidR="00BE7167" w:rsidRPr="003A69EE">
        <w:rPr>
          <w:rFonts w:cs="Arial"/>
          <w:i/>
        </w:rPr>
        <w:t xml:space="preserve">: </w:t>
      </w:r>
      <w:r w:rsidR="00B92305">
        <w:rPr>
          <w:rFonts w:cs="Arial"/>
          <w:i/>
        </w:rPr>
        <w:tab/>
      </w:r>
      <w:r w:rsidR="00BE7167">
        <w:rPr>
          <w:rFonts w:cs="Arial"/>
        </w:rPr>
        <w:t xml:space="preserve">Cantidad de conceptos </w:t>
      </w:r>
      <w:r w:rsidR="00BE7167" w:rsidRPr="003A69EE">
        <w:rPr>
          <w:rFonts w:cs="Arial"/>
        </w:rPr>
        <w:t xml:space="preserve">reconocidos para la actividad de comercialización de energía eléctrica, </w:t>
      </w:r>
      <w:r w:rsidR="00BE7167">
        <w:rPr>
          <w:rFonts w:cs="Arial"/>
        </w:rPr>
        <w:t>de acuerdo con el listado de conceptos definidos en el numeral</w:t>
      </w:r>
      <w:r w:rsidR="007664B5">
        <w:rPr>
          <w:rFonts w:cs="Arial"/>
        </w:rPr>
        <w:t xml:space="preserve"> </w:t>
      </w:r>
      <w:r w:rsidR="007664B5">
        <w:rPr>
          <w:rFonts w:cs="Arial"/>
        </w:rPr>
        <w:fldChar w:fldCharType="begin"/>
      </w:r>
      <w:r w:rsidR="007664B5">
        <w:rPr>
          <w:rFonts w:cs="Arial"/>
        </w:rPr>
        <w:instrText xml:space="preserve"> REF _Ref128043369 \r \h </w:instrText>
      </w:r>
      <w:r w:rsidR="007664B5">
        <w:rPr>
          <w:rFonts w:cs="Arial"/>
        </w:rPr>
      </w:r>
      <w:r w:rsidR="007664B5">
        <w:rPr>
          <w:rFonts w:cs="Arial"/>
        </w:rPr>
        <w:fldChar w:fldCharType="separate"/>
      </w:r>
      <w:r w:rsidR="00625E8F">
        <w:rPr>
          <w:rFonts w:cs="Arial"/>
        </w:rPr>
        <w:t>1.1.1.1</w:t>
      </w:r>
      <w:r w:rsidR="007664B5">
        <w:rPr>
          <w:rFonts w:cs="Arial"/>
        </w:rPr>
        <w:fldChar w:fldCharType="end"/>
      </w:r>
      <w:r w:rsidR="00BE7167" w:rsidRPr="003A69EE">
        <w:rPr>
          <w:rFonts w:cs="Arial"/>
        </w:rPr>
        <w:t>.</w:t>
      </w:r>
    </w:p>
    <w:p w14:paraId="162CAF23" w14:textId="02F50BD9" w:rsidR="00B7320D" w:rsidRDefault="00EB2DF7" w:rsidP="003C76EC">
      <w:pPr>
        <w:pStyle w:val="Ttulo4"/>
      </w:pPr>
      <w:bookmarkStart w:id="32" w:name="_Ref128043369"/>
      <w:bookmarkEnd w:id="29"/>
      <w:r>
        <w:t>Conceptos reconocidos</w:t>
      </w:r>
      <w:bookmarkEnd w:id="32"/>
    </w:p>
    <w:p w14:paraId="4441D488" w14:textId="07082637" w:rsidR="00D37FEC" w:rsidRDefault="00EB2DF7" w:rsidP="00FD69C8">
      <w:r>
        <w:t xml:space="preserve">Los conceptos </w:t>
      </w:r>
      <w:r w:rsidR="00457B9F">
        <w:t xml:space="preserve">de los formatos </w:t>
      </w:r>
      <w:r w:rsidR="00C2494C" w:rsidRPr="00C2494C">
        <w:t>del sistema de Información de Costos para la Regulación –</w:t>
      </w:r>
      <w:r w:rsidR="00C2494C">
        <w:t xml:space="preserve"> </w:t>
      </w:r>
      <w:r w:rsidR="00457B9F" w:rsidRPr="00C2494C">
        <w:t>ICR</w:t>
      </w:r>
      <w:r w:rsidR="00457B9F">
        <w:t xml:space="preserve"> </w:t>
      </w:r>
      <w:r w:rsidR="00195DA4">
        <w:t xml:space="preserve">reconocidos </w:t>
      </w:r>
      <w:r w:rsidR="000C417B">
        <w:t xml:space="preserve">como parte de los costos </w:t>
      </w:r>
      <w:r w:rsidR="00161C73">
        <w:t xml:space="preserve">y gastos fijos de </w:t>
      </w:r>
      <w:r w:rsidR="00D37FEC" w:rsidRPr="003A69EE">
        <w:t>la actividad de comercialización de energía eléctrica</w:t>
      </w:r>
      <w:r w:rsidR="00D37FEC">
        <w:t xml:space="preserve"> </w:t>
      </w:r>
      <w:r w:rsidR="000C417B">
        <w:t xml:space="preserve">a usuarios regulados </w:t>
      </w:r>
      <w:r w:rsidR="00195DA4">
        <w:t>son los siguientes</w:t>
      </w:r>
      <w:r w:rsidR="00D37FEC">
        <w:t>:</w:t>
      </w:r>
    </w:p>
    <w:p w14:paraId="431954B6" w14:textId="39FF9199" w:rsidR="00B7320D" w:rsidRDefault="00E97C25" w:rsidP="00E97C25">
      <w:pPr>
        <w:pStyle w:val="Descripcin"/>
      </w:pPr>
      <w:r>
        <w:t xml:space="preserve">Tabla </w:t>
      </w:r>
      <w:r>
        <w:fldChar w:fldCharType="begin"/>
      </w:r>
      <w:r>
        <w:instrText xml:space="preserve"> SEQ Tabla \* ARABIC </w:instrText>
      </w:r>
      <w:r>
        <w:fldChar w:fldCharType="separate"/>
      </w:r>
      <w:r w:rsidR="00625E8F">
        <w:rPr>
          <w:noProof/>
        </w:rPr>
        <w:t>1</w:t>
      </w:r>
      <w:r>
        <w:fldChar w:fldCharType="end"/>
      </w:r>
      <w:r>
        <w:t xml:space="preserve"> Conceptos ICR reconocidos</w:t>
      </w:r>
      <w:r w:rsidR="003203E1">
        <w:t xml:space="preserve"> actividad de Comercialización de energía eléctrica a usuarios regulados.</w:t>
      </w:r>
    </w:p>
    <w:tbl>
      <w:tblPr>
        <w:tblW w:w="5000" w:type="pct"/>
        <w:tblCellMar>
          <w:left w:w="70" w:type="dxa"/>
          <w:right w:w="70" w:type="dxa"/>
        </w:tblCellMar>
        <w:tblLook w:val="04A0" w:firstRow="1" w:lastRow="0" w:firstColumn="1" w:lastColumn="0" w:noHBand="0" w:noVBand="1"/>
      </w:tblPr>
      <w:tblGrid>
        <w:gridCol w:w="580"/>
        <w:gridCol w:w="1353"/>
        <w:gridCol w:w="7413"/>
      </w:tblGrid>
      <w:tr w:rsidR="000237CB" w:rsidRPr="000237CB" w14:paraId="77A29442" w14:textId="77777777" w:rsidTr="00662779">
        <w:trPr>
          <w:trHeight w:val="300"/>
          <w:tblHeader/>
        </w:trPr>
        <w:tc>
          <w:tcPr>
            <w:tcW w:w="3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39DFC" w14:textId="77777777" w:rsidR="00DE08F1" w:rsidRPr="000237CB" w:rsidRDefault="00DE08F1" w:rsidP="00DE08F1">
            <w:pPr>
              <w:spacing w:before="0" w:after="0"/>
              <w:jc w:val="center"/>
              <w:rPr>
                <w:rFonts w:cs="Calibri"/>
                <w:b/>
                <w:bCs/>
                <w:sz w:val="18"/>
                <w:szCs w:val="18"/>
                <w:lang w:val="es-CO" w:eastAsia="es-CO"/>
              </w:rPr>
            </w:pPr>
            <w:proofErr w:type="spellStart"/>
            <w:r w:rsidRPr="000237CB">
              <w:rPr>
                <w:rFonts w:cs="Calibri"/>
                <w:b/>
                <w:bCs/>
                <w:sz w:val="18"/>
                <w:szCs w:val="18"/>
                <w:lang w:val="es-CO" w:eastAsia="es-CO"/>
              </w:rPr>
              <w:t>Item</w:t>
            </w:r>
            <w:proofErr w:type="spellEnd"/>
          </w:p>
        </w:tc>
        <w:tc>
          <w:tcPr>
            <w:tcW w:w="724" w:type="pct"/>
            <w:tcBorders>
              <w:top w:val="single" w:sz="4" w:space="0" w:color="auto"/>
              <w:left w:val="nil"/>
              <w:bottom w:val="single" w:sz="4" w:space="0" w:color="auto"/>
              <w:right w:val="single" w:sz="4" w:space="0" w:color="auto"/>
            </w:tcBorders>
            <w:shd w:val="clear" w:color="000000" w:fill="FFFFFF"/>
            <w:vAlign w:val="center"/>
            <w:hideMark/>
          </w:tcPr>
          <w:p w14:paraId="1DC0B41A" w14:textId="77777777" w:rsidR="00DE08F1" w:rsidRPr="000237CB" w:rsidRDefault="00DE08F1" w:rsidP="00DE08F1">
            <w:pPr>
              <w:spacing w:before="0" w:after="0"/>
              <w:jc w:val="center"/>
              <w:rPr>
                <w:rFonts w:cs="Calibri"/>
                <w:b/>
                <w:bCs/>
                <w:sz w:val="18"/>
                <w:szCs w:val="18"/>
                <w:lang w:val="es-CO" w:eastAsia="es-CO"/>
              </w:rPr>
            </w:pPr>
            <w:r w:rsidRPr="000237CB">
              <w:rPr>
                <w:rFonts w:cs="Calibri"/>
                <w:b/>
                <w:bCs/>
                <w:sz w:val="18"/>
                <w:szCs w:val="18"/>
                <w:lang w:val="es-CO" w:eastAsia="es-CO"/>
              </w:rPr>
              <w:t>Código Concepto</w:t>
            </w:r>
          </w:p>
        </w:tc>
        <w:tc>
          <w:tcPr>
            <w:tcW w:w="3966" w:type="pct"/>
            <w:tcBorders>
              <w:top w:val="single" w:sz="4" w:space="0" w:color="auto"/>
              <w:left w:val="nil"/>
              <w:bottom w:val="single" w:sz="4" w:space="0" w:color="auto"/>
              <w:right w:val="single" w:sz="4" w:space="0" w:color="auto"/>
            </w:tcBorders>
            <w:shd w:val="clear" w:color="000000" w:fill="FFFFFF"/>
            <w:noWrap/>
            <w:vAlign w:val="center"/>
            <w:hideMark/>
          </w:tcPr>
          <w:p w14:paraId="04C9FE20" w14:textId="77777777" w:rsidR="00DE08F1" w:rsidRPr="000237CB" w:rsidRDefault="00DE08F1" w:rsidP="00DE08F1">
            <w:pPr>
              <w:spacing w:before="0" w:after="0"/>
              <w:jc w:val="center"/>
              <w:rPr>
                <w:rFonts w:cs="Calibri"/>
                <w:b/>
                <w:bCs/>
                <w:sz w:val="18"/>
                <w:szCs w:val="18"/>
                <w:lang w:val="es-CO" w:eastAsia="es-CO"/>
              </w:rPr>
            </w:pPr>
            <w:r w:rsidRPr="000237CB">
              <w:rPr>
                <w:rFonts w:cs="Calibri"/>
                <w:b/>
                <w:bCs/>
                <w:sz w:val="18"/>
                <w:szCs w:val="18"/>
                <w:lang w:val="es-CO" w:eastAsia="es-CO"/>
              </w:rPr>
              <w:t>Descripción Concepto</w:t>
            </w:r>
          </w:p>
        </w:tc>
      </w:tr>
      <w:tr w:rsidR="000237CB" w:rsidRPr="000237CB" w14:paraId="584390DE"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6CA0FC6B"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w:t>
            </w:r>
          </w:p>
        </w:tc>
        <w:tc>
          <w:tcPr>
            <w:tcW w:w="724" w:type="pct"/>
            <w:tcBorders>
              <w:top w:val="nil"/>
              <w:left w:val="nil"/>
              <w:bottom w:val="single" w:sz="4" w:space="0" w:color="auto"/>
              <w:right w:val="single" w:sz="4" w:space="0" w:color="auto"/>
            </w:tcBorders>
            <w:shd w:val="clear" w:color="000000" w:fill="FFFFFF"/>
            <w:noWrap/>
            <w:vAlign w:val="center"/>
            <w:hideMark/>
          </w:tcPr>
          <w:p w14:paraId="77008F73"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01010100</w:t>
            </w:r>
          </w:p>
        </w:tc>
        <w:tc>
          <w:tcPr>
            <w:tcW w:w="3966" w:type="pct"/>
            <w:tcBorders>
              <w:top w:val="nil"/>
              <w:left w:val="nil"/>
              <w:bottom w:val="single" w:sz="4" w:space="0" w:color="auto"/>
              <w:right w:val="single" w:sz="4" w:space="0" w:color="auto"/>
            </w:tcBorders>
            <w:shd w:val="clear" w:color="000000" w:fill="FFFFFF"/>
            <w:noWrap/>
            <w:vAlign w:val="center"/>
            <w:hideMark/>
          </w:tcPr>
          <w:p w14:paraId="6B8C3545"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Sueldos y salarios</w:t>
            </w:r>
          </w:p>
        </w:tc>
      </w:tr>
      <w:tr w:rsidR="000237CB" w:rsidRPr="000237CB" w14:paraId="59165FA3"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68F75DB5"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w:t>
            </w:r>
          </w:p>
        </w:tc>
        <w:tc>
          <w:tcPr>
            <w:tcW w:w="724" w:type="pct"/>
            <w:tcBorders>
              <w:top w:val="nil"/>
              <w:left w:val="nil"/>
              <w:bottom w:val="single" w:sz="4" w:space="0" w:color="auto"/>
              <w:right w:val="single" w:sz="4" w:space="0" w:color="auto"/>
            </w:tcBorders>
            <w:shd w:val="clear" w:color="000000" w:fill="FFFFFF"/>
            <w:noWrap/>
            <w:vAlign w:val="center"/>
            <w:hideMark/>
          </w:tcPr>
          <w:p w14:paraId="74D2D95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01010201</w:t>
            </w:r>
          </w:p>
        </w:tc>
        <w:tc>
          <w:tcPr>
            <w:tcW w:w="3966" w:type="pct"/>
            <w:tcBorders>
              <w:top w:val="nil"/>
              <w:left w:val="nil"/>
              <w:bottom w:val="single" w:sz="4" w:space="0" w:color="auto"/>
              <w:right w:val="single" w:sz="4" w:space="0" w:color="auto"/>
            </w:tcBorders>
            <w:shd w:val="clear" w:color="000000" w:fill="FFFFFF"/>
            <w:vAlign w:val="center"/>
            <w:hideMark/>
          </w:tcPr>
          <w:p w14:paraId="57E9EB93"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Primas y prestaciones sociales - Establecidas en el CST o el REP</w:t>
            </w:r>
          </w:p>
        </w:tc>
      </w:tr>
      <w:tr w:rsidR="000237CB" w:rsidRPr="000237CB" w14:paraId="34374B4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43EC5F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w:t>
            </w:r>
          </w:p>
        </w:tc>
        <w:tc>
          <w:tcPr>
            <w:tcW w:w="724" w:type="pct"/>
            <w:tcBorders>
              <w:top w:val="nil"/>
              <w:left w:val="nil"/>
              <w:bottom w:val="single" w:sz="4" w:space="0" w:color="auto"/>
              <w:right w:val="single" w:sz="4" w:space="0" w:color="auto"/>
            </w:tcBorders>
            <w:shd w:val="clear" w:color="000000" w:fill="FFFFFF"/>
            <w:noWrap/>
            <w:vAlign w:val="center"/>
            <w:hideMark/>
          </w:tcPr>
          <w:p w14:paraId="673CE8BF"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01010301</w:t>
            </w:r>
          </w:p>
        </w:tc>
        <w:tc>
          <w:tcPr>
            <w:tcW w:w="3966" w:type="pct"/>
            <w:tcBorders>
              <w:top w:val="nil"/>
              <w:left w:val="nil"/>
              <w:bottom w:val="single" w:sz="4" w:space="0" w:color="auto"/>
              <w:right w:val="single" w:sz="4" w:space="0" w:color="auto"/>
            </w:tcBorders>
            <w:shd w:val="clear" w:color="000000" w:fill="FFFFFF"/>
            <w:vAlign w:val="center"/>
            <w:hideMark/>
          </w:tcPr>
          <w:p w14:paraId="26B9CFB0" w14:textId="04AAD858"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Aportes a seguridad social y apo</w:t>
            </w:r>
            <w:r w:rsidR="00195DA4">
              <w:rPr>
                <w:rFonts w:cs="Calibri"/>
                <w:i/>
                <w:iCs/>
                <w:sz w:val="18"/>
                <w:szCs w:val="18"/>
                <w:lang w:val="es-CO" w:eastAsia="es-CO"/>
              </w:rPr>
              <w:t>r</w:t>
            </w:r>
            <w:r w:rsidRPr="000237CB">
              <w:rPr>
                <w:rFonts w:cs="Calibri"/>
                <w:i/>
                <w:iCs/>
                <w:sz w:val="18"/>
                <w:szCs w:val="18"/>
                <w:lang w:val="es-CO" w:eastAsia="es-CO"/>
              </w:rPr>
              <w:t>tes a la nómina - Establecidas en el CST o el REP</w:t>
            </w:r>
          </w:p>
        </w:tc>
      </w:tr>
      <w:tr w:rsidR="000237CB" w:rsidRPr="000237CB" w14:paraId="75DD6154"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50B0EA4F"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w:t>
            </w:r>
          </w:p>
        </w:tc>
        <w:tc>
          <w:tcPr>
            <w:tcW w:w="724" w:type="pct"/>
            <w:tcBorders>
              <w:top w:val="nil"/>
              <w:left w:val="nil"/>
              <w:bottom w:val="single" w:sz="4" w:space="0" w:color="auto"/>
              <w:right w:val="single" w:sz="4" w:space="0" w:color="auto"/>
            </w:tcBorders>
            <w:shd w:val="clear" w:color="000000" w:fill="FFFFFF"/>
            <w:noWrap/>
            <w:vAlign w:val="center"/>
            <w:hideMark/>
          </w:tcPr>
          <w:p w14:paraId="2E19C8D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01010600</w:t>
            </w:r>
          </w:p>
        </w:tc>
        <w:tc>
          <w:tcPr>
            <w:tcW w:w="3966" w:type="pct"/>
            <w:tcBorders>
              <w:top w:val="nil"/>
              <w:left w:val="nil"/>
              <w:bottom w:val="single" w:sz="4" w:space="0" w:color="auto"/>
              <w:right w:val="single" w:sz="4" w:space="0" w:color="auto"/>
            </w:tcBorders>
            <w:shd w:val="clear" w:color="000000" w:fill="FFFFFF"/>
            <w:noWrap/>
            <w:vAlign w:val="center"/>
            <w:hideMark/>
          </w:tcPr>
          <w:p w14:paraId="2E3BC344"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Terminación del vínculo laboral</w:t>
            </w:r>
          </w:p>
        </w:tc>
      </w:tr>
      <w:tr w:rsidR="000237CB" w:rsidRPr="000237CB" w14:paraId="2092C256"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6BCE4B8"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5</w:t>
            </w:r>
          </w:p>
        </w:tc>
        <w:tc>
          <w:tcPr>
            <w:tcW w:w="724" w:type="pct"/>
            <w:tcBorders>
              <w:top w:val="nil"/>
              <w:left w:val="nil"/>
              <w:bottom w:val="single" w:sz="4" w:space="0" w:color="auto"/>
              <w:right w:val="single" w:sz="4" w:space="0" w:color="auto"/>
            </w:tcBorders>
            <w:shd w:val="clear" w:color="000000" w:fill="FFFFFF"/>
            <w:noWrap/>
            <w:vAlign w:val="center"/>
            <w:hideMark/>
          </w:tcPr>
          <w:p w14:paraId="579F4B52"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01011000</w:t>
            </w:r>
          </w:p>
        </w:tc>
        <w:tc>
          <w:tcPr>
            <w:tcW w:w="3966" w:type="pct"/>
            <w:tcBorders>
              <w:top w:val="nil"/>
              <w:left w:val="nil"/>
              <w:bottom w:val="single" w:sz="4" w:space="0" w:color="auto"/>
              <w:right w:val="single" w:sz="4" w:space="0" w:color="auto"/>
            </w:tcBorders>
            <w:shd w:val="clear" w:color="000000" w:fill="FFFFFF"/>
            <w:noWrap/>
            <w:vAlign w:val="center"/>
            <w:hideMark/>
          </w:tcPr>
          <w:p w14:paraId="151978E2"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Gastos de personal sin vínculo laboral</w:t>
            </w:r>
          </w:p>
        </w:tc>
      </w:tr>
      <w:tr w:rsidR="000237CB" w:rsidRPr="000237CB" w14:paraId="0DA2B642"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F63B3CF"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6</w:t>
            </w:r>
          </w:p>
        </w:tc>
        <w:tc>
          <w:tcPr>
            <w:tcW w:w="724" w:type="pct"/>
            <w:tcBorders>
              <w:top w:val="nil"/>
              <w:left w:val="nil"/>
              <w:bottom w:val="single" w:sz="4" w:space="0" w:color="auto"/>
              <w:right w:val="single" w:sz="4" w:space="0" w:color="auto"/>
            </w:tcBorders>
            <w:shd w:val="clear" w:color="000000" w:fill="FFFFFF"/>
            <w:noWrap/>
            <w:vAlign w:val="center"/>
            <w:hideMark/>
          </w:tcPr>
          <w:p w14:paraId="3EF5FCF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01020100</w:t>
            </w:r>
          </w:p>
        </w:tc>
        <w:tc>
          <w:tcPr>
            <w:tcW w:w="3966" w:type="pct"/>
            <w:tcBorders>
              <w:top w:val="nil"/>
              <w:left w:val="nil"/>
              <w:bottom w:val="single" w:sz="4" w:space="0" w:color="auto"/>
              <w:right w:val="single" w:sz="4" w:space="0" w:color="auto"/>
            </w:tcBorders>
            <w:shd w:val="clear" w:color="000000" w:fill="FFFFFF"/>
            <w:noWrap/>
            <w:vAlign w:val="center"/>
            <w:hideMark/>
          </w:tcPr>
          <w:p w14:paraId="7DF677BA"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Gastos de organización y puesta en marcha</w:t>
            </w:r>
          </w:p>
        </w:tc>
      </w:tr>
      <w:tr w:rsidR="000237CB" w:rsidRPr="000237CB" w14:paraId="3DB5578C"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02867EB"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7</w:t>
            </w:r>
          </w:p>
        </w:tc>
        <w:tc>
          <w:tcPr>
            <w:tcW w:w="724" w:type="pct"/>
            <w:tcBorders>
              <w:top w:val="nil"/>
              <w:left w:val="nil"/>
              <w:bottom w:val="single" w:sz="4" w:space="0" w:color="auto"/>
              <w:right w:val="single" w:sz="4" w:space="0" w:color="auto"/>
            </w:tcBorders>
            <w:shd w:val="clear" w:color="000000" w:fill="FFFFFF"/>
            <w:noWrap/>
            <w:vAlign w:val="center"/>
            <w:hideMark/>
          </w:tcPr>
          <w:p w14:paraId="192771B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01020200</w:t>
            </w:r>
          </w:p>
        </w:tc>
        <w:tc>
          <w:tcPr>
            <w:tcW w:w="3966" w:type="pct"/>
            <w:tcBorders>
              <w:top w:val="nil"/>
              <w:left w:val="nil"/>
              <w:bottom w:val="single" w:sz="4" w:space="0" w:color="auto"/>
              <w:right w:val="single" w:sz="4" w:space="0" w:color="auto"/>
            </w:tcBorders>
            <w:shd w:val="clear" w:color="000000" w:fill="FFFFFF"/>
            <w:noWrap/>
            <w:vAlign w:val="center"/>
            <w:hideMark/>
          </w:tcPr>
          <w:p w14:paraId="19428766"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Estudios y proyectos</w:t>
            </w:r>
          </w:p>
        </w:tc>
      </w:tr>
      <w:tr w:rsidR="000237CB" w:rsidRPr="000237CB" w14:paraId="04F73644"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7C2FC4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8</w:t>
            </w:r>
          </w:p>
        </w:tc>
        <w:tc>
          <w:tcPr>
            <w:tcW w:w="724" w:type="pct"/>
            <w:tcBorders>
              <w:top w:val="nil"/>
              <w:left w:val="nil"/>
              <w:bottom w:val="single" w:sz="4" w:space="0" w:color="auto"/>
              <w:right w:val="single" w:sz="4" w:space="0" w:color="auto"/>
            </w:tcBorders>
            <w:shd w:val="clear" w:color="000000" w:fill="FFFFFF"/>
            <w:noWrap/>
            <w:vAlign w:val="center"/>
            <w:hideMark/>
          </w:tcPr>
          <w:p w14:paraId="1E54A92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01020500</w:t>
            </w:r>
          </w:p>
        </w:tc>
        <w:tc>
          <w:tcPr>
            <w:tcW w:w="3966" w:type="pct"/>
            <w:tcBorders>
              <w:top w:val="nil"/>
              <w:left w:val="nil"/>
              <w:bottom w:val="single" w:sz="4" w:space="0" w:color="auto"/>
              <w:right w:val="single" w:sz="4" w:space="0" w:color="auto"/>
            </w:tcBorders>
            <w:shd w:val="clear" w:color="000000" w:fill="FFFFFF"/>
            <w:noWrap/>
            <w:vAlign w:val="center"/>
            <w:hideMark/>
          </w:tcPr>
          <w:p w14:paraId="30E90419"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 xml:space="preserve">Gastos de administración y funcionamiento </w:t>
            </w:r>
          </w:p>
        </w:tc>
      </w:tr>
      <w:tr w:rsidR="000237CB" w:rsidRPr="000237CB" w14:paraId="5CA9C03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DEF769A"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9</w:t>
            </w:r>
          </w:p>
        </w:tc>
        <w:tc>
          <w:tcPr>
            <w:tcW w:w="724" w:type="pct"/>
            <w:tcBorders>
              <w:top w:val="nil"/>
              <w:left w:val="nil"/>
              <w:bottom w:val="single" w:sz="4" w:space="0" w:color="auto"/>
              <w:right w:val="single" w:sz="4" w:space="0" w:color="auto"/>
            </w:tcBorders>
            <w:shd w:val="clear" w:color="000000" w:fill="FFFFFF"/>
            <w:noWrap/>
            <w:vAlign w:val="center"/>
            <w:hideMark/>
          </w:tcPr>
          <w:p w14:paraId="76A5C6B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01020600</w:t>
            </w:r>
          </w:p>
        </w:tc>
        <w:tc>
          <w:tcPr>
            <w:tcW w:w="3966" w:type="pct"/>
            <w:tcBorders>
              <w:top w:val="nil"/>
              <w:left w:val="nil"/>
              <w:bottom w:val="single" w:sz="4" w:space="0" w:color="auto"/>
              <w:right w:val="single" w:sz="4" w:space="0" w:color="auto"/>
            </w:tcBorders>
            <w:shd w:val="clear" w:color="000000" w:fill="FFFFFF"/>
            <w:noWrap/>
            <w:vAlign w:val="center"/>
            <w:hideMark/>
          </w:tcPr>
          <w:p w14:paraId="50C4387C"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Arrendamiento operativo</w:t>
            </w:r>
          </w:p>
        </w:tc>
      </w:tr>
      <w:tr w:rsidR="000237CB" w:rsidRPr="000237CB" w14:paraId="263A394E"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10AB07B"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10</w:t>
            </w:r>
          </w:p>
        </w:tc>
        <w:tc>
          <w:tcPr>
            <w:tcW w:w="724" w:type="pct"/>
            <w:tcBorders>
              <w:top w:val="nil"/>
              <w:left w:val="nil"/>
              <w:bottom w:val="single" w:sz="4" w:space="0" w:color="auto"/>
              <w:right w:val="single" w:sz="4" w:space="0" w:color="auto"/>
            </w:tcBorders>
            <w:shd w:val="clear" w:color="000000" w:fill="FFFFFF"/>
            <w:noWrap/>
            <w:vAlign w:val="center"/>
            <w:hideMark/>
          </w:tcPr>
          <w:p w14:paraId="02212B7D"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01030100</w:t>
            </w:r>
          </w:p>
        </w:tc>
        <w:tc>
          <w:tcPr>
            <w:tcW w:w="3966" w:type="pct"/>
            <w:tcBorders>
              <w:top w:val="nil"/>
              <w:left w:val="nil"/>
              <w:bottom w:val="single" w:sz="4" w:space="0" w:color="auto"/>
              <w:right w:val="single" w:sz="4" w:space="0" w:color="auto"/>
            </w:tcBorders>
            <w:shd w:val="clear" w:color="000000" w:fill="FFFFFF"/>
            <w:noWrap/>
            <w:vAlign w:val="center"/>
            <w:hideMark/>
          </w:tcPr>
          <w:p w14:paraId="4D8E14DB"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Impuestos municipales y de operación</w:t>
            </w:r>
          </w:p>
        </w:tc>
      </w:tr>
      <w:tr w:rsidR="000237CB" w:rsidRPr="000237CB" w14:paraId="78B5CA68"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758F99F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11</w:t>
            </w:r>
          </w:p>
        </w:tc>
        <w:tc>
          <w:tcPr>
            <w:tcW w:w="724" w:type="pct"/>
            <w:tcBorders>
              <w:top w:val="nil"/>
              <w:left w:val="nil"/>
              <w:bottom w:val="single" w:sz="4" w:space="0" w:color="auto"/>
              <w:right w:val="single" w:sz="4" w:space="0" w:color="auto"/>
            </w:tcBorders>
            <w:shd w:val="clear" w:color="000000" w:fill="FFFFFF"/>
            <w:noWrap/>
            <w:vAlign w:val="center"/>
            <w:hideMark/>
          </w:tcPr>
          <w:p w14:paraId="2111743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01030200</w:t>
            </w:r>
          </w:p>
        </w:tc>
        <w:tc>
          <w:tcPr>
            <w:tcW w:w="3966" w:type="pct"/>
            <w:tcBorders>
              <w:top w:val="nil"/>
              <w:left w:val="nil"/>
              <w:bottom w:val="single" w:sz="4" w:space="0" w:color="auto"/>
              <w:right w:val="single" w:sz="4" w:space="0" w:color="auto"/>
            </w:tcBorders>
            <w:shd w:val="clear" w:color="000000" w:fill="FFFFFF"/>
            <w:noWrap/>
            <w:vAlign w:val="center"/>
            <w:hideMark/>
          </w:tcPr>
          <w:p w14:paraId="35A333C6"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 predial unificado</w:t>
            </w:r>
          </w:p>
        </w:tc>
      </w:tr>
      <w:tr w:rsidR="000237CB" w:rsidRPr="000237CB" w14:paraId="74D50FA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6E55E80F"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12</w:t>
            </w:r>
          </w:p>
        </w:tc>
        <w:tc>
          <w:tcPr>
            <w:tcW w:w="724" w:type="pct"/>
            <w:tcBorders>
              <w:top w:val="nil"/>
              <w:left w:val="nil"/>
              <w:bottom w:val="single" w:sz="4" w:space="0" w:color="auto"/>
              <w:right w:val="single" w:sz="4" w:space="0" w:color="auto"/>
            </w:tcBorders>
            <w:shd w:val="clear" w:color="000000" w:fill="FFFFFF"/>
            <w:noWrap/>
            <w:vAlign w:val="center"/>
            <w:hideMark/>
          </w:tcPr>
          <w:p w14:paraId="70B46C26"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01030300</w:t>
            </w:r>
          </w:p>
        </w:tc>
        <w:tc>
          <w:tcPr>
            <w:tcW w:w="3966" w:type="pct"/>
            <w:tcBorders>
              <w:top w:val="nil"/>
              <w:left w:val="nil"/>
              <w:bottom w:val="single" w:sz="4" w:space="0" w:color="auto"/>
              <w:right w:val="single" w:sz="4" w:space="0" w:color="auto"/>
            </w:tcBorders>
            <w:shd w:val="clear" w:color="000000" w:fill="FFFFFF"/>
            <w:noWrap/>
            <w:vAlign w:val="center"/>
            <w:hideMark/>
          </w:tcPr>
          <w:p w14:paraId="54A5F2CD"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 de industria y comercio</w:t>
            </w:r>
          </w:p>
        </w:tc>
      </w:tr>
      <w:tr w:rsidR="000237CB" w:rsidRPr="000237CB" w14:paraId="20801896"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7BEF3F5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13</w:t>
            </w:r>
          </w:p>
        </w:tc>
        <w:tc>
          <w:tcPr>
            <w:tcW w:w="724" w:type="pct"/>
            <w:tcBorders>
              <w:top w:val="nil"/>
              <w:left w:val="nil"/>
              <w:bottom w:val="single" w:sz="4" w:space="0" w:color="auto"/>
              <w:right w:val="single" w:sz="4" w:space="0" w:color="auto"/>
            </w:tcBorders>
            <w:shd w:val="clear" w:color="000000" w:fill="FFFFFF"/>
            <w:noWrap/>
            <w:vAlign w:val="center"/>
            <w:hideMark/>
          </w:tcPr>
          <w:p w14:paraId="245CE8A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01030400</w:t>
            </w:r>
          </w:p>
        </w:tc>
        <w:tc>
          <w:tcPr>
            <w:tcW w:w="3966" w:type="pct"/>
            <w:tcBorders>
              <w:top w:val="nil"/>
              <w:left w:val="nil"/>
              <w:bottom w:val="single" w:sz="4" w:space="0" w:color="auto"/>
              <w:right w:val="single" w:sz="4" w:space="0" w:color="auto"/>
            </w:tcBorders>
            <w:shd w:val="clear" w:color="000000" w:fill="FFFFFF"/>
            <w:noWrap/>
            <w:vAlign w:val="center"/>
            <w:hideMark/>
          </w:tcPr>
          <w:p w14:paraId="1B5653F8"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 sobre vehículos automotores</w:t>
            </w:r>
          </w:p>
        </w:tc>
      </w:tr>
      <w:tr w:rsidR="000237CB" w:rsidRPr="000237CB" w14:paraId="3FACF534"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2E83D88"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14</w:t>
            </w:r>
          </w:p>
        </w:tc>
        <w:tc>
          <w:tcPr>
            <w:tcW w:w="724" w:type="pct"/>
            <w:tcBorders>
              <w:top w:val="nil"/>
              <w:left w:val="nil"/>
              <w:bottom w:val="single" w:sz="4" w:space="0" w:color="auto"/>
              <w:right w:val="single" w:sz="4" w:space="0" w:color="auto"/>
            </w:tcBorders>
            <w:shd w:val="clear" w:color="000000" w:fill="FFFFFF"/>
            <w:noWrap/>
            <w:vAlign w:val="center"/>
            <w:hideMark/>
          </w:tcPr>
          <w:p w14:paraId="228D4BBF"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01030500</w:t>
            </w:r>
          </w:p>
        </w:tc>
        <w:tc>
          <w:tcPr>
            <w:tcW w:w="3966" w:type="pct"/>
            <w:tcBorders>
              <w:top w:val="nil"/>
              <w:left w:val="nil"/>
              <w:bottom w:val="single" w:sz="4" w:space="0" w:color="auto"/>
              <w:right w:val="single" w:sz="4" w:space="0" w:color="auto"/>
            </w:tcBorders>
            <w:shd w:val="clear" w:color="000000" w:fill="FFFFFF"/>
            <w:noWrap/>
            <w:vAlign w:val="center"/>
            <w:hideMark/>
          </w:tcPr>
          <w:p w14:paraId="219FA0DA"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 a las ventas, IVA no descontable</w:t>
            </w:r>
          </w:p>
        </w:tc>
      </w:tr>
      <w:tr w:rsidR="000237CB" w:rsidRPr="000237CB" w14:paraId="5ABE09E0"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5A266ED2"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15</w:t>
            </w:r>
          </w:p>
        </w:tc>
        <w:tc>
          <w:tcPr>
            <w:tcW w:w="724" w:type="pct"/>
            <w:tcBorders>
              <w:top w:val="nil"/>
              <w:left w:val="nil"/>
              <w:bottom w:val="single" w:sz="4" w:space="0" w:color="auto"/>
              <w:right w:val="single" w:sz="4" w:space="0" w:color="auto"/>
            </w:tcBorders>
            <w:shd w:val="clear" w:color="000000" w:fill="FFFFFF"/>
            <w:noWrap/>
            <w:vAlign w:val="center"/>
            <w:hideMark/>
          </w:tcPr>
          <w:p w14:paraId="0F7661E8"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01030600</w:t>
            </w:r>
          </w:p>
        </w:tc>
        <w:tc>
          <w:tcPr>
            <w:tcW w:w="3966" w:type="pct"/>
            <w:tcBorders>
              <w:top w:val="nil"/>
              <w:left w:val="nil"/>
              <w:bottom w:val="single" w:sz="4" w:space="0" w:color="auto"/>
              <w:right w:val="single" w:sz="4" w:space="0" w:color="auto"/>
            </w:tcBorders>
            <w:shd w:val="clear" w:color="000000" w:fill="FFFFFF"/>
            <w:noWrap/>
            <w:vAlign w:val="center"/>
            <w:hideMark/>
          </w:tcPr>
          <w:p w14:paraId="4B96BF2C"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Gravamen a los movimientos financieros</w:t>
            </w:r>
          </w:p>
        </w:tc>
      </w:tr>
      <w:tr w:rsidR="000237CB" w:rsidRPr="000237CB" w14:paraId="6519BEA0"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799531F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16</w:t>
            </w:r>
          </w:p>
        </w:tc>
        <w:tc>
          <w:tcPr>
            <w:tcW w:w="724" w:type="pct"/>
            <w:tcBorders>
              <w:top w:val="nil"/>
              <w:left w:val="nil"/>
              <w:bottom w:val="single" w:sz="4" w:space="0" w:color="auto"/>
              <w:right w:val="single" w:sz="4" w:space="0" w:color="auto"/>
            </w:tcBorders>
            <w:shd w:val="clear" w:color="000000" w:fill="FFFFFF"/>
            <w:noWrap/>
            <w:vAlign w:val="center"/>
            <w:hideMark/>
          </w:tcPr>
          <w:p w14:paraId="6BABDF92"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01031000</w:t>
            </w:r>
          </w:p>
        </w:tc>
        <w:tc>
          <w:tcPr>
            <w:tcW w:w="3966" w:type="pct"/>
            <w:tcBorders>
              <w:top w:val="nil"/>
              <w:left w:val="nil"/>
              <w:bottom w:val="single" w:sz="4" w:space="0" w:color="auto"/>
              <w:right w:val="single" w:sz="4" w:space="0" w:color="auto"/>
            </w:tcBorders>
            <w:shd w:val="clear" w:color="000000" w:fill="FFFFFF"/>
            <w:noWrap/>
            <w:vAlign w:val="center"/>
            <w:hideMark/>
          </w:tcPr>
          <w:p w14:paraId="3BACDF72"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 de alumbrado público</w:t>
            </w:r>
          </w:p>
        </w:tc>
      </w:tr>
      <w:tr w:rsidR="000237CB" w:rsidRPr="000237CB" w14:paraId="64471113"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3BFEE6C"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17</w:t>
            </w:r>
          </w:p>
        </w:tc>
        <w:tc>
          <w:tcPr>
            <w:tcW w:w="724" w:type="pct"/>
            <w:tcBorders>
              <w:top w:val="nil"/>
              <w:left w:val="nil"/>
              <w:bottom w:val="single" w:sz="4" w:space="0" w:color="auto"/>
              <w:right w:val="single" w:sz="4" w:space="0" w:color="auto"/>
            </w:tcBorders>
            <w:shd w:val="clear" w:color="000000" w:fill="FFFFFF"/>
            <w:noWrap/>
            <w:vAlign w:val="center"/>
            <w:hideMark/>
          </w:tcPr>
          <w:p w14:paraId="352A7DE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01060100</w:t>
            </w:r>
          </w:p>
        </w:tc>
        <w:tc>
          <w:tcPr>
            <w:tcW w:w="3966" w:type="pct"/>
            <w:tcBorders>
              <w:top w:val="nil"/>
              <w:left w:val="nil"/>
              <w:bottom w:val="single" w:sz="4" w:space="0" w:color="auto"/>
              <w:right w:val="single" w:sz="4" w:space="0" w:color="auto"/>
            </w:tcBorders>
            <w:shd w:val="clear" w:color="000000" w:fill="FFFFFF"/>
            <w:noWrap/>
            <w:vAlign w:val="center"/>
            <w:hideMark/>
          </w:tcPr>
          <w:p w14:paraId="3A2BCFA5"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Depreciación</w:t>
            </w:r>
          </w:p>
        </w:tc>
      </w:tr>
      <w:tr w:rsidR="000237CB" w:rsidRPr="000237CB" w14:paraId="5F0C98E9"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7F2C8BB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18</w:t>
            </w:r>
          </w:p>
        </w:tc>
        <w:tc>
          <w:tcPr>
            <w:tcW w:w="724" w:type="pct"/>
            <w:tcBorders>
              <w:top w:val="nil"/>
              <w:left w:val="nil"/>
              <w:bottom w:val="single" w:sz="4" w:space="0" w:color="auto"/>
              <w:right w:val="single" w:sz="4" w:space="0" w:color="auto"/>
            </w:tcBorders>
            <w:shd w:val="clear" w:color="000000" w:fill="FFFFFF"/>
            <w:noWrap/>
            <w:vAlign w:val="center"/>
            <w:hideMark/>
          </w:tcPr>
          <w:p w14:paraId="6AF93C4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02010100</w:t>
            </w:r>
          </w:p>
        </w:tc>
        <w:tc>
          <w:tcPr>
            <w:tcW w:w="3966" w:type="pct"/>
            <w:tcBorders>
              <w:top w:val="nil"/>
              <w:left w:val="nil"/>
              <w:bottom w:val="single" w:sz="4" w:space="0" w:color="auto"/>
              <w:right w:val="single" w:sz="4" w:space="0" w:color="auto"/>
            </w:tcBorders>
            <w:shd w:val="clear" w:color="000000" w:fill="FFFFFF"/>
            <w:noWrap/>
            <w:vAlign w:val="center"/>
            <w:hideMark/>
          </w:tcPr>
          <w:p w14:paraId="768B5F2A"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Sueldos y salarios</w:t>
            </w:r>
          </w:p>
        </w:tc>
      </w:tr>
      <w:tr w:rsidR="000237CB" w:rsidRPr="000237CB" w14:paraId="43D4D7E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2571F208"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19</w:t>
            </w:r>
          </w:p>
        </w:tc>
        <w:tc>
          <w:tcPr>
            <w:tcW w:w="724" w:type="pct"/>
            <w:tcBorders>
              <w:top w:val="nil"/>
              <w:left w:val="nil"/>
              <w:bottom w:val="single" w:sz="4" w:space="0" w:color="auto"/>
              <w:right w:val="single" w:sz="4" w:space="0" w:color="auto"/>
            </w:tcBorders>
            <w:shd w:val="clear" w:color="000000" w:fill="FFFFFF"/>
            <w:noWrap/>
            <w:vAlign w:val="center"/>
            <w:hideMark/>
          </w:tcPr>
          <w:p w14:paraId="1F5EF493"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02010201</w:t>
            </w:r>
          </w:p>
        </w:tc>
        <w:tc>
          <w:tcPr>
            <w:tcW w:w="3966" w:type="pct"/>
            <w:tcBorders>
              <w:top w:val="nil"/>
              <w:left w:val="nil"/>
              <w:bottom w:val="single" w:sz="4" w:space="0" w:color="auto"/>
              <w:right w:val="single" w:sz="4" w:space="0" w:color="auto"/>
            </w:tcBorders>
            <w:shd w:val="clear" w:color="000000" w:fill="FFFFFF"/>
            <w:vAlign w:val="center"/>
            <w:hideMark/>
          </w:tcPr>
          <w:p w14:paraId="18D972D0"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Primas y prestaciones sociales - Establecidas en el CST o el REP</w:t>
            </w:r>
          </w:p>
        </w:tc>
      </w:tr>
      <w:tr w:rsidR="000237CB" w:rsidRPr="000237CB" w14:paraId="58758C6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17952F7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20</w:t>
            </w:r>
          </w:p>
        </w:tc>
        <w:tc>
          <w:tcPr>
            <w:tcW w:w="724" w:type="pct"/>
            <w:tcBorders>
              <w:top w:val="nil"/>
              <w:left w:val="nil"/>
              <w:bottom w:val="single" w:sz="4" w:space="0" w:color="auto"/>
              <w:right w:val="single" w:sz="4" w:space="0" w:color="auto"/>
            </w:tcBorders>
            <w:shd w:val="clear" w:color="000000" w:fill="FFFFFF"/>
            <w:noWrap/>
            <w:vAlign w:val="center"/>
            <w:hideMark/>
          </w:tcPr>
          <w:p w14:paraId="514A33E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02010301</w:t>
            </w:r>
          </w:p>
        </w:tc>
        <w:tc>
          <w:tcPr>
            <w:tcW w:w="3966" w:type="pct"/>
            <w:tcBorders>
              <w:top w:val="nil"/>
              <w:left w:val="nil"/>
              <w:bottom w:val="single" w:sz="4" w:space="0" w:color="auto"/>
              <w:right w:val="single" w:sz="4" w:space="0" w:color="auto"/>
            </w:tcBorders>
            <w:shd w:val="clear" w:color="000000" w:fill="FFFFFF"/>
            <w:vAlign w:val="center"/>
            <w:hideMark/>
          </w:tcPr>
          <w:p w14:paraId="26B7138B" w14:textId="1F192E89"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Aportes a seguridad social y apo</w:t>
            </w:r>
            <w:r w:rsidR="00195DA4">
              <w:rPr>
                <w:rFonts w:cs="Calibri"/>
                <w:i/>
                <w:iCs/>
                <w:sz w:val="18"/>
                <w:szCs w:val="18"/>
                <w:lang w:val="es-CO" w:eastAsia="es-CO"/>
              </w:rPr>
              <w:t>r</w:t>
            </w:r>
            <w:r w:rsidRPr="000237CB">
              <w:rPr>
                <w:rFonts w:cs="Calibri"/>
                <w:i/>
                <w:iCs/>
                <w:sz w:val="18"/>
                <w:szCs w:val="18"/>
                <w:lang w:val="es-CO" w:eastAsia="es-CO"/>
              </w:rPr>
              <w:t>tes a la nómina - Establecidas en el CST o el REP</w:t>
            </w:r>
          </w:p>
        </w:tc>
      </w:tr>
      <w:tr w:rsidR="000237CB" w:rsidRPr="000237CB" w14:paraId="7864B712"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098C54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21</w:t>
            </w:r>
          </w:p>
        </w:tc>
        <w:tc>
          <w:tcPr>
            <w:tcW w:w="724" w:type="pct"/>
            <w:tcBorders>
              <w:top w:val="nil"/>
              <w:left w:val="nil"/>
              <w:bottom w:val="single" w:sz="4" w:space="0" w:color="auto"/>
              <w:right w:val="single" w:sz="4" w:space="0" w:color="auto"/>
            </w:tcBorders>
            <w:shd w:val="clear" w:color="000000" w:fill="FFFFFF"/>
            <w:noWrap/>
            <w:vAlign w:val="center"/>
            <w:hideMark/>
          </w:tcPr>
          <w:p w14:paraId="6FD61268"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02010600</w:t>
            </w:r>
          </w:p>
        </w:tc>
        <w:tc>
          <w:tcPr>
            <w:tcW w:w="3966" w:type="pct"/>
            <w:tcBorders>
              <w:top w:val="nil"/>
              <w:left w:val="nil"/>
              <w:bottom w:val="single" w:sz="4" w:space="0" w:color="auto"/>
              <w:right w:val="single" w:sz="4" w:space="0" w:color="auto"/>
            </w:tcBorders>
            <w:shd w:val="clear" w:color="000000" w:fill="FFFFFF"/>
            <w:noWrap/>
            <w:vAlign w:val="center"/>
            <w:hideMark/>
          </w:tcPr>
          <w:p w14:paraId="028D0E28"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Terminación del vínculo laboral</w:t>
            </w:r>
          </w:p>
        </w:tc>
      </w:tr>
      <w:tr w:rsidR="000237CB" w:rsidRPr="000237CB" w14:paraId="7B0DAB42"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AD023A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22</w:t>
            </w:r>
          </w:p>
        </w:tc>
        <w:tc>
          <w:tcPr>
            <w:tcW w:w="724" w:type="pct"/>
            <w:tcBorders>
              <w:top w:val="nil"/>
              <w:left w:val="nil"/>
              <w:bottom w:val="single" w:sz="4" w:space="0" w:color="auto"/>
              <w:right w:val="single" w:sz="4" w:space="0" w:color="auto"/>
            </w:tcBorders>
            <w:shd w:val="clear" w:color="000000" w:fill="FFFFFF"/>
            <w:noWrap/>
            <w:vAlign w:val="center"/>
            <w:hideMark/>
          </w:tcPr>
          <w:p w14:paraId="2DF3AC3C"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02011000</w:t>
            </w:r>
          </w:p>
        </w:tc>
        <w:tc>
          <w:tcPr>
            <w:tcW w:w="3966" w:type="pct"/>
            <w:tcBorders>
              <w:top w:val="nil"/>
              <w:left w:val="nil"/>
              <w:bottom w:val="single" w:sz="4" w:space="0" w:color="auto"/>
              <w:right w:val="single" w:sz="4" w:space="0" w:color="auto"/>
            </w:tcBorders>
            <w:shd w:val="clear" w:color="000000" w:fill="FFFFFF"/>
            <w:noWrap/>
            <w:vAlign w:val="center"/>
            <w:hideMark/>
          </w:tcPr>
          <w:p w14:paraId="78233DFB"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Gastos de personal sin vínculo laboral</w:t>
            </w:r>
          </w:p>
        </w:tc>
      </w:tr>
      <w:tr w:rsidR="000237CB" w:rsidRPr="000237CB" w14:paraId="79674909"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5670048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lastRenderedPageBreak/>
              <w:t>23</w:t>
            </w:r>
          </w:p>
        </w:tc>
        <w:tc>
          <w:tcPr>
            <w:tcW w:w="724" w:type="pct"/>
            <w:tcBorders>
              <w:top w:val="nil"/>
              <w:left w:val="nil"/>
              <w:bottom w:val="single" w:sz="4" w:space="0" w:color="auto"/>
              <w:right w:val="single" w:sz="4" w:space="0" w:color="auto"/>
            </w:tcBorders>
            <w:shd w:val="clear" w:color="000000" w:fill="FFFFFF"/>
            <w:noWrap/>
            <w:vAlign w:val="center"/>
            <w:hideMark/>
          </w:tcPr>
          <w:p w14:paraId="226A8B22"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02020100</w:t>
            </w:r>
          </w:p>
        </w:tc>
        <w:tc>
          <w:tcPr>
            <w:tcW w:w="3966" w:type="pct"/>
            <w:tcBorders>
              <w:top w:val="nil"/>
              <w:left w:val="nil"/>
              <w:bottom w:val="single" w:sz="4" w:space="0" w:color="auto"/>
              <w:right w:val="single" w:sz="4" w:space="0" w:color="auto"/>
            </w:tcBorders>
            <w:shd w:val="clear" w:color="000000" w:fill="FFFFFF"/>
            <w:noWrap/>
            <w:vAlign w:val="center"/>
            <w:hideMark/>
          </w:tcPr>
          <w:p w14:paraId="6C6853E4"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Estudios y proyectos</w:t>
            </w:r>
          </w:p>
        </w:tc>
      </w:tr>
      <w:tr w:rsidR="000237CB" w:rsidRPr="000237CB" w14:paraId="2ADD450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A69DE2D"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24</w:t>
            </w:r>
          </w:p>
        </w:tc>
        <w:tc>
          <w:tcPr>
            <w:tcW w:w="724" w:type="pct"/>
            <w:tcBorders>
              <w:top w:val="nil"/>
              <w:left w:val="nil"/>
              <w:bottom w:val="single" w:sz="4" w:space="0" w:color="auto"/>
              <w:right w:val="single" w:sz="4" w:space="0" w:color="auto"/>
            </w:tcBorders>
            <w:shd w:val="clear" w:color="000000" w:fill="FFFFFF"/>
            <w:noWrap/>
            <w:vAlign w:val="center"/>
            <w:hideMark/>
          </w:tcPr>
          <w:p w14:paraId="1A7D1A3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02020300</w:t>
            </w:r>
          </w:p>
        </w:tc>
        <w:tc>
          <w:tcPr>
            <w:tcW w:w="3966" w:type="pct"/>
            <w:tcBorders>
              <w:top w:val="nil"/>
              <w:left w:val="nil"/>
              <w:bottom w:val="single" w:sz="4" w:space="0" w:color="auto"/>
              <w:right w:val="single" w:sz="4" w:space="0" w:color="auto"/>
            </w:tcBorders>
            <w:shd w:val="clear" w:color="000000" w:fill="FFFFFF"/>
            <w:noWrap/>
            <w:vAlign w:val="center"/>
            <w:hideMark/>
          </w:tcPr>
          <w:p w14:paraId="4C63C72F"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Promoción y divulgación</w:t>
            </w:r>
          </w:p>
        </w:tc>
      </w:tr>
      <w:tr w:rsidR="000237CB" w:rsidRPr="000237CB" w14:paraId="4C9CD0C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5AE913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25</w:t>
            </w:r>
          </w:p>
        </w:tc>
        <w:tc>
          <w:tcPr>
            <w:tcW w:w="724" w:type="pct"/>
            <w:tcBorders>
              <w:top w:val="nil"/>
              <w:left w:val="nil"/>
              <w:bottom w:val="single" w:sz="4" w:space="0" w:color="auto"/>
              <w:right w:val="single" w:sz="4" w:space="0" w:color="auto"/>
            </w:tcBorders>
            <w:shd w:val="clear" w:color="000000" w:fill="FFFFFF"/>
            <w:noWrap/>
            <w:vAlign w:val="center"/>
            <w:hideMark/>
          </w:tcPr>
          <w:p w14:paraId="150592C5"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02020400</w:t>
            </w:r>
          </w:p>
        </w:tc>
        <w:tc>
          <w:tcPr>
            <w:tcW w:w="3966" w:type="pct"/>
            <w:tcBorders>
              <w:top w:val="nil"/>
              <w:left w:val="nil"/>
              <w:bottom w:val="single" w:sz="4" w:space="0" w:color="auto"/>
              <w:right w:val="single" w:sz="4" w:space="0" w:color="auto"/>
            </w:tcBorders>
            <w:shd w:val="clear" w:color="000000" w:fill="FFFFFF"/>
            <w:noWrap/>
            <w:vAlign w:val="center"/>
            <w:hideMark/>
          </w:tcPr>
          <w:p w14:paraId="11DC545B"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Transporte, fletes y acarreos</w:t>
            </w:r>
          </w:p>
        </w:tc>
      </w:tr>
      <w:tr w:rsidR="000237CB" w:rsidRPr="000237CB" w14:paraId="58427993"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702DC4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26</w:t>
            </w:r>
          </w:p>
        </w:tc>
        <w:tc>
          <w:tcPr>
            <w:tcW w:w="724" w:type="pct"/>
            <w:tcBorders>
              <w:top w:val="nil"/>
              <w:left w:val="nil"/>
              <w:bottom w:val="single" w:sz="4" w:space="0" w:color="auto"/>
              <w:right w:val="single" w:sz="4" w:space="0" w:color="auto"/>
            </w:tcBorders>
            <w:shd w:val="clear" w:color="000000" w:fill="FFFFFF"/>
            <w:noWrap/>
            <w:vAlign w:val="center"/>
            <w:hideMark/>
          </w:tcPr>
          <w:p w14:paraId="03C881A8"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02020500</w:t>
            </w:r>
          </w:p>
        </w:tc>
        <w:tc>
          <w:tcPr>
            <w:tcW w:w="3966" w:type="pct"/>
            <w:tcBorders>
              <w:top w:val="nil"/>
              <w:left w:val="nil"/>
              <w:bottom w:val="single" w:sz="4" w:space="0" w:color="auto"/>
              <w:right w:val="single" w:sz="4" w:space="0" w:color="auto"/>
            </w:tcBorders>
            <w:shd w:val="clear" w:color="000000" w:fill="FFFFFF"/>
            <w:noWrap/>
            <w:vAlign w:val="center"/>
            <w:hideMark/>
          </w:tcPr>
          <w:p w14:paraId="3E22CDEB"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Gastos de operación</w:t>
            </w:r>
          </w:p>
        </w:tc>
      </w:tr>
      <w:tr w:rsidR="000237CB" w:rsidRPr="000237CB" w14:paraId="26881ADE"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93EE80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27</w:t>
            </w:r>
          </w:p>
        </w:tc>
        <w:tc>
          <w:tcPr>
            <w:tcW w:w="724" w:type="pct"/>
            <w:tcBorders>
              <w:top w:val="nil"/>
              <w:left w:val="nil"/>
              <w:bottom w:val="single" w:sz="4" w:space="0" w:color="auto"/>
              <w:right w:val="single" w:sz="4" w:space="0" w:color="auto"/>
            </w:tcBorders>
            <w:shd w:val="clear" w:color="000000" w:fill="FFFFFF"/>
            <w:noWrap/>
            <w:vAlign w:val="center"/>
            <w:hideMark/>
          </w:tcPr>
          <w:p w14:paraId="4D571B8B"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02030100</w:t>
            </w:r>
          </w:p>
        </w:tc>
        <w:tc>
          <w:tcPr>
            <w:tcW w:w="3966" w:type="pct"/>
            <w:tcBorders>
              <w:top w:val="nil"/>
              <w:left w:val="nil"/>
              <w:bottom w:val="single" w:sz="4" w:space="0" w:color="auto"/>
              <w:right w:val="single" w:sz="4" w:space="0" w:color="auto"/>
            </w:tcBorders>
            <w:shd w:val="clear" w:color="000000" w:fill="FFFFFF"/>
            <w:noWrap/>
            <w:vAlign w:val="center"/>
            <w:hideMark/>
          </w:tcPr>
          <w:p w14:paraId="21C891A5"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Impuestos municipales y de operación</w:t>
            </w:r>
          </w:p>
        </w:tc>
      </w:tr>
      <w:tr w:rsidR="000237CB" w:rsidRPr="000237CB" w14:paraId="0AB7F96C"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E7B8BC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28</w:t>
            </w:r>
          </w:p>
        </w:tc>
        <w:tc>
          <w:tcPr>
            <w:tcW w:w="724" w:type="pct"/>
            <w:tcBorders>
              <w:top w:val="nil"/>
              <w:left w:val="nil"/>
              <w:bottom w:val="single" w:sz="4" w:space="0" w:color="auto"/>
              <w:right w:val="single" w:sz="4" w:space="0" w:color="auto"/>
            </w:tcBorders>
            <w:shd w:val="clear" w:color="000000" w:fill="FFFFFF"/>
            <w:noWrap/>
            <w:vAlign w:val="center"/>
            <w:hideMark/>
          </w:tcPr>
          <w:p w14:paraId="74ADC53A"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02030200</w:t>
            </w:r>
          </w:p>
        </w:tc>
        <w:tc>
          <w:tcPr>
            <w:tcW w:w="3966" w:type="pct"/>
            <w:tcBorders>
              <w:top w:val="nil"/>
              <w:left w:val="nil"/>
              <w:bottom w:val="single" w:sz="4" w:space="0" w:color="auto"/>
              <w:right w:val="single" w:sz="4" w:space="0" w:color="auto"/>
            </w:tcBorders>
            <w:shd w:val="clear" w:color="000000" w:fill="FFFFFF"/>
            <w:noWrap/>
            <w:vAlign w:val="center"/>
            <w:hideMark/>
          </w:tcPr>
          <w:p w14:paraId="497438E8"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 predial unificado</w:t>
            </w:r>
          </w:p>
        </w:tc>
      </w:tr>
      <w:tr w:rsidR="000237CB" w:rsidRPr="000237CB" w14:paraId="438FBB3E"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EE84F3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29</w:t>
            </w:r>
          </w:p>
        </w:tc>
        <w:tc>
          <w:tcPr>
            <w:tcW w:w="724" w:type="pct"/>
            <w:tcBorders>
              <w:top w:val="nil"/>
              <w:left w:val="nil"/>
              <w:bottom w:val="single" w:sz="4" w:space="0" w:color="auto"/>
              <w:right w:val="single" w:sz="4" w:space="0" w:color="auto"/>
            </w:tcBorders>
            <w:shd w:val="clear" w:color="000000" w:fill="FFFFFF"/>
            <w:noWrap/>
            <w:vAlign w:val="center"/>
            <w:hideMark/>
          </w:tcPr>
          <w:p w14:paraId="4134E16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02030300</w:t>
            </w:r>
          </w:p>
        </w:tc>
        <w:tc>
          <w:tcPr>
            <w:tcW w:w="3966" w:type="pct"/>
            <w:tcBorders>
              <w:top w:val="nil"/>
              <w:left w:val="nil"/>
              <w:bottom w:val="single" w:sz="4" w:space="0" w:color="auto"/>
              <w:right w:val="single" w:sz="4" w:space="0" w:color="auto"/>
            </w:tcBorders>
            <w:shd w:val="clear" w:color="000000" w:fill="FFFFFF"/>
            <w:noWrap/>
            <w:vAlign w:val="center"/>
            <w:hideMark/>
          </w:tcPr>
          <w:p w14:paraId="24B80B21"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Impuesto sobre vehículos automotores</w:t>
            </w:r>
          </w:p>
        </w:tc>
      </w:tr>
      <w:tr w:rsidR="000237CB" w:rsidRPr="000237CB" w14:paraId="652814E5"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7C0F1395"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30</w:t>
            </w:r>
          </w:p>
        </w:tc>
        <w:tc>
          <w:tcPr>
            <w:tcW w:w="724" w:type="pct"/>
            <w:tcBorders>
              <w:top w:val="nil"/>
              <w:left w:val="nil"/>
              <w:bottom w:val="single" w:sz="4" w:space="0" w:color="auto"/>
              <w:right w:val="single" w:sz="4" w:space="0" w:color="auto"/>
            </w:tcBorders>
            <w:shd w:val="clear" w:color="000000" w:fill="FFFFFF"/>
            <w:noWrap/>
            <w:vAlign w:val="center"/>
            <w:hideMark/>
          </w:tcPr>
          <w:p w14:paraId="696F481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02030400</w:t>
            </w:r>
          </w:p>
        </w:tc>
        <w:tc>
          <w:tcPr>
            <w:tcW w:w="3966" w:type="pct"/>
            <w:tcBorders>
              <w:top w:val="nil"/>
              <w:left w:val="nil"/>
              <w:bottom w:val="single" w:sz="4" w:space="0" w:color="auto"/>
              <w:right w:val="single" w:sz="4" w:space="0" w:color="auto"/>
            </w:tcBorders>
            <w:shd w:val="clear" w:color="000000" w:fill="FFFFFF"/>
            <w:noWrap/>
            <w:vAlign w:val="center"/>
            <w:hideMark/>
          </w:tcPr>
          <w:p w14:paraId="6D2CA7A3"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Otros Impuestos</w:t>
            </w:r>
          </w:p>
        </w:tc>
      </w:tr>
      <w:tr w:rsidR="000237CB" w:rsidRPr="000237CB" w14:paraId="6B3BC0C8"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DB6789F"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31</w:t>
            </w:r>
          </w:p>
        </w:tc>
        <w:tc>
          <w:tcPr>
            <w:tcW w:w="724" w:type="pct"/>
            <w:tcBorders>
              <w:top w:val="nil"/>
              <w:left w:val="nil"/>
              <w:bottom w:val="single" w:sz="4" w:space="0" w:color="auto"/>
              <w:right w:val="single" w:sz="4" w:space="0" w:color="auto"/>
            </w:tcBorders>
            <w:shd w:val="clear" w:color="000000" w:fill="FFFFFF"/>
            <w:noWrap/>
            <w:vAlign w:val="center"/>
            <w:hideMark/>
          </w:tcPr>
          <w:p w14:paraId="6C3E4706"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02040100</w:t>
            </w:r>
          </w:p>
        </w:tc>
        <w:tc>
          <w:tcPr>
            <w:tcW w:w="3966" w:type="pct"/>
            <w:tcBorders>
              <w:top w:val="nil"/>
              <w:left w:val="nil"/>
              <w:bottom w:val="single" w:sz="4" w:space="0" w:color="auto"/>
              <w:right w:val="single" w:sz="4" w:space="0" w:color="auto"/>
            </w:tcBorders>
            <w:shd w:val="clear" w:color="000000" w:fill="FFFFFF"/>
            <w:noWrap/>
            <w:vAlign w:val="center"/>
            <w:hideMark/>
          </w:tcPr>
          <w:p w14:paraId="2C379429"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Terrenos</w:t>
            </w:r>
          </w:p>
        </w:tc>
      </w:tr>
      <w:tr w:rsidR="000237CB" w:rsidRPr="000237CB" w14:paraId="60A4EE75"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6E5FBB5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32</w:t>
            </w:r>
          </w:p>
        </w:tc>
        <w:tc>
          <w:tcPr>
            <w:tcW w:w="724" w:type="pct"/>
            <w:tcBorders>
              <w:top w:val="nil"/>
              <w:left w:val="nil"/>
              <w:bottom w:val="single" w:sz="4" w:space="0" w:color="auto"/>
              <w:right w:val="single" w:sz="4" w:space="0" w:color="auto"/>
            </w:tcBorders>
            <w:shd w:val="clear" w:color="000000" w:fill="FFFFFF"/>
            <w:noWrap/>
            <w:vAlign w:val="center"/>
            <w:hideMark/>
          </w:tcPr>
          <w:p w14:paraId="69A27D53"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02040200</w:t>
            </w:r>
          </w:p>
        </w:tc>
        <w:tc>
          <w:tcPr>
            <w:tcW w:w="3966" w:type="pct"/>
            <w:tcBorders>
              <w:top w:val="nil"/>
              <w:left w:val="nil"/>
              <w:bottom w:val="single" w:sz="4" w:space="0" w:color="auto"/>
              <w:right w:val="single" w:sz="4" w:space="0" w:color="auto"/>
            </w:tcBorders>
            <w:shd w:val="clear" w:color="000000" w:fill="FFFFFF"/>
            <w:noWrap/>
            <w:vAlign w:val="center"/>
            <w:hideMark/>
          </w:tcPr>
          <w:p w14:paraId="19AEC414"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Construcciones y edificaciones</w:t>
            </w:r>
          </w:p>
        </w:tc>
      </w:tr>
      <w:tr w:rsidR="000237CB" w:rsidRPr="000237CB" w14:paraId="1141C8D3"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25CEB6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33</w:t>
            </w:r>
          </w:p>
        </w:tc>
        <w:tc>
          <w:tcPr>
            <w:tcW w:w="724" w:type="pct"/>
            <w:tcBorders>
              <w:top w:val="nil"/>
              <w:left w:val="nil"/>
              <w:bottom w:val="single" w:sz="4" w:space="0" w:color="auto"/>
              <w:right w:val="single" w:sz="4" w:space="0" w:color="auto"/>
            </w:tcBorders>
            <w:shd w:val="clear" w:color="000000" w:fill="FFFFFF"/>
            <w:noWrap/>
            <w:vAlign w:val="center"/>
            <w:hideMark/>
          </w:tcPr>
          <w:p w14:paraId="31BE98CB"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02040300</w:t>
            </w:r>
          </w:p>
        </w:tc>
        <w:tc>
          <w:tcPr>
            <w:tcW w:w="3966" w:type="pct"/>
            <w:tcBorders>
              <w:top w:val="nil"/>
              <w:left w:val="nil"/>
              <w:bottom w:val="single" w:sz="4" w:space="0" w:color="auto"/>
              <w:right w:val="single" w:sz="4" w:space="0" w:color="auto"/>
            </w:tcBorders>
            <w:shd w:val="clear" w:color="000000" w:fill="FFFFFF"/>
            <w:noWrap/>
            <w:vAlign w:val="center"/>
            <w:hideMark/>
          </w:tcPr>
          <w:p w14:paraId="77F87231"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Otros arrendamientos</w:t>
            </w:r>
          </w:p>
        </w:tc>
      </w:tr>
      <w:tr w:rsidR="000237CB" w:rsidRPr="000237CB" w14:paraId="6677477F"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23C2066B"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34</w:t>
            </w:r>
          </w:p>
        </w:tc>
        <w:tc>
          <w:tcPr>
            <w:tcW w:w="724" w:type="pct"/>
            <w:tcBorders>
              <w:top w:val="nil"/>
              <w:left w:val="nil"/>
              <w:bottom w:val="single" w:sz="4" w:space="0" w:color="auto"/>
              <w:right w:val="single" w:sz="4" w:space="0" w:color="auto"/>
            </w:tcBorders>
            <w:shd w:val="clear" w:color="000000" w:fill="FFFFFF"/>
            <w:noWrap/>
            <w:vAlign w:val="center"/>
            <w:hideMark/>
          </w:tcPr>
          <w:p w14:paraId="657D0073"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02050000</w:t>
            </w:r>
          </w:p>
        </w:tc>
        <w:tc>
          <w:tcPr>
            <w:tcW w:w="3966" w:type="pct"/>
            <w:tcBorders>
              <w:top w:val="nil"/>
              <w:left w:val="nil"/>
              <w:bottom w:val="single" w:sz="4" w:space="0" w:color="auto"/>
              <w:right w:val="single" w:sz="4" w:space="0" w:color="auto"/>
            </w:tcBorders>
            <w:shd w:val="clear" w:color="000000" w:fill="FFFFFF"/>
            <w:noWrap/>
            <w:vAlign w:val="center"/>
            <w:hideMark/>
          </w:tcPr>
          <w:p w14:paraId="078723DB"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Depreciaciones</w:t>
            </w:r>
          </w:p>
        </w:tc>
      </w:tr>
      <w:tr w:rsidR="000237CB" w:rsidRPr="000237CB" w14:paraId="1494A881"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8FEC328"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35</w:t>
            </w:r>
          </w:p>
        </w:tc>
        <w:tc>
          <w:tcPr>
            <w:tcW w:w="724" w:type="pct"/>
            <w:tcBorders>
              <w:top w:val="nil"/>
              <w:left w:val="nil"/>
              <w:bottom w:val="single" w:sz="4" w:space="0" w:color="auto"/>
              <w:right w:val="single" w:sz="4" w:space="0" w:color="auto"/>
            </w:tcBorders>
            <w:shd w:val="clear" w:color="000000" w:fill="FFFFFF"/>
            <w:noWrap/>
            <w:vAlign w:val="center"/>
            <w:hideMark/>
          </w:tcPr>
          <w:p w14:paraId="30919E3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02090400</w:t>
            </w:r>
          </w:p>
        </w:tc>
        <w:tc>
          <w:tcPr>
            <w:tcW w:w="3966" w:type="pct"/>
            <w:tcBorders>
              <w:top w:val="nil"/>
              <w:left w:val="nil"/>
              <w:bottom w:val="single" w:sz="4" w:space="0" w:color="auto"/>
              <w:right w:val="single" w:sz="4" w:space="0" w:color="auto"/>
            </w:tcBorders>
            <w:shd w:val="clear" w:color="000000" w:fill="FFFFFF"/>
            <w:noWrap/>
            <w:vAlign w:val="center"/>
            <w:hideMark/>
          </w:tcPr>
          <w:p w14:paraId="5D6F5ECC"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Comité de estratificación - Ley 505 De 1999</w:t>
            </w:r>
          </w:p>
        </w:tc>
      </w:tr>
      <w:tr w:rsidR="000237CB" w:rsidRPr="000237CB" w14:paraId="7F557539"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26112206"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36</w:t>
            </w:r>
          </w:p>
        </w:tc>
        <w:tc>
          <w:tcPr>
            <w:tcW w:w="724" w:type="pct"/>
            <w:tcBorders>
              <w:top w:val="nil"/>
              <w:left w:val="nil"/>
              <w:bottom w:val="single" w:sz="4" w:space="0" w:color="auto"/>
              <w:right w:val="single" w:sz="4" w:space="0" w:color="auto"/>
            </w:tcBorders>
            <w:shd w:val="clear" w:color="000000" w:fill="FFFFFF"/>
            <w:noWrap/>
            <w:vAlign w:val="center"/>
            <w:hideMark/>
          </w:tcPr>
          <w:p w14:paraId="7A530CC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02110100</w:t>
            </w:r>
          </w:p>
        </w:tc>
        <w:tc>
          <w:tcPr>
            <w:tcW w:w="3966" w:type="pct"/>
            <w:tcBorders>
              <w:top w:val="nil"/>
              <w:left w:val="nil"/>
              <w:bottom w:val="single" w:sz="4" w:space="0" w:color="auto"/>
              <w:right w:val="single" w:sz="4" w:space="0" w:color="auto"/>
            </w:tcBorders>
            <w:shd w:val="clear" w:color="000000" w:fill="FFFFFF"/>
            <w:noWrap/>
            <w:vAlign w:val="center"/>
            <w:hideMark/>
          </w:tcPr>
          <w:p w14:paraId="5F1D3A61"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Mantenimiento de otros activos</w:t>
            </w:r>
          </w:p>
        </w:tc>
      </w:tr>
      <w:tr w:rsidR="000237CB" w:rsidRPr="000237CB" w14:paraId="10F59EC5"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C7F11AF"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37</w:t>
            </w:r>
          </w:p>
        </w:tc>
        <w:tc>
          <w:tcPr>
            <w:tcW w:w="724" w:type="pct"/>
            <w:tcBorders>
              <w:top w:val="nil"/>
              <w:left w:val="nil"/>
              <w:bottom w:val="single" w:sz="4" w:space="0" w:color="auto"/>
              <w:right w:val="single" w:sz="4" w:space="0" w:color="auto"/>
            </w:tcBorders>
            <w:shd w:val="clear" w:color="000000" w:fill="FFFFFF"/>
            <w:noWrap/>
            <w:vAlign w:val="center"/>
            <w:hideMark/>
          </w:tcPr>
          <w:p w14:paraId="01D6115D"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02110200</w:t>
            </w:r>
          </w:p>
        </w:tc>
        <w:tc>
          <w:tcPr>
            <w:tcW w:w="3966" w:type="pct"/>
            <w:tcBorders>
              <w:top w:val="nil"/>
              <w:left w:val="nil"/>
              <w:bottom w:val="single" w:sz="4" w:space="0" w:color="auto"/>
              <w:right w:val="single" w:sz="4" w:space="0" w:color="auto"/>
            </w:tcBorders>
            <w:shd w:val="clear" w:color="000000" w:fill="FFFFFF"/>
            <w:noWrap/>
            <w:vAlign w:val="center"/>
            <w:hideMark/>
          </w:tcPr>
          <w:p w14:paraId="0C64C566"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Mantenimiento de activos asociados a la actividad</w:t>
            </w:r>
          </w:p>
        </w:tc>
      </w:tr>
      <w:tr w:rsidR="000237CB" w:rsidRPr="000237CB" w14:paraId="2024F2FF"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9D8A55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38</w:t>
            </w:r>
          </w:p>
        </w:tc>
        <w:tc>
          <w:tcPr>
            <w:tcW w:w="724" w:type="pct"/>
            <w:tcBorders>
              <w:top w:val="nil"/>
              <w:left w:val="nil"/>
              <w:bottom w:val="single" w:sz="4" w:space="0" w:color="auto"/>
              <w:right w:val="single" w:sz="4" w:space="0" w:color="auto"/>
            </w:tcBorders>
            <w:shd w:val="clear" w:color="000000" w:fill="FFFFFF"/>
            <w:noWrap/>
            <w:vAlign w:val="center"/>
            <w:hideMark/>
          </w:tcPr>
          <w:p w14:paraId="474B53D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02110300</w:t>
            </w:r>
          </w:p>
        </w:tc>
        <w:tc>
          <w:tcPr>
            <w:tcW w:w="3966" w:type="pct"/>
            <w:tcBorders>
              <w:top w:val="nil"/>
              <w:left w:val="nil"/>
              <w:bottom w:val="single" w:sz="4" w:space="0" w:color="auto"/>
              <w:right w:val="single" w:sz="4" w:space="0" w:color="auto"/>
            </w:tcBorders>
            <w:shd w:val="clear" w:color="000000" w:fill="FFFFFF"/>
            <w:noWrap/>
            <w:vAlign w:val="center"/>
            <w:hideMark/>
          </w:tcPr>
          <w:p w14:paraId="2FDBD91D"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Reparación de otros activos</w:t>
            </w:r>
          </w:p>
        </w:tc>
      </w:tr>
      <w:tr w:rsidR="000237CB" w:rsidRPr="000237CB" w14:paraId="55A21FB4"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48AE2B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39</w:t>
            </w:r>
          </w:p>
        </w:tc>
        <w:tc>
          <w:tcPr>
            <w:tcW w:w="724" w:type="pct"/>
            <w:tcBorders>
              <w:top w:val="nil"/>
              <w:left w:val="nil"/>
              <w:bottom w:val="single" w:sz="4" w:space="0" w:color="auto"/>
              <w:right w:val="single" w:sz="4" w:space="0" w:color="auto"/>
            </w:tcBorders>
            <w:shd w:val="clear" w:color="000000" w:fill="FFFFFF"/>
            <w:noWrap/>
            <w:vAlign w:val="center"/>
            <w:hideMark/>
          </w:tcPr>
          <w:p w14:paraId="1F28B4FE"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02110400</w:t>
            </w:r>
          </w:p>
        </w:tc>
        <w:tc>
          <w:tcPr>
            <w:tcW w:w="3966" w:type="pct"/>
            <w:tcBorders>
              <w:top w:val="nil"/>
              <w:left w:val="nil"/>
              <w:bottom w:val="single" w:sz="4" w:space="0" w:color="auto"/>
              <w:right w:val="single" w:sz="4" w:space="0" w:color="auto"/>
            </w:tcBorders>
            <w:shd w:val="clear" w:color="000000" w:fill="FFFFFF"/>
            <w:noWrap/>
            <w:vAlign w:val="center"/>
            <w:hideMark/>
          </w:tcPr>
          <w:p w14:paraId="77B42952"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Reparación de activos asociados a la actividad</w:t>
            </w:r>
          </w:p>
        </w:tc>
      </w:tr>
      <w:tr w:rsidR="000237CB" w:rsidRPr="000237CB" w14:paraId="3F7ACC9D"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7A7326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40</w:t>
            </w:r>
          </w:p>
        </w:tc>
        <w:tc>
          <w:tcPr>
            <w:tcW w:w="724" w:type="pct"/>
            <w:tcBorders>
              <w:top w:val="nil"/>
              <w:left w:val="nil"/>
              <w:bottom w:val="single" w:sz="4" w:space="0" w:color="auto"/>
              <w:right w:val="single" w:sz="4" w:space="0" w:color="auto"/>
            </w:tcBorders>
            <w:shd w:val="clear" w:color="000000" w:fill="FFFFFF"/>
            <w:noWrap/>
            <w:vAlign w:val="center"/>
            <w:hideMark/>
          </w:tcPr>
          <w:p w14:paraId="7445767A"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02110500</w:t>
            </w:r>
          </w:p>
        </w:tc>
        <w:tc>
          <w:tcPr>
            <w:tcW w:w="3966" w:type="pct"/>
            <w:tcBorders>
              <w:top w:val="nil"/>
              <w:left w:val="nil"/>
              <w:bottom w:val="single" w:sz="4" w:space="0" w:color="auto"/>
              <w:right w:val="single" w:sz="4" w:space="0" w:color="auto"/>
            </w:tcBorders>
            <w:shd w:val="clear" w:color="000000" w:fill="FFFFFF"/>
            <w:noWrap/>
            <w:vAlign w:val="center"/>
            <w:hideMark/>
          </w:tcPr>
          <w:p w14:paraId="27DF1717"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Otros contratos de mantenimiento y reparaciones</w:t>
            </w:r>
          </w:p>
        </w:tc>
      </w:tr>
      <w:tr w:rsidR="000237CB" w:rsidRPr="000237CB" w14:paraId="361E2235"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2CE647C"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41</w:t>
            </w:r>
          </w:p>
        </w:tc>
        <w:tc>
          <w:tcPr>
            <w:tcW w:w="724" w:type="pct"/>
            <w:tcBorders>
              <w:top w:val="nil"/>
              <w:left w:val="nil"/>
              <w:bottom w:val="single" w:sz="4" w:space="0" w:color="auto"/>
              <w:right w:val="single" w:sz="4" w:space="0" w:color="auto"/>
            </w:tcBorders>
            <w:shd w:val="clear" w:color="000000" w:fill="FFFFFF"/>
            <w:noWrap/>
            <w:vAlign w:val="center"/>
            <w:hideMark/>
          </w:tcPr>
          <w:p w14:paraId="42F18C5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02120000</w:t>
            </w:r>
          </w:p>
        </w:tc>
        <w:tc>
          <w:tcPr>
            <w:tcW w:w="3966" w:type="pct"/>
            <w:tcBorders>
              <w:top w:val="nil"/>
              <w:left w:val="nil"/>
              <w:bottom w:val="single" w:sz="4" w:space="0" w:color="auto"/>
              <w:right w:val="single" w:sz="4" w:space="0" w:color="auto"/>
            </w:tcBorders>
            <w:shd w:val="clear" w:color="000000" w:fill="FFFFFF"/>
            <w:noWrap/>
            <w:vAlign w:val="center"/>
            <w:hideMark/>
          </w:tcPr>
          <w:p w14:paraId="47A1AE4A"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Servicios públicos</w:t>
            </w:r>
          </w:p>
        </w:tc>
      </w:tr>
      <w:tr w:rsidR="000237CB" w:rsidRPr="000237CB" w14:paraId="2B8E65A0"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6CAEC6B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42</w:t>
            </w:r>
          </w:p>
        </w:tc>
        <w:tc>
          <w:tcPr>
            <w:tcW w:w="724" w:type="pct"/>
            <w:tcBorders>
              <w:top w:val="nil"/>
              <w:left w:val="nil"/>
              <w:bottom w:val="single" w:sz="4" w:space="0" w:color="auto"/>
              <w:right w:val="single" w:sz="4" w:space="0" w:color="auto"/>
            </w:tcBorders>
            <w:shd w:val="clear" w:color="000000" w:fill="FFFFFF"/>
            <w:noWrap/>
            <w:vAlign w:val="center"/>
            <w:hideMark/>
          </w:tcPr>
          <w:p w14:paraId="080A46D5"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02130100</w:t>
            </w:r>
          </w:p>
        </w:tc>
        <w:tc>
          <w:tcPr>
            <w:tcW w:w="3966" w:type="pct"/>
            <w:tcBorders>
              <w:top w:val="nil"/>
              <w:left w:val="nil"/>
              <w:bottom w:val="single" w:sz="4" w:space="0" w:color="auto"/>
              <w:right w:val="single" w:sz="4" w:space="0" w:color="auto"/>
            </w:tcBorders>
            <w:shd w:val="clear" w:color="000000" w:fill="FFFFFF"/>
            <w:noWrap/>
            <w:vAlign w:val="center"/>
            <w:hideMark/>
          </w:tcPr>
          <w:p w14:paraId="0D4BFFAC"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Repuestos para vehículos</w:t>
            </w:r>
          </w:p>
        </w:tc>
      </w:tr>
      <w:tr w:rsidR="000237CB" w:rsidRPr="000237CB" w14:paraId="0CA0905F"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7A04871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43</w:t>
            </w:r>
          </w:p>
        </w:tc>
        <w:tc>
          <w:tcPr>
            <w:tcW w:w="724" w:type="pct"/>
            <w:tcBorders>
              <w:top w:val="nil"/>
              <w:left w:val="nil"/>
              <w:bottom w:val="single" w:sz="4" w:space="0" w:color="auto"/>
              <w:right w:val="single" w:sz="4" w:space="0" w:color="auto"/>
            </w:tcBorders>
            <w:shd w:val="clear" w:color="000000" w:fill="FFFFFF"/>
            <w:noWrap/>
            <w:vAlign w:val="center"/>
            <w:hideMark/>
          </w:tcPr>
          <w:p w14:paraId="1ABE703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02130200</w:t>
            </w:r>
          </w:p>
        </w:tc>
        <w:tc>
          <w:tcPr>
            <w:tcW w:w="3966" w:type="pct"/>
            <w:tcBorders>
              <w:top w:val="nil"/>
              <w:left w:val="nil"/>
              <w:bottom w:val="single" w:sz="4" w:space="0" w:color="auto"/>
              <w:right w:val="single" w:sz="4" w:space="0" w:color="auto"/>
            </w:tcBorders>
            <w:shd w:val="clear" w:color="000000" w:fill="FFFFFF"/>
            <w:noWrap/>
            <w:vAlign w:val="center"/>
            <w:hideMark/>
          </w:tcPr>
          <w:p w14:paraId="16E2D98D"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Combustibles y lubricantes</w:t>
            </w:r>
          </w:p>
        </w:tc>
      </w:tr>
      <w:tr w:rsidR="000237CB" w:rsidRPr="000237CB" w14:paraId="04D7A395"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56351E72"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44</w:t>
            </w:r>
          </w:p>
        </w:tc>
        <w:tc>
          <w:tcPr>
            <w:tcW w:w="724" w:type="pct"/>
            <w:tcBorders>
              <w:top w:val="nil"/>
              <w:left w:val="nil"/>
              <w:bottom w:val="single" w:sz="4" w:space="0" w:color="auto"/>
              <w:right w:val="single" w:sz="4" w:space="0" w:color="auto"/>
            </w:tcBorders>
            <w:shd w:val="clear" w:color="000000" w:fill="FFFFFF"/>
            <w:noWrap/>
            <w:vAlign w:val="center"/>
            <w:hideMark/>
          </w:tcPr>
          <w:p w14:paraId="4EDDEDE7"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02130300</w:t>
            </w:r>
          </w:p>
        </w:tc>
        <w:tc>
          <w:tcPr>
            <w:tcW w:w="3966" w:type="pct"/>
            <w:tcBorders>
              <w:top w:val="nil"/>
              <w:left w:val="nil"/>
              <w:bottom w:val="single" w:sz="4" w:space="0" w:color="auto"/>
              <w:right w:val="single" w:sz="4" w:space="0" w:color="auto"/>
            </w:tcBorders>
            <w:shd w:val="clear" w:color="000000" w:fill="FFFFFF"/>
            <w:noWrap/>
            <w:vAlign w:val="center"/>
            <w:hideMark/>
          </w:tcPr>
          <w:p w14:paraId="32FCA5BD"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Materiales</w:t>
            </w:r>
          </w:p>
        </w:tc>
      </w:tr>
      <w:tr w:rsidR="000237CB" w:rsidRPr="000237CB" w14:paraId="3B74DA6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3CC34095"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45</w:t>
            </w:r>
          </w:p>
        </w:tc>
        <w:tc>
          <w:tcPr>
            <w:tcW w:w="724" w:type="pct"/>
            <w:tcBorders>
              <w:top w:val="nil"/>
              <w:left w:val="nil"/>
              <w:bottom w:val="single" w:sz="4" w:space="0" w:color="auto"/>
              <w:right w:val="single" w:sz="4" w:space="0" w:color="auto"/>
            </w:tcBorders>
            <w:shd w:val="clear" w:color="000000" w:fill="FFFFFF"/>
            <w:noWrap/>
            <w:vAlign w:val="center"/>
            <w:hideMark/>
          </w:tcPr>
          <w:p w14:paraId="2991582A"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02140100</w:t>
            </w:r>
          </w:p>
        </w:tc>
        <w:tc>
          <w:tcPr>
            <w:tcW w:w="3966" w:type="pct"/>
            <w:tcBorders>
              <w:top w:val="nil"/>
              <w:left w:val="nil"/>
              <w:bottom w:val="single" w:sz="4" w:space="0" w:color="auto"/>
              <w:right w:val="single" w:sz="4" w:space="0" w:color="auto"/>
            </w:tcBorders>
            <w:shd w:val="clear" w:color="000000" w:fill="FFFFFF"/>
            <w:noWrap/>
            <w:vAlign w:val="center"/>
            <w:hideMark/>
          </w:tcPr>
          <w:p w14:paraId="47F01A66"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 xml:space="preserve">De terrorismo   </w:t>
            </w:r>
          </w:p>
        </w:tc>
      </w:tr>
      <w:tr w:rsidR="000237CB" w:rsidRPr="000237CB" w14:paraId="1BF813E5"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4796F670"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46</w:t>
            </w:r>
          </w:p>
        </w:tc>
        <w:tc>
          <w:tcPr>
            <w:tcW w:w="724" w:type="pct"/>
            <w:tcBorders>
              <w:top w:val="nil"/>
              <w:left w:val="nil"/>
              <w:bottom w:val="single" w:sz="4" w:space="0" w:color="auto"/>
              <w:right w:val="single" w:sz="4" w:space="0" w:color="auto"/>
            </w:tcBorders>
            <w:shd w:val="clear" w:color="000000" w:fill="FFFFFF"/>
            <w:noWrap/>
            <w:vAlign w:val="center"/>
            <w:hideMark/>
          </w:tcPr>
          <w:p w14:paraId="05790DCB"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02140200</w:t>
            </w:r>
          </w:p>
        </w:tc>
        <w:tc>
          <w:tcPr>
            <w:tcW w:w="3966" w:type="pct"/>
            <w:tcBorders>
              <w:top w:val="nil"/>
              <w:left w:val="nil"/>
              <w:bottom w:val="single" w:sz="4" w:space="0" w:color="auto"/>
              <w:right w:val="single" w:sz="4" w:space="0" w:color="auto"/>
            </w:tcBorders>
            <w:shd w:val="clear" w:color="000000" w:fill="FFFFFF"/>
            <w:noWrap/>
            <w:vAlign w:val="center"/>
            <w:hideMark/>
          </w:tcPr>
          <w:p w14:paraId="1012D5D4"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Otros Seguros Generales</w:t>
            </w:r>
          </w:p>
        </w:tc>
      </w:tr>
      <w:tr w:rsidR="000237CB" w:rsidRPr="000237CB" w14:paraId="49974A54"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4FC2A21"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47</w:t>
            </w:r>
          </w:p>
        </w:tc>
        <w:tc>
          <w:tcPr>
            <w:tcW w:w="724" w:type="pct"/>
            <w:tcBorders>
              <w:top w:val="nil"/>
              <w:left w:val="nil"/>
              <w:bottom w:val="single" w:sz="4" w:space="0" w:color="auto"/>
              <w:right w:val="single" w:sz="4" w:space="0" w:color="auto"/>
            </w:tcBorders>
            <w:shd w:val="clear" w:color="000000" w:fill="FFFFFF"/>
            <w:noWrap/>
            <w:vAlign w:val="center"/>
            <w:hideMark/>
          </w:tcPr>
          <w:p w14:paraId="58E8F63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02150100</w:t>
            </w:r>
          </w:p>
        </w:tc>
        <w:tc>
          <w:tcPr>
            <w:tcW w:w="3966" w:type="pct"/>
            <w:tcBorders>
              <w:top w:val="nil"/>
              <w:left w:val="nil"/>
              <w:bottom w:val="single" w:sz="4" w:space="0" w:color="auto"/>
              <w:right w:val="single" w:sz="4" w:space="0" w:color="auto"/>
            </w:tcBorders>
            <w:shd w:val="clear" w:color="000000" w:fill="FFFFFF"/>
            <w:noWrap/>
            <w:vAlign w:val="center"/>
            <w:hideMark/>
          </w:tcPr>
          <w:p w14:paraId="7C3AD86C"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Servicio de aseo y vigilancia</w:t>
            </w:r>
          </w:p>
        </w:tc>
      </w:tr>
      <w:tr w:rsidR="000237CB" w:rsidRPr="000237CB" w14:paraId="5E5AD8AB"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6C5D7104"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48</w:t>
            </w:r>
          </w:p>
        </w:tc>
        <w:tc>
          <w:tcPr>
            <w:tcW w:w="724" w:type="pct"/>
            <w:tcBorders>
              <w:top w:val="nil"/>
              <w:left w:val="nil"/>
              <w:bottom w:val="single" w:sz="4" w:space="0" w:color="auto"/>
              <w:right w:val="single" w:sz="4" w:space="0" w:color="auto"/>
            </w:tcBorders>
            <w:shd w:val="clear" w:color="000000" w:fill="FFFFFF"/>
            <w:noWrap/>
            <w:vAlign w:val="center"/>
            <w:hideMark/>
          </w:tcPr>
          <w:p w14:paraId="57C5A35C"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02150200</w:t>
            </w:r>
          </w:p>
        </w:tc>
        <w:tc>
          <w:tcPr>
            <w:tcW w:w="3966" w:type="pct"/>
            <w:tcBorders>
              <w:top w:val="nil"/>
              <w:left w:val="nil"/>
              <w:bottom w:val="single" w:sz="4" w:space="0" w:color="auto"/>
              <w:right w:val="single" w:sz="4" w:space="0" w:color="auto"/>
            </w:tcBorders>
            <w:shd w:val="clear" w:color="000000" w:fill="FFFFFF"/>
            <w:noWrap/>
            <w:vAlign w:val="center"/>
            <w:hideMark/>
          </w:tcPr>
          <w:p w14:paraId="5418D278"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Casino y cafetería</w:t>
            </w:r>
          </w:p>
        </w:tc>
      </w:tr>
      <w:tr w:rsidR="000237CB" w:rsidRPr="000237CB" w14:paraId="0A0C0F57"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5BF7B8B9" w14:textId="1328E056" w:rsidR="00DE08F1" w:rsidRPr="000237CB" w:rsidRDefault="00FF3D29" w:rsidP="00DE08F1">
            <w:pPr>
              <w:spacing w:before="0" w:after="0"/>
              <w:jc w:val="center"/>
              <w:rPr>
                <w:rFonts w:cs="Calibri"/>
                <w:i/>
                <w:iCs/>
                <w:sz w:val="18"/>
                <w:szCs w:val="18"/>
                <w:lang w:val="es-CO" w:eastAsia="es-CO"/>
              </w:rPr>
            </w:pPr>
            <w:r>
              <w:rPr>
                <w:rFonts w:cs="Calibri"/>
                <w:i/>
                <w:iCs/>
                <w:sz w:val="18"/>
                <w:szCs w:val="18"/>
                <w:lang w:val="es-CO" w:eastAsia="es-CO"/>
              </w:rPr>
              <w:t>49</w:t>
            </w:r>
          </w:p>
        </w:tc>
        <w:tc>
          <w:tcPr>
            <w:tcW w:w="724" w:type="pct"/>
            <w:tcBorders>
              <w:top w:val="nil"/>
              <w:left w:val="nil"/>
              <w:bottom w:val="single" w:sz="4" w:space="0" w:color="auto"/>
              <w:right w:val="single" w:sz="4" w:space="0" w:color="auto"/>
            </w:tcBorders>
            <w:shd w:val="clear" w:color="000000" w:fill="FFFFFF"/>
            <w:noWrap/>
            <w:vAlign w:val="center"/>
            <w:hideMark/>
          </w:tcPr>
          <w:p w14:paraId="497681F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02150400</w:t>
            </w:r>
          </w:p>
        </w:tc>
        <w:tc>
          <w:tcPr>
            <w:tcW w:w="3966" w:type="pct"/>
            <w:tcBorders>
              <w:top w:val="nil"/>
              <w:left w:val="nil"/>
              <w:bottom w:val="single" w:sz="4" w:space="0" w:color="auto"/>
              <w:right w:val="single" w:sz="4" w:space="0" w:color="auto"/>
            </w:tcBorders>
            <w:shd w:val="clear" w:color="000000" w:fill="FFFFFF"/>
            <w:noWrap/>
            <w:vAlign w:val="center"/>
            <w:hideMark/>
          </w:tcPr>
          <w:p w14:paraId="62651575"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Entrega de facturas</w:t>
            </w:r>
          </w:p>
        </w:tc>
      </w:tr>
      <w:tr w:rsidR="000237CB" w:rsidRPr="000237CB" w14:paraId="259599BF" w14:textId="77777777" w:rsidTr="00662779">
        <w:trPr>
          <w:trHeight w:val="300"/>
        </w:trPr>
        <w:tc>
          <w:tcPr>
            <w:tcW w:w="310" w:type="pct"/>
            <w:tcBorders>
              <w:top w:val="nil"/>
              <w:left w:val="single" w:sz="4" w:space="0" w:color="auto"/>
              <w:bottom w:val="single" w:sz="4" w:space="0" w:color="auto"/>
              <w:right w:val="single" w:sz="4" w:space="0" w:color="auto"/>
            </w:tcBorders>
            <w:shd w:val="clear" w:color="000000" w:fill="FFFFFF"/>
            <w:noWrap/>
            <w:vAlign w:val="bottom"/>
            <w:hideMark/>
          </w:tcPr>
          <w:p w14:paraId="053A90E3" w14:textId="175B231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5</w:t>
            </w:r>
            <w:r w:rsidR="00FF3D29">
              <w:rPr>
                <w:rFonts w:cs="Calibri"/>
                <w:i/>
                <w:iCs/>
                <w:sz w:val="18"/>
                <w:szCs w:val="18"/>
                <w:lang w:val="es-CO" w:eastAsia="es-CO"/>
              </w:rPr>
              <w:t>0</w:t>
            </w:r>
          </w:p>
        </w:tc>
        <w:tc>
          <w:tcPr>
            <w:tcW w:w="724" w:type="pct"/>
            <w:tcBorders>
              <w:top w:val="nil"/>
              <w:left w:val="nil"/>
              <w:bottom w:val="single" w:sz="4" w:space="0" w:color="auto"/>
              <w:right w:val="single" w:sz="4" w:space="0" w:color="auto"/>
            </w:tcBorders>
            <w:shd w:val="clear" w:color="000000" w:fill="FFFFFF"/>
            <w:noWrap/>
            <w:vAlign w:val="center"/>
            <w:hideMark/>
          </w:tcPr>
          <w:p w14:paraId="32D4F669" w14:textId="77777777" w:rsidR="00DE08F1" w:rsidRPr="000237CB" w:rsidRDefault="00DE08F1" w:rsidP="00DE08F1">
            <w:pPr>
              <w:spacing w:before="0" w:after="0"/>
              <w:jc w:val="center"/>
              <w:rPr>
                <w:rFonts w:cs="Calibri"/>
                <w:i/>
                <w:iCs/>
                <w:sz w:val="18"/>
                <w:szCs w:val="18"/>
                <w:lang w:val="es-CO" w:eastAsia="es-CO"/>
              </w:rPr>
            </w:pPr>
            <w:r w:rsidRPr="000237CB">
              <w:rPr>
                <w:rFonts w:cs="Calibri"/>
                <w:i/>
                <w:iCs/>
                <w:sz w:val="18"/>
                <w:szCs w:val="18"/>
                <w:lang w:val="es-CO" w:eastAsia="es-CO"/>
              </w:rPr>
              <w:t>02150600</w:t>
            </w:r>
          </w:p>
        </w:tc>
        <w:tc>
          <w:tcPr>
            <w:tcW w:w="3966" w:type="pct"/>
            <w:tcBorders>
              <w:top w:val="nil"/>
              <w:left w:val="nil"/>
              <w:bottom w:val="single" w:sz="4" w:space="0" w:color="auto"/>
              <w:right w:val="single" w:sz="4" w:space="0" w:color="auto"/>
            </w:tcBorders>
            <w:shd w:val="clear" w:color="000000" w:fill="FFFFFF"/>
            <w:noWrap/>
            <w:vAlign w:val="center"/>
            <w:hideMark/>
          </w:tcPr>
          <w:p w14:paraId="2EFDD87C" w14:textId="77777777" w:rsidR="00DE08F1" w:rsidRPr="000237CB" w:rsidRDefault="00DE08F1" w:rsidP="00DE08F1">
            <w:pPr>
              <w:spacing w:before="0" w:after="0"/>
              <w:jc w:val="left"/>
              <w:rPr>
                <w:rFonts w:cs="Calibri"/>
                <w:i/>
                <w:iCs/>
                <w:sz w:val="18"/>
                <w:szCs w:val="18"/>
                <w:lang w:val="es-CO" w:eastAsia="es-CO"/>
              </w:rPr>
            </w:pPr>
            <w:r w:rsidRPr="000237CB">
              <w:rPr>
                <w:rFonts w:cs="Calibri"/>
                <w:i/>
                <w:iCs/>
                <w:sz w:val="18"/>
                <w:szCs w:val="18"/>
                <w:lang w:val="es-CO" w:eastAsia="es-CO"/>
              </w:rPr>
              <w:t>Servicios informáticos</w:t>
            </w:r>
          </w:p>
        </w:tc>
      </w:tr>
    </w:tbl>
    <w:p w14:paraId="71098164" w14:textId="6B85490F" w:rsidR="00CC7FD6" w:rsidRDefault="00CC7FD6" w:rsidP="00C3736B"/>
    <w:p w14:paraId="180D359D" w14:textId="07F66305" w:rsidR="0029155D" w:rsidRDefault="0029155D" w:rsidP="00A479D8">
      <w:pPr>
        <w:pStyle w:val="Ttulo3"/>
      </w:pPr>
      <w:bookmarkStart w:id="33" w:name="_Ref128562271"/>
      <w:bookmarkStart w:id="34" w:name="_Toc164064359"/>
      <w:r>
        <w:t xml:space="preserve">Facturas </w:t>
      </w:r>
      <w:r w:rsidR="002B4C16">
        <w:t>expedidas</w:t>
      </w:r>
      <w:bookmarkEnd w:id="33"/>
      <w:bookmarkEnd w:id="34"/>
      <w:r w:rsidR="002B4C16">
        <w:t xml:space="preserve"> </w:t>
      </w:r>
    </w:p>
    <w:p w14:paraId="4A2BE423" w14:textId="617D0863" w:rsidR="00F23BFB" w:rsidRDefault="000826AB" w:rsidP="00124C0C">
      <w:r>
        <w:t xml:space="preserve">Corresponde a las </w:t>
      </w:r>
      <w:r w:rsidR="00124C0C" w:rsidRPr="006F17A8">
        <w:t xml:space="preserve">facturas </w:t>
      </w:r>
      <w:r w:rsidR="004C24DF">
        <w:t>de</w:t>
      </w:r>
      <w:r w:rsidR="00713F6E">
        <w:t>l año</w:t>
      </w:r>
      <w:r w:rsidR="004C24DF">
        <w:t xml:space="preserve"> la fecha base de la </w:t>
      </w:r>
      <w:r w:rsidR="00713F6E">
        <w:t>metodología</w:t>
      </w:r>
      <w:r w:rsidR="000822A7">
        <w:t>,</w:t>
      </w:r>
      <w:r>
        <w:t xml:space="preserve"> </w:t>
      </w:r>
      <w:r w:rsidR="00124C0C" w:rsidRPr="006F17A8">
        <w:t xml:space="preserve">expedidas por el comercializador integrado </w:t>
      </w:r>
      <w:r w:rsidR="00124C0C">
        <w:t>a</w:t>
      </w:r>
      <w:r w:rsidR="00124C0C" w:rsidRPr="006F17A8">
        <w:t xml:space="preserve">l </w:t>
      </w:r>
      <w:r w:rsidR="00124C0C">
        <w:t>O</w:t>
      </w:r>
      <w:r w:rsidR="00056C77">
        <w:t xml:space="preserve">perador de </w:t>
      </w:r>
      <w:r w:rsidR="00124C0C">
        <w:t>R</w:t>
      </w:r>
      <w:r w:rsidR="00792C3D">
        <w:t>ed</w:t>
      </w:r>
      <w:r w:rsidR="00124C0C">
        <w:t xml:space="preserve"> </w:t>
      </w:r>
      <w:r w:rsidR="00124C0C" w:rsidRPr="00A22C5F">
        <w:t>que sirve el mercado de comercialización</w:t>
      </w:r>
      <w:r w:rsidR="00124C0C">
        <w:t xml:space="preserve"> </w:t>
      </w:r>
      <w:r w:rsidR="00124C0C" w:rsidRPr="00695418">
        <w:rPr>
          <w:i/>
        </w:rPr>
        <w:t>j</w:t>
      </w:r>
      <w:r w:rsidR="00333CEB">
        <w:t>. S</w:t>
      </w:r>
      <w:r w:rsidR="00124C0C" w:rsidRPr="00A22C5F">
        <w:t>erán determina</w:t>
      </w:r>
      <w:r w:rsidR="00124C0C">
        <w:t>da</w:t>
      </w:r>
      <w:r w:rsidR="00124C0C" w:rsidRPr="00A22C5F">
        <w:t>s a partir de la info</w:t>
      </w:r>
      <w:r w:rsidR="00124C0C" w:rsidRPr="005845BD">
        <w:t xml:space="preserve">rmación </w:t>
      </w:r>
      <w:r w:rsidR="00907007">
        <w:t xml:space="preserve">disponible en el </w:t>
      </w:r>
      <w:r w:rsidR="00124C0C" w:rsidRPr="00222708">
        <w:t xml:space="preserve">Sistema Único de Información, SUI, en </w:t>
      </w:r>
      <w:r w:rsidR="00923110">
        <w:t>e</w:t>
      </w:r>
      <w:r w:rsidR="00124C0C" w:rsidRPr="00222708">
        <w:t xml:space="preserve">l </w:t>
      </w:r>
      <w:r w:rsidR="00124C0C" w:rsidRPr="000822A7">
        <w:t xml:space="preserve">formato </w:t>
      </w:r>
      <w:r w:rsidR="00234B9C" w:rsidRPr="000822A7">
        <w:rPr>
          <w:i/>
          <w:lang w:val="es-CO"/>
        </w:rPr>
        <w:t>“</w:t>
      </w:r>
      <w:r w:rsidR="007D387C" w:rsidRPr="000822A7">
        <w:rPr>
          <w:i/>
        </w:rPr>
        <w:t>TC1. Caracterización de Usuarios</w:t>
      </w:r>
      <w:r w:rsidR="00234B9C" w:rsidRPr="000822A7">
        <w:rPr>
          <w:i/>
        </w:rPr>
        <w:t>”</w:t>
      </w:r>
      <w:r w:rsidR="00124C0C" w:rsidRPr="000822A7">
        <w:t xml:space="preserve"> de la Resolución SSPD </w:t>
      </w:r>
      <w:r w:rsidR="00047B47" w:rsidRPr="00047B47">
        <w:t>20212200012515 de 2021</w:t>
      </w:r>
      <w:r w:rsidR="00124C0C" w:rsidRPr="00222708">
        <w:t xml:space="preserve"> </w:t>
      </w:r>
      <w:r w:rsidR="00124C0C" w:rsidRPr="00A22C5F">
        <w:t>o aquella que la modifique, adicione o sustituya</w:t>
      </w:r>
      <w:r w:rsidR="00F23BFB">
        <w:t>.</w:t>
      </w:r>
    </w:p>
    <w:p w14:paraId="7FE24C03" w14:textId="25B673DD" w:rsidR="00124C0C" w:rsidRDefault="00124C0C" w:rsidP="00124C0C">
      <w:r>
        <w:t>En la</w:t>
      </w:r>
      <w:r w:rsidRPr="006F17A8">
        <w:t xml:space="preserve"> </w:t>
      </w:r>
      <w:r w:rsidR="00F43F69">
        <w:t xml:space="preserve">cantidad de facturas utilizadas para determinar la </w:t>
      </w:r>
      <w:r w:rsidRPr="00D905CC">
        <w:t xml:space="preserve">variable </w:t>
      </w:r>
      <w:proofErr w:type="spellStart"/>
      <w:r w:rsidRPr="00695418">
        <w:rPr>
          <w:i/>
        </w:rPr>
        <w:t>Fact</w:t>
      </w:r>
      <w:r w:rsidRPr="00695418">
        <w:rPr>
          <w:i/>
          <w:vertAlign w:val="subscript"/>
        </w:rPr>
        <w:t>j</w:t>
      </w:r>
      <w:proofErr w:type="spellEnd"/>
      <w:r w:rsidRPr="00D905CC">
        <w:t xml:space="preserve"> </w:t>
      </w:r>
      <w:r>
        <w:t>no se inclu</w:t>
      </w:r>
      <w:r w:rsidR="00F43F69">
        <w:t xml:space="preserve">yen </w:t>
      </w:r>
      <w:r>
        <w:t xml:space="preserve">las facturas asociadas a errores en la </w:t>
      </w:r>
      <w:r w:rsidRPr="00F61CA4">
        <w:t>facturación</w:t>
      </w:r>
      <w:r w:rsidR="000D418D" w:rsidRPr="00F61CA4">
        <w:t xml:space="preserve"> o refacturaciones.</w:t>
      </w:r>
    </w:p>
    <w:p w14:paraId="1B3DFABD" w14:textId="2B4B3CB4" w:rsidR="008F188E" w:rsidRDefault="008F188E" w:rsidP="00124C0C">
      <w:r>
        <w:t xml:space="preserve">El valor de esta variable será </w:t>
      </w:r>
      <w:r w:rsidR="00642564">
        <w:t>publicado</w:t>
      </w:r>
      <w:r>
        <w:t xml:space="preserve"> en la circular de la que trata el </w:t>
      </w:r>
      <w:r>
        <w:fldChar w:fldCharType="begin"/>
      </w:r>
      <w:r>
        <w:instrText xml:space="preserve"> REF _Ref164344897 \r \h </w:instrText>
      </w:r>
      <w:r>
        <w:fldChar w:fldCharType="separate"/>
      </w:r>
      <w:r w:rsidR="00625E8F">
        <w:t>Artículo 10</w:t>
      </w:r>
      <w:r>
        <w:fldChar w:fldCharType="end"/>
      </w:r>
      <w:r w:rsidR="00847E20">
        <w:t xml:space="preserve"> de la presente resolución. </w:t>
      </w:r>
    </w:p>
    <w:p w14:paraId="33376308" w14:textId="5402F7E4" w:rsidR="0081056A" w:rsidRDefault="003C4223" w:rsidP="00A479D8">
      <w:pPr>
        <w:pStyle w:val="Ttulo3"/>
      </w:pPr>
      <w:bookmarkStart w:id="35" w:name="_Toc164064360"/>
      <w:bookmarkStart w:id="36" w:name="_Ref128562196"/>
      <w:r>
        <w:lastRenderedPageBreak/>
        <w:t>Factor de eficiencia</w:t>
      </w:r>
      <w:bookmarkEnd w:id="35"/>
      <w:r>
        <w:t xml:space="preserve"> </w:t>
      </w:r>
      <w:bookmarkEnd w:id="36"/>
    </w:p>
    <w:p w14:paraId="61E91405" w14:textId="2DD33C67" w:rsidR="00AD1511" w:rsidRDefault="00C073C2" w:rsidP="003C4223">
      <w:r>
        <w:t xml:space="preserve">El factor de eficiencia </w:t>
      </w:r>
      <w:r w:rsidR="00F43F69">
        <w:t xml:space="preserve">de cada mercado de </w:t>
      </w:r>
      <w:r w:rsidR="00752B3C">
        <w:t>comercialización</w:t>
      </w:r>
      <w:r w:rsidR="00F43F69">
        <w:t xml:space="preserve"> </w:t>
      </w:r>
      <w:r w:rsidR="00AD1511">
        <w:t xml:space="preserve">se calcula de </w:t>
      </w:r>
      <w:r w:rsidR="004E7713">
        <w:t xml:space="preserve">acuerdo con el modelo de frontera estocástica </w:t>
      </w:r>
      <w:r w:rsidR="00694077">
        <w:rPr>
          <w:rFonts w:cs="Arial"/>
          <w:iCs/>
          <w:lang w:eastAsia="es-CO"/>
        </w:rPr>
        <w:t xml:space="preserve">del numeral </w:t>
      </w:r>
      <w:r w:rsidR="00694077">
        <w:rPr>
          <w:rFonts w:cs="Arial"/>
          <w:iCs/>
          <w:lang w:eastAsia="es-CO"/>
        </w:rPr>
        <w:fldChar w:fldCharType="begin"/>
      </w:r>
      <w:r w:rsidR="00694077">
        <w:rPr>
          <w:rFonts w:cs="Arial"/>
          <w:iCs/>
          <w:lang w:eastAsia="es-CO"/>
        </w:rPr>
        <w:instrText xml:space="preserve"> REF _Ref136963279 \r \h </w:instrText>
      </w:r>
      <w:r w:rsidR="00694077">
        <w:rPr>
          <w:rFonts w:cs="Arial"/>
          <w:iCs/>
          <w:lang w:eastAsia="es-CO"/>
        </w:rPr>
      </w:r>
      <w:r w:rsidR="00694077">
        <w:rPr>
          <w:rFonts w:cs="Arial"/>
          <w:iCs/>
          <w:lang w:eastAsia="es-CO"/>
        </w:rPr>
        <w:fldChar w:fldCharType="separate"/>
      </w:r>
      <w:r w:rsidR="00625E8F">
        <w:rPr>
          <w:rFonts w:cs="Arial"/>
          <w:iCs/>
          <w:lang w:eastAsia="es-CO"/>
        </w:rPr>
        <w:t>1.1.3.1</w:t>
      </w:r>
      <w:r w:rsidR="00694077">
        <w:rPr>
          <w:rFonts w:cs="Arial"/>
          <w:iCs/>
          <w:lang w:eastAsia="es-CO"/>
        </w:rPr>
        <w:fldChar w:fldCharType="end"/>
      </w:r>
      <w:r w:rsidR="00694077">
        <w:rPr>
          <w:rFonts w:cs="Arial"/>
          <w:iCs/>
          <w:lang w:eastAsia="es-CO"/>
        </w:rPr>
        <w:t>.</w:t>
      </w:r>
      <w:r w:rsidR="00AD1511">
        <w:t xml:space="preserve"> </w:t>
      </w:r>
    </w:p>
    <w:p w14:paraId="72A792FF" w14:textId="347198B6" w:rsidR="005D4BF8" w:rsidRDefault="00ED7E22" w:rsidP="005D4BF8">
      <w:pPr>
        <w:pStyle w:val="Ttulo4"/>
      </w:pPr>
      <w:bookmarkStart w:id="37" w:name="_Ref136963279"/>
      <w:r>
        <w:t xml:space="preserve"> </w:t>
      </w:r>
      <w:r w:rsidR="005D4BF8">
        <w:t>Modelo de frontera estocástica</w:t>
      </w:r>
      <w:bookmarkEnd w:id="37"/>
    </w:p>
    <w:p w14:paraId="33980860" w14:textId="31DC7CAC" w:rsidR="00AD1511" w:rsidRDefault="00D34CD1" w:rsidP="003C4223">
      <w:r>
        <w:t>E</w:t>
      </w:r>
      <w:r w:rsidR="008328B1">
        <w:t>l</w:t>
      </w:r>
      <w:r>
        <w:t xml:space="preserve"> modelo de frontera </w:t>
      </w:r>
      <w:r w:rsidR="008328B1">
        <w:t xml:space="preserve">para determinar la variable </w:t>
      </w:r>
      <w:r w:rsidR="008328B1">
        <w:rPr>
          <w:rFonts w:ascii="Symbol" w:hAnsi="Symbol" w:cs="Arial"/>
          <w:i/>
        </w:rPr>
        <w:t>h</w:t>
      </w:r>
      <w:proofErr w:type="spellStart"/>
      <w:proofErr w:type="gramStart"/>
      <w:r w:rsidR="008328B1">
        <w:rPr>
          <w:rFonts w:cs="Arial"/>
          <w:i/>
          <w:vertAlign w:val="subscript"/>
        </w:rPr>
        <w:t>mfe,j</w:t>
      </w:r>
      <w:proofErr w:type="spellEnd"/>
      <w:proofErr w:type="gramEnd"/>
      <w:r w:rsidR="008328B1">
        <w:t xml:space="preserve">  </w:t>
      </w:r>
      <w:r w:rsidR="006F2632">
        <w:t>es el siguiente:</w:t>
      </w:r>
      <w:r w:rsidR="00426D9C">
        <w:t xml:space="preserve"> </w:t>
      </w:r>
    </w:p>
    <w:p w14:paraId="1D034364" w14:textId="01D5C335" w:rsidR="00B46C08" w:rsidRPr="00A91BEC" w:rsidRDefault="00000000" w:rsidP="00B46C08">
      <w:pPr>
        <w:spacing w:line="360" w:lineRule="auto"/>
        <w:jc w:val="center"/>
        <w:rPr>
          <w:i/>
          <w:sz w:val="22"/>
          <w:szCs w:val="22"/>
        </w:rPr>
      </w:pPr>
      <m:oMathPara>
        <m:oMathParaPr>
          <m:jc m:val="left"/>
        </m:oMathParaPr>
        <m:oMath>
          <m:func>
            <m:funcPr>
              <m:ctrlPr>
                <w:rPr>
                  <w:rFonts w:ascii="Cambria Math" w:hAnsi="Cambria Math"/>
                  <w:i/>
                  <w:sz w:val="22"/>
                  <w:szCs w:val="22"/>
                </w:rPr>
              </m:ctrlPr>
            </m:funcPr>
            <m:fName>
              <m:r>
                <w:rPr>
                  <w:rFonts w:ascii="Cambria Math" w:hAnsi="Cambria Math"/>
                  <w:sz w:val="22"/>
                  <w:szCs w:val="22"/>
                </w:rPr>
                <m:t>ln</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it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o</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1</m:t>
              </m:r>
            </m:sub>
          </m:sSub>
          <m:func>
            <m:funcPr>
              <m:ctrlPr>
                <w:rPr>
                  <w:rFonts w:ascii="Cambria Math" w:hAnsi="Cambria Math"/>
                  <w:i/>
                  <w:sz w:val="22"/>
                  <w:szCs w:val="22"/>
                </w:rPr>
              </m:ctrlPr>
            </m:funcPr>
            <m:fName>
              <m:r>
                <w:rPr>
                  <w:rFonts w:ascii="Cambria Math" w:hAnsi="Cambria Math"/>
                  <w:sz w:val="22"/>
                  <w:szCs w:val="22"/>
                </w:rPr>
                <m:t>ln</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Ut</m:t>
                      </m:r>
                    </m:e>
                    <m:sub>
                      <m:r>
                        <w:rPr>
                          <w:rFonts w:ascii="Cambria Math" w:hAnsi="Cambria Math"/>
                          <w:sz w:val="22"/>
                          <w:szCs w:val="22"/>
                        </w:rPr>
                        <m:t>it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2</m:t>
              </m:r>
            </m:sub>
          </m:sSub>
          <m:func>
            <m:funcPr>
              <m:ctrlPr>
                <w:rPr>
                  <w:rFonts w:ascii="Cambria Math" w:hAnsi="Cambria Math"/>
                  <w:i/>
                  <w:sz w:val="22"/>
                  <w:szCs w:val="22"/>
                </w:rPr>
              </m:ctrlPr>
            </m:funcPr>
            <m:fName>
              <m:r>
                <w:rPr>
                  <w:rFonts w:ascii="Cambria Math" w:hAnsi="Cambria Math"/>
                  <w:sz w:val="22"/>
                  <w:szCs w:val="22"/>
                </w:rPr>
                <m:t>ln</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Co</m:t>
                      </m:r>
                    </m:e>
                    <m:sub>
                      <m:r>
                        <w:rPr>
                          <w:rFonts w:ascii="Cambria Math" w:hAnsi="Cambria Math"/>
                          <w:sz w:val="22"/>
                          <w:szCs w:val="22"/>
                        </w:rPr>
                        <m:t>it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3</m:t>
              </m:r>
            </m:sub>
          </m:sSub>
          <m:func>
            <m:funcPr>
              <m:ctrlPr>
                <w:rPr>
                  <w:rFonts w:ascii="Cambria Math" w:hAnsi="Cambria Math"/>
                  <w:i/>
                  <w:sz w:val="22"/>
                  <w:szCs w:val="22"/>
                </w:rPr>
              </m:ctrlPr>
            </m:funcPr>
            <m:fName>
              <m:r>
                <w:rPr>
                  <w:rFonts w:ascii="Cambria Math" w:hAnsi="Cambria Math"/>
                  <w:sz w:val="22"/>
                  <w:szCs w:val="22"/>
                </w:rPr>
                <m:t>ln</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Fa</m:t>
                      </m:r>
                    </m:e>
                    <m:sub>
                      <m:r>
                        <w:rPr>
                          <w:rFonts w:ascii="Cambria Math" w:hAnsi="Cambria Math"/>
                          <w:sz w:val="22"/>
                          <w:szCs w:val="22"/>
                        </w:rPr>
                        <m:t>it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4</m:t>
              </m:r>
            </m:sub>
          </m:sSub>
          <m:func>
            <m:funcPr>
              <m:ctrlPr>
                <w:rPr>
                  <w:rFonts w:ascii="Cambria Math" w:hAnsi="Cambria Math"/>
                  <w:i/>
                  <w:sz w:val="22"/>
                  <w:szCs w:val="22"/>
                </w:rPr>
              </m:ctrlPr>
            </m:funcPr>
            <m:fName>
              <m:r>
                <w:rPr>
                  <w:rFonts w:ascii="Cambria Math" w:hAnsi="Cambria Math"/>
                  <w:sz w:val="22"/>
                  <w:szCs w:val="22"/>
                </w:rPr>
                <m:t>ln</m:t>
              </m:r>
            </m:fName>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Ur</m:t>
                          </m:r>
                        </m:e>
                        <m:sub>
                          <m:r>
                            <w:rPr>
                              <w:rFonts w:ascii="Cambria Math" w:hAnsi="Cambria Math"/>
                              <w:sz w:val="22"/>
                              <w:szCs w:val="22"/>
                            </w:rPr>
                            <m:t>it</m:t>
                          </m:r>
                        </m:sub>
                      </m:sSub>
                    </m:num>
                    <m:den>
                      <m:sSub>
                        <m:sSubPr>
                          <m:ctrlPr>
                            <w:rPr>
                              <w:rFonts w:ascii="Cambria Math" w:hAnsi="Cambria Math"/>
                              <w:i/>
                              <w:sz w:val="22"/>
                              <w:szCs w:val="22"/>
                            </w:rPr>
                          </m:ctrlPr>
                        </m:sSubPr>
                        <m:e>
                          <m:r>
                            <w:rPr>
                              <w:rFonts w:ascii="Cambria Math" w:hAnsi="Cambria Math"/>
                              <w:sz w:val="22"/>
                              <w:szCs w:val="22"/>
                            </w:rPr>
                            <m:t>lr</m:t>
                          </m:r>
                        </m:e>
                        <m:sub>
                          <m:r>
                            <w:rPr>
                              <w:rFonts w:ascii="Cambria Math" w:hAnsi="Cambria Math"/>
                              <w:sz w:val="22"/>
                              <w:szCs w:val="22"/>
                            </w:rPr>
                            <m:t>it</m:t>
                          </m:r>
                        </m:sub>
                      </m:sSub>
                    </m:den>
                  </m:f>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5</m:t>
              </m:r>
            </m:sub>
          </m:sSub>
          <m:r>
            <w:rPr>
              <w:rFonts w:ascii="Cambria Math" w:hAnsi="Cambria Math"/>
              <w:sz w:val="22"/>
              <w:szCs w:val="22"/>
            </w:rPr>
            <m:t>ln</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Uu</m:t>
                      </m:r>
                    </m:e>
                    <m:sub>
                      <m:r>
                        <w:rPr>
                          <w:rFonts w:ascii="Cambria Math" w:hAnsi="Cambria Math"/>
                          <w:sz w:val="22"/>
                          <w:szCs w:val="22"/>
                        </w:rPr>
                        <m:t>it</m:t>
                      </m:r>
                    </m:sub>
                  </m:sSub>
                </m:num>
                <m:den>
                  <m:sSub>
                    <m:sSubPr>
                      <m:ctrlPr>
                        <w:rPr>
                          <w:rFonts w:ascii="Cambria Math" w:hAnsi="Cambria Math"/>
                          <w:i/>
                          <w:sz w:val="22"/>
                          <w:szCs w:val="22"/>
                        </w:rPr>
                      </m:ctrlPr>
                    </m:sSubPr>
                    <m:e>
                      <m:r>
                        <w:rPr>
                          <w:rFonts w:ascii="Cambria Math" w:hAnsi="Cambria Math"/>
                          <w:sz w:val="22"/>
                          <w:szCs w:val="22"/>
                        </w:rPr>
                        <m:t>lu</m:t>
                      </m:r>
                    </m:e>
                    <m:sub>
                      <m:r>
                        <w:rPr>
                          <w:rFonts w:ascii="Cambria Math" w:hAnsi="Cambria Math"/>
                          <w:sz w:val="22"/>
                          <w:szCs w:val="22"/>
                        </w:rPr>
                        <m:t>it</m:t>
                      </m:r>
                    </m:sub>
                  </m:sSub>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oMath>
      </m:oMathPara>
    </w:p>
    <w:p w14:paraId="341C361B" w14:textId="5F7039F6" w:rsidR="00AD1511" w:rsidRDefault="0060415A" w:rsidP="003C4223">
      <w:r w:rsidRPr="0060415A">
        <w:t>Con a1 + a2 = 1</w:t>
      </w:r>
    </w:p>
    <w:p w14:paraId="44412B9D" w14:textId="0FE1F24B" w:rsidR="002F6AD1" w:rsidRDefault="002F6AD1" w:rsidP="003C4223">
      <w:r>
        <w:t xml:space="preserve">Donde: </w:t>
      </w:r>
    </w:p>
    <w:p w14:paraId="7764B63C" w14:textId="08B9F7FD" w:rsidR="005B7A1B" w:rsidRDefault="005B7A1B" w:rsidP="005B7A1B">
      <w:pPr>
        <w:ind w:left="1276" w:right="45" w:hanging="1276"/>
        <w:rPr>
          <w:rFonts w:cs="Arial"/>
        </w:rPr>
      </w:pPr>
      <w:proofErr w:type="spellStart"/>
      <w:r>
        <w:rPr>
          <w:rFonts w:cs="Arial"/>
          <w:i/>
        </w:rPr>
        <w:t>U</w:t>
      </w:r>
      <w:r w:rsidR="00B35AAB">
        <w:rPr>
          <w:rFonts w:cs="Arial"/>
          <w:i/>
        </w:rPr>
        <w:t>t</w:t>
      </w:r>
      <w:r w:rsidR="00B35AAB" w:rsidRPr="00B35AAB">
        <w:rPr>
          <w:rFonts w:cs="Arial"/>
          <w:i/>
          <w:vertAlign w:val="subscript"/>
        </w:rPr>
        <w:t>i</w:t>
      </w:r>
      <w:proofErr w:type="spellEnd"/>
      <w:r>
        <w:rPr>
          <w:rFonts w:cs="Arial"/>
        </w:rPr>
        <w:t>:</w:t>
      </w:r>
      <w:r>
        <w:rPr>
          <w:rFonts w:cs="Arial"/>
        </w:rPr>
        <w:tab/>
      </w:r>
      <w:r w:rsidR="00B35AAB">
        <w:rPr>
          <w:rFonts w:cs="Arial"/>
        </w:rPr>
        <w:t>Usuarios totales</w:t>
      </w:r>
      <w:r w:rsidR="007A5765">
        <w:rPr>
          <w:rFonts w:cs="Arial"/>
        </w:rPr>
        <w:t xml:space="preserve"> del comercializador </w:t>
      </w:r>
      <w:r w:rsidR="007A5765" w:rsidRPr="003D394C">
        <w:rPr>
          <w:rFonts w:cs="Arial"/>
          <w:i/>
        </w:rPr>
        <w:t>i</w:t>
      </w:r>
      <w:r w:rsidR="007A5765">
        <w:rPr>
          <w:rFonts w:cs="Arial"/>
        </w:rPr>
        <w:t xml:space="preserve"> en el mercado de comercialización </w:t>
      </w:r>
      <w:r w:rsidR="007A5765" w:rsidRPr="003D394C">
        <w:rPr>
          <w:rFonts w:cs="Arial"/>
          <w:i/>
        </w:rPr>
        <w:t>j</w:t>
      </w:r>
      <w:r w:rsidR="007A5765">
        <w:rPr>
          <w:rFonts w:cs="Arial"/>
        </w:rPr>
        <w:t>.</w:t>
      </w:r>
      <w:r>
        <w:rPr>
          <w:rFonts w:cs="Arial"/>
        </w:rPr>
        <w:t xml:space="preserve"> </w:t>
      </w:r>
    </w:p>
    <w:p w14:paraId="737147DD" w14:textId="03C9F28C" w:rsidR="00B35AAB" w:rsidRDefault="00BA0B2C" w:rsidP="00B35AAB">
      <w:pPr>
        <w:ind w:left="1276" w:right="45" w:hanging="1276"/>
        <w:rPr>
          <w:rFonts w:cs="Arial"/>
        </w:rPr>
      </w:pPr>
      <w:proofErr w:type="spellStart"/>
      <w:r>
        <w:rPr>
          <w:rFonts w:cs="Arial"/>
          <w:i/>
        </w:rPr>
        <w:t>Co</w:t>
      </w:r>
      <w:r w:rsidR="00B35AAB" w:rsidRPr="00B35AAB">
        <w:rPr>
          <w:rFonts w:cs="Arial"/>
          <w:i/>
          <w:vertAlign w:val="subscript"/>
        </w:rPr>
        <w:t>i</w:t>
      </w:r>
      <w:proofErr w:type="spellEnd"/>
      <w:r w:rsidR="00B35AAB">
        <w:rPr>
          <w:rFonts w:cs="Arial"/>
        </w:rPr>
        <w:t>:</w:t>
      </w:r>
      <w:r w:rsidR="00B35AAB">
        <w:rPr>
          <w:rFonts w:cs="Arial"/>
        </w:rPr>
        <w:tab/>
      </w:r>
      <w:r w:rsidRPr="00F459A5">
        <w:rPr>
          <w:rFonts w:cs="Arial"/>
        </w:rPr>
        <w:t>Consumo total kWh</w:t>
      </w:r>
      <w:r w:rsidR="007A5765" w:rsidRPr="00F459A5">
        <w:rPr>
          <w:rFonts w:cs="Arial"/>
        </w:rPr>
        <w:t xml:space="preserve"> en el mercado de comercialización </w:t>
      </w:r>
      <w:r w:rsidR="007A5765" w:rsidRPr="00F459A5">
        <w:rPr>
          <w:rFonts w:cs="Arial"/>
          <w:i/>
        </w:rPr>
        <w:t>j</w:t>
      </w:r>
      <w:r w:rsidR="00B35AAB" w:rsidRPr="00F459A5">
        <w:rPr>
          <w:rFonts w:cs="Arial"/>
        </w:rPr>
        <w:t>.</w:t>
      </w:r>
      <w:r w:rsidR="00B35AAB">
        <w:rPr>
          <w:rFonts w:cs="Arial"/>
        </w:rPr>
        <w:t xml:space="preserve"> </w:t>
      </w:r>
    </w:p>
    <w:p w14:paraId="0D8E61C1" w14:textId="137A42E7" w:rsidR="00B35AAB" w:rsidRDefault="005A5947" w:rsidP="00B35AAB">
      <w:pPr>
        <w:ind w:left="1276" w:right="45" w:hanging="1276"/>
        <w:rPr>
          <w:rFonts w:cs="Arial"/>
        </w:rPr>
      </w:pPr>
      <w:proofErr w:type="spellStart"/>
      <w:r>
        <w:rPr>
          <w:rFonts w:cs="Arial"/>
          <w:i/>
        </w:rPr>
        <w:t>Fs</w:t>
      </w:r>
      <w:r w:rsidR="00B35AAB" w:rsidRPr="00B35AAB">
        <w:rPr>
          <w:rFonts w:cs="Arial"/>
          <w:i/>
          <w:vertAlign w:val="subscript"/>
        </w:rPr>
        <w:t>i</w:t>
      </w:r>
      <w:proofErr w:type="spellEnd"/>
      <w:r w:rsidR="00B35AAB">
        <w:rPr>
          <w:rFonts w:cs="Arial"/>
        </w:rPr>
        <w:t>:</w:t>
      </w:r>
      <w:r w:rsidR="00B35AAB">
        <w:rPr>
          <w:rFonts w:cs="Arial"/>
        </w:rPr>
        <w:tab/>
      </w:r>
      <w:r w:rsidR="00BA0B2C">
        <w:rPr>
          <w:rFonts w:cs="Arial"/>
        </w:rPr>
        <w:t>Facturación total, $</w:t>
      </w:r>
      <w:r w:rsidR="007A5765">
        <w:rPr>
          <w:rFonts w:cs="Arial"/>
        </w:rPr>
        <w:t xml:space="preserve"> en el mercado de comercialización </w:t>
      </w:r>
      <w:r w:rsidR="007A5765" w:rsidRPr="003D394C">
        <w:rPr>
          <w:rFonts w:cs="Arial"/>
          <w:i/>
        </w:rPr>
        <w:t>j</w:t>
      </w:r>
      <w:r w:rsidR="00B35AAB">
        <w:rPr>
          <w:rFonts w:cs="Arial"/>
        </w:rPr>
        <w:t xml:space="preserve">. </w:t>
      </w:r>
    </w:p>
    <w:p w14:paraId="468B9250" w14:textId="78015B01" w:rsidR="00B35AAB" w:rsidRDefault="00B35AAB" w:rsidP="00B35AAB">
      <w:pPr>
        <w:ind w:left="1276" w:right="45" w:hanging="1276"/>
        <w:rPr>
          <w:rFonts w:cs="Arial"/>
        </w:rPr>
      </w:pPr>
      <w:r>
        <w:rPr>
          <w:rFonts w:cs="Arial"/>
          <w:i/>
        </w:rPr>
        <w:t>U</w:t>
      </w:r>
      <w:r w:rsidR="00580D1D">
        <w:rPr>
          <w:rFonts w:cs="Arial"/>
          <w:i/>
        </w:rPr>
        <w:t>r</w:t>
      </w:r>
      <w:r w:rsidRPr="00B35AAB">
        <w:rPr>
          <w:rFonts w:cs="Arial"/>
          <w:i/>
          <w:vertAlign w:val="subscript"/>
        </w:rPr>
        <w:t>i</w:t>
      </w:r>
      <w:r>
        <w:rPr>
          <w:rFonts w:cs="Arial"/>
        </w:rPr>
        <w:t>:</w:t>
      </w:r>
      <w:r>
        <w:rPr>
          <w:rFonts w:cs="Arial"/>
        </w:rPr>
        <w:tab/>
      </w:r>
      <w:r w:rsidR="006C22A6">
        <w:rPr>
          <w:rFonts w:cs="Arial"/>
        </w:rPr>
        <w:t>U</w:t>
      </w:r>
      <w:r w:rsidR="0079578D">
        <w:rPr>
          <w:rFonts w:cs="Arial"/>
        </w:rPr>
        <w:t xml:space="preserve">suarios </w:t>
      </w:r>
      <w:r w:rsidR="00F6796A">
        <w:rPr>
          <w:rFonts w:cs="Arial"/>
        </w:rPr>
        <w:t xml:space="preserve">rurales en el mercado de comercialización </w:t>
      </w:r>
      <w:r w:rsidR="00F6796A" w:rsidRPr="003D394C">
        <w:rPr>
          <w:rFonts w:cs="Arial"/>
          <w:i/>
        </w:rPr>
        <w:t>j</w:t>
      </w:r>
      <w:r>
        <w:rPr>
          <w:rFonts w:cs="Arial"/>
        </w:rPr>
        <w:t xml:space="preserve">. </w:t>
      </w:r>
    </w:p>
    <w:p w14:paraId="01C89388" w14:textId="477783B0" w:rsidR="00B35AAB" w:rsidRDefault="006C22A6" w:rsidP="00B35AAB">
      <w:pPr>
        <w:ind w:left="1276" w:right="45" w:hanging="1276"/>
        <w:rPr>
          <w:rFonts w:cs="Arial"/>
        </w:rPr>
      </w:pPr>
      <w:proofErr w:type="spellStart"/>
      <w:r>
        <w:rPr>
          <w:rFonts w:cs="Arial"/>
          <w:i/>
        </w:rPr>
        <w:t>lr</w:t>
      </w:r>
      <w:r w:rsidR="00B35AAB" w:rsidRPr="00B35AAB">
        <w:rPr>
          <w:rFonts w:cs="Arial"/>
          <w:i/>
          <w:vertAlign w:val="subscript"/>
        </w:rPr>
        <w:t>i</w:t>
      </w:r>
      <w:proofErr w:type="spellEnd"/>
      <w:r w:rsidR="00B35AAB">
        <w:rPr>
          <w:rFonts w:cs="Arial"/>
        </w:rPr>
        <w:t>:</w:t>
      </w:r>
      <w:r w:rsidR="00B35AAB">
        <w:rPr>
          <w:rFonts w:cs="Arial"/>
        </w:rPr>
        <w:tab/>
      </w:r>
      <w:r w:rsidR="00F6796A">
        <w:rPr>
          <w:rFonts w:cs="Arial"/>
        </w:rPr>
        <w:t xml:space="preserve">Longitud de redes </w:t>
      </w:r>
      <w:r>
        <w:rPr>
          <w:rFonts w:cs="Arial"/>
        </w:rPr>
        <w:t>rurales</w:t>
      </w:r>
      <w:r w:rsidR="00F6796A">
        <w:rPr>
          <w:rFonts w:cs="Arial"/>
        </w:rPr>
        <w:t xml:space="preserve"> en el mercado de comercialización </w:t>
      </w:r>
      <w:r w:rsidR="00F6796A" w:rsidRPr="003D394C">
        <w:rPr>
          <w:rFonts w:cs="Arial"/>
          <w:i/>
        </w:rPr>
        <w:t>j</w:t>
      </w:r>
      <w:r w:rsidR="00F6796A">
        <w:rPr>
          <w:rFonts w:cs="Arial"/>
        </w:rPr>
        <w:t xml:space="preserve">. </w:t>
      </w:r>
      <w:r w:rsidR="003A6914">
        <w:rPr>
          <w:rFonts w:cs="Arial"/>
        </w:rPr>
        <w:t>km</w:t>
      </w:r>
      <w:r w:rsidR="00B35AAB">
        <w:rPr>
          <w:rFonts w:cs="Arial"/>
        </w:rPr>
        <w:t xml:space="preserve"> </w:t>
      </w:r>
    </w:p>
    <w:p w14:paraId="31D67C14" w14:textId="4F03D293" w:rsidR="00F6796A" w:rsidRDefault="00F6796A" w:rsidP="00F6796A">
      <w:pPr>
        <w:ind w:left="1276" w:right="45" w:hanging="1276"/>
        <w:rPr>
          <w:rFonts w:cs="Arial"/>
        </w:rPr>
      </w:pPr>
      <w:proofErr w:type="spellStart"/>
      <w:r>
        <w:rPr>
          <w:rFonts w:cs="Arial"/>
          <w:i/>
        </w:rPr>
        <w:t>U</w:t>
      </w:r>
      <w:r w:rsidR="003A6914">
        <w:rPr>
          <w:rFonts w:cs="Arial"/>
          <w:i/>
        </w:rPr>
        <w:t>u</w:t>
      </w:r>
      <w:r w:rsidRPr="00B35AAB">
        <w:rPr>
          <w:rFonts w:cs="Arial"/>
          <w:i/>
          <w:vertAlign w:val="subscript"/>
        </w:rPr>
        <w:t>i</w:t>
      </w:r>
      <w:proofErr w:type="spellEnd"/>
      <w:r>
        <w:rPr>
          <w:rFonts w:cs="Arial"/>
        </w:rPr>
        <w:t>:</w:t>
      </w:r>
      <w:r>
        <w:rPr>
          <w:rFonts w:cs="Arial"/>
        </w:rPr>
        <w:tab/>
        <w:t xml:space="preserve">Usuarios </w:t>
      </w:r>
      <w:r w:rsidR="003A6914">
        <w:rPr>
          <w:rFonts w:cs="Arial"/>
        </w:rPr>
        <w:t xml:space="preserve">urbanos </w:t>
      </w:r>
      <w:r>
        <w:rPr>
          <w:rFonts w:cs="Arial"/>
        </w:rPr>
        <w:t xml:space="preserve">en el mercado de comercialización </w:t>
      </w:r>
      <w:r w:rsidRPr="003D394C">
        <w:rPr>
          <w:rFonts w:cs="Arial"/>
          <w:i/>
        </w:rPr>
        <w:t>j</w:t>
      </w:r>
      <w:r>
        <w:rPr>
          <w:rFonts w:cs="Arial"/>
        </w:rPr>
        <w:t xml:space="preserve">. </w:t>
      </w:r>
    </w:p>
    <w:p w14:paraId="0C62D752" w14:textId="39FE7E9B" w:rsidR="00F6796A" w:rsidRDefault="00F6796A" w:rsidP="00F6796A">
      <w:pPr>
        <w:ind w:left="1276" w:right="45" w:hanging="1276"/>
        <w:rPr>
          <w:rFonts w:cs="Arial"/>
        </w:rPr>
      </w:pPr>
      <w:r>
        <w:rPr>
          <w:rFonts w:cs="Arial"/>
          <w:i/>
        </w:rPr>
        <w:t>l</w:t>
      </w:r>
      <w:r w:rsidR="003A6914">
        <w:rPr>
          <w:rFonts w:cs="Arial"/>
          <w:i/>
        </w:rPr>
        <w:t>u</w:t>
      </w:r>
      <w:r w:rsidRPr="00B35AAB">
        <w:rPr>
          <w:rFonts w:cs="Arial"/>
          <w:i/>
          <w:vertAlign w:val="subscript"/>
        </w:rPr>
        <w:t>i</w:t>
      </w:r>
      <w:r>
        <w:rPr>
          <w:rFonts w:cs="Arial"/>
        </w:rPr>
        <w:t>:</w:t>
      </w:r>
      <w:r>
        <w:rPr>
          <w:rFonts w:cs="Arial"/>
        </w:rPr>
        <w:tab/>
        <w:t xml:space="preserve">Longitud de redes </w:t>
      </w:r>
      <w:r w:rsidR="003A6914">
        <w:rPr>
          <w:rFonts w:cs="Arial"/>
        </w:rPr>
        <w:t xml:space="preserve">urbanas </w:t>
      </w:r>
      <w:r>
        <w:rPr>
          <w:rFonts w:cs="Arial"/>
        </w:rPr>
        <w:t xml:space="preserve">en el mercado de comercialización </w:t>
      </w:r>
      <w:r w:rsidRPr="003D394C">
        <w:rPr>
          <w:rFonts w:cs="Arial"/>
          <w:i/>
        </w:rPr>
        <w:t>j</w:t>
      </w:r>
      <w:r>
        <w:rPr>
          <w:rFonts w:cs="Arial"/>
        </w:rPr>
        <w:t xml:space="preserve">. </w:t>
      </w:r>
      <w:r w:rsidR="003A6914">
        <w:rPr>
          <w:rFonts w:cs="Arial"/>
        </w:rPr>
        <w:t>km</w:t>
      </w:r>
    </w:p>
    <w:p w14:paraId="562FC104" w14:textId="569C0497" w:rsidR="002F6AD1" w:rsidRDefault="00AB0CD6" w:rsidP="003C4223">
      <w:r>
        <w:t xml:space="preserve">Los datos de las variables son los correspondientes al año </w:t>
      </w:r>
      <w:r w:rsidR="00602C75">
        <w:t xml:space="preserve">de la fecha base de la metodología y serán publicados en la circular de la que trata el </w:t>
      </w:r>
      <w:r w:rsidR="00602C75">
        <w:fldChar w:fldCharType="begin"/>
      </w:r>
      <w:r w:rsidR="00602C75">
        <w:instrText xml:space="preserve"> REF _Ref164344897 \r \h </w:instrText>
      </w:r>
      <w:r w:rsidR="00602C75">
        <w:fldChar w:fldCharType="separate"/>
      </w:r>
      <w:r w:rsidR="00625E8F">
        <w:t>Artículo 10</w:t>
      </w:r>
      <w:r w:rsidR="00602C75">
        <w:fldChar w:fldCharType="end"/>
      </w:r>
      <w:r w:rsidR="00602C75">
        <w:t xml:space="preserve"> de la presente resolución</w:t>
      </w:r>
      <w:proofErr w:type="gramStart"/>
      <w:r w:rsidR="00602C75">
        <w:t xml:space="preserve">. </w:t>
      </w:r>
      <w:r w:rsidR="00C74D18">
        <w:t>,</w:t>
      </w:r>
      <w:proofErr w:type="gramEnd"/>
      <w:r w:rsidR="00C74D18">
        <w:t xml:space="preserve"> </w:t>
      </w:r>
    </w:p>
    <w:p w14:paraId="2A988D3C" w14:textId="055A80CB" w:rsidR="00F6796A" w:rsidRDefault="00A67830" w:rsidP="00A67830">
      <w:pPr>
        <w:pStyle w:val="Ttulo4"/>
      </w:pPr>
      <w:r>
        <w:t xml:space="preserve">Parámetros del modelo </w:t>
      </w:r>
    </w:p>
    <w:p w14:paraId="715A575D" w14:textId="51213293" w:rsidR="00F6796A" w:rsidRDefault="00A67830" w:rsidP="003C4223">
      <w:r w:rsidRPr="00797B81">
        <w:t>Los valores de los parámetros del modelo de frontera estocástica son los siguientes:</w:t>
      </w:r>
      <w:r w:rsidR="00947F5F" w:rsidRPr="00947F5F">
        <w:rPr>
          <w:noProof/>
        </w:rPr>
        <w:t xml:space="preserve"> </w:t>
      </w:r>
    </w:p>
    <w:p w14:paraId="2BEBCC69" w14:textId="61B689F9" w:rsidR="009D0B65" w:rsidRDefault="009D0B65" w:rsidP="009D0B65">
      <w:pPr>
        <w:pStyle w:val="Ttulo4"/>
      </w:pPr>
      <w:r>
        <w:t>Estimación de la eficiencia</w:t>
      </w:r>
    </w:p>
    <w:p w14:paraId="24E0DBCC" w14:textId="3CBA7E88" w:rsidR="009D0B65" w:rsidRDefault="00CD7B13" w:rsidP="009D0B65">
      <w:pPr>
        <w:rPr>
          <w:lang w:val="es-ES_tradnl"/>
        </w:rPr>
      </w:pPr>
      <w:r>
        <w:rPr>
          <w:lang w:val="es-ES_tradnl"/>
        </w:rPr>
        <w:t xml:space="preserve">La eficiencia técnica se calcula de la siguiente manera: </w:t>
      </w:r>
    </w:p>
    <w:p w14:paraId="4F7E611A" w14:textId="22D38DF7" w:rsidR="00EF2C5B" w:rsidRDefault="00000000" w:rsidP="009D0B65">
      <w:pPr>
        <w:rPr>
          <w:lang w:val="es-ES_tradnl"/>
        </w:rPr>
      </w:pPr>
      <m:oMathPara>
        <m:oMath>
          <m:sSub>
            <m:sSubPr>
              <m:ctrlPr>
                <w:rPr>
                  <w:rFonts w:ascii="Cambria Math" w:hAnsi="Cambria Math"/>
                  <w:i/>
                  <w:lang w:val="es-ES_tradnl"/>
                </w:rPr>
              </m:ctrlPr>
            </m:sSubPr>
            <m:e>
              <m:r>
                <w:rPr>
                  <w:rFonts w:ascii="Cambria Math" w:hAnsi="Cambria Math"/>
                  <w:lang w:val="es-ES_tradnl"/>
                </w:rPr>
                <m:t>EfTec</m:t>
              </m:r>
            </m:e>
            <m:sub>
              <m:r>
                <w:rPr>
                  <w:rFonts w:ascii="Cambria Math" w:hAnsi="Cambria Math"/>
                  <w:lang w:val="es-ES_tradnl"/>
                </w:rPr>
                <m:t>i</m:t>
              </m:r>
            </m:sub>
          </m:sSub>
          <m:r>
            <w:rPr>
              <w:rFonts w:ascii="Cambria Math" w:hAnsi="Cambria Math"/>
              <w:lang w:val="es-ES_tradnl"/>
            </w:rPr>
            <m:t>=</m:t>
          </m:r>
          <m:sSup>
            <m:sSupPr>
              <m:ctrlPr>
                <w:rPr>
                  <w:rFonts w:ascii="Cambria Math" w:hAnsi="Cambria Math"/>
                  <w:i/>
                  <w:lang w:val="es-ES_tradnl"/>
                </w:rPr>
              </m:ctrlPr>
            </m:sSupPr>
            <m:e>
              <m:r>
                <w:rPr>
                  <w:rFonts w:ascii="Cambria Math" w:hAnsi="Cambria Math"/>
                  <w:lang w:val="es-ES_tradnl"/>
                </w:rPr>
                <m:t>e</m:t>
              </m:r>
            </m:e>
            <m:sup>
              <m:d>
                <m:dPr>
                  <m:ctrlPr>
                    <w:rPr>
                      <w:rFonts w:ascii="Cambria Math" w:hAnsi="Cambria Math"/>
                      <w:i/>
                      <w:lang w:val="es-ES_tradnl"/>
                    </w:rPr>
                  </m:ctrlPr>
                </m:dPr>
                <m:e>
                  <m:r>
                    <w:rPr>
                      <w:rFonts w:ascii="Cambria Math" w:hAnsi="Cambria Math"/>
                      <w:lang w:val="es-ES_tradnl"/>
                    </w:rPr>
                    <m:t>-</m:t>
                  </m:r>
                  <m:sSup>
                    <m:sSupPr>
                      <m:ctrlPr>
                        <w:rPr>
                          <w:rFonts w:ascii="Cambria Math" w:hAnsi="Cambria Math"/>
                          <w:i/>
                          <w:lang w:val="es-ES_tradnl"/>
                        </w:rPr>
                      </m:ctrlPr>
                    </m:sSupPr>
                    <m:e>
                      <m:r>
                        <w:rPr>
                          <w:rFonts w:ascii="Cambria Math" w:hAnsi="Cambria Math"/>
                          <w:lang w:val="es-ES_tradnl"/>
                        </w:rPr>
                        <m:t>μ</m:t>
                      </m:r>
                    </m:e>
                    <m:sup>
                      <m:r>
                        <w:rPr>
                          <w:rFonts w:ascii="Cambria Math" w:hAnsi="Cambria Math"/>
                          <w:lang w:val="es-ES_tradnl"/>
                        </w:rPr>
                        <m:t>*</m:t>
                      </m:r>
                    </m:sup>
                  </m:sSup>
                  <m:r>
                    <w:rPr>
                      <w:rFonts w:ascii="Cambria Math" w:hAnsi="Cambria Math"/>
                      <w:lang w:val="es-ES_tradnl"/>
                    </w:rPr>
                    <m:t>+0.5</m:t>
                  </m:r>
                  <m:sSup>
                    <m:sSupPr>
                      <m:ctrlPr>
                        <w:rPr>
                          <w:rFonts w:ascii="Cambria Math" w:hAnsi="Cambria Math"/>
                          <w:i/>
                          <w:lang w:val="es-ES_tradnl"/>
                        </w:rPr>
                      </m:ctrlPr>
                    </m:sSupPr>
                    <m:e>
                      <m:sSub>
                        <m:sSubPr>
                          <m:ctrlPr>
                            <w:rPr>
                              <w:rFonts w:ascii="Cambria Math" w:hAnsi="Cambria Math"/>
                              <w:i/>
                              <w:lang w:val="es-ES_tradnl"/>
                            </w:rPr>
                          </m:ctrlPr>
                        </m:sSubPr>
                        <m:e>
                          <m:r>
                            <w:rPr>
                              <w:rFonts w:ascii="Cambria Math" w:hAnsi="Cambria Math"/>
                              <w:lang w:val="es-ES_tradnl"/>
                            </w:rPr>
                            <m:t>σ*</m:t>
                          </m:r>
                        </m:e>
                        <m:sub>
                          <m:r>
                            <w:rPr>
                              <w:rFonts w:ascii="Cambria Math" w:hAnsi="Cambria Math"/>
                              <w:lang w:val="es-ES_tradnl"/>
                            </w:rPr>
                            <m:t>i</m:t>
                          </m:r>
                        </m:sub>
                      </m:sSub>
                    </m:e>
                    <m:sup>
                      <m:r>
                        <w:rPr>
                          <w:rFonts w:ascii="Cambria Math" w:hAnsi="Cambria Math"/>
                          <w:lang w:val="es-ES_tradnl"/>
                        </w:rPr>
                        <m:t>2</m:t>
                      </m:r>
                    </m:sup>
                  </m:sSup>
                </m:e>
              </m:d>
            </m:sup>
          </m:sSup>
          <m:d>
            <m:dPr>
              <m:begChr m:val="["/>
              <m:endChr m:val="]"/>
              <m:ctrlPr>
                <w:rPr>
                  <w:rFonts w:ascii="Cambria Math" w:hAnsi="Cambria Math"/>
                  <w:i/>
                  <w:lang w:val="es-ES_tradnl"/>
                </w:rPr>
              </m:ctrlPr>
            </m:dPr>
            <m:e>
              <m:f>
                <m:fPr>
                  <m:ctrlPr>
                    <w:rPr>
                      <w:rFonts w:ascii="Cambria Math" w:hAnsi="Cambria Math"/>
                      <w:i/>
                      <w:lang w:val="es-ES_tradnl"/>
                    </w:rPr>
                  </m:ctrlPr>
                </m:fPr>
                <m:num>
                  <m:r>
                    <w:rPr>
                      <w:rFonts w:ascii="Cambria Math" w:hAnsi="Cambria Math"/>
                      <w:lang w:val="es-ES_tradnl"/>
                    </w:rPr>
                    <m:t>1-∅</m:t>
                  </m:r>
                  <m:d>
                    <m:dPr>
                      <m:ctrlPr>
                        <w:rPr>
                          <w:rFonts w:ascii="Cambria Math" w:hAnsi="Cambria Math"/>
                          <w:i/>
                          <w:lang w:val="es-ES_tradnl"/>
                        </w:rPr>
                      </m:ctrlPr>
                    </m:dPr>
                    <m:e>
                      <m:sSup>
                        <m:sSupPr>
                          <m:ctrlPr>
                            <w:rPr>
                              <w:rFonts w:ascii="Cambria Math" w:hAnsi="Cambria Math"/>
                              <w:i/>
                              <w:lang w:val="es-ES_tradnl"/>
                            </w:rPr>
                          </m:ctrlPr>
                        </m:sSupPr>
                        <m:e>
                          <m:r>
                            <w:rPr>
                              <w:rFonts w:ascii="Cambria Math" w:hAnsi="Cambria Math"/>
                              <w:lang w:val="es-ES_tradnl"/>
                            </w:rPr>
                            <m:t>σ</m:t>
                          </m:r>
                        </m:e>
                        <m:sup>
                          <m:r>
                            <w:rPr>
                              <w:rFonts w:ascii="Cambria Math" w:hAnsi="Cambria Math"/>
                              <w:lang w:val="es-ES_tradnl"/>
                            </w:rPr>
                            <m:t>*</m:t>
                          </m:r>
                        </m:sup>
                      </m:sSup>
                      <m:r>
                        <w:rPr>
                          <w:rFonts w:ascii="Cambria Math" w:hAnsi="Cambria Math"/>
                          <w:lang w:val="es-ES_tradnl"/>
                        </w:rPr>
                        <m:t>-</m:t>
                      </m:r>
                      <m:f>
                        <m:fPr>
                          <m:ctrlPr>
                            <w:rPr>
                              <w:rFonts w:ascii="Cambria Math" w:hAnsi="Cambria Math"/>
                              <w:i/>
                              <w:lang w:val="es-ES_tradnl"/>
                            </w:rPr>
                          </m:ctrlPr>
                        </m:fPr>
                        <m:num>
                          <m:sSup>
                            <m:sSupPr>
                              <m:ctrlPr>
                                <w:rPr>
                                  <w:rFonts w:ascii="Cambria Math" w:hAnsi="Cambria Math"/>
                                  <w:i/>
                                  <w:lang w:val="es-ES_tradnl"/>
                                </w:rPr>
                              </m:ctrlPr>
                            </m:sSupPr>
                            <m:e>
                              <m:sSub>
                                <m:sSubPr>
                                  <m:ctrlPr>
                                    <w:rPr>
                                      <w:rFonts w:ascii="Cambria Math" w:hAnsi="Cambria Math"/>
                                      <w:i/>
                                      <w:lang w:val="es-ES_tradnl"/>
                                    </w:rPr>
                                  </m:ctrlPr>
                                </m:sSubPr>
                                <m:e>
                                  <m:r>
                                    <w:rPr>
                                      <w:rFonts w:ascii="Cambria Math" w:hAnsi="Cambria Math"/>
                                      <w:lang w:val="es-ES_tradnl"/>
                                    </w:rPr>
                                    <m:t>μ</m:t>
                                  </m:r>
                                </m:e>
                                <m:sub>
                                  <m:r>
                                    <w:rPr>
                                      <w:rFonts w:ascii="Cambria Math" w:hAnsi="Cambria Math"/>
                                      <w:lang w:val="es-ES_tradnl"/>
                                    </w:rPr>
                                    <m:t>i</m:t>
                                  </m:r>
                                </m:sub>
                              </m:sSub>
                            </m:e>
                            <m:sup>
                              <m:r>
                                <w:rPr>
                                  <w:rFonts w:ascii="Cambria Math" w:hAnsi="Cambria Math"/>
                                  <w:lang w:val="es-ES_tradnl"/>
                                </w:rPr>
                                <m:t>*</m:t>
                              </m:r>
                            </m:sup>
                          </m:sSup>
                        </m:num>
                        <m:den>
                          <m:sSup>
                            <m:sSupPr>
                              <m:ctrlPr>
                                <w:rPr>
                                  <w:rFonts w:ascii="Cambria Math" w:hAnsi="Cambria Math"/>
                                  <w:i/>
                                  <w:lang w:val="es-ES_tradnl"/>
                                </w:rPr>
                              </m:ctrlPr>
                            </m:sSupPr>
                            <m:e>
                              <m:r>
                                <w:rPr>
                                  <w:rFonts w:ascii="Cambria Math" w:hAnsi="Cambria Math"/>
                                  <w:lang w:val="es-ES_tradnl"/>
                                </w:rPr>
                                <m:t>σ</m:t>
                              </m:r>
                            </m:e>
                            <m:sup>
                              <m:r>
                                <w:rPr>
                                  <w:rFonts w:ascii="Cambria Math" w:hAnsi="Cambria Math"/>
                                  <w:lang w:val="es-ES_tradnl"/>
                                </w:rPr>
                                <m:t>*</m:t>
                              </m:r>
                            </m:sup>
                          </m:sSup>
                        </m:den>
                      </m:f>
                    </m:e>
                  </m:d>
                </m:num>
                <m:den>
                  <m:r>
                    <w:rPr>
                      <w:rFonts w:ascii="Cambria Math" w:hAnsi="Cambria Math"/>
                      <w:lang w:val="es-ES_tradnl"/>
                    </w:rPr>
                    <m:t>1-∅</m:t>
                  </m:r>
                  <m:d>
                    <m:dPr>
                      <m:ctrlPr>
                        <w:rPr>
                          <w:rFonts w:ascii="Cambria Math" w:hAnsi="Cambria Math"/>
                          <w:i/>
                          <w:lang w:val="es-ES_tradnl"/>
                        </w:rPr>
                      </m:ctrlPr>
                    </m:dPr>
                    <m:e>
                      <m:r>
                        <w:rPr>
                          <w:rFonts w:ascii="Cambria Math" w:hAnsi="Cambria Math"/>
                          <w:lang w:val="es-ES_tradnl"/>
                        </w:rPr>
                        <m:t>-</m:t>
                      </m:r>
                      <m:f>
                        <m:fPr>
                          <m:ctrlPr>
                            <w:rPr>
                              <w:rFonts w:ascii="Cambria Math" w:hAnsi="Cambria Math"/>
                              <w:i/>
                              <w:lang w:val="es-ES_tradnl"/>
                            </w:rPr>
                          </m:ctrlPr>
                        </m:fPr>
                        <m:num>
                          <m:sSup>
                            <m:sSupPr>
                              <m:ctrlPr>
                                <w:rPr>
                                  <w:rFonts w:ascii="Cambria Math" w:hAnsi="Cambria Math"/>
                                  <w:i/>
                                  <w:lang w:val="es-ES_tradnl"/>
                                </w:rPr>
                              </m:ctrlPr>
                            </m:sSupPr>
                            <m:e>
                              <m:sSub>
                                <m:sSubPr>
                                  <m:ctrlPr>
                                    <w:rPr>
                                      <w:rFonts w:ascii="Cambria Math" w:hAnsi="Cambria Math"/>
                                      <w:i/>
                                      <w:lang w:val="es-ES_tradnl"/>
                                    </w:rPr>
                                  </m:ctrlPr>
                                </m:sSubPr>
                                <m:e>
                                  <m:r>
                                    <w:rPr>
                                      <w:rFonts w:ascii="Cambria Math" w:hAnsi="Cambria Math"/>
                                      <w:lang w:val="es-ES_tradnl"/>
                                    </w:rPr>
                                    <m:t>μ</m:t>
                                  </m:r>
                                </m:e>
                                <m:sub>
                                  <m:r>
                                    <w:rPr>
                                      <w:rFonts w:ascii="Cambria Math" w:hAnsi="Cambria Math"/>
                                      <w:lang w:val="es-ES_tradnl"/>
                                    </w:rPr>
                                    <m:t>i</m:t>
                                  </m:r>
                                </m:sub>
                              </m:sSub>
                            </m:e>
                            <m:sup>
                              <m:r>
                                <w:rPr>
                                  <w:rFonts w:ascii="Cambria Math" w:hAnsi="Cambria Math"/>
                                  <w:lang w:val="es-ES_tradnl"/>
                                </w:rPr>
                                <m:t>*</m:t>
                              </m:r>
                            </m:sup>
                          </m:sSup>
                        </m:num>
                        <m:den>
                          <m:sSup>
                            <m:sSupPr>
                              <m:ctrlPr>
                                <w:rPr>
                                  <w:rFonts w:ascii="Cambria Math" w:hAnsi="Cambria Math"/>
                                  <w:i/>
                                  <w:lang w:val="es-ES_tradnl"/>
                                </w:rPr>
                              </m:ctrlPr>
                            </m:sSupPr>
                            <m:e>
                              <m:r>
                                <w:rPr>
                                  <w:rFonts w:ascii="Cambria Math" w:hAnsi="Cambria Math"/>
                                  <w:lang w:val="es-ES_tradnl"/>
                                </w:rPr>
                                <m:t>σ</m:t>
                              </m:r>
                            </m:e>
                            <m:sup>
                              <m:r>
                                <w:rPr>
                                  <w:rFonts w:ascii="Cambria Math" w:hAnsi="Cambria Math"/>
                                  <w:lang w:val="es-ES_tradnl"/>
                                </w:rPr>
                                <m:t>*</m:t>
                              </m:r>
                            </m:sup>
                          </m:sSup>
                        </m:den>
                      </m:f>
                    </m:e>
                  </m:d>
                </m:den>
              </m:f>
            </m:e>
          </m:d>
        </m:oMath>
      </m:oMathPara>
    </w:p>
    <w:p w14:paraId="06ED8533" w14:textId="25CF2FD7" w:rsidR="00EF2C5B" w:rsidRDefault="00A5658D" w:rsidP="009D0B65">
      <w:pPr>
        <w:rPr>
          <w:lang w:val="es-ES_tradnl"/>
        </w:rPr>
      </w:pPr>
      <w:r>
        <w:rPr>
          <w:lang w:val="es-ES_tradnl"/>
        </w:rPr>
        <w:t>D</w:t>
      </w:r>
      <w:r w:rsidR="00A608B1">
        <w:rPr>
          <w:lang w:val="es-ES_tradnl"/>
        </w:rPr>
        <w:t>onde:</w:t>
      </w:r>
    </w:p>
    <w:p w14:paraId="307E4DB7" w14:textId="4A6C504B" w:rsidR="00A608B1" w:rsidRDefault="00000000" w:rsidP="00A608B1">
      <w:pPr>
        <w:rPr>
          <w:lang w:val="es-ES_tradnl"/>
        </w:rPr>
      </w:pPr>
      <m:oMathPara>
        <m:oMath>
          <m:sSup>
            <m:sSupPr>
              <m:ctrlPr>
                <w:rPr>
                  <w:rFonts w:ascii="Cambria Math" w:hAnsi="Cambria Math"/>
                  <w:i/>
                  <w:lang w:val="es-ES_tradnl"/>
                </w:rPr>
              </m:ctrlPr>
            </m:sSupPr>
            <m:e>
              <m:sSub>
                <m:sSubPr>
                  <m:ctrlPr>
                    <w:rPr>
                      <w:rFonts w:ascii="Cambria Math" w:hAnsi="Cambria Math"/>
                      <w:i/>
                      <w:lang w:val="es-ES_tradnl"/>
                    </w:rPr>
                  </m:ctrlPr>
                </m:sSubPr>
                <m:e>
                  <m:r>
                    <w:rPr>
                      <w:rFonts w:ascii="Cambria Math" w:hAnsi="Cambria Math"/>
                      <w:lang w:val="es-ES_tradnl"/>
                    </w:rPr>
                    <m:t>μ</m:t>
                  </m:r>
                </m:e>
                <m:sub>
                  <m:r>
                    <w:rPr>
                      <w:rFonts w:ascii="Cambria Math" w:hAnsi="Cambria Math"/>
                      <w:lang w:val="es-ES_tradnl"/>
                    </w:rPr>
                    <m:t>i</m:t>
                  </m:r>
                </m:sub>
              </m:sSub>
            </m:e>
            <m:sup>
              <m:r>
                <w:rPr>
                  <w:rFonts w:ascii="Cambria Math" w:hAnsi="Cambria Math"/>
                  <w:lang w:val="es-ES_tradnl"/>
                </w:rPr>
                <m:t>*</m:t>
              </m:r>
            </m:sup>
          </m:sSup>
          <m:r>
            <w:rPr>
              <w:rFonts w:ascii="Cambria Math" w:hAnsi="Cambria Math"/>
              <w:lang w:val="es-ES_tradnl"/>
            </w:rPr>
            <m:t>=</m:t>
          </m:r>
          <m:f>
            <m:fPr>
              <m:ctrlPr>
                <w:rPr>
                  <w:rFonts w:ascii="Cambria Math" w:hAnsi="Cambria Math"/>
                  <w:i/>
                  <w:lang w:val="es-ES_tradnl"/>
                </w:rPr>
              </m:ctrlPr>
            </m:fPr>
            <m:num>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u</m:t>
                  </m:r>
                </m:sub>
                <m:sup>
                  <m:r>
                    <w:rPr>
                      <w:rFonts w:ascii="Cambria Math" w:hAnsi="Cambria Math"/>
                      <w:lang w:val="es-ES_tradnl"/>
                    </w:rPr>
                    <m:t>2</m:t>
                  </m:r>
                </m:sup>
              </m:sSubSup>
              <m:sSub>
                <m:sSubPr>
                  <m:ctrlPr>
                    <w:rPr>
                      <w:rFonts w:ascii="Cambria Math" w:hAnsi="Cambria Math"/>
                      <w:i/>
                      <w:lang w:val="es-ES_tradnl"/>
                    </w:rPr>
                  </m:ctrlPr>
                </m:sSubPr>
                <m:e>
                  <m:acc>
                    <m:accPr>
                      <m:chr m:val="̅"/>
                      <m:ctrlPr>
                        <w:rPr>
                          <w:rFonts w:ascii="Cambria Math" w:hAnsi="Cambria Math"/>
                          <w:i/>
                          <w:lang w:val="es-ES_tradnl"/>
                        </w:rPr>
                      </m:ctrlPr>
                    </m:accPr>
                    <m:e>
                      <m:r>
                        <w:rPr>
                          <w:rFonts w:ascii="Cambria Math" w:hAnsi="Cambria Math"/>
                          <w:lang w:val="es-ES_tradnl"/>
                        </w:rPr>
                        <m:t>ε</m:t>
                      </m:r>
                    </m:e>
                  </m:acc>
                </m:e>
                <m:sub>
                  <m:r>
                    <w:rPr>
                      <w:rFonts w:ascii="Cambria Math" w:hAnsi="Cambria Math"/>
                      <w:lang w:val="es-ES_tradnl"/>
                    </w:rPr>
                    <m:t>l</m:t>
                  </m:r>
                </m:sub>
              </m:sSub>
            </m:num>
            <m:den>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u</m:t>
                  </m:r>
                </m:sub>
                <m:sup>
                  <m:r>
                    <w:rPr>
                      <w:rFonts w:ascii="Cambria Math" w:hAnsi="Cambria Math"/>
                      <w:lang w:val="es-ES_tradnl"/>
                    </w:rPr>
                    <m:t>2</m:t>
                  </m:r>
                </m:sup>
              </m:sSubSup>
              <m:r>
                <w:rPr>
                  <w:rFonts w:ascii="Cambria Math" w:hAnsi="Cambria Math"/>
                  <w:lang w:val="es-ES_tradnl"/>
                </w:rPr>
                <m:t>+</m:t>
              </m:r>
              <m:f>
                <m:fPr>
                  <m:ctrlPr>
                    <w:rPr>
                      <w:rFonts w:ascii="Cambria Math" w:hAnsi="Cambria Math"/>
                      <w:i/>
                      <w:lang w:val="es-ES_tradnl"/>
                    </w:rPr>
                  </m:ctrlPr>
                </m:fPr>
                <m:num>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u</m:t>
                      </m:r>
                    </m:sub>
                    <m:sup>
                      <m:r>
                        <w:rPr>
                          <w:rFonts w:ascii="Cambria Math" w:hAnsi="Cambria Math"/>
                          <w:lang w:val="es-ES_tradnl"/>
                        </w:rPr>
                        <m:t>2</m:t>
                      </m:r>
                    </m:sup>
                  </m:sSubSup>
                </m:num>
                <m:den>
                  <m:sSub>
                    <m:sSubPr>
                      <m:ctrlPr>
                        <w:rPr>
                          <w:rFonts w:ascii="Cambria Math" w:hAnsi="Cambria Math"/>
                          <w:i/>
                          <w:lang w:val="es-ES_tradnl"/>
                        </w:rPr>
                      </m:ctrlPr>
                    </m:sSubPr>
                    <m:e>
                      <m:r>
                        <w:rPr>
                          <w:rFonts w:ascii="Cambria Math" w:hAnsi="Cambria Math"/>
                          <w:lang w:val="es-ES_tradnl"/>
                        </w:rPr>
                        <m:t>T</m:t>
                      </m:r>
                    </m:e>
                    <m:sub>
                      <m:r>
                        <w:rPr>
                          <w:rFonts w:ascii="Cambria Math" w:hAnsi="Cambria Math"/>
                          <w:lang w:val="es-ES_tradnl"/>
                        </w:rPr>
                        <m:t>i</m:t>
                      </m:r>
                    </m:sub>
                  </m:sSub>
                </m:den>
              </m:f>
            </m:den>
          </m:f>
        </m:oMath>
      </m:oMathPara>
    </w:p>
    <w:p w14:paraId="41C1B959" w14:textId="4A11BE9D" w:rsidR="003B78B4" w:rsidRDefault="00000000" w:rsidP="003B78B4">
      <w:pPr>
        <w:rPr>
          <w:lang w:val="es-ES_tradnl"/>
        </w:rPr>
      </w:pPr>
      <m:oMathPara>
        <m:oMath>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m:t>
              </m:r>
            </m:sub>
            <m:sup>
              <m:r>
                <w:rPr>
                  <w:rFonts w:ascii="Cambria Math" w:hAnsi="Cambria Math"/>
                  <w:lang w:val="es-ES_tradnl"/>
                </w:rPr>
                <m:t>2</m:t>
              </m:r>
            </m:sup>
          </m:sSubSup>
          <m:r>
            <w:rPr>
              <w:rFonts w:ascii="Cambria Math" w:hAnsi="Cambria Math"/>
              <w:lang w:val="es-ES_tradnl"/>
            </w:rPr>
            <m:t>=</m:t>
          </m:r>
          <m:f>
            <m:fPr>
              <m:ctrlPr>
                <w:rPr>
                  <w:rFonts w:ascii="Cambria Math" w:hAnsi="Cambria Math"/>
                  <w:i/>
                  <w:lang w:val="es-ES_tradnl"/>
                </w:rPr>
              </m:ctrlPr>
            </m:fPr>
            <m:num>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u</m:t>
                  </m:r>
                </m:sub>
                <m:sup>
                  <m:r>
                    <w:rPr>
                      <w:rFonts w:ascii="Cambria Math" w:hAnsi="Cambria Math"/>
                      <w:lang w:val="es-ES_tradnl"/>
                    </w:rPr>
                    <m:t>2</m:t>
                  </m:r>
                </m:sup>
              </m:sSubSup>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v</m:t>
                  </m:r>
                </m:sub>
                <m:sup>
                  <m:r>
                    <w:rPr>
                      <w:rFonts w:ascii="Cambria Math" w:hAnsi="Cambria Math"/>
                      <w:lang w:val="es-ES_tradnl"/>
                    </w:rPr>
                    <m:t>2</m:t>
                  </m:r>
                </m:sup>
              </m:sSubSup>
            </m:num>
            <m:den>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v</m:t>
                  </m:r>
                </m:sub>
                <m:sup>
                  <m:r>
                    <w:rPr>
                      <w:rFonts w:ascii="Cambria Math" w:hAnsi="Cambria Math"/>
                      <w:lang w:val="es-ES_tradnl"/>
                    </w:rPr>
                    <m:t>2</m:t>
                  </m:r>
                </m:sup>
              </m:sSubSup>
              <m:r>
                <w:rPr>
                  <w:rFonts w:ascii="Cambria Math" w:hAnsi="Cambria Math"/>
                  <w:lang w:val="es-ES_tradnl"/>
                </w:rPr>
                <m:t>+</m:t>
              </m:r>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T</m:t>
                      </m:r>
                    </m:e>
                    <m:sub>
                      <m:r>
                        <w:rPr>
                          <w:rFonts w:ascii="Cambria Math" w:hAnsi="Cambria Math"/>
                          <w:lang w:val="es-ES_tradnl"/>
                        </w:rPr>
                        <m:t>i</m:t>
                      </m:r>
                    </m:sub>
                  </m:sSub>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u</m:t>
                      </m:r>
                    </m:sub>
                    <m:sup>
                      <m:r>
                        <w:rPr>
                          <w:rFonts w:ascii="Cambria Math" w:hAnsi="Cambria Math"/>
                          <w:lang w:val="es-ES_tradnl"/>
                        </w:rPr>
                        <m:t>2</m:t>
                      </m:r>
                    </m:sup>
                  </m:sSubSup>
                </m:e>
              </m:d>
            </m:den>
          </m:f>
        </m:oMath>
      </m:oMathPara>
    </w:p>
    <w:p w14:paraId="27F5876E" w14:textId="765449A3" w:rsidR="005632A7" w:rsidRDefault="005632A7" w:rsidP="005632A7">
      <w:r w:rsidRPr="00797B81">
        <w:t>Donde:</w:t>
      </w:r>
      <w:r>
        <w:t xml:space="preserve"> </w:t>
      </w:r>
    </w:p>
    <w:p w14:paraId="42CB48AB" w14:textId="62531265" w:rsidR="00CD7B13" w:rsidRDefault="006F2165" w:rsidP="006F2165">
      <w:pPr>
        <w:pStyle w:val="Ttulo4"/>
      </w:pPr>
      <w:r>
        <w:t>Límite del nivel de confianza</w:t>
      </w:r>
    </w:p>
    <w:p w14:paraId="7C22A653" w14:textId="4416F430" w:rsidR="006F2165" w:rsidRPr="006F2165" w:rsidRDefault="00197379" w:rsidP="006F2165">
      <w:r w:rsidRPr="44B85804">
        <w:t xml:space="preserve">El límite superior para un intervalo de confianza del 90%, que corresponde al factor de eficiencia </w:t>
      </w:r>
      <w:proofErr w:type="spellStart"/>
      <w:r w:rsidRPr="44B85804">
        <w:t>fej</w:t>
      </w:r>
      <w:proofErr w:type="spellEnd"/>
      <w:r w:rsidRPr="44B85804">
        <w:t>, se calcula con las siguientes formulas:</w:t>
      </w:r>
    </w:p>
    <w:p w14:paraId="5004627E" w14:textId="15B7B901" w:rsidR="00706F5C" w:rsidRDefault="00706F5C" w:rsidP="003C4223">
      <w:r>
        <w:t>Los parámetros del modelo son:</w:t>
      </w:r>
    </w:p>
    <w:p w14:paraId="7A7A8AEB" w14:textId="2D5899AF" w:rsidR="00147FAC" w:rsidRDefault="00000000" w:rsidP="003C4223">
      <m:oMathPara>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acc>
                <m:accPr>
                  <m:chr m:val="̅"/>
                  <m:ctrlPr>
                    <w:rPr>
                      <w:rFonts w:ascii="Cambria Math" w:hAnsi="Cambria Math"/>
                      <w:i/>
                    </w:rPr>
                  </m:ctrlPr>
                </m:accPr>
                <m:e>
                  <m:sSub>
                    <m:sSubPr>
                      <m:ctrlPr>
                        <w:rPr>
                          <w:rFonts w:ascii="Cambria Math" w:hAnsi="Cambria Math"/>
                          <w:i/>
                        </w:rPr>
                      </m:ctrlPr>
                    </m:sSubPr>
                    <m:e>
                      <m:r>
                        <w:rPr>
                          <w:rFonts w:ascii="Cambria Math" w:hAnsi="Cambria Math"/>
                        </w:rPr>
                        <m:t>ε</m:t>
                      </m:r>
                    </m:e>
                    <m:sub>
                      <m:r>
                        <w:rPr>
                          <w:rFonts w:ascii="Cambria Math" w:hAnsi="Cambria Math"/>
                        </w:rPr>
                        <m:t>i</m:t>
                      </m:r>
                    </m:sub>
                  </m:sSub>
                </m:e>
              </m:acc>
            </m:num>
            <m:den>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num>
                <m:den>
                  <m:sSub>
                    <m:sSubPr>
                      <m:ctrlPr>
                        <w:rPr>
                          <w:rFonts w:ascii="Cambria Math" w:hAnsi="Cambria Math"/>
                          <w:i/>
                        </w:rPr>
                      </m:ctrlPr>
                    </m:sSubPr>
                    <m:e>
                      <m:r>
                        <w:rPr>
                          <w:rFonts w:ascii="Cambria Math" w:hAnsi="Cambria Math"/>
                        </w:rPr>
                        <m:t>T</m:t>
                      </m:r>
                    </m:e>
                    <m:sub>
                      <m:r>
                        <w:rPr>
                          <w:rFonts w:ascii="Cambria Math" w:hAnsi="Cambria Math"/>
                        </w:rPr>
                        <m:t>i</m:t>
                      </m:r>
                    </m:sub>
                  </m:sSub>
                </m:den>
              </m:f>
              <m:r>
                <w:rPr>
                  <w:rFonts w:ascii="Cambria Math" w:hAnsi="Cambria Math"/>
                </w:rPr>
                <m:t xml:space="preserve"> </m:t>
              </m:r>
            </m:den>
          </m:f>
        </m:oMath>
      </m:oMathPara>
    </w:p>
    <w:p w14:paraId="5D06C15D" w14:textId="44E55D86" w:rsidR="00147FAC" w:rsidRDefault="00000000" w:rsidP="003C4223">
      <m:oMathPara>
        <m:oMath>
          <m:sSubSup>
            <m:sSubSupPr>
              <m:ctrlPr>
                <w:rPr>
                  <w:rFonts w:ascii="Cambria Math" w:hAnsi="Cambria Math"/>
                  <w:i/>
                </w:rPr>
              </m:ctrlPr>
            </m:sSubSupPr>
            <m:e>
              <m:r>
                <w:rPr>
                  <w:rFonts w:ascii="Cambria Math" w:hAnsi="Cambria Math"/>
                </w:rPr>
                <m:t>σ</m:t>
              </m:r>
            </m:e>
            <m:sub>
              <m:r>
                <w:rPr>
                  <w:rFonts w:ascii="Cambria Math" w:hAnsi="Cambria Math"/>
                </w:rPr>
                <m:t>*</m:t>
              </m:r>
            </m:sub>
            <m:sup>
              <m:r>
                <w:rPr>
                  <w:rFonts w:ascii="Cambria Math" w:hAnsi="Cambria Math"/>
                </w:rPr>
                <m:t>2</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sSubSup>
                <m:sSubSupPr>
                  <m:ctrlPr>
                    <w:rPr>
                      <w:rFonts w:ascii="Cambria Math" w:hAnsi="Cambria Math"/>
                      <w:i/>
                    </w:rPr>
                  </m:ctrlPr>
                </m:sSubSupPr>
                <m:e>
                  <m:r>
                    <w:rPr>
                      <w:rFonts w:ascii="Cambria Math" w:hAnsi="Cambria Math"/>
                    </w:rPr>
                    <m:t>σ</m:t>
                  </m:r>
                </m:e>
                <m:sub>
                  <m:r>
                    <w:rPr>
                      <w:rFonts w:ascii="Cambria Math" w:hAnsi="Cambria Math"/>
                    </w:rPr>
                    <m:t>v</m:t>
                  </m:r>
                </m:sub>
                <m:sup>
                  <m:r>
                    <w:rPr>
                      <w:rFonts w:ascii="Cambria Math" w:hAnsi="Cambria Math"/>
                    </w:rPr>
                    <m:t>2</m:t>
                  </m:r>
                </m:sup>
              </m:sSubSup>
            </m:num>
            <m:den>
              <m:sSubSup>
                <m:sSubSupPr>
                  <m:ctrlPr>
                    <w:rPr>
                      <w:rFonts w:ascii="Cambria Math" w:hAnsi="Cambria Math"/>
                      <w:i/>
                    </w:rPr>
                  </m:ctrlPr>
                </m:sSubSupPr>
                <m:e>
                  <m:r>
                    <w:rPr>
                      <w:rFonts w:ascii="Cambria Math" w:hAnsi="Cambria Math"/>
                    </w:rPr>
                    <m:t>σ</m:t>
                  </m:r>
                </m:e>
                <m:sub>
                  <m:r>
                    <w:rPr>
                      <w:rFonts w:ascii="Cambria Math" w:hAnsi="Cambria Math"/>
                    </w:rPr>
                    <m:t>v</m:t>
                  </m:r>
                </m:sub>
                <m:sup>
                  <m:r>
                    <w:rPr>
                      <w:rFonts w:ascii="Cambria Math" w:hAnsi="Cambria Math"/>
                    </w:rPr>
                    <m:t>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e>
              </m:d>
              <m:r>
                <w:rPr>
                  <w:rFonts w:ascii="Cambria Math" w:hAnsi="Cambria Math"/>
                </w:rPr>
                <m:t xml:space="preserve"> </m:t>
              </m:r>
            </m:den>
          </m:f>
        </m:oMath>
      </m:oMathPara>
    </w:p>
    <w:p w14:paraId="0CEF3CE5" w14:textId="709439C7" w:rsidR="00DF44B7" w:rsidRDefault="00821D37" w:rsidP="007A61F7">
      <w:pPr>
        <w:rPr>
          <w:highlight w:val="green"/>
        </w:rPr>
      </w:pPr>
      <w:r w:rsidRPr="00821D37">
        <w:t xml:space="preserve">En caso de que no sea posible </w:t>
      </w:r>
      <w:r w:rsidR="00F34F66">
        <w:t xml:space="preserve">estimar </w:t>
      </w:r>
      <w:r w:rsidRPr="00821D37">
        <w:t>el factor de eficiencia de un mercado, este corresponderá al promedio aritmético de los restantes mercados para los cuales fue posible su predicción</w:t>
      </w:r>
      <w:r w:rsidR="00C74034">
        <w:t>.</w:t>
      </w:r>
    </w:p>
    <w:p w14:paraId="7608A84A" w14:textId="1A9A3934" w:rsidR="0088705A" w:rsidRDefault="0088705A" w:rsidP="00F27066">
      <w:pPr>
        <w:pStyle w:val="Ttulo2"/>
      </w:pPr>
      <w:bookmarkStart w:id="38" w:name="_Toc164064362"/>
      <w:bookmarkStart w:id="39" w:name="_Ref445132368"/>
      <w:bookmarkStart w:id="40" w:name="_Toc476824105"/>
      <w:bookmarkEnd w:id="26"/>
      <w:r>
        <w:t xml:space="preserve">Actualización del costo </w:t>
      </w:r>
      <w:r w:rsidR="00C16308">
        <w:t>base</w:t>
      </w:r>
      <w:bookmarkEnd w:id="38"/>
    </w:p>
    <w:p w14:paraId="452D24EE" w14:textId="77777777" w:rsidR="0088705A" w:rsidRPr="00A504C3" w:rsidRDefault="0088705A" w:rsidP="0088705A">
      <w:pPr>
        <w:rPr>
          <w:b/>
        </w:rPr>
      </w:pPr>
      <w:r w:rsidRPr="00A504C3">
        <w:t>El costo base de comercialización</w:t>
      </w:r>
      <w:r>
        <w:t xml:space="preserve"> aprobado para cada mercado de </w:t>
      </w:r>
      <w:r w:rsidRPr="00F065AF">
        <w:t>comercialización</w:t>
      </w:r>
      <w:r>
        <w:t xml:space="preserve"> </w:t>
      </w:r>
      <w:r w:rsidRPr="000F2929">
        <w:rPr>
          <w:i/>
        </w:rPr>
        <w:t>j</w:t>
      </w:r>
      <w:r w:rsidRPr="00F065AF">
        <w:rPr>
          <w:lang w:eastAsia="es-CO"/>
        </w:rPr>
        <w:t>,</w:t>
      </w:r>
      <w:r w:rsidRPr="00F065AF">
        <w:t xml:space="preserve"> se</w:t>
      </w:r>
      <w:r w:rsidRPr="00A504C3">
        <w:t xml:space="preserve"> actualizará mensualmente utilizando la siguiente fórmula:</w:t>
      </w:r>
    </w:p>
    <w:p w14:paraId="6FEE96A6" w14:textId="77777777" w:rsidR="0088705A" w:rsidRPr="00A504C3" w:rsidRDefault="00000000" w:rsidP="0088705A">
      <w:pPr>
        <w:spacing w:before="0" w:after="0"/>
        <w:rPr>
          <w:color w:val="000000"/>
        </w:rPr>
      </w:pPr>
      <m:oMathPara>
        <m:oMath>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m,j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Cf</m:t>
              </m:r>
            </m:e>
            <m:sub>
              <m:r>
                <w:rPr>
                  <w:rFonts w:ascii="Cambria Math" w:hAnsi="Cambria Math"/>
                  <w:color w:val="000000"/>
                </w:rPr>
                <m:t>j,t</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IPCEE</m:t>
                  </m:r>
                </m:e>
                <m:sub>
                  <m:r>
                    <w:rPr>
                      <w:rFonts w:ascii="Cambria Math" w:hAnsi="Cambria Math"/>
                      <w:color w:val="000000"/>
                    </w:rPr>
                    <m:t>m-1</m:t>
                  </m:r>
                </m:sub>
              </m:sSub>
            </m:num>
            <m:den>
              <m:sSub>
                <m:sSubPr>
                  <m:ctrlPr>
                    <w:rPr>
                      <w:rFonts w:ascii="Cambria Math" w:hAnsi="Cambria Math"/>
                      <w:i/>
                      <w:color w:val="000000"/>
                    </w:rPr>
                  </m:ctrlPr>
                </m:sSubPr>
                <m:e>
                  <m:r>
                    <w:rPr>
                      <w:rFonts w:ascii="Cambria Math" w:hAnsi="Cambria Math"/>
                      <w:color w:val="000000"/>
                    </w:rPr>
                    <m:t>IPCEE</m:t>
                  </m:r>
                </m:e>
                <m:sub>
                  <m:r>
                    <w:rPr>
                      <w:rFonts w:ascii="Cambria Math" w:hAnsi="Cambria Math"/>
                      <w:color w:val="000000"/>
                    </w:rPr>
                    <m:t>0</m:t>
                  </m:r>
                </m:sub>
              </m:sSub>
            </m:den>
          </m:f>
        </m:oMath>
      </m:oMathPara>
    </w:p>
    <w:p w14:paraId="2F16567E" w14:textId="77777777" w:rsidR="0088705A" w:rsidRPr="00A504C3" w:rsidRDefault="0088705A" w:rsidP="0088705A">
      <w:pPr>
        <w:keepNext/>
        <w:spacing w:before="0"/>
      </w:pPr>
      <w:r w:rsidRPr="00A504C3">
        <w:t>Donde:</w:t>
      </w:r>
    </w:p>
    <w:p w14:paraId="0700E0BD" w14:textId="77777777" w:rsidR="0088705A" w:rsidRPr="00A504C3" w:rsidRDefault="0088705A" w:rsidP="0088705A">
      <w:pPr>
        <w:tabs>
          <w:tab w:val="left" w:pos="858"/>
        </w:tabs>
        <w:ind w:left="1560" w:hanging="1560"/>
      </w:pPr>
      <w:proofErr w:type="spellStart"/>
      <w:proofErr w:type="gramStart"/>
      <w:r w:rsidRPr="000F2929">
        <w:rPr>
          <w:i/>
          <w:color w:val="000000"/>
        </w:rPr>
        <w:t>Cf</w:t>
      </w:r>
      <w:r w:rsidRPr="000F2929">
        <w:rPr>
          <w:i/>
          <w:color w:val="000000"/>
          <w:vertAlign w:val="subscript"/>
        </w:rPr>
        <w:t>j,m</w:t>
      </w:r>
      <w:proofErr w:type="spellEnd"/>
      <w:proofErr w:type="gramEnd"/>
      <w:r w:rsidRPr="00A504C3">
        <w:rPr>
          <w:color w:val="000000"/>
        </w:rPr>
        <w:t>:</w:t>
      </w:r>
      <w:r w:rsidRPr="00A504C3">
        <w:tab/>
      </w:r>
      <w:r w:rsidRPr="00A504C3">
        <w:tab/>
        <w:t xml:space="preserve">Costo base de comercialización para cada </w:t>
      </w:r>
      <w:r w:rsidRPr="00A504C3">
        <w:rPr>
          <w:rFonts w:cs="Arial"/>
        </w:rPr>
        <w:t>mercado de comercialización</w:t>
      </w:r>
      <w:r>
        <w:rPr>
          <w:rFonts w:cs="Arial"/>
        </w:rPr>
        <w:t xml:space="preserve"> </w:t>
      </w:r>
      <w:r w:rsidRPr="000F2929">
        <w:rPr>
          <w:rFonts w:cs="Arial"/>
          <w:i/>
        </w:rPr>
        <w:t>j</w:t>
      </w:r>
      <w:r w:rsidRPr="00A504C3">
        <w:rPr>
          <w:rFonts w:cs="Arial"/>
        </w:rPr>
        <w:t>,</w:t>
      </w:r>
      <w:r w:rsidRPr="00A504C3">
        <w:t xml:space="preserve"> expresado en pesos por factura, correspondiente al mes</w:t>
      </w:r>
      <w:r>
        <w:t xml:space="preserve"> </w:t>
      </w:r>
      <w:r w:rsidRPr="003C4223">
        <w:rPr>
          <w:i/>
          <w:iCs/>
        </w:rPr>
        <w:t>m</w:t>
      </w:r>
      <w:r w:rsidRPr="00A504C3">
        <w:t xml:space="preserve"> de prestación del servicio.</w:t>
      </w:r>
      <w:r>
        <w:t xml:space="preserve"> </w:t>
      </w:r>
    </w:p>
    <w:p w14:paraId="47BA78A5" w14:textId="67072F6B" w:rsidR="0088705A" w:rsidRPr="00A504C3" w:rsidRDefault="0088705A" w:rsidP="0088705A">
      <w:pPr>
        <w:tabs>
          <w:tab w:val="left" w:pos="858"/>
        </w:tabs>
        <w:ind w:left="1560" w:hanging="1560"/>
      </w:pPr>
      <w:proofErr w:type="spellStart"/>
      <w:proofErr w:type="gramStart"/>
      <w:r w:rsidRPr="000F2929">
        <w:rPr>
          <w:i/>
          <w:color w:val="000000"/>
        </w:rPr>
        <w:t>Cf</w:t>
      </w:r>
      <w:r w:rsidRPr="000F2929">
        <w:rPr>
          <w:i/>
          <w:color w:val="000000"/>
          <w:vertAlign w:val="subscript"/>
        </w:rPr>
        <w:t>j</w:t>
      </w:r>
      <w:r>
        <w:rPr>
          <w:i/>
          <w:color w:val="000000"/>
          <w:vertAlign w:val="subscript"/>
        </w:rPr>
        <w:t>,t</w:t>
      </w:r>
      <w:proofErr w:type="spellEnd"/>
      <w:proofErr w:type="gramEnd"/>
      <w:r w:rsidRPr="00A504C3">
        <w:rPr>
          <w:color w:val="000000"/>
        </w:rPr>
        <w:t>:</w:t>
      </w:r>
      <w:r w:rsidRPr="00A504C3">
        <w:tab/>
      </w:r>
      <w:r w:rsidRPr="00A504C3">
        <w:tab/>
        <w:t xml:space="preserve">Costo base de comercialización </w:t>
      </w:r>
      <w:r>
        <w:t xml:space="preserve">del </w:t>
      </w:r>
      <w:r w:rsidRPr="00A504C3">
        <w:rPr>
          <w:rFonts w:cs="Arial"/>
        </w:rPr>
        <w:t>mercado de comercialización</w:t>
      </w:r>
      <w:r>
        <w:rPr>
          <w:rFonts w:cs="Arial"/>
        </w:rPr>
        <w:t xml:space="preserve"> </w:t>
      </w:r>
      <w:r w:rsidRPr="000F2929">
        <w:rPr>
          <w:rFonts w:cs="Arial"/>
          <w:i/>
        </w:rPr>
        <w:t>j</w:t>
      </w:r>
      <w:r w:rsidRPr="00A504C3">
        <w:rPr>
          <w:rFonts w:cs="Arial"/>
        </w:rPr>
        <w:t xml:space="preserve">, </w:t>
      </w:r>
      <w:r>
        <w:rPr>
          <w:rFonts w:cs="Arial"/>
        </w:rPr>
        <w:t xml:space="preserve">para el año </w:t>
      </w:r>
      <w:r w:rsidRPr="00ED292E">
        <w:rPr>
          <w:rFonts w:cs="Arial"/>
          <w:i/>
          <w:iCs/>
        </w:rPr>
        <w:t>t</w:t>
      </w:r>
      <w:r>
        <w:rPr>
          <w:rFonts w:cs="Arial"/>
        </w:rPr>
        <w:t xml:space="preserve">, </w:t>
      </w:r>
      <w:r w:rsidRPr="00A504C3">
        <w:t>expresado en pesos por factura</w:t>
      </w:r>
      <w:r>
        <w:t xml:space="preserve"> </w:t>
      </w:r>
      <w:r w:rsidRPr="000A29D6">
        <w:rPr>
          <w:rFonts w:cs="Arial"/>
        </w:rPr>
        <w:t xml:space="preserve">de </w:t>
      </w:r>
      <w:r>
        <w:rPr>
          <w:rFonts w:cs="Arial"/>
        </w:rPr>
        <w:t xml:space="preserve">diciembre </w:t>
      </w:r>
      <w:r w:rsidRPr="000A29D6">
        <w:rPr>
          <w:rFonts w:cs="Arial"/>
        </w:rPr>
        <w:t>de</w:t>
      </w:r>
      <w:r>
        <w:rPr>
          <w:rFonts w:cs="Arial"/>
        </w:rPr>
        <w:t>l año anterior al año de expedición de esta Resolución</w:t>
      </w:r>
      <w:r w:rsidRPr="00A504C3">
        <w:t xml:space="preserve">, calculado conforme al </w:t>
      </w:r>
      <w:r>
        <w:t xml:space="preserve">numeral </w:t>
      </w:r>
      <w:r>
        <w:fldChar w:fldCharType="begin"/>
      </w:r>
      <w:r>
        <w:instrText xml:space="preserve"> REF _Ref141263845 \r \h </w:instrText>
      </w:r>
      <w:r>
        <w:fldChar w:fldCharType="separate"/>
      </w:r>
      <w:r w:rsidR="00625E8F">
        <w:t>1.1</w:t>
      </w:r>
      <w:r>
        <w:fldChar w:fldCharType="end"/>
      </w:r>
      <w:r w:rsidRPr="00A504C3">
        <w:t>.</w:t>
      </w:r>
    </w:p>
    <w:p w14:paraId="57B31E71" w14:textId="75F1E25A" w:rsidR="0088705A" w:rsidRPr="00A504C3" w:rsidRDefault="0088705A" w:rsidP="0088705A">
      <w:pPr>
        <w:tabs>
          <w:tab w:val="left" w:pos="858"/>
        </w:tabs>
        <w:ind w:left="1560" w:hanging="1560"/>
      </w:pPr>
      <w:r w:rsidRPr="155AE64E">
        <w:rPr>
          <w:i/>
          <w:color w:val="000000" w:themeColor="text1"/>
        </w:rPr>
        <w:t>IPCEE</w:t>
      </w:r>
      <w:r w:rsidRPr="155AE64E">
        <w:rPr>
          <w:i/>
          <w:color w:val="000000" w:themeColor="text1"/>
          <w:vertAlign w:val="subscript"/>
        </w:rPr>
        <w:t>m-1</w:t>
      </w:r>
      <w:r w:rsidRPr="155AE64E">
        <w:rPr>
          <w:color w:val="000000" w:themeColor="text1"/>
        </w:rPr>
        <w:t>:</w:t>
      </w:r>
      <w:r w:rsidRPr="00A504C3">
        <w:tab/>
      </w:r>
      <w:r w:rsidRPr="00A504C3">
        <w:tab/>
        <w:t xml:space="preserve">Índice </w:t>
      </w:r>
      <w:r>
        <w:t xml:space="preserve">de precios aplicable a la actividad de comercialización de energía eléctrica </w:t>
      </w:r>
      <w:r w:rsidRPr="00A504C3">
        <w:t>para el mes</w:t>
      </w:r>
      <w:r>
        <w:t xml:space="preserve"> </w:t>
      </w:r>
      <w:r w:rsidRPr="000F2929">
        <w:rPr>
          <w:i/>
        </w:rPr>
        <w:t>m-1</w:t>
      </w:r>
      <w:r w:rsidRPr="00AA2DAC">
        <w:rPr>
          <w:iCs/>
        </w:rPr>
        <w:t>,</w:t>
      </w:r>
      <w:r>
        <w:rPr>
          <w:i/>
        </w:rPr>
        <w:t xml:space="preserve"> </w:t>
      </w:r>
      <w:r>
        <w:t>de acuerdo con la Resolución que expida la CREG, o aquella que la modifique</w:t>
      </w:r>
      <w:r w:rsidR="00E30CBE">
        <w:t>, complemente</w:t>
      </w:r>
      <w:r>
        <w:t xml:space="preserve"> o sustituya</w:t>
      </w:r>
      <w:r w:rsidRPr="00A504C3">
        <w:t>.</w:t>
      </w:r>
    </w:p>
    <w:p w14:paraId="13453684" w14:textId="66A10418" w:rsidR="00D34B17" w:rsidRPr="00A504C3" w:rsidRDefault="00D34B17" w:rsidP="0088705A">
      <w:pPr>
        <w:tabs>
          <w:tab w:val="left" w:pos="858"/>
        </w:tabs>
        <w:ind w:left="1560" w:hanging="1560"/>
      </w:pPr>
      <w:r>
        <w:rPr>
          <w:i/>
          <w:color w:val="000000"/>
        </w:rPr>
        <w:tab/>
      </w:r>
      <w:r>
        <w:rPr>
          <w:i/>
          <w:color w:val="000000"/>
        </w:rPr>
        <w:tab/>
      </w:r>
      <w:r w:rsidRPr="00834D13">
        <w:rPr>
          <w:iCs/>
          <w:color w:val="000000"/>
        </w:rPr>
        <w:t xml:space="preserve">Mientras la Comisión </w:t>
      </w:r>
      <w:r>
        <w:rPr>
          <w:iCs/>
          <w:color w:val="000000"/>
        </w:rPr>
        <w:t xml:space="preserve">indica </w:t>
      </w:r>
      <w:r w:rsidRPr="00834D13">
        <w:rPr>
          <w:iCs/>
          <w:color w:val="000000"/>
        </w:rPr>
        <w:t>el índice de precios aplicable a la actividad de comercialización de energía eléctrica se usará el Índice de Precios al Consumidor</w:t>
      </w:r>
      <w:r w:rsidR="004F096A">
        <w:rPr>
          <w:iCs/>
          <w:color w:val="000000"/>
        </w:rPr>
        <w:t xml:space="preserve"> publicado por el DANE</w:t>
      </w:r>
      <w:r w:rsidRPr="00834D13">
        <w:rPr>
          <w:iCs/>
          <w:color w:val="000000"/>
        </w:rPr>
        <w:t>.</w:t>
      </w:r>
    </w:p>
    <w:p w14:paraId="0DA3C05A" w14:textId="412566EB" w:rsidR="0088705A" w:rsidRDefault="0088705A" w:rsidP="0088705A">
      <w:pPr>
        <w:tabs>
          <w:tab w:val="left" w:pos="858"/>
        </w:tabs>
        <w:ind w:left="1560" w:hanging="1560"/>
      </w:pPr>
      <w:r w:rsidRPr="000F2929">
        <w:rPr>
          <w:i/>
          <w:color w:val="000000"/>
        </w:rPr>
        <w:t>IPC</w:t>
      </w:r>
      <w:r>
        <w:rPr>
          <w:i/>
          <w:color w:val="000000"/>
        </w:rPr>
        <w:t>EE</w:t>
      </w:r>
      <w:r w:rsidRPr="000F2929">
        <w:rPr>
          <w:i/>
          <w:color w:val="000000"/>
          <w:vertAlign w:val="subscript"/>
        </w:rPr>
        <w:t>0</w:t>
      </w:r>
      <w:r w:rsidRPr="00A504C3">
        <w:rPr>
          <w:color w:val="000000"/>
        </w:rPr>
        <w:t>:</w:t>
      </w:r>
      <w:r w:rsidRPr="00A504C3">
        <w:tab/>
      </w:r>
      <w:r w:rsidRPr="00A504C3">
        <w:tab/>
        <w:t xml:space="preserve">Índice </w:t>
      </w:r>
      <w:r>
        <w:t>de precios aplicable a la actividad de comercialización de energía eléctrica</w:t>
      </w:r>
      <w:r w:rsidR="00F162A6">
        <w:t xml:space="preserve"> para la fecha base de la metodología, </w:t>
      </w:r>
      <w:r>
        <w:t>de acuerdo con la Resolución que expida la CREG, o la que lo modifique</w:t>
      </w:r>
      <w:r w:rsidR="00E30CBE">
        <w:t>, complemente</w:t>
      </w:r>
      <w:r>
        <w:t xml:space="preserve"> o sustituya</w:t>
      </w:r>
      <w:r w:rsidRPr="00A504C3">
        <w:t>.</w:t>
      </w:r>
      <w:bookmarkStart w:id="41" w:name="_Ref128039945"/>
    </w:p>
    <w:p w14:paraId="6719FA0C" w14:textId="4DD1707E" w:rsidR="00560408" w:rsidRPr="00D76A26" w:rsidRDefault="00D34B17" w:rsidP="00CF2AC4">
      <w:pPr>
        <w:tabs>
          <w:tab w:val="left" w:pos="858"/>
        </w:tabs>
        <w:ind w:left="1560"/>
        <w:rPr>
          <w:b/>
          <w:iCs/>
          <w:caps/>
          <w:spacing w:val="4"/>
        </w:rPr>
      </w:pPr>
      <w:r>
        <w:rPr>
          <w:iCs/>
          <w:color w:val="000000"/>
        </w:rPr>
        <w:lastRenderedPageBreak/>
        <w:tab/>
      </w:r>
      <w:r w:rsidR="00CF2AC4" w:rsidRPr="00834D13">
        <w:rPr>
          <w:iCs/>
          <w:color w:val="000000"/>
        </w:rPr>
        <w:t xml:space="preserve">Mientras la Comisión </w:t>
      </w:r>
      <w:r w:rsidR="00CF2AC4">
        <w:rPr>
          <w:iCs/>
          <w:color w:val="000000"/>
        </w:rPr>
        <w:t xml:space="preserve">indica </w:t>
      </w:r>
      <w:r w:rsidR="00CF2AC4" w:rsidRPr="00834D13">
        <w:rPr>
          <w:iCs/>
          <w:color w:val="000000"/>
        </w:rPr>
        <w:t>el índice de precios aplicable a la actividad de comercialización de energía eléctrica se usará el Índice de Precios al Consumidor</w:t>
      </w:r>
      <w:r w:rsidR="00CF2AC4">
        <w:rPr>
          <w:iCs/>
          <w:color w:val="000000"/>
        </w:rPr>
        <w:t xml:space="preserve"> publicado por el DANE</w:t>
      </w:r>
      <w:r w:rsidR="00D76A26">
        <w:rPr>
          <w:iCs/>
          <w:color w:val="000000"/>
        </w:rPr>
        <w:t>.</w:t>
      </w:r>
    </w:p>
    <w:bookmarkEnd w:id="39"/>
    <w:bookmarkEnd w:id="40"/>
    <w:bookmarkEnd w:id="41"/>
    <w:p w14:paraId="5C7233D6" w14:textId="4A4FC2B5" w:rsidR="00E538F2" w:rsidRPr="00525EF9" w:rsidRDefault="00466587" w:rsidP="00C1026D">
      <w:pPr>
        <w:pStyle w:val="Ttulo1"/>
      </w:pPr>
      <w:r>
        <w:t xml:space="preserve"> </w:t>
      </w:r>
      <w:bookmarkStart w:id="42" w:name="_Toc164064363"/>
      <w:r w:rsidR="00743306" w:rsidRPr="00525EF9">
        <w:t>COSTOS VARIABLES</w:t>
      </w:r>
      <w:bookmarkEnd w:id="42"/>
    </w:p>
    <w:p w14:paraId="49F765FC" w14:textId="12473D38" w:rsidR="00330F1F" w:rsidRDefault="004C0E6B" w:rsidP="00A96BE2">
      <w:pPr>
        <w:rPr>
          <w:lang w:val="es-CO"/>
        </w:rPr>
      </w:pPr>
      <w:r>
        <w:rPr>
          <w:lang w:val="es-CO"/>
        </w:rPr>
        <w:t xml:space="preserve">Los costos </w:t>
      </w:r>
      <w:r w:rsidR="000D0E84">
        <w:t xml:space="preserve">reconocidos asociados con </w:t>
      </w:r>
      <w:r w:rsidR="00691803">
        <w:t xml:space="preserve">el </w:t>
      </w:r>
      <w:r w:rsidR="000D0E84">
        <w:t xml:space="preserve">riesgo de cartera, </w:t>
      </w:r>
      <w:r w:rsidR="000D0E84" w:rsidRPr="006755FC">
        <w:t xml:space="preserve">ciclo de efectivo de la actividad de comercialización </w:t>
      </w:r>
      <w:r w:rsidR="001052B7">
        <w:t xml:space="preserve">y </w:t>
      </w:r>
      <w:r w:rsidR="00CA7141">
        <w:t xml:space="preserve">el </w:t>
      </w:r>
      <w:r w:rsidR="001052B7">
        <w:t xml:space="preserve">margen por </w:t>
      </w:r>
      <w:r w:rsidR="00CA7141">
        <w:t xml:space="preserve">desarrollar </w:t>
      </w:r>
      <w:r w:rsidR="001052B7">
        <w:t xml:space="preserve">la actividad de comercialización </w:t>
      </w:r>
      <w:r w:rsidR="000D0E84" w:rsidRPr="000A29D6">
        <w:t>se determinará</w:t>
      </w:r>
      <w:r w:rsidR="000D0E84">
        <w:t>n</w:t>
      </w:r>
      <w:r w:rsidR="000D0E84" w:rsidRPr="000A29D6">
        <w:t xml:space="preserve"> con base en la siguiente expresión:</w:t>
      </w:r>
    </w:p>
    <w:p w14:paraId="026BA5D1" w14:textId="1B81B0B9" w:rsidR="00A96BE2" w:rsidRPr="00330F1F" w:rsidRDefault="00000000" w:rsidP="00691803">
      <w:pPr>
        <w:jc w:val="center"/>
      </w:pPr>
      <m:oMathPara>
        <m:oMath>
          <m:sSubSup>
            <m:sSubSupPr>
              <m:ctrlPr>
                <w:rPr>
                  <w:rFonts w:ascii="Cambria Math" w:hAnsi="Cambria Math"/>
                </w:rPr>
              </m:ctrlPr>
            </m:sSubSup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MO</m:t>
              </m:r>
            </m:e>
            <m:sub>
              <m:r>
                <w:rPr>
                  <w:rFonts w:ascii="Cambria Math" w:hAnsi="Cambria Math"/>
                </w:rPr>
                <m:t>i,j,m</m:t>
              </m:r>
            </m:sub>
          </m:sSub>
          <m:r>
            <w:rPr>
              <w:rFonts w:ascii="Cambria Math" w:hAnsi="Cambria Math"/>
            </w:rPr>
            <m:t>+</m:t>
          </m:r>
          <m:sSub>
            <m:sSubPr>
              <m:ctrlPr>
                <w:rPr>
                  <w:rFonts w:ascii="Cambria Math" w:hAnsi="Cambria Math"/>
                </w:rPr>
              </m:ctrlPr>
            </m:sSubPr>
            <m:e>
              <m:r>
                <w:rPr>
                  <w:rFonts w:ascii="Cambria Math" w:hAnsi="Cambria Math"/>
                </w:rPr>
                <m:t>RC</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CF</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sub>
          </m:sSub>
        </m:oMath>
      </m:oMathPara>
    </w:p>
    <w:p w14:paraId="7BD2539A" w14:textId="763B209B" w:rsidR="00691803" w:rsidRDefault="00691803" w:rsidP="00691803">
      <w:r>
        <w:t>Donde:</w:t>
      </w:r>
    </w:p>
    <w:p w14:paraId="467CD8E7" w14:textId="2474D8C8" w:rsidR="009A7DEB" w:rsidRPr="000A29D6" w:rsidRDefault="009A7DEB" w:rsidP="009A7DEB">
      <w:pPr>
        <w:ind w:left="1130" w:hanging="1130"/>
      </w:pPr>
      <w:r w:rsidRPr="003A0953">
        <w:rPr>
          <w:i/>
          <w:iCs/>
        </w:rPr>
        <w:t>C</w:t>
      </w:r>
      <w:r w:rsidRPr="003A0953">
        <w:rPr>
          <w:i/>
          <w:iCs/>
          <w:vertAlign w:val="superscript"/>
        </w:rPr>
        <w:t>*</w:t>
      </w:r>
      <w:proofErr w:type="spellStart"/>
      <w:proofErr w:type="gramStart"/>
      <w:r w:rsidRPr="003A0953">
        <w:rPr>
          <w:i/>
          <w:iCs/>
          <w:vertAlign w:val="subscript"/>
        </w:rPr>
        <w:t>i,j</w:t>
      </w:r>
      <w:proofErr w:type="gramEnd"/>
      <w:r w:rsidRPr="003A0953">
        <w:rPr>
          <w:i/>
          <w:iCs/>
          <w:vertAlign w:val="subscript"/>
        </w:rPr>
        <w:t>,m</w:t>
      </w:r>
      <w:proofErr w:type="spellEnd"/>
      <w:r>
        <w:rPr>
          <w:vertAlign w:val="subscript"/>
        </w:rPr>
        <w:tab/>
      </w:r>
      <w:r w:rsidRPr="000A29D6">
        <w:t xml:space="preserve">Costo variable de la actividad de </w:t>
      </w:r>
      <w:r>
        <w:t>c</w:t>
      </w:r>
      <w:r w:rsidRPr="000A29D6">
        <w:t xml:space="preserve">omercialización para el </w:t>
      </w:r>
      <w:r>
        <w:t>c</w:t>
      </w:r>
      <w:r w:rsidRPr="000A29D6">
        <w:t>omercializador</w:t>
      </w:r>
      <w:r>
        <w:t xml:space="preserve"> </w:t>
      </w:r>
      <w:r w:rsidRPr="005C3650">
        <w:rPr>
          <w:i/>
        </w:rPr>
        <w:t>i</w:t>
      </w:r>
      <w:r w:rsidRPr="000A29D6">
        <w:t xml:space="preserve">, del </w:t>
      </w:r>
      <w:r>
        <w:t>m</w:t>
      </w:r>
      <w:r w:rsidRPr="000A29D6">
        <w:t xml:space="preserve">ercado de </w:t>
      </w:r>
      <w:r>
        <w:t>c</w:t>
      </w:r>
      <w:r w:rsidRPr="000A29D6">
        <w:t>omercialización</w:t>
      </w:r>
      <w:r>
        <w:t xml:space="preserve"> </w:t>
      </w:r>
      <w:r w:rsidRPr="005C3650">
        <w:rPr>
          <w:i/>
        </w:rPr>
        <w:t>j</w:t>
      </w:r>
      <w:r w:rsidRPr="000A29D6">
        <w:t>, en el mes</w:t>
      </w:r>
      <w:r>
        <w:t xml:space="preserve"> </w:t>
      </w:r>
      <w:r w:rsidRPr="005C3650">
        <w:rPr>
          <w:i/>
        </w:rPr>
        <w:t>m</w:t>
      </w:r>
      <w:r w:rsidRPr="000A29D6">
        <w:t>.</w:t>
      </w:r>
      <w:r w:rsidR="00A612F2">
        <w:t xml:space="preserve"> </w:t>
      </w:r>
      <w:r w:rsidR="00A612F2" w:rsidRPr="00A612F2">
        <w:t xml:space="preserve">Esta variable se expresa en pesos por kilovatio hora ($/kWh).  </w:t>
      </w:r>
    </w:p>
    <w:p w14:paraId="7A255759" w14:textId="33D21155" w:rsidR="00E7241F" w:rsidRPr="000A29D6" w:rsidRDefault="00E7241F" w:rsidP="004C72AD">
      <w:pPr>
        <w:ind w:left="1130"/>
      </w:pPr>
      <w:r w:rsidRPr="004C72AD">
        <w:t xml:space="preserve">Esta variable corresponde al </w:t>
      </w:r>
      <w:r w:rsidRPr="003E4F2B">
        <w:rPr>
          <w:i/>
          <w:iCs/>
        </w:rPr>
        <w:t>C*</w:t>
      </w:r>
      <w:proofErr w:type="spellStart"/>
      <w:proofErr w:type="gramStart"/>
      <w:r w:rsidRPr="003E4F2B">
        <w:rPr>
          <w:i/>
          <w:iCs/>
          <w:vertAlign w:val="subscript"/>
        </w:rPr>
        <w:t>i,j</w:t>
      </w:r>
      <w:proofErr w:type="gramEnd"/>
      <w:r w:rsidRPr="003E4F2B">
        <w:rPr>
          <w:i/>
          <w:iCs/>
          <w:vertAlign w:val="subscript"/>
        </w:rPr>
        <w:t>,m</w:t>
      </w:r>
      <w:proofErr w:type="spellEnd"/>
      <w:r w:rsidR="00153350" w:rsidRPr="003E4F2B">
        <w:rPr>
          <w:i/>
          <w:iCs/>
        </w:rPr>
        <w:t xml:space="preserve"> </w:t>
      </w:r>
      <w:r w:rsidR="00153350" w:rsidRPr="004C72AD">
        <w:t xml:space="preserve">definida en el </w:t>
      </w:r>
      <w:r w:rsidR="00FD5DDC">
        <w:t>A</w:t>
      </w:r>
      <w:r w:rsidR="00FD5DDC" w:rsidRPr="004C72AD">
        <w:t>rtículo</w:t>
      </w:r>
      <w:r w:rsidR="001179CC" w:rsidRPr="004C72AD">
        <w:t xml:space="preserve"> </w:t>
      </w:r>
      <w:r w:rsidR="005D7E21" w:rsidRPr="004C72AD">
        <w:t xml:space="preserve">11 de la resolución </w:t>
      </w:r>
      <w:r w:rsidR="004C72AD" w:rsidRPr="004C72AD">
        <w:t xml:space="preserve">CREG </w:t>
      </w:r>
      <w:r w:rsidR="005D7E21" w:rsidRPr="004C72AD">
        <w:t>119 de 200</w:t>
      </w:r>
      <w:r w:rsidR="004C72AD" w:rsidRPr="004C72AD">
        <w:t>7</w:t>
      </w:r>
      <w:r w:rsidR="00EC0BFC">
        <w:t xml:space="preserve"> o aquella que la modifique</w:t>
      </w:r>
      <w:r w:rsidR="00E30CBE">
        <w:t>, complemente</w:t>
      </w:r>
      <w:r w:rsidR="00EC0BFC">
        <w:t xml:space="preserve"> o sustituya</w:t>
      </w:r>
      <w:r w:rsidR="004C72AD" w:rsidRPr="004C72AD">
        <w:t>.</w:t>
      </w:r>
      <w:r w:rsidR="004C72AD" w:rsidRPr="004C72AD">
        <w:rPr>
          <w:i/>
          <w:iCs/>
        </w:rPr>
        <w:t xml:space="preserve"> </w:t>
      </w:r>
    </w:p>
    <w:p w14:paraId="6DA74805" w14:textId="41917D7F" w:rsidR="00A45296" w:rsidRDefault="00ED7383" w:rsidP="00A45296">
      <w:pPr>
        <w:ind w:left="1130" w:hanging="1130"/>
      </w:pPr>
      <w:proofErr w:type="spellStart"/>
      <w:proofErr w:type="gramStart"/>
      <w:r>
        <w:rPr>
          <w:i/>
          <w:iCs/>
        </w:rPr>
        <w:t>M</w:t>
      </w:r>
      <w:r w:rsidR="004C50FA">
        <w:rPr>
          <w:i/>
          <w:iCs/>
        </w:rPr>
        <w:t>O</w:t>
      </w:r>
      <w:r w:rsidR="00A45296" w:rsidRPr="007D7E58">
        <w:rPr>
          <w:i/>
          <w:iCs/>
          <w:vertAlign w:val="subscript"/>
        </w:rPr>
        <w:t>i,</w:t>
      </w:r>
      <w:r w:rsidR="00A45296">
        <w:rPr>
          <w:i/>
          <w:iCs/>
          <w:vertAlign w:val="subscript"/>
        </w:rPr>
        <w:t>j</w:t>
      </w:r>
      <w:proofErr w:type="gramEnd"/>
      <w:r w:rsidR="002C2E2A">
        <w:rPr>
          <w:i/>
          <w:iCs/>
          <w:vertAlign w:val="subscript"/>
        </w:rPr>
        <w:t>,m</w:t>
      </w:r>
      <w:proofErr w:type="spellEnd"/>
      <w:r w:rsidR="00A45296" w:rsidRPr="003A0953">
        <w:rPr>
          <w:i/>
          <w:iCs/>
        </w:rPr>
        <w:t>:</w:t>
      </w:r>
      <w:r w:rsidR="00A45296" w:rsidRPr="003A0953">
        <w:rPr>
          <w:i/>
          <w:iCs/>
        </w:rPr>
        <w:tab/>
      </w:r>
      <w:r w:rsidR="00A45296">
        <w:t xml:space="preserve">Margen para remunerar la actividad de comercialización </w:t>
      </w:r>
      <w:r w:rsidR="00A45296" w:rsidRPr="003A0953">
        <w:t xml:space="preserve">del comercializador </w:t>
      </w:r>
      <w:r w:rsidR="00A45296" w:rsidRPr="0074287E">
        <w:rPr>
          <w:i/>
        </w:rPr>
        <w:t>i</w:t>
      </w:r>
      <w:r w:rsidR="00A45296" w:rsidRPr="003A0953">
        <w:t>, en el mercado de comercialización j,</w:t>
      </w:r>
      <w:r w:rsidR="003F48C5">
        <w:t xml:space="preserve"> </w:t>
      </w:r>
      <w:r w:rsidR="00533E23">
        <w:t xml:space="preserve">en el mes </w:t>
      </w:r>
      <w:r w:rsidR="00533E23" w:rsidRPr="00533E23">
        <w:rPr>
          <w:i/>
          <w:iCs/>
        </w:rPr>
        <w:t>m</w:t>
      </w:r>
      <w:r w:rsidR="00533E23">
        <w:t>,</w:t>
      </w:r>
      <w:r w:rsidR="00A45296" w:rsidRPr="003A0953">
        <w:t xml:space="preserve"> </w:t>
      </w:r>
      <w:r w:rsidR="00A45296" w:rsidRPr="000A29D6">
        <w:rPr>
          <w:rFonts w:cs="Arial"/>
        </w:rPr>
        <w:t>calculado de conformidad con lo establecido en el</w:t>
      </w:r>
      <w:r w:rsidR="00A45296">
        <w:rPr>
          <w:rFonts w:cs="Arial"/>
        </w:rPr>
        <w:t xml:space="preserve"> numeral </w:t>
      </w:r>
      <w:r w:rsidR="00A45296">
        <w:rPr>
          <w:rFonts w:cs="Arial"/>
        </w:rPr>
        <w:fldChar w:fldCharType="begin"/>
      </w:r>
      <w:r w:rsidR="00A45296">
        <w:rPr>
          <w:rFonts w:cs="Arial"/>
        </w:rPr>
        <w:instrText xml:space="preserve"> REF _Ref128563146 \r \h </w:instrText>
      </w:r>
      <w:r w:rsidR="00A45296">
        <w:rPr>
          <w:rFonts w:cs="Arial"/>
        </w:rPr>
      </w:r>
      <w:r w:rsidR="00A45296">
        <w:rPr>
          <w:rFonts w:cs="Arial"/>
        </w:rPr>
        <w:fldChar w:fldCharType="separate"/>
      </w:r>
      <w:r w:rsidR="00625E8F">
        <w:rPr>
          <w:rFonts w:cs="Arial"/>
        </w:rPr>
        <w:t>2.1</w:t>
      </w:r>
      <w:r w:rsidR="00A45296">
        <w:rPr>
          <w:rFonts w:cs="Arial"/>
        </w:rPr>
        <w:fldChar w:fldCharType="end"/>
      </w:r>
      <w:r w:rsidR="00A45296">
        <w:rPr>
          <w:rFonts w:cs="Arial"/>
        </w:rPr>
        <w:t>.</w:t>
      </w:r>
      <w:r w:rsidR="00EC0BFC">
        <w:rPr>
          <w:rFonts w:cs="Arial"/>
        </w:rPr>
        <w:t xml:space="preserve"> </w:t>
      </w:r>
      <w:r w:rsidR="00EC0BFC" w:rsidRPr="00A612F2">
        <w:t>Esta variable se expresa en pesos por kilovatio hora ($/kWh).</w:t>
      </w:r>
    </w:p>
    <w:p w14:paraId="58268C06" w14:textId="5B1B2EB0" w:rsidR="004942B6" w:rsidRPr="009850BA" w:rsidRDefault="004942B6" w:rsidP="004942B6">
      <w:pPr>
        <w:ind w:left="1130" w:hanging="1130"/>
      </w:pPr>
      <w:proofErr w:type="spellStart"/>
      <w:proofErr w:type="gramStart"/>
      <w:r>
        <w:rPr>
          <w:i/>
          <w:iCs/>
        </w:rPr>
        <w:t>RC</w:t>
      </w:r>
      <w:r w:rsidRPr="003A0953">
        <w:rPr>
          <w:i/>
          <w:iCs/>
          <w:vertAlign w:val="subscript"/>
        </w:rPr>
        <w:t>i,j</w:t>
      </w:r>
      <w:proofErr w:type="gramEnd"/>
      <w:r w:rsidRPr="003A0953">
        <w:rPr>
          <w:i/>
          <w:iCs/>
          <w:vertAlign w:val="subscript"/>
        </w:rPr>
        <w:t>,m</w:t>
      </w:r>
      <w:proofErr w:type="spellEnd"/>
      <w:r>
        <w:rPr>
          <w:vertAlign w:val="subscript"/>
        </w:rPr>
        <w:tab/>
      </w:r>
      <w:r w:rsidR="003369BA">
        <w:rPr>
          <w:lang w:eastAsia="ar-SA"/>
        </w:rPr>
        <w:t xml:space="preserve">Valor </w:t>
      </w:r>
      <w:r w:rsidR="00801332" w:rsidRPr="00A45296">
        <w:rPr>
          <w:lang w:eastAsia="ar-SA"/>
        </w:rPr>
        <w:t xml:space="preserve">que </w:t>
      </w:r>
      <w:r w:rsidR="00BB7594">
        <w:rPr>
          <w:lang w:eastAsia="ar-SA"/>
        </w:rPr>
        <w:t>remunera</w:t>
      </w:r>
      <w:r w:rsidR="00801332" w:rsidRPr="00A45296">
        <w:rPr>
          <w:lang w:eastAsia="ar-SA"/>
        </w:rPr>
        <w:t xml:space="preserve"> el </w:t>
      </w:r>
      <w:r w:rsidR="00801332" w:rsidRPr="009850BA">
        <w:rPr>
          <w:lang w:eastAsia="ar-SA"/>
        </w:rPr>
        <w:t>r</w:t>
      </w:r>
      <w:r w:rsidRPr="009850BA">
        <w:rPr>
          <w:lang w:eastAsia="ar-SA"/>
        </w:rPr>
        <w:t xml:space="preserve">iesgo de cartera </w:t>
      </w:r>
      <w:r w:rsidR="000258D7" w:rsidRPr="009850BA">
        <w:rPr>
          <w:rFonts w:cs="Arial"/>
        </w:rPr>
        <w:t xml:space="preserve">reconocido para </w:t>
      </w:r>
      <w:r w:rsidR="00801332" w:rsidRPr="009850BA">
        <w:rPr>
          <w:rFonts w:cs="Arial"/>
        </w:rPr>
        <w:t>la actividad de</w:t>
      </w:r>
      <w:r w:rsidR="00EF39F0" w:rsidRPr="009850BA">
        <w:rPr>
          <w:rFonts w:cs="Arial"/>
        </w:rPr>
        <w:t xml:space="preserve"> </w:t>
      </w:r>
      <w:r w:rsidR="00801332" w:rsidRPr="009850BA">
        <w:rPr>
          <w:rFonts w:cs="Arial"/>
        </w:rPr>
        <w:t>comercialización</w:t>
      </w:r>
      <w:r w:rsidR="00801332" w:rsidRPr="009850BA">
        <w:rPr>
          <w:lang w:eastAsia="ar-SA"/>
        </w:rPr>
        <w:t xml:space="preserve"> del comercializador </w:t>
      </w:r>
      <w:r w:rsidRPr="009850BA">
        <w:rPr>
          <w:i/>
        </w:rPr>
        <w:t>i</w:t>
      </w:r>
      <w:r w:rsidRPr="009850BA">
        <w:rPr>
          <w:lang w:eastAsia="ar-SA"/>
        </w:rPr>
        <w:t xml:space="preserve">, en el mercado de comercialización </w:t>
      </w:r>
      <w:r w:rsidRPr="009850BA">
        <w:rPr>
          <w:i/>
        </w:rPr>
        <w:t>j</w:t>
      </w:r>
      <w:r w:rsidRPr="009850BA">
        <w:rPr>
          <w:lang w:eastAsia="ar-SA"/>
        </w:rPr>
        <w:t xml:space="preserve">, para el mes </w:t>
      </w:r>
      <w:r w:rsidRPr="009850BA">
        <w:rPr>
          <w:i/>
          <w:lang w:eastAsia="ar-SA"/>
        </w:rPr>
        <w:t>m</w:t>
      </w:r>
      <w:r w:rsidRPr="009850BA">
        <w:rPr>
          <w:lang w:eastAsia="ar-SA"/>
        </w:rPr>
        <w:t xml:space="preserve">, </w:t>
      </w:r>
      <w:r w:rsidRPr="009850BA">
        <w:rPr>
          <w:rFonts w:cs="Arial"/>
        </w:rPr>
        <w:t>calculado de conformidad con lo establecido en el</w:t>
      </w:r>
      <w:r w:rsidR="00E432A7" w:rsidRPr="009850BA">
        <w:rPr>
          <w:rFonts w:cs="Arial"/>
        </w:rPr>
        <w:t xml:space="preserve"> numeral </w:t>
      </w:r>
      <w:r w:rsidR="00E432A7" w:rsidRPr="009850BA">
        <w:rPr>
          <w:rFonts w:cs="Arial"/>
        </w:rPr>
        <w:fldChar w:fldCharType="begin"/>
      </w:r>
      <w:r w:rsidR="00E432A7" w:rsidRPr="009850BA">
        <w:rPr>
          <w:rFonts w:cs="Arial"/>
        </w:rPr>
        <w:instrText xml:space="preserve"> REF _Ref128562918 \r \h </w:instrText>
      </w:r>
      <w:r w:rsidR="009850BA">
        <w:rPr>
          <w:rFonts w:cs="Arial"/>
        </w:rPr>
        <w:instrText xml:space="preserve"> \* MERGEFORMAT </w:instrText>
      </w:r>
      <w:r w:rsidR="00E432A7" w:rsidRPr="009850BA">
        <w:rPr>
          <w:rFonts w:cs="Arial"/>
        </w:rPr>
      </w:r>
      <w:r w:rsidR="00E432A7" w:rsidRPr="009850BA">
        <w:rPr>
          <w:rFonts w:cs="Arial"/>
        </w:rPr>
        <w:fldChar w:fldCharType="separate"/>
      </w:r>
      <w:r w:rsidR="00625E8F">
        <w:rPr>
          <w:rFonts w:cs="Arial"/>
        </w:rPr>
        <w:t>2.2</w:t>
      </w:r>
      <w:r w:rsidR="00E432A7" w:rsidRPr="009850BA">
        <w:rPr>
          <w:rFonts w:cs="Arial"/>
        </w:rPr>
        <w:fldChar w:fldCharType="end"/>
      </w:r>
      <w:r w:rsidRPr="009850BA">
        <w:t>.</w:t>
      </w:r>
      <w:r w:rsidR="00EC0BFC">
        <w:t xml:space="preserve"> </w:t>
      </w:r>
      <w:r w:rsidR="00EC0BFC" w:rsidRPr="00A612F2">
        <w:t>Esta variable se expresa en pesos por kilovatio hora ($/kWh).</w:t>
      </w:r>
    </w:p>
    <w:p w14:paraId="13BE39BB" w14:textId="5818FB22" w:rsidR="005C6D78" w:rsidRDefault="005C6D78" w:rsidP="004942B6">
      <w:pPr>
        <w:ind w:left="1130" w:hanging="1130"/>
      </w:pPr>
      <w:proofErr w:type="spellStart"/>
      <w:proofErr w:type="gramStart"/>
      <w:r w:rsidRPr="009850BA">
        <w:rPr>
          <w:i/>
          <w:iCs/>
        </w:rPr>
        <w:t>CF</w:t>
      </w:r>
      <w:r w:rsidRPr="009850BA">
        <w:rPr>
          <w:i/>
          <w:iCs/>
          <w:vertAlign w:val="subscript"/>
        </w:rPr>
        <w:t>i,j</w:t>
      </w:r>
      <w:proofErr w:type="gramEnd"/>
      <w:r w:rsidRPr="009850BA">
        <w:rPr>
          <w:i/>
          <w:iCs/>
          <w:vertAlign w:val="subscript"/>
        </w:rPr>
        <w:t>,m</w:t>
      </w:r>
      <w:proofErr w:type="spellEnd"/>
      <w:r w:rsidRPr="009850BA">
        <w:rPr>
          <w:vertAlign w:val="subscript"/>
        </w:rPr>
        <w:tab/>
      </w:r>
      <w:r w:rsidR="00BF1077">
        <w:rPr>
          <w:lang w:eastAsia="ar-SA"/>
        </w:rPr>
        <w:t xml:space="preserve">Valor </w:t>
      </w:r>
      <w:r w:rsidRPr="009850BA">
        <w:rPr>
          <w:lang w:eastAsia="ar-SA"/>
        </w:rPr>
        <w:t xml:space="preserve">que </w:t>
      </w:r>
      <w:r w:rsidR="00BB7594">
        <w:rPr>
          <w:lang w:eastAsia="ar-SA"/>
        </w:rPr>
        <w:t>remunera</w:t>
      </w:r>
      <w:r w:rsidRPr="009850BA">
        <w:rPr>
          <w:lang w:eastAsia="ar-SA"/>
        </w:rPr>
        <w:t xml:space="preserve"> </w:t>
      </w:r>
      <w:r w:rsidRPr="009850BA">
        <w:rPr>
          <w:rFonts w:cs="Arial"/>
        </w:rPr>
        <w:t>los costos financieros asociados al ciclo de efectivo reconocidos para la actividad de comercialización</w:t>
      </w:r>
      <w:r w:rsidRPr="009850BA">
        <w:rPr>
          <w:lang w:eastAsia="ar-SA"/>
        </w:rPr>
        <w:t xml:space="preserve"> del comercializador </w:t>
      </w:r>
      <w:r w:rsidRPr="009850BA">
        <w:rPr>
          <w:i/>
        </w:rPr>
        <w:t>i</w:t>
      </w:r>
      <w:r w:rsidRPr="009850BA">
        <w:rPr>
          <w:lang w:eastAsia="ar-SA"/>
        </w:rPr>
        <w:t>, en el mercado</w:t>
      </w:r>
      <w:r w:rsidRPr="00A45296">
        <w:rPr>
          <w:lang w:eastAsia="ar-SA"/>
        </w:rPr>
        <w:t xml:space="preserve"> de comercialización </w:t>
      </w:r>
      <w:r w:rsidRPr="00A45296">
        <w:rPr>
          <w:i/>
        </w:rPr>
        <w:t>j</w:t>
      </w:r>
      <w:r w:rsidRPr="00A45296">
        <w:rPr>
          <w:lang w:eastAsia="ar-SA"/>
        </w:rPr>
        <w:t>, para el mes</w:t>
      </w:r>
      <w:r w:rsidRPr="000A29D6">
        <w:rPr>
          <w:lang w:eastAsia="ar-SA"/>
        </w:rPr>
        <w:t xml:space="preserve"> </w:t>
      </w:r>
      <w:r w:rsidRPr="000A29D6">
        <w:rPr>
          <w:i/>
          <w:lang w:eastAsia="ar-SA"/>
        </w:rPr>
        <w:t>m</w:t>
      </w:r>
      <w:r w:rsidRPr="000A29D6">
        <w:rPr>
          <w:lang w:eastAsia="ar-SA"/>
        </w:rPr>
        <w:t xml:space="preserve">, </w:t>
      </w:r>
      <w:r w:rsidRPr="000A29D6">
        <w:rPr>
          <w:rFonts w:cs="Arial"/>
        </w:rPr>
        <w:t>calculado de conformidad con lo establecido en el</w:t>
      </w:r>
      <w:r>
        <w:rPr>
          <w:rFonts w:cs="Arial"/>
        </w:rPr>
        <w:t xml:space="preserve"> numeral </w:t>
      </w:r>
      <w:r w:rsidR="00BC2A1E">
        <w:rPr>
          <w:rFonts w:cs="Arial"/>
        </w:rPr>
        <w:fldChar w:fldCharType="begin"/>
      </w:r>
      <w:r w:rsidR="00BC2A1E">
        <w:rPr>
          <w:rFonts w:cs="Arial"/>
        </w:rPr>
        <w:instrText xml:space="preserve"> REF _Ref138857807 \r \h </w:instrText>
      </w:r>
      <w:r w:rsidR="00BC2A1E">
        <w:rPr>
          <w:rFonts w:cs="Arial"/>
        </w:rPr>
      </w:r>
      <w:r w:rsidR="00BC2A1E">
        <w:rPr>
          <w:rFonts w:cs="Arial"/>
        </w:rPr>
        <w:fldChar w:fldCharType="separate"/>
      </w:r>
      <w:r w:rsidR="00625E8F">
        <w:rPr>
          <w:rFonts w:cs="Arial"/>
        </w:rPr>
        <w:t>2.3</w:t>
      </w:r>
      <w:r w:rsidR="00BC2A1E">
        <w:rPr>
          <w:rFonts w:cs="Arial"/>
        </w:rPr>
        <w:fldChar w:fldCharType="end"/>
      </w:r>
      <w:r>
        <w:rPr>
          <w:rFonts w:cs="Arial"/>
        </w:rPr>
        <w:fldChar w:fldCharType="begin"/>
      </w:r>
      <w:r>
        <w:rPr>
          <w:rFonts w:cs="Arial"/>
        </w:rPr>
        <w:instrText xml:space="preserve"> REF _Ref128562918 \r \h </w:instrText>
      </w:r>
      <w:r>
        <w:rPr>
          <w:rFonts w:cs="Arial"/>
        </w:rPr>
      </w:r>
      <w:r w:rsidR="00000000">
        <w:rPr>
          <w:rFonts w:cs="Arial"/>
        </w:rPr>
        <w:fldChar w:fldCharType="separate"/>
      </w:r>
      <w:r w:rsidR="00625E8F">
        <w:rPr>
          <w:rFonts w:cs="Arial"/>
        </w:rPr>
        <w:t>2.2</w:t>
      </w:r>
      <w:r>
        <w:rPr>
          <w:rFonts w:cs="Arial"/>
        </w:rPr>
        <w:fldChar w:fldCharType="end"/>
      </w:r>
      <w:r w:rsidRPr="000A29D6">
        <w:t>.</w:t>
      </w:r>
      <w:r w:rsidR="00EC0BFC">
        <w:t xml:space="preserve"> </w:t>
      </w:r>
      <w:r w:rsidR="00EC0BFC" w:rsidRPr="00A612F2">
        <w:t>Esta variable se expresa en pesos por kilovatio hora ($/kWh).</w:t>
      </w:r>
    </w:p>
    <w:p w14:paraId="556BD017" w14:textId="2F8CD142" w:rsidR="00A45296" w:rsidRDefault="00A45296" w:rsidP="00F27066">
      <w:pPr>
        <w:pStyle w:val="Ttulo2"/>
      </w:pPr>
      <w:bookmarkStart w:id="43" w:name="_Ref128563146"/>
      <w:bookmarkStart w:id="44" w:name="_Toc164064364"/>
      <w:r>
        <w:t xml:space="preserve">Margen </w:t>
      </w:r>
      <w:r w:rsidR="0057561C">
        <w:t>OPERACIONAL</w:t>
      </w:r>
      <w:r>
        <w:t xml:space="preserve"> de </w:t>
      </w:r>
      <w:bookmarkEnd w:id="43"/>
      <w:r w:rsidR="00BB7594">
        <w:t>comercialización</w:t>
      </w:r>
      <w:bookmarkEnd w:id="44"/>
    </w:p>
    <w:p w14:paraId="241AE929" w14:textId="18FF1DC9" w:rsidR="00A45296" w:rsidRDefault="00A45296" w:rsidP="00A45296">
      <w:r>
        <w:t xml:space="preserve">El margen </w:t>
      </w:r>
      <w:r w:rsidR="000258D7">
        <w:t xml:space="preserve">para remunerar </w:t>
      </w:r>
      <w:r>
        <w:t>la actividad de comercialización se define de la siguiente manera:</w:t>
      </w:r>
    </w:p>
    <w:p w14:paraId="376F8577" w14:textId="2B2E6ED9" w:rsidR="00A45296" w:rsidRPr="000A29D6" w:rsidRDefault="00000000" w:rsidP="00A45296">
      <w:pPr>
        <w:rPr>
          <w:highlight w:val="lightGray"/>
        </w:rPr>
      </w:pPr>
      <m:oMathPara>
        <m:oMath>
          <m:sSub>
            <m:sSubPr>
              <m:ctrlPr>
                <w:rPr>
                  <w:rFonts w:ascii="Cambria Math" w:hAnsi="Cambria Math"/>
                </w:rPr>
              </m:ctrlPr>
            </m:sSubPr>
            <m:e>
              <m:r>
                <w:rPr>
                  <w:rFonts w:ascii="Cambria Math" w:hAnsi="Cambria Math"/>
                </w:rPr>
                <m:t>MO</m:t>
              </m:r>
            </m:e>
            <m:sub>
              <m:r>
                <w:rPr>
                  <w:rFonts w:ascii="Cambria Math" w:hAnsi="Cambria Math"/>
                </w:rPr>
                <m:t>i,j,m</m:t>
              </m:r>
            </m:sub>
          </m:sSub>
          <m:r>
            <w:rPr>
              <w:rFonts w:ascii="Cambria Math" w:hAnsi="Cambria Math"/>
            </w:rPr>
            <m:t>=</m:t>
          </m:r>
          <m:sSub>
            <m:sSubPr>
              <m:ctrlPr>
                <w:rPr>
                  <w:rFonts w:ascii="Cambria Math" w:hAnsi="Cambria Math"/>
                  <w:i/>
                </w:rPr>
              </m:ctrlPr>
            </m:sSubPr>
            <m:e>
              <m:r>
                <w:rPr>
                  <w:rFonts w:ascii="Cambria Math" w:hAnsi="Cambria Math"/>
                </w:rPr>
                <m:t>CUC</m:t>
              </m:r>
            </m:e>
            <m:sub>
              <m:r>
                <w:rPr>
                  <w:rFonts w:ascii="Cambria Math" w:hAnsi="Cambria Math"/>
                </w:rPr>
                <m:t>i,j</m:t>
              </m:r>
            </m:sub>
          </m:sSub>
          <m:r>
            <w:rPr>
              <w:rFonts w:ascii="Cambria Math" w:hAnsi="Cambria Math"/>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IPCEE</m:t>
                  </m:r>
                </m:e>
                <m:sub>
                  <m:r>
                    <w:rPr>
                      <w:rFonts w:ascii="Cambria Math" w:hAnsi="Cambria Math"/>
                      <w:color w:val="000000"/>
                    </w:rPr>
                    <m:t>m-1</m:t>
                  </m:r>
                </m:sub>
              </m:sSub>
            </m:num>
            <m:den>
              <m:sSub>
                <m:sSubPr>
                  <m:ctrlPr>
                    <w:rPr>
                      <w:rFonts w:ascii="Cambria Math" w:hAnsi="Cambria Math"/>
                      <w:i/>
                      <w:color w:val="000000"/>
                    </w:rPr>
                  </m:ctrlPr>
                </m:sSubPr>
                <m:e>
                  <m:r>
                    <w:rPr>
                      <w:rFonts w:ascii="Cambria Math" w:hAnsi="Cambria Math"/>
                      <w:color w:val="000000"/>
                    </w:rPr>
                    <m:t>IPCEE</m:t>
                  </m:r>
                </m:e>
                <m:sub>
                  <m:r>
                    <w:rPr>
                      <w:rFonts w:ascii="Cambria Math" w:hAnsi="Cambria Math"/>
                      <w:color w:val="000000"/>
                    </w:rPr>
                    <m:t>0</m:t>
                  </m:r>
                </m:sub>
              </m:sSub>
            </m:den>
          </m:f>
          <m:r>
            <w:rPr>
              <w:rFonts w:ascii="Cambria Math" w:hAnsi="Cambria Math"/>
              <w:color w:val="000000"/>
            </w:rPr>
            <m:t>*mo*</m:t>
          </m:r>
          <m:sSub>
            <m:sSubPr>
              <m:ctrlPr>
                <w:rPr>
                  <w:rFonts w:ascii="Cambria Math" w:hAnsi="Cambria Math"/>
                  <w:i/>
                  <w:color w:val="000000"/>
                </w:rPr>
              </m:ctrlPr>
            </m:sSubPr>
            <m:e>
              <m:r>
                <w:rPr>
                  <w:rFonts w:ascii="Cambria Math" w:hAnsi="Cambria Math"/>
                  <w:color w:val="000000"/>
                </w:rPr>
                <m:t>ACS</m:t>
              </m:r>
            </m:e>
            <m:sub>
              <m:r>
                <w:rPr>
                  <w:rFonts w:ascii="Cambria Math" w:hAnsi="Cambria Math"/>
                  <w:color w:val="000000"/>
                </w:rPr>
                <m:t>i,j,t</m:t>
              </m:r>
            </m:sub>
          </m:sSub>
        </m:oMath>
      </m:oMathPara>
    </w:p>
    <w:p w14:paraId="4C5FE937" w14:textId="7D5CDBDD" w:rsidR="00A45296" w:rsidRDefault="000258D7" w:rsidP="00A45296">
      <w:pPr>
        <w:ind w:left="1130" w:hanging="1130"/>
        <w:rPr>
          <w:rFonts w:cs="Arial"/>
        </w:rPr>
      </w:pPr>
      <w:proofErr w:type="spellStart"/>
      <w:proofErr w:type="gramStart"/>
      <w:r w:rsidRPr="005C3650">
        <w:rPr>
          <w:i/>
          <w:lang w:eastAsia="ar-SA"/>
        </w:rPr>
        <w:t>M</w:t>
      </w:r>
      <w:r w:rsidR="003E4F2B">
        <w:rPr>
          <w:i/>
          <w:lang w:eastAsia="ar-SA"/>
        </w:rPr>
        <w:t>O</w:t>
      </w:r>
      <w:r w:rsidRPr="00EF3156">
        <w:rPr>
          <w:i/>
          <w:vertAlign w:val="subscript"/>
          <w:lang w:eastAsia="ar-SA"/>
        </w:rPr>
        <w:t>i,j</w:t>
      </w:r>
      <w:proofErr w:type="gramEnd"/>
      <w:r w:rsidR="00174951">
        <w:rPr>
          <w:i/>
          <w:vertAlign w:val="subscript"/>
          <w:lang w:eastAsia="ar-SA"/>
        </w:rPr>
        <w:t>,m</w:t>
      </w:r>
      <w:proofErr w:type="spellEnd"/>
      <w:r w:rsidR="00A45296" w:rsidRPr="000A29D6">
        <w:rPr>
          <w:lang w:eastAsia="ar-SA"/>
        </w:rPr>
        <w:t>:</w:t>
      </w:r>
      <w:r w:rsidR="00A45296" w:rsidRPr="000A29D6">
        <w:rPr>
          <w:lang w:eastAsia="ar-SA"/>
        </w:rPr>
        <w:tab/>
      </w:r>
      <w:r w:rsidR="00A45296">
        <w:t xml:space="preserve">Margen </w:t>
      </w:r>
      <w:r w:rsidR="00A45296" w:rsidRPr="00983ED8">
        <w:t>para remunerar la actividad de comercialización</w:t>
      </w:r>
      <w:r w:rsidR="009376FD">
        <w:t xml:space="preserve"> </w:t>
      </w:r>
      <w:r w:rsidR="00F50E31">
        <w:t xml:space="preserve">del comercializador </w:t>
      </w:r>
      <w:r w:rsidR="00F50E31" w:rsidRPr="00145F7B">
        <w:rPr>
          <w:i/>
        </w:rPr>
        <w:t>i</w:t>
      </w:r>
      <w:r w:rsidR="00E51A78" w:rsidRPr="003A0953">
        <w:t>,</w:t>
      </w:r>
      <w:r w:rsidR="00F50E31">
        <w:t xml:space="preserve"> </w:t>
      </w:r>
      <w:r w:rsidR="009376FD" w:rsidRPr="003A0953">
        <w:t>en el mercado de comercialización j</w:t>
      </w:r>
      <w:r w:rsidR="00E51A78" w:rsidRPr="003A0953">
        <w:t>,</w:t>
      </w:r>
      <w:r w:rsidR="009376FD" w:rsidRPr="003A0953">
        <w:t xml:space="preserve"> en el </w:t>
      </w:r>
      <w:r w:rsidR="00174951">
        <w:t xml:space="preserve">mes </w:t>
      </w:r>
      <w:r w:rsidR="00174951" w:rsidRPr="00174951">
        <w:rPr>
          <w:i/>
          <w:iCs/>
        </w:rPr>
        <w:t>m</w:t>
      </w:r>
      <w:r w:rsidR="00E51A78">
        <w:t>,</w:t>
      </w:r>
      <w:r w:rsidR="00E51A78" w:rsidRPr="003A0953">
        <w:t xml:space="preserve"> </w:t>
      </w:r>
      <w:r w:rsidR="00E51A78" w:rsidRPr="000A29D6">
        <w:rPr>
          <w:rFonts w:cs="Arial"/>
        </w:rPr>
        <w:t>calculado de conformidad con lo establecido en el</w:t>
      </w:r>
      <w:r w:rsidR="00E51A78">
        <w:rPr>
          <w:rFonts w:cs="Arial"/>
        </w:rPr>
        <w:t xml:space="preserve"> numeral </w:t>
      </w:r>
      <w:r w:rsidR="00E51A78">
        <w:rPr>
          <w:rFonts w:cs="Arial"/>
        </w:rPr>
        <w:fldChar w:fldCharType="begin"/>
      </w:r>
      <w:r w:rsidR="00E51A78">
        <w:rPr>
          <w:rFonts w:cs="Arial"/>
        </w:rPr>
        <w:instrText xml:space="preserve"> REF _Ref128563146 \r \h </w:instrText>
      </w:r>
      <w:r w:rsidR="00E51A78">
        <w:rPr>
          <w:rFonts w:cs="Arial"/>
        </w:rPr>
      </w:r>
      <w:r w:rsidR="00E51A78">
        <w:rPr>
          <w:rFonts w:cs="Arial"/>
        </w:rPr>
        <w:fldChar w:fldCharType="separate"/>
      </w:r>
      <w:r w:rsidR="00625E8F">
        <w:rPr>
          <w:rFonts w:cs="Arial"/>
        </w:rPr>
        <w:t>2.1</w:t>
      </w:r>
      <w:r w:rsidR="00E51A78">
        <w:rPr>
          <w:rFonts w:cs="Arial"/>
        </w:rPr>
        <w:fldChar w:fldCharType="end"/>
      </w:r>
      <w:r w:rsidR="00E51A78">
        <w:rPr>
          <w:rFonts w:cs="Arial"/>
        </w:rPr>
        <w:t xml:space="preserve">. </w:t>
      </w:r>
      <w:r w:rsidR="00E51A78" w:rsidRPr="00A612F2">
        <w:t>Esta variable se expresa en pesos por kilovatio hora ($/kWh).</w:t>
      </w:r>
    </w:p>
    <w:p w14:paraId="3C3A4A0D" w14:textId="6DB09943" w:rsidR="002D66DE" w:rsidRDefault="002D66DE" w:rsidP="002D66DE">
      <w:pPr>
        <w:ind w:left="1130" w:hanging="1130"/>
      </w:pPr>
      <w:proofErr w:type="spellStart"/>
      <w:r>
        <w:rPr>
          <w:i/>
          <w:iCs/>
        </w:rPr>
        <w:t>mo</w:t>
      </w:r>
      <w:proofErr w:type="spellEnd"/>
      <w:r w:rsidRPr="003A0953">
        <w:rPr>
          <w:i/>
          <w:iCs/>
        </w:rPr>
        <w:t>:</w:t>
      </w:r>
      <w:r w:rsidRPr="003A0953">
        <w:rPr>
          <w:i/>
          <w:iCs/>
        </w:rPr>
        <w:tab/>
      </w:r>
      <w:r w:rsidRPr="00BE5DF2">
        <w:t xml:space="preserve">El margen operacional de la actividad de comercialización de energía eléctrica a usuarios regulados, </w:t>
      </w:r>
      <w:proofErr w:type="spellStart"/>
      <w:r w:rsidRPr="00AA0B7C">
        <w:rPr>
          <w:i/>
          <w:iCs/>
        </w:rPr>
        <w:t>mo</w:t>
      </w:r>
      <w:proofErr w:type="spellEnd"/>
      <w:r w:rsidRPr="00BE5DF2">
        <w:t xml:space="preserve">, será como máximo igual </w:t>
      </w:r>
      <w:r w:rsidRPr="0085539A">
        <w:t>a 3,1</w:t>
      </w:r>
      <w:r w:rsidR="000236D6" w:rsidRPr="0085539A">
        <w:t>8</w:t>
      </w:r>
      <w:r w:rsidRPr="0085539A">
        <w:t>%.</w:t>
      </w:r>
    </w:p>
    <w:p w14:paraId="402138C5" w14:textId="4D2E6B65" w:rsidR="00863FA0" w:rsidRDefault="00615B25" w:rsidP="00863FA0">
      <w:pPr>
        <w:ind w:left="1130" w:hanging="1130"/>
      </w:pPr>
      <w:proofErr w:type="spellStart"/>
      <w:proofErr w:type="gramStart"/>
      <w:r>
        <w:rPr>
          <w:i/>
          <w:iCs/>
        </w:rPr>
        <w:lastRenderedPageBreak/>
        <w:t>CUC</w:t>
      </w:r>
      <w:r w:rsidR="00BF061D" w:rsidRPr="00BF061D">
        <w:rPr>
          <w:i/>
          <w:iCs/>
          <w:vertAlign w:val="subscript"/>
        </w:rPr>
        <w:t>i</w:t>
      </w:r>
      <w:r w:rsidR="004070C1">
        <w:rPr>
          <w:i/>
          <w:iCs/>
          <w:vertAlign w:val="subscript"/>
        </w:rPr>
        <w:t>,j</w:t>
      </w:r>
      <w:proofErr w:type="spellEnd"/>
      <w:proofErr w:type="gramEnd"/>
      <w:r w:rsidR="00863FA0" w:rsidRPr="003A0953">
        <w:rPr>
          <w:i/>
          <w:iCs/>
        </w:rPr>
        <w:t>:</w:t>
      </w:r>
      <w:r w:rsidR="00863FA0" w:rsidRPr="003A0953">
        <w:rPr>
          <w:i/>
          <w:iCs/>
        </w:rPr>
        <w:tab/>
      </w:r>
      <w:r>
        <w:t xml:space="preserve">Promedio </w:t>
      </w:r>
      <w:r w:rsidR="006E24A5">
        <w:t>simple</w:t>
      </w:r>
      <w:r>
        <w:t xml:space="preserve"> de</w:t>
      </w:r>
      <w:r w:rsidR="003B062B">
        <w:t xml:space="preserve">l Costo Unitario de Prestación del </w:t>
      </w:r>
      <w:r w:rsidR="00482195">
        <w:t>S</w:t>
      </w:r>
      <w:r w:rsidR="003B062B">
        <w:t>ervicio</w:t>
      </w:r>
      <w:r w:rsidR="00164E76">
        <w:t xml:space="preserve"> menos el componente de </w:t>
      </w:r>
      <w:r w:rsidR="00FB6947">
        <w:t>C</w:t>
      </w:r>
      <w:r w:rsidR="00164E76">
        <w:t xml:space="preserve">omercialización </w:t>
      </w:r>
      <w:r w:rsidR="00947892">
        <w:t>para el</w:t>
      </w:r>
      <w:r w:rsidR="00DF1320">
        <w:t xml:space="preserve"> comercializador </w:t>
      </w:r>
      <w:r w:rsidR="00082EED" w:rsidRPr="00EF06E1">
        <w:rPr>
          <w:i/>
          <w:iCs/>
        </w:rPr>
        <w:t>i</w:t>
      </w:r>
      <w:r w:rsidR="00082EED">
        <w:t xml:space="preserve">, </w:t>
      </w:r>
      <w:r w:rsidR="00A60A45">
        <w:t xml:space="preserve">en el </w:t>
      </w:r>
      <w:r w:rsidR="0054674F">
        <w:t>mercado de comercialización</w:t>
      </w:r>
      <w:r w:rsidR="0054674F" w:rsidRPr="00EF06E1">
        <w:rPr>
          <w:i/>
          <w:iCs/>
        </w:rPr>
        <w:t xml:space="preserve"> j</w:t>
      </w:r>
      <w:r w:rsidR="0054674F">
        <w:t>,</w:t>
      </w:r>
      <w:r w:rsidR="00082EED">
        <w:t xml:space="preserve"> </w:t>
      </w:r>
      <w:r w:rsidR="00A60A45">
        <w:t xml:space="preserve">en el nivel de tensión 1, </w:t>
      </w:r>
      <w:r w:rsidR="00CE31E5">
        <w:t>durante</w:t>
      </w:r>
      <w:r w:rsidR="00DE6928">
        <w:t xml:space="preserve"> los </w:t>
      </w:r>
      <w:r w:rsidR="005A24AA">
        <w:t>60 meses</w:t>
      </w:r>
      <w:r w:rsidR="00DE6928">
        <w:t xml:space="preserve"> </w:t>
      </w:r>
      <w:r w:rsidR="003B061C">
        <w:t xml:space="preserve">anteriores a la </w:t>
      </w:r>
      <w:r w:rsidR="006E0049">
        <w:t>fecha base</w:t>
      </w:r>
      <w:r w:rsidR="003B061C">
        <w:t xml:space="preserve"> de </w:t>
      </w:r>
      <w:r w:rsidR="006E0049">
        <w:t>la metodología</w:t>
      </w:r>
      <w:r w:rsidR="00847FDA">
        <w:t xml:space="preserve">, en </w:t>
      </w:r>
      <w:r w:rsidR="00351C24">
        <w:t>$/</w:t>
      </w:r>
      <w:r w:rsidR="00847FDA">
        <w:t>kWh</w:t>
      </w:r>
      <w:r w:rsidR="00351C24">
        <w:t xml:space="preserve"> cons</w:t>
      </w:r>
      <w:r w:rsidR="00A97B8E">
        <w:t xml:space="preserve">tantes </w:t>
      </w:r>
      <w:r w:rsidR="003B061C">
        <w:t xml:space="preserve">de </w:t>
      </w:r>
      <w:r w:rsidR="006E24A5">
        <w:t>la fecha base de la metodología</w:t>
      </w:r>
      <w:r w:rsidR="00F169F8">
        <w:t>.</w:t>
      </w:r>
    </w:p>
    <w:p w14:paraId="48BD0AAA" w14:textId="34F3DA43" w:rsidR="005C11BC" w:rsidRPr="005C11BC" w:rsidRDefault="005C11BC" w:rsidP="00863FA0">
      <w:pPr>
        <w:ind w:left="1130" w:hanging="1130"/>
      </w:pPr>
      <w:r>
        <w:rPr>
          <w:i/>
          <w:iCs/>
        </w:rPr>
        <w:tab/>
      </w:r>
      <w:r>
        <w:t xml:space="preserve">La fuente de información de esta variable será </w:t>
      </w:r>
      <w:r w:rsidR="009023B5" w:rsidRPr="0035179F">
        <w:t>el SUI</w:t>
      </w:r>
      <w:r w:rsidR="00A3172E" w:rsidRPr="0035179F">
        <w:t>, y e</w:t>
      </w:r>
      <w:r w:rsidR="00A3172E" w:rsidRPr="0035179F">
        <w:rPr>
          <w:rFonts w:cs="Arial"/>
        </w:rPr>
        <w:t xml:space="preserve">l valor será publicado por la CREG en circular de la que trata el </w:t>
      </w:r>
      <w:r w:rsidR="00B53A9D">
        <w:rPr>
          <w:rFonts w:cs="Arial"/>
        </w:rPr>
        <w:fldChar w:fldCharType="begin"/>
      </w:r>
      <w:r w:rsidR="00B53A9D">
        <w:rPr>
          <w:rFonts w:cs="Arial"/>
        </w:rPr>
        <w:instrText xml:space="preserve"> REF _Ref164344897 \r \h </w:instrText>
      </w:r>
      <w:r w:rsidR="00B53A9D">
        <w:rPr>
          <w:rFonts w:cs="Arial"/>
        </w:rPr>
      </w:r>
      <w:r w:rsidR="00B53A9D">
        <w:rPr>
          <w:rFonts w:cs="Arial"/>
        </w:rPr>
        <w:fldChar w:fldCharType="separate"/>
      </w:r>
      <w:r w:rsidR="00625E8F">
        <w:rPr>
          <w:rFonts w:cs="Arial"/>
        </w:rPr>
        <w:t>Artículo 10</w:t>
      </w:r>
      <w:r w:rsidR="00B53A9D">
        <w:rPr>
          <w:rFonts w:cs="Arial"/>
        </w:rPr>
        <w:fldChar w:fldCharType="end"/>
      </w:r>
      <w:r w:rsidR="00A3172E" w:rsidRPr="0035179F">
        <w:rPr>
          <w:rFonts w:cs="Arial"/>
        </w:rPr>
        <w:t>de esta Resolución.</w:t>
      </w:r>
    </w:p>
    <w:p w14:paraId="1012557C" w14:textId="158E6376" w:rsidR="00EB6AA0" w:rsidRDefault="008A46CB" w:rsidP="00EB6AA0">
      <w:pPr>
        <w:ind w:left="1130" w:hanging="1130"/>
      </w:pPr>
      <w:proofErr w:type="spellStart"/>
      <w:proofErr w:type="gramStart"/>
      <w:r w:rsidRPr="009850BA">
        <w:rPr>
          <w:i/>
          <w:lang w:eastAsia="ar-SA"/>
        </w:rPr>
        <w:t>ACS</w:t>
      </w:r>
      <w:r w:rsidR="00CE0244">
        <w:rPr>
          <w:i/>
          <w:vertAlign w:val="subscript"/>
          <w:lang w:eastAsia="ar-SA"/>
        </w:rPr>
        <w:t>i,j</w:t>
      </w:r>
      <w:proofErr w:type="gramEnd"/>
      <w:r w:rsidR="00CE0244">
        <w:rPr>
          <w:i/>
          <w:vertAlign w:val="subscript"/>
          <w:lang w:eastAsia="ar-SA"/>
        </w:rPr>
        <w:t>,t</w:t>
      </w:r>
      <w:proofErr w:type="spellEnd"/>
      <w:r w:rsidR="00EB6AA0" w:rsidRPr="009850BA">
        <w:rPr>
          <w:lang w:eastAsia="ar-SA"/>
        </w:rPr>
        <w:t>:</w:t>
      </w:r>
      <w:r w:rsidR="00EB6AA0" w:rsidRPr="009850BA">
        <w:rPr>
          <w:lang w:eastAsia="ar-SA"/>
        </w:rPr>
        <w:tab/>
      </w:r>
      <w:r w:rsidRPr="009850BA">
        <w:rPr>
          <w:lang w:eastAsia="ar-SA"/>
        </w:rPr>
        <w:t xml:space="preserve">Factor de ajuste </w:t>
      </w:r>
      <w:r w:rsidR="00C64C98">
        <w:rPr>
          <w:lang w:eastAsia="ar-SA"/>
        </w:rPr>
        <w:t>al margen operacional</w:t>
      </w:r>
      <w:r w:rsidR="00F62472">
        <w:rPr>
          <w:lang w:eastAsia="ar-SA"/>
        </w:rPr>
        <w:t xml:space="preserve">, </w:t>
      </w:r>
      <w:proofErr w:type="spellStart"/>
      <w:r w:rsidR="00F62472" w:rsidRPr="0036321B">
        <w:rPr>
          <w:i/>
          <w:iCs/>
          <w:lang w:eastAsia="ar-SA"/>
        </w:rPr>
        <w:t>mo</w:t>
      </w:r>
      <w:proofErr w:type="spellEnd"/>
      <w:r w:rsidR="0036321B">
        <w:rPr>
          <w:lang w:eastAsia="ar-SA"/>
        </w:rPr>
        <w:t>,</w:t>
      </w:r>
      <w:bookmarkStart w:id="45" w:name="_Hlk164324547"/>
      <w:r w:rsidR="0036321B">
        <w:rPr>
          <w:lang w:eastAsia="ar-SA"/>
        </w:rPr>
        <w:t xml:space="preserve"> </w:t>
      </w:r>
      <w:r w:rsidR="004E3FA0" w:rsidRPr="009850BA">
        <w:rPr>
          <w:lang w:eastAsia="ar-SA"/>
        </w:rPr>
        <w:t xml:space="preserve"> </w:t>
      </w:r>
      <w:r w:rsidRPr="009850BA">
        <w:rPr>
          <w:lang w:eastAsia="ar-SA"/>
        </w:rPr>
        <w:t xml:space="preserve">por la calidad del servicio </w:t>
      </w:r>
      <w:r w:rsidR="004E3FA0" w:rsidRPr="009850BA">
        <w:rPr>
          <w:lang w:eastAsia="ar-SA"/>
        </w:rPr>
        <w:t xml:space="preserve">comercial del año </w:t>
      </w:r>
      <w:r w:rsidR="004E3FA0" w:rsidRPr="00944E56">
        <w:rPr>
          <w:i/>
          <w:iCs/>
          <w:lang w:eastAsia="ar-SA"/>
        </w:rPr>
        <w:t>t</w:t>
      </w:r>
      <w:r w:rsidR="004D709A" w:rsidRPr="009850BA">
        <w:rPr>
          <w:lang w:eastAsia="ar-SA"/>
        </w:rPr>
        <w:t xml:space="preserve">, </w:t>
      </w:r>
      <w:r w:rsidR="000D0B52">
        <w:rPr>
          <w:lang w:eastAsia="ar-SA"/>
        </w:rPr>
        <w:t xml:space="preserve">para el comercializador </w:t>
      </w:r>
      <m:oMath>
        <m:r>
          <w:rPr>
            <w:rFonts w:ascii="Cambria Math" w:hAnsi="Cambria Math"/>
            <w:lang w:eastAsia="ar-SA"/>
          </w:rPr>
          <m:t>i</m:t>
        </m:r>
      </m:oMath>
      <w:r w:rsidR="000D0B52">
        <w:rPr>
          <w:lang w:eastAsia="ar-SA"/>
        </w:rPr>
        <w:t xml:space="preserve">, en el mercado </w:t>
      </w:r>
      <m:oMath>
        <m:r>
          <w:rPr>
            <w:rFonts w:ascii="Cambria Math" w:hAnsi="Cambria Math"/>
            <w:lang w:eastAsia="ar-SA"/>
          </w:rPr>
          <m:t>j</m:t>
        </m:r>
      </m:oMath>
      <w:r w:rsidR="000D0B52">
        <w:rPr>
          <w:lang w:eastAsia="ar-SA"/>
        </w:rPr>
        <w:t xml:space="preserve">, </w:t>
      </w:r>
      <w:bookmarkEnd w:id="45"/>
      <w:r w:rsidR="004D709A" w:rsidRPr="009850BA">
        <w:t xml:space="preserve">calculado de acuerdo con lo establecido en el </w:t>
      </w:r>
      <w:r w:rsidR="004D709A" w:rsidRPr="009850BA">
        <w:fldChar w:fldCharType="begin"/>
      </w:r>
      <w:r w:rsidR="004D709A" w:rsidRPr="009850BA">
        <w:instrText xml:space="preserve"> REF _Ref460923885 \r \h </w:instrText>
      </w:r>
      <w:r w:rsidR="009850BA">
        <w:instrText xml:space="preserve"> \* MERGEFORMAT </w:instrText>
      </w:r>
      <w:r w:rsidR="004D709A" w:rsidRPr="009850BA">
        <w:fldChar w:fldCharType="separate"/>
      </w:r>
      <w:r w:rsidR="00625E8F">
        <w:t>CAPITULO 3</w:t>
      </w:r>
      <w:r w:rsidR="004D709A" w:rsidRPr="009850BA">
        <w:fldChar w:fldCharType="end"/>
      </w:r>
      <w:r w:rsidR="004D709A" w:rsidRPr="009850BA">
        <w:t>.</w:t>
      </w:r>
      <w:r w:rsidR="000F42D1" w:rsidRPr="009850BA">
        <w:t xml:space="preserve"> </w:t>
      </w:r>
      <w:r w:rsidR="000F42D1" w:rsidRPr="0035179F">
        <w:t xml:space="preserve">Este </w:t>
      </w:r>
      <w:r w:rsidR="004D709A" w:rsidRPr="0035179F">
        <w:t xml:space="preserve">valor es igual a </w:t>
      </w:r>
      <w:r w:rsidR="00F3328B" w:rsidRPr="0035179F">
        <w:t>uno (1)</w:t>
      </w:r>
      <w:r w:rsidR="000F42D1" w:rsidRPr="0035179F">
        <w:t>, hasta que se implemente</w:t>
      </w:r>
      <w:r w:rsidR="00E06A82" w:rsidRPr="0035179F">
        <w:t>n los valores de referencia</w:t>
      </w:r>
      <w:r w:rsidR="00D34B17" w:rsidRPr="0035179F">
        <w:t xml:space="preserve"> mediante circular emitida por la CREG</w:t>
      </w:r>
      <w:r w:rsidR="00B02577" w:rsidRPr="0035179F">
        <w:t>.</w:t>
      </w:r>
    </w:p>
    <w:p w14:paraId="68815DFE" w14:textId="3786E43D" w:rsidR="005159FB" w:rsidRPr="00A504C3" w:rsidRDefault="005159FB" w:rsidP="00391D71">
      <w:pPr>
        <w:tabs>
          <w:tab w:val="left" w:pos="858"/>
        </w:tabs>
        <w:ind w:left="1134" w:hanging="1134"/>
      </w:pPr>
      <w:r w:rsidRPr="000F2929">
        <w:rPr>
          <w:i/>
          <w:color w:val="000000"/>
        </w:rPr>
        <w:t>IPC</w:t>
      </w:r>
      <w:r>
        <w:rPr>
          <w:i/>
          <w:color w:val="000000"/>
        </w:rPr>
        <w:t>EE</w:t>
      </w:r>
      <w:r w:rsidRPr="000F2929">
        <w:rPr>
          <w:i/>
          <w:color w:val="000000"/>
          <w:vertAlign w:val="subscript"/>
        </w:rPr>
        <w:t>m-1</w:t>
      </w:r>
      <w:r w:rsidRPr="00A504C3">
        <w:rPr>
          <w:color w:val="000000"/>
        </w:rPr>
        <w:t>:</w:t>
      </w:r>
      <w:r w:rsidRPr="00A504C3">
        <w:tab/>
        <w:t xml:space="preserve">Índice </w:t>
      </w:r>
      <w:r>
        <w:t xml:space="preserve">de precios aplicable a la actividad de comercialización de energía eléctrica </w:t>
      </w:r>
      <w:r w:rsidRPr="00A504C3">
        <w:t>para el mes</w:t>
      </w:r>
      <w:r>
        <w:t xml:space="preserve"> </w:t>
      </w:r>
      <w:r w:rsidRPr="000F2929">
        <w:rPr>
          <w:i/>
        </w:rPr>
        <w:t>m-1</w:t>
      </w:r>
      <w:r w:rsidRPr="00AA2DAC">
        <w:rPr>
          <w:iCs/>
        </w:rPr>
        <w:t>,</w:t>
      </w:r>
      <w:r>
        <w:rPr>
          <w:i/>
        </w:rPr>
        <w:t xml:space="preserve"> </w:t>
      </w:r>
      <w:r>
        <w:t xml:space="preserve">de acuerdo con la Resolución </w:t>
      </w:r>
      <w:r w:rsidR="004C7DBD">
        <w:t xml:space="preserve">que emita la </w:t>
      </w:r>
      <w:r>
        <w:t>CREG, o aquella que la modifique</w:t>
      </w:r>
      <w:r w:rsidR="00E30CBE">
        <w:t>, com</w:t>
      </w:r>
      <w:r w:rsidR="00FB6947">
        <w:t>p</w:t>
      </w:r>
      <w:r w:rsidR="00E30CBE">
        <w:t>lemente</w:t>
      </w:r>
      <w:r>
        <w:t xml:space="preserve"> o sustituya</w:t>
      </w:r>
      <w:r w:rsidRPr="00A504C3">
        <w:t>.</w:t>
      </w:r>
    </w:p>
    <w:p w14:paraId="30B40B3E" w14:textId="49D544BB" w:rsidR="0036321B" w:rsidRPr="00E159BA" w:rsidRDefault="00E159BA" w:rsidP="00391D71">
      <w:pPr>
        <w:tabs>
          <w:tab w:val="left" w:pos="858"/>
        </w:tabs>
        <w:ind w:left="1134" w:hanging="1134"/>
        <w:rPr>
          <w:iCs/>
        </w:rPr>
      </w:pPr>
      <w:r>
        <w:rPr>
          <w:i/>
          <w:color w:val="000000"/>
        </w:rPr>
        <w:tab/>
      </w:r>
      <w:r>
        <w:rPr>
          <w:i/>
          <w:color w:val="000000"/>
        </w:rPr>
        <w:tab/>
      </w:r>
      <w:r w:rsidRPr="00834D13">
        <w:rPr>
          <w:iCs/>
          <w:color w:val="000000"/>
        </w:rPr>
        <w:t xml:space="preserve">Mientras la Comisión </w:t>
      </w:r>
      <w:r>
        <w:rPr>
          <w:iCs/>
          <w:color w:val="000000"/>
        </w:rPr>
        <w:t xml:space="preserve">indica </w:t>
      </w:r>
      <w:r w:rsidRPr="00834D13">
        <w:rPr>
          <w:iCs/>
          <w:color w:val="000000"/>
        </w:rPr>
        <w:t>el índice de precios aplicable a la actividad de comercialización de energía eléctrica se usará el Índice de Precios al Consumidor</w:t>
      </w:r>
      <w:r w:rsidR="00A01B03">
        <w:rPr>
          <w:iCs/>
          <w:color w:val="000000"/>
        </w:rPr>
        <w:t xml:space="preserve"> publicado por el DANE</w:t>
      </w:r>
      <w:r w:rsidRPr="00834D13">
        <w:rPr>
          <w:iCs/>
          <w:color w:val="000000"/>
        </w:rPr>
        <w:t>.</w:t>
      </w:r>
    </w:p>
    <w:p w14:paraId="45FFC026" w14:textId="62690987" w:rsidR="005159FB" w:rsidRDefault="005159FB" w:rsidP="002B1BDC">
      <w:pPr>
        <w:tabs>
          <w:tab w:val="left" w:pos="858"/>
        </w:tabs>
        <w:ind w:left="1134" w:hanging="1134"/>
      </w:pPr>
      <w:r w:rsidRPr="000F2929">
        <w:rPr>
          <w:i/>
          <w:color w:val="000000"/>
        </w:rPr>
        <w:t>IPC</w:t>
      </w:r>
      <w:r>
        <w:rPr>
          <w:i/>
          <w:color w:val="000000"/>
        </w:rPr>
        <w:t>EE</w:t>
      </w:r>
      <w:r w:rsidRPr="000F2929">
        <w:rPr>
          <w:i/>
          <w:color w:val="000000"/>
          <w:vertAlign w:val="subscript"/>
        </w:rPr>
        <w:t>0</w:t>
      </w:r>
      <w:r w:rsidRPr="00A504C3">
        <w:rPr>
          <w:color w:val="000000"/>
        </w:rPr>
        <w:t>:</w:t>
      </w:r>
      <w:r w:rsidRPr="00A504C3">
        <w:tab/>
        <w:t xml:space="preserve">Índice </w:t>
      </w:r>
      <w:r>
        <w:t xml:space="preserve">de precios aplicable a la actividad de comercialización de energía eléctrica </w:t>
      </w:r>
      <w:r w:rsidRPr="00A504C3">
        <w:t xml:space="preserve">para diciembre </w:t>
      </w:r>
      <w:r w:rsidR="004C7DBD">
        <w:t>del año anterior a la expedición de la Resolución</w:t>
      </w:r>
      <w:r>
        <w:t xml:space="preserve">, de acuerdo con la Resolución </w:t>
      </w:r>
      <w:r w:rsidR="004C7DBD">
        <w:t>que emita la Comisión</w:t>
      </w:r>
      <w:r>
        <w:t>, o la que lo modifique</w:t>
      </w:r>
      <w:r w:rsidR="00E30CBE">
        <w:t>, complemente</w:t>
      </w:r>
      <w:r>
        <w:t xml:space="preserve"> o sustituya</w:t>
      </w:r>
      <w:r w:rsidRPr="00A504C3">
        <w:t>.</w:t>
      </w:r>
    </w:p>
    <w:p w14:paraId="74677652" w14:textId="53191B24" w:rsidR="00ED656F" w:rsidRPr="00834D13" w:rsidRDefault="00641036" w:rsidP="00E159BA">
      <w:pPr>
        <w:tabs>
          <w:tab w:val="left" w:pos="858"/>
        </w:tabs>
        <w:ind w:left="1134"/>
        <w:rPr>
          <w:b/>
          <w:iCs/>
          <w:caps/>
          <w:spacing w:val="4"/>
        </w:rPr>
      </w:pPr>
      <w:r w:rsidRPr="00834D13">
        <w:rPr>
          <w:iCs/>
          <w:color w:val="000000"/>
        </w:rPr>
        <w:t xml:space="preserve">Mientras la </w:t>
      </w:r>
      <w:r w:rsidR="00834D13" w:rsidRPr="00834D13">
        <w:rPr>
          <w:iCs/>
          <w:color w:val="000000"/>
        </w:rPr>
        <w:t>Comisión</w:t>
      </w:r>
      <w:r w:rsidRPr="00834D13">
        <w:rPr>
          <w:iCs/>
          <w:color w:val="000000"/>
        </w:rPr>
        <w:t xml:space="preserve"> </w:t>
      </w:r>
      <w:r w:rsidR="0036321B">
        <w:rPr>
          <w:iCs/>
          <w:color w:val="000000"/>
        </w:rPr>
        <w:t>indica</w:t>
      </w:r>
      <w:r w:rsidR="00834D13">
        <w:rPr>
          <w:iCs/>
          <w:color w:val="000000"/>
        </w:rPr>
        <w:t xml:space="preserve"> </w:t>
      </w:r>
      <w:r w:rsidRPr="00834D13">
        <w:rPr>
          <w:iCs/>
          <w:color w:val="000000"/>
        </w:rPr>
        <w:t xml:space="preserve">el índice de precios aplicable a la actividad de comercialización </w:t>
      </w:r>
      <w:r w:rsidR="00834D13" w:rsidRPr="00834D13">
        <w:rPr>
          <w:iCs/>
          <w:color w:val="000000"/>
        </w:rPr>
        <w:t>de energía eléctrica se usará el Índice de Precios al Consumidor</w:t>
      </w:r>
      <w:r w:rsidR="00A01B03">
        <w:rPr>
          <w:iCs/>
          <w:color w:val="000000"/>
        </w:rPr>
        <w:t xml:space="preserve"> publicado por el DANE</w:t>
      </w:r>
      <w:r w:rsidR="00834D13" w:rsidRPr="00834D13">
        <w:rPr>
          <w:iCs/>
          <w:color w:val="000000"/>
        </w:rPr>
        <w:t>.</w:t>
      </w:r>
      <w:r w:rsidR="00834D13" w:rsidRPr="00834D13">
        <w:rPr>
          <w:b/>
          <w:iCs/>
          <w:caps/>
          <w:spacing w:val="4"/>
        </w:rPr>
        <w:t xml:space="preserve"> </w:t>
      </w:r>
    </w:p>
    <w:p w14:paraId="37484E1F" w14:textId="06BA5FB1" w:rsidR="00E1472D" w:rsidRDefault="00E1472D" w:rsidP="00F27066">
      <w:pPr>
        <w:pStyle w:val="Ttulo2"/>
      </w:pPr>
      <w:bookmarkStart w:id="46" w:name="_Ref128562918"/>
      <w:bookmarkStart w:id="47" w:name="_Toc164064365"/>
      <w:r>
        <w:t>Riesgo</w:t>
      </w:r>
      <w:r w:rsidR="005C6D78">
        <w:t xml:space="preserve"> </w:t>
      </w:r>
      <w:r w:rsidR="005612DF">
        <w:t>de cartera</w:t>
      </w:r>
      <w:r w:rsidR="005C6D78">
        <w:t xml:space="preserve"> </w:t>
      </w:r>
      <w:r w:rsidR="004F5248">
        <w:t>reconocido</w:t>
      </w:r>
      <w:bookmarkEnd w:id="46"/>
      <w:bookmarkEnd w:id="47"/>
    </w:p>
    <w:p w14:paraId="37FDC2FD" w14:textId="2783F8B6" w:rsidR="00B10BFB" w:rsidRPr="00C61EB7" w:rsidRDefault="001052B7" w:rsidP="00B10BFB">
      <w:r>
        <w:rPr>
          <w:lang w:val="es-CO"/>
        </w:rPr>
        <w:t xml:space="preserve">Los costos </w:t>
      </w:r>
      <w:r>
        <w:t xml:space="preserve">reconocidos asociados con el riesgo de cartera </w:t>
      </w:r>
      <w:r w:rsidRPr="006755FC">
        <w:t>de la actividad de comercialización</w:t>
      </w:r>
      <w:r>
        <w:t xml:space="preserve"> </w:t>
      </w:r>
      <w:r w:rsidR="00B10BFB" w:rsidRPr="000A29D6">
        <w:t>se determinará</w:t>
      </w:r>
      <w:r w:rsidR="006755FC">
        <w:t>n</w:t>
      </w:r>
      <w:r w:rsidR="00B10BFB" w:rsidRPr="000A29D6">
        <w:t xml:space="preserve"> con base en la siguiente expresión:</w:t>
      </w:r>
    </w:p>
    <w:p w14:paraId="47F5983B" w14:textId="0BDD0B22" w:rsidR="001D44B0" w:rsidRPr="000A29D6" w:rsidRDefault="00000000" w:rsidP="001D44B0">
      <w:pPr>
        <w:rPr>
          <w:highlight w:val="lightGray"/>
        </w:rPr>
      </w:pPr>
      <m:oMathPara>
        <m:oMath>
          <m:sSub>
            <m:sSubPr>
              <m:ctrlPr>
                <w:rPr>
                  <w:rFonts w:ascii="Cambria Math" w:hAnsi="Cambria Math"/>
                </w:rPr>
              </m:ctrlPr>
            </m:sSubPr>
            <m:e>
              <m:r>
                <w:rPr>
                  <w:rFonts w:ascii="Cambria Math" w:hAnsi="Cambria Math"/>
                </w:rPr>
                <m:t>RC</m:t>
              </m:r>
            </m:e>
            <m:sub>
              <m:r>
                <w:rPr>
                  <w:rFonts w:ascii="Cambria Math" w:hAnsi="Cambria Math"/>
                </w:rPr>
                <m:t>i,j,m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G</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j,m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PR</m:t>
                  </m:r>
                </m:e>
                <m:sub>
                  <m:r>
                    <m:rPr>
                      <m:sty m:val="p"/>
                    </m:rPr>
                    <w:rPr>
                      <w:rFonts w:ascii="Cambria Math" w:hAnsi="Cambria Math"/>
                    </w:rPr>
                    <m:t>1,</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r>
                    <m:rPr>
                      <m:sty m:val="p"/>
                    </m:rPr>
                    <w:rPr>
                      <w:rFonts w:ascii="Cambria Math" w:hAnsi="Cambria Math"/>
                    </w:rPr>
                    <m:t>,</m:t>
                  </m:r>
                  <m:r>
                    <w:rPr>
                      <w:rFonts w:ascii="Cambria Math" w:hAnsi="Cambria Math"/>
                    </w:rPr>
                    <m:t>m</m:t>
                  </m:r>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rPr>
                <m:t>FRC</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sub>
          </m:sSub>
        </m:oMath>
      </m:oMathPara>
    </w:p>
    <w:p w14:paraId="0FF5B817" w14:textId="6E9B328F" w:rsidR="00B10BFB" w:rsidRDefault="00B10BFB" w:rsidP="00B10BFB">
      <w:r>
        <w:t>Donde:</w:t>
      </w:r>
    </w:p>
    <w:p w14:paraId="066F397A" w14:textId="77777777" w:rsidR="0025018F" w:rsidRPr="009850BA" w:rsidRDefault="00403128" w:rsidP="0025018F">
      <w:pPr>
        <w:ind w:left="1130" w:hanging="1130"/>
      </w:pPr>
      <w:proofErr w:type="spellStart"/>
      <w:proofErr w:type="gramStart"/>
      <w:r>
        <w:rPr>
          <w:i/>
          <w:iCs/>
        </w:rPr>
        <w:t>RC</w:t>
      </w:r>
      <w:r w:rsidRPr="003A0953">
        <w:rPr>
          <w:i/>
          <w:iCs/>
          <w:vertAlign w:val="subscript"/>
        </w:rPr>
        <w:t>i,j</w:t>
      </w:r>
      <w:proofErr w:type="gramEnd"/>
      <w:r w:rsidRPr="003A0953">
        <w:rPr>
          <w:i/>
          <w:iCs/>
          <w:vertAlign w:val="subscript"/>
        </w:rPr>
        <w:t>,m</w:t>
      </w:r>
      <w:proofErr w:type="spellEnd"/>
      <w:r>
        <w:rPr>
          <w:vertAlign w:val="subscript"/>
        </w:rPr>
        <w:tab/>
      </w:r>
      <w:r w:rsidRPr="00A45296">
        <w:rPr>
          <w:lang w:eastAsia="ar-SA"/>
        </w:rPr>
        <w:t xml:space="preserve">Factor que </w:t>
      </w:r>
      <w:r w:rsidR="0011404E">
        <w:rPr>
          <w:lang w:eastAsia="ar-SA"/>
        </w:rPr>
        <w:t>remunera</w:t>
      </w:r>
      <w:r w:rsidRPr="00A45296">
        <w:rPr>
          <w:lang w:eastAsia="ar-SA"/>
        </w:rPr>
        <w:t xml:space="preserve"> el riesgo de cartera </w:t>
      </w:r>
      <w:r>
        <w:rPr>
          <w:rFonts w:cs="Arial"/>
        </w:rPr>
        <w:t xml:space="preserve">reconocido para </w:t>
      </w:r>
      <w:r w:rsidRPr="00A45296">
        <w:rPr>
          <w:rFonts w:cs="Arial"/>
        </w:rPr>
        <w:t>la actividad de comercialización</w:t>
      </w:r>
      <w:r w:rsidRPr="00A45296">
        <w:rPr>
          <w:lang w:eastAsia="ar-SA"/>
        </w:rPr>
        <w:t xml:space="preserve"> del comercializador </w:t>
      </w:r>
      <w:r w:rsidRPr="00A45296">
        <w:rPr>
          <w:i/>
        </w:rPr>
        <w:t>i</w:t>
      </w:r>
      <w:r w:rsidRPr="00A45296">
        <w:rPr>
          <w:lang w:eastAsia="ar-SA"/>
        </w:rPr>
        <w:t xml:space="preserve">, en el mercado de comercialización </w:t>
      </w:r>
      <w:r w:rsidRPr="00A45296">
        <w:rPr>
          <w:i/>
        </w:rPr>
        <w:t>j</w:t>
      </w:r>
      <w:r w:rsidRPr="00A45296">
        <w:rPr>
          <w:lang w:eastAsia="ar-SA"/>
        </w:rPr>
        <w:t>, para el mes</w:t>
      </w:r>
      <w:r w:rsidRPr="000A29D6">
        <w:rPr>
          <w:lang w:eastAsia="ar-SA"/>
        </w:rPr>
        <w:t xml:space="preserve"> </w:t>
      </w:r>
      <w:r w:rsidRPr="000A29D6">
        <w:rPr>
          <w:i/>
          <w:lang w:eastAsia="ar-SA"/>
        </w:rPr>
        <w:t>m</w:t>
      </w:r>
      <w:r w:rsidR="0048078D">
        <w:rPr>
          <w:iCs/>
          <w:lang w:eastAsia="ar-SA"/>
        </w:rPr>
        <w:t>.</w:t>
      </w:r>
      <w:r w:rsidR="00A01B03">
        <w:rPr>
          <w:iCs/>
          <w:lang w:eastAsia="ar-SA"/>
        </w:rPr>
        <w:t xml:space="preserve"> </w:t>
      </w:r>
      <w:r w:rsidR="0025018F" w:rsidRPr="00A612F2">
        <w:t>Esta variable se expresa en pesos por kilovatio hora ($/kWh).</w:t>
      </w:r>
    </w:p>
    <w:p w14:paraId="68F303EB" w14:textId="79981F81" w:rsidR="00B10BFB" w:rsidRPr="003A0953" w:rsidRDefault="00B10BFB" w:rsidP="003A0953">
      <w:pPr>
        <w:ind w:left="1130" w:hanging="1130"/>
      </w:pPr>
      <w:proofErr w:type="gramStart"/>
      <w:r w:rsidRPr="003A0953">
        <w:rPr>
          <w:i/>
          <w:iCs/>
        </w:rPr>
        <w:t>G</w:t>
      </w:r>
      <w:r w:rsidRPr="007D7E58">
        <w:rPr>
          <w:i/>
          <w:iCs/>
          <w:vertAlign w:val="subscript"/>
        </w:rPr>
        <w:t>i,j</w:t>
      </w:r>
      <w:proofErr w:type="gramEnd"/>
      <w:r w:rsidRPr="007D7E58">
        <w:rPr>
          <w:i/>
          <w:iCs/>
          <w:vertAlign w:val="subscript"/>
        </w:rPr>
        <w:t>,m-1</w:t>
      </w:r>
      <w:r w:rsidRPr="003A0953">
        <w:rPr>
          <w:i/>
          <w:iCs/>
        </w:rPr>
        <w:t>:</w:t>
      </w:r>
      <w:r w:rsidRPr="003A0953">
        <w:rPr>
          <w:i/>
          <w:iCs/>
        </w:rPr>
        <w:tab/>
      </w:r>
      <w:r w:rsidRPr="003A0953">
        <w:t xml:space="preserve">Costo de compra de energía para los usuarios regulados del comercializador </w:t>
      </w:r>
      <w:r w:rsidRPr="00EC19CD">
        <w:rPr>
          <w:i/>
          <w:iCs/>
        </w:rPr>
        <w:t>i</w:t>
      </w:r>
      <w:r w:rsidRPr="003A0953">
        <w:t>, en el mercado</w:t>
      </w:r>
      <w:r w:rsidR="00065E3A">
        <w:t xml:space="preserve"> de comercialización</w:t>
      </w:r>
      <w:r w:rsidRPr="003A0953">
        <w:t xml:space="preserve"> </w:t>
      </w:r>
      <w:r w:rsidRPr="00EC19CD">
        <w:rPr>
          <w:i/>
          <w:iCs/>
        </w:rPr>
        <w:t>j</w:t>
      </w:r>
      <w:r w:rsidRPr="003A0953">
        <w:t xml:space="preserve">, en el mes </w:t>
      </w:r>
      <w:r w:rsidRPr="00EC19CD">
        <w:rPr>
          <w:i/>
          <w:iCs/>
        </w:rPr>
        <w:t>m-1</w:t>
      </w:r>
      <w:r w:rsidRPr="003A0953">
        <w:t>, determinado conforme se establece en la Resolución CREG 119 de 2007 o aquella que la modifique, complemente o sustituya. E</w:t>
      </w:r>
      <w:r w:rsidR="00EB429D">
        <w:t>xpresado e</w:t>
      </w:r>
      <w:r w:rsidRPr="003A0953">
        <w:t>n $/kWh.</w:t>
      </w:r>
    </w:p>
    <w:p w14:paraId="4DEA4BE0" w14:textId="1D7A4C16" w:rsidR="00B10BFB" w:rsidRPr="00FB3E22" w:rsidRDefault="00B10BFB" w:rsidP="00FB3E22">
      <w:pPr>
        <w:ind w:left="1130" w:hanging="1130"/>
        <w:rPr>
          <w:i/>
          <w:iCs/>
        </w:rPr>
      </w:pPr>
      <w:r w:rsidRPr="00FB3E22">
        <w:rPr>
          <w:i/>
          <w:iCs/>
        </w:rPr>
        <w:lastRenderedPageBreak/>
        <w:t>T</w:t>
      </w:r>
      <w:r w:rsidRPr="007D7E58">
        <w:rPr>
          <w:i/>
          <w:iCs/>
          <w:vertAlign w:val="subscript"/>
        </w:rPr>
        <w:t>m-1</w:t>
      </w:r>
      <w:r w:rsidRPr="00FB3E22">
        <w:rPr>
          <w:i/>
          <w:iCs/>
        </w:rPr>
        <w:t>:</w:t>
      </w:r>
      <w:r w:rsidRPr="00FB3E22">
        <w:rPr>
          <w:i/>
          <w:iCs/>
        </w:rPr>
        <w:tab/>
      </w:r>
      <w:r w:rsidRPr="00FB3E22">
        <w:t xml:space="preserve">Costo por el uso del sistema de transmisión nacional para el mes </w:t>
      </w:r>
      <w:r w:rsidRPr="00EC19CD">
        <w:rPr>
          <w:i/>
          <w:iCs/>
        </w:rPr>
        <w:t>m-1</w:t>
      </w:r>
      <w:r w:rsidRPr="00FB3E22">
        <w:t xml:space="preserve">, determinado conforme se establece en la Resolución CREG 119 de 2007 o aquella que la modifique, complemente o sustituya. </w:t>
      </w:r>
      <w:r w:rsidR="00EB429D" w:rsidRPr="003A0953">
        <w:t>E</w:t>
      </w:r>
      <w:r w:rsidR="00EB429D">
        <w:t>xpresado e</w:t>
      </w:r>
      <w:r w:rsidR="00EB429D" w:rsidRPr="003A0953">
        <w:t>n</w:t>
      </w:r>
      <w:r w:rsidRPr="00FB3E22">
        <w:t xml:space="preserve"> $/kWh</w:t>
      </w:r>
      <w:r w:rsidRPr="00FB3E22">
        <w:rPr>
          <w:i/>
          <w:iCs/>
        </w:rPr>
        <w:t>.</w:t>
      </w:r>
    </w:p>
    <w:p w14:paraId="306DB3BB" w14:textId="74A1E87A" w:rsidR="00B10BFB" w:rsidRPr="000A29D6" w:rsidRDefault="00B10BFB" w:rsidP="00FB3E22">
      <w:pPr>
        <w:ind w:left="1130" w:hanging="1130"/>
        <w:rPr>
          <w:rFonts w:cs="Arial"/>
        </w:rPr>
      </w:pPr>
      <w:r w:rsidRPr="005C3650">
        <w:rPr>
          <w:i/>
          <w:lang w:eastAsia="ar-SA"/>
        </w:rPr>
        <w:t>D</w:t>
      </w:r>
      <w:proofErr w:type="gramStart"/>
      <w:r w:rsidRPr="005C3650">
        <w:rPr>
          <w:i/>
          <w:vertAlign w:val="subscript"/>
          <w:lang w:eastAsia="ar-SA"/>
        </w:rPr>
        <w:t>1,j</w:t>
      </w:r>
      <w:proofErr w:type="gramEnd"/>
      <w:r w:rsidRPr="005C3650">
        <w:rPr>
          <w:i/>
          <w:vertAlign w:val="subscript"/>
          <w:lang w:eastAsia="ar-SA"/>
        </w:rPr>
        <w:t>,m-1</w:t>
      </w:r>
      <w:r w:rsidRPr="000A29D6">
        <w:rPr>
          <w:lang w:eastAsia="ar-SA"/>
        </w:rPr>
        <w:t>:</w:t>
      </w:r>
      <w:r w:rsidRPr="000A29D6">
        <w:rPr>
          <w:lang w:eastAsia="ar-SA"/>
        </w:rPr>
        <w:tab/>
        <w:t xml:space="preserve">Costo por </w:t>
      </w:r>
      <w:r>
        <w:rPr>
          <w:lang w:eastAsia="ar-SA"/>
        </w:rPr>
        <w:t xml:space="preserve">el </w:t>
      </w:r>
      <w:r w:rsidRPr="000A29D6">
        <w:rPr>
          <w:lang w:eastAsia="ar-SA"/>
        </w:rPr>
        <w:t>uso de</w:t>
      </w:r>
      <w:r>
        <w:rPr>
          <w:lang w:eastAsia="ar-SA"/>
        </w:rPr>
        <w:t xml:space="preserve"> los</w:t>
      </w:r>
      <w:r w:rsidRPr="000A29D6">
        <w:rPr>
          <w:lang w:eastAsia="ar-SA"/>
        </w:rPr>
        <w:t xml:space="preserve"> sistemas de distribución </w:t>
      </w:r>
      <w:r>
        <w:rPr>
          <w:lang w:eastAsia="ar-SA"/>
        </w:rPr>
        <w:t xml:space="preserve">en el </w:t>
      </w:r>
      <w:r w:rsidRPr="000A29D6">
        <w:rPr>
          <w:lang w:eastAsia="ar-SA"/>
        </w:rPr>
        <w:t xml:space="preserve">nivel de tensión 1, en el </w:t>
      </w:r>
      <w:r>
        <w:rPr>
          <w:lang w:eastAsia="ar-SA"/>
        </w:rPr>
        <w:t>m</w:t>
      </w:r>
      <w:r w:rsidRPr="000A29D6">
        <w:rPr>
          <w:lang w:eastAsia="ar-SA"/>
        </w:rPr>
        <w:t xml:space="preserve">ercado de </w:t>
      </w:r>
      <w:r>
        <w:rPr>
          <w:lang w:eastAsia="ar-SA"/>
        </w:rPr>
        <w:t>c</w:t>
      </w:r>
      <w:r w:rsidRPr="000A29D6">
        <w:rPr>
          <w:lang w:eastAsia="ar-SA"/>
        </w:rPr>
        <w:t>omercialización</w:t>
      </w:r>
      <w:r>
        <w:rPr>
          <w:lang w:eastAsia="ar-SA"/>
        </w:rPr>
        <w:t xml:space="preserve"> </w:t>
      </w:r>
      <w:r w:rsidRPr="005C3650">
        <w:rPr>
          <w:i/>
        </w:rPr>
        <w:t>j</w:t>
      </w:r>
      <w:r w:rsidRPr="000A29D6">
        <w:rPr>
          <w:lang w:eastAsia="ar-SA"/>
        </w:rPr>
        <w:t>, para el mes</w:t>
      </w:r>
      <w:r>
        <w:rPr>
          <w:lang w:eastAsia="ar-SA"/>
        </w:rPr>
        <w:t xml:space="preserve"> </w:t>
      </w:r>
      <w:r w:rsidRPr="00670357">
        <w:rPr>
          <w:i/>
          <w:lang w:eastAsia="ar-SA"/>
        </w:rPr>
        <w:t>m-1</w:t>
      </w:r>
      <w:r w:rsidRPr="000A29D6">
        <w:rPr>
          <w:lang w:eastAsia="ar-SA"/>
        </w:rPr>
        <w:t>, determinado conforme se establece en la Resolución CREG 119 de 2007 o aquella que la modifique</w:t>
      </w:r>
      <w:r>
        <w:rPr>
          <w:lang w:eastAsia="ar-SA"/>
        </w:rPr>
        <w:t>, complemente</w:t>
      </w:r>
      <w:r w:rsidRPr="000A29D6">
        <w:rPr>
          <w:lang w:eastAsia="ar-SA"/>
        </w:rPr>
        <w:t xml:space="preserve"> o </w:t>
      </w:r>
      <w:r w:rsidRPr="00FB3E22">
        <w:rPr>
          <w:rFonts w:cs="Arial"/>
        </w:rPr>
        <w:t>sustituya</w:t>
      </w:r>
      <w:r w:rsidRPr="000A29D6">
        <w:rPr>
          <w:lang w:eastAsia="ar-SA"/>
        </w:rPr>
        <w:t xml:space="preserve">. </w:t>
      </w:r>
      <w:r w:rsidR="00EB429D" w:rsidRPr="003A0953">
        <w:t>E</w:t>
      </w:r>
      <w:r w:rsidR="00EB429D">
        <w:t>xpresado e</w:t>
      </w:r>
      <w:r w:rsidR="00EB429D" w:rsidRPr="003A0953">
        <w:t>n</w:t>
      </w:r>
      <w:r w:rsidRPr="000A29D6">
        <w:rPr>
          <w:rFonts w:cs="Arial"/>
        </w:rPr>
        <w:t xml:space="preserve"> $/kWh.</w:t>
      </w:r>
    </w:p>
    <w:p w14:paraId="7B94E13A" w14:textId="4B05D3EA" w:rsidR="00B10BFB" w:rsidRPr="000A29D6" w:rsidRDefault="00B10BFB" w:rsidP="00FB3E22">
      <w:pPr>
        <w:ind w:left="1130" w:hanging="1130"/>
        <w:rPr>
          <w:rFonts w:cs="Arial"/>
        </w:rPr>
      </w:pPr>
      <w:r w:rsidRPr="005C3650">
        <w:rPr>
          <w:i/>
          <w:lang w:eastAsia="ar-SA"/>
        </w:rPr>
        <w:t>PR</w:t>
      </w:r>
      <w:proofErr w:type="gramStart"/>
      <w:r w:rsidRPr="005C3650">
        <w:rPr>
          <w:i/>
          <w:vertAlign w:val="subscript"/>
          <w:lang w:eastAsia="ar-SA"/>
        </w:rPr>
        <w:t>1,j</w:t>
      </w:r>
      <w:proofErr w:type="gramEnd"/>
      <w:r w:rsidRPr="005C3650">
        <w:rPr>
          <w:i/>
          <w:vertAlign w:val="subscript"/>
          <w:lang w:eastAsia="ar-SA"/>
        </w:rPr>
        <w:t>,m-1</w:t>
      </w:r>
      <w:r w:rsidRPr="000A29D6">
        <w:rPr>
          <w:lang w:eastAsia="ar-SA"/>
        </w:rPr>
        <w:t>:</w:t>
      </w:r>
      <w:r w:rsidRPr="000A29D6">
        <w:rPr>
          <w:lang w:eastAsia="ar-SA"/>
        </w:rPr>
        <w:tab/>
        <w:t>Costo de compra, transporte y reducción de pérdidas de energía acumuladas hast</w:t>
      </w:r>
      <w:r>
        <w:rPr>
          <w:lang w:eastAsia="ar-SA"/>
        </w:rPr>
        <w:t>a el nivel de tensión 1, en el m</w:t>
      </w:r>
      <w:r w:rsidRPr="000A29D6">
        <w:rPr>
          <w:lang w:eastAsia="ar-SA"/>
        </w:rPr>
        <w:t xml:space="preserve">ercado de </w:t>
      </w:r>
      <w:r>
        <w:rPr>
          <w:lang w:eastAsia="ar-SA"/>
        </w:rPr>
        <w:t>c</w:t>
      </w:r>
      <w:r w:rsidRPr="000A29D6">
        <w:rPr>
          <w:lang w:eastAsia="ar-SA"/>
        </w:rPr>
        <w:t>omercialización</w:t>
      </w:r>
      <w:r>
        <w:rPr>
          <w:lang w:eastAsia="ar-SA"/>
        </w:rPr>
        <w:t xml:space="preserve"> </w:t>
      </w:r>
      <w:r w:rsidRPr="005C3650">
        <w:rPr>
          <w:i/>
        </w:rPr>
        <w:t>j</w:t>
      </w:r>
      <w:r w:rsidRPr="000A29D6">
        <w:rPr>
          <w:lang w:eastAsia="ar-SA"/>
        </w:rPr>
        <w:t>, para el mes</w:t>
      </w:r>
      <w:r>
        <w:rPr>
          <w:lang w:eastAsia="ar-SA"/>
        </w:rPr>
        <w:t xml:space="preserve"> </w:t>
      </w:r>
      <w:r w:rsidRPr="00670357">
        <w:rPr>
          <w:i/>
          <w:lang w:eastAsia="ar-SA"/>
        </w:rPr>
        <w:t>m-1</w:t>
      </w:r>
      <w:r w:rsidRPr="000A29D6">
        <w:rPr>
          <w:lang w:eastAsia="ar-SA"/>
        </w:rPr>
        <w:t>, determinado conforme se establece en la Resolución CREG 119 de 2007 o aquella que la modifique</w:t>
      </w:r>
      <w:r>
        <w:rPr>
          <w:lang w:eastAsia="ar-SA"/>
        </w:rPr>
        <w:t>, complemente</w:t>
      </w:r>
      <w:r w:rsidRPr="000A29D6">
        <w:rPr>
          <w:lang w:eastAsia="ar-SA"/>
        </w:rPr>
        <w:t xml:space="preserve"> o sustituya. </w:t>
      </w:r>
      <w:r w:rsidR="00EB429D" w:rsidRPr="003A0953">
        <w:t>E</w:t>
      </w:r>
      <w:r w:rsidR="00EB429D">
        <w:t>xpresado e</w:t>
      </w:r>
      <w:r w:rsidR="00EB429D" w:rsidRPr="003A0953">
        <w:t>n</w:t>
      </w:r>
      <w:r w:rsidRPr="000A29D6">
        <w:rPr>
          <w:rFonts w:cs="Arial"/>
        </w:rPr>
        <w:t xml:space="preserve"> $/kWh.</w:t>
      </w:r>
    </w:p>
    <w:p w14:paraId="1991552D" w14:textId="37B9D0E2" w:rsidR="00B10BFB" w:rsidRPr="000A29D6" w:rsidRDefault="00B10BFB" w:rsidP="00FB3E22">
      <w:pPr>
        <w:ind w:left="1130" w:hanging="1130"/>
        <w:rPr>
          <w:rFonts w:cs="Arial"/>
        </w:rPr>
      </w:pPr>
      <w:proofErr w:type="gramStart"/>
      <w:r w:rsidRPr="005C3650">
        <w:rPr>
          <w:i/>
          <w:lang w:eastAsia="ar-SA"/>
        </w:rPr>
        <w:t>R</w:t>
      </w:r>
      <w:r w:rsidRPr="005C3650">
        <w:rPr>
          <w:i/>
          <w:vertAlign w:val="subscript"/>
          <w:lang w:eastAsia="ar-SA"/>
        </w:rPr>
        <w:t>i,m</w:t>
      </w:r>
      <w:proofErr w:type="gramEnd"/>
      <w:r w:rsidRPr="005C3650">
        <w:rPr>
          <w:i/>
          <w:vertAlign w:val="subscript"/>
          <w:lang w:eastAsia="ar-SA"/>
        </w:rPr>
        <w:t>-1</w:t>
      </w:r>
      <w:r w:rsidRPr="000A29D6">
        <w:rPr>
          <w:lang w:eastAsia="ar-SA"/>
        </w:rPr>
        <w:t>:</w:t>
      </w:r>
      <w:r w:rsidRPr="000A29D6">
        <w:rPr>
          <w:lang w:eastAsia="ar-SA"/>
        </w:rPr>
        <w:tab/>
        <w:t xml:space="preserve">Costo de restricciones y de servicios asociados con generación, asignados al </w:t>
      </w:r>
      <w:r w:rsidRPr="00FB3E22">
        <w:rPr>
          <w:rFonts w:cs="Arial"/>
        </w:rPr>
        <w:t>comercializador</w:t>
      </w:r>
      <w:r>
        <w:rPr>
          <w:lang w:eastAsia="ar-SA"/>
        </w:rPr>
        <w:t xml:space="preserve"> </w:t>
      </w:r>
      <w:r w:rsidRPr="005C3650">
        <w:rPr>
          <w:i/>
        </w:rPr>
        <w:t>i</w:t>
      </w:r>
      <w:r w:rsidRPr="000A29D6">
        <w:rPr>
          <w:lang w:eastAsia="ar-SA"/>
        </w:rPr>
        <w:t>, en el mes</w:t>
      </w:r>
      <w:r>
        <w:rPr>
          <w:lang w:eastAsia="ar-SA"/>
        </w:rPr>
        <w:t xml:space="preserve"> </w:t>
      </w:r>
      <w:r w:rsidRPr="00670357">
        <w:rPr>
          <w:i/>
          <w:lang w:eastAsia="ar-SA"/>
        </w:rPr>
        <w:t>m-1</w:t>
      </w:r>
      <w:r w:rsidRPr="000A29D6">
        <w:rPr>
          <w:lang w:eastAsia="ar-SA"/>
        </w:rPr>
        <w:t>, determinado conforme se establece en la Resolución CREG 119 de 2007 o aquella que la modifique</w:t>
      </w:r>
      <w:r>
        <w:rPr>
          <w:lang w:eastAsia="ar-SA"/>
        </w:rPr>
        <w:t>, complemente</w:t>
      </w:r>
      <w:r w:rsidRPr="000A29D6">
        <w:rPr>
          <w:lang w:eastAsia="ar-SA"/>
        </w:rPr>
        <w:t xml:space="preserve"> o sustituya. </w:t>
      </w:r>
      <w:r w:rsidR="00EB429D" w:rsidRPr="003A0953">
        <w:t>E</w:t>
      </w:r>
      <w:r w:rsidR="00EB429D">
        <w:t>xpresado e</w:t>
      </w:r>
      <w:r w:rsidR="00EB429D" w:rsidRPr="003A0953">
        <w:t>n</w:t>
      </w:r>
      <w:r w:rsidRPr="000A29D6">
        <w:rPr>
          <w:rFonts w:cs="Arial"/>
        </w:rPr>
        <w:t xml:space="preserve"> $/kWh.</w:t>
      </w:r>
    </w:p>
    <w:p w14:paraId="4F001F31" w14:textId="611690B1" w:rsidR="00B10BFB" w:rsidRDefault="00EC19CD" w:rsidP="00FB3E22">
      <w:pPr>
        <w:ind w:left="1130" w:hanging="1130"/>
        <w:rPr>
          <w:lang w:eastAsia="ar-SA"/>
        </w:rPr>
      </w:pPr>
      <w:proofErr w:type="spellStart"/>
      <w:proofErr w:type="gramStart"/>
      <w:r>
        <w:rPr>
          <w:i/>
          <w:lang w:eastAsia="ar-SA"/>
        </w:rPr>
        <w:t>F</w:t>
      </w:r>
      <w:r w:rsidR="00B10BFB" w:rsidRPr="005C3650">
        <w:rPr>
          <w:i/>
          <w:lang w:eastAsia="ar-SA"/>
        </w:rPr>
        <w:t>RC</w:t>
      </w:r>
      <w:r w:rsidR="00B10BFB" w:rsidRPr="005C3650">
        <w:rPr>
          <w:i/>
          <w:vertAlign w:val="subscript"/>
          <w:lang w:eastAsia="ar-SA"/>
        </w:rPr>
        <w:t>i,j</w:t>
      </w:r>
      <w:proofErr w:type="gramEnd"/>
      <w:r w:rsidR="00B10BFB" w:rsidRPr="005C3650">
        <w:rPr>
          <w:i/>
          <w:vertAlign w:val="subscript"/>
          <w:lang w:eastAsia="ar-SA"/>
        </w:rPr>
        <w:t>,m</w:t>
      </w:r>
      <w:proofErr w:type="spellEnd"/>
      <w:r w:rsidR="00B10BFB" w:rsidRPr="000A29D6">
        <w:rPr>
          <w:lang w:eastAsia="ar-SA"/>
        </w:rPr>
        <w:t>:</w:t>
      </w:r>
      <w:r w:rsidR="00B10BFB" w:rsidRPr="000A29D6">
        <w:rPr>
          <w:lang w:eastAsia="ar-SA"/>
        </w:rPr>
        <w:tab/>
      </w:r>
      <w:r>
        <w:rPr>
          <w:lang w:eastAsia="ar-SA"/>
        </w:rPr>
        <w:t xml:space="preserve">Factor correspondiente </w:t>
      </w:r>
      <w:r w:rsidRPr="00B03B51">
        <w:rPr>
          <w:lang w:eastAsia="ar-SA"/>
        </w:rPr>
        <w:t>al r</w:t>
      </w:r>
      <w:r w:rsidR="00B10BFB" w:rsidRPr="00B03B51">
        <w:rPr>
          <w:lang w:eastAsia="ar-SA"/>
        </w:rPr>
        <w:t xml:space="preserve">iesgo de cartera </w:t>
      </w:r>
      <w:r w:rsidR="00221575" w:rsidRPr="00B03B51">
        <w:rPr>
          <w:lang w:eastAsia="ar-SA"/>
        </w:rPr>
        <w:t>reconocido</w:t>
      </w:r>
      <w:r w:rsidR="00221575">
        <w:rPr>
          <w:lang w:eastAsia="ar-SA"/>
        </w:rPr>
        <w:t xml:space="preserve"> al </w:t>
      </w:r>
      <w:r w:rsidR="00B10BFB" w:rsidRPr="000A29D6">
        <w:rPr>
          <w:lang w:eastAsia="ar-SA"/>
        </w:rPr>
        <w:t>comercializador</w:t>
      </w:r>
      <w:r w:rsidR="00B10BFB">
        <w:rPr>
          <w:lang w:eastAsia="ar-SA"/>
        </w:rPr>
        <w:t xml:space="preserve"> </w:t>
      </w:r>
      <w:r w:rsidR="00B10BFB" w:rsidRPr="005C3650">
        <w:rPr>
          <w:i/>
        </w:rPr>
        <w:t>i</w:t>
      </w:r>
      <w:r w:rsidR="00B10BFB" w:rsidRPr="000A29D6">
        <w:rPr>
          <w:lang w:eastAsia="ar-SA"/>
        </w:rPr>
        <w:t xml:space="preserve">, en el </w:t>
      </w:r>
      <w:r w:rsidR="00B10BFB">
        <w:rPr>
          <w:lang w:eastAsia="ar-SA"/>
        </w:rPr>
        <w:t>m</w:t>
      </w:r>
      <w:r w:rsidR="00B10BFB" w:rsidRPr="000A29D6">
        <w:rPr>
          <w:lang w:eastAsia="ar-SA"/>
        </w:rPr>
        <w:t xml:space="preserve">ercado de </w:t>
      </w:r>
      <w:r w:rsidR="00B10BFB">
        <w:rPr>
          <w:lang w:eastAsia="ar-SA"/>
        </w:rPr>
        <w:t>c</w:t>
      </w:r>
      <w:r w:rsidR="00B10BFB" w:rsidRPr="000A29D6">
        <w:rPr>
          <w:lang w:eastAsia="ar-SA"/>
        </w:rPr>
        <w:t>omercialización</w:t>
      </w:r>
      <w:r w:rsidR="00B10BFB">
        <w:rPr>
          <w:lang w:eastAsia="ar-SA"/>
        </w:rPr>
        <w:t xml:space="preserve"> </w:t>
      </w:r>
      <w:r w:rsidR="00B10BFB" w:rsidRPr="005C3650">
        <w:rPr>
          <w:i/>
        </w:rPr>
        <w:t>j</w:t>
      </w:r>
      <w:r w:rsidR="00B10BFB" w:rsidRPr="000A29D6">
        <w:rPr>
          <w:lang w:eastAsia="ar-SA"/>
        </w:rPr>
        <w:t xml:space="preserve">, para el mes </w:t>
      </w:r>
      <w:r w:rsidR="00B10BFB" w:rsidRPr="000A29D6">
        <w:rPr>
          <w:i/>
          <w:lang w:eastAsia="ar-SA"/>
        </w:rPr>
        <w:t>m</w:t>
      </w:r>
      <w:r w:rsidR="00B10BFB" w:rsidRPr="000A29D6">
        <w:rPr>
          <w:lang w:eastAsia="ar-SA"/>
        </w:rPr>
        <w:t xml:space="preserve">, </w:t>
      </w:r>
      <w:r w:rsidR="00B10BFB" w:rsidRPr="000A29D6">
        <w:rPr>
          <w:rFonts w:cs="Arial"/>
        </w:rPr>
        <w:t xml:space="preserve">calculado de </w:t>
      </w:r>
      <w:r w:rsidR="00731F92">
        <w:rPr>
          <w:rFonts w:cs="Arial"/>
        </w:rPr>
        <w:t>acuerdo con lo establecido en el numeral</w:t>
      </w:r>
      <w:r w:rsidR="003049F7">
        <w:rPr>
          <w:rFonts w:cs="Arial"/>
        </w:rPr>
        <w:t xml:space="preserve"> </w:t>
      </w:r>
      <w:r w:rsidR="003049F7">
        <w:rPr>
          <w:rFonts w:cs="Arial"/>
        </w:rPr>
        <w:fldChar w:fldCharType="begin"/>
      </w:r>
      <w:r w:rsidR="003049F7">
        <w:rPr>
          <w:rFonts w:cs="Arial"/>
        </w:rPr>
        <w:instrText xml:space="preserve"> REF _Ref135721353 \r \h </w:instrText>
      </w:r>
      <w:r w:rsidR="003049F7">
        <w:rPr>
          <w:rFonts w:cs="Arial"/>
        </w:rPr>
      </w:r>
      <w:r w:rsidR="003049F7">
        <w:rPr>
          <w:rFonts w:cs="Arial"/>
        </w:rPr>
        <w:fldChar w:fldCharType="separate"/>
      </w:r>
      <w:r w:rsidR="00625E8F">
        <w:rPr>
          <w:rFonts w:cs="Arial"/>
        </w:rPr>
        <w:t>2.2.1</w:t>
      </w:r>
      <w:r w:rsidR="003049F7">
        <w:rPr>
          <w:rFonts w:cs="Arial"/>
        </w:rPr>
        <w:fldChar w:fldCharType="end"/>
      </w:r>
      <w:r w:rsidR="00B10BFB" w:rsidRPr="000A29D6">
        <w:rPr>
          <w:rFonts w:cs="Arial"/>
        </w:rPr>
        <w:t>.</w:t>
      </w:r>
      <w:r w:rsidR="00B10BFB" w:rsidRPr="000A29D6">
        <w:rPr>
          <w:lang w:eastAsia="ar-SA"/>
        </w:rPr>
        <w:tab/>
      </w:r>
    </w:p>
    <w:p w14:paraId="1FE44BA4" w14:textId="25D7AF58" w:rsidR="00CF5E7B" w:rsidRPr="0048078D" w:rsidRDefault="00CF5E7B" w:rsidP="00CF5E7B">
      <w:pPr>
        <w:ind w:left="1130"/>
        <w:rPr>
          <w:iCs/>
        </w:rPr>
      </w:pPr>
      <w:bookmarkStart w:id="48" w:name="_Hlk164353315"/>
      <w:r>
        <w:rPr>
          <w:rFonts w:cs="Arial"/>
          <w:iCs/>
        </w:rPr>
        <w:t xml:space="preserve">Para los comercializadores que no cuenten con la información para el cálculo del </w:t>
      </w:r>
      <w:proofErr w:type="spellStart"/>
      <w:proofErr w:type="gramStart"/>
      <w:r w:rsidRPr="00D57848">
        <w:rPr>
          <w:rFonts w:cs="Arial"/>
          <w:i/>
        </w:rPr>
        <w:t>FRC</w:t>
      </w:r>
      <w:r w:rsidRPr="00D57848">
        <w:rPr>
          <w:rFonts w:cs="Arial"/>
          <w:i/>
          <w:vertAlign w:val="subscript"/>
        </w:rPr>
        <w:t>i,j</w:t>
      </w:r>
      <w:proofErr w:type="gramEnd"/>
      <w:r w:rsidRPr="00D57848">
        <w:rPr>
          <w:rFonts w:cs="Arial"/>
          <w:i/>
          <w:vertAlign w:val="subscript"/>
        </w:rPr>
        <w:t>,m</w:t>
      </w:r>
      <w:proofErr w:type="spellEnd"/>
      <w:r>
        <w:rPr>
          <w:rFonts w:cs="Arial"/>
          <w:iCs/>
        </w:rPr>
        <w:t xml:space="preserve"> o que esta información </w:t>
      </w:r>
      <w:r w:rsidR="004A02F5">
        <w:rPr>
          <w:rFonts w:cs="Arial"/>
          <w:iCs/>
        </w:rPr>
        <w:t xml:space="preserve">se considere un valor (es) atípico (s) </w:t>
      </w:r>
      <w:r>
        <w:rPr>
          <w:rFonts w:cs="Arial"/>
          <w:iCs/>
        </w:rPr>
        <w:t>con respecto a su histórico o la de otros comercializadores, el riesgo de cartera será igual cero.</w:t>
      </w:r>
    </w:p>
    <w:p w14:paraId="1F0E1809" w14:textId="4A57AB9E" w:rsidR="006755FC" w:rsidRDefault="00D37D63" w:rsidP="006755FC">
      <w:pPr>
        <w:pStyle w:val="Ttulo3"/>
      </w:pPr>
      <w:bookmarkStart w:id="49" w:name="_Ref135721353"/>
      <w:bookmarkStart w:id="50" w:name="_Toc164064366"/>
      <w:bookmarkEnd w:id="48"/>
      <w:r w:rsidRPr="00D37D63">
        <w:t>Factor correspondiente al riesgo</w:t>
      </w:r>
      <w:r w:rsidR="006755FC">
        <w:t xml:space="preserve"> de cartera </w:t>
      </w:r>
      <w:r w:rsidR="006A673E">
        <w:t>reconocido</w:t>
      </w:r>
      <w:bookmarkEnd w:id="49"/>
      <w:bookmarkEnd w:id="50"/>
    </w:p>
    <w:p w14:paraId="038128FC" w14:textId="4895C26B" w:rsidR="00C63A01" w:rsidRPr="00C61EB7" w:rsidRDefault="00C63A01" w:rsidP="00C63A01">
      <w:pPr>
        <w:rPr>
          <w:b/>
          <w:bCs/>
          <w:lang w:val="es-ES_tradnl"/>
        </w:rPr>
      </w:pPr>
      <w:r w:rsidRPr="000A29D6">
        <w:t xml:space="preserve">El riesgo de cartera </w:t>
      </w:r>
      <w:r w:rsidR="00276541">
        <w:t xml:space="preserve">total </w:t>
      </w:r>
      <w:r w:rsidR="00F12B7B">
        <w:t xml:space="preserve">reconocido </w:t>
      </w:r>
      <w:r w:rsidRPr="000A29D6">
        <w:t xml:space="preserve">a los comercializadores de energía eléctrica </w:t>
      </w:r>
      <w:r>
        <w:t xml:space="preserve">por </w:t>
      </w:r>
      <w:r w:rsidRPr="000A29D6">
        <w:t xml:space="preserve">atender </w:t>
      </w:r>
      <w:r>
        <w:t>u</w:t>
      </w:r>
      <w:r w:rsidRPr="000A29D6">
        <w:t>suarios regulados se establecerá de acuerdo con la siguiente fórmula:</w:t>
      </w:r>
    </w:p>
    <w:p w14:paraId="0D0E077E" w14:textId="0AE34C2F" w:rsidR="00C63A01" w:rsidRPr="00EB1CCD" w:rsidRDefault="00000000" w:rsidP="005D04BF">
      <w:pPr>
        <w:rPr>
          <w:rFonts w:cs="Arial"/>
          <w:bCs/>
          <w:sz w:val="21"/>
          <w:szCs w:val="21"/>
        </w:rPr>
      </w:pPr>
      <m:oMathPara>
        <m:oMath>
          <m:sSub>
            <m:sSubPr>
              <m:ctrlPr>
                <w:rPr>
                  <w:rFonts w:ascii="Cambria Math" w:hAnsi="Cambria Math" w:cs="Arial"/>
                  <w:bCs/>
                  <w:i/>
                  <w:iCs/>
                  <w:sz w:val="20"/>
                  <w:szCs w:val="21"/>
                </w:rPr>
              </m:ctrlPr>
            </m:sSubPr>
            <m:e>
              <m:r>
                <w:rPr>
                  <w:rFonts w:ascii="Cambria Math" w:hAnsi="Cambria Math" w:cs="Arial"/>
                  <w:sz w:val="20"/>
                  <w:szCs w:val="21"/>
                </w:rPr>
                <m:t>FRC</m:t>
              </m:r>
            </m:e>
            <m:sub>
              <m:r>
                <w:rPr>
                  <w:rFonts w:ascii="Cambria Math" w:hAnsi="Cambria Math" w:cs="Arial"/>
                  <w:sz w:val="20"/>
                  <w:szCs w:val="21"/>
                </w:rPr>
                <m:t>i,j,m</m:t>
              </m:r>
            </m:sub>
          </m:sSub>
          <m:r>
            <w:rPr>
              <w:rFonts w:ascii="Cambria Math" w:hAnsi="Cambria Math" w:cs="Arial"/>
              <w:sz w:val="20"/>
              <w:szCs w:val="21"/>
            </w:rPr>
            <m:t>=</m:t>
          </m:r>
          <m:f>
            <m:fPr>
              <m:ctrlPr>
                <w:rPr>
                  <w:rFonts w:ascii="Cambria Math" w:hAnsi="Cambria Math" w:cs="Arial"/>
                  <w:bCs/>
                  <w:i/>
                  <w:iCs/>
                  <w:sz w:val="20"/>
                  <w:szCs w:val="21"/>
                </w:rPr>
              </m:ctrlPr>
            </m:fPr>
            <m:num>
              <m:sSub>
                <m:sSubPr>
                  <m:ctrlPr>
                    <w:rPr>
                      <w:rFonts w:ascii="Cambria Math" w:hAnsi="Cambria Math" w:cs="Arial"/>
                      <w:bCs/>
                      <w:i/>
                      <w:iCs/>
                      <w:sz w:val="20"/>
                      <w:szCs w:val="21"/>
                    </w:rPr>
                  </m:ctrlPr>
                </m:sSubPr>
                <m:e>
                  <m:r>
                    <w:rPr>
                      <w:rFonts w:ascii="Cambria Math" w:hAnsi="Cambria Math" w:cs="Arial"/>
                      <w:sz w:val="20"/>
                      <w:szCs w:val="21"/>
                    </w:rPr>
                    <m:t>RCT</m:t>
                  </m:r>
                </m:e>
                <m:sub>
                  <m:r>
                    <w:rPr>
                      <w:rFonts w:ascii="Cambria Math" w:hAnsi="Cambria Math" w:cs="Arial"/>
                      <w:sz w:val="20"/>
                      <w:szCs w:val="21"/>
                    </w:rPr>
                    <m:t>j</m:t>
                  </m:r>
                </m:sub>
              </m:sSub>
              <m:r>
                <w:rPr>
                  <w:rFonts w:ascii="Cambria Math" w:hAnsi="Cambria Math" w:cs="Arial"/>
                  <w:sz w:val="20"/>
                  <w:szCs w:val="21"/>
                </w:rPr>
                <m:t>*</m:t>
              </m:r>
              <m:sSub>
                <m:sSubPr>
                  <m:ctrlPr>
                    <w:rPr>
                      <w:rFonts w:ascii="Cambria Math" w:hAnsi="Cambria Math" w:cs="Arial"/>
                      <w:bCs/>
                      <w:i/>
                      <w:iCs/>
                      <w:sz w:val="20"/>
                      <w:szCs w:val="21"/>
                    </w:rPr>
                  </m:ctrlPr>
                </m:sSubPr>
                <m:e>
                  <m:r>
                    <w:rPr>
                      <w:rFonts w:ascii="Cambria Math" w:hAnsi="Cambria Math" w:cs="Arial"/>
                      <w:sz w:val="20"/>
                      <w:szCs w:val="21"/>
                    </w:rPr>
                    <m:t>FTTr</m:t>
                  </m:r>
                </m:e>
                <m:sub>
                  <m:r>
                    <w:rPr>
                      <w:rFonts w:ascii="Cambria Math" w:hAnsi="Cambria Math" w:cs="Arial"/>
                      <w:sz w:val="20"/>
                      <w:szCs w:val="21"/>
                    </w:rPr>
                    <m:t>i,j,m-1</m:t>
                  </m:r>
                </m:sub>
              </m:sSub>
              <m:r>
                <w:rPr>
                  <w:rFonts w:ascii="Cambria Math" w:hAnsi="Cambria Math" w:cs="Arial"/>
                  <w:sz w:val="20"/>
                  <w:szCs w:val="21"/>
                </w:rPr>
                <m:t>+</m:t>
              </m:r>
              <m:sSub>
                <m:sSubPr>
                  <m:ctrlPr>
                    <w:rPr>
                      <w:rFonts w:ascii="Cambria Math" w:hAnsi="Cambria Math" w:cs="Arial"/>
                      <w:i/>
                      <w:color w:val="000000"/>
                      <w:sz w:val="20"/>
                      <w:szCs w:val="21"/>
                    </w:rPr>
                  </m:ctrlPr>
                </m:sSubPr>
                <m:e>
                  <m:r>
                    <w:rPr>
                      <w:rFonts w:ascii="Cambria Math" w:hAnsi="Cambria Math" w:cs="Arial"/>
                      <w:color w:val="000000"/>
                      <w:sz w:val="20"/>
                      <w:szCs w:val="21"/>
                    </w:rPr>
                    <m:t>RCAE</m:t>
                  </m:r>
                </m:e>
                <m:sub>
                  <m:r>
                    <w:rPr>
                      <w:rFonts w:ascii="Cambria Math" w:hAnsi="Cambria Math" w:cs="Arial"/>
                      <w:color w:val="000000"/>
                      <w:sz w:val="20"/>
                      <w:szCs w:val="21"/>
                    </w:rPr>
                    <m:t>j,t</m:t>
                  </m:r>
                </m:sub>
              </m:sSub>
              <m:r>
                <w:rPr>
                  <w:rFonts w:ascii="Cambria Math" w:hAnsi="Cambria Math" w:cs="Arial"/>
                  <w:color w:val="000000"/>
                  <w:sz w:val="20"/>
                  <w:szCs w:val="21"/>
                </w:rPr>
                <m:t>*</m:t>
              </m:r>
              <m:sSub>
                <m:sSubPr>
                  <m:ctrlPr>
                    <w:rPr>
                      <w:rFonts w:ascii="Cambria Math" w:hAnsi="Cambria Math" w:cs="Arial"/>
                      <w:i/>
                      <w:color w:val="000000"/>
                      <w:sz w:val="20"/>
                      <w:szCs w:val="21"/>
                    </w:rPr>
                  </m:ctrlPr>
                </m:sSubPr>
                <m:e>
                  <m:r>
                    <w:rPr>
                      <w:rFonts w:ascii="Cambria Math" w:hAnsi="Cambria Math" w:cs="Arial"/>
                      <w:color w:val="000000"/>
                      <w:sz w:val="20"/>
                      <w:szCs w:val="21"/>
                    </w:rPr>
                    <m:t>FTAE</m:t>
                  </m:r>
                </m:e>
                <m:sub>
                  <m:r>
                    <w:rPr>
                      <w:rFonts w:ascii="Cambria Math" w:hAnsi="Cambria Math" w:cs="Arial"/>
                      <w:color w:val="000000"/>
                      <w:sz w:val="20"/>
                      <w:szCs w:val="21"/>
                    </w:rPr>
                    <m:t>i,j,m-1</m:t>
                  </m:r>
                </m:sub>
              </m:sSub>
            </m:num>
            <m:den>
              <m:sSub>
                <m:sSubPr>
                  <m:ctrlPr>
                    <w:rPr>
                      <w:rFonts w:ascii="Cambria Math" w:hAnsi="Cambria Math" w:cs="Arial"/>
                      <w:bCs/>
                      <w:i/>
                      <w:iCs/>
                      <w:sz w:val="20"/>
                      <w:szCs w:val="21"/>
                    </w:rPr>
                  </m:ctrlPr>
                </m:sSubPr>
                <m:e>
                  <m:r>
                    <w:rPr>
                      <w:rFonts w:ascii="Cambria Math" w:hAnsi="Cambria Math" w:cs="Arial"/>
                      <w:sz w:val="20"/>
                      <w:szCs w:val="21"/>
                    </w:rPr>
                    <m:t>FTR</m:t>
                  </m:r>
                </m:e>
                <m:sub>
                  <m:r>
                    <w:rPr>
                      <w:rFonts w:ascii="Cambria Math" w:hAnsi="Cambria Math" w:cs="Arial"/>
                      <w:sz w:val="20"/>
                      <w:szCs w:val="21"/>
                    </w:rPr>
                    <m:t>i,j,m-1</m:t>
                  </m:r>
                </m:sub>
              </m:sSub>
            </m:den>
          </m:f>
        </m:oMath>
      </m:oMathPara>
    </w:p>
    <w:p w14:paraId="6E422C3C" w14:textId="77777777" w:rsidR="00C63A01" w:rsidRPr="000A29D6" w:rsidRDefault="00C63A01" w:rsidP="005D04BF">
      <w:pPr>
        <w:keepNext/>
        <w:ind w:left="992" w:right="45" w:hanging="992"/>
        <w:rPr>
          <w:rFonts w:cs="Arial"/>
        </w:rPr>
      </w:pPr>
      <w:r w:rsidRPr="000A29D6">
        <w:rPr>
          <w:rFonts w:cs="Arial"/>
        </w:rPr>
        <w:t>Donde:</w:t>
      </w:r>
    </w:p>
    <w:p w14:paraId="7BA7F43A" w14:textId="5BFA65D2" w:rsidR="00C63A01" w:rsidRPr="000A29D6" w:rsidRDefault="008D70F6" w:rsidP="005D04BF">
      <w:pPr>
        <w:ind w:left="1559" w:right="45" w:hanging="1559"/>
        <w:rPr>
          <w:rFonts w:cs="Arial"/>
          <w:bCs/>
          <w:lang w:eastAsia="ar-SA"/>
        </w:rPr>
      </w:pPr>
      <w:proofErr w:type="spellStart"/>
      <w:proofErr w:type="gramStart"/>
      <w:r>
        <w:rPr>
          <w:rFonts w:cs="Arial"/>
          <w:i/>
        </w:rPr>
        <w:t>F</w:t>
      </w:r>
      <w:r w:rsidR="00C63A01" w:rsidRPr="00BA25DD">
        <w:rPr>
          <w:rFonts w:cs="Arial"/>
          <w:i/>
        </w:rPr>
        <w:t>RC</w:t>
      </w:r>
      <w:r w:rsidR="00C63A01" w:rsidRPr="00BA25DD">
        <w:rPr>
          <w:rFonts w:cs="Arial"/>
          <w:i/>
          <w:vertAlign w:val="subscript"/>
        </w:rPr>
        <w:t>i,j</w:t>
      </w:r>
      <w:proofErr w:type="gramEnd"/>
      <w:r w:rsidR="00C63A01" w:rsidRPr="00BA25DD">
        <w:rPr>
          <w:rFonts w:cs="Arial"/>
          <w:i/>
          <w:vertAlign w:val="subscript"/>
        </w:rPr>
        <w:t>,m</w:t>
      </w:r>
      <w:proofErr w:type="spellEnd"/>
      <w:r w:rsidR="00C63A01" w:rsidRPr="000A29D6">
        <w:rPr>
          <w:rFonts w:cs="Arial"/>
        </w:rPr>
        <w:t>:</w:t>
      </w:r>
      <w:r w:rsidR="00C63A01" w:rsidRPr="000A29D6">
        <w:rPr>
          <w:rFonts w:cs="Arial"/>
        </w:rPr>
        <w:tab/>
      </w:r>
      <w:r w:rsidR="00D37D63">
        <w:rPr>
          <w:lang w:eastAsia="ar-SA"/>
        </w:rPr>
        <w:t xml:space="preserve">Factor correspondiente </w:t>
      </w:r>
      <w:r w:rsidR="00D37D63" w:rsidRPr="00B03B51">
        <w:rPr>
          <w:lang w:eastAsia="ar-SA"/>
        </w:rPr>
        <w:t>al riesgo</w:t>
      </w:r>
      <w:r w:rsidR="00C63A01" w:rsidRPr="00B03B51">
        <w:rPr>
          <w:lang w:eastAsia="ar-SA"/>
        </w:rPr>
        <w:t xml:space="preserve"> de cartera </w:t>
      </w:r>
      <w:r w:rsidR="00D37D63" w:rsidRPr="00B03B51">
        <w:rPr>
          <w:lang w:eastAsia="ar-SA"/>
        </w:rPr>
        <w:t>reconocido</w:t>
      </w:r>
      <w:r w:rsidR="00D37D63">
        <w:rPr>
          <w:lang w:eastAsia="ar-SA"/>
        </w:rPr>
        <w:t xml:space="preserve"> al</w:t>
      </w:r>
      <w:r w:rsidR="00C63A01">
        <w:rPr>
          <w:lang w:eastAsia="ar-SA"/>
        </w:rPr>
        <w:t xml:space="preserve"> </w:t>
      </w:r>
      <w:r w:rsidR="00C63A01" w:rsidRPr="000A29D6">
        <w:rPr>
          <w:lang w:eastAsia="ar-SA"/>
        </w:rPr>
        <w:t>comercializador</w:t>
      </w:r>
      <w:r w:rsidR="00C63A01">
        <w:rPr>
          <w:lang w:eastAsia="ar-SA"/>
        </w:rPr>
        <w:t xml:space="preserve"> </w:t>
      </w:r>
      <w:r w:rsidR="00C63A01" w:rsidRPr="005C3650">
        <w:rPr>
          <w:i/>
        </w:rPr>
        <w:t>i</w:t>
      </w:r>
      <w:r w:rsidR="00C63A01" w:rsidRPr="000A29D6">
        <w:rPr>
          <w:lang w:eastAsia="ar-SA"/>
        </w:rPr>
        <w:t xml:space="preserve">, en el </w:t>
      </w:r>
      <w:r w:rsidR="00C63A01">
        <w:rPr>
          <w:lang w:eastAsia="ar-SA"/>
        </w:rPr>
        <w:t>m</w:t>
      </w:r>
      <w:r w:rsidR="00C63A01" w:rsidRPr="000A29D6">
        <w:rPr>
          <w:lang w:eastAsia="ar-SA"/>
        </w:rPr>
        <w:t xml:space="preserve">ercado de </w:t>
      </w:r>
      <w:r w:rsidR="00C63A01">
        <w:rPr>
          <w:lang w:eastAsia="ar-SA"/>
        </w:rPr>
        <w:t>c</w:t>
      </w:r>
      <w:r w:rsidR="00C63A01" w:rsidRPr="000A29D6">
        <w:rPr>
          <w:lang w:eastAsia="ar-SA"/>
        </w:rPr>
        <w:t>omercialización</w:t>
      </w:r>
      <w:r w:rsidR="00C63A01">
        <w:rPr>
          <w:lang w:eastAsia="ar-SA"/>
        </w:rPr>
        <w:t xml:space="preserve"> </w:t>
      </w:r>
      <w:r w:rsidR="00C63A01" w:rsidRPr="005C3650">
        <w:rPr>
          <w:i/>
        </w:rPr>
        <w:t>j</w:t>
      </w:r>
      <w:r w:rsidR="00C63A01" w:rsidRPr="000A29D6">
        <w:rPr>
          <w:lang w:eastAsia="ar-SA"/>
        </w:rPr>
        <w:t xml:space="preserve">, para el mes </w:t>
      </w:r>
      <w:r w:rsidR="00C63A01" w:rsidRPr="000A29D6">
        <w:rPr>
          <w:i/>
          <w:lang w:eastAsia="ar-SA"/>
        </w:rPr>
        <w:t>m</w:t>
      </w:r>
      <w:r w:rsidR="00C63A01">
        <w:rPr>
          <w:lang w:eastAsia="ar-SA"/>
        </w:rPr>
        <w:t>.</w:t>
      </w:r>
      <w:r w:rsidR="00D37D63">
        <w:rPr>
          <w:lang w:eastAsia="ar-SA"/>
        </w:rPr>
        <w:t xml:space="preserve"> </w:t>
      </w:r>
    </w:p>
    <w:p w14:paraId="75514DC7" w14:textId="42B6FE96" w:rsidR="00C63A01" w:rsidRPr="000A29D6" w:rsidRDefault="00C63A01" w:rsidP="005D04BF">
      <w:pPr>
        <w:ind w:left="1559" w:right="45" w:hanging="1559"/>
        <w:rPr>
          <w:rFonts w:cs="Arial"/>
          <w:bCs/>
          <w:lang w:eastAsia="ar-SA"/>
        </w:rPr>
      </w:pPr>
      <w:proofErr w:type="spellStart"/>
      <w:r w:rsidRPr="00BA25DD">
        <w:rPr>
          <w:rFonts w:cs="Arial"/>
          <w:bCs/>
          <w:i/>
          <w:lang w:eastAsia="ar-SA"/>
        </w:rPr>
        <w:t>RCT</w:t>
      </w:r>
      <w:r w:rsidRPr="00BA25DD">
        <w:rPr>
          <w:rFonts w:cs="Arial"/>
          <w:bCs/>
          <w:i/>
          <w:vertAlign w:val="subscript"/>
          <w:lang w:eastAsia="ar-SA"/>
        </w:rPr>
        <w:t>j</w:t>
      </w:r>
      <w:proofErr w:type="spellEnd"/>
      <w:r w:rsidRPr="000A29D6">
        <w:rPr>
          <w:rFonts w:cs="Arial"/>
          <w:bCs/>
          <w:i/>
          <w:lang w:eastAsia="ar-SA"/>
        </w:rPr>
        <w:t>:</w:t>
      </w:r>
      <w:r w:rsidRPr="000A29D6">
        <w:rPr>
          <w:rFonts w:cs="Arial"/>
          <w:bCs/>
          <w:lang w:eastAsia="ar-SA"/>
        </w:rPr>
        <w:t xml:space="preserve"> </w:t>
      </w:r>
      <w:r w:rsidRPr="000A29D6">
        <w:rPr>
          <w:rFonts w:cs="Arial"/>
          <w:bCs/>
          <w:lang w:eastAsia="ar-SA"/>
        </w:rPr>
        <w:tab/>
      </w:r>
      <w:r w:rsidRPr="004B7409">
        <w:rPr>
          <w:rFonts w:cs="Arial"/>
          <w:bCs/>
          <w:lang w:eastAsia="ar-SA"/>
        </w:rPr>
        <w:t>Prima por el riesgo de cartera no gestionable de los usuarios tradicionales del</w:t>
      </w:r>
      <w:r w:rsidRPr="000A29D6">
        <w:rPr>
          <w:rFonts w:cs="Arial"/>
          <w:bCs/>
          <w:lang w:eastAsia="ar-SA"/>
        </w:rPr>
        <w:t xml:space="preserve"> </w:t>
      </w:r>
      <w:r>
        <w:rPr>
          <w:rFonts w:cs="Arial"/>
          <w:bCs/>
          <w:lang w:eastAsia="ar-SA"/>
        </w:rPr>
        <w:t>m</w:t>
      </w:r>
      <w:r w:rsidRPr="000A29D6">
        <w:rPr>
          <w:rFonts w:cs="Arial"/>
          <w:bCs/>
          <w:lang w:eastAsia="ar-SA"/>
        </w:rPr>
        <w:t xml:space="preserve">ercado de </w:t>
      </w:r>
      <w:r>
        <w:rPr>
          <w:rFonts w:cs="Arial"/>
          <w:bCs/>
          <w:lang w:eastAsia="ar-SA"/>
        </w:rPr>
        <w:t>c</w:t>
      </w:r>
      <w:r w:rsidRPr="000A29D6">
        <w:rPr>
          <w:rFonts w:cs="Arial"/>
          <w:bCs/>
          <w:lang w:eastAsia="ar-SA"/>
        </w:rPr>
        <w:t>omercialización</w:t>
      </w:r>
      <w:r>
        <w:rPr>
          <w:rFonts w:cs="Arial"/>
          <w:bCs/>
          <w:lang w:eastAsia="ar-SA"/>
        </w:rPr>
        <w:t xml:space="preserve"> </w:t>
      </w:r>
      <w:r w:rsidRPr="004F4063">
        <w:rPr>
          <w:rFonts w:cs="Arial"/>
          <w:bCs/>
          <w:i/>
          <w:lang w:eastAsia="ar-SA"/>
        </w:rPr>
        <w:t>j</w:t>
      </w:r>
      <w:r w:rsidRPr="000A29D6">
        <w:rPr>
          <w:rFonts w:cs="Arial"/>
          <w:bCs/>
          <w:lang w:eastAsia="ar-SA"/>
        </w:rPr>
        <w:t>.</w:t>
      </w:r>
      <w:r w:rsidR="004D4313">
        <w:rPr>
          <w:rFonts w:cs="Arial"/>
          <w:bCs/>
          <w:lang w:eastAsia="ar-SA"/>
        </w:rPr>
        <w:t xml:space="preserve"> </w:t>
      </w:r>
    </w:p>
    <w:p w14:paraId="4B21BD1C" w14:textId="1A73F2CB" w:rsidR="00C63A01" w:rsidRPr="000A29D6" w:rsidRDefault="00B56C1C" w:rsidP="005D04BF">
      <w:pPr>
        <w:ind w:left="1559" w:right="45" w:hanging="1559"/>
        <w:rPr>
          <w:rFonts w:cs="Arial"/>
          <w:bCs/>
          <w:lang w:eastAsia="ar-SA"/>
        </w:rPr>
      </w:pPr>
      <w:proofErr w:type="gramStart"/>
      <w:r>
        <w:rPr>
          <w:rFonts w:cs="Arial"/>
          <w:bCs/>
          <w:i/>
          <w:lang w:eastAsia="ar-SA"/>
        </w:rPr>
        <w:t>FT</w:t>
      </w:r>
      <w:r w:rsidR="00C63A01" w:rsidRPr="009418F8">
        <w:rPr>
          <w:rFonts w:cs="Arial"/>
          <w:bCs/>
          <w:i/>
          <w:lang w:eastAsia="ar-SA"/>
        </w:rPr>
        <w:t>Tr</w:t>
      </w:r>
      <w:r w:rsidR="00C63A01" w:rsidRPr="009418F8">
        <w:rPr>
          <w:rFonts w:cs="Arial"/>
          <w:bCs/>
          <w:i/>
          <w:vertAlign w:val="subscript"/>
          <w:lang w:eastAsia="ar-SA"/>
        </w:rPr>
        <w:t>i,j</w:t>
      </w:r>
      <w:proofErr w:type="gramEnd"/>
      <w:r w:rsidR="00C63A01" w:rsidRPr="009418F8">
        <w:rPr>
          <w:rFonts w:cs="Arial"/>
          <w:bCs/>
          <w:i/>
          <w:vertAlign w:val="subscript"/>
          <w:lang w:eastAsia="ar-SA"/>
        </w:rPr>
        <w:t>,m-1</w:t>
      </w:r>
      <w:r w:rsidR="00C63A01" w:rsidRPr="000A29D6">
        <w:rPr>
          <w:rFonts w:cs="Arial"/>
          <w:bCs/>
          <w:lang w:eastAsia="ar-SA"/>
        </w:rPr>
        <w:t>:</w:t>
      </w:r>
      <w:r w:rsidR="00C63A01" w:rsidRPr="000A29D6">
        <w:rPr>
          <w:rFonts w:cs="Arial"/>
          <w:bCs/>
          <w:lang w:eastAsia="ar-SA"/>
        </w:rPr>
        <w:tab/>
      </w:r>
      <w:r w:rsidR="00067C8E">
        <w:rPr>
          <w:rFonts w:cs="Arial"/>
          <w:bCs/>
          <w:lang w:eastAsia="ar-SA"/>
        </w:rPr>
        <w:t>Facturación Total en pesos</w:t>
      </w:r>
      <w:r w:rsidR="00C63A01" w:rsidRPr="000A29D6">
        <w:rPr>
          <w:rFonts w:cs="Arial"/>
          <w:bCs/>
          <w:lang w:eastAsia="ar-SA"/>
        </w:rPr>
        <w:t xml:space="preserve"> a </w:t>
      </w:r>
      <w:r w:rsidR="00C63A01">
        <w:rPr>
          <w:rFonts w:cs="Arial"/>
          <w:bCs/>
          <w:lang w:eastAsia="ar-SA"/>
        </w:rPr>
        <w:t>u</w:t>
      </w:r>
      <w:r w:rsidR="00C63A01" w:rsidRPr="000A29D6">
        <w:rPr>
          <w:rFonts w:cs="Arial"/>
          <w:bCs/>
          <w:lang w:eastAsia="ar-SA"/>
        </w:rPr>
        <w:t>suarios regulados del comercializador</w:t>
      </w:r>
      <w:r w:rsidR="00C63A01">
        <w:rPr>
          <w:rFonts w:cs="Arial"/>
          <w:bCs/>
          <w:lang w:eastAsia="ar-SA"/>
        </w:rPr>
        <w:t xml:space="preserve"> </w:t>
      </w:r>
      <w:r w:rsidR="00C63A01" w:rsidRPr="004F4063">
        <w:rPr>
          <w:rFonts w:cs="Arial"/>
          <w:bCs/>
          <w:i/>
          <w:lang w:eastAsia="ar-SA"/>
        </w:rPr>
        <w:t>i</w:t>
      </w:r>
      <w:r w:rsidR="00C63A01" w:rsidRPr="000A29D6">
        <w:rPr>
          <w:rFonts w:cs="Arial"/>
          <w:bCs/>
          <w:lang w:eastAsia="ar-SA"/>
        </w:rPr>
        <w:t xml:space="preserve">, en el </w:t>
      </w:r>
      <w:r w:rsidR="00C63A01">
        <w:rPr>
          <w:rFonts w:cs="Arial"/>
          <w:bCs/>
          <w:lang w:eastAsia="ar-SA"/>
        </w:rPr>
        <w:t>m</w:t>
      </w:r>
      <w:r w:rsidR="00C63A01" w:rsidRPr="000A29D6">
        <w:rPr>
          <w:rFonts w:cs="Arial"/>
          <w:bCs/>
          <w:lang w:eastAsia="ar-SA"/>
        </w:rPr>
        <w:t xml:space="preserve">ercado de </w:t>
      </w:r>
      <w:r w:rsidR="00C63A01">
        <w:rPr>
          <w:rFonts w:cs="Arial"/>
          <w:bCs/>
          <w:lang w:eastAsia="ar-SA"/>
        </w:rPr>
        <w:t>c</w:t>
      </w:r>
      <w:r w:rsidR="00C63A01" w:rsidRPr="000A29D6">
        <w:rPr>
          <w:rFonts w:cs="Arial"/>
          <w:bCs/>
          <w:lang w:eastAsia="ar-SA"/>
        </w:rPr>
        <w:t>omercialización</w:t>
      </w:r>
      <w:r w:rsidR="00C63A01">
        <w:rPr>
          <w:rFonts w:cs="Arial"/>
          <w:bCs/>
          <w:lang w:eastAsia="ar-SA"/>
        </w:rPr>
        <w:t xml:space="preserve"> </w:t>
      </w:r>
      <w:r w:rsidR="00C63A01" w:rsidRPr="004F4063">
        <w:rPr>
          <w:rFonts w:cs="Arial"/>
          <w:bCs/>
          <w:i/>
          <w:lang w:eastAsia="ar-SA"/>
        </w:rPr>
        <w:t>j</w:t>
      </w:r>
      <w:r w:rsidR="00C63A01" w:rsidRPr="000A29D6">
        <w:rPr>
          <w:rFonts w:cs="Arial"/>
          <w:bCs/>
          <w:lang w:eastAsia="ar-SA"/>
        </w:rPr>
        <w:t>, para el mes</w:t>
      </w:r>
      <w:r w:rsidR="00C63A01">
        <w:rPr>
          <w:rFonts w:cs="Arial"/>
          <w:bCs/>
          <w:lang w:eastAsia="ar-SA"/>
        </w:rPr>
        <w:t xml:space="preserve"> </w:t>
      </w:r>
      <w:r w:rsidR="00C63A01" w:rsidRPr="004F4063">
        <w:rPr>
          <w:rFonts w:cs="Arial"/>
          <w:bCs/>
          <w:i/>
          <w:lang w:eastAsia="ar-SA"/>
        </w:rPr>
        <w:t>m-1</w:t>
      </w:r>
      <w:r w:rsidR="00C63A01" w:rsidRPr="000A29D6">
        <w:rPr>
          <w:rFonts w:cs="Arial"/>
          <w:bCs/>
          <w:lang w:eastAsia="ar-SA"/>
        </w:rPr>
        <w:t xml:space="preserve">, </w:t>
      </w:r>
      <w:r w:rsidR="00C63A01">
        <w:rPr>
          <w:rFonts w:cs="Arial"/>
          <w:bCs/>
          <w:lang w:eastAsia="ar-SA"/>
        </w:rPr>
        <w:t xml:space="preserve">descontando </w:t>
      </w:r>
      <w:r w:rsidR="00A21970">
        <w:rPr>
          <w:rFonts w:cs="Arial"/>
          <w:bCs/>
          <w:lang w:eastAsia="ar-SA"/>
        </w:rPr>
        <w:t>el</w:t>
      </w:r>
      <w:r w:rsidR="00C63A01">
        <w:rPr>
          <w:rFonts w:cs="Arial"/>
          <w:bCs/>
          <w:lang w:eastAsia="ar-SA"/>
        </w:rPr>
        <w:t xml:space="preserve"> valor de </w:t>
      </w:r>
      <w:r w:rsidR="00C63A01" w:rsidRPr="000A29D6">
        <w:rPr>
          <w:rFonts w:cs="Arial"/>
          <w:bCs/>
          <w:lang w:eastAsia="ar-SA"/>
        </w:rPr>
        <w:t>la</w:t>
      </w:r>
      <w:r w:rsidR="00C63A01">
        <w:rPr>
          <w:rFonts w:cs="Arial"/>
          <w:bCs/>
          <w:lang w:eastAsia="ar-SA"/>
        </w:rPr>
        <w:t xml:space="preserve"> variable </w:t>
      </w:r>
      <w:r w:rsidR="006D072B">
        <w:rPr>
          <w:rFonts w:cs="Arial"/>
          <w:bCs/>
          <w:i/>
          <w:lang w:eastAsia="ar-SA"/>
        </w:rPr>
        <w:t>FT</w:t>
      </w:r>
      <w:r w:rsidR="00C63A01" w:rsidRPr="004F4063">
        <w:rPr>
          <w:rFonts w:cs="Arial"/>
          <w:bCs/>
          <w:i/>
          <w:lang w:eastAsia="ar-SA"/>
        </w:rPr>
        <w:t>AE</w:t>
      </w:r>
      <w:r w:rsidR="00C63A01" w:rsidRPr="004F4063">
        <w:rPr>
          <w:rFonts w:cs="Arial"/>
          <w:bCs/>
          <w:i/>
          <w:vertAlign w:val="subscript"/>
          <w:lang w:eastAsia="ar-SA"/>
        </w:rPr>
        <w:t>i,j,m-1</w:t>
      </w:r>
      <w:r w:rsidR="00C63A01">
        <w:rPr>
          <w:rFonts w:cs="Arial"/>
          <w:bCs/>
          <w:lang w:eastAsia="ar-SA"/>
        </w:rPr>
        <w:t>.</w:t>
      </w:r>
    </w:p>
    <w:p w14:paraId="218DC0A3" w14:textId="3021059A" w:rsidR="004D4313" w:rsidRPr="000A29D6" w:rsidRDefault="00C63A01" w:rsidP="004D4313">
      <w:pPr>
        <w:ind w:left="1559" w:right="45" w:hanging="1559"/>
        <w:rPr>
          <w:rFonts w:cs="Arial"/>
          <w:bCs/>
          <w:lang w:eastAsia="ar-SA"/>
        </w:rPr>
      </w:pPr>
      <w:proofErr w:type="spellStart"/>
      <w:proofErr w:type="gramStart"/>
      <w:r>
        <w:rPr>
          <w:rFonts w:cs="Arial"/>
          <w:bCs/>
          <w:i/>
          <w:lang w:eastAsia="ar-SA"/>
        </w:rPr>
        <w:t>RCAE</w:t>
      </w:r>
      <w:r w:rsidRPr="004F4063">
        <w:rPr>
          <w:rFonts w:cs="Arial"/>
          <w:bCs/>
          <w:i/>
          <w:vertAlign w:val="subscript"/>
          <w:lang w:eastAsia="ar-SA"/>
        </w:rPr>
        <w:t>j,t</w:t>
      </w:r>
      <w:proofErr w:type="spellEnd"/>
      <w:proofErr w:type="gramEnd"/>
      <w:r w:rsidRPr="0035179F">
        <w:rPr>
          <w:rFonts w:cs="Arial"/>
          <w:lang w:eastAsia="ar-SA"/>
        </w:rPr>
        <w:t>:</w:t>
      </w:r>
      <w:r w:rsidRPr="000A29D6">
        <w:rPr>
          <w:rFonts w:cs="Arial"/>
          <w:bCs/>
          <w:lang w:eastAsia="ar-SA"/>
        </w:rPr>
        <w:tab/>
      </w:r>
      <w:r w:rsidRPr="003C0DFD">
        <w:rPr>
          <w:rFonts w:cs="Arial"/>
          <w:bCs/>
          <w:lang w:eastAsia="ar-SA"/>
        </w:rPr>
        <w:t>Prima de riesgo de cartera a reconocer al comercializador integrado al operador de red</w:t>
      </w:r>
      <w:r w:rsidR="00E543B8">
        <w:rPr>
          <w:rFonts w:cs="Arial"/>
          <w:bCs/>
          <w:lang w:eastAsia="ar-SA"/>
        </w:rPr>
        <w:t xml:space="preserve"> o </w:t>
      </w:r>
      <w:r w:rsidR="003D7997">
        <w:rPr>
          <w:rFonts w:cs="Arial"/>
          <w:bCs/>
          <w:lang w:eastAsia="ar-SA"/>
        </w:rPr>
        <w:t>al prestador de última instancia</w:t>
      </w:r>
      <w:r w:rsidRPr="003C0DFD">
        <w:rPr>
          <w:rFonts w:cs="Arial"/>
          <w:bCs/>
          <w:lang w:eastAsia="ar-SA"/>
        </w:rPr>
        <w:t xml:space="preserve">, por la </w:t>
      </w:r>
      <w:r w:rsidRPr="003C0DFD">
        <w:rPr>
          <w:rFonts w:cs="Arial"/>
          <w:bCs/>
          <w:lang w:eastAsia="ar-SA"/>
        </w:rPr>
        <w:lastRenderedPageBreak/>
        <w:t>atención de usuarios en áreas especiales,</w:t>
      </w:r>
      <w:r>
        <w:rPr>
          <w:rFonts w:cs="Arial"/>
          <w:bCs/>
          <w:lang w:eastAsia="ar-SA"/>
        </w:rPr>
        <w:t xml:space="preserve"> en el mercado de comercialización </w:t>
      </w:r>
      <w:r w:rsidRPr="00565298">
        <w:rPr>
          <w:rFonts w:cs="Arial"/>
          <w:bCs/>
          <w:i/>
          <w:lang w:eastAsia="ar-SA"/>
        </w:rPr>
        <w:t>j</w:t>
      </w:r>
      <w:r>
        <w:rPr>
          <w:rFonts w:cs="Arial"/>
          <w:bCs/>
          <w:lang w:eastAsia="ar-SA"/>
        </w:rPr>
        <w:t xml:space="preserve">, para el año </w:t>
      </w:r>
      <w:r w:rsidRPr="00565298">
        <w:rPr>
          <w:rFonts w:cs="Arial"/>
          <w:bCs/>
          <w:i/>
          <w:lang w:eastAsia="ar-SA"/>
        </w:rPr>
        <w:t>t</w:t>
      </w:r>
      <w:r>
        <w:rPr>
          <w:rFonts w:cs="Arial"/>
          <w:bCs/>
          <w:lang w:eastAsia="ar-SA"/>
        </w:rPr>
        <w:t>.</w:t>
      </w:r>
      <w:r w:rsidR="004D4313">
        <w:rPr>
          <w:rFonts w:cs="Arial"/>
          <w:bCs/>
          <w:lang w:eastAsia="ar-SA"/>
        </w:rPr>
        <w:t xml:space="preserve"> </w:t>
      </w:r>
    </w:p>
    <w:p w14:paraId="608E8B73" w14:textId="40FD6794" w:rsidR="00C63A01" w:rsidRPr="000A29D6" w:rsidRDefault="00AD6178" w:rsidP="005D04BF">
      <w:pPr>
        <w:ind w:left="1559" w:right="45" w:hanging="1559"/>
        <w:rPr>
          <w:rFonts w:cs="Arial"/>
          <w:bCs/>
          <w:lang w:eastAsia="ar-SA"/>
        </w:rPr>
      </w:pPr>
      <w:proofErr w:type="gramStart"/>
      <w:r>
        <w:rPr>
          <w:rFonts w:cs="Arial"/>
          <w:bCs/>
          <w:i/>
          <w:lang w:eastAsia="ar-SA"/>
        </w:rPr>
        <w:t>FT</w:t>
      </w:r>
      <w:r w:rsidR="00C63A01" w:rsidRPr="004F4063">
        <w:rPr>
          <w:rFonts w:cs="Arial"/>
          <w:bCs/>
          <w:i/>
          <w:lang w:eastAsia="ar-SA"/>
        </w:rPr>
        <w:t>AE</w:t>
      </w:r>
      <w:r w:rsidR="00C63A01" w:rsidRPr="004F4063">
        <w:rPr>
          <w:rFonts w:cs="Arial"/>
          <w:bCs/>
          <w:i/>
          <w:vertAlign w:val="subscript"/>
          <w:lang w:eastAsia="ar-SA"/>
        </w:rPr>
        <w:t>i,j</w:t>
      </w:r>
      <w:proofErr w:type="gramEnd"/>
      <w:r w:rsidR="00C63A01" w:rsidRPr="004F4063">
        <w:rPr>
          <w:rFonts w:cs="Arial"/>
          <w:bCs/>
          <w:i/>
          <w:vertAlign w:val="subscript"/>
          <w:lang w:eastAsia="ar-SA"/>
        </w:rPr>
        <w:t>,m-1</w:t>
      </w:r>
      <w:r w:rsidR="00C63A01" w:rsidRPr="000A29D6">
        <w:rPr>
          <w:rFonts w:cs="Arial"/>
          <w:bCs/>
          <w:lang w:eastAsia="ar-SA"/>
        </w:rPr>
        <w:t>:</w:t>
      </w:r>
      <w:r w:rsidR="00C63A01">
        <w:rPr>
          <w:rFonts w:cs="Arial"/>
          <w:bCs/>
          <w:lang w:eastAsia="ar-SA"/>
        </w:rPr>
        <w:tab/>
      </w:r>
      <w:r w:rsidR="00122108">
        <w:rPr>
          <w:rFonts w:cs="Arial"/>
          <w:bCs/>
          <w:lang w:eastAsia="ar-SA"/>
        </w:rPr>
        <w:t>Facturación total en pesos</w:t>
      </w:r>
      <w:r w:rsidR="00C63A01" w:rsidRPr="000A29D6">
        <w:rPr>
          <w:rFonts w:cs="Arial"/>
          <w:bCs/>
          <w:lang w:eastAsia="ar-SA"/>
        </w:rPr>
        <w:t xml:space="preserve"> a</w:t>
      </w:r>
      <w:r w:rsidR="00C63A01">
        <w:rPr>
          <w:rFonts w:cs="Arial"/>
          <w:bCs/>
          <w:lang w:eastAsia="ar-SA"/>
        </w:rPr>
        <w:t xml:space="preserve"> los u</w:t>
      </w:r>
      <w:r w:rsidR="00C63A01" w:rsidRPr="000A29D6">
        <w:rPr>
          <w:rFonts w:cs="Arial"/>
          <w:bCs/>
          <w:lang w:eastAsia="ar-SA"/>
        </w:rPr>
        <w:t>suarios</w:t>
      </w:r>
      <w:r w:rsidR="00C63A01">
        <w:rPr>
          <w:rFonts w:cs="Arial"/>
          <w:bCs/>
          <w:lang w:eastAsia="ar-SA"/>
        </w:rPr>
        <w:t xml:space="preserve"> ubicados </w:t>
      </w:r>
      <w:r w:rsidR="00C63A01">
        <w:rPr>
          <w:rFonts w:cs="Arial"/>
          <w:bCs/>
          <w:szCs w:val="22"/>
          <w:lang w:eastAsia="ar-SA"/>
        </w:rPr>
        <w:t>en áreas especiales</w:t>
      </w:r>
      <w:r w:rsidR="00C63A01" w:rsidRPr="0093167A">
        <w:rPr>
          <w:rFonts w:cs="Arial"/>
          <w:bCs/>
          <w:szCs w:val="22"/>
          <w:lang w:eastAsia="ar-SA"/>
        </w:rPr>
        <w:t xml:space="preserve"> atendidos por el comercializador</w:t>
      </w:r>
      <w:r w:rsidR="00C63A01">
        <w:rPr>
          <w:rFonts w:cs="Arial"/>
          <w:bCs/>
          <w:szCs w:val="22"/>
          <w:lang w:eastAsia="ar-SA"/>
        </w:rPr>
        <w:t xml:space="preserve"> </w:t>
      </w:r>
      <w:r w:rsidR="00C63A01" w:rsidRPr="004F4063">
        <w:rPr>
          <w:rFonts w:cs="Arial"/>
          <w:bCs/>
          <w:i/>
          <w:lang w:eastAsia="ar-SA"/>
        </w:rPr>
        <w:t>i</w:t>
      </w:r>
      <w:r w:rsidR="00C63A01" w:rsidRPr="000A29D6">
        <w:rPr>
          <w:rFonts w:cs="Arial"/>
          <w:bCs/>
          <w:lang w:eastAsia="ar-SA"/>
        </w:rPr>
        <w:t>,</w:t>
      </w:r>
      <w:r w:rsidR="00C63A01">
        <w:rPr>
          <w:rFonts w:cs="Arial"/>
          <w:bCs/>
          <w:szCs w:val="22"/>
          <w:lang w:eastAsia="ar-SA"/>
        </w:rPr>
        <w:t xml:space="preserve"> en </w:t>
      </w:r>
      <w:r w:rsidR="00C63A01" w:rsidRPr="0093167A">
        <w:rPr>
          <w:rFonts w:cs="Arial"/>
          <w:bCs/>
          <w:szCs w:val="22"/>
          <w:lang w:eastAsia="ar-SA"/>
        </w:rPr>
        <w:t>el mercado de comercialización</w:t>
      </w:r>
      <w:r w:rsidR="00C63A01">
        <w:rPr>
          <w:rFonts w:cs="Arial"/>
          <w:bCs/>
          <w:szCs w:val="22"/>
          <w:lang w:eastAsia="ar-SA"/>
        </w:rPr>
        <w:t xml:space="preserve"> </w:t>
      </w:r>
      <w:r w:rsidR="00C63A01" w:rsidRPr="004F4063">
        <w:rPr>
          <w:rFonts w:cs="Arial"/>
          <w:bCs/>
          <w:i/>
          <w:lang w:eastAsia="ar-SA"/>
        </w:rPr>
        <w:t>j</w:t>
      </w:r>
      <w:r w:rsidR="00C63A01">
        <w:rPr>
          <w:rFonts w:cs="Arial"/>
          <w:szCs w:val="22"/>
          <w:lang w:eastAsia="ar-SA"/>
        </w:rPr>
        <w:t xml:space="preserve">, </w:t>
      </w:r>
      <w:r w:rsidR="00C63A01" w:rsidRPr="0093167A">
        <w:rPr>
          <w:rFonts w:cs="Arial"/>
          <w:bCs/>
          <w:szCs w:val="22"/>
          <w:lang w:eastAsia="ar-SA"/>
        </w:rPr>
        <w:t xml:space="preserve">para el </w:t>
      </w:r>
      <w:r w:rsidR="00C63A01">
        <w:rPr>
          <w:rFonts w:cs="Arial"/>
          <w:bCs/>
          <w:szCs w:val="22"/>
          <w:lang w:eastAsia="ar-SA"/>
        </w:rPr>
        <w:t xml:space="preserve">mes </w:t>
      </w:r>
      <w:r w:rsidR="00C63A01" w:rsidRPr="004F4063">
        <w:rPr>
          <w:rFonts w:cs="Arial"/>
          <w:bCs/>
          <w:i/>
          <w:lang w:eastAsia="ar-SA"/>
        </w:rPr>
        <w:t>m-1</w:t>
      </w:r>
      <w:r w:rsidR="00C63A01">
        <w:rPr>
          <w:rFonts w:cs="Arial"/>
          <w:bCs/>
          <w:szCs w:val="22"/>
          <w:lang w:eastAsia="ar-SA"/>
        </w:rPr>
        <w:t>.</w:t>
      </w:r>
      <w:r w:rsidR="00C63A01" w:rsidDel="00122108">
        <w:rPr>
          <w:rFonts w:cs="Arial"/>
          <w:lang w:eastAsia="ar-SA"/>
        </w:rPr>
        <w:t xml:space="preserve"> </w:t>
      </w:r>
    </w:p>
    <w:p w14:paraId="20B693C9" w14:textId="77777777" w:rsidR="004D4313" w:rsidRDefault="00DC37D5" w:rsidP="005D04BF">
      <w:pPr>
        <w:ind w:left="1559" w:right="45" w:hanging="1559"/>
        <w:rPr>
          <w:rFonts w:cs="Arial"/>
          <w:bCs/>
          <w:lang w:eastAsia="ar-SA"/>
        </w:rPr>
      </w:pPr>
      <w:proofErr w:type="gramStart"/>
      <w:r>
        <w:rPr>
          <w:rFonts w:cs="Arial"/>
          <w:bCs/>
          <w:i/>
          <w:lang w:eastAsia="ar-SA"/>
        </w:rPr>
        <w:t>FT</w:t>
      </w:r>
      <w:r w:rsidR="00C63A01" w:rsidRPr="001F4E0E">
        <w:rPr>
          <w:rFonts w:cs="Arial"/>
          <w:bCs/>
          <w:i/>
          <w:lang w:eastAsia="ar-SA"/>
        </w:rPr>
        <w:t>R</w:t>
      </w:r>
      <w:r w:rsidR="00C63A01" w:rsidRPr="001F4E0E">
        <w:rPr>
          <w:rFonts w:cs="Arial"/>
          <w:bCs/>
          <w:i/>
          <w:vertAlign w:val="subscript"/>
          <w:lang w:eastAsia="ar-SA"/>
        </w:rPr>
        <w:t>i,j</w:t>
      </w:r>
      <w:proofErr w:type="gramEnd"/>
      <w:r w:rsidR="00C63A01" w:rsidRPr="001F4E0E">
        <w:rPr>
          <w:rFonts w:cs="Arial"/>
          <w:bCs/>
          <w:i/>
          <w:vertAlign w:val="subscript"/>
          <w:lang w:eastAsia="ar-SA"/>
        </w:rPr>
        <w:t>,m-1</w:t>
      </w:r>
      <w:r w:rsidR="00C63A01" w:rsidRPr="001F4E0E">
        <w:rPr>
          <w:rFonts w:cs="Arial"/>
          <w:bCs/>
          <w:lang w:eastAsia="ar-SA"/>
        </w:rPr>
        <w:t>:</w:t>
      </w:r>
      <w:r w:rsidR="00C63A01" w:rsidRPr="001F4E0E">
        <w:rPr>
          <w:rFonts w:cs="Arial"/>
          <w:bCs/>
          <w:lang w:eastAsia="ar-SA"/>
        </w:rPr>
        <w:tab/>
      </w:r>
      <w:r>
        <w:rPr>
          <w:rFonts w:cs="Arial"/>
          <w:bCs/>
          <w:lang w:eastAsia="ar-SA"/>
        </w:rPr>
        <w:t>Facturación total en pesos</w:t>
      </w:r>
      <w:r w:rsidR="00C63A01" w:rsidRPr="001F4E0E">
        <w:rPr>
          <w:rFonts w:cs="Arial"/>
          <w:bCs/>
          <w:lang w:eastAsia="ar-SA"/>
        </w:rPr>
        <w:t xml:space="preserve"> a usuarios regulados realizadas por el comercializador </w:t>
      </w:r>
      <w:r w:rsidR="00C63A01" w:rsidRPr="001F4E0E">
        <w:rPr>
          <w:rFonts w:cs="Arial"/>
          <w:bCs/>
          <w:i/>
          <w:lang w:eastAsia="ar-SA"/>
        </w:rPr>
        <w:t>i</w:t>
      </w:r>
      <w:r w:rsidR="00C63A01" w:rsidRPr="001F4E0E">
        <w:rPr>
          <w:rFonts w:cs="Arial"/>
          <w:bCs/>
          <w:lang w:eastAsia="ar-SA"/>
        </w:rPr>
        <w:t>, en el mercado de co</w:t>
      </w:r>
      <w:r w:rsidR="00C63A01" w:rsidRPr="000A29D6">
        <w:rPr>
          <w:rFonts w:cs="Arial"/>
          <w:bCs/>
          <w:lang w:eastAsia="ar-SA"/>
        </w:rPr>
        <w:t>mercialización</w:t>
      </w:r>
      <w:r w:rsidR="00C63A01">
        <w:rPr>
          <w:rFonts w:cs="Arial"/>
          <w:bCs/>
          <w:lang w:eastAsia="ar-SA"/>
        </w:rPr>
        <w:t xml:space="preserve"> </w:t>
      </w:r>
      <w:r w:rsidR="00C63A01" w:rsidRPr="004F4063">
        <w:rPr>
          <w:rFonts w:cs="Arial"/>
          <w:bCs/>
          <w:i/>
          <w:lang w:eastAsia="ar-SA"/>
        </w:rPr>
        <w:t>j</w:t>
      </w:r>
      <w:r w:rsidR="00C63A01" w:rsidRPr="000A29D6">
        <w:rPr>
          <w:rFonts w:cs="Arial"/>
          <w:bCs/>
          <w:lang w:eastAsia="ar-SA"/>
        </w:rPr>
        <w:t>, en el mes</w:t>
      </w:r>
      <w:r w:rsidR="00C63A01">
        <w:rPr>
          <w:rFonts w:cs="Arial"/>
          <w:bCs/>
          <w:lang w:eastAsia="ar-SA"/>
        </w:rPr>
        <w:t xml:space="preserve"> </w:t>
      </w:r>
      <w:r w:rsidR="00C63A01" w:rsidRPr="004F4063">
        <w:rPr>
          <w:rFonts w:cs="Arial"/>
          <w:bCs/>
          <w:i/>
          <w:lang w:eastAsia="ar-SA"/>
        </w:rPr>
        <w:t>m-1</w:t>
      </w:r>
      <w:r w:rsidR="00C63A01" w:rsidRPr="000A29D6">
        <w:rPr>
          <w:rFonts w:cs="Arial"/>
          <w:bCs/>
          <w:lang w:eastAsia="ar-SA"/>
        </w:rPr>
        <w:t>.</w:t>
      </w:r>
      <w:r w:rsidR="00AF3FC2">
        <w:rPr>
          <w:rFonts w:cs="Arial"/>
          <w:bCs/>
          <w:lang w:eastAsia="ar-SA"/>
        </w:rPr>
        <w:t xml:space="preserve"> </w:t>
      </w:r>
    </w:p>
    <w:p w14:paraId="37551EBE" w14:textId="0BCBB39F" w:rsidR="00C63A01" w:rsidRPr="000A29D6" w:rsidRDefault="00AF3FC2" w:rsidP="004D4313">
      <w:pPr>
        <w:ind w:left="1559" w:right="45"/>
        <w:rPr>
          <w:rFonts w:cs="Arial"/>
          <w:bCs/>
          <w:lang w:eastAsia="ar-SA"/>
        </w:rPr>
      </w:pPr>
      <w:r w:rsidRPr="000A29D6">
        <w:rPr>
          <w:rFonts w:cs="Arial"/>
          <w:bCs/>
          <w:lang w:eastAsia="ar-SA"/>
        </w:rPr>
        <w:t>La suma de las variables</w:t>
      </w:r>
      <w:r>
        <w:rPr>
          <w:rFonts w:cs="Arial"/>
          <w:bCs/>
          <w:lang w:eastAsia="ar-SA"/>
        </w:rPr>
        <w:t xml:space="preserve"> </w:t>
      </w:r>
      <w:proofErr w:type="gramStart"/>
      <w:r w:rsidR="00223094">
        <w:rPr>
          <w:rFonts w:cs="Arial"/>
          <w:bCs/>
          <w:i/>
          <w:lang w:eastAsia="ar-SA"/>
        </w:rPr>
        <w:t>F</w:t>
      </w:r>
      <w:r w:rsidR="00B348A6">
        <w:rPr>
          <w:rFonts w:cs="Arial"/>
          <w:bCs/>
          <w:i/>
          <w:lang w:eastAsia="ar-SA"/>
        </w:rPr>
        <w:t>T</w:t>
      </w:r>
      <w:r w:rsidR="00223094">
        <w:rPr>
          <w:rFonts w:cs="Arial"/>
          <w:bCs/>
          <w:i/>
          <w:lang w:eastAsia="ar-SA"/>
        </w:rPr>
        <w:t>T</w:t>
      </w:r>
      <w:r w:rsidRPr="009418F8">
        <w:rPr>
          <w:rFonts w:cs="Arial"/>
          <w:bCs/>
          <w:i/>
          <w:lang w:eastAsia="ar-SA"/>
        </w:rPr>
        <w:t>r</w:t>
      </w:r>
      <w:r w:rsidRPr="009418F8">
        <w:rPr>
          <w:rFonts w:cs="Arial"/>
          <w:bCs/>
          <w:i/>
          <w:vertAlign w:val="subscript"/>
          <w:lang w:eastAsia="ar-SA"/>
        </w:rPr>
        <w:t>i,j</w:t>
      </w:r>
      <w:proofErr w:type="gramEnd"/>
      <w:r w:rsidRPr="009418F8">
        <w:rPr>
          <w:rFonts w:cs="Arial"/>
          <w:bCs/>
          <w:i/>
          <w:vertAlign w:val="subscript"/>
          <w:lang w:eastAsia="ar-SA"/>
        </w:rPr>
        <w:t>,m-1</w:t>
      </w:r>
      <w:r w:rsidR="00B03B51">
        <w:rPr>
          <w:rFonts w:cs="Arial"/>
          <w:bCs/>
          <w:i/>
          <w:lang w:eastAsia="ar-SA"/>
        </w:rPr>
        <w:t xml:space="preserve"> </w:t>
      </w:r>
      <w:r w:rsidR="00B03B51" w:rsidRPr="00B03B51">
        <w:rPr>
          <w:rFonts w:cs="Arial"/>
          <w:bCs/>
          <w:iCs/>
          <w:lang w:eastAsia="ar-SA"/>
        </w:rPr>
        <w:t>y</w:t>
      </w:r>
      <w:r w:rsidRPr="00D035E5">
        <w:rPr>
          <w:rFonts w:cs="Arial"/>
          <w:bCs/>
          <w:i/>
          <w:lang w:eastAsia="ar-SA"/>
        </w:rPr>
        <w:t xml:space="preserve"> </w:t>
      </w:r>
      <w:r w:rsidR="00B348A6">
        <w:rPr>
          <w:rFonts w:cs="Arial"/>
          <w:bCs/>
          <w:i/>
          <w:lang w:eastAsia="ar-SA"/>
        </w:rPr>
        <w:t>FT</w:t>
      </w:r>
      <w:r w:rsidRPr="004F4063">
        <w:rPr>
          <w:rFonts w:cs="Arial"/>
          <w:bCs/>
          <w:i/>
          <w:lang w:eastAsia="ar-SA"/>
        </w:rPr>
        <w:t>AE</w:t>
      </w:r>
      <w:r w:rsidRPr="004F4063">
        <w:rPr>
          <w:rFonts w:cs="Arial"/>
          <w:bCs/>
          <w:i/>
          <w:vertAlign w:val="subscript"/>
          <w:lang w:eastAsia="ar-SA"/>
        </w:rPr>
        <w:t>i,j,m-1</w:t>
      </w:r>
      <w:r w:rsidR="00B348A6">
        <w:rPr>
          <w:rFonts w:cs="Arial"/>
          <w:bCs/>
          <w:i/>
          <w:vertAlign w:val="subscript"/>
          <w:lang w:eastAsia="ar-SA"/>
        </w:rPr>
        <w:t xml:space="preserve"> </w:t>
      </w:r>
      <w:r w:rsidRPr="000A29D6">
        <w:rPr>
          <w:rFonts w:cs="Arial"/>
          <w:bCs/>
          <w:lang w:eastAsia="ar-SA"/>
        </w:rPr>
        <w:t>debe ser igual a la variable</w:t>
      </w:r>
      <w:r>
        <w:rPr>
          <w:rFonts w:cs="Arial"/>
          <w:bCs/>
          <w:lang w:eastAsia="ar-SA"/>
        </w:rPr>
        <w:t xml:space="preserve"> </w:t>
      </w:r>
      <w:r w:rsidR="00B348A6">
        <w:rPr>
          <w:rFonts w:cs="Arial"/>
          <w:bCs/>
          <w:i/>
          <w:lang w:eastAsia="ar-SA"/>
        </w:rPr>
        <w:t>FTR</w:t>
      </w:r>
      <w:r w:rsidRPr="004F4063">
        <w:rPr>
          <w:rFonts w:cs="Arial"/>
          <w:bCs/>
          <w:i/>
          <w:vertAlign w:val="subscript"/>
          <w:lang w:eastAsia="ar-SA"/>
        </w:rPr>
        <w:t>i,j,m-1</w:t>
      </w:r>
      <w:r w:rsidRPr="000A29D6">
        <w:rPr>
          <w:rFonts w:cs="Arial"/>
          <w:bCs/>
          <w:lang w:eastAsia="ar-SA"/>
        </w:rPr>
        <w:t>.</w:t>
      </w:r>
    </w:p>
    <w:p w14:paraId="65237B72" w14:textId="4F0215D9" w:rsidR="006755FC" w:rsidRPr="00C63A01" w:rsidRDefault="004B0AC9" w:rsidP="004B0AC9">
      <w:pPr>
        <w:pStyle w:val="Ttulo4"/>
      </w:pPr>
      <w:r>
        <w:t>Prima de riesgo de cartera</w:t>
      </w:r>
      <w:r w:rsidR="000C799E">
        <w:t xml:space="preserve"> usuarios tradicionales</w:t>
      </w:r>
    </w:p>
    <w:p w14:paraId="11C0B3B8" w14:textId="730E660D" w:rsidR="003230A0" w:rsidRDefault="003230A0" w:rsidP="003230A0">
      <w:pPr>
        <w:ind w:right="47"/>
        <w:rPr>
          <w:rFonts w:cs="Arial"/>
          <w:lang w:eastAsia="es-CO"/>
        </w:rPr>
      </w:pPr>
      <w:r w:rsidRPr="000A29D6">
        <w:rPr>
          <w:rFonts w:cs="Arial"/>
        </w:rPr>
        <w:t xml:space="preserve">El valor </w:t>
      </w:r>
      <w:r>
        <w:rPr>
          <w:rFonts w:cs="Arial"/>
        </w:rPr>
        <w:t>de</w:t>
      </w:r>
      <w:r w:rsidRPr="000A29D6">
        <w:rPr>
          <w:rFonts w:cs="Arial"/>
        </w:rPr>
        <w:t xml:space="preserve"> la variable </w:t>
      </w:r>
      <w:proofErr w:type="spellStart"/>
      <w:r w:rsidRPr="00BA25DD">
        <w:rPr>
          <w:rFonts w:cs="Arial"/>
          <w:bCs/>
          <w:i/>
          <w:lang w:eastAsia="ar-SA"/>
        </w:rPr>
        <w:t>RCT</w:t>
      </w:r>
      <w:r w:rsidRPr="00BA25DD">
        <w:rPr>
          <w:rFonts w:cs="Arial"/>
          <w:bCs/>
          <w:i/>
          <w:vertAlign w:val="subscript"/>
          <w:lang w:eastAsia="ar-SA"/>
        </w:rPr>
        <w:t>j</w:t>
      </w:r>
      <w:proofErr w:type="spellEnd"/>
      <w:r w:rsidRPr="000A29D6">
        <w:rPr>
          <w:rFonts w:cs="Arial"/>
          <w:color w:val="000000"/>
          <w:lang w:val="es-CO"/>
        </w:rPr>
        <w:t xml:space="preserve"> </w:t>
      </w:r>
      <w:r>
        <w:rPr>
          <w:rFonts w:cs="Arial"/>
          <w:color w:val="000000"/>
          <w:lang w:val="es-CO"/>
        </w:rPr>
        <w:t xml:space="preserve">será calculado </w:t>
      </w:r>
      <w:r w:rsidRPr="005547AF">
        <w:rPr>
          <w:rFonts w:cs="Arial"/>
          <w:lang w:eastAsia="es-CO"/>
        </w:rPr>
        <w:t>para cada mercado de comercialización</w:t>
      </w:r>
      <w:r>
        <w:rPr>
          <w:rFonts w:cs="Arial"/>
          <w:lang w:eastAsia="es-CO"/>
        </w:rPr>
        <w:t xml:space="preserve"> </w:t>
      </w:r>
      <w:r w:rsidRPr="00DC42E6">
        <w:rPr>
          <w:rFonts w:cs="Arial"/>
          <w:i/>
          <w:lang w:eastAsia="es-CO"/>
        </w:rPr>
        <w:t>j</w:t>
      </w:r>
      <w:r w:rsidRPr="005547AF">
        <w:rPr>
          <w:rFonts w:cs="Arial"/>
          <w:lang w:eastAsia="es-CO"/>
        </w:rPr>
        <w:t>, conforme a la siguiente ecuación:</w:t>
      </w:r>
    </w:p>
    <w:p w14:paraId="6C9FDC53" w14:textId="11C0D2C3" w:rsidR="00A6615B" w:rsidRPr="008A6EA9" w:rsidRDefault="00000000" w:rsidP="00A6615B">
      <w:pPr>
        <w:ind w:right="47"/>
        <w:rPr>
          <w:rFonts w:cs="Arial"/>
          <w:i/>
          <w:lang w:val="es-ES_tradnl"/>
        </w:rPr>
      </w:pPr>
      <m:oMathPara>
        <m:oMath>
          <m:sSub>
            <m:sSubPr>
              <m:ctrlPr>
                <w:rPr>
                  <w:rFonts w:ascii="Cambria Math" w:hAnsi="Cambria Math" w:cs="Arial"/>
                  <w:i/>
                  <w:lang w:val="es-ES_tradnl"/>
                </w:rPr>
              </m:ctrlPr>
            </m:sSubPr>
            <m:e>
              <m:r>
                <w:rPr>
                  <w:rFonts w:ascii="Cambria Math" w:hAnsi="Cambria Math" w:cs="Arial"/>
                  <w:lang w:val="es-ES_tradnl"/>
                </w:rPr>
                <m:t>RCT</m:t>
              </m:r>
            </m:e>
            <m:sub>
              <m:r>
                <w:rPr>
                  <w:rFonts w:ascii="Cambria Math" w:hAnsi="Cambria Math" w:cs="Arial"/>
                  <w:lang w:val="es-ES_tradnl"/>
                </w:rPr>
                <m:t>j</m:t>
              </m:r>
            </m:sub>
          </m:sSub>
          <m:r>
            <w:rPr>
              <w:rFonts w:ascii="Cambria Math" w:hAnsi="Cambria Math" w:cs="Arial"/>
              <w:lang w:val="es-ES_tradnl"/>
            </w:rPr>
            <m:t>=</m:t>
          </m:r>
          <m:f>
            <m:fPr>
              <m:ctrlPr>
                <w:rPr>
                  <w:rFonts w:ascii="Cambria Math" w:hAnsi="Cambria Math" w:cs="Arial"/>
                  <w:i/>
                  <w:lang w:val="es-ES_tradnl"/>
                </w:rPr>
              </m:ctrlPr>
            </m:fPr>
            <m:num>
              <m:nary>
                <m:naryPr>
                  <m:chr m:val="∑"/>
                  <m:limLoc m:val="undOvr"/>
                  <m:ctrlPr>
                    <w:rPr>
                      <w:rFonts w:ascii="Cambria Math" w:hAnsi="Cambria Math" w:cs="Arial"/>
                      <w:i/>
                      <w:lang w:val="es-ES_tradnl"/>
                    </w:rPr>
                  </m:ctrlPr>
                </m:naryPr>
                <m:sub>
                  <m:r>
                    <w:rPr>
                      <w:rFonts w:ascii="Cambria Math" w:hAnsi="Cambria Math" w:cs="Arial"/>
                      <w:lang w:val="es-ES_tradnl"/>
                    </w:rPr>
                    <m:t>e=1</m:t>
                  </m:r>
                </m:sub>
                <m:sup>
                  <m:r>
                    <w:rPr>
                      <w:rFonts w:ascii="Cambria Math" w:hAnsi="Cambria Math" w:cs="Arial"/>
                      <w:lang w:val="es-ES_tradnl"/>
                    </w:rPr>
                    <m:t>11</m:t>
                  </m:r>
                </m:sup>
                <m:e>
                  <m:d>
                    <m:dPr>
                      <m:ctrlPr>
                        <w:rPr>
                          <w:rFonts w:ascii="Cambria Math" w:hAnsi="Cambria Math" w:cs="Arial"/>
                          <w:i/>
                          <w:lang w:val="es-ES_tradnl"/>
                        </w:rPr>
                      </m:ctrlPr>
                    </m:dPr>
                    <m:e>
                      <m:f>
                        <m:fPr>
                          <m:ctrlPr>
                            <w:rPr>
                              <w:rFonts w:ascii="Cambria Math" w:hAnsi="Cambria Math" w:cs="Arial"/>
                              <w:i/>
                              <w:lang w:val="es-ES_tradnl"/>
                            </w:rPr>
                          </m:ctrlPr>
                        </m:fPr>
                        <m:num>
                          <m:sSub>
                            <m:sSubPr>
                              <m:ctrlPr>
                                <w:rPr>
                                  <w:rFonts w:ascii="Cambria Math" w:hAnsi="Cambria Math" w:cs="Arial"/>
                                  <w:i/>
                                  <w:lang w:val="es-ES_tradnl"/>
                                </w:rPr>
                              </m:ctrlPr>
                            </m:sSubPr>
                            <m:e>
                              <m:r>
                                <w:rPr>
                                  <w:rFonts w:ascii="Cambria Math" w:hAnsi="Cambria Math" w:cs="Arial"/>
                                  <w:lang w:val="es-ES_tradnl"/>
                                </w:rPr>
                                <m:t>N</m:t>
                              </m:r>
                            </m:e>
                            <m:sub>
                              <m:r>
                                <w:rPr>
                                  <w:rFonts w:ascii="Cambria Math" w:hAnsi="Cambria Math" w:cs="Arial"/>
                                  <w:lang w:val="es-ES_tradnl"/>
                                </w:rPr>
                                <m:t>j,e</m:t>
                              </m:r>
                            </m:sub>
                          </m:sSub>
                        </m:num>
                        <m:den>
                          <m:r>
                            <w:rPr>
                              <w:rFonts w:ascii="Cambria Math" w:hAnsi="Cambria Math" w:cs="Arial"/>
                              <w:lang w:val="es-ES_tradnl"/>
                            </w:rPr>
                            <m:t>P</m:t>
                          </m:r>
                        </m:den>
                      </m:f>
                      <m:r>
                        <w:rPr>
                          <w:rFonts w:ascii="Cambria Math" w:hAnsi="Cambria Math" w:cs="Arial"/>
                          <w:lang w:val="es-ES_tradnl"/>
                        </w:rPr>
                        <m:t>×</m:t>
                      </m:r>
                      <m:sSub>
                        <m:sSubPr>
                          <m:ctrlPr>
                            <w:rPr>
                              <w:rFonts w:ascii="Cambria Math" w:hAnsi="Cambria Math" w:cs="Arial"/>
                              <w:i/>
                              <w:lang w:val="es-ES_tradnl"/>
                            </w:rPr>
                          </m:ctrlPr>
                        </m:sSubPr>
                        <m:e>
                          <m:r>
                            <w:rPr>
                              <w:rFonts w:ascii="Cambria Math" w:hAnsi="Cambria Math" w:cs="Arial"/>
                              <w:lang w:val="es-ES_tradnl"/>
                            </w:rPr>
                            <m:t>nrm×PFT</m:t>
                          </m:r>
                        </m:e>
                        <m:sub>
                          <m:r>
                            <w:rPr>
                              <w:rFonts w:ascii="Cambria Math" w:hAnsi="Cambria Math" w:cs="Arial"/>
                              <w:lang w:val="es-ES_tradnl"/>
                            </w:rPr>
                            <m:t>e,j</m:t>
                          </m:r>
                        </m:sub>
                      </m:sSub>
                    </m:e>
                  </m:d>
                </m:e>
              </m:nary>
            </m:num>
            <m:den>
              <m:sSub>
                <m:sSubPr>
                  <m:ctrlPr>
                    <w:rPr>
                      <w:rFonts w:ascii="Cambria Math" w:hAnsi="Cambria Math" w:cs="Arial"/>
                      <w:i/>
                      <w:lang w:val="es-ES_tradnl"/>
                    </w:rPr>
                  </m:ctrlPr>
                </m:sSubPr>
                <m:e>
                  <m:r>
                    <w:rPr>
                      <w:rFonts w:ascii="Cambria Math" w:hAnsi="Cambria Math" w:cs="Arial"/>
                      <w:lang w:val="es-ES_tradnl"/>
                    </w:rPr>
                    <m:t>VTF</m:t>
                  </m:r>
                </m:e>
                <m:sub>
                  <m:r>
                    <w:rPr>
                      <w:rFonts w:ascii="Cambria Math" w:hAnsi="Cambria Math" w:cs="Arial"/>
                      <w:lang w:val="es-ES_tradnl"/>
                    </w:rPr>
                    <m:t>j</m:t>
                  </m:r>
                </m:sub>
              </m:sSub>
            </m:den>
          </m:f>
        </m:oMath>
      </m:oMathPara>
    </w:p>
    <w:p w14:paraId="368BFDB3" w14:textId="59E02ADA" w:rsidR="003230A0" w:rsidRDefault="003230A0" w:rsidP="003230A0">
      <w:pPr>
        <w:spacing w:before="200" w:after="200"/>
        <w:ind w:right="45"/>
        <w:rPr>
          <w:rFonts w:cs="Arial"/>
          <w:lang w:val="es-ES_tradnl"/>
        </w:rPr>
      </w:pPr>
      <w:r w:rsidRPr="008A6EA9">
        <w:rPr>
          <w:rFonts w:cs="Arial"/>
          <w:lang w:val="es-ES_tradnl"/>
        </w:rPr>
        <w:t>Donde:</w:t>
      </w:r>
    </w:p>
    <w:p w14:paraId="6B03DC49" w14:textId="38C72387" w:rsidR="007A73B1" w:rsidRDefault="0044687C" w:rsidP="005D04BF">
      <w:pPr>
        <w:ind w:left="1559" w:right="45" w:hanging="1559"/>
        <w:rPr>
          <w:rFonts w:cs="Arial"/>
          <w:lang w:val="es-ES_tradnl"/>
        </w:rPr>
      </w:pPr>
      <w:proofErr w:type="spellStart"/>
      <w:r>
        <w:rPr>
          <w:rFonts w:cs="Arial"/>
          <w:i/>
          <w:lang w:val="es-ES_tradnl"/>
        </w:rPr>
        <w:t>e</w:t>
      </w:r>
      <w:proofErr w:type="spellEnd"/>
      <w:r w:rsidRPr="005B7C08">
        <w:rPr>
          <w:rFonts w:cs="Arial"/>
          <w:bCs/>
          <w:lang w:val="es-ES_tradnl"/>
        </w:rPr>
        <w:t>:</w:t>
      </w:r>
      <w:r>
        <w:rPr>
          <w:rFonts w:cs="Arial"/>
          <w:bCs/>
          <w:lang w:val="es-ES_tradnl"/>
        </w:rPr>
        <w:t xml:space="preserve"> </w:t>
      </w:r>
      <w:r>
        <w:rPr>
          <w:rFonts w:cs="Arial"/>
          <w:bCs/>
          <w:lang w:val="es-ES_tradnl"/>
        </w:rPr>
        <w:tab/>
      </w:r>
      <w:r>
        <w:rPr>
          <w:rFonts w:cs="Arial"/>
          <w:bCs/>
          <w:lang w:val="es-ES_tradnl"/>
        </w:rPr>
        <w:tab/>
      </w:r>
      <w:bookmarkStart w:id="51" w:name="_Hlk143763472"/>
      <w:r w:rsidR="007A73B1" w:rsidRPr="00280FD4">
        <w:rPr>
          <w:rFonts w:cs="Arial"/>
          <w:lang w:val="es-ES_tradnl"/>
        </w:rPr>
        <w:t>Se refiere al estrato o sector asociado a la estructura tarifaria aplicada</w:t>
      </w:r>
      <w:r w:rsidR="007A73B1">
        <w:rPr>
          <w:rFonts w:cs="Arial"/>
          <w:lang w:val="es-ES_tradnl"/>
        </w:rPr>
        <w:t>. Toma los siguientes valores</w:t>
      </w:r>
      <w:bookmarkEnd w:id="51"/>
      <w:r w:rsidR="007A73B1">
        <w:rPr>
          <w:rFonts w:cs="Arial"/>
          <w:lang w:val="es-ES_tradnl"/>
        </w:rPr>
        <w:t>:</w:t>
      </w:r>
    </w:p>
    <w:p w14:paraId="4FEF0278" w14:textId="675802A1" w:rsidR="009C201A" w:rsidRPr="009C201A" w:rsidRDefault="009C201A" w:rsidP="00731211">
      <w:pPr>
        <w:ind w:left="1559" w:right="45"/>
        <w:rPr>
          <w:rFonts w:cs="Arial"/>
          <w:bCs/>
          <w:lang w:val="es-ES_tradnl"/>
        </w:rPr>
      </w:pPr>
      <w:r w:rsidRPr="009C201A">
        <w:rPr>
          <w:rFonts w:cs="Arial"/>
          <w:bCs/>
          <w:lang w:val="es-ES_tradnl"/>
        </w:rPr>
        <w:t>1=Bajo-Bajo; 2=Bajo; 3=Medio-Bajo; 4=Medio; 5=Medio-Alto; 6=Alto;</w:t>
      </w:r>
      <w:r>
        <w:rPr>
          <w:rFonts w:cs="Arial"/>
          <w:bCs/>
          <w:lang w:val="es-ES_tradnl"/>
        </w:rPr>
        <w:t xml:space="preserve"> </w:t>
      </w:r>
      <w:r w:rsidRPr="009C201A">
        <w:rPr>
          <w:rFonts w:cs="Arial"/>
          <w:bCs/>
          <w:lang w:val="es-ES_tradnl"/>
        </w:rPr>
        <w:t>7=Industrial; 8=Comercial; 9=Oficial; 10=Provisional; 11=Alumbrado Público.</w:t>
      </w:r>
    </w:p>
    <w:p w14:paraId="499E5BAA" w14:textId="7477C24B" w:rsidR="000F4AAF" w:rsidRDefault="009C201A" w:rsidP="00275A3E">
      <w:pPr>
        <w:ind w:left="1559" w:right="45"/>
        <w:rPr>
          <w:rFonts w:cs="Arial"/>
          <w:bCs/>
          <w:lang w:val="es-ES_tradnl"/>
        </w:rPr>
      </w:pPr>
      <w:r w:rsidRPr="009C201A">
        <w:rPr>
          <w:rFonts w:cs="Arial"/>
          <w:bCs/>
          <w:lang w:val="es-ES_tradnl"/>
        </w:rPr>
        <w:t>Estratos según los dispuesto en la en el formato TC2 de la Resolución SSPD No. 20192200020155 y las disposiciones que lo modifican.</w:t>
      </w:r>
    </w:p>
    <w:p w14:paraId="0A7EB769" w14:textId="7562967C" w:rsidR="00645E3D" w:rsidRPr="008A6EA9" w:rsidRDefault="00645E3D" w:rsidP="000F4AAF">
      <w:pPr>
        <w:ind w:left="1559" w:right="45" w:hanging="1559"/>
        <w:rPr>
          <w:rFonts w:cs="Arial"/>
          <w:lang w:val="es-ES_tradnl"/>
        </w:rPr>
      </w:pPr>
      <w:proofErr w:type="spellStart"/>
      <w:r w:rsidRPr="00BA25DD">
        <w:rPr>
          <w:rFonts w:cs="Arial"/>
          <w:bCs/>
          <w:i/>
          <w:lang w:eastAsia="ar-SA"/>
        </w:rPr>
        <w:t>RCT</w:t>
      </w:r>
      <w:r w:rsidRPr="00BA25DD">
        <w:rPr>
          <w:rFonts w:cs="Arial"/>
          <w:bCs/>
          <w:i/>
          <w:vertAlign w:val="subscript"/>
          <w:lang w:eastAsia="ar-SA"/>
        </w:rPr>
        <w:t>j</w:t>
      </w:r>
      <w:proofErr w:type="spellEnd"/>
      <w:r w:rsidRPr="008A6EA9">
        <w:rPr>
          <w:rFonts w:cs="Arial"/>
          <w:lang w:val="es-ES_tradnl"/>
        </w:rPr>
        <w:t>:</w:t>
      </w:r>
      <w:r w:rsidRPr="008A6EA9">
        <w:rPr>
          <w:rFonts w:cs="Arial"/>
          <w:lang w:val="es-ES_tradnl"/>
        </w:rPr>
        <w:tab/>
        <w:t>Prima por el riesgo de cartera no gestionable de los usuarios tradicionales del mercado de comercialización</w:t>
      </w:r>
      <w:r>
        <w:rPr>
          <w:rFonts w:cs="Arial"/>
          <w:lang w:val="es-ES_tradnl"/>
        </w:rPr>
        <w:t xml:space="preserve"> </w:t>
      </w:r>
      <w:r w:rsidRPr="00CB4F21">
        <w:rPr>
          <w:rFonts w:cs="Arial"/>
          <w:i/>
          <w:lang w:val="es-ES_tradnl"/>
        </w:rPr>
        <w:t>j</w:t>
      </w:r>
      <w:r w:rsidRPr="008A6EA9">
        <w:rPr>
          <w:rFonts w:cs="Arial"/>
          <w:lang w:val="es-ES_tradnl"/>
        </w:rPr>
        <w:t>.</w:t>
      </w:r>
    </w:p>
    <w:p w14:paraId="35CE02F0" w14:textId="77777777" w:rsidR="00EA12DF" w:rsidRDefault="003230A0" w:rsidP="005D04BF">
      <w:pPr>
        <w:ind w:left="1559" w:right="45" w:hanging="1559"/>
        <w:rPr>
          <w:rFonts w:cs="Arial"/>
        </w:rPr>
      </w:pPr>
      <w:proofErr w:type="spellStart"/>
      <w:proofErr w:type="gramStart"/>
      <w:r w:rsidRPr="44B85804">
        <w:rPr>
          <w:rFonts w:cs="Arial"/>
          <w:i/>
        </w:rPr>
        <w:t>N</w:t>
      </w:r>
      <w:r w:rsidR="00B92BF8" w:rsidRPr="44B85804">
        <w:rPr>
          <w:rFonts w:cs="Arial"/>
          <w:i/>
          <w:vertAlign w:val="subscript"/>
        </w:rPr>
        <w:t>i,</w:t>
      </w:r>
      <w:r w:rsidR="00F447CB" w:rsidRPr="44B85804">
        <w:rPr>
          <w:rFonts w:cs="Arial"/>
          <w:i/>
          <w:vertAlign w:val="subscript"/>
        </w:rPr>
        <w:t>j</w:t>
      </w:r>
      <w:proofErr w:type="gramEnd"/>
      <w:r w:rsidR="00F447CB" w:rsidRPr="44B85804">
        <w:rPr>
          <w:rFonts w:cs="Arial"/>
          <w:i/>
          <w:vertAlign w:val="subscript"/>
        </w:rPr>
        <w:t>,</w:t>
      </w:r>
      <w:r w:rsidRPr="44B85804">
        <w:rPr>
          <w:rFonts w:cs="Arial"/>
          <w:i/>
          <w:vertAlign w:val="subscript"/>
        </w:rPr>
        <w:t>e</w:t>
      </w:r>
      <w:proofErr w:type="spellEnd"/>
      <w:r w:rsidRPr="00E30CBE">
        <w:t>:</w:t>
      </w:r>
      <w:r>
        <w:tab/>
      </w:r>
      <w:r w:rsidR="00A63A20" w:rsidRPr="44B85804">
        <w:rPr>
          <w:rFonts w:cs="Arial"/>
        </w:rPr>
        <w:t>Número de usuarios</w:t>
      </w:r>
      <w:r w:rsidR="00B91DBA" w:rsidRPr="44B85804">
        <w:rPr>
          <w:rFonts w:cs="Arial"/>
        </w:rPr>
        <w:t xml:space="preserve"> a los</w:t>
      </w:r>
      <w:r w:rsidR="00A63A20" w:rsidRPr="44B85804">
        <w:rPr>
          <w:rFonts w:cs="Arial"/>
        </w:rPr>
        <w:t xml:space="preserve"> que se les cortó </w:t>
      </w:r>
      <w:r w:rsidR="00007B6C">
        <w:rPr>
          <w:rFonts w:cs="Arial"/>
        </w:rPr>
        <w:t xml:space="preserve">y continúan sin servicio por un periodo superior a </w:t>
      </w:r>
      <w:r w:rsidR="001E52FF">
        <w:rPr>
          <w:rFonts w:cs="Arial"/>
        </w:rPr>
        <w:t>12 meses,</w:t>
      </w:r>
      <w:r w:rsidR="00A63A20" w:rsidRPr="44B85804">
        <w:rPr>
          <w:rFonts w:cs="Arial"/>
        </w:rPr>
        <w:t xml:space="preserve"> el servicio </w:t>
      </w:r>
      <w:r w:rsidR="000A37D5" w:rsidRPr="44B85804">
        <w:rPr>
          <w:rFonts w:cs="Arial"/>
        </w:rPr>
        <w:t>por incumplimiento</w:t>
      </w:r>
      <w:r w:rsidR="00FB5181" w:rsidRPr="44B85804">
        <w:rPr>
          <w:rFonts w:cs="Arial"/>
        </w:rPr>
        <w:t xml:space="preserve"> de</w:t>
      </w:r>
      <w:r w:rsidR="00B6203C" w:rsidRPr="44B85804">
        <w:rPr>
          <w:rFonts w:cs="Arial"/>
        </w:rPr>
        <w:t xml:space="preserve"> pago de la factura, </w:t>
      </w:r>
      <w:r w:rsidR="00A63A20" w:rsidRPr="44B85804">
        <w:rPr>
          <w:rFonts w:cs="Arial"/>
        </w:rPr>
        <w:t xml:space="preserve">en el estrato e, del mercado de comercialización </w:t>
      </w:r>
      <w:r w:rsidR="00A63A20" w:rsidRPr="44B85804">
        <w:rPr>
          <w:rFonts w:cs="Arial"/>
          <w:i/>
        </w:rPr>
        <w:t>j</w:t>
      </w:r>
      <w:r w:rsidR="00A63A20" w:rsidRPr="44B85804">
        <w:rPr>
          <w:rFonts w:cs="Arial"/>
        </w:rPr>
        <w:t>,</w:t>
      </w:r>
      <w:r w:rsidR="007E6A07" w:rsidRPr="44B85804">
        <w:rPr>
          <w:rFonts w:cs="Arial"/>
        </w:rPr>
        <w:t xml:space="preserve"> por el comercializador </w:t>
      </w:r>
      <w:r w:rsidR="007E6A07" w:rsidRPr="44B85804">
        <w:rPr>
          <w:rFonts w:cs="Arial"/>
          <w:i/>
        </w:rPr>
        <w:t>i,</w:t>
      </w:r>
      <w:r w:rsidR="007E6A07" w:rsidRPr="44B85804">
        <w:rPr>
          <w:rFonts w:cs="Arial"/>
        </w:rPr>
        <w:t xml:space="preserve"> </w:t>
      </w:r>
      <w:r w:rsidR="00A63A20" w:rsidRPr="44B85804">
        <w:rPr>
          <w:rFonts w:cs="Arial"/>
        </w:rPr>
        <w:t xml:space="preserve"> </w:t>
      </w:r>
      <w:r w:rsidR="00E6480B" w:rsidRPr="44B85804">
        <w:rPr>
          <w:rFonts w:cs="Arial"/>
        </w:rPr>
        <w:t>durante los 5 años anteriores</w:t>
      </w:r>
      <w:r w:rsidR="00A63A20" w:rsidRPr="44B85804">
        <w:rPr>
          <w:rFonts w:cs="Arial"/>
        </w:rPr>
        <w:t xml:space="preserve"> a </w:t>
      </w:r>
      <w:r w:rsidR="00E6480B" w:rsidRPr="44B85804">
        <w:rPr>
          <w:rFonts w:cs="Arial"/>
        </w:rPr>
        <w:t xml:space="preserve">la </w:t>
      </w:r>
      <w:r w:rsidR="00C6172A">
        <w:rPr>
          <w:rFonts w:cs="Arial"/>
        </w:rPr>
        <w:t>fecha base de la metodología</w:t>
      </w:r>
      <w:r w:rsidR="00A63A20" w:rsidRPr="44B85804">
        <w:rPr>
          <w:rFonts w:cs="Arial"/>
        </w:rPr>
        <w:t xml:space="preserve">. </w:t>
      </w:r>
    </w:p>
    <w:p w14:paraId="4D4AF1E3" w14:textId="158551FA" w:rsidR="003230A0" w:rsidRDefault="00A63A20" w:rsidP="00EA12DF">
      <w:pPr>
        <w:ind w:left="1559" w:right="45"/>
        <w:rPr>
          <w:rFonts w:cs="Arial"/>
        </w:rPr>
      </w:pPr>
      <w:r w:rsidRPr="44B85804">
        <w:rPr>
          <w:rFonts w:cs="Arial"/>
        </w:rPr>
        <w:t xml:space="preserve">En caso de que no se tenga la información de esta variable para el periodo, se utilizarán los datos disponibles por el comercializador desde </w:t>
      </w:r>
      <w:r w:rsidR="00DE2895">
        <w:rPr>
          <w:rFonts w:cs="Arial"/>
        </w:rPr>
        <w:t>su entrada</w:t>
      </w:r>
      <w:r w:rsidR="00275A3E" w:rsidRPr="44B85804">
        <w:rPr>
          <w:rFonts w:cs="Arial"/>
        </w:rPr>
        <w:t xml:space="preserve"> </w:t>
      </w:r>
      <w:r w:rsidR="009560DC" w:rsidRPr="44B85804">
        <w:rPr>
          <w:rFonts w:cs="Arial"/>
        </w:rPr>
        <w:t xml:space="preserve">en </w:t>
      </w:r>
      <w:r w:rsidR="00DE2895">
        <w:rPr>
          <w:rFonts w:cs="Arial"/>
        </w:rPr>
        <w:t>operación</w:t>
      </w:r>
      <w:r w:rsidR="00C85B9B" w:rsidRPr="44B85804">
        <w:rPr>
          <w:rFonts w:cs="Arial"/>
        </w:rPr>
        <w:t>.</w:t>
      </w:r>
    </w:p>
    <w:p w14:paraId="3B7D121E" w14:textId="23EC23A6" w:rsidR="003E0864" w:rsidRDefault="0046193A" w:rsidP="00EA12DF">
      <w:pPr>
        <w:ind w:left="1559" w:right="45"/>
        <w:rPr>
          <w:rFonts w:cs="Arial"/>
        </w:rPr>
      </w:pPr>
      <w:r>
        <w:t>El valor de esta variable será publicad</w:t>
      </w:r>
      <w:r w:rsidR="001D3921">
        <w:t>o</w:t>
      </w:r>
      <w:r>
        <w:t xml:space="preserve"> en la circular de la que trata el </w:t>
      </w:r>
      <w:r>
        <w:fldChar w:fldCharType="begin"/>
      </w:r>
      <w:r>
        <w:instrText xml:space="preserve"> REF _Ref164344897 \r \h </w:instrText>
      </w:r>
      <w:r>
        <w:fldChar w:fldCharType="separate"/>
      </w:r>
      <w:r w:rsidR="00625E8F">
        <w:t>Artículo 10</w:t>
      </w:r>
      <w:r>
        <w:fldChar w:fldCharType="end"/>
      </w:r>
      <w:r>
        <w:t xml:space="preserve"> de la presente resolución.</w:t>
      </w:r>
    </w:p>
    <w:p w14:paraId="0C325C1C" w14:textId="5F0EB050" w:rsidR="00F52289" w:rsidRPr="008A6EA9" w:rsidRDefault="00F52289" w:rsidP="00F52289">
      <w:pPr>
        <w:ind w:left="1559" w:right="45" w:hanging="1559"/>
        <w:rPr>
          <w:rFonts w:cs="Arial"/>
        </w:rPr>
      </w:pPr>
      <w:r w:rsidRPr="44B85804">
        <w:rPr>
          <w:rFonts w:cs="Arial"/>
          <w:i/>
        </w:rPr>
        <w:t>P</w:t>
      </w:r>
      <w:r w:rsidRPr="44B85804">
        <w:rPr>
          <w:rFonts w:cs="Arial"/>
        </w:rPr>
        <w:t>:</w:t>
      </w:r>
      <w:r>
        <w:tab/>
      </w:r>
      <w:r w:rsidR="00451F45" w:rsidRPr="44B85804">
        <w:rPr>
          <w:rFonts w:cs="Arial"/>
        </w:rPr>
        <w:t xml:space="preserve">Tamaño de la ventana de observación para la variable </w:t>
      </w:r>
      <w:proofErr w:type="spellStart"/>
      <w:proofErr w:type="gramStart"/>
      <w:r w:rsidR="00451F45" w:rsidRPr="44B85804">
        <w:rPr>
          <w:rFonts w:cs="Arial"/>
          <w:i/>
        </w:rPr>
        <w:t>N</w:t>
      </w:r>
      <w:r w:rsidR="00451F45" w:rsidRPr="44B85804">
        <w:rPr>
          <w:rFonts w:cs="Arial"/>
          <w:i/>
          <w:vertAlign w:val="subscript"/>
        </w:rPr>
        <w:t>j,e</w:t>
      </w:r>
      <w:proofErr w:type="spellEnd"/>
      <w:proofErr w:type="gramEnd"/>
      <w:r w:rsidRPr="44B85804">
        <w:rPr>
          <w:rFonts w:cs="Arial"/>
        </w:rPr>
        <w:t xml:space="preserve"> </w:t>
      </w:r>
      <w:r w:rsidR="00911A45" w:rsidRPr="44B85804">
        <w:rPr>
          <w:rFonts w:cs="Arial"/>
        </w:rPr>
        <w:t>expresada en número de años.</w:t>
      </w:r>
    </w:p>
    <w:p w14:paraId="098241E4" w14:textId="4664C727" w:rsidR="00C85B9B" w:rsidRPr="008A6EA9" w:rsidRDefault="00E30CBE" w:rsidP="005D04BF">
      <w:pPr>
        <w:ind w:left="1559" w:right="45" w:hanging="1559"/>
        <w:rPr>
          <w:rFonts w:cs="Arial"/>
        </w:rPr>
      </w:pPr>
      <w:proofErr w:type="spellStart"/>
      <w:r>
        <w:rPr>
          <w:rFonts w:cs="Arial"/>
          <w:i/>
        </w:rPr>
        <w:lastRenderedPageBreak/>
        <w:t>N</w:t>
      </w:r>
      <w:r w:rsidR="00843C44">
        <w:rPr>
          <w:rFonts w:cs="Arial"/>
          <w:i/>
        </w:rPr>
        <w:t>r</w:t>
      </w:r>
      <w:r w:rsidR="00C85B9B" w:rsidRPr="44B85804">
        <w:rPr>
          <w:rFonts w:cs="Arial"/>
          <w:i/>
        </w:rPr>
        <w:t>m</w:t>
      </w:r>
      <w:proofErr w:type="spellEnd"/>
      <w:r w:rsidR="00C85B9B" w:rsidRPr="00E30CBE">
        <w:t>:</w:t>
      </w:r>
      <w:r w:rsidR="00C85B9B">
        <w:tab/>
      </w:r>
      <w:r w:rsidR="00C85B9B" w:rsidRPr="44B85804">
        <w:rPr>
          <w:rFonts w:cs="Arial"/>
        </w:rPr>
        <w:t>Número</w:t>
      </w:r>
      <w:r w:rsidR="00C85B9B" w:rsidRPr="44B85804" w:rsidDel="00E14657">
        <w:rPr>
          <w:rFonts w:cs="Arial"/>
        </w:rPr>
        <w:t xml:space="preserve"> </w:t>
      </w:r>
      <w:r w:rsidR="00E14657" w:rsidRPr="44B85804">
        <w:rPr>
          <w:rFonts w:cs="Arial"/>
        </w:rPr>
        <w:t>de periodos de facturación mensual reconocidos por el incumplimiento en el pago de la factura de energía eléctrica</w:t>
      </w:r>
      <w:r w:rsidR="00DC59EB" w:rsidRPr="44B85804">
        <w:rPr>
          <w:rFonts w:cs="Arial"/>
        </w:rPr>
        <w:t xml:space="preserve"> de los</w:t>
      </w:r>
      <w:r w:rsidR="00C66D3D" w:rsidRPr="44B85804">
        <w:rPr>
          <w:rFonts w:cs="Arial"/>
        </w:rPr>
        <w:t xml:space="preserve"> de usuarios a los que se les cortó </w:t>
      </w:r>
      <w:r w:rsidR="00855FD9">
        <w:rPr>
          <w:rFonts w:cs="Arial"/>
        </w:rPr>
        <w:t>y continúan sin</w:t>
      </w:r>
      <w:r w:rsidR="00C66D3D" w:rsidRPr="44B85804">
        <w:rPr>
          <w:rFonts w:cs="Arial"/>
        </w:rPr>
        <w:t xml:space="preserve"> servicio</w:t>
      </w:r>
      <w:r w:rsidR="00855FD9">
        <w:rPr>
          <w:rFonts w:cs="Arial"/>
        </w:rPr>
        <w:t xml:space="preserve"> por un periodo superior a 12 meses</w:t>
      </w:r>
      <w:r w:rsidR="009560DC" w:rsidRPr="44B85804">
        <w:rPr>
          <w:rFonts w:cs="Arial"/>
        </w:rPr>
        <w:t>, el cual corresponde a 1,5</w:t>
      </w:r>
      <w:r w:rsidR="00E14657" w:rsidRPr="44B85804">
        <w:rPr>
          <w:rFonts w:cs="Arial"/>
        </w:rPr>
        <w:t xml:space="preserve"> meses</w:t>
      </w:r>
      <w:r w:rsidR="00ED008C" w:rsidRPr="44B85804">
        <w:rPr>
          <w:rFonts w:cs="Arial"/>
        </w:rPr>
        <w:t xml:space="preserve">. </w:t>
      </w:r>
      <w:r w:rsidR="00C85B9B" w:rsidRPr="44B85804">
        <w:rPr>
          <w:rFonts w:cs="Arial"/>
        </w:rPr>
        <w:t xml:space="preserve"> </w:t>
      </w:r>
    </w:p>
    <w:p w14:paraId="288268A8" w14:textId="678F51D6" w:rsidR="00E0718A" w:rsidRDefault="0043162A" w:rsidP="037FA108">
      <w:pPr>
        <w:ind w:left="1559" w:right="45" w:hanging="1559"/>
        <w:rPr>
          <w:rFonts w:cs="Arial"/>
        </w:rPr>
      </w:pPr>
      <w:proofErr w:type="spellStart"/>
      <w:proofErr w:type="gramStart"/>
      <w:r w:rsidRPr="037FA108">
        <w:rPr>
          <w:rFonts w:cs="Arial"/>
          <w:i/>
          <w:iCs/>
          <w:lang w:eastAsia="ar-SA"/>
        </w:rPr>
        <w:t>P</w:t>
      </w:r>
      <w:r w:rsidR="00536341" w:rsidRPr="037FA108">
        <w:rPr>
          <w:rFonts w:cs="Arial"/>
          <w:i/>
          <w:iCs/>
          <w:lang w:eastAsia="ar-SA"/>
        </w:rPr>
        <w:t>FT</w:t>
      </w:r>
      <w:r w:rsidR="00536341" w:rsidRPr="037FA108">
        <w:rPr>
          <w:rFonts w:cs="Arial"/>
          <w:vertAlign w:val="subscript"/>
        </w:rPr>
        <w:t>i,j</w:t>
      </w:r>
      <w:proofErr w:type="gramEnd"/>
      <w:r w:rsidR="00536341" w:rsidRPr="037FA108">
        <w:rPr>
          <w:rFonts w:cs="Arial"/>
          <w:vertAlign w:val="subscript"/>
        </w:rPr>
        <w:t>,e</w:t>
      </w:r>
      <w:proofErr w:type="spellEnd"/>
      <w:r w:rsidR="00536341" w:rsidRPr="00E30CBE">
        <w:t>:</w:t>
      </w:r>
      <w:r>
        <w:tab/>
      </w:r>
      <w:r w:rsidR="00A8493E" w:rsidRPr="037FA108">
        <w:rPr>
          <w:rFonts w:cs="Arial"/>
        </w:rPr>
        <w:t>Promedio de facturación tota</w:t>
      </w:r>
      <w:r w:rsidR="009D3533" w:rsidRPr="037FA108">
        <w:rPr>
          <w:rFonts w:cs="Arial"/>
        </w:rPr>
        <w:t>l</w:t>
      </w:r>
      <w:r w:rsidR="008D0A3A" w:rsidRPr="037FA108">
        <w:rPr>
          <w:rFonts w:cs="Arial"/>
        </w:rPr>
        <w:t xml:space="preserve"> expresado en pesos por suscriptor</w:t>
      </w:r>
      <w:r w:rsidR="00E30367" w:rsidRPr="00ED008C">
        <w:rPr>
          <w:rFonts w:cs="Arial"/>
        </w:rPr>
        <w:t>,</w:t>
      </w:r>
      <w:r w:rsidR="009D3533" w:rsidRPr="037FA108">
        <w:rPr>
          <w:rFonts w:cs="Arial"/>
        </w:rPr>
        <w:t xml:space="preserve"> en el mercado de comercialización </w:t>
      </w:r>
      <w:r w:rsidR="009D3533" w:rsidRPr="00ED008C">
        <w:rPr>
          <w:rFonts w:cs="Arial"/>
        </w:rPr>
        <w:t>j</w:t>
      </w:r>
      <w:r w:rsidR="00E30367" w:rsidRPr="00ED008C">
        <w:rPr>
          <w:rFonts w:cs="Arial"/>
        </w:rPr>
        <w:t>,</w:t>
      </w:r>
      <w:r w:rsidR="009D3533" w:rsidRPr="037FA108">
        <w:rPr>
          <w:rFonts w:cs="Arial"/>
        </w:rPr>
        <w:t xml:space="preserve"> </w:t>
      </w:r>
      <w:r w:rsidR="00282956" w:rsidRPr="037FA108">
        <w:rPr>
          <w:rFonts w:cs="Arial"/>
        </w:rPr>
        <w:t xml:space="preserve">en el estrato o sector de consumo </w:t>
      </w:r>
      <w:r w:rsidR="00282956" w:rsidRPr="037FA108">
        <w:rPr>
          <w:rFonts w:cs="Arial"/>
          <w:i/>
          <w:iCs/>
        </w:rPr>
        <w:t>e</w:t>
      </w:r>
      <w:r w:rsidR="00282956" w:rsidRPr="00ED008C">
        <w:rPr>
          <w:rFonts w:cs="Arial"/>
        </w:rPr>
        <w:t xml:space="preserve"> </w:t>
      </w:r>
      <w:r w:rsidR="00282956" w:rsidRPr="037FA108">
        <w:rPr>
          <w:rFonts w:cs="Arial"/>
        </w:rPr>
        <w:t xml:space="preserve">en el </w:t>
      </w:r>
      <w:r w:rsidR="00A00335" w:rsidRPr="037FA108">
        <w:rPr>
          <w:rFonts w:cs="Arial"/>
        </w:rPr>
        <w:t>a</w:t>
      </w:r>
      <w:r w:rsidR="00282956" w:rsidRPr="037FA108">
        <w:rPr>
          <w:rFonts w:cs="Arial"/>
        </w:rPr>
        <w:t xml:space="preserve">ño </w:t>
      </w:r>
      <w:r w:rsidR="003E0F7F">
        <w:rPr>
          <w:rFonts w:cs="Arial"/>
        </w:rPr>
        <w:t>anterior</w:t>
      </w:r>
      <w:r w:rsidR="004B4562">
        <w:rPr>
          <w:rFonts w:cs="Arial"/>
        </w:rPr>
        <w:t xml:space="preserve"> </w:t>
      </w:r>
      <w:r w:rsidR="00855FD9">
        <w:rPr>
          <w:rFonts w:cs="Arial"/>
        </w:rPr>
        <w:t xml:space="preserve">a la fecha base </w:t>
      </w:r>
      <w:r w:rsidR="004B4562">
        <w:rPr>
          <w:rFonts w:cs="Arial"/>
        </w:rPr>
        <w:t>de la metodología</w:t>
      </w:r>
      <w:r w:rsidR="00067143">
        <w:rPr>
          <w:rFonts w:cs="Arial"/>
        </w:rPr>
        <w:t>, en pesos de</w:t>
      </w:r>
      <w:r w:rsidR="007D52DC">
        <w:rPr>
          <w:rFonts w:cs="Arial"/>
        </w:rPr>
        <w:t xml:space="preserve"> la misma fecha</w:t>
      </w:r>
      <w:r w:rsidR="00282956" w:rsidRPr="00ED008C">
        <w:rPr>
          <w:rFonts w:cs="Arial"/>
        </w:rPr>
        <w:t>.</w:t>
      </w:r>
      <w:r w:rsidR="00282956" w:rsidRPr="037FA108">
        <w:rPr>
          <w:rFonts w:cs="Arial"/>
        </w:rPr>
        <w:t xml:space="preserve"> </w:t>
      </w:r>
    </w:p>
    <w:p w14:paraId="341608C2" w14:textId="353D512C" w:rsidR="00190163" w:rsidRDefault="003F3376" w:rsidP="00E0718A">
      <w:pPr>
        <w:ind w:left="1559" w:right="45"/>
        <w:rPr>
          <w:rFonts w:cs="Arial"/>
        </w:rPr>
      </w:pPr>
      <w:r>
        <w:t xml:space="preserve">El valor de esta variable será publicado en la circular de la que trata el </w:t>
      </w:r>
      <w:r>
        <w:fldChar w:fldCharType="begin"/>
      </w:r>
      <w:r>
        <w:instrText xml:space="preserve"> REF _Ref164344897 \r \h </w:instrText>
      </w:r>
      <w:r>
        <w:fldChar w:fldCharType="separate"/>
      </w:r>
      <w:r w:rsidR="00625E8F">
        <w:t>Artículo 10</w:t>
      </w:r>
      <w:r>
        <w:fldChar w:fldCharType="end"/>
      </w:r>
      <w:r>
        <w:t xml:space="preserve"> de la presente resolución.</w:t>
      </w:r>
    </w:p>
    <w:p w14:paraId="51526674" w14:textId="2C5BCD19" w:rsidR="00691DC7" w:rsidRDefault="009D266B" w:rsidP="003230A0">
      <w:pPr>
        <w:spacing w:before="200" w:after="200"/>
        <w:ind w:left="1560" w:right="45" w:hanging="1560"/>
        <w:rPr>
          <w:rFonts w:cs="Arial"/>
        </w:rPr>
      </w:pPr>
      <w:proofErr w:type="spellStart"/>
      <w:proofErr w:type="gramStart"/>
      <w:r>
        <w:rPr>
          <w:rFonts w:cs="Arial"/>
          <w:i/>
          <w:lang w:eastAsia="ar-SA"/>
        </w:rPr>
        <w:t>V</w:t>
      </w:r>
      <w:r w:rsidR="00536341" w:rsidRPr="00204C1A">
        <w:rPr>
          <w:rFonts w:cs="Arial"/>
          <w:i/>
          <w:lang w:eastAsia="ar-SA"/>
        </w:rPr>
        <w:t>T</w:t>
      </w:r>
      <w:r>
        <w:rPr>
          <w:rFonts w:cs="Arial"/>
          <w:i/>
          <w:lang w:eastAsia="ar-SA"/>
        </w:rPr>
        <w:t>F</w:t>
      </w:r>
      <w:r w:rsidR="00536341" w:rsidRPr="00204C1A">
        <w:rPr>
          <w:rFonts w:cs="Arial"/>
          <w:i/>
          <w:vertAlign w:val="subscript"/>
          <w:lang w:eastAsia="ar-SA"/>
        </w:rPr>
        <w:t>i,j</w:t>
      </w:r>
      <w:proofErr w:type="spellEnd"/>
      <w:proofErr w:type="gramEnd"/>
      <w:r w:rsidR="00886282" w:rsidRPr="362AF1A7">
        <w:rPr>
          <w:rFonts w:cs="Arial"/>
        </w:rPr>
        <w:t xml:space="preserve">: </w:t>
      </w:r>
      <w:r w:rsidR="00536341">
        <w:tab/>
      </w:r>
      <w:r w:rsidR="00536341" w:rsidRPr="362AF1A7">
        <w:rPr>
          <w:rFonts w:cs="Arial"/>
        </w:rPr>
        <w:t>Valor total facturado</w:t>
      </w:r>
      <w:r w:rsidR="00F47B36">
        <w:rPr>
          <w:rFonts w:cs="Arial"/>
        </w:rPr>
        <w:t xml:space="preserve"> en pesos</w:t>
      </w:r>
      <w:r w:rsidR="00BE7F0F">
        <w:rPr>
          <w:rFonts w:cs="Arial"/>
        </w:rPr>
        <w:t xml:space="preserve"> ($)</w:t>
      </w:r>
      <w:r w:rsidR="00536341" w:rsidRPr="362AF1A7">
        <w:rPr>
          <w:rFonts w:cs="Arial"/>
        </w:rPr>
        <w:t xml:space="preserve"> a usuarios regulados en el mercado de comercialización </w:t>
      </w:r>
      <w:r w:rsidR="00536341" w:rsidRPr="0023120B">
        <w:rPr>
          <w:rFonts w:cs="Arial"/>
          <w:i/>
          <w:iCs/>
        </w:rPr>
        <w:t>j</w:t>
      </w:r>
      <w:r w:rsidR="00536341" w:rsidRPr="362AF1A7">
        <w:rPr>
          <w:rFonts w:cs="Arial"/>
        </w:rPr>
        <w:t xml:space="preserve"> por el comercializador</w:t>
      </w:r>
      <w:r w:rsidR="00536341" w:rsidRPr="0023120B">
        <w:rPr>
          <w:rFonts w:cs="Arial"/>
          <w:i/>
          <w:iCs/>
        </w:rPr>
        <w:t xml:space="preserve"> i</w:t>
      </w:r>
      <w:r w:rsidR="00216477" w:rsidRPr="003D3C72">
        <w:rPr>
          <w:rFonts w:cs="Arial"/>
        </w:rPr>
        <w:t xml:space="preserve">, </w:t>
      </w:r>
      <w:r w:rsidR="00216477" w:rsidRPr="362AF1A7">
        <w:rPr>
          <w:rFonts w:cs="Arial"/>
        </w:rPr>
        <w:t xml:space="preserve">en el </w:t>
      </w:r>
      <w:r w:rsidR="00036098" w:rsidRPr="362AF1A7">
        <w:rPr>
          <w:rFonts w:cs="Arial"/>
        </w:rPr>
        <w:t xml:space="preserve">año </w:t>
      </w:r>
      <w:r w:rsidR="003D3C72">
        <w:rPr>
          <w:rFonts w:cs="Arial"/>
        </w:rPr>
        <w:t>anterior a la expedición de esta resolución</w:t>
      </w:r>
      <w:r w:rsidR="00B86C44" w:rsidRPr="362AF1A7">
        <w:rPr>
          <w:rFonts w:cs="Arial"/>
        </w:rPr>
        <w:t>.</w:t>
      </w:r>
      <w:r w:rsidR="00D334B2">
        <w:rPr>
          <w:rFonts w:cs="Arial"/>
        </w:rPr>
        <w:t xml:space="preserve"> </w:t>
      </w:r>
      <w:r w:rsidR="00D334B2" w:rsidRPr="003D3C72">
        <w:rPr>
          <w:rFonts w:cs="Arial"/>
        </w:rPr>
        <w:t>Este valor debe ser equivalente a la sumatoria de los conceptos inherentes a la prestación del servicio de energía que se encuentran en el formato TC2, tales como, facturación por consumo de Energía Eléctrica, subsidios y contribuciones, refacturaciones, entre otros.</w:t>
      </w:r>
    </w:p>
    <w:p w14:paraId="4A2A8F27" w14:textId="51ACBC16" w:rsidR="003F3376" w:rsidRDefault="003F3376" w:rsidP="003F3376">
      <w:pPr>
        <w:ind w:left="1559" w:right="45"/>
        <w:rPr>
          <w:rFonts w:cs="Arial"/>
        </w:rPr>
      </w:pPr>
      <w:r>
        <w:t xml:space="preserve">El valor de esta variable será publicado en la circular de la que trata el </w:t>
      </w:r>
      <w:r>
        <w:fldChar w:fldCharType="begin"/>
      </w:r>
      <w:r>
        <w:instrText xml:space="preserve"> REF _Ref164344897 \r \h </w:instrText>
      </w:r>
      <w:r>
        <w:fldChar w:fldCharType="separate"/>
      </w:r>
      <w:r w:rsidR="00625E8F">
        <w:t>Artículo 10</w:t>
      </w:r>
      <w:r>
        <w:fldChar w:fldCharType="end"/>
      </w:r>
      <w:r>
        <w:t xml:space="preserve"> de la presente resolución.</w:t>
      </w:r>
    </w:p>
    <w:p w14:paraId="73C1DF17" w14:textId="220AEF43" w:rsidR="00D0585D" w:rsidRDefault="00D0585D" w:rsidP="00D0585D">
      <w:pPr>
        <w:ind w:left="1559" w:right="45"/>
        <w:rPr>
          <w:rFonts w:cs="Arial"/>
        </w:rPr>
      </w:pPr>
      <w:r w:rsidRPr="00ED008C">
        <w:rPr>
          <w:rFonts w:cs="Arial"/>
        </w:rPr>
        <w:t xml:space="preserve"> </w:t>
      </w:r>
    </w:p>
    <w:p w14:paraId="766B1C1D" w14:textId="70008AE0" w:rsidR="000C799E" w:rsidRPr="00C63A01" w:rsidRDefault="000C799E" w:rsidP="000C799E">
      <w:pPr>
        <w:pStyle w:val="Ttulo4"/>
      </w:pPr>
      <w:r>
        <w:t xml:space="preserve">Prima de riesgo de cartera usuarios </w:t>
      </w:r>
      <w:r w:rsidR="009D19D2">
        <w:t>áreas especiales</w:t>
      </w:r>
    </w:p>
    <w:p w14:paraId="690166C1" w14:textId="7F9A6A05" w:rsidR="00E726A6" w:rsidRDefault="009D19D2" w:rsidP="00E726A6">
      <w:pPr>
        <w:rPr>
          <w:lang w:eastAsia="es-CO"/>
        </w:rPr>
      </w:pPr>
      <w:r>
        <w:t>L</w:t>
      </w:r>
      <w:r w:rsidRPr="000A29D6">
        <w:t>a variable</w:t>
      </w:r>
      <w:r>
        <w:t xml:space="preserve"> </w:t>
      </w:r>
      <w:proofErr w:type="spellStart"/>
      <w:proofErr w:type="gramStart"/>
      <w:r>
        <w:rPr>
          <w:bCs/>
          <w:i/>
          <w:lang w:eastAsia="ar-SA"/>
        </w:rPr>
        <w:t>RCAE</w:t>
      </w:r>
      <w:r w:rsidRPr="004F4063">
        <w:rPr>
          <w:bCs/>
          <w:i/>
          <w:vertAlign w:val="subscript"/>
          <w:lang w:eastAsia="ar-SA"/>
        </w:rPr>
        <w:t>j,t</w:t>
      </w:r>
      <w:proofErr w:type="spellEnd"/>
      <w:proofErr w:type="gramEnd"/>
      <w:r>
        <w:rPr>
          <w:color w:val="000000"/>
        </w:rPr>
        <w:t xml:space="preserve"> </w:t>
      </w:r>
      <w:r>
        <w:rPr>
          <w:color w:val="000000"/>
          <w:lang w:val="es-CO"/>
        </w:rPr>
        <w:t xml:space="preserve">será calculada </w:t>
      </w:r>
      <w:r w:rsidRPr="005547AF">
        <w:rPr>
          <w:lang w:eastAsia="es-CO"/>
        </w:rPr>
        <w:t>para cada mercado de comercialización</w:t>
      </w:r>
      <w:r>
        <w:rPr>
          <w:lang w:eastAsia="es-CO"/>
        </w:rPr>
        <w:t xml:space="preserve"> </w:t>
      </w:r>
      <w:r w:rsidRPr="0040782D">
        <w:rPr>
          <w:i/>
          <w:lang w:eastAsia="es-CO"/>
        </w:rPr>
        <w:t>j</w:t>
      </w:r>
      <w:r w:rsidRPr="005547AF">
        <w:rPr>
          <w:lang w:eastAsia="es-CO"/>
        </w:rPr>
        <w:t xml:space="preserve">, </w:t>
      </w:r>
      <w:r w:rsidR="002830FB">
        <w:rPr>
          <w:lang w:eastAsia="es-CO"/>
        </w:rPr>
        <w:t>conforme</w:t>
      </w:r>
      <w:r w:rsidR="004F7B6E">
        <w:rPr>
          <w:lang w:eastAsia="es-CO"/>
        </w:rPr>
        <w:t xml:space="preserve"> a las </w:t>
      </w:r>
      <w:r w:rsidR="004B1103">
        <w:rPr>
          <w:lang w:eastAsia="es-CO"/>
        </w:rPr>
        <w:t>siguiente</w:t>
      </w:r>
      <w:r w:rsidR="004F7B6E">
        <w:rPr>
          <w:lang w:eastAsia="es-CO"/>
        </w:rPr>
        <w:t>s</w:t>
      </w:r>
      <w:r w:rsidR="004B1103">
        <w:rPr>
          <w:lang w:eastAsia="es-CO"/>
        </w:rPr>
        <w:t xml:space="preserve"> </w:t>
      </w:r>
      <w:r w:rsidR="004F7B6E">
        <w:rPr>
          <w:lang w:eastAsia="es-CO"/>
        </w:rPr>
        <w:t>ecuaciones</w:t>
      </w:r>
      <w:r w:rsidRPr="005547AF">
        <w:rPr>
          <w:lang w:eastAsia="es-CO"/>
        </w:rPr>
        <w:t>:</w:t>
      </w:r>
    </w:p>
    <w:p w14:paraId="10DB8396" w14:textId="556F0769" w:rsidR="00E726A6" w:rsidRPr="00DC3026" w:rsidRDefault="00000000" w:rsidP="00E726A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RCAE</m:t>
              </m:r>
            </m:e>
            <m:sub>
              <m:r>
                <w:rPr>
                  <w:rFonts w:ascii="Cambria Math" w:eastAsiaTheme="minorEastAsia" w:hAnsi="Cambria Math"/>
                </w:rPr>
                <m:t>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T=A-4</m:t>
              </m:r>
            </m:sub>
            <m:sup>
              <m:r>
                <w:rPr>
                  <w:rFonts w:ascii="Cambria Math" w:eastAsiaTheme="minorEastAsia" w:hAnsi="Cambria Math"/>
                </w:rPr>
                <m:t>T=A</m:t>
              </m:r>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e>
          </m:nary>
        </m:oMath>
      </m:oMathPara>
    </w:p>
    <w:p w14:paraId="5053CC63" w14:textId="77777777" w:rsidR="00E726A6" w:rsidRPr="003754BB" w:rsidRDefault="00000000" w:rsidP="00E726A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nary>
                <m:naryPr>
                  <m:chr m:val="∑"/>
                  <m:limLoc m:val="undOvr"/>
                  <m:supHide m:val="1"/>
                  <m:ctrlPr>
                    <w:rPr>
                      <w:rFonts w:ascii="Cambria Math" w:eastAsiaTheme="minorEastAsia" w:hAnsi="Cambria Math"/>
                      <w:i/>
                    </w:rPr>
                  </m:ctrlPr>
                </m:naryPr>
                <m:sub>
                  <m:r>
                    <w:rPr>
                      <w:rFonts w:ascii="Cambria Math" w:eastAsiaTheme="minorEastAsia" w:hAnsi="Cambria Math"/>
                    </w:rPr>
                    <m:t>k</m:t>
                  </m: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T,k</m:t>
                      </m:r>
                    </m:sub>
                  </m:sSub>
                  <m:r>
                    <w:rPr>
                      <w:rFonts w:ascii="Cambria Math" w:eastAsiaTheme="minorEastAsia" w:hAnsi="Cambria Math"/>
                    </w:rPr>
                    <m:t xml:space="preserve"> </m:t>
                  </m:r>
                </m:e>
              </m:nary>
            </m:den>
          </m:f>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k</m:t>
              </m:r>
            </m:sub>
            <m:sup/>
            <m:e>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T,k</m:t>
                      </m:r>
                    </m:sub>
                  </m:sSub>
                </m:e>
              </m:d>
            </m:e>
          </m:nary>
        </m:oMath>
      </m:oMathPara>
    </w:p>
    <w:p w14:paraId="39D4C2F7" w14:textId="77777777" w:rsidR="00E726A6" w:rsidRPr="0077242B" w:rsidRDefault="00000000" w:rsidP="00E726A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T,k</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Cast</m:t>
                  </m:r>
                </m:e>
                <m:sub>
                  <m:r>
                    <w:rPr>
                      <w:rFonts w:ascii="Cambria Math" w:eastAsiaTheme="minorEastAsia" w:hAnsi="Cambria Math"/>
                    </w:rPr>
                    <m:t>T,k</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T,k</m:t>
                  </m:r>
                </m:sub>
              </m:sSub>
            </m:den>
          </m:f>
        </m:oMath>
      </m:oMathPara>
    </w:p>
    <w:p w14:paraId="6CDA8E77" w14:textId="77777777" w:rsidR="00C65623" w:rsidRDefault="00C65623" w:rsidP="00422B81">
      <w:pPr>
        <w:rPr>
          <w:rFonts w:cs="Arial"/>
        </w:rPr>
      </w:pPr>
      <w:r>
        <w:rPr>
          <w:rFonts w:cs="Arial"/>
        </w:rPr>
        <w:t>Donde:</w:t>
      </w:r>
    </w:p>
    <w:p w14:paraId="18C5695E" w14:textId="77777777" w:rsidR="009047FF" w:rsidRDefault="009047FF" w:rsidP="00E14019">
      <w:pPr>
        <w:ind w:left="1469" w:right="47" w:hanging="1469"/>
        <w:rPr>
          <w:rFonts w:cs="Arial"/>
          <w:bCs/>
          <w:i/>
          <w:lang w:eastAsia="ar-SA"/>
        </w:rPr>
      </w:pPr>
    </w:p>
    <w:p w14:paraId="0EB1E2AC" w14:textId="7A796F97" w:rsidR="00164C5F" w:rsidRPr="0077242B" w:rsidRDefault="00745F65" w:rsidP="00164C5F">
      <w:pPr>
        <w:ind w:left="1469" w:right="47" w:hanging="1469"/>
        <w:rPr>
          <w:rFonts w:eastAsiaTheme="minorEastAsia"/>
        </w:rPr>
      </w:pPr>
      <w:r>
        <w:rPr>
          <w:rFonts w:cs="Arial"/>
          <w:bCs/>
          <w:i/>
          <w:lang w:eastAsia="ar-SA"/>
        </w:rPr>
        <w:t>A</w:t>
      </w:r>
      <w:r w:rsidR="00164C5F">
        <w:rPr>
          <w:rFonts w:cs="Arial"/>
        </w:rPr>
        <w:t>:</w:t>
      </w:r>
      <w:r w:rsidR="00164C5F">
        <w:rPr>
          <w:rFonts w:cs="Arial"/>
        </w:rPr>
        <w:tab/>
      </w:r>
      <w:r w:rsidR="00164C5F">
        <w:rPr>
          <w:rFonts w:cs="Arial"/>
          <w:bCs/>
          <w:lang w:eastAsia="ar-SA"/>
        </w:rPr>
        <w:t xml:space="preserve">Año de la </w:t>
      </w:r>
      <w:r w:rsidR="009C4CB5">
        <w:rPr>
          <w:rFonts w:cs="Arial"/>
          <w:bCs/>
          <w:lang w:eastAsia="ar-SA"/>
        </w:rPr>
        <w:t>fecha base de la metodología</w:t>
      </w:r>
      <w:r w:rsidR="00164C5F">
        <w:rPr>
          <w:rFonts w:cs="Arial"/>
          <w:bCs/>
          <w:lang w:eastAsia="ar-SA"/>
        </w:rPr>
        <w:t>.</w:t>
      </w:r>
    </w:p>
    <w:p w14:paraId="15AEFC6A" w14:textId="75C41679" w:rsidR="008F289C" w:rsidRPr="0077242B" w:rsidRDefault="008F289C" w:rsidP="008F289C">
      <w:pPr>
        <w:ind w:left="1469" w:right="47" w:hanging="1469"/>
        <w:rPr>
          <w:rFonts w:eastAsiaTheme="minorEastAsia"/>
        </w:rPr>
      </w:pPr>
      <w:r>
        <w:rPr>
          <w:rFonts w:cs="Arial"/>
          <w:bCs/>
          <w:i/>
          <w:lang w:eastAsia="ar-SA"/>
        </w:rPr>
        <w:t>T</w:t>
      </w:r>
      <w:r>
        <w:rPr>
          <w:rFonts w:cs="Arial"/>
        </w:rPr>
        <w:t>:</w:t>
      </w:r>
      <w:r>
        <w:rPr>
          <w:rFonts w:cs="Arial"/>
        </w:rPr>
        <w:tab/>
      </w:r>
      <w:r>
        <w:rPr>
          <w:rFonts w:cs="Arial"/>
          <w:bCs/>
          <w:lang w:eastAsia="ar-SA"/>
        </w:rPr>
        <w:t>Año de cálculo de la variab</w:t>
      </w:r>
      <w:r w:rsidR="005A2D18">
        <w:rPr>
          <w:rFonts w:cs="Arial"/>
          <w:bCs/>
          <w:lang w:eastAsia="ar-SA"/>
        </w:rPr>
        <w:t xml:space="preserve">le. </w:t>
      </w:r>
    </w:p>
    <w:p w14:paraId="0DDC9B0C" w14:textId="2D0B4AC0" w:rsidR="009D19D2" w:rsidRPr="0077242B" w:rsidRDefault="00C65623" w:rsidP="00E14019">
      <w:pPr>
        <w:ind w:left="1469" w:right="47" w:hanging="1469"/>
        <w:rPr>
          <w:rFonts w:eastAsiaTheme="minorEastAsia"/>
        </w:rPr>
      </w:pPr>
      <w:proofErr w:type="spellStart"/>
      <w:r>
        <w:rPr>
          <w:rFonts w:cs="Arial"/>
          <w:bCs/>
          <w:i/>
          <w:lang w:eastAsia="ar-SA"/>
        </w:rPr>
        <w:t>RCAE</w:t>
      </w:r>
      <w:r w:rsidRPr="004F4063">
        <w:rPr>
          <w:rFonts w:cs="Arial"/>
          <w:bCs/>
          <w:i/>
          <w:vertAlign w:val="subscript"/>
          <w:lang w:eastAsia="ar-SA"/>
        </w:rPr>
        <w:t>j</w:t>
      </w:r>
      <w:proofErr w:type="spellEnd"/>
      <w:r>
        <w:rPr>
          <w:rFonts w:cs="Arial"/>
        </w:rPr>
        <w:t>:</w:t>
      </w:r>
      <w:r>
        <w:rPr>
          <w:rFonts w:cs="Arial"/>
        </w:rPr>
        <w:tab/>
      </w:r>
      <w:r w:rsidR="002B628C" w:rsidRPr="003C0DFD">
        <w:rPr>
          <w:rFonts w:cs="Arial"/>
          <w:bCs/>
          <w:lang w:eastAsia="ar-SA"/>
        </w:rPr>
        <w:t>Prima de riesgo de cartera a reconocer al comercializador</w:t>
      </w:r>
      <w:r w:rsidR="005F0B5A">
        <w:rPr>
          <w:rFonts w:cs="Arial"/>
          <w:bCs/>
          <w:lang w:eastAsia="ar-SA"/>
        </w:rPr>
        <w:t xml:space="preserve"> </w:t>
      </w:r>
      <w:r w:rsidR="005F0B5A" w:rsidRPr="005F0B5A">
        <w:rPr>
          <w:rFonts w:cs="Arial"/>
          <w:bCs/>
          <w:i/>
          <w:iCs/>
          <w:lang w:eastAsia="ar-SA"/>
        </w:rPr>
        <w:t>i</w:t>
      </w:r>
      <w:r w:rsidR="005F0B5A">
        <w:rPr>
          <w:rFonts w:cs="Arial"/>
          <w:bCs/>
          <w:lang w:eastAsia="ar-SA"/>
        </w:rPr>
        <w:t xml:space="preserve"> en el mercado de comercialización</w:t>
      </w:r>
      <w:r w:rsidR="005F0B5A" w:rsidRPr="005F0B5A">
        <w:rPr>
          <w:rFonts w:cs="Arial"/>
          <w:bCs/>
          <w:i/>
          <w:iCs/>
          <w:lang w:eastAsia="ar-SA"/>
        </w:rPr>
        <w:t xml:space="preserve"> j</w:t>
      </w:r>
      <w:r w:rsidR="002B628C" w:rsidRPr="003C0DFD">
        <w:rPr>
          <w:rFonts w:cs="Arial"/>
          <w:bCs/>
          <w:lang w:eastAsia="ar-SA"/>
        </w:rPr>
        <w:t>, por la atención de usuarios en áreas especiales</w:t>
      </w:r>
      <w:r w:rsidR="002B628C">
        <w:rPr>
          <w:rFonts w:cs="Arial"/>
          <w:bCs/>
          <w:lang w:eastAsia="ar-SA"/>
        </w:rPr>
        <w:t>.</w:t>
      </w:r>
    </w:p>
    <w:p w14:paraId="0B7B1752" w14:textId="5CE7608B" w:rsidR="009D19D2" w:rsidRPr="002F3859" w:rsidRDefault="00E30CBE" w:rsidP="00E14019">
      <w:pPr>
        <w:ind w:left="1469" w:right="47" w:hanging="1469"/>
        <w:rPr>
          <w:rFonts w:eastAsiaTheme="minorEastAsia"/>
        </w:rPr>
      </w:pPr>
      <w:proofErr w:type="spellStart"/>
      <w:proofErr w:type="gramStart"/>
      <w:r>
        <w:rPr>
          <w:rFonts w:cs="Arial"/>
          <w:i/>
          <w:iCs/>
        </w:rPr>
        <w:lastRenderedPageBreak/>
        <w:t>F</w:t>
      </w:r>
      <w:r w:rsidR="000129D0" w:rsidRPr="000129D0">
        <w:rPr>
          <w:rFonts w:cs="Arial"/>
          <w:i/>
          <w:iCs/>
          <w:vertAlign w:val="subscript"/>
        </w:rPr>
        <w:t>T,k</w:t>
      </w:r>
      <w:proofErr w:type="spellEnd"/>
      <w:proofErr w:type="gramEnd"/>
      <w:r w:rsidR="000129D0" w:rsidRPr="001D3921">
        <w:rPr>
          <w:rFonts w:eastAsiaTheme="minorEastAsia"/>
        </w:rPr>
        <w:t>:</w:t>
      </w:r>
      <w:r w:rsidR="009D19D2" w:rsidRPr="002F3859">
        <w:rPr>
          <w:rFonts w:eastAsiaTheme="minorEastAsia"/>
        </w:rPr>
        <w:tab/>
        <w:t>Fracción de la facturación anual total reportada en cartera con más de un año al final de año contable</w:t>
      </w:r>
      <w:r w:rsidR="009D19D2">
        <w:rPr>
          <w:rFonts w:eastAsiaTheme="minorEastAsia"/>
        </w:rPr>
        <w:t xml:space="preserve"> </w:t>
      </w:r>
      <w:r w:rsidR="009D19D2" w:rsidRPr="00BD169A">
        <w:rPr>
          <w:rFonts w:eastAsiaTheme="minorEastAsia"/>
          <w:i/>
        </w:rPr>
        <w:t>T</w:t>
      </w:r>
      <w:r w:rsidR="009D19D2">
        <w:rPr>
          <w:rFonts w:eastAsiaTheme="minorEastAsia"/>
          <w:i/>
        </w:rPr>
        <w:t xml:space="preserve">, </w:t>
      </w:r>
      <w:r w:rsidR="009D19D2" w:rsidRPr="002F3859">
        <w:rPr>
          <w:rFonts w:eastAsiaTheme="minorEastAsia"/>
        </w:rPr>
        <w:t>para la categoría</w:t>
      </w:r>
      <w:r w:rsidR="009D19D2">
        <w:rPr>
          <w:rFonts w:eastAsiaTheme="minorEastAsia"/>
        </w:rPr>
        <w:t xml:space="preserve"> </w:t>
      </w:r>
      <w:r w:rsidR="009D19D2" w:rsidRPr="0040782D">
        <w:rPr>
          <w:rFonts w:eastAsiaTheme="minorEastAsia"/>
          <w:i/>
        </w:rPr>
        <w:t>k</w:t>
      </w:r>
      <w:r w:rsidR="009D19D2">
        <w:rPr>
          <w:rFonts w:eastAsiaTheme="minorEastAsia"/>
        </w:rPr>
        <w:t>.</w:t>
      </w:r>
    </w:p>
    <w:p w14:paraId="5ED3A0EF" w14:textId="77777777" w:rsidR="00E20A17" w:rsidRDefault="00E4639C" w:rsidP="009D19D2">
      <w:pPr>
        <w:ind w:left="1410" w:hanging="1410"/>
        <w:rPr>
          <w:rFonts w:eastAsiaTheme="minorEastAsia"/>
        </w:rPr>
      </w:pPr>
      <w:proofErr w:type="spellStart"/>
      <w:proofErr w:type="gramStart"/>
      <w:r>
        <w:rPr>
          <w:rFonts w:eastAsiaTheme="minorEastAsia"/>
          <w:i/>
        </w:rPr>
        <w:t>Cast</w:t>
      </w:r>
      <w:r w:rsidRPr="000129D0">
        <w:rPr>
          <w:rFonts w:cs="Arial"/>
          <w:i/>
          <w:iCs/>
          <w:vertAlign w:val="subscript"/>
        </w:rPr>
        <w:t>T,k</w:t>
      </w:r>
      <w:proofErr w:type="spellEnd"/>
      <w:proofErr w:type="gramEnd"/>
      <w:r w:rsidRPr="000129D0">
        <w:rPr>
          <w:rFonts w:cs="Arial"/>
          <w:i/>
          <w:iCs/>
        </w:rPr>
        <w:t>:</w:t>
      </w:r>
      <w:r w:rsidR="009D19D2">
        <w:rPr>
          <w:rFonts w:eastAsiaTheme="minorEastAsia"/>
          <w:i/>
        </w:rPr>
        <w:tab/>
      </w:r>
      <w:r w:rsidR="009D19D2" w:rsidRPr="002F3859">
        <w:rPr>
          <w:rFonts w:eastAsiaTheme="minorEastAsia"/>
        </w:rPr>
        <w:t xml:space="preserve">Castigo de cartera proveniente de cuentas morosas </w:t>
      </w:r>
      <w:r w:rsidR="009D19D2">
        <w:rPr>
          <w:rFonts w:eastAsiaTheme="minorEastAsia"/>
        </w:rPr>
        <w:t xml:space="preserve">en el año contable </w:t>
      </w:r>
      <w:r w:rsidR="009D19D2" w:rsidRPr="00C24F6C">
        <w:rPr>
          <w:rFonts w:eastAsiaTheme="minorEastAsia"/>
          <w:i/>
        </w:rPr>
        <w:t>T</w:t>
      </w:r>
      <w:r w:rsidR="009D19D2" w:rsidRPr="002F3859">
        <w:rPr>
          <w:rFonts w:eastAsiaTheme="minorEastAsia"/>
        </w:rPr>
        <w:t xml:space="preserve">, </w:t>
      </w:r>
      <w:r w:rsidR="009D19D2">
        <w:rPr>
          <w:rFonts w:eastAsiaTheme="minorEastAsia"/>
        </w:rPr>
        <w:t xml:space="preserve">para la </w:t>
      </w:r>
      <w:r w:rsidR="009D19D2" w:rsidRPr="002F3859">
        <w:rPr>
          <w:rFonts w:eastAsiaTheme="minorEastAsia"/>
        </w:rPr>
        <w:t>categoría</w:t>
      </w:r>
      <w:r w:rsidR="009D19D2">
        <w:rPr>
          <w:rFonts w:eastAsiaTheme="minorEastAsia"/>
        </w:rPr>
        <w:t xml:space="preserve"> </w:t>
      </w:r>
      <w:r w:rsidR="009D19D2" w:rsidRPr="0040782D">
        <w:rPr>
          <w:rFonts w:eastAsiaTheme="minorEastAsia"/>
          <w:i/>
        </w:rPr>
        <w:t>k</w:t>
      </w:r>
      <w:r w:rsidR="009D19D2" w:rsidRPr="002F3859">
        <w:rPr>
          <w:rFonts w:eastAsiaTheme="minorEastAsia"/>
          <w:i/>
        </w:rPr>
        <w:t xml:space="preserve">. </w:t>
      </w:r>
      <w:r w:rsidR="009D19D2" w:rsidRPr="002F3859">
        <w:rPr>
          <w:rFonts w:eastAsiaTheme="minorEastAsia"/>
        </w:rPr>
        <w:t>En pesos corrientes.</w:t>
      </w:r>
    </w:p>
    <w:p w14:paraId="41E7B22E" w14:textId="42FEF283" w:rsidR="00E20A17" w:rsidRDefault="00E20A17" w:rsidP="00E20A17">
      <w:pPr>
        <w:ind w:left="1559" w:right="45"/>
        <w:rPr>
          <w:rFonts w:cs="Arial"/>
        </w:rPr>
      </w:pPr>
      <w:r>
        <w:t xml:space="preserve">El valor de esta variable será publicado en la circular de la que trata el </w:t>
      </w:r>
      <w:r>
        <w:fldChar w:fldCharType="begin"/>
      </w:r>
      <w:r>
        <w:instrText xml:space="preserve"> REF _Ref164344897 \r \h </w:instrText>
      </w:r>
      <w:r>
        <w:fldChar w:fldCharType="separate"/>
      </w:r>
      <w:r w:rsidR="00625E8F">
        <w:t>Artículo 10</w:t>
      </w:r>
      <w:r>
        <w:fldChar w:fldCharType="end"/>
      </w:r>
      <w:r>
        <w:t xml:space="preserve"> de la presente resolución.</w:t>
      </w:r>
    </w:p>
    <w:p w14:paraId="35087DFF" w14:textId="27483213" w:rsidR="009D19D2" w:rsidRPr="002F3859" w:rsidRDefault="009D19D2" w:rsidP="009D19D2">
      <w:pPr>
        <w:ind w:left="1410" w:hanging="1410"/>
        <w:rPr>
          <w:rFonts w:eastAsiaTheme="minorEastAsia"/>
        </w:rPr>
      </w:pPr>
    </w:p>
    <w:p w14:paraId="72730A10" w14:textId="77777777" w:rsidR="00401676" w:rsidRDefault="007D10B5" w:rsidP="009D19D2">
      <w:pPr>
        <w:ind w:left="1410" w:hanging="1410"/>
        <w:rPr>
          <w:rFonts w:eastAsiaTheme="minorEastAsia"/>
        </w:rPr>
      </w:pPr>
      <w:proofErr w:type="spellStart"/>
      <w:proofErr w:type="gramStart"/>
      <w:r>
        <w:rPr>
          <w:rFonts w:cs="Arial"/>
          <w:i/>
          <w:iCs/>
        </w:rPr>
        <w:t>F</w:t>
      </w:r>
      <w:r w:rsidRPr="000129D0">
        <w:rPr>
          <w:rFonts w:cs="Arial"/>
          <w:i/>
          <w:iCs/>
          <w:vertAlign w:val="subscript"/>
        </w:rPr>
        <w:t>T,k</w:t>
      </w:r>
      <w:proofErr w:type="spellEnd"/>
      <w:proofErr w:type="gramEnd"/>
      <w:r w:rsidR="009D19D2">
        <w:rPr>
          <w:rFonts w:eastAsiaTheme="minorEastAsia"/>
          <w:i/>
        </w:rPr>
        <w:t>:</w:t>
      </w:r>
      <w:r w:rsidR="009D19D2" w:rsidRPr="002F3859">
        <w:rPr>
          <w:rFonts w:eastAsiaTheme="minorEastAsia"/>
          <w:i/>
        </w:rPr>
        <w:tab/>
      </w:r>
      <w:r w:rsidR="009D19D2" w:rsidRPr="002F3859">
        <w:rPr>
          <w:rFonts w:eastAsiaTheme="minorEastAsia"/>
        </w:rPr>
        <w:t xml:space="preserve">Facturación total </w:t>
      </w:r>
      <w:r w:rsidR="009D19D2">
        <w:rPr>
          <w:rFonts w:eastAsiaTheme="minorEastAsia"/>
        </w:rPr>
        <w:t xml:space="preserve">en el año contable </w:t>
      </w:r>
      <w:r w:rsidR="009D19D2" w:rsidRPr="00C24F6C">
        <w:rPr>
          <w:rFonts w:eastAsiaTheme="minorEastAsia"/>
          <w:i/>
        </w:rPr>
        <w:t>T</w:t>
      </w:r>
      <w:r w:rsidR="009D19D2" w:rsidRPr="002F3859">
        <w:rPr>
          <w:rFonts w:eastAsiaTheme="minorEastAsia"/>
        </w:rPr>
        <w:t xml:space="preserve">, </w:t>
      </w:r>
      <w:r w:rsidR="009D19D2">
        <w:rPr>
          <w:rFonts w:eastAsiaTheme="minorEastAsia"/>
        </w:rPr>
        <w:t xml:space="preserve">para la </w:t>
      </w:r>
      <w:r w:rsidR="009D19D2" w:rsidRPr="002F3859">
        <w:rPr>
          <w:rFonts w:eastAsiaTheme="minorEastAsia"/>
        </w:rPr>
        <w:t>categoría</w:t>
      </w:r>
      <w:r w:rsidR="009D19D2">
        <w:rPr>
          <w:rFonts w:eastAsiaTheme="minorEastAsia"/>
        </w:rPr>
        <w:t xml:space="preserve"> </w:t>
      </w:r>
      <w:r w:rsidR="009D19D2" w:rsidRPr="0040782D">
        <w:rPr>
          <w:rFonts w:eastAsiaTheme="minorEastAsia"/>
          <w:i/>
        </w:rPr>
        <w:t>k</w:t>
      </w:r>
      <w:r w:rsidR="009D19D2" w:rsidRPr="002F3859">
        <w:rPr>
          <w:rFonts w:eastAsiaTheme="minorEastAsia"/>
          <w:i/>
        </w:rPr>
        <w:t xml:space="preserve">. </w:t>
      </w:r>
      <w:r w:rsidR="009D19D2" w:rsidRPr="002F3859">
        <w:rPr>
          <w:rFonts w:eastAsiaTheme="minorEastAsia"/>
        </w:rPr>
        <w:t>En pesos corrientes.</w:t>
      </w:r>
      <w:r w:rsidR="009D19D2">
        <w:rPr>
          <w:rFonts w:eastAsiaTheme="minorEastAsia"/>
        </w:rPr>
        <w:t xml:space="preserve"> En caso de que esta variable sea cero (0) no será considerada dicha categoría.</w:t>
      </w:r>
    </w:p>
    <w:p w14:paraId="7ABD3E1D" w14:textId="2B85E1AA" w:rsidR="00401676" w:rsidRDefault="00401676" w:rsidP="00401676">
      <w:pPr>
        <w:ind w:left="1559" w:right="45"/>
        <w:rPr>
          <w:rFonts w:cs="Arial"/>
        </w:rPr>
      </w:pPr>
      <w:r>
        <w:t xml:space="preserve">El valor de esta variable será publicado en la circular de la que trata el </w:t>
      </w:r>
      <w:r>
        <w:fldChar w:fldCharType="begin"/>
      </w:r>
      <w:r>
        <w:instrText xml:space="preserve"> REF _Ref164344897 \r \h </w:instrText>
      </w:r>
      <w:r>
        <w:fldChar w:fldCharType="separate"/>
      </w:r>
      <w:r w:rsidR="00625E8F">
        <w:t>Artículo 10</w:t>
      </w:r>
      <w:r>
        <w:fldChar w:fldCharType="end"/>
      </w:r>
      <w:r>
        <w:t xml:space="preserve"> de la presente resolución.</w:t>
      </w:r>
    </w:p>
    <w:p w14:paraId="21D67954" w14:textId="0D5E53E3" w:rsidR="009D19D2" w:rsidRDefault="009D19D2" w:rsidP="009D19D2">
      <w:pPr>
        <w:ind w:left="1410" w:hanging="1410"/>
        <w:rPr>
          <w:rFonts w:eastAsiaTheme="minorEastAsia"/>
        </w:rPr>
      </w:pPr>
    </w:p>
    <w:p w14:paraId="66622BE1" w14:textId="5B665762" w:rsidR="009D19D2" w:rsidRDefault="00E30CBE" w:rsidP="009D19D2">
      <w:pPr>
        <w:ind w:left="1410" w:hanging="1410"/>
        <w:rPr>
          <w:rFonts w:eastAsiaTheme="minorEastAsia"/>
        </w:rPr>
      </w:pPr>
      <w:r>
        <w:rPr>
          <w:rFonts w:eastAsiaTheme="minorEastAsia"/>
          <w:i/>
        </w:rPr>
        <w:t>K</w:t>
      </w:r>
      <w:r w:rsidR="009D19D2" w:rsidRPr="002F3859" w:rsidDel="005D37D5">
        <w:rPr>
          <w:rFonts w:eastAsiaTheme="minorEastAsia"/>
          <w:i/>
        </w:rPr>
        <w:tab/>
      </w:r>
      <w:r w:rsidR="00995E34">
        <w:rPr>
          <w:rFonts w:eastAsiaTheme="minorEastAsia"/>
        </w:rPr>
        <w:t>T</w:t>
      </w:r>
      <w:r w:rsidR="009D19D2" w:rsidRPr="00ED392D">
        <w:rPr>
          <w:rFonts w:eastAsiaTheme="minorEastAsia"/>
          <w:bCs/>
        </w:rPr>
        <w:t>ipo de usuario</w:t>
      </w:r>
      <w:r w:rsidR="00995E34">
        <w:rPr>
          <w:rFonts w:eastAsiaTheme="minorEastAsia"/>
          <w:bCs/>
        </w:rPr>
        <w:t xml:space="preserve">, </w:t>
      </w:r>
      <w:r w:rsidR="009D19D2">
        <w:rPr>
          <w:rFonts w:eastAsiaTheme="minorEastAsia"/>
          <w:bCs/>
        </w:rPr>
        <w:t xml:space="preserve">corresponderá a usuarios ubicados en: </w:t>
      </w:r>
      <w:r w:rsidR="009D19D2" w:rsidRPr="00ED392D">
        <w:rPr>
          <w:rFonts w:eastAsiaTheme="minorEastAsia"/>
          <w:bCs/>
        </w:rPr>
        <w:t xml:space="preserve">barrios subnormales, </w:t>
      </w:r>
      <w:r w:rsidR="009D19D2">
        <w:rPr>
          <w:rFonts w:eastAsiaTheme="minorEastAsia"/>
          <w:bCs/>
        </w:rPr>
        <w:t>á</w:t>
      </w:r>
      <w:r w:rsidR="009D19D2" w:rsidRPr="00ED392D">
        <w:rPr>
          <w:rFonts w:eastAsiaTheme="minorEastAsia"/>
          <w:bCs/>
        </w:rPr>
        <w:t xml:space="preserve">reas rurales de menor desarrollo y </w:t>
      </w:r>
      <w:r w:rsidR="009D19D2">
        <w:rPr>
          <w:rFonts w:eastAsiaTheme="minorEastAsia"/>
          <w:bCs/>
        </w:rPr>
        <w:t>z</w:t>
      </w:r>
      <w:r w:rsidR="009D19D2" w:rsidRPr="00ED392D">
        <w:rPr>
          <w:rFonts w:eastAsiaTheme="minorEastAsia"/>
          <w:bCs/>
        </w:rPr>
        <w:t xml:space="preserve">onas de </w:t>
      </w:r>
      <w:r w:rsidR="009D19D2">
        <w:rPr>
          <w:rFonts w:eastAsiaTheme="minorEastAsia"/>
          <w:bCs/>
        </w:rPr>
        <w:t>d</w:t>
      </w:r>
      <w:r w:rsidR="009D19D2" w:rsidRPr="00ED392D">
        <w:rPr>
          <w:rFonts w:eastAsiaTheme="minorEastAsia"/>
          <w:bCs/>
        </w:rPr>
        <w:t xml:space="preserve">ifícil </w:t>
      </w:r>
      <w:r w:rsidR="009D19D2">
        <w:rPr>
          <w:rFonts w:eastAsiaTheme="minorEastAsia"/>
          <w:bCs/>
        </w:rPr>
        <w:t>g</w:t>
      </w:r>
      <w:r w:rsidR="009D19D2" w:rsidRPr="00ED392D">
        <w:rPr>
          <w:rFonts w:eastAsiaTheme="minorEastAsia"/>
          <w:bCs/>
        </w:rPr>
        <w:t>estión</w:t>
      </w:r>
      <w:r w:rsidR="009D19D2" w:rsidRPr="002F3859">
        <w:rPr>
          <w:rFonts w:eastAsiaTheme="minorEastAsia"/>
        </w:rPr>
        <w:t>.</w:t>
      </w:r>
      <w:r w:rsidR="002164BA">
        <w:rPr>
          <w:rFonts w:eastAsiaTheme="minorEastAsia"/>
        </w:rPr>
        <w:t xml:space="preserve"> </w:t>
      </w:r>
    </w:p>
    <w:p w14:paraId="4065054A" w14:textId="69F6D22C" w:rsidR="005D46DE" w:rsidRDefault="005D46DE" w:rsidP="005D46DE">
      <w:pPr>
        <w:ind w:right="47"/>
        <w:rPr>
          <w:rFonts w:cs="Arial"/>
        </w:rPr>
      </w:pPr>
      <w:r>
        <w:rPr>
          <w:rFonts w:cs="Arial"/>
        </w:rPr>
        <w:t>A partir del segundo año calendario de entrada en vigor de la presente metodología,</w:t>
      </w:r>
      <w:r>
        <w:t xml:space="preserve"> en </w:t>
      </w:r>
      <w:r>
        <w:rPr>
          <w:rFonts w:cs="Arial"/>
        </w:rPr>
        <w:t>l</w:t>
      </w:r>
      <w:r w:rsidRPr="007B5BDC">
        <w:rPr>
          <w:rFonts w:cs="Arial"/>
        </w:rPr>
        <w:t xml:space="preserve">os mercados de comercialización para </w:t>
      </w:r>
      <w:r>
        <w:rPr>
          <w:rFonts w:cs="Arial"/>
        </w:rPr>
        <w:t xml:space="preserve">los cuales </w:t>
      </w:r>
      <w:r w:rsidR="003574B5">
        <w:rPr>
          <w:rFonts w:cs="Arial"/>
        </w:rPr>
        <w:t>el</w:t>
      </w:r>
      <w:r>
        <w:rPr>
          <w:rFonts w:cs="Arial"/>
        </w:rPr>
        <w:t xml:space="preserve"> valor de </w:t>
      </w:r>
      <w:r w:rsidRPr="0012240B">
        <w:rPr>
          <w:rFonts w:cs="Arial"/>
        </w:rPr>
        <w:t xml:space="preserve">la variable </w:t>
      </w:r>
      <w:proofErr w:type="spellStart"/>
      <w:proofErr w:type="gramStart"/>
      <w:r>
        <w:rPr>
          <w:rFonts w:cs="Arial"/>
          <w:bCs/>
          <w:i/>
          <w:lang w:eastAsia="ar-SA"/>
        </w:rPr>
        <w:t>RCAE</w:t>
      </w:r>
      <w:r w:rsidRPr="004F4063">
        <w:rPr>
          <w:rFonts w:cs="Arial"/>
          <w:bCs/>
          <w:i/>
          <w:vertAlign w:val="subscript"/>
          <w:lang w:eastAsia="ar-SA"/>
        </w:rPr>
        <w:t>j,t</w:t>
      </w:r>
      <w:proofErr w:type="spellEnd"/>
      <w:proofErr w:type="gramEnd"/>
      <w:r w:rsidRPr="0012240B">
        <w:rPr>
          <w:rFonts w:cs="Arial"/>
        </w:rPr>
        <w:t xml:space="preserve"> </w:t>
      </w:r>
      <w:r w:rsidR="003574B5">
        <w:rPr>
          <w:rFonts w:cs="Arial"/>
        </w:rPr>
        <w:t xml:space="preserve">sea </w:t>
      </w:r>
      <w:r>
        <w:rPr>
          <w:rFonts w:cs="Arial"/>
        </w:rPr>
        <w:t>mayor o igual a 10,0%</w:t>
      </w:r>
      <w:r w:rsidRPr="0012240B">
        <w:rPr>
          <w:rFonts w:cs="Arial"/>
        </w:rPr>
        <w:t xml:space="preserve"> </w:t>
      </w:r>
      <w:r>
        <w:rPr>
          <w:rFonts w:cs="Arial"/>
        </w:rPr>
        <w:t>se deberá aplicar la siguiente ecuación:</w:t>
      </w:r>
    </w:p>
    <w:p w14:paraId="279D3B03" w14:textId="77FD36A6" w:rsidR="00C667CE" w:rsidRDefault="00000000" w:rsidP="005D46DE">
      <w:pPr>
        <w:ind w:right="47"/>
        <w:rPr>
          <w:rFonts w:cs="Arial"/>
        </w:rPr>
      </w:pPr>
      <m:oMathPara>
        <m:oMath>
          <m:sSub>
            <m:sSubPr>
              <m:ctrlPr>
                <w:rPr>
                  <w:rFonts w:ascii="Cambria Math" w:hAnsi="Cambria Math" w:cs="Arial"/>
                  <w:i/>
                </w:rPr>
              </m:ctrlPr>
            </m:sSubPr>
            <m:e>
              <m:r>
                <w:rPr>
                  <w:rFonts w:ascii="Cambria Math" w:hAnsi="Cambria Math" w:cs="Arial"/>
                </w:rPr>
                <m:t>RCAE</m:t>
              </m:r>
            </m:e>
            <m:sub>
              <m:r>
                <w:rPr>
                  <w:rFonts w:ascii="Cambria Math" w:hAnsi="Cambria Math" w:cs="Arial"/>
                </w:rPr>
                <m:t>j,t</m:t>
              </m:r>
            </m:sub>
          </m:sSub>
          <m:r>
            <w:rPr>
              <w:rFonts w:ascii="Cambria Math" w:hAnsi="Cambria Math" w:cs="Arial"/>
            </w:rPr>
            <m:t>=</m:t>
          </m:r>
          <m:sSub>
            <m:sSubPr>
              <m:ctrlPr>
                <w:rPr>
                  <w:rFonts w:ascii="Cambria Math" w:hAnsi="Cambria Math" w:cs="Arial"/>
                  <w:i/>
                </w:rPr>
              </m:ctrlPr>
            </m:sSubPr>
            <m:e>
              <m:r>
                <w:rPr>
                  <w:rFonts w:ascii="Cambria Math" w:hAnsi="Cambria Math" w:cs="Arial"/>
                </w:rPr>
                <m:t>RCAE</m:t>
              </m:r>
            </m:e>
            <m:sub>
              <m:r>
                <w:rPr>
                  <w:rFonts w:ascii="Cambria Math" w:hAnsi="Cambria Math" w:cs="Arial"/>
                </w:rPr>
                <m:t>j</m:t>
              </m:r>
            </m:sub>
          </m:sSub>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1-0,05</m:t>
                  </m:r>
                </m:e>
              </m:d>
            </m:e>
            <m:sup>
              <m:r>
                <w:rPr>
                  <w:rFonts w:ascii="Cambria Math" w:hAnsi="Cambria Math" w:cs="Arial"/>
                </w:rPr>
                <m:t>t-1</m:t>
              </m:r>
            </m:sup>
          </m:sSup>
        </m:oMath>
      </m:oMathPara>
    </w:p>
    <w:p w14:paraId="1A704075" w14:textId="3A4682C5" w:rsidR="003533DF" w:rsidRDefault="003533DF" w:rsidP="00F27066">
      <w:pPr>
        <w:pStyle w:val="Ttulo2"/>
      </w:pPr>
      <w:bookmarkStart w:id="52" w:name="_Ref138857807"/>
      <w:bookmarkStart w:id="53" w:name="_Toc164064367"/>
      <w:r>
        <w:t>costos financieros reconocidos</w:t>
      </w:r>
      <w:bookmarkEnd w:id="52"/>
      <w:bookmarkEnd w:id="53"/>
    </w:p>
    <w:p w14:paraId="5F659095" w14:textId="22807025" w:rsidR="003533DF" w:rsidRPr="00C61EB7" w:rsidRDefault="003533DF" w:rsidP="000E29FB">
      <w:r>
        <w:rPr>
          <w:lang w:val="es-CO"/>
        </w:rPr>
        <w:t xml:space="preserve">Los costos </w:t>
      </w:r>
      <w:r w:rsidRPr="00A45296">
        <w:rPr>
          <w:rFonts w:cs="Arial"/>
        </w:rPr>
        <w:t xml:space="preserve">financieros asociados </w:t>
      </w:r>
      <w:r>
        <w:t xml:space="preserve">con el </w:t>
      </w:r>
      <w:r w:rsidRPr="006755FC">
        <w:t>ciclo de efectivo de la actividad de comercialización</w:t>
      </w:r>
      <w:r>
        <w:t xml:space="preserve"> </w:t>
      </w:r>
      <w:proofErr w:type="gramStart"/>
      <w:r w:rsidR="00BE3B67">
        <w:t>reconocidos</w:t>
      </w:r>
      <w:r w:rsidR="00720064">
        <w:t>,</w:t>
      </w:r>
      <w:proofErr w:type="gramEnd"/>
      <w:r w:rsidR="00BE3B67">
        <w:t xml:space="preserve"> </w:t>
      </w:r>
      <w:r w:rsidRPr="000A29D6">
        <w:t>se determinará</w:t>
      </w:r>
      <w:r>
        <w:t>n</w:t>
      </w:r>
      <w:r w:rsidRPr="000A29D6">
        <w:t xml:space="preserve"> con base en la siguiente expresión:</w:t>
      </w:r>
    </w:p>
    <w:p w14:paraId="56689A4A" w14:textId="6AFF2D09" w:rsidR="003533DF" w:rsidRPr="000A29D6" w:rsidRDefault="00000000" w:rsidP="003533DF">
      <w:pPr>
        <w:rPr>
          <w:highlight w:val="lightGray"/>
        </w:rPr>
      </w:pPr>
      <m:oMathPara>
        <m:oMath>
          <m:sSub>
            <m:sSubPr>
              <m:ctrlPr>
                <w:rPr>
                  <w:rFonts w:ascii="Cambria Math" w:hAnsi="Cambria Math"/>
                </w:rPr>
              </m:ctrlPr>
            </m:sSubPr>
            <m:e>
              <m:r>
                <w:rPr>
                  <w:rFonts w:ascii="Cambria Math" w:hAnsi="Cambria Math"/>
                </w:rPr>
                <m:t>CF</m:t>
              </m:r>
            </m:e>
            <m:sub>
              <m:r>
                <w:rPr>
                  <w:rFonts w:ascii="Cambria Math" w:hAnsi="Cambria Math"/>
                </w:rPr>
                <m:t>i,j,m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G</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PR</m:t>
                  </m:r>
                </m:e>
                <m:sub>
                  <m:r>
                    <m:rPr>
                      <m:sty m:val="p"/>
                    </m:rPr>
                    <w:rPr>
                      <w:rFonts w:ascii="Cambria Math" w:hAnsi="Cambria Math"/>
                    </w:rPr>
                    <m:t>1,</m:t>
                  </m:r>
                  <m:r>
                    <w:rPr>
                      <w:rFonts w:ascii="Cambria Math" w:hAnsi="Cambria Math"/>
                    </w:rPr>
                    <m:t>j</m:t>
                  </m:r>
                  <m:r>
                    <m:rPr>
                      <m:sty m:val="p"/>
                    </m:rPr>
                    <w:rPr>
                      <w:rFonts w:ascii="Cambria Math" w:hAnsi="Cambria Math"/>
                    </w:rPr>
                    <m:t>,</m:t>
                  </m:r>
                  <m:r>
                    <w:rPr>
                      <w:rFonts w:ascii="Cambria Math" w:hAnsi="Cambria Math"/>
                    </w:rPr>
                    <m:t>m</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r>
                    <m:rPr>
                      <m:sty m:val="p"/>
                    </m:rPr>
                    <w:rPr>
                      <w:rFonts w:ascii="Cambria Math" w:hAnsi="Cambria Math"/>
                    </w:rPr>
                    <m:t>,</m:t>
                  </m:r>
                  <m:r>
                    <w:rPr>
                      <w:rFonts w:ascii="Cambria Math" w:hAnsi="Cambria Math"/>
                    </w:rPr>
                    <m:t>m</m:t>
                  </m:r>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rPr>
                <m:t>CFE</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m,t</m:t>
              </m:r>
            </m:sub>
          </m:sSub>
        </m:oMath>
      </m:oMathPara>
    </w:p>
    <w:p w14:paraId="05F3F3E2" w14:textId="77777777" w:rsidR="003533DF" w:rsidRDefault="003533DF" w:rsidP="003533DF">
      <w:r>
        <w:t>Donde:</w:t>
      </w:r>
    </w:p>
    <w:p w14:paraId="563ABEEB" w14:textId="77777777" w:rsidR="00720064" w:rsidRDefault="003533DF" w:rsidP="00720064">
      <w:pPr>
        <w:ind w:left="1130" w:hanging="1130"/>
      </w:pPr>
      <w:proofErr w:type="spellStart"/>
      <w:proofErr w:type="gramStart"/>
      <w:r>
        <w:rPr>
          <w:i/>
          <w:iCs/>
        </w:rPr>
        <w:t>CF</w:t>
      </w:r>
      <w:r w:rsidRPr="003A0953">
        <w:rPr>
          <w:i/>
          <w:iCs/>
          <w:vertAlign w:val="subscript"/>
        </w:rPr>
        <w:t>i,j</w:t>
      </w:r>
      <w:proofErr w:type="gramEnd"/>
      <w:r w:rsidRPr="003A0953">
        <w:rPr>
          <w:i/>
          <w:iCs/>
          <w:vertAlign w:val="subscript"/>
        </w:rPr>
        <w:t>,m</w:t>
      </w:r>
      <w:proofErr w:type="spellEnd"/>
      <w:r>
        <w:rPr>
          <w:vertAlign w:val="subscript"/>
        </w:rPr>
        <w:tab/>
      </w:r>
      <w:r w:rsidR="00F271BD">
        <w:rPr>
          <w:lang w:eastAsia="ar-SA"/>
        </w:rPr>
        <w:t>C</w:t>
      </w:r>
      <w:r w:rsidRPr="00A45296">
        <w:rPr>
          <w:rFonts w:cs="Arial"/>
        </w:rPr>
        <w:t xml:space="preserve">ostos financieros asociados al ciclo de efectivo </w:t>
      </w:r>
      <w:r>
        <w:rPr>
          <w:rFonts w:cs="Arial"/>
        </w:rPr>
        <w:t xml:space="preserve">reconocidos </w:t>
      </w:r>
      <w:r w:rsidR="00EB1BC5">
        <w:rPr>
          <w:rFonts w:cs="Arial"/>
        </w:rPr>
        <w:t>al</w:t>
      </w:r>
      <w:r w:rsidRPr="00A45296">
        <w:rPr>
          <w:lang w:eastAsia="ar-SA"/>
        </w:rPr>
        <w:t xml:space="preserve"> comercializador </w:t>
      </w:r>
      <w:r w:rsidRPr="00A45296">
        <w:rPr>
          <w:i/>
        </w:rPr>
        <w:t>i</w:t>
      </w:r>
      <w:r w:rsidRPr="00A45296">
        <w:rPr>
          <w:lang w:eastAsia="ar-SA"/>
        </w:rPr>
        <w:t xml:space="preserve">, en el mercado de comercialización </w:t>
      </w:r>
      <w:r w:rsidRPr="00A45296">
        <w:rPr>
          <w:i/>
        </w:rPr>
        <w:t>j</w:t>
      </w:r>
      <w:r w:rsidRPr="00A45296">
        <w:rPr>
          <w:lang w:eastAsia="ar-SA"/>
        </w:rPr>
        <w:t>, para el mes</w:t>
      </w:r>
      <w:r w:rsidRPr="000A29D6">
        <w:rPr>
          <w:lang w:eastAsia="ar-SA"/>
        </w:rPr>
        <w:t xml:space="preserve"> </w:t>
      </w:r>
      <w:r w:rsidRPr="000A29D6">
        <w:rPr>
          <w:i/>
          <w:lang w:eastAsia="ar-SA"/>
        </w:rPr>
        <w:t>m</w:t>
      </w:r>
      <w:r w:rsidR="00EB1BC5">
        <w:rPr>
          <w:i/>
          <w:lang w:eastAsia="ar-SA"/>
        </w:rPr>
        <w:t>.</w:t>
      </w:r>
      <w:r w:rsidR="00720064">
        <w:rPr>
          <w:i/>
          <w:lang w:eastAsia="ar-SA"/>
        </w:rPr>
        <w:t xml:space="preserve"> </w:t>
      </w:r>
      <w:r w:rsidR="00720064" w:rsidRPr="00A612F2">
        <w:t>Esta variable se expresa en pesos por kilovatio hora ($/kWh).</w:t>
      </w:r>
    </w:p>
    <w:p w14:paraId="7AB7DE16" w14:textId="15989A0C" w:rsidR="003533DF" w:rsidRPr="003A0953" w:rsidRDefault="003533DF" w:rsidP="003533DF">
      <w:pPr>
        <w:ind w:left="1130" w:hanging="1130"/>
      </w:pPr>
      <w:proofErr w:type="gramStart"/>
      <w:r w:rsidRPr="003A0953">
        <w:rPr>
          <w:i/>
          <w:iCs/>
        </w:rPr>
        <w:t>G</w:t>
      </w:r>
      <w:r w:rsidRPr="007D7E58">
        <w:rPr>
          <w:i/>
          <w:iCs/>
          <w:vertAlign w:val="subscript"/>
        </w:rPr>
        <w:t>i,j</w:t>
      </w:r>
      <w:proofErr w:type="gramEnd"/>
      <w:r w:rsidRPr="007D7E58">
        <w:rPr>
          <w:i/>
          <w:iCs/>
          <w:vertAlign w:val="subscript"/>
        </w:rPr>
        <w:t>,m-1</w:t>
      </w:r>
      <w:r w:rsidRPr="003A0953">
        <w:rPr>
          <w:i/>
          <w:iCs/>
        </w:rPr>
        <w:t>:</w:t>
      </w:r>
      <w:r w:rsidRPr="003A0953">
        <w:rPr>
          <w:i/>
          <w:iCs/>
        </w:rPr>
        <w:tab/>
      </w:r>
      <w:bookmarkStart w:id="54" w:name="_Hlk135745811"/>
      <w:r w:rsidRPr="003A0953">
        <w:t xml:space="preserve">Costo de compra de energía para los usuarios regulados del comercializador </w:t>
      </w:r>
      <w:r w:rsidRPr="00120446">
        <w:rPr>
          <w:i/>
          <w:iCs/>
        </w:rPr>
        <w:t>i</w:t>
      </w:r>
      <w:r w:rsidRPr="003A0953">
        <w:t xml:space="preserve">, en el mercado de comercialización </w:t>
      </w:r>
      <w:r w:rsidRPr="00120446">
        <w:rPr>
          <w:i/>
          <w:iCs/>
        </w:rPr>
        <w:t>j</w:t>
      </w:r>
      <w:r w:rsidRPr="003A0953">
        <w:t>,</w:t>
      </w:r>
      <w:bookmarkEnd w:id="54"/>
      <w:r w:rsidRPr="003A0953">
        <w:t xml:space="preserve"> en el mes </w:t>
      </w:r>
      <w:r w:rsidRPr="00120446">
        <w:rPr>
          <w:i/>
          <w:iCs/>
        </w:rPr>
        <w:t>m-1</w:t>
      </w:r>
      <w:r w:rsidRPr="003A0953">
        <w:t>, determinado conforme se establece en la Resolución CREG 119 de 2007 o aquella que la modifique, complemente o sustituya. E</w:t>
      </w:r>
      <w:r w:rsidR="00EB1BC5">
        <w:t xml:space="preserve">xpresado en </w:t>
      </w:r>
      <w:r w:rsidRPr="003A0953">
        <w:t>$/kWh.</w:t>
      </w:r>
    </w:p>
    <w:p w14:paraId="7ACFEFCB" w14:textId="1031D699" w:rsidR="003533DF" w:rsidRPr="00FB3E22" w:rsidRDefault="003533DF" w:rsidP="003533DF">
      <w:pPr>
        <w:ind w:left="1130" w:hanging="1130"/>
        <w:rPr>
          <w:i/>
          <w:iCs/>
        </w:rPr>
      </w:pPr>
      <w:r w:rsidRPr="00FB3E22">
        <w:rPr>
          <w:i/>
          <w:iCs/>
        </w:rPr>
        <w:t>T</w:t>
      </w:r>
      <w:r w:rsidRPr="007D7E58">
        <w:rPr>
          <w:i/>
          <w:iCs/>
          <w:vertAlign w:val="subscript"/>
        </w:rPr>
        <w:t>m-1</w:t>
      </w:r>
      <w:r w:rsidRPr="00FB3E22">
        <w:rPr>
          <w:i/>
          <w:iCs/>
        </w:rPr>
        <w:t>:</w:t>
      </w:r>
      <w:r w:rsidRPr="00FB3E22">
        <w:rPr>
          <w:i/>
          <w:iCs/>
        </w:rPr>
        <w:tab/>
      </w:r>
      <w:r w:rsidRPr="00FB3E22">
        <w:t xml:space="preserve">Costo por el uso del </w:t>
      </w:r>
      <w:bookmarkStart w:id="55" w:name="_Hlk135745621"/>
      <w:r w:rsidRPr="00FB3E22">
        <w:t xml:space="preserve">sistema de transmisión nacional </w:t>
      </w:r>
      <w:bookmarkEnd w:id="55"/>
      <w:r w:rsidRPr="00FB3E22">
        <w:t xml:space="preserve">para el mes </w:t>
      </w:r>
      <w:r w:rsidRPr="00120446">
        <w:rPr>
          <w:i/>
          <w:iCs/>
        </w:rPr>
        <w:t>m-1</w:t>
      </w:r>
      <w:r w:rsidRPr="00FB3E22">
        <w:t xml:space="preserve">, determinado conforme se establece en la Resolución CREG 119 de </w:t>
      </w:r>
      <w:r w:rsidRPr="00FB3E22">
        <w:lastRenderedPageBreak/>
        <w:t xml:space="preserve">2007 o aquella que la modifique, complemente o sustituya. </w:t>
      </w:r>
      <w:r w:rsidR="00EB1BC5">
        <w:t xml:space="preserve">Expresado en </w:t>
      </w:r>
      <w:r w:rsidRPr="00FB3E22">
        <w:t>$/kWh</w:t>
      </w:r>
      <w:r w:rsidRPr="00FB3E22">
        <w:rPr>
          <w:i/>
          <w:iCs/>
        </w:rPr>
        <w:t>.</w:t>
      </w:r>
    </w:p>
    <w:p w14:paraId="162F3E0D" w14:textId="35531706" w:rsidR="003533DF" w:rsidRPr="000A29D6" w:rsidRDefault="003533DF" w:rsidP="003533DF">
      <w:pPr>
        <w:ind w:left="1130" w:hanging="1130"/>
        <w:rPr>
          <w:rFonts w:cs="Arial"/>
        </w:rPr>
      </w:pPr>
      <w:r w:rsidRPr="005C3650">
        <w:rPr>
          <w:i/>
          <w:lang w:eastAsia="ar-SA"/>
        </w:rPr>
        <w:t>D</w:t>
      </w:r>
      <w:proofErr w:type="gramStart"/>
      <w:r w:rsidRPr="005C3650">
        <w:rPr>
          <w:i/>
          <w:vertAlign w:val="subscript"/>
          <w:lang w:eastAsia="ar-SA"/>
        </w:rPr>
        <w:t>1,j</w:t>
      </w:r>
      <w:proofErr w:type="gramEnd"/>
      <w:r w:rsidRPr="005C3650">
        <w:rPr>
          <w:i/>
          <w:vertAlign w:val="subscript"/>
          <w:lang w:eastAsia="ar-SA"/>
        </w:rPr>
        <w:t>,m-1</w:t>
      </w:r>
      <w:r w:rsidRPr="000A29D6">
        <w:rPr>
          <w:lang w:eastAsia="ar-SA"/>
        </w:rPr>
        <w:t>:</w:t>
      </w:r>
      <w:r w:rsidRPr="000A29D6">
        <w:rPr>
          <w:lang w:eastAsia="ar-SA"/>
        </w:rPr>
        <w:tab/>
        <w:t xml:space="preserve">Costo por </w:t>
      </w:r>
      <w:r>
        <w:rPr>
          <w:lang w:eastAsia="ar-SA"/>
        </w:rPr>
        <w:t xml:space="preserve">el </w:t>
      </w:r>
      <w:r w:rsidRPr="000A29D6">
        <w:rPr>
          <w:lang w:eastAsia="ar-SA"/>
        </w:rPr>
        <w:t>uso de</w:t>
      </w:r>
      <w:r>
        <w:rPr>
          <w:lang w:eastAsia="ar-SA"/>
        </w:rPr>
        <w:t xml:space="preserve"> los</w:t>
      </w:r>
      <w:r w:rsidRPr="000A29D6">
        <w:rPr>
          <w:lang w:eastAsia="ar-SA"/>
        </w:rPr>
        <w:t xml:space="preserve"> sistemas de distribución </w:t>
      </w:r>
      <w:r>
        <w:rPr>
          <w:lang w:eastAsia="ar-SA"/>
        </w:rPr>
        <w:t xml:space="preserve">en el </w:t>
      </w:r>
      <w:r w:rsidRPr="000A29D6">
        <w:rPr>
          <w:lang w:eastAsia="ar-SA"/>
        </w:rPr>
        <w:t xml:space="preserve">nivel de tensión 1, en el </w:t>
      </w:r>
      <w:r>
        <w:rPr>
          <w:lang w:eastAsia="ar-SA"/>
        </w:rPr>
        <w:t>m</w:t>
      </w:r>
      <w:r w:rsidRPr="000A29D6">
        <w:rPr>
          <w:lang w:eastAsia="ar-SA"/>
        </w:rPr>
        <w:t xml:space="preserve">ercado de </w:t>
      </w:r>
      <w:r>
        <w:rPr>
          <w:lang w:eastAsia="ar-SA"/>
        </w:rPr>
        <w:t>c</w:t>
      </w:r>
      <w:r w:rsidRPr="000A29D6">
        <w:rPr>
          <w:lang w:eastAsia="ar-SA"/>
        </w:rPr>
        <w:t>omercialización</w:t>
      </w:r>
      <w:r>
        <w:rPr>
          <w:lang w:eastAsia="ar-SA"/>
        </w:rPr>
        <w:t xml:space="preserve"> </w:t>
      </w:r>
      <w:r w:rsidRPr="005C3650">
        <w:rPr>
          <w:i/>
        </w:rPr>
        <w:t>j</w:t>
      </w:r>
      <w:r w:rsidRPr="000A29D6">
        <w:rPr>
          <w:lang w:eastAsia="ar-SA"/>
        </w:rPr>
        <w:t>, para el mes</w:t>
      </w:r>
      <w:r>
        <w:rPr>
          <w:lang w:eastAsia="ar-SA"/>
        </w:rPr>
        <w:t xml:space="preserve"> </w:t>
      </w:r>
      <w:r w:rsidRPr="00670357">
        <w:rPr>
          <w:i/>
          <w:lang w:eastAsia="ar-SA"/>
        </w:rPr>
        <w:t>m-1</w:t>
      </w:r>
      <w:r w:rsidRPr="000A29D6">
        <w:rPr>
          <w:lang w:eastAsia="ar-SA"/>
        </w:rPr>
        <w:t>, determinado conforme se establece en la Resolución CREG 119 de 2007 o aquella que la modifique</w:t>
      </w:r>
      <w:r>
        <w:rPr>
          <w:lang w:eastAsia="ar-SA"/>
        </w:rPr>
        <w:t>, complemente</w:t>
      </w:r>
      <w:r w:rsidRPr="000A29D6">
        <w:rPr>
          <w:lang w:eastAsia="ar-SA"/>
        </w:rPr>
        <w:t xml:space="preserve"> o </w:t>
      </w:r>
      <w:r w:rsidRPr="00FB3E22">
        <w:rPr>
          <w:rFonts w:cs="Arial"/>
        </w:rPr>
        <w:t>sustituya</w:t>
      </w:r>
      <w:r w:rsidRPr="000A29D6">
        <w:rPr>
          <w:lang w:eastAsia="ar-SA"/>
        </w:rPr>
        <w:t xml:space="preserve">. </w:t>
      </w:r>
      <w:r w:rsidR="00EB1BC5">
        <w:t xml:space="preserve">Expresado en </w:t>
      </w:r>
      <w:r w:rsidR="00EB1BC5" w:rsidRPr="00FB3E22">
        <w:t>$/kWh</w:t>
      </w:r>
      <w:r w:rsidR="00EB1BC5" w:rsidRPr="00FB3E22">
        <w:rPr>
          <w:i/>
          <w:iCs/>
        </w:rPr>
        <w:t>.</w:t>
      </w:r>
    </w:p>
    <w:p w14:paraId="2D6C4394" w14:textId="51BAD317" w:rsidR="003533DF" w:rsidRPr="000A29D6" w:rsidRDefault="003533DF" w:rsidP="003533DF">
      <w:pPr>
        <w:ind w:left="1130" w:hanging="1130"/>
        <w:rPr>
          <w:rFonts w:cs="Arial"/>
        </w:rPr>
      </w:pPr>
      <w:r w:rsidRPr="005C3650">
        <w:rPr>
          <w:i/>
          <w:lang w:eastAsia="ar-SA"/>
        </w:rPr>
        <w:t>PR</w:t>
      </w:r>
      <w:proofErr w:type="gramStart"/>
      <w:r w:rsidRPr="005C3650">
        <w:rPr>
          <w:i/>
          <w:vertAlign w:val="subscript"/>
          <w:lang w:eastAsia="ar-SA"/>
        </w:rPr>
        <w:t>1,j</w:t>
      </w:r>
      <w:proofErr w:type="gramEnd"/>
      <w:r w:rsidRPr="005C3650">
        <w:rPr>
          <w:i/>
          <w:vertAlign w:val="subscript"/>
          <w:lang w:eastAsia="ar-SA"/>
        </w:rPr>
        <w:t>,m-1</w:t>
      </w:r>
      <w:r w:rsidRPr="000A29D6">
        <w:rPr>
          <w:lang w:eastAsia="ar-SA"/>
        </w:rPr>
        <w:t>:</w:t>
      </w:r>
      <w:r w:rsidRPr="000A29D6">
        <w:rPr>
          <w:lang w:eastAsia="ar-SA"/>
        </w:rPr>
        <w:tab/>
        <w:t>Costo de compra, transporte y reducción de pérdidas de energía acumuladas hast</w:t>
      </w:r>
      <w:r>
        <w:rPr>
          <w:lang w:eastAsia="ar-SA"/>
        </w:rPr>
        <w:t>a el nivel de tensión 1, en el m</w:t>
      </w:r>
      <w:r w:rsidRPr="000A29D6">
        <w:rPr>
          <w:lang w:eastAsia="ar-SA"/>
        </w:rPr>
        <w:t xml:space="preserve">ercado de </w:t>
      </w:r>
      <w:r>
        <w:rPr>
          <w:lang w:eastAsia="ar-SA"/>
        </w:rPr>
        <w:t>c</w:t>
      </w:r>
      <w:r w:rsidRPr="000A29D6">
        <w:rPr>
          <w:lang w:eastAsia="ar-SA"/>
        </w:rPr>
        <w:t>omercialización</w:t>
      </w:r>
      <w:r>
        <w:rPr>
          <w:lang w:eastAsia="ar-SA"/>
        </w:rPr>
        <w:t xml:space="preserve"> </w:t>
      </w:r>
      <w:r w:rsidRPr="005C3650">
        <w:rPr>
          <w:i/>
        </w:rPr>
        <w:t>j</w:t>
      </w:r>
      <w:r w:rsidRPr="000A29D6">
        <w:rPr>
          <w:lang w:eastAsia="ar-SA"/>
        </w:rPr>
        <w:t>, para el mes</w:t>
      </w:r>
      <w:r>
        <w:rPr>
          <w:lang w:eastAsia="ar-SA"/>
        </w:rPr>
        <w:t xml:space="preserve"> </w:t>
      </w:r>
      <w:r w:rsidRPr="00670357">
        <w:rPr>
          <w:i/>
          <w:lang w:eastAsia="ar-SA"/>
        </w:rPr>
        <w:t>m-1</w:t>
      </w:r>
      <w:r w:rsidRPr="000A29D6">
        <w:rPr>
          <w:lang w:eastAsia="ar-SA"/>
        </w:rPr>
        <w:t>, determinado conforme se establece en la Resolución CREG 119 de 2007 o aquella que la modifique</w:t>
      </w:r>
      <w:r>
        <w:rPr>
          <w:lang w:eastAsia="ar-SA"/>
        </w:rPr>
        <w:t>, complemente</w:t>
      </w:r>
      <w:r w:rsidRPr="000A29D6">
        <w:rPr>
          <w:lang w:eastAsia="ar-SA"/>
        </w:rPr>
        <w:t xml:space="preserve"> o sustituya. </w:t>
      </w:r>
      <w:r w:rsidR="00EB1BC5">
        <w:t xml:space="preserve">Expresado en </w:t>
      </w:r>
      <w:r w:rsidR="00EB1BC5" w:rsidRPr="00FB3E22">
        <w:t>$/kWh</w:t>
      </w:r>
      <w:r w:rsidR="00EB1BC5" w:rsidRPr="00FB3E22">
        <w:rPr>
          <w:i/>
          <w:iCs/>
        </w:rPr>
        <w:t>.</w:t>
      </w:r>
    </w:p>
    <w:p w14:paraId="2D6949DA" w14:textId="7DD653DB" w:rsidR="003533DF" w:rsidRPr="000A29D6" w:rsidRDefault="003533DF" w:rsidP="003533DF">
      <w:pPr>
        <w:ind w:left="1130" w:hanging="1130"/>
        <w:rPr>
          <w:rFonts w:cs="Arial"/>
        </w:rPr>
      </w:pPr>
      <w:proofErr w:type="gramStart"/>
      <w:r w:rsidRPr="005C3650">
        <w:rPr>
          <w:i/>
          <w:lang w:eastAsia="ar-SA"/>
        </w:rPr>
        <w:t>R</w:t>
      </w:r>
      <w:r w:rsidRPr="005C3650">
        <w:rPr>
          <w:i/>
          <w:vertAlign w:val="subscript"/>
          <w:lang w:eastAsia="ar-SA"/>
        </w:rPr>
        <w:t>i,m</w:t>
      </w:r>
      <w:proofErr w:type="gramEnd"/>
      <w:r w:rsidRPr="005C3650">
        <w:rPr>
          <w:i/>
          <w:vertAlign w:val="subscript"/>
          <w:lang w:eastAsia="ar-SA"/>
        </w:rPr>
        <w:t>-1</w:t>
      </w:r>
      <w:r w:rsidRPr="000A29D6">
        <w:rPr>
          <w:lang w:eastAsia="ar-SA"/>
        </w:rPr>
        <w:t>:</w:t>
      </w:r>
      <w:r w:rsidRPr="000A29D6">
        <w:rPr>
          <w:lang w:eastAsia="ar-SA"/>
        </w:rPr>
        <w:tab/>
        <w:t xml:space="preserve">Costo de restricciones y de servicios asociados con generación, asignados al </w:t>
      </w:r>
      <w:r w:rsidRPr="00FB3E22">
        <w:rPr>
          <w:rFonts w:cs="Arial"/>
        </w:rPr>
        <w:t>comercializador</w:t>
      </w:r>
      <w:r>
        <w:rPr>
          <w:lang w:eastAsia="ar-SA"/>
        </w:rPr>
        <w:t xml:space="preserve"> </w:t>
      </w:r>
      <w:r w:rsidRPr="005C3650">
        <w:rPr>
          <w:i/>
        </w:rPr>
        <w:t>i</w:t>
      </w:r>
      <w:r w:rsidRPr="000A29D6">
        <w:rPr>
          <w:lang w:eastAsia="ar-SA"/>
        </w:rPr>
        <w:t>, en el mes</w:t>
      </w:r>
      <w:r>
        <w:rPr>
          <w:lang w:eastAsia="ar-SA"/>
        </w:rPr>
        <w:t xml:space="preserve"> </w:t>
      </w:r>
      <w:r w:rsidRPr="00670357">
        <w:rPr>
          <w:i/>
          <w:lang w:eastAsia="ar-SA"/>
        </w:rPr>
        <w:t>m-1</w:t>
      </w:r>
      <w:r w:rsidRPr="000A29D6">
        <w:rPr>
          <w:lang w:eastAsia="ar-SA"/>
        </w:rPr>
        <w:t>, determinado conforme se establece en la Resolución CREG 119 de 2007 o aquella que la modifique</w:t>
      </w:r>
      <w:r>
        <w:rPr>
          <w:lang w:eastAsia="ar-SA"/>
        </w:rPr>
        <w:t>, complemente</w:t>
      </w:r>
      <w:r w:rsidRPr="000A29D6">
        <w:rPr>
          <w:lang w:eastAsia="ar-SA"/>
        </w:rPr>
        <w:t xml:space="preserve"> o sustituya. </w:t>
      </w:r>
      <w:r w:rsidR="00EB1BC5">
        <w:t xml:space="preserve">Expresado en </w:t>
      </w:r>
      <w:r w:rsidR="00EB1BC5" w:rsidRPr="00FB3E22">
        <w:t>$/kWh</w:t>
      </w:r>
      <w:r w:rsidR="00EB1BC5" w:rsidRPr="00FB3E22">
        <w:rPr>
          <w:i/>
          <w:iCs/>
        </w:rPr>
        <w:t>.</w:t>
      </w:r>
    </w:p>
    <w:p w14:paraId="12DCAFDD" w14:textId="0A2F542C" w:rsidR="003533DF" w:rsidRPr="00FB3E22" w:rsidRDefault="003533DF" w:rsidP="003533DF">
      <w:pPr>
        <w:ind w:left="1130" w:hanging="1130"/>
        <w:rPr>
          <w:i/>
          <w:iCs/>
        </w:rPr>
      </w:pPr>
      <w:proofErr w:type="spellStart"/>
      <w:proofErr w:type="gramStart"/>
      <w:r w:rsidRPr="005C3650">
        <w:rPr>
          <w:i/>
          <w:lang w:eastAsia="ar-SA"/>
        </w:rPr>
        <w:t>CFE</w:t>
      </w:r>
      <w:r w:rsidRPr="005C3650">
        <w:rPr>
          <w:i/>
          <w:vertAlign w:val="subscript"/>
          <w:lang w:eastAsia="ar-SA"/>
        </w:rPr>
        <w:t>i,j</w:t>
      </w:r>
      <w:proofErr w:type="gramEnd"/>
      <w:r w:rsidRPr="005C3650">
        <w:rPr>
          <w:i/>
          <w:vertAlign w:val="subscript"/>
          <w:lang w:eastAsia="ar-SA"/>
        </w:rPr>
        <w:t>,m</w:t>
      </w:r>
      <w:proofErr w:type="spellEnd"/>
      <w:r w:rsidRPr="000A29D6">
        <w:rPr>
          <w:lang w:eastAsia="ar-SA"/>
        </w:rPr>
        <w:t>:</w:t>
      </w:r>
      <w:r w:rsidRPr="000A29D6">
        <w:rPr>
          <w:lang w:eastAsia="ar-SA"/>
        </w:rPr>
        <w:tab/>
      </w:r>
      <w:r w:rsidRPr="00C80719">
        <w:rPr>
          <w:rFonts w:cs="Arial"/>
        </w:rPr>
        <w:t xml:space="preserve">Factor </w:t>
      </w:r>
      <w:r w:rsidR="00CD4AF4" w:rsidRPr="00C80719">
        <w:rPr>
          <w:rFonts w:cs="Arial"/>
        </w:rPr>
        <w:t>asociado con</w:t>
      </w:r>
      <w:r w:rsidRPr="00C80719">
        <w:rPr>
          <w:rFonts w:cs="Arial"/>
        </w:rPr>
        <w:t xml:space="preserve"> los costos financieros </w:t>
      </w:r>
      <w:r w:rsidR="00C80719" w:rsidRPr="00C80719">
        <w:rPr>
          <w:rFonts w:cs="Arial"/>
        </w:rPr>
        <w:t>de</w:t>
      </w:r>
      <w:r w:rsidRPr="00C80719">
        <w:rPr>
          <w:rFonts w:cs="Arial"/>
        </w:rPr>
        <w:t xml:space="preserve"> la actividad de comercialización</w:t>
      </w:r>
      <w:r w:rsidRPr="000A29D6">
        <w:rPr>
          <w:rFonts w:cs="Arial"/>
        </w:rPr>
        <w:t xml:space="preserve">, del </w:t>
      </w:r>
      <w:r w:rsidRPr="00C80719">
        <w:rPr>
          <w:rFonts w:cs="Arial"/>
        </w:rPr>
        <w:t xml:space="preserve">comercializador </w:t>
      </w:r>
      <w:r w:rsidRPr="00720064">
        <w:rPr>
          <w:rFonts w:cs="Arial"/>
          <w:i/>
          <w:iCs/>
        </w:rPr>
        <w:t>i</w:t>
      </w:r>
      <w:r w:rsidRPr="00C80719">
        <w:rPr>
          <w:rFonts w:cs="Arial"/>
        </w:rPr>
        <w:t>,</w:t>
      </w:r>
      <w:r w:rsidRPr="000A29D6">
        <w:rPr>
          <w:rFonts w:cs="Arial"/>
        </w:rPr>
        <w:t xml:space="preserve"> en el </w:t>
      </w:r>
      <w:r>
        <w:rPr>
          <w:rFonts w:cs="Arial"/>
        </w:rPr>
        <w:t>m</w:t>
      </w:r>
      <w:r w:rsidRPr="000A29D6">
        <w:rPr>
          <w:rFonts w:cs="Arial"/>
        </w:rPr>
        <w:t xml:space="preserve">ercado de </w:t>
      </w:r>
      <w:r>
        <w:rPr>
          <w:rFonts w:cs="Arial"/>
        </w:rPr>
        <w:t>c</w:t>
      </w:r>
      <w:r w:rsidRPr="000A29D6">
        <w:rPr>
          <w:rFonts w:cs="Arial"/>
        </w:rPr>
        <w:t xml:space="preserve">omercialización </w:t>
      </w:r>
      <w:r w:rsidRPr="00720064">
        <w:rPr>
          <w:rFonts w:cs="Arial"/>
          <w:i/>
          <w:iCs/>
        </w:rPr>
        <w:t>j</w:t>
      </w:r>
      <w:r w:rsidRPr="000A29D6">
        <w:rPr>
          <w:rFonts w:cs="Arial"/>
        </w:rPr>
        <w:t xml:space="preserve">, para el mes </w:t>
      </w:r>
      <w:r w:rsidRPr="000A29D6">
        <w:rPr>
          <w:rFonts w:cs="Arial"/>
          <w:i/>
        </w:rPr>
        <w:t>m</w:t>
      </w:r>
      <w:r w:rsidR="00576084">
        <w:rPr>
          <w:rFonts w:cs="Arial"/>
          <w:i/>
        </w:rPr>
        <w:t xml:space="preserve">, </w:t>
      </w:r>
      <w:r w:rsidR="00576084" w:rsidRPr="009F4C4F">
        <w:rPr>
          <w:rFonts w:cs="Arial"/>
          <w:iCs/>
        </w:rPr>
        <w:t>en el año</w:t>
      </w:r>
      <w:r w:rsidR="00576084">
        <w:rPr>
          <w:rFonts w:cs="Arial"/>
          <w:i/>
        </w:rPr>
        <w:t xml:space="preserve"> t</w:t>
      </w:r>
      <w:r w:rsidRPr="000A29D6">
        <w:rPr>
          <w:rFonts w:cs="Arial"/>
        </w:rPr>
        <w:t xml:space="preserve">. calculado </w:t>
      </w:r>
      <w:r>
        <w:rPr>
          <w:rFonts w:cs="Arial"/>
        </w:rPr>
        <w:t xml:space="preserve">acuerdo con lo establecido en el numeral </w:t>
      </w:r>
      <w:r w:rsidR="005545F9">
        <w:rPr>
          <w:rFonts w:cs="Arial"/>
        </w:rPr>
        <w:fldChar w:fldCharType="begin"/>
      </w:r>
      <w:r w:rsidR="005545F9">
        <w:rPr>
          <w:rFonts w:cs="Arial"/>
        </w:rPr>
        <w:instrText xml:space="preserve"> REF _Ref135735183 \r \h </w:instrText>
      </w:r>
      <w:r w:rsidR="005545F9">
        <w:rPr>
          <w:rFonts w:cs="Arial"/>
        </w:rPr>
      </w:r>
      <w:r w:rsidR="005545F9">
        <w:rPr>
          <w:rFonts w:cs="Arial"/>
        </w:rPr>
        <w:fldChar w:fldCharType="separate"/>
      </w:r>
      <w:r w:rsidR="00625E8F">
        <w:rPr>
          <w:rFonts w:cs="Arial"/>
        </w:rPr>
        <w:t>2.3.1</w:t>
      </w:r>
      <w:r w:rsidR="005545F9">
        <w:rPr>
          <w:rFonts w:cs="Arial"/>
        </w:rPr>
        <w:fldChar w:fldCharType="end"/>
      </w:r>
      <w:r w:rsidR="00ED651A">
        <w:rPr>
          <w:rFonts w:cs="Arial"/>
          <w:b/>
        </w:rPr>
        <w:t>.</w:t>
      </w:r>
    </w:p>
    <w:p w14:paraId="4B1FDB7A" w14:textId="3F96F144" w:rsidR="006755FC" w:rsidRPr="006755FC" w:rsidRDefault="006755FC" w:rsidP="006755FC">
      <w:pPr>
        <w:pStyle w:val="Ttulo3"/>
      </w:pPr>
      <w:bookmarkStart w:id="56" w:name="_Ref135735183"/>
      <w:bookmarkStart w:id="57" w:name="_Toc164064368"/>
      <w:r>
        <w:t>Costos fina</w:t>
      </w:r>
      <w:r w:rsidR="00597D8A">
        <w:t>ncieros</w:t>
      </w:r>
      <w:bookmarkEnd w:id="56"/>
      <w:bookmarkEnd w:id="57"/>
    </w:p>
    <w:p w14:paraId="1EFD28FA" w14:textId="4344491F" w:rsidR="00A714F9" w:rsidRPr="001937C3" w:rsidRDefault="00A714F9" w:rsidP="00A714F9">
      <w:pPr>
        <w:rPr>
          <w:b/>
        </w:rPr>
      </w:pPr>
      <w:r w:rsidRPr="000A29D6">
        <w:t xml:space="preserve">El </w:t>
      </w:r>
      <w:r w:rsidRPr="001937C3">
        <w:t xml:space="preserve">factor </w:t>
      </w:r>
      <w:proofErr w:type="spellStart"/>
      <w:proofErr w:type="gramStart"/>
      <w:r w:rsidRPr="00236FDE">
        <w:rPr>
          <w:i/>
        </w:rPr>
        <w:t>CFE</w:t>
      </w:r>
      <w:r w:rsidRPr="00236FDE">
        <w:rPr>
          <w:i/>
          <w:vertAlign w:val="subscript"/>
        </w:rPr>
        <w:t>i,j</w:t>
      </w:r>
      <w:proofErr w:type="gramEnd"/>
      <w:r w:rsidRPr="00236FDE">
        <w:rPr>
          <w:i/>
          <w:vertAlign w:val="subscript"/>
        </w:rPr>
        <w:t>,m</w:t>
      </w:r>
      <w:proofErr w:type="spellEnd"/>
      <w:r w:rsidRPr="00236FDE">
        <w:rPr>
          <w:i/>
          <w:vertAlign w:val="subscript"/>
        </w:rPr>
        <w:t xml:space="preserve"> </w:t>
      </w:r>
      <w:r w:rsidRPr="00CA2495">
        <w:t>s</w:t>
      </w:r>
      <w:r w:rsidRPr="00B40585">
        <w:t>erá calculado de acuerdo con la siguiente fórmula</w:t>
      </w:r>
      <w:r w:rsidRPr="001D3921">
        <w:rPr>
          <w:b/>
        </w:rPr>
        <w:t>:</w:t>
      </w:r>
    </w:p>
    <w:p w14:paraId="7119B01F" w14:textId="4FF3C969" w:rsidR="00A714F9" w:rsidRPr="00E21B76" w:rsidRDefault="00000000" w:rsidP="00A714F9">
      <w:pPr>
        <w:pStyle w:val="Subttulo"/>
        <w:ind w:left="180"/>
        <w:rPr>
          <w:rFonts w:ascii="Bookman Old Style" w:hAnsi="Bookman Old Style" w:cs="Arial"/>
          <w:b w:val="0"/>
          <w:bCs w:val="0"/>
          <w:i/>
          <w:color w:val="000000"/>
        </w:rPr>
      </w:pPr>
      <m:oMathPara>
        <m:oMath>
          <m:sSub>
            <m:sSubPr>
              <m:ctrlPr>
                <w:rPr>
                  <w:rFonts w:ascii="Cambria Math" w:hAnsi="Cambria Math"/>
                  <w:b w:val="0"/>
                  <w:bCs w:val="0"/>
                  <w:i/>
                </w:rPr>
              </m:ctrlPr>
            </m:sSubPr>
            <m:e>
              <m:r>
                <m:rPr>
                  <m:sty m:val="bi"/>
                </m:rPr>
                <w:rPr>
                  <w:rFonts w:ascii="Cambria Math" w:hAnsi="Cambria Math"/>
                </w:rPr>
                <m:t>CFE</m:t>
              </m:r>
            </m:e>
            <m:sub>
              <m:r>
                <m:rPr>
                  <m:sty m:val="bi"/>
                </m:rPr>
                <w:rPr>
                  <w:rFonts w:ascii="Cambria Math" w:hAnsi="Cambria Math"/>
                </w:rPr>
                <m:t>i, j,m,t</m:t>
              </m:r>
            </m:sub>
          </m:sSub>
          <m:r>
            <m:rPr>
              <m:sty m:val="bi"/>
            </m:rPr>
            <w:rPr>
              <w:rFonts w:ascii="Cambria Math" w:hAnsi="Cambria Math"/>
            </w:rPr>
            <m:t>=</m:t>
          </m:r>
          <m:sSub>
            <m:sSubPr>
              <m:ctrlPr>
                <w:rPr>
                  <w:rFonts w:ascii="Cambria Math" w:hAnsi="Cambria Math"/>
                  <w:b w:val="0"/>
                  <w:bCs w:val="0"/>
                  <w:i/>
                </w:rPr>
              </m:ctrlPr>
            </m:sSubPr>
            <m:e>
              <m:r>
                <m:rPr>
                  <m:sty m:val="bi"/>
                </m:rPr>
                <w:rPr>
                  <w:rFonts w:ascii="Cambria Math" w:hAnsi="Cambria Math"/>
                </w:rPr>
                <m:t>CFF</m:t>
              </m:r>
            </m:e>
            <m:sub>
              <m:r>
                <m:rPr>
                  <m:sty m:val="bi"/>
                </m:rPr>
                <w:rPr>
                  <w:rFonts w:ascii="Cambria Math" w:hAnsi="Cambria Math"/>
                </w:rPr>
                <m:t>i,j,t</m:t>
              </m:r>
            </m:sub>
          </m:sSub>
          <m:r>
            <m:rPr>
              <m:sty m:val="bi"/>
            </m:rPr>
            <w:rPr>
              <w:rFonts w:ascii="Cambria Math" w:hAnsi="Cambria Math"/>
            </w:rPr>
            <m:t xml:space="preserve">+ </m:t>
          </m:r>
          <m:sSub>
            <m:sSubPr>
              <m:ctrlPr>
                <w:rPr>
                  <w:rFonts w:ascii="Cambria Math" w:hAnsi="Cambria Math"/>
                  <w:b w:val="0"/>
                  <w:bCs w:val="0"/>
                  <w:i/>
                  <w:color w:val="000000"/>
                </w:rPr>
              </m:ctrlPr>
            </m:sSubPr>
            <m:e>
              <m:r>
                <m:rPr>
                  <m:sty m:val="bi"/>
                </m:rPr>
                <w:rPr>
                  <w:rFonts w:ascii="Cambria Math" w:hAnsi="Cambria Math"/>
                  <w:color w:val="000000"/>
                </w:rPr>
                <m:t>CFS</m:t>
              </m:r>
            </m:e>
            <m:sub>
              <m:r>
                <m:rPr>
                  <m:sty m:val="bi"/>
                </m:rPr>
                <w:rPr>
                  <w:rFonts w:ascii="Cambria Math" w:hAnsi="Cambria Math"/>
                  <w:color w:val="000000"/>
                </w:rPr>
                <m:t>i,j,m</m:t>
              </m:r>
            </m:sub>
          </m:sSub>
        </m:oMath>
      </m:oMathPara>
    </w:p>
    <w:p w14:paraId="33C2C582" w14:textId="77777777" w:rsidR="000F27DB" w:rsidRDefault="000F27DB" w:rsidP="000F27DB">
      <w:pPr>
        <w:pStyle w:val="Subttulo"/>
        <w:rPr>
          <w:rFonts w:ascii="Bookman Old Style" w:hAnsi="Bookman Old Style" w:cs="Arial"/>
          <w:b w:val="0"/>
          <w:color w:val="000000"/>
        </w:rPr>
      </w:pPr>
      <w:r>
        <w:rPr>
          <w:rFonts w:ascii="Bookman Old Style" w:hAnsi="Bookman Old Style" w:cs="Arial"/>
          <w:b w:val="0"/>
          <w:color w:val="000000"/>
        </w:rPr>
        <w:t>Donde:</w:t>
      </w:r>
    </w:p>
    <w:p w14:paraId="76FC8296" w14:textId="6AD72EE2" w:rsidR="00AA7E26" w:rsidRDefault="00AA7E26" w:rsidP="000E29FB">
      <w:pPr>
        <w:pStyle w:val="Subttulo"/>
        <w:ind w:left="1843" w:hanging="1843"/>
        <w:rPr>
          <w:rFonts w:ascii="Bookman Old Style" w:hAnsi="Bookman Old Style" w:cs="Arial"/>
          <w:b w:val="0"/>
          <w:bCs w:val="0"/>
          <w:iCs/>
        </w:rPr>
      </w:pPr>
      <w:proofErr w:type="spellStart"/>
      <w:proofErr w:type="gramStart"/>
      <w:r w:rsidRPr="00236FDE">
        <w:rPr>
          <w:rFonts w:ascii="Bookman Old Style" w:hAnsi="Bookman Old Style" w:cs="Arial"/>
          <w:b w:val="0"/>
          <w:i/>
          <w:color w:val="000000"/>
        </w:rPr>
        <w:t>CF</w:t>
      </w:r>
      <w:r>
        <w:rPr>
          <w:rFonts w:ascii="Bookman Old Style" w:hAnsi="Bookman Old Style" w:cs="Arial"/>
          <w:b w:val="0"/>
          <w:i/>
          <w:color w:val="000000"/>
        </w:rPr>
        <w:t>F</w:t>
      </w:r>
      <w:r w:rsidR="008A7F9A">
        <w:rPr>
          <w:rFonts w:ascii="Bookman Old Style" w:hAnsi="Bookman Old Style" w:cs="Arial"/>
          <w:b w:val="0"/>
          <w:i/>
          <w:color w:val="000000"/>
        </w:rPr>
        <w:t>i,j</w:t>
      </w:r>
      <w:proofErr w:type="gramEnd"/>
      <w:r w:rsidR="008A7F9A">
        <w:rPr>
          <w:rFonts w:ascii="Bookman Old Style" w:hAnsi="Bookman Old Style" w:cs="Arial"/>
          <w:b w:val="0"/>
          <w:i/>
          <w:color w:val="000000"/>
        </w:rPr>
        <w:t>,t</w:t>
      </w:r>
      <w:proofErr w:type="spellEnd"/>
      <w:r w:rsidR="005724B9">
        <w:rPr>
          <w:rFonts w:ascii="Bookman Old Style" w:hAnsi="Bookman Old Style" w:cs="Arial"/>
          <w:b w:val="0"/>
          <w:color w:val="000000"/>
        </w:rPr>
        <w:tab/>
      </w:r>
      <w:r w:rsidR="005724B9" w:rsidRPr="008F06CC">
        <w:rPr>
          <w:rFonts w:ascii="Bookman Old Style" w:hAnsi="Bookman Old Style" w:cs="Arial"/>
          <w:b w:val="0"/>
          <w:color w:val="000000"/>
        </w:rPr>
        <w:t xml:space="preserve">Costo financiero </w:t>
      </w:r>
      <w:r w:rsidR="00725E33">
        <w:rPr>
          <w:rFonts w:ascii="Bookman Old Style" w:hAnsi="Bookman Old Style" w:cs="Arial"/>
          <w:b w:val="0"/>
          <w:color w:val="000000"/>
        </w:rPr>
        <w:t xml:space="preserve">reconocido </w:t>
      </w:r>
      <w:r w:rsidR="00AB0635">
        <w:rPr>
          <w:rFonts w:ascii="Bookman Old Style" w:hAnsi="Bookman Old Style" w:cs="Arial"/>
          <w:b w:val="0"/>
          <w:color w:val="000000"/>
        </w:rPr>
        <w:t xml:space="preserve">para el comercializador </w:t>
      </w:r>
      <w:r w:rsidR="00AB0635" w:rsidRPr="00F74261">
        <w:rPr>
          <w:rFonts w:ascii="Bookman Old Style" w:hAnsi="Bookman Old Style" w:cs="Arial"/>
          <w:b w:val="0"/>
          <w:i/>
          <w:iCs/>
          <w:color w:val="000000"/>
        </w:rPr>
        <w:t>i</w:t>
      </w:r>
      <w:r w:rsidR="00B55102">
        <w:rPr>
          <w:rFonts w:ascii="Bookman Old Style" w:hAnsi="Bookman Old Style" w:cs="Arial"/>
          <w:b w:val="0"/>
          <w:i/>
          <w:iCs/>
          <w:color w:val="000000"/>
        </w:rPr>
        <w:t>,</w:t>
      </w:r>
      <w:r w:rsidR="00AB0635">
        <w:rPr>
          <w:rFonts w:ascii="Bookman Old Style" w:hAnsi="Bookman Old Style" w:cs="Arial"/>
          <w:b w:val="0"/>
          <w:color w:val="000000"/>
        </w:rPr>
        <w:t xml:space="preserve"> en el mercado de comercialización </w:t>
      </w:r>
      <w:r w:rsidR="00AB0635" w:rsidRPr="00F74261">
        <w:rPr>
          <w:rFonts w:ascii="Bookman Old Style" w:hAnsi="Bookman Old Style" w:cs="Arial"/>
          <w:b w:val="0"/>
          <w:i/>
          <w:iCs/>
          <w:color w:val="000000"/>
        </w:rPr>
        <w:t>j</w:t>
      </w:r>
      <w:r w:rsidR="00B55102">
        <w:rPr>
          <w:rFonts w:ascii="Bookman Old Style" w:hAnsi="Bookman Old Style" w:cs="Arial"/>
          <w:b w:val="0"/>
          <w:i/>
          <w:iCs/>
          <w:color w:val="000000"/>
        </w:rPr>
        <w:t xml:space="preserve">, </w:t>
      </w:r>
      <w:r w:rsidR="00B55102" w:rsidRPr="00F74261">
        <w:rPr>
          <w:rFonts w:ascii="Bookman Old Style" w:hAnsi="Bookman Old Style" w:cs="Arial"/>
          <w:b w:val="0"/>
          <w:color w:val="000000"/>
        </w:rPr>
        <w:t>aplicable al</w:t>
      </w:r>
      <w:r w:rsidR="00B55102">
        <w:rPr>
          <w:rFonts w:ascii="Bookman Old Style" w:hAnsi="Bookman Old Style" w:cs="Arial"/>
          <w:b w:val="0"/>
          <w:i/>
          <w:iCs/>
          <w:color w:val="000000"/>
        </w:rPr>
        <w:t xml:space="preserve"> </w:t>
      </w:r>
      <w:r w:rsidR="00AB0635">
        <w:rPr>
          <w:rFonts w:ascii="Bookman Old Style" w:hAnsi="Bookman Old Style" w:cs="Arial"/>
          <w:b w:val="0"/>
          <w:color w:val="000000"/>
        </w:rPr>
        <w:t xml:space="preserve">año </w:t>
      </w:r>
      <w:r w:rsidR="009D3B55" w:rsidRPr="00F74261">
        <w:rPr>
          <w:rFonts w:ascii="Bookman Old Style" w:hAnsi="Bookman Old Style" w:cs="Arial"/>
          <w:b w:val="0"/>
          <w:i/>
          <w:iCs/>
          <w:color w:val="000000"/>
        </w:rPr>
        <w:t>t</w:t>
      </w:r>
      <w:r w:rsidR="002767CD">
        <w:rPr>
          <w:rFonts w:ascii="Bookman Old Style" w:hAnsi="Bookman Old Style" w:cs="Arial"/>
          <w:b w:val="0"/>
          <w:i/>
          <w:iCs/>
          <w:color w:val="000000"/>
        </w:rPr>
        <w:t>,</w:t>
      </w:r>
      <w:r w:rsidR="005724B9" w:rsidRPr="008F06CC">
        <w:rPr>
          <w:rFonts w:ascii="Bookman Old Style" w:hAnsi="Bookman Old Style" w:cs="Arial"/>
          <w:b w:val="0"/>
          <w:color w:val="000000"/>
        </w:rPr>
        <w:t xml:space="preserve"> </w:t>
      </w:r>
      <w:r w:rsidR="00D75B10">
        <w:rPr>
          <w:rFonts w:ascii="Bookman Old Style" w:hAnsi="Bookman Old Style" w:cs="Arial"/>
          <w:b w:val="0"/>
          <w:color w:val="000000"/>
        </w:rPr>
        <w:t>asociados a</w:t>
      </w:r>
      <w:r w:rsidR="005724B9">
        <w:rPr>
          <w:rFonts w:ascii="Bookman Old Style" w:hAnsi="Bookman Old Style" w:cs="Arial"/>
          <w:b w:val="0"/>
          <w:color w:val="000000"/>
        </w:rPr>
        <w:t xml:space="preserve"> </w:t>
      </w:r>
      <w:r w:rsidR="005724B9">
        <w:rPr>
          <w:rFonts w:ascii="Bookman Old Style" w:hAnsi="Bookman Old Style" w:cs="Arial"/>
          <w:b w:val="0"/>
          <w:bCs w:val="0"/>
        </w:rPr>
        <w:t xml:space="preserve">las diferencias </w:t>
      </w:r>
      <w:r w:rsidR="002767CD">
        <w:rPr>
          <w:rFonts w:ascii="Bookman Old Style" w:hAnsi="Bookman Old Style" w:cs="Arial"/>
          <w:b w:val="0"/>
          <w:bCs w:val="0"/>
        </w:rPr>
        <w:t xml:space="preserve">en tiempo </w:t>
      </w:r>
      <w:r w:rsidR="005724B9">
        <w:rPr>
          <w:rFonts w:ascii="Bookman Old Style" w:hAnsi="Bookman Old Style" w:cs="Arial"/>
          <w:b w:val="0"/>
          <w:bCs w:val="0"/>
        </w:rPr>
        <w:t>entre el ciclo de facturación</w:t>
      </w:r>
      <w:r w:rsidR="00CF0B4A">
        <w:rPr>
          <w:rFonts w:ascii="Bookman Old Style" w:hAnsi="Bookman Old Style" w:cs="Arial"/>
          <w:b w:val="0"/>
          <w:bCs w:val="0"/>
        </w:rPr>
        <w:t>,</w:t>
      </w:r>
      <w:r w:rsidR="005724B9">
        <w:rPr>
          <w:rFonts w:ascii="Bookman Old Style" w:hAnsi="Bookman Old Style" w:cs="Arial"/>
          <w:b w:val="0"/>
          <w:bCs w:val="0"/>
        </w:rPr>
        <w:t xml:space="preserve"> el </w:t>
      </w:r>
      <w:r w:rsidR="00DA5B1D">
        <w:rPr>
          <w:rFonts w:ascii="Bookman Old Style" w:hAnsi="Bookman Old Style" w:cs="Arial"/>
          <w:b w:val="0"/>
          <w:bCs w:val="0"/>
        </w:rPr>
        <w:t>momento de</w:t>
      </w:r>
      <w:r w:rsidR="005724B9">
        <w:rPr>
          <w:rFonts w:ascii="Bookman Old Style" w:hAnsi="Bookman Old Style" w:cs="Arial"/>
          <w:b w:val="0"/>
          <w:bCs w:val="0"/>
        </w:rPr>
        <w:t xml:space="preserve"> recaudo a los usuarios regulados, </w:t>
      </w:r>
      <w:r w:rsidR="00DA5B1D">
        <w:rPr>
          <w:rFonts w:ascii="Bookman Old Style" w:hAnsi="Bookman Old Style" w:cs="Arial"/>
          <w:b w:val="0"/>
          <w:bCs w:val="0"/>
        </w:rPr>
        <w:t>el día de</w:t>
      </w:r>
      <w:r w:rsidR="005724B9">
        <w:rPr>
          <w:rFonts w:ascii="Bookman Old Style" w:hAnsi="Bookman Old Style" w:cs="Arial"/>
          <w:b w:val="0"/>
          <w:bCs w:val="0"/>
        </w:rPr>
        <w:t xml:space="preserve"> publicación de tarifas por parte del comercializador y el </w:t>
      </w:r>
      <w:r w:rsidR="00DA5B1D">
        <w:rPr>
          <w:rFonts w:ascii="Bookman Old Style" w:hAnsi="Bookman Old Style" w:cs="Arial"/>
          <w:b w:val="0"/>
          <w:bCs w:val="0"/>
        </w:rPr>
        <w:t>momento del</w:t>
      </w:r>
      <w:r w:rsidR="005724B9">
        <w:rPr>
          <w:rFonts w:ascii="Bookman Old Style" w:hAnsi="Bookman Old Style" w:cs="Arial"/>
          <w:b w:val="0"/>
          <w:bCs w:val="0"/>
        </w:rPr>
        <w:t xml:space="preserve"> pago de los costos a otros agentes</w:t>
      </w:r>
      <w:r w:rsidR="00CE39B8">
        <w:rPr>
          <w:rFonts w:ascii="Bookman Old Style" w:hAnsi="Bookman Old Style" w:cs="Arial"/>
          <w:b w:val="0"/>
          <w:bCs w:val="0"/>
        </w:rPr>
        <w:t xml:space="preserve">, calculado de acuerdo con el numeral </w:t>
      </w:r>
      <w:r w:rsidR="00CE39B8">
        <w:rPr>
          <w:rFonts w:ascii="Bookman Old Style" w:hAnsi="Bookman Old Style" w:cs="Arial"/>
          <w:b w:val="0"/>
          <w:bCs w:val="0"/>
        </w:rPr>
        <w:fldChar w:fldCharType="begin"/>
      </w:r>
      <w:r w:rsidR="00CE39B8">
        <w:rPr>
          <w:rFonts w:ascii="Bookman Old Style" w:hAnsi="Bookman Old Style" w:cs="Arial"/>
          <w:b w:val="0"/>
          <w:bCs w:val="0"/>
        </w:rPr>
        <w:instrText xml:space="preserve"> REF _Ref136251160 \r \h </w:instrText>
      </w:r>
      <w:r w:rsidR="00CE39B8">
        <w:rPr>
          <w:rFonts w:ascii="Bookman Old Style" w:hAnsi="Bookman Old Style" w:cs="Arial"/>
          <w:b w:val="0"/>
          <w:bCs w:val="0"/>
        </w:rPr>
      </w:r>
      <w:r w:rsidR="00CE39B8">
        <w:rPr>
          <w:rFonts w:ascii="Bookman Old Style" w:hAnsi="Bookman Old Style" w:cs="Arial"/>
          <w:b w:val="0"/>
          <w:bCs w:val="0"/>
        </w:rPr>
        <w:fldChar w:fldCharType="separate"/>
      </w:r>
      <w:r w:rsidR="00625E8F">
        <w:rPr>
          <w:rFonts w:ascii="Bookman Old Style" w:hAnsi="Bookman Old Style" w:cs="Arial"/>
          <w:b w:val="0"/>
          <w:bCs w:val="0"/>
        </w:rPr>
        <w:t>2.3.1.1</w:t>
      </w:r>
      <w:r w:rsidR="00CE39B8">
        <w:rPr>
          <w:rFonts w:ascii="Bookman Old Style" w:hAnsi="Bookman Old Style" w:cs="Arial"/>
          <w:b w:val="0"/>
          <w:bCs w:val="0"/>
        </w:rPr>
        <w:fldChar w:fldCharType="end"/>
      </w:r>
      <w:r w:rsidR="005724B9" w:rsidRPr="001C35A5">
        <w:rPr>
          <w:rFonts w:ascii="Bookman Old Style" w:hAnsi="Bookman Old Style" w:cs="Arial"/>
          <w:b w:val="0"/>
          <w:color w:val="000000"/>
        </w:rPr>
        <w:t>.</w:t>
      </w:r>
    </w:p>
    <w:p w14:paraId="67FCD4A6" w14:textId="7CEEC047" w:rsidR="00C719BC" w:rsidRDefault="000F27DB" w:rsidP="000E29FB">
      <w:pPr>
        <w:pStyle w:val="Subttulo"/>
        <w:ind w:left="1843" w:hanging="1843"/>
        <w:rPr>
          <w:rFonts w:ascii="Bookman Old Style" w:hAnsi="Bookman Old Style" w:cs="Arial"/>
          <w:b w:val="0"/>
          <w:color w:val="000000"/>
        </w:rPr>
      </w:pPr>
      <w:proofErr w:type="spellStart"/>
      <w:proofErr w:type="gramStart"/>
      <w:r w:rsidRPr="00236FDE">
        <w:rPr>
          <w:rFonts w:ascii="Bookman Old Style" w:hAnsi="Bookman Old Style" w:cs="Arial"/>
          <w:b w:val="0"/>
          <w:i/>
          <w:color w:val="000000"/>
        </w:rPr>
        <w:t>CFS</w:t>
      </w:r>
      <w:r w:rsidRPr="00236FDE">
        <w:rPr>
          <w:rFonts w:ascii="Bookman Old Style" w:hAnsi="Bookman Old Style" w:cs="Arial"/>
          <w:b w:val="0"/>
          <w:i/>
          <w:color w:val="000000"/>
          <w:vertAlign w:val="subscript"/>
        </w:rPr>
        <w:t>i,j</w:t>
      </w:r>
      <w:proofErr w:type="gramEnd"/>
      <w:r w:rsidRPr="00236FDE">
        <w:rPr>
          <w:rFonts w:ascii="Bookman Old Style" w:hAnsi="Bookman Old Style" w:cs="Arial"/>
          <w:b w:val="0"/>
          <w:i/>
          <w:color w:val="000000"/>
          <w:vertAlign w:val="subscript"/>
        </w:rPr>
        <w:t>,m</w:t>
      </w:r>
      <w:proofErr w:type="spellEnd"/>
      <w:r w:rsidRPr="008F06CC">
        <w:rPr>
          <w:rFonts w:ascii="Bookman Old Style" w:hAnsi="Bookman Old Style" w:cs="Arial"/>
          <w:b w:val="0"/>
          <w:color w:val="000000"/>
        </w:rPr>
        <w:t>:</w:t>
      </w:r>
      <w:r w:rsidRPr="008F06CC">
        <w:rPr>
          <w:rFonts w:ascii="Bookman Old Style" w:hAnsi="Bookman Old Style" w:cs="Arial"/>
          <w:b w:val="0"/>
          <w:color w:val="000000"/>
        </w:rPr>
        <w:tab/>
      </w:r>
      <w:r w:rsidRPr="00CF0B4A">
        <w:rPr>
          <w:rFonts w:ascii="Bookman Old Style" w:hAnsi="Bookman Old Style" w:cs="Arial"/>
          <w:b w:val="0"/>
          <w:color w:val="000000"/>
        </w:rPr>
        <w:t xml:space="preserve">Costo financiero </w:t>
      </w:r>
      <w:r w:rsidR="00725E33">
        <w:rPr>
          <w:rFonts w:ascii="Bookman Old Style" w:hAnsi="Bookman Old Style" w:cs="Arial"/>
          <w:b w:val="0"/>
          <w:color w:val="000000"/>
        </w:rPr>
        <w:t xml:space="preserve">reconocido </w:t>
      </w:r>
      <w:r w:rsidRPr="00CF0B4A">
        <w:rPr>
          <w:rFonts w:ascii="Bookman Old Style" w:hAnsi="Bookman Old Style" w:cs="Arial"/>
          <w:b w:val="0"/>
          <w:color w:val="000000"/>
        </w:rPr>
        <w:t xml:space="preserve">al comercializador deficitario </w:t>
      </w:r>
      <w:r w:rsidRPr="00CF0B4A">
        <w:rPr>
          <w:rFonts w:ascii="Bookman Old Style" w:hAnsi="Bookman Old Style" w:cs="Arial"/>
          <w:b w:val="0"/>
          <w:i/>
          <w:color w:val="000000"/>
        </w:rPr>
        <w:t>i</w:t>
      </w:r>
      <w:r w:rsidRPr="00CF0B4A">
        <w:rPr>
          <w:rFonts w:ascii="Bookman Old Style" w:hAnsi="Bookman Old Style" w:cs="Arial"/>
          <w:b w:val="0"/>
          <w:color w:val="000000"/>
        </w:rPr>
        <w:t xml:space="preserve">, en el mercado de comercialización </w:t>
      </w:r>
      <w:r w:rsidRPr="00CF0B4A">
        <w:rPr>
          <w:rFonts w:ascii="Bookman Old Style" w:hAnsi="Bookman Old Style" w:cs="Arial"/>
          <w:b w:val="0"/>
          <w:i/>
          <w:color w:val="000000"/>
        </w:rPr>
        <w:t>j</w:t>
      </w:r>
      <w:r w:rsidRPr="00CF0B4A">
        <w:rPr>
          <w:rFonts w:ascii="Bookman Old Style" w:hAnsi="Bookman Old Style" w:cs="Arial"/>
          <w:b w:val="0"/>
          <w:color w:val="000000"/>
        </w:rPr>
        <w:t xml:space="preserve">, aplicable en el mes </w:t>
      </w:r>
      <w:r w:rsidRPr="00CF0B4A">
        <w:rPr>
          <w:rFonts w:ascii="Bookman Old Style" w:hAnsi="Bookman Old Style" w:cs="Arial"/>
          <w:b w:val="0"/>
          <w:i/>
          <w:color w:val="000000"/>
        </w:rPr>
        <w:t>m</w:t>
      </w:r>
      <w:r w:rsidR="00CE39B8">
        <w:rPr>
          <w:rFonts w:ascii="Bookman Old Style" w:hAnsi="Bookman Old Style" w:cs="Arial"/>
          <w:b w:val="0"/>
          <w:i/>
          <w:color w:val="000000"/>
        </w:rPr>
        <w:t xml:space="preserve">, </w:t>
      </w:r>
      <w:r w:rsidRPr="00CF0B4A">
        <w:rPr>
          <w:rFonts w:ascii="Bookman Old Style" w:hAnsi="Bookman Old Style" w:cs="Arial"/>
          <w:b w:val="0"/>
          <w:color w:val="000000"/>
        </w:rPr>
        <w:t>asociado a</w:t>
      </w:r>
      <w:r w:rsidR="00B672C0">
        <w:rPr>
          <w:rFonts w:ascii="Bookman Old Style" w:hAnsi="Bookman Old Style" w:cs="Arial"/>
          <w:b w:val="0"/>
          <w:color w:val="000000"/>
        </w:rPr>
        <w:t xml:space="preserve"> la diferencia</w:t>
      </w:r>
      <w:r w:rsidR="002767CD">
        <w:rPr>
          <w:rFonts w:ascii="Bookman Old Style" w:hAnsi="Bookman Old Style" w:cs="Arial"/>
          <w:b w:val="0"/>
          <w:color w:val="000000"/>
        </w:rPr>
        <w:t xml:space="preserve"> en tiempo</w:t>
      </w:r>
      <w:r w:rsidR="00B672C0">
        <w:rPr>
          <w:rFonts w:ascii="Bookman Old Style" w:hAnsi="Bookman Old Style" w:cs="Arial"/>
          <w:b w:val="0"/>
          <w:color w:val="000000"/>
        </w:rPr>
        <w:t xml:space="preserve"> entre el</w:t>
      </w:r>
      <w:r w:rsidR="00DA5B1D">
        <w:rPr>
          <w:rFonts w:ascii="Bookman Old Style" w:hAnsi="Bookman Old Style" w:cs="Arial"/>
          <w:b w:val="0"/>
          <w:color w:val="000000"/>
        </w:rPr>
        <w:t xml:space="preserve"> momento del</w:t>
      </w:r>
      <w:r w:rsidR="00B672C0">
        <w:rPr>
          <w:rFonts w:ascii="Bookman Old Style" w:hAnsi="Bookman Old Style" w:cs="Arial"/>
          <w:b w:val="0"/>
          <w:color w:val="000000"/>
        </w:rPr>
        <w:t xml:space="preserve"> </w:t>
      </w:r>
      <w:r w:rsidRPr="00CF0B4A">
        <w:rPr>
          <w:rFonts w:ascii="Bookman Old Style" w:hAnsi="Bookman Old Style" w:cs="Arial"/>
          <w:b w:val="0"/>
          <w:color w:val="000000"/>
        </w:rPr>
        <w:t xml:space="preserve">giro de los subsidios </w:t>
      </w:r>
      <w:r w:rsidR="00B672C0">
        <w:rPr>
          <w:rFonts w:ascii="Bookman Old Style" w:hAnsi="Bookman Old Style" w:cs="Arial"/>
          <w:b w:val="0"/>
          <w:color w:val="000000"/>
        </w:rPr>
        <w:t>y el</w:t>
      </w:r>
      <w:r w:rsidR="00DA5B1D">
        <w:rPr>
          <w:rFonts w:ascii="Bookman Old Style" w:hAnsi="Bookman Old Style" w:cs="Arial"/>
          <w:b w:val="0"/>
          <w:color w:val="000000"/>
        </w:rPr>
        <w:t xml:space="preserve"> momento del</w:t>
      </w:r>
      <w:r w:rsidR="00B672C0">
        <w:rPr>
          <w:rFonts w:ascii="Bookman Old Style" w:hAnsi="Bookman Old Style" w:cs="Arial"/>
          <w:b w:val="0"/>
          <w:color w:val="000000"/>
        </w:rPr>
        <w:t xml:space="preserve"> pago </w:t>
      </w:r>
      <w:r w:rsidR="004A70ED">
        <w:rPr>
          <w:rFonts w:ascii="Bookman Old Style" w:hAnsi="Bookman Old Style" w:cs="Arial"/>
          <w:b w:val="0"/>
          <w:color w:val="000000"/>
        </w:rPr>
        <w:t>a</w:t>
      </w:r>
      <w:r w:rsidR="00B672C0">
        <w:rPr>
          <w:rFonts w:ascii="Bookman Old Style" w:hAnsi="Bookman Old Style" w:cs="Arial"/>
          <w:b w:val="0"/>
          <w:color w:val="000000"/>
        </w:rPr>
        <w:t xml:space="preserve"> los costos </w:t>
      </w:r>
      <w:r w:rsidR="00424E40">
        <w:rPr>
          <w:rFonts w:ascii="Bookman Old Style" w:hAnsi="Bookman Old Style" w:cs="Arial"/>
          <w:b w:val="0"/>
          <w:color w:val="000000"/>
        </w:rPr>
        <w:t xml:space="preserve">a otros agentes, </w:t>
      </w:r>
      <w:r w:rsidR="00CE39B8">
        <w:rPr>
          <w:rFonts w:ascii="Bookman Old Style" w:hAnsi="Bookman Old Style" w:cs="Arial"/>
          <w:b w:val="0"/>
          <w:iCs/>
          <w:color w:val="000000"/>
        </w:rPr>
        <w:t xml:space="preserve">calculado de acuerdo con el numeral </w:t>
      </w:r>
      <w:r w:rsidR="00CE39B8">
        <w:rPr>
          <w:rFonts w:ascii="Bookman Old Style" w:hAnsi="Bookman Old Style" w:cs="Arial"/>
          <w:b w:val="0"/>
          <w:iCs/>
          <w:color w:val="000000"/>
        </w:rPr>
        <w:fldChar w:fldCharType="begin"/>
      </w:r>
      <w:r w:rsidR="00CE39B8">
        <w:rPr>
          <w:rFonts w:ascii="Bookman Old Style" w:hAnsi="Bookman Old Style" w:cs="Arial"/>
          <w:b w:val="0"/>
          <w:iCs/>
          <w:color w:val="000000"/>
        </w:rPr>
        <w:instrText xml:space="preserve"> REF _Ref136251192 \r \h </w:instrText>
      </w:r>
      <w:r w:rsidR="00CE39B8">
        <w:rPr>
          <w:rFonts w:ascii="Bookman Old Style" w:hAnsi="Bookman Old Style" w:cs="Arial"/>
          <w:b w:val="0"/>
          <w:iCs/>
          <w:color w:val="000000"/>
        </w:rPr>
      </w:r>
      <w:r w:rsidR="00CE39B8">
        <w:rPr>
          <w:rFonts w:ascii="Bookman Old Style" w:hAnsi="Bookman Old Style" w:cs="Arial"/>
          <w:b w:val="0"/>
          <w:iCs/>
          <w:color w:val="000000"/>
        </w:rPr>
        <w:fldChar w:fldCharType="separate"/>
      </w:r>
      <w:r w:rsidR="00625E8F">
        <w:rPr>
          <w:rFonts w:ascii="Bookman Old Style" w:hAnsi="Bookman Old Style" w:cs="Arial"/>
          <w:b w:val="0"/>
          <w:iCs/>
          <w:color w:val="000000"/>
        </w:rPr>
        <w:t>2.3.1.2</w:t>
      </w:r>
      <w:r w:rsidR="00CE39B8">
        <w:rPr>
          <w:rFonts w:ascii="Bookman Old Style" w:hAnsi="Bookman Old Style" w:cs="Arial"/>
          <w:b w:val="0"/>
          <w:iCs/>
          <w:color w:val="000000"/>
        </w:rPr>
        <w:fldChar w:fldCharType="end"/>
      </w:r>
      <w:r w:rsidRPr="00CF0B4A">
        <w:rPr>
          <w:rFonts w:ascii="Bookman Old Style" w:hAnsi="Bookman Old Style" w:cs="Arial"/>
          <w:b w:val="0"/>
          <w:color w:val="000000"/>
        </w:rPr>
        <w:t xml:space="preserve">. </w:t>
      </w:r>
    </w:p>
    <w:p w14:paraId="2CFDA985" w14:textId="02B4AA7B" w:rsidR="000F27DB" w:rsidRPr="001C35A5" w:rsidRDefault="000F27DB" w:rsidP="000E29FB">
      <w:pPr>
        <w:pStyle w:val="Subttulo"/>
        <w:ind w:left="1843" w:hanging="35"/>
        <w:rPr>
          <w:rFonts w:ascii="Bookman Old Style" w:hAnsi="Bookman Old Style" w:cs="Arial"/>
          <w:b w:val="0"/>
          <w:bCs w:val="0"/>
        </w:rPr>
      </w:pPr>
      <w:r w:rsidRPr="00CF0B4A">
        <w:rPr>
          <w:rFonts w:ascii="Bookman Old Style" w:hAnsi="Bookman Old Style" w:cs="Arial"/>
          <w:b w:val="0"/>
          <w:color w:val="000000"/>
        </w:rPr>
        <w:t xml:space="preserve">Este factor será igual a cero cuando en la última validación trimestral realizada por el Ministerio de Minas y Energía, el comercializador </w:t>
      </w:r>
      <w:r w:rsidRPr="00CF0B4A">
        <w:rPr>
          <w:rFonts w:ascii="Bookman Old Style" w:hAnsi="Bookman Old Style" w:cs="Arial"/>
          <w:b w:val="0"/>
          <w:i/>
          <w:color w:val="000000"/>
        </w:rPr>
        <w:t>i</w:t>
      </w:r>
      <w:r w:rsidRPr="00CF0B4A">
        <w:rPr>
          <w:rFonts w:ascii="Bookman Old Style" w:hAnsi="Bookman Old Style" w:cs="Arial"/>
          <w:b w:val="0"/>
        </w:rPr>
        <w:t>,</w:t>
      </w:r>
      <w:r w:rsidRPr="00CF0B4A">
        <w:rPr>
          <w:rFonts w:ascii="Bookman Old Style" w:hAnsi="Bookman Old Style" w:cs="Arial"/>
          <w:b w:val="0"/>
          <w:color w:val="000000"/>
        </w:rPr>
        <w:t xml:space="preserve"> en el mercado de comercialización </w:t>
      </w:r>
      <w:r w:rsidRPr="00CF0B4A">
        <w:rPr>
          <w:rFonts w:ascii="Bookman Old Style" w:hAnsi="Bookman Old Style" w:cs="Arial"/>
          <w:b w:val="0"/>
          <w:i/>
          <w:color w:val="000000"/>
        </w:rPr>
        <w:t>j</w:t>
      </w:r>
      <w:r w:rsidRPr="00CF0B4A">
        <w:rPr>
          <w:rFonts w:ascii="Bookman Old Style" w:hAnsi="Bookman Old Style" w:cs="Arial"/>
          <w:b w:val="0"/>
        </w:rPr>
        <w:t>,</w:t>
      </w:r>
      <w:r w:rsidRPr="00CF0B4A">
        <w:rPr>
          <w:rFonts w:ascii="Bookman Old Style" w:hAnsi="Bookman Old Style" w:cs="Arial"/>
          <w:b w:val="0"/>
          <w:color w:val="000000"/>
        </w:rPr>
        <w:t xml:space="preserve"> sea superavitario</w:t>
      </w:r>
      <w:r w:rsidRPr="001D3921">
        <w:rPr>
          <w:rFonts w:ascii="Bookman Old Style" w:hAnsi="Bookman Old Style" w:cs="Arial"/>
          <w:b w:val="0"/>
        </w:rPr>
        <w:t>.</w:t>
      </w:r>
    </w:p>
    <w:p w14:paraId="03EAA596" w14:textId="77777777" w:rsidR="000F27DB" w:rsidRPr="006755FC" w:rsidRDefault="000F27DB" w:rsidP="000F27DB">
      <w:pPr>
        <w:pStyle w:val="Ttulo4"/>
      </w:pPr>
      <w:bookmarkStart w:id="58" w:name="_Ref136251160"/>
      <w:r>
        <w:lastRenderedPageBreak/>
        <w:t>Costos ciclo de efectivo</w:t>
      </w:r>
      <w:bookmarkEnd w:id="58"/>
    </w:p>
    <w:p w14:paraId="5BDF1E38" w14:textId="489F7692" w:rsidR="000F27DB" w:rsidRPr="0011051E" w:rsidRDefault="000F27DB" w:rsidP="000E29FB">
      <w:r>
        <w:rPr>
          <w:color w:val="000000"/>
        </w:rPr>
        <w:t xml:space="preserve">El componente </w:t>
      </w:r>
      <w:proofErr w:type="spellStart"/>
      <w:proofErr w:type="gramStart"/>
      <w:r w:rsidR="005724B9" w:rsidRPr="00236FDE">
        <w:rPr>
          <w:i/>
          <w:color w:val="000000"/>
        </w:rPr>
        <w:t>CF</w:t>
      </w:r>
      <w:r w:rsidR="005724B9">
        <w:rPr>
          <w:i/>
          <w:color w:val="000000"/>
        </w:rPr>
        <w:t>F</w:t>
      </w:r>
      <w:r w:rsidR="00EC2F1D" w:rsidRPr="00F61FB8">
        <w:rPr>
          <w:i/>
          <w:color w:val="000000"/>
          <w:vertAlign w:val="subscript"/>
        </w:rPr>
        <w:t>i,j</w:t>
      </w:r>
      <w:proofErr w:type="gramEnd"/>
      <w:r w:rsidR="00EC2F1D" w:rsidRPr="00F61FB8">
        <w:rPr>
          <w:i/>
          <w:color w:val="000000"/>
          <w:vertAlign w:val="subscript"/>
        </w:rPr>
        <w:t>,</w:t>
      </w:r>
      <w:r w:rsidR="005724B9">
        <w:rPr>
          <w:i/>
          <w:color w:val="000000"/>
          <w:vertAlign w:val="subscript"/>
        </w:rPr>
        <w:t>t</w:t>
      </w:r>
      <w:proofErr w:type="spellEnd"/>
      <w:r>
        <w:t xml:space="preserve"> corresponderá a la remuneración por los costos financieros asociados </w:t>
      </w:r>
      <w:r w:rsidR="00842978">
        <w:t>a</w:t>
      </w:r>
      <w:r>
        <w:t xml:space="preserve"> las diferencias </w:t>
      </w:r>
      <w:r w:rsidR="00273057">
        <w:t xml:space="preserve">en tiempo </w:t>
      </w:r>
      <w:r>
        <w:t xml:space="preserve">entre el ciclo de facturación, el </w:t>
      </w:r>
      <w:r w:rsidR="00273057">
        <w:t xml:space="preserve">momento de </w:t>
      </w:r>
      <w:r>
        <w:t xml:space="preserve">recaudo a los usuarios regulados, </w:t>
      </w:r>
      <w:r w:rsidR="00273057">
        <w:t>el día de</w:t>
      </w:r>
      <w:r>
        <w:t xml:space="preserve"> publicación de tarifas por parte del comercializador y el </w:t>
      </w:r>
      <w:r w:rsidR="00B03946">
        <w:t>momento del</w:t>
      </w:r>
      <w:r w:rsidR="00B03946">
        <w:rPr>
          <w:rFonts w:cs="Arial"/>
          <w:color w:val="000000"/>
        </w:rPr>
        <w:t xml:space="preserve"> </w:t>
      </w:r>
      <w:r>
        <w:rPr>
          <w:rFonts w:cs="Arial"/>
          <w:color w:val="000000"/>
        </w:rPr>
        <w:t xml:space="preserve">pago </w:t>
      </w:r>
      <w:r w:rsidR="00842978">
        <w:rPr>
          <w:rFonts w:cs="Arial"/>
          <w:color w:val="000000"/>
        </w:rPr>
        <w:t>de los costos facturados por el ASIC y el LAC</w:t>
      </w:r>
      <w:r>
        <w:t xml:space="preserve">, de conformidad con la siguiente </w:t>
      </w:r>
      <w:r w:rsidR="00192B5B">
        <w:t>expresión</w:t>
      </w:r>
      <w:r>
        <w:t>:</w:t>
      </w:r>
    </w:p>
    <w:p w14:paraId="200D0CF2" w14:textId="7F1E662D" w:rsidR="008951E2" w:rsidRPr="005F2537" w:rsidRDefault="00000000" w:rsidP="008951E2">
      <w:pPr>
        <w:pStyle w:val="Subttulo"/>
        <w:rPr>
          <w:rFonts w:ascii="Bookman Old Style" w:hAnsi="Bookman Old Style" w:cs="Arial"/>
          <w:b w:val="0"/>
          <w:bCs w:val="0"/>
          <w:iCs/>
          <w:sz w:val="20"/>
          <w:szCs w:val="20"/>
          <w:lang w:val="es-MX"/>
        </w:rPr>
      </w:pPr>
      <m:oMathPara>
        <m:oMath>
          <m:sSub>
            <m:sSubPr>
              <m:ctrlPr>
                <w:rPr>
                  <w:rFonts w:ascii="Cambria Math" w:hAnsi="Cambria Math" w:cs="Arial"/>
                  <w:b w:val="0"/>
                  <w:bCs w:val="0"/>
                  <w:i/>
                  <w:iCs/>
                  <w:sz w:val="20"/>
                  <w:szCs w:val="20"/>
                </w:rPr>
              </m:ctrlPr>
            </m:sSubPr>
            <m:e>
              <m:r>
                <m:rPr>
                  <m:sty m:val="bi"/>
                </m:rPr>
                <w:rPr>
                  <w:rFonts w:ascii="Cambria Math" w:hAnsi="Cambria Math" w:cs="Arial"/>
                  <w:sz w:val="20"/>
                  <w:szCs w:val="20"/>
                </w:rPr>
                <m:t>CFF</m:t>
              </m:r>
            </m:e>
            <m:sub>
              <m:r>
                <m:rPr>
                  <m:sty m:val="bi"/>
                </m:rPr>
                <w:rPr>
                  <w:rFonts w:ascii="Cambria Math" w:hAnsi="Cambria Math" w:cs="Arial"/>
                  <w:sz w:val="20"/>
                  <w:szCs w:val="20"/>
                </w:rPr>
                <m:t>i,j,t</m:t>
              </m:r>
            </m:sub>
          </m:sSub>
          <m:r>
            <m:rPr>
              <m:sty m:val="b"/>
            </m:rPr>
            <w:rPr>
              <w:rFonts w:ascii="Cambria Math" w:hAnsi="Cambria Math" w:cs="Arial"/>
              <w:sz w:val="20"/>
              <w:szCs w:val="20"/>
            </w:rPr>
            <m:t>=</m:t>
          </m:r>
          <m:f>
            <m:fPr>
              <m:ctrlPr>
                <w:rPr>
                  <w:rFonts w:ascii="Cambria Math" w:hAnsi="Cambria Math" w:cs="Arial"/>
                  <w:b w:val="0"/>
                  <w:bCs w:val="0"/>
                  <w:i/>
                  <w:iCs/>
                  <w:sz w:val="20"/>
                  <w:szCs w:val="20"/>
                </w:rPr>
              </m:ctrlPr>
            </m:fPr>
            <m:num>
              <m:r>
                <m:rPr>
                  <m:sty m:val="bi"/>
                </m:rPr>
                <w:rPr>
                  <w:rFonts w:ascii="Cambria Math" w:hAnsi="Cambria Math" w:cs="Arial"/>
                  <w:sz w:val="20"/>
                  <w:szCs w:val="20"/>
                  <w:lang w:val="es-MX"/>
                </w:rPr>
                <m:t>BP</m:t>
              </m:r>
            </m:num>
            <m:den>
              <m:r>
                <m:rPr>
                  <m:sty m:val="bi"/>
                </m:rPr>
                <w:rPr>
                  <w:rFonts w:ascii="Cambria Math" w:hAnsi="Cambria Math" w:cs="Arial"/>
                  <w:sz w:val="20"/>
                  <w:szCs w:val="20"/>
                  <w:lang w:val="es-MX"/>
                </w:rPr>
                <m:t>30</m:t>
              </m:r>
            </m:den>
          </m:f>
          <m:nary>
            <m:naryPr>
              <m:chr m:val="∑"/>
              <m:ctrlPr>
                <w:rPr>
                  <w:rFonts w:ascii="Cambria Math" w:hAnsi="Cambria Math" w:cs="Arial"/>
                  <w:b w:val="0"/>
                  <w:bCs w:val="0"/>
                  <w:i/>
                  <w:iCs/>
                  <w:sz w:val="20"/>
                  <w:szCs w:val="20"/>
                </w:rPr>
              </m:ctrlPr>
            </m:naryPr>
            <m:sub>
              <m:r>
                <m:rPr>
                  <m:sty m:val="bi"/>
                </m:rPr>
                <w:rPr>
                  <w:rFonts w:ascii="Cambria Math" w:hAnsi="Cambria Math" w:cs="Arial"/>
                  <w:sz w:val="20"/>
                  <w:szCs w:val="20"/>
                  <w:lang w:val="es-MX"/>
                </w:rPr>
                <m:t>ecf=1</m:t>
              </m:r>
            </m:sub>
            <m:sup>
              <m:r>
                <m:rPr>
                  <m:sty m:val="bi"/>
                </m:rPr>
                <w:rPr>
                  <w:rFonts w:ascii="Cambria Math" w:hAnsi="Cambria Math" w:cs="Arial"/>
                  <w:sz w:val="20"/>
                  <w:szCs w:val="20"/>
                  <w:lang w:val="es-MX"/>
                </w:rPr>
                <m:t>30</m:t>
              </m:r>
            </m:sup>
            <m:e>
              <m:r>
                <m:rPr>
                  <m:sty m:val="bi"/>
                </m:rPr>
                <w:rPr>
                  <w:rFonts w:ascii="Cambria Math" w:hAnsi="Cambria Math" w:cs="Arial"/>
                  <w:sz w:val="20"/>
                  <w:szCs w:val="20"/>
                  <w:lang w:val="es-MX"/>
                </w:rPr>
                <m:t>0,89</m:t>
              </m:r>
            </m:e>
          </m:nary>
          <m:r>
            <m:rPr>
              <m:sty m:val="bi"/>
            </m:rPr>
            <w:rPr>
              <w:rFonts w:ascii="Cambria Math" w:hAnsi="Cambria Math" w:cs="Arial"/>
              <w:sz w:val="20"/>
              <w:szCs w:val="20"/>
              <w:lang w:val="es-MX"/>
            </w:rPr>
            <m:t>-</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dT</m:t>
              </m:r>
              <m:r>
                <m:rPr>
                  <m:sty m:val="bi"/>
                </m:rPr>
                <w:rPr>
                  <w:rFonts w:ascii="Cambria Math" w:hAnsi="Cambria Math" w:cs="Arial"/>
                  <w:sz w:val="20"/>
                  <w:szCs w:val="20"/>
                  <w:lang w:val="es-MX"/>
                </w:rPr>
                <m:t>1</m:t>
              </m:r>
            </m:e>
            <m:sub>
              <m:r>
                <m:rPr>
                  <m:sty m:val="bi"/>
                </m:rPr>
                <w:rPr>
                  <w:rFonts w:ascii="Cambria Math" w:hAnsi="Cambria Math" w:cs="Arial"/>
                  <w:sz w:val="20"/>
                  <w:szCs w:val="20"/>
                  <w:lang w:val="es-MX"/>
                </w:rPr>
                <m:t>ecf</m:t>
              </m:r>
            </m:sub>
          </m:sSub>
          <m:f>
            <m:fPr>
              <m:ctrlPr>
                <w:rPr>
                  <w:rFonts w:ascii="Cambria Math" w:hAnsi="Cambria Math" w:cs="Arial"/>
                  <w:b w:val="0"/>
                  <w:bCs w:val="0"/>
                  <w:i/>
                  <w:iCs/>
                  <w:sz w:val="20"/>
                  <w:szCs w:val="20"/>
                  <w:lang w:val="es-MX"/>
                </w:rPr>
              </m:ctrlPr>
            </m:fPr>
            <m:num>
              <m:r>
                <m:rPr>
                  <m:sty m:val="bi"/>
                </m:rPr>
                <w:rPr>
                  <w:rFonts w:ascii="Cambria Math" w:hAnsi="Cambria Math" w:cs="Arial"/>
                  <w:sz w:val="20"/>
                  <w:szCs w:val="20"/>
                  <w:lang w:val="es-MX"/>
                </w:rPr>
                <m:t>0,36×</m:t>
              </m:r>
              <m:d>
                <m:dPr>
                  <m:ctrlPr>
                    <w:rPr>
                      <w:rFonts w:ascii="Cambria Math" w:hAnsi="Cambria Math" w:cs="Arial"/>
                      <w:b w:val="0"/>
                      <w:bCs w:val="0"/>
                      <w:i/>
                      <w:sz w:val="20"/>
                      <w:szCs w:val="20"/>
                      <w:lang w:val="es-MX"/>
                    </w:rPr>
                  </m:ctrlPr>
                </m:dPr>
                <m:e>
                  <m:r>
                    <m:rPr>
                      <m:sty m:val="bi"/>
                    </m:rPr>
                    <w:rPr>
                      <w:rFonts w:ascii="Cambria Math" w:hAnsi="Cambria Math" w:cs="Arial"/>
                      <w:sz w:val="20"/>
                      <w:szCs w:val="20"/>
                      <w:lang w:val="es-MX"/>
                    </w:rPr>
                    <m:t>1+</m:t>
                  </m:r>
                  <m:sSub>
                    <m:sSubPr>
                      <m:ctrlPr>
                        <w:rPr>
                          <w:rFonts w:ascii="Cambria Math" w:hAnsi="Cambria Math" w:cs="Arial"/>
                          <w:b w:val="0"/>
                          <w:bCs w:val="0"/>
                          <w:i/>
                          <w:sz w:val="20"/>
                          <w:szCs w:val="20"/>
                          <w:lang w:val="es-MX"/>
                        </w:rPr>
                      </m:ctrlPr>
                    </m:sSubPr>
                    <m:e>
                      <m:r>
                        <m:rPr>
                          <m:sty m:val="bi"/>
                        </m:rPr>
                        <w:rPr>
                          <w:rFonts w:ascii="Cambria Math" w:hAnsi="Cambria Math" w:cs="Arial"/>
                          <w:sz w:val="20"/>
                          <w:szCs w:val="20"/>
                          <w:lang w:val="es-MX"/>
                        </w:rPr>
                        <m:t>nm</m:t>
                      </m:r>
                      <m:r>
                        <m:rPr>
                          <m:sty m:val="bi"/>
                        </m:rPr>
                        <w:rPr>
                          <w:rFonts w:ascii="Cambria Math" w:hAnsi="Cambria Math" w:cs="Arial"/>
                          <w:sz w:val="20"/>
                          <w:szCs w:val="20"/>
                          <w:lang w:val="es-MX"/>
                        </w:rPr>
                        <m:t>1×DIP</m:t>
                      </m:r>
                    </m:e>
                    <m:sub>
                      <m:r>
                        <m:rPr>
                          <m:sty m:val="bi"/>
                        </m:rPr>
                        <w:rPr>
                          <w:rFonts w:ascii="Cambria Math" w:hAnsi="Cambria Math" w:cs="Arial"/>
                          <w:sz w:val="20"/>
                          <w:szCs w:val="20"/>
                          <w:lang w:val="es-MX"/>
                        </w:rPr>
                        <m:t>t</m:t>
                      </m:r>
                    </m:sub>
                  </m:sSub>
                </m:e>
              </m:d>
              <m:r>
                <m:rPr>
                  <m:sty m:val="bi"/>
                </m:rPr>
                <w:rPr>
                  <w:rFonts w:ascii="Cambria Math" w:hAnsi="Cambria Math" w:cs="Arial"/>
                  <w:sz w:val="20"/>
                  <w:szCs w:val="20"/>
                  <w:lang w:val="es-MX"/>
                </w:rPr>
                <m:t>+0,53</m:t>
              </m:r>
            </m:num>
            <m:den>
              <m:sSup>
                <m:sSupPr>
                  <m:ctrlPr>
                    <w:rPr>
                      <w:rFonts w:ascii="Cambria Math" w:hAnsi="Cambria Math" w:cs="Arial"/>
                      <w:b w:val="0"/>
                      <w:bCs w:val="0"/>
                      <w:i/>
                      <w:iCs/>
                      <w:sz w:val="20"/>
                      <w:szCs w:val="20"/>
                      <w:lang w:val="es-MX"/>
                    </w:rPr>
                  </m:ctrlPr>
                </m:sSupPr>
                <m:e>
                  <m:d>
                    <m:dPr>
                      <m:ctrlPr>
                        <w:rPr>
                          <w:rFonts w:ascii="Cambria Math" w:hAnsi="Cambria Math" w:cs="Arial"/>
                          <w:b w:val="0"/>
                          <w:bCs w:val="0"/>
                          <w:i/>
                          <w:iCs/>
                          <w:sz w:val="20"/>
                          <w:szCs w:val="20"/>
                          <w:lang w:val="es-MX"/>
                        </w:rPr>
                      </m:ctrlPr>
                    </m:dPr>
                    <m:e>
                      <m:r>
                        <m:rPr>
                          <m:sty m:val="bi"/>
                        </m:rPr>
                        <w:rPr>
                          <w:rFonts w:ascii="Cambria Math" w:hAnsi="Cambria Math" w:cs="Arial"/>
                          <w:sz w:val="20"/>
                          <w:szCs w:val="20"/>
                          <w:lang w:val="es-MX"/>
                        </w:rPr>
                        <m:t>1+</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TT</m:t>
                          </m:r>
                          <m:r>
                            <m:rPr>
                              <m:sty m:val="bi"/>
                            </m:rPr>
                            <w:rPr>
                              <w:rFonts w:ascii="Cambria Math" w:hAnsi="Cambria Math" w:cs="Arial"/>
                              <w:sz w:val="20"/>
                              <w:szCs w:val="20"/>
                              <w:lang w:val="es-MX"/>
                            </w:rPr>
                            <m:t>1</m:t>
                          </m:r>
                        </m:e>
                        <m:sub>
                          <m:r>
                            <m:rPr>
                              <m:sty m:val="bi"/>
                            </m:rPr>
                            <w:rPr>
                              <w:rFonts w:ascii="Cambria Math" w:hAnsi="Cambria Math" w:cs="Arial"/>
                              <w:sz w:val="20"/>
                              <w:szCs w:val="20"/>
                              <w:lang w:val="es-MX"/>
                            </w:rPr>
                            <m:t>t,ecf</m:t>
                          </m:r>
                        </m:sub>
                      </m:sSub>
                    </m:e>
                  </m:d>
                </m:e>
                <m:sup>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dr1</m:t>
                      </m:r>
                    </m:e>
                    <m:sub>
                      <m:r>
                        <m:rPr>
                          <m:sty m:val="bi"/>
                        </m:rPr>
                        <w:rPr>
                          <w:rFonts w:ascii="Cambria Math" w:hAnsi="Cambria Math" w:cs="Arial"/>
                          <w:sz w:val="20"/>
                          <w:szCs w:val="20"/>
                          <w:lang w:val="es-MX"/>
                        </w:rPr>
                        <m:t>ecf</m:t>
                      </m:r>
                    </m:sub>
                  </m:sSub>
                </m:sup>
              </m:sSup>
            </m:den>
          </m:f>
          <m:r>
            <m:rPr>
              <m:sty m:val="bi"/>
            </m:rPr>
            <w:rPr>
              <w:rFonts w:ascii="Cambria Math" w:hAnsi="Cambria Math" w:cs="Arial"/>
              <w:sz w:val="20"/>
              <w:szCs w:val="20"/>
              <w:lang w:val="es-MX"/>
            </w:rPr>
            <m:t>-</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dT</m:t>
              </m:r>
              <m:r>
                <m:rPr>
                  <m:sty m:val="bi"/>
                </m:rPr>
                <w:rPr>
                  <w:rFonts w:ascii="Cambria Math" w:hAnsi="Cambria Math" w:cs="Arial"/>
                  <w:sz w:val="20"/>
                  <w:szCs w:val="20"/>
                  <w:lang w:val="es-MX"/>
                </w:rPr>
                <m:t>2</m:t>
              </m:r>
            </m:e>
            <m:sub>
              <m:r>
                <m:rPr>
                  <m:sty m:val="bi"/>
                </m:rPr>
                <w:rPr>
                  <w:rFonts w:ascii="Cambria Math" w:hAnsi="Cambria Math" w:cs="Arial"/>
                  <w:sz w:val="20"/>
                  <w:szCs w:val="20"/>
                  <w:lang w:val="es-MX"/>
                </w:rPr>
                <m:t>ecf</m:t>
              </m:r>
            </m:sub>
          </m:sSub>
          <m:f>
            <m:fPr>
              <m:ctrlPr>
                <w:rPr>
                  <w:rFonts w:ascii="Cambria Math" w:hAnsi="Cambria Math" w:cs="Arial"/>
                  <w:b w:val="0"/>
                  <w:bCs w:val="0"/>
                  <w:i/>
                  <w:iCs/>
                  <w:sz w:val="20"/>
                  <w:szCs w:val="20"/>
                  <w:lang w:val="es-MX"/>
                </w:rPr>
              </m:ctrlPr>
            </m:fPr>
            <m:num>
              <m:r>
                <m:rPr>
                  <m:sty m:val="bi"/>
                </m:rPr>
                <w:rPr>
                  <w:rFonts w:ascii="Cambria Math" w:hAnsi="Cambria Math" w:cs="Arial"/>
                  <w:sz w:val="20"/>
                  <w:szCs w:val="20"/>
                  <w:lang w:val="es-MX"/>
                </w:rPr>
                <m:t>0,36×</m:t>
              </m:r>
              <m:d>
                <m:dPr>
                  <m:ctrlPr>
                    <w:rPr>
                      <w:rFonts w:ascii="Cambria Math" w:hAnsi="Cambria Math" w:cs="Arial"/>
                      <w:b w:val="0"/>
                      <w:bCs w:val="0"/>
                      <w:i/>
                      <w:sz w:val="20"/>
                      <w:szCs w:val="20"/>
                      <w:lang w:val="es-MX"/>
                    </w:rPr>
                  </m:ctrlPr>
                </m:dPr>
                <m:e>
                  <m:r>
                    <m:rPr>
                      <m:sty m:val="bi"/>
                    </m:rPr>
                    <w:rPr>
                      <w:rFonts w:ascii="Cambria Math" w:hAnsi="Cambria Math" w:cs="Arial"/>
                      <w:sz w:val="20"/>
                      <w:szCs w:val="20"/>
                      <w:lang w:val="es-MX"/>
                    </w:rPr>
                    <m:t>1+nm</m:t>
                  </m:r>
                  <m:r>
                    <m:rPr>
                      <m:sty m:val="bi"/>
                    </m:rPr>
                    <w:rPr>
                      <w:rFonts w:ascii="Cambria Math" w:hAnsi="Cambria Math" w:cs="Arial"/>
                      <w:sz w:val="20"/>
                      <w:szCs w:val="20"/>
                      <w:lang w:val="es-MX"/>
                    </w:rPr>
                    <m:t>2×</m:t>
                  </m:r>
                  <m:sSub>
                    <m:sSubPr>
                      <m:ctrlPr>
                        <w:rPr>
                          <w:rFonts w:ascii="Cambria Math" w:hAnsi="Cambria Math" w:cs="Arial"/>
                          <w:b w:val="0"/>
                          <w:bCs w:val="0"/>
                          <w:i/>
                          <w:sz w:val="20"/>
                          <w:szCs w:val="20"/>
                          <w:lang w:val="es-MX"/>
                        </w:rPr>
                      </m:ctrlPr>
                    </m:sSubPr>
                    <m:e>
                      <m:r>
                        <m:rPr>
                          <m:sty m:val="bi"/>
                        </m:rPr>
                        <w:rPr>
                          <w:rFonts w:ascii="Cambria Math" w:hAnsi="Cambria Math" w:cs="Arial"/>
                          <w:sz w:val="20"/>
                          <w:szCs w:val="20"/>
                          <w:lang w:val="es-MX"/>
                        </w:rPr>
                        <m:t>DIP</m:t>
                      </m:r>
                    </m:e>
                    <m:sub>
                      <m:r>
                        <m:rPr>
                          <m:sty m:val="bi"/>
                        </m:rPr>
                        <w:rPr>
                          <w:rFonts w:ascii="Cambria Math" w:hAnsi="Cambria Math" w:cs="Arial"/>
                          <w:sz w:val="20"/>
                          <w:szCs w:val="20"/>
                          <w:lang w:val="es-MX"/>
                        </w:rPr>
                        <m:t>t</m:t>
                      </m:r>
                    </m:sub>
                  </m:sSub>
                </m:e>
              </m:d>
              <m:r>
                <m:rPr>
                  <m:sty m:val="bi"/>
                </m:rPr>
                <w:rPr>
                  <w:rFonts w:ascii="Cambria Math" w:hAnsi="Cambria Math" w:cs="Arial"/>
                  <w:sz w:val="20"/>
                  <w:szCs w:val="20"/>
                  <w:lang w:val="es-MX"/>
                </w:rPr>
                <m:t>+0,53</m:t>
              </m:r>
            </m:num>
            <m:den>
              <m:sSup>
                <m:sSupPr>
                  <m:ctrlPr>
                    <w:rPr>
                      <w:rFonts w:ascii="Cambria Math" w:hAnsi="Cambria Math" w:cs="Arial"/>
                      <w:b w:val="0"/>
                      <w:bCs w:val="0"/>
                      <w:i/>
                      <w:iCs/>
                      <w:sz w:val="20"/>
                      <w:szCs w:val="20"/>
                      <w:lang w:val="es-MX"/>
                    </w:rPr>
                  </m:ctrlPr>
                </m:sSupPr>
                <m:e>
                  <m:d>
                    <m:dPr>
                      <m:ctrlPr>
                        <w:rPr>
                          <w:rFonts w:ascii="Cambria Math" w:hAnsi="Cambria Math" w:cs="Arial"/>
                          <w:b w:val="0"/>
                          <w:bCs w:val="0"/>
                          <w:i/>
                          <w:iCs/>
                          <w:sz w:val="20"/>
                          <w:szCs w:val="20"/>
                          <w:lang w:val="es-MX"/>
                        </w:rPr>
                      </m:ctrlPr>
                    </m:dPr>
                    <m:e>
                      <m:r>
                        <m:rPr>
                          <m:sty m:val="bi"/>
                        </m:rPr>
                        <w:rPr>
                          <w:rFonts w:ascii="Cambria Math" w:hAnsi="Cambria Math" w:cs="Arial"/>
                          <w:sz w:val="20"/>
                          <w:szCs w:val="20"/>
                          <w:lang w:val="es-MX"/>
                        </w:rPr>
                        <m:t>1+</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TT</m:t>
                          </m:r>
                          <m:r>
                            <m:rPr>
                              <m:sty m:val="bi"/>
                            </m:rPr>
                            <w:rPr>
                              <w:rFonts w:ascii="Cambria Math" w:hAnsi="Cambria Math" w:cs="Arial"/>
                              <w:sz w:val="20"/>
                              <w:szCs w:val="20"/>
                              <w:lang w:val="es-MX"/>
                            </w:rPr>
                            <m:t>2</m:t>
                          </m:r>
                        </m:e>
                        <m:sub>
                          <m:r>
                            <m:rPr>
                              <m:sty m:val="bi"/>
                            </m:rPr>
                            <w:rPr>
                              <w:rFonts w:ascii="Cambria Math" w:hAnsi="Cambria Math" w:cs="Arial"/>
                              <w:sz w:val="20"/>
                              <w:szCs w:val="20"/>
                              <w:lang w:val="es-MX"/>
                            </w:rPr>
                            <m:t>t,ecf</m:t>
                          </m:r>
                        </m:sub>
                      </m:sSub>
                    </m:e>
                  </m:d>
                </m:e>
                <m:sup>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dr2</m:t>
                      </m:r>
                    </m:e>
                    <m:sub>
                      <m:r>
                        <m:rPr>
                          <m:sty m:val="bi"/>
                        </m:rPr>
                        <w:rPr>
                          <w:rFonts w:ascii="Cambria Math" w:hAnsi="Cambria Math" w:cs="Arial"/>
                          <w:sz w:val="20"/>
                          <w:szCs w:val="20"/>
                          <w:lang w:val="es-MX"/>
                        </w:rPr>
                        <m:t>ecf</m:t>
                      </m:r>
                    </m:sub>
                  </m:sSub>
                </m:sup>
              </m:sSup>
            </m:den>
          </m:f>
        </m:oMath>
      </m:oMathPara>
    </w:p>
    <w:p w14:paraId="5628D2AF" w14:textId="77777777" w:rsidR="000F27DB" w:rsidRDefault="000F27DB" w:rsidP="000F27DB">
      <w:pPr>
        <w:pStyle w:val="Subttulo"/>
        <w:spacing w:before="200" w:after="200"/>
        <w:rPr>
          <w:rFonts w:ascii="Bookman Old Style" w:hAnsi="Bookman Old Style" w:cs="Arial"/>
          <w:b w:val="0"/>
          <w:bCs w:val="0"/>
        </w:rPr>
      </w:pPr>
      <w:r>
        <w:rPr>
          <w:rFonts w:ascii="Bookman Old Style" w:hAnsi="Bookman Old Style" w:cs="Arial"/>
          <w:b w:val="0"/>
          <w:bCs w:val="0"/>
        </w:rPr>
        <w:t xml:space="preserve">Donde: </w:t>
      </w:r>
    </w:p>
    <w:p w14:paraId="4B1112B8" w14:textId="298AD7DD" w:rsidR="00197853" w:rsidRPr="0049377D" w:rsidRDefault="00DE733B" w:rsidP="0049377D">
      <w:pPr>
        <w:pStyle w:val="Subttulo"/>
        <w:ind w:left="1843" w:hanging="1843"/>
        <w:rPr>
          <w:rFonts w:ascii="Bookman Old Style" w:hAnsi="Bookman Old Style" w:cs="Arial"/>
          <w:b w:val="0"/>
          <w:bCs w:val="0"/>
        </w:rPr>
      </w:pPr>
      <w:proofErr w:type="spellStart"/>
      <w:proofErr w:type="gramStart"/>
      <w:r w:rsidRPr="00DE733B">
        <w:rPr>
          <w:rFonts w:ascii="Bookman Old Style" w:hAnsi="Bookman Old Style" w:cs="Arial" w:hint="eastAsia"/>
          <w:b w:val="0"/>
          <w:i/>
          <w:color w:val="000000"/>
        </w:rPr>
        <w:t>C</w:t>
      </w:r>
      <w:r w:rsidR="009D6318">
        <w:rPr>
          <w:rFonts w:ascii="Bookman Old Style" w:hAnsi="Bookman Old Style" w:cs="Arial"/>
          <w:b w:val="0"/>
          <w:i/>
          <w:color w:val="000000"/>
        </w:rPr>
        <w:t>F</w:t>
      </w:r>
      <w:r w:rsidRPr="00DE733B">
        <w:rPr>
          <w:rFonts w:ascii="Bookman Old Style" w:hAnsi="Bookman Old Style" w:cs="Arial"/>
          <w:b w:val="0"/>
          <w:i/>
          <w:color w:val="000000"/>
        </w:rPr>
        <w:t>F</w:t>
      </w:r>
      <w:r w:rsidR="00417690">
        <w:rPr>
          <w:rFonts w:ascii="Bookman Old Style" w:hAnsi="Bookman Old Style" w:cs="Arial"/>
          <w:b w:val="0"/>
          <w:i/>
          <w:color w:val="000000"/>
          <w:vertAlign w:val="subscript"/>
        </w:rPr>
        <w:t>i,j</w:t>
      </w:r>
      <w:proofErr w:type="gramEnd"/>
      <w:r w:rsidR="004A6F2B">
        <w:rPr>
          <w:rFonts w:ascii="Bookman Old Style" w:hAnsi="Bookman Old Style" w:cs="Arial"/>
          <w:b w:val="0"/>
          <w:i/>
          <w:color w:val="000000"/>
          <w:vertAlign w:val="subscript"/>
        </w:rPr>
        <w:t>,t</w:t>
      </w:r>
      <w:proofErr w:type="spellEnd"/>
      <w:r w:rsidR="00F973F1" w:rsidRPr="00F61FB8">
        <w:rPr>
          <w:rFonts w:ascii="Bookman Old Style" w:hAnsi="Bookman Old Style" w:cs="Arial"/>
          <w:b w:val="0"/>
          <w:i/>
          <w:color w:val="000000"/>
        </w:rPr>
        <w:t>:</w:t>
      </w:r>
      <w:r w:rsidR="000F27DB" w:rsidRPr="008F06CC">
        <w:rPr>
          <w:rFonts w:ascii="Bookman Old Style" w:hAnsi="Bookman Old Style" w:cs="Arial"/>
          <w:b w:val="0"/>
          <w:color w:val="000000"/>
        </w:rPr>
        <w:tab/>
        <w:t xml:space="preserve">Costo financiero </w:t>
      </w:r>
      <w:r w:rsidR="00FE4FB8">
        <w:rPr>
          <w:rFonts w:ascii="Bookman Old Style" w:hAnsi="Bookman Old Style" w:cs="Arial"/>
          <w:b w:val="0"/>
          <w:color w:val="000000"/>
        </w:rPr>
        <w:t xml:space="preserve">reconocido para el comercializador </w:t>
      </w:r>
      <w:r w:rsidR="00FE4FB8" w:rsidRPr="00F74261">
        <w:rPr>
          <w:rFonts w:ascii="Bookman Old Style" w:hAnsi="Bookman Old Style" w:cs="Arial"/>
          <w:b w:val="0"/>
          <w:i/>
          <w:iCs/>
          <w:color w:val="000000"/>
        </w:rPr>
        <w:t>i</w:t>
      </w:r>
      <w:r w:rsidR="00FE4FB8">
        <w:rPr>
          <w:rFonts w:ascii="Bookman Old Style" w:hAnsi="Bookman Old Style" w:cs="Arial"/>
          <w:b w:val="0"/>
          <w:i/>
          <w:iCs/>
          <w:color w:val="000000"/>
        </w:rPr>
        <w:t>,</w:t>
      </w:r>
      <w:r w:rsidR="00FE4FB8">
        <w:rPr>
          <w:rFonts w:ascii="Bookman Old Style" w:hAnsi="Bookman Old Style" w:cs="Arial"/>
          <w:b w:val="0"/>
          <w:color w:val="000000"/>
        </w:rPr>
        <w:t xml:space="preserve"> en el mercado de comercialización </w:t>
      </w:r>
      <w:r w:rsidR="00FE4FB8" w:rsidRPr="00F74261">
        <w:rPr>
          <w:rFonts w:ascii="Bookman Old Style" w:hAnsi="Bookman Old Style" w:cs="Arial"/>
          <w:b w:val="0"/>
          <w:i/>
          <w:iCs/>
          <w:color w:val="000000"/>
        </w:rPr>
        <w:t>j</w:t>
      </w:r>
      <w:r w:rsidR="00FE4FB8">
        <w:rPr>
          <w:rFonts w:ascii="Bookman Old Style" w:hAnsi="Bookman Old Style" w:cs="Arial"/>
          <w:b w:val="0"/>
          <w:i/>
          <w:iCs/>
          <w:color w:val="000000"/>
        </w:rPr>
        <w:t xml:space="preserve">, </w:t>
      </w:r>
      <w:r w:rsidR="00FE4FB8" w:rsidRPr="00F74261">
        <w:rPr>
          <w:rFonts w:ascii="Bookman Old Style" w:hAnsi="Bookman Old Style" w:cs="Arial"/>
          <w:b w:val="0"/>
          <w:color w:val="000000"/>
        </w:rPr>
        <w:t>aplicable al</w:t>
      </w:r>
      <w:r w:rsidR="00FE4FB8">
        <w:rPr>
          <w:rFonts w:ascii="Bookman Old Style" w:hAnsi="Bookman Old Style" w:cs="Arial"/>
          <w:b w:val="0"/>
          <w:i/>
          <w:iCs/>
          <w:color w:val="000000"/>
        </w:rPr>
        <w:t xml:space="preserve"> </w:t>
      </w:r>
      <w:r w:rsidR="00FE4FB8">
        <w:rPr>
          <w:rFonts w:ascii="Bookman Old Style" w:hAnsi="Bookman Old Style" w:cs="Arial"/>
          <w:b w:val="0"/>
          <w:color w:val="000000"/>
        </w:rPr>
        <w:t xml:space="preserve">año </w:t>
      </w:r>
      <w:r w:rsidR="00FE4FB8" w:rsidRPr="00F74261">
        <w:rPr>
          <w:rFonts w:ascii="Bookman Old Style" w:hAnsi="Bookman Old Style" w:cs="Arial"/>
          <w:b w:val="0"/>
          <w:i/>
          <w:iCs/>
          <w:color w:val="000000"/>
        </w:rPr>
        <w:t>t</w:t>
      </w:r>
      <w:r w:rsidR="00FE4FB8">
        <w:rPr>
          <w:rFonts w:ascii="Bookman Old Style" w:hAnsi="Bookman Old Style" w:cs="Arial"/>
          <w:b w:val="0"/>
          <w:i/>
          <w:iCs/>
          <w:color w:val="000000"/>
        </w:rPr>
        <w:t>,</w:t>
      </w:r>
      <w:r w:rsidR="00FE4FB8" w:rsidRPr="008F06CC">
        <w:rPr>
          <w:rFonts w:ascii="Bookman Old Style" w:hAnsi="Bookman Old Style" w:cs="Arial"/>
          <w:b w:val="0"/>
          <w:color w:val="000000"/>
        </w:rPr>
        <w:t xml:space="preserve"> </w:t>
      </w:r>
      <w:r w:rsidR="00FE4FB8">
        <w:rPr>
          <w:rFonts w:ascii="Bookman Old Style" w:hAnsi="Bookman Old Style" w:cs="Arial"/>
          <w:b w:val="0"/>
          <w:color w:val="000000"/>
        </w:rPr>
        <w:t xml:space="preserve">asociados a </w:t>
      </w:r>
      <w:r w:rsidR="000F27DB">
        <w:rPr>
          <w:rFonts w:ascii="Bookman Old Style" w:hAnsi="Bookman Old Style" w:cs="Arial"/>
          <w:b w:val="0"/>
          <w:bCs w:val="0"/>
        </w:rPr>
        <w:t xml:space="preserve">las diferencias </w:t>
      </w:r>
      <w:r w:rsidR="00FE4FB8">
        <w:rPr>
          <w:rFonts w:ascii="Bookman Old Style" w:hAnsi="Bookman Old Style" w:cs="Arial"/>
          <w:b w:val="0"/>
          <w:bCs w:val="0"/>
        </w:rPr>
        <w:t xml:space="preserve">en tiempo </w:t>
      </w:r>
      <w:r w:rsidR="000F27DB">
        <w:rPr>
          <w:rFonts w:ascii="Bookman Old Style" w:hAnsi="Bookman Old Style" w:cs="Arial"/>
          <w:b w:val="0"/>
          <w:bCs w:val="0"/>
        </w:rPr>
        <w:t>entre el ciclo de facturación</w:t>
      </w:r>
      <w:r w:rsidR="00FE4FB8">
        <w:rPr>
          <w:rFonts w:ascii="Bookman Old Style" w:hAnsi="Bookman Old Style" w:cs="Arial"/>
          <w:b w:val="0"/>
          <w:bCs w:val="0"/>
        </w:rPr>
        <w:t xml:space="preserve">, el momento de </w:t>
      </w:r>
      <w:r w:rsidR="000F27DB">
        <w:rPr>
          <w:rFonts w:ascii="Bookman Old Style" w:hAnsi="Bookman Old Style" w:cs="Arial"/>
          <w:b w:val="0"/>
          <w:bCs w:val="0"/>
        </w:rPr>
        <w:t xml:space="preserve">recaudo a los usuarios regulados, </w:t>
      </w:r>
      <w:r w:rsidR="00FE4FB8">
        <w:rPr>
          <w:rFonts w:ascii="Bookman Old Style" w:hAnsi="Bookman Old Style" w:cs="Arial"/>
          <w:b w:val="0"/>
          <w:bCs w:val="0"/>
        </w:rPr>
        <w:t>el día de</w:t>
      </w:r>
      <w:r w:rsidR="000F27DB">
        <w:rPr>
          <w:rFonts w:ascii="Bookman Old Style" w:hAnsi="Bookman Old Style" w:cs="Arial"/>
          <w:b w:val="0"/>
          <w:bCs w:val="0"/>
        </w:rPr>
        <w:t xml:space="preserve"> publicación de tarifas por parte del comercializador y el </w:t>
      </w:r>
      <w:r w:rsidR="00FE4FB8">
        <w:rPr>
          <w:rFonts w:ascii="Bookman Old Style" w:hAnsi="Bookman Old Style" w:cs="Arial"/>
          <w:b w:val="0"/>
          <w:bCs w:val="0"/>
        </w:rPr>
        <w:t xml:space="preserve">momento del </w:t>
      </w:r>
      <w:r w:rsidR="000F27DB">
        <w:rPr>
          <w:rFonts w:ascii="Bookman Old Style" w:hAnsi="Bookman Old Style" w:cs="Arial"/>
          <w:b w:val="0"/>
          <w:color w:val="000000"/>
        </w:rPr>
        <w:t>pago</w:t>
      </w:r>
      <w:r w:rsidR="000F27DB">
        <w:rPr>
          <w:rFonts w:cs="Arial"/>
          <w:color w:val="000000"/>
        </w:rPr>
        <w:t xml:space="preserve"> </w:t>
      </w:r>
      <w:r w:rsidR="000F27DB">
        <w:rPr>
          <w:rFonts w:ascii="Bookman Old Style" w:hAnsi="Bookman Old Style" w:cs="Arial"/>
          <w:b w:val="0"/>
          <w:color w:val="000000"/>
        </w:rPr>
        <w:t xml:space="preserve">de los costos </w:t>
      </w:r>
      <w:r w:rsidR="009F61F1">
        <w:rPr>
          <w:rFonts w:ascii="Bookman Old Style" w:hAnsi="Bookman Old Style" w:cs="Arial"/>
          <w:b w:val="0"/>
          <w:color w:val="000000"/>
        </w:rPr>
        <w:t>facturados por el ASIC y el LAC</w:t>
      </w:r>
      <w:r w:rsidR="00FE4FB8">
        <w:rPr>
          <w:rFonts w:ascii="Bookman Old Style" w:hAnsi="Bookman Old Style" w:cs="Arial"/>
          <w:b w:val="0"/>
          <w:bCs w:val="0"/>
        </w:rPr>
        <w:t>.</w:t>
      </w:r>
    </w:p>
    <w:p w14:paraId="431A089A" w14:textId="3133D0F8" w:rsidR="00E76EA7" w:rsidRDefault="002C5E76" w:rsidP="000E29FB">
      <w:pPr>
        <w:pStyle w:val="Subttulo"/>
        <w:ind w:left="1843" w:hanging="1843"/>
        <w:rPr>
          <w:rFonts w:ascii="Bookman Old Style" w:hAnsi="Bookman Old Style" w:cs="Arial"/>
          <w:b w:val="0"/>
          <w:color w:val="000000"/>
        </w:rPr>
      </w:pPr>
      <w:r>
        <w:rPr>
          <w:rFonts w:ascii="Bookman Old Style" w:hAnsi="Bookman Old Style" w:cs="Arial"/>
          <w:b w:val="0"/>
          <w:i/>
          <w:color w:val="000000"/>
        </w:rPr>
        <w:t>BP</w:t>
      </w:r>
      <w:r w:rsidR="00E76EA7" w:rsidRPr="00F61FB8">
        <w:rPr>
          <w:rFonts w:ascii="Bookman Old Style" w:hAnsi="Bookman Old Style" w:cs="Arial"/>
          <w:b w:val="0"/>
          <w:i/>
          <w:color w:val="000000"/>
        </w:rPr>
        <w:t>:</w:t>
      </w:r>
      <w:r w:rsidR="00E76EA7" w:rsidRPr="008F06CC">
        <w:rPr>
          <w:rFonts w:ascii="Bookman Old Style" w:hAnsi="Bookman Old Style" w:cs="Arial"/>
          <w:b w:val="0"/>
          <w:color w:val="000000"/>
        </w:rPr>
        <w:tab/>
      </w:r>
      <w:r w:rsidR="00A325CE">
        <w:rPr>
          <w:rFonts w:ascii="Bookman Old Style" w:hAnsi="Bookman Old Style" w:cs="Arial"/>
          <w:b w:val="0"/>
          <w:color w:val="000000"/>
        </w:rPr>
        <w:t xml:space="preserve">Promedio </w:t>
      </w:r>
      <w:r w:rsidR="00616B4D">
        <w:rPr>
          <w:rFonts w:ascii="Bookman Old Style" w:hAnsi="Bookman Old Style" w:cs="Arial"/>
          <w:b w:val="0"/>
          <w:color w:val="000000"/>
        </w:rPr>
        <w:t>del impacto en</w:t>
      </w:r>
      <w:r w:rsidR="00E76EA7">
        <w:rPr>
          <w:rFonts w:ascii="Bookman Old Style" w:hAnsi="Bookman Old Style" w:cs="Arial"/>
          <w:b w:val="0"/>
          <w:color w:val="000000"/>
        </w:rPr>
        <w:t xml:space="preserve"> el </w:t>
      </w:r>
      <w:r w:rsidR="00616B4D">
        <w:rPr>
          <w:rFonts w:ascii="Bookman Old Style" w:hAnsi="Bookman Old Style" w:cs="Arial"/>
          <w:b w:val="0"/>
          <w:color w:val="000000"/>
        </w:rPr>
        <w:t>costo financiero</w:t>
      </w:r>
      <w:r w:rsidR="00A325CE">
        <w:rPr>
          <w:rFonts w:ascii="Bookman Old Style" w:hAnsi="Bookman Old Style" w:cs="Arial"/>
          <w:b w:val="0"/>
          <w:color w:val="000000"/>
        </w:rPr>
        <w:t xml:space="preserve"> por la publicación </w:t>
      </w:r>
      <w:r w:rsidR="00A650F8">
        <w:rPr>
          <w:rFonts w:ascii="Bookman Old Style" w:hAnsi="Bookman Old Style" w:cs="Arial"/>
          <w:b w:val="0"/>
          <w:color w:val="000000"/>
        </w:rPr>
        <w:t xml:space="preserve">anticipada </w:t>
      </w:r>
      <w:r w:rsidR="00A325CE">
        <w:rPr>
          <w:rFonts w:ascii="Bookman Old Style" w:hAnsi="Bookman Old Style" w:cs="Arial"/>
          <w:b w:val="0"/>
          <w:color w:val="000000"/>
        </w:rPr>
        <w:t xml:space="preserve">de tarifas, </w:t>
      </w:r>
      <w:r>
        <w:rPr>
          <w:rFonts w:ascii="Bookman Old Style" w:hAnsi="Bookman Old Style" w:cs="Arial"/>
          <w:b w:val="0"/>
          <w:color w:val="000000"/>
        </w:rPr>
        <w:t>corresponde a 0,</w:t>
      </w:r>
      <w:r w:rsidR="00260B5E">
        <w:rPr>
          <w:rFonts w:ascii="Bookman Old Style" w:hAnsi="Bookman Old Style" w:cs="Arial"/>
          <w:b w:val="0"/>
          <w:color w:val="000000"/>
        </w:rPr>
        <w:t>85</w:t>
      </w:r>
      <w:r w:rsidR="00E76EA7" w:rsidRPr="001C35A5">
        <w:rPr>
          <w:rFonts w:ascii="Bookman Old Style" w:hAnsi="Bookman Old Style" w:cs="Arial"/>
          <w:b w:val="0"/>
          <w:color w:val="000000"/>
        </w:rPr>
        <w:t>.</w:t>
      </w:r>
    </w:p>
    <w:p w14:paraId="17B641A5" w14:textId="497381E6" w:rsidR="00A52001" w:rsidRDefault="00E30CBE" w:rsidP="000E29FB">
      <w:pPr>
        <w:pStyle w:val="Subttulo"/>
        <w:ind w:left="1843" w:hanging="1843"/>
        <w:rPr>
          <w:rFonts w:ascii="Bookman Old Style" w:hAnsi="Bookman Old Style" w:cs="Arial"/>
          <w:b w:val="0"/>
          <w:color w:val="000000"/>
        </w:rPr>
      </w:pPr>
      <w:proofErr w:type="spellStart"/>
      <w:r>
        <w:rPr>
          <w:rFonts w:ascii="Bookman Old Style" w:hAnsi="Bookman Old Style" w:cs="Arial"/>
          <w:b w:val="0"/>
          <w:i/>
          <w:color w:val="000000"/>
        </w:rPr>
        <w:t>E</w:t>
      </w:r>
      <w:r w:rsidR="002A205C">
        <w:rPr>
          <w:rFonts w:ascii="Bookman Old Style" w:hAnsi="Bookman Old Style" w:cs="Arial"/>
          <w:b w:val="0"/>
          <w:i/>
          <w:color w:val="000000"/>
        </w:rPr>
        <w:t>cf</w:t>
      </w:r>
      <w:proofErr w:type="spellEnd"/>
      <w:r w:rsidR="00A52001">
        <w:rPr>
          <w:rFonts w:ascii="Bookman Old Style" w:hAnsi="Bookman Old Style" w:cs="Arial"/>
          <w:b w:val="0"/>
          <w:i/>
          <w:color w:val="000000"/>
        </w:rPr>
        <w:t>:</w:t>
      </w:r>
      <w:r w:rsidR="00A52001">
        <w:rPr>
          <w:rFonts w:ascii="Bookman Old Style" w:hAnsi="Bookman Old Style" w:cs="Arial"/>
          <w:b w:val="0"/>
          <w:color w:val="000000"/>
        </w:rPr>
        <w:tab/>
      </w:r>
      <w:r w:rsidR="007A6C2B">
        <w:rPr>
          <w:rFonts w:ascii="Bookman Old Style" w:hAnsi="Bookman Old Style" w:cs="Arial"/>
          <w:b w:val="0"/>
          <w:color w:val="000000"/>
        </w:rPr>
        <w:t>Escenario de ciclo de facturación</w:t>
      </w:r>
      <w:r w:rsidR="009A64EF">
        <w:rPr>
          <w:rFonts w:ascii="Bookman Old Style" w:hAnsi="Bookman Old Style" w:cs="Arial"/>
          <w:b w:val="0"/>
          <w:color w:val="000000"/>
        </w:rPr>
        <w:t xml:space="preserve"> de 30 </w:t>
      </w:r>
      <w:r w:rsidR="0086756F">
        <w:rPr>
          <w:rFonts w:ascii="Bookman Old Style" w:hAnsi="Bookman Old Style" w:cs="Arial"/>
          <w:b w:val="0"/>
          <w:color w:val="000000"/>
        </w:rPr>
        <w:t>días</w:t>
      </w:r>
      <w:r w:rsidR="00365357">
        <w:rPr>
          <w:rFonts w:ascii="Bookman Old Style" w:hAnsi="Bookman Old Style" w:cs="Arial"/>
          <w:b w:val="0"/>
          <w:color w:val="000000"/>
        </w:rPr>
        <w:t xml:space="preserve"> </w:t>
      </w:r>
      <w:r w:rsidR="00443A6C">
        <w:rPr>
          <w:rFonts w:ascii="Bookman Old Style" w:hAnsi="Bookman Old Style" w:cs="Arial"/>
          <w:b w:val="0"/>
          <w:color w:val="000000"/>
        </w:rPr>
        <w:t xml:space="preserve">que inicia </w:t>
      </w:r>
      <w:r w:rsidR="00365357">
        <w:rPr>
          <w:rFonts w:ascii="Bookman Old Style" w:hAnsi="Bookman Old Style" w:cs="Arial"/>
          <w:b w:val="0"/>
          <w:color w:val="000000"/>
        </w:rPr>
        <w:t>el</w:t>
      </w:r>
      <w:r w:rsidR="0086756F">
        <w:rPr>
          <w:rFonts w:ascii="Bookman Old Style" w:hAnsi="Bookman Old Style" w:cs="Arial"/>
          <w:b w:val="0"/>
          <w:color w:val="000000"/>
        </w:rPr>
        <w:t xml:space="preserve"> </w:t>
      </w:r>
      <w:r w:rsidR="00A62A90">
        <w:rPr>
          <w:rFonts w:ascii="Bookman Old Style" w:hAnsi="Bookman Old Style" w:cs="Arial"/>
          <w:b w:val="0"/>
          <w:color w:val="000000"/>
        </w:rPr>
        <w:t xml:space="preserve">día </w:t>
      </w:r>
      <w:r w:rsidR="00A62A90" w:rsidRPr="00A62A90">
        <w:rPr>
          <w:rFonts w:ascii="Bookman Old Style" w:hAnsi="Bookman Old Style" w:cs="Arial"/>
          <w:b w:val="0"/>
          <w:i/>
          <w:iCs/>
          <w:color w:val="000000"/>
        </w:rPr>
        <w:t>d1</w:t>
      </w:r>
      <w:r w:rsidR="00A62A90">
        <w:rPr>
          <w:rFonts w:ascii="Bookman Old Style" w:hAnsi="Bookman Old Style" w:cs="Arial"/>
          <w:b w:val="0"/>
          <w:color w:val="000000"/>
        </w:rPr>
        <w:t xml:space="preserve"> del </w:t>
      </w:r>
      <w:r w:rsidR="0086756F">
        <w:rPr>
          <w:rFonts w:ascii="Bookman Old Style" w:hAnsi="Bookman Old Style" w:cs="Arial"/>
          <w:b w:val="0"/>
          <w:color w:val="000000"/>
        </w:rPr>
        <w:t>mes</w:t>
      </w:r>
      <w:r w:rsidR="00443A6C">
        <w:rPr>
          <w:rFonts w:ascii="Bookman Old Style" w:hAnsi="Bookman Old Style" w:cs="Arial"/>
          <w:b w:val="0"/>
          <w:color w:val="000000"/>
        </w:rPr>
        <w:t xml:space="preserve"> </w:t>
      </w:r>
      <w:r w:rsidR="00443A6C" w:rsidRPr="00F74261">
        <w:rPr>
          <w:rFonts w:ascii="Bookman Old Style" w:hAnsi="Bookman Old Style" w:cs="Arial"/>
          <w:b w:val="0"/>
          <w:i/>
          <w:iCs/>
          <w:color w:val="000000"/>
        </w:rPr>
        <w:t>m1</w:t>
      </w:r>
      <w:r w:rsidR="00443A6C">
        <w:rPr>
          <w:rFonts w:ascii="Bookman Old Style" w:hAnsi="Bookman Old Style" w:cs="Arial"/>
          <w:b w:val="0"/>
          <w:color w:val="000000"/>
        </w:rPr>
        <w:t xml:space="preserve"> y finaliza </w:t>
      </w:r>
      <w:r w:rsidR="00365357">
        <w:rPr>
          <w:rFonts w:ascii="Bookman Old Style" w:hAnsi="Bookman Old Style" w:cs="Arial"/>
          <w:b w:val="0"/>
          <w:color w:val="000000"/>
        </w:rPr>
        <w:t xml:space="preserve">en </w:t>
      </w:r>
      <w:r w:rsidR="00443A6C">
        <w:rPr>
          <w:rFonts w:ascii="Bookman Old Style" w:hAnsi="Bookman Old Style" w:cs="Arial"/>
          <w:b w:val="0"/>
          <w:color w:val="000000"/>
        </w:rPr>
        <w:t xml:space="preserve">el </w:t>
      </w:r>
      <w:r w:rsidR="00A62A90">
        <w:rPr>
          <w:rFonts w:ascii="Bookman Old Style" w:hAnsi="Bookman Old Style" w:cs="Arial"/>
          <w:b w:val="0"/>
          <w:color w:val="000000"/>
        </w:rPr>
        <w:t xml:space="preserve">día </w:t>
      </w:r>
      <w:r w:rsidR="00A62A90" w:rsidRPr="00C90318">
        <w:rPr>
          <w:rFonts w:ascii="Bookman Old Style" w:hAnsi="Bookman Old Style" w:cs="Arial"/>
          <w:b w:val="0"/>
          <w:i/>
          <w:iCs/>
          <w:color w:val="000000"/>
        </w:rPr>
        <w:t>d2</w:t>
      </w:r>
      <w:r w:rsidR="00365357">
        <w:rPr>
          <w:rFonts w:ascii="Bookman Old Style" w:hAnsi="Bookman Old Style" w:cs="Arial"/>
          <w:b w:val="0"/>
          <w:color w:val="000000"/>
        </w:rPr>
        <w:t xml:space="preserve"> </w:t>
      </w:r>
      <w:r w:rsidR="00A62A90">
        <w:rPr>
          <w:rFonts w:ascii="Bookman Old Style" w:hAnsi="Bookman Old Style" w:cs="Arial"/>
          <w:b w:val="0"/>
          <w:color w:val="000000"/>
        </w:rPr>
        <w:t>d</w:t>
      </w:r>
      <w:r w:rsidR="00365357">
        <w:rPr>
          <w:rFonts w:ascii="Bookman Old Style" w:hAnsi="Bookman Old Style" w:cs="Arial"/>
          <w:b w:val="0"/>
          <w:color w:val="000000"/>
        </w:rPr>
        <w:t>el mes</w:t>
      </w:r>
      <w:r w:rsidR="00443A6C">
        <w:rPr>
          <w:rFonts w:ascii="Bookman Old Style" w:hAnsi="Bookman Old Style" w:cs="Arial"/>
          <w:b w:val="0"/>
          <w:color w:val="000000"/>
        </w:rPr>
        <w:t xml:space="preserve"> </w:t>
      </w:r>
      <w:r w:rsidR="00443A6C" w:rsidRPr="00F74261">
        <w:rPr>
          <w:rFonts w:ascii="Bookman Old Style" w:hAnsi="Bookman Old Style" w:cs="Arial"/>
          <w:b w:val="0"/>
          <w:i/>
          <w:iCs/>
          <w:color w:val="000000"/>
        </w:rPr>
        <w:t>m2</w:t>
      </w:r>
      <w:r w:rsidR="0086756F">
        <w:rPr>
          <w:rFonts w:ascii="Bookman Old Style" w:hAnsi="Bookman Old Style" w:cs="Arial"/>
          <w:b w:val="0"/>
          <w:color w:val="000000"/>
        </w:rPr>
        <w:t xml:space="preserve">. </w:t>
      </w:r>
    </w:p>
    <w:p w14:paraId="4136EF24" w14:textId="5A4829F1" w:rsidR="000F27DB" w:rsidRDefault="001A7285" w:rsidP="000E29FB">
      <w:pPr>
        <w:pStyle w:val="Subttulo"/>
        <w:ind w:left="1843" w:hanging="1843"/>
        <w:rPr>
          <w:rFonts w:ascii="Bookman Old Style" w:hAnsi="Bookman Old Style" w:cs="Arial"/>
          <w:b w:val="0"/>
          <w:color w:val="000000"/>
        </w:rPr>
      </w:pPr>
      <w:r w:rsidRPr="00E76A26">
        <w:rPr>
          <w:rFonts w:ascii="Bookman Old Style" w:hAnsi="Bookman Old Style" w:cs="Arial"/>
          <w:b w:val="0"/>
          <w:i/>
          <w:color w:val="000000"/>
        </w:rPr>
        <w:t>dT</w:t>
      </w:r>
      <w:r w:rsidR="00E76A26" w:rsidRPr="00E76A26">
        <w:rPr>
          <w:rFonts w:ascii="Bookman Old Style" w:hAnsi="Bookman Old Style" w:cs="Arial"/>
          <w:b w:val="0"/>
          <w:i/>
          <w:color w:val="000000"/>
        </w:rPr>
        <w:t>1</w:t>
      </w:r>
      <w:r w:rsidR="00E76A26" w:rsidRPr="00E76A26">
        <w:rPr>
          <w:rFonts w:ascii="Bookman Old Style" w:hAnsi="Bookman Old Style" w:cs="Arial"/>
          <w:b w:val="0"/>
          <w:i/>
          <w:color w:val="000000"/>
          <w:vertAlign w:val="subscript"/>
        </w:rPr>
        <w:t>e</w:t>
      </w:r>
      <w:r w:rsidR="00B85019">
        <w:rPr>
          <w:rFonts w:ascii="Bookman Old Style" w:hAnsi="Bookman Old Style" w:cs="Arial"/>
          <w:b w:val="0"/>
          <w:i/>
          <w:color w:val="000000"/>
          <w:vertAlign w:val="subscript"/>
        </w:rPr>
        <w:t>cf</w:t>
      </w:r>
      <w:r w:rsidR="000F27DB" w:rsidRPr="008F06CC">
        <w:rPr>
          <w:rFonts w:ascii="Bookman Old Style" w:hAnsi="Bookman Old Style" w:cs="Arial"/>
          <w:b w:val="0"/>
          <w:color w:val="000000"/>
        </w:rPr>
        <w:tab/>
      </w:r>
      <w:r w:rsidR="00B11BAA">
        <w:rPr>
          <w:rFonts w:ascii="Bookman Old Style" w:hAnsi="Bookman Old Style" w:cs="Arial"/>
          <w:b w:val="0"/>
          <w:color w:val="000000"/>
        </w:rPr>
        <w:t xml:space="preserve">Relación </w:t>
      </w:r>
      <w:r w:rsidR="00B6447A">
        <w:rPr>
          <w:rFonts w:ascii="Bookman Old Style" w:hAnsi="Bookman Old Style" w:cs="Arial"/>
          <w:b w:val="0"/>
          <w:color w:val="000000"/>
        </w:rPr>
        <w:t>entre</w:t>
      </w:r>
      <w:r w:rsidR="00B11BAA">
        <w:rPr>
          <w:rFonts w:ascii="Bookman Old Style" w:hAnsi="Bookman Old Style" w:cs="Arial"/>
          <w:b w:val="0"/>
          <w:color w:val="000000"/>
        </w:rPr>
        <w:t xml:space="preserve"> </w:t>
      </w:r>
      <w:r w:rsidR="00647550">
        <w:rPr>
          <w:rFonts w:ascii="Bookman Old Style" w:hAnsi="Bookman Old Style" w:cs="Arial"/>
          <w:b w:val="0"/>
          <w:color w:val="000000"/>
        </w:rPr>
        <w:t xml:space="preserve">los </w:t>
      </w:r>
      <w:r w:rsidR="00B11BAA">
        <w:rPr>
          <w:rFonts w:ascii="Bookman Old Style" w:hAnsi="Bookman Old Style" w:cs="Arial"/>
          <w:b w:val="0"/>
          <w:color w:val="000000"/>
        </w:rPr>
        <w:t>d</w:t>
      </w:r>
      <w:r w:rsidR="000F27DB">
        <w:rPr>
          <w:rFonts w:ascii="Bookman Old Style" w:hAnsi="Bookman Old Style" w:cs="Arial"/>
          <w:b w:val="0"/>
          <w:color w:val="000000"/>
        </w:rPr>
        <w:t xml:space="preserve">ías de consumo en el mes </w:t>
      </w:r>
      <w:r w:rsidR="000F27DB" w:rsidRPr="00F74261">
        <w:rPr>
          <w:rFonts w:ascii="Bookman Old Style" w:hAnsi="Bookman Old Style" w:cs="Arial"/>
          <w:b w:val="0"/>
          <w:i/>
          <w:color w:val="000000"/>
        </w:rPr>
        <w:t>m1</w:t>
      </w:r>
      <w:r w:rsidR="000F27DB">
        <w:rPr>
          <w:rFonts w:ascii="Bookman Old Style" w:hAnsi="Bookman Old Style" w:cs="Arial"/>
          <w:b w:val="0"/>
          <w:color w:val="000000"/>
        </w:rPr>
        <w:t xml:space="preserve"> </w:t>
      </w:r>
      <w:r w:rsidR="00B11BAA">
        <w:rPr>
          <w:rFonts w:ascii="Bookman Old Style" w:hAnsi="Bookman Old Style" w:cs="Arial"/>
          <w:b w:val="0"/>
          <w:color w:val="000000"/>
        </w:rPr>
        <w:t>y el total de días del ciclo de facturación</w:t>
      </w:r>
      <w:r w:rsidR="003511E9" w:rsidRPr="003511E9">
        <w:rPr>
          <w:rFonts w:ascii="Bookman Old Style" w:hAnsi="Bookman Old Style" w:cs="Arial"/>
          <w:b w:val="0"/>
          <w:color w:val="000000"/>
        </w:rPr>
        <w:t xml:space="preserve"> </w:t>
      </w:r>
      <w:r w:rsidR="003511E9">
        <w:rPr>
          <w:rFonts w:ascii="Bookman Old Style" w:hAnsi="Bookman Old Style" w:cs="Arial"/>
          <w:b w:val="0"/>
          <w:color w:val="000000"/>
        </w:rPr>
        <w:t xml:space="preserve">en el escenario </w:t>
      </w:r>
      <w:proofErr w:type="spellStart"/>
      <w:r w:rsidR="003511E9" w:rsidRPr="00C755FC">
        <w:rPr>
          <w:rFonts w:ascii="Bookman Old Style" w:hAnsi="Bookman Old Style" w:cs="Arial"/>
          <w:b w:val="0"/>
          <w:i/>
          <w:iCs/>
          <w:color w:val="000000"/>
        </w:rPr>
        <w:t>ecf</w:t>
      </w:r>
      <w:proofErr w:type="spellEnd"/>
      <w:r w:rsidR="009F0401">
        <w:rPr>
          <w:rFonts w:ascii="Bookman Old Style" w:hAnsi="Bookman Old Style" w:cs="Arial"/>
          <w:b w:val="0"/>
          <w:color w:val="000000"/>
        </w:rPr>
        <w:t>,</w:t>
      </w:r>
      <w:r w:rsidR="00F7650E">
        <w:rPr>
          <w:rFonts w:ascii="Bookman Old Style" w:hAnsi="Bookman Old Style" w:cs="Arial"/>
          <w:b w:val="0"/>
          <w:color w:val="000000"/>
        </w:rPr>
        <w:t xml:space="preserve"> correspondiente a </w:t>
      </w:r>
      <w:r w:rsidR="008F31B9">
        <w:rPr>
          <w:rFonts w:ascii="Bookman Old Style" w:hAnsi="Bookman Old Style" w:cs="Arial"/>
          <w:b w:val="0"/>
          <w:color w:val="000000"/>
        </w:rPr>
        <w:t>30 días</w:t>
      </w:r>
      <w:r w:rsidR="000F27DB">
        <w:rPr>
          <w:rFonts w:ascii="Bookman Old Style" w:hAnsi="Bookman Old Style" w:cs="Arial"/>
          <w:b w:val="0"/>
          <w:color w:val="000000"/>
        </w:rPr>
        <w:t>.</w:t>
      </w:r>
    </w:p>
    <w:p w14:paraId="19EF1450" w14:textId="30EF67E2" w:rsidR="009F0401" w:rsidRDefault="00E30CBE" w:rsidP="009F0401">
      <w:pPr>
        <w:pStyle w:val="Subttulo"/>
        <w:ind w:left="1843" w:hanging="1843"/>
        <w:rPr>
          <w:rFonts w:ascii="Bookman Old Style" w:hAnsi="Bookman Old Style" w:cs="Arial"/>
          <w:b w:val="0"/>
          <w:color w:val="000000"/>
        </w:rPr>
      </w:pPr>
      <w:r>
        <w:rPr>
          <w:rFonts w:ascii="Bookman Old Style" w:hAnsi="Bookman Old Style" w:cs="Arial"/>
          <w:b w:val="0"/>
          <w:i/>
          <w:color w:val="000000"/>
        </w:rPr>
        <w:t>N</w:t>
      </w:r>
      <w:r w:rsidR="009F0401">
        <w:rPr>
          <w:rFonts w:ascii="Bookman Old Style" w:hAnsi="Bookman Old Style" w:cs="Arial"/>
          <w:b w:val="0"/>
          <w:i/>
          <w:color w:val="000000"/>
        </w:rPr>
        <w:t>m1</w:t>
      </w:r>
      <w:r w:rsidR="008C3540" w:rsidRPr="008C3540">
        <w:rPr>
          <w:rFonts w:ascii="Bookman Old Style" w:hAnsi="Bookman Old Style" w:cs="Arial"/>
          <w:b w:val="0"/>
          <w:i/>
          <w:color w:val="000000"/>
          <w:vertAlign w:val="subscript"/>
        </w:rPr>
        <w:t>ecf</w:t>
      </w:r>
      <w:r w:rsidR="009F0401" w:rsidRPr="008F06CC">
        <w:rPr>
          <w:rFonts w:ascii="Bookman Old Style" w:hAnsi="Bookman Old Style" w:cs="Arial"/>
          <w:b w:val="0"/>
          <w:color w:val="000000"/>
        </w:rPr>
        <w:tab/>
      </w:r>
      <w:r w:rsidR="009F0401">
        <w:rPr>
          <w:rFonts w:ascii="Bookman Old Style" w:hAnsi="Bookman Old Style" w:cs="Arial"/>
          <w:b w:val="0"/>
          <w:color w:val="000000"/>
        </w:rPr>
        <w:t>N</w:t>
      </w:r>
      <w:r w:rsidR="00A26747">
        <w:rPr>
          <w:rFonts w:ascii="Bookman Old Style" w:hAnsi="Bookman Old Style" w:cs="Arial"/>
          <w:b w:val="0"/>
          <w:color w:val="000000"/>
        </w:rPr>
        <w:t>ú</w:t>
      </w:r>
      <w:r w:rsidR="009F0401">
        <w:rPr>
          <w:rFonts w:ascii="Bookman Old Style" w:hAnsi="Bookman Old Style" w:cs="Arial"/>
          <w:b w:val="0"/>
          <w:color w:val="000000"/>
        </w:rPr>
        <w:t xml:space="preserve">mero de meses </w:t>
      </w:r>
      <w:r w:rsidR="00F00C4A">
        <w:rPr>
          <w:rFonts w:ascii="Bookman Old Style" w:hAnsi="Bookman Old Style" w:cs="Arial"/>
          <w:b w:val="0"/>
          <w:color w:val="000000"/>
        </w:rPr>
        <w:t xml:space="preserve">transcurridos, entre </w:t>
      </w:r>
      <w:r w:rsidR="006B0C9C">
        <w:rPr>
          <w:rFonts w:ascii="Bookman Old Style" w:hAnsi="Bookman Old Style" w:cs="Arial"/>
          <w:b w:val="0"/>
          <w:color w:val="000000"/>
        </w:rPr>
        <w:t xml:space="preserve">el mes con el que se calcula </w:t>
      </w:r>
      <w:r w:rsidR="00F00C4A">
        <w:rPr>
          <w:rFonts w:ascii="Bookman Old Style" w:hAnsi="Bookman Old Style" w:cs="Arial"/>
          <w:b w:val="0"/>
          <w:color w:val="000000"/>
        </w:rPr>
        <w:t>la tarifa aplicada al usuario</w:t>
      </w:r>
      <w:r w:rsidR="00101E67">
        <w:rPr>
          <w:rFonts w:ascii="Bookman Old Style" w:hAnsi="Bookman Old Style" w:cs="Arial"/>
          <w:b w:val="0"/>
          <w:color w:val="000000"/>
        </w:rPr>
        <w:t xml:space="preserve"> en el escenario </w:t>
      </w:r>
      <w:proofErr w:type="spellStart"/>
      <w:r w:rsidR="00101E67" w:rsidRPr="00A26747">
        <w:rPr>
          <w:rFonts w:ascii="Bookman Old Style" w:hAnsi="Bookman Old Style" w:cs="Arial"/>
          <w:b w:val="0"/>
          <w:i/>
          <w:iCs/>
          <w:color w:val="000000"/>
        </w:rPr>
        <w:t>e</w:t>
      </w:r>
      <w:r w:rsidR="00A26747" w:rsidRPr="00A26747">
        <w:rPr>
          <w:rFonts w:ascii="Bookman Old Style" w:hAnsi="Bookman Old Style" w:cs="Arial"/>
          <w:b w:val="0"/>
          <w:i/>
          <w:iCs/>
          <w:color w:val="000000"/>
        </w:rPr>
        <w:t>cf</w:t>
      </w:r>
      <w:proofErr w:type="spellEnd"/>
      <w:r w:rsidR="006B0C9C">
        <w:rPr>
          <w:rFonts w:ascii="Bookman Old Style" w:hAnsi="Bookman Old Style" w:cs="Arial"/>
          <w:b w:val="0"/>
          <w:color w:val="000000"/>
        </w:rPr>
        <w:t xml:space="preserve">, y </w:t>
      </w:r>
      <w:r w:rsidR="00101E67">
        <w:rPr>
          <w:rFonts w:ascii="Bookman Old Style" w:hAnsi="Bookman Old Style" w:cs="Arial"/>
          <w:b w:val="0"/>
          <w:color w:val="000000"/>
        </w:rPr>
        <w:t xml:space="preserve">el mes </w:t>
      </w:r>
      <w:r w:rsidR="00610174">
        <w:rPr>
          <w:rFonts w:ascii="Bookman Old Style" w:hAnsi="Bookman Old Style" w:cs="Arial"/>
          <w:b w:val="0"/>
          <w:color w:val="000000"/>
        </w:rPr>
        <w:t>de pago</w:t>
      </w:r>
      <w:r w:rsidR="00101E67">
        <w:rPr>
          <w:rFonts w:ascii="Bookman Old Style" w:hAnsi="Bookman Old Style" w:cs="Arial"/>
          <w:b w:val="0"/>
          <w:color w:val="000000"/>
        </w:rPr>
        <w:t xml:space="preserve"> de los costos facturados </w:t>
      </w:r>
      <w:r w:rsidR="00126759">
        <w:rPr>
          <w:rFonts w:ascii="Bookman Old Style" w:hAnsi="Bookman Old Style" w:cs="Arial"/>
          <w:b w:val="0"/>
          <w:color w:val="000000"/>
        </w:rPr>
        <w:t xml:space="preserve">por el ASIC y el LAC </w:t>
      </w:r>
      <w:r w:rsidR="00101E67">
        <w:rPr>
          <w:rFonts w:ascii="Bookman Old Style" w:hAnsi="Bookman Old Style" w:cs="Arial"/>
          <w:b w:val="0"/>
          <w:color w:val="000000"/>
        </w:rPr>
        <w:t xml:space="preserve">por el consumo en el mes </w:t>
      </w:r>
      <w:r w:rsidR="00101E67" w:rsidRPr="003D3797">
        <w:rPr>
          <w:rFonts w:ascii="Bookman Old Style" w:hAnsi="Bookman Old Style" w:cs="Arial"/>
          <w:b w:val="0"/>
          <w:i/>
          <w:color w:val="000000"/>
        </w:rPr>
        <w:t>m1</w:t>
      </w:r>
      <w:r w:rsidR="009F0401">
        <w:rPr>
          <w:rFonts w:ascii="Bookman Old Style" w:hAnsi="Bookman Old Style" w:cs="Arial"/>
          <w:b w:val="0"/>
          <w:color w:val="000000"/>
        </w:rPr>
        <w:t>.</w:t>
      </w:r>
    </w:p>
    <w:p w14:paraId="450158AE" w14:textId="1EA1E2A3" w:rsidR="00FE0367" w:rsidRDefault="001905EF" w:rsidP="00FE0367">
      <w:pPr>
        <w:pStyle w:val="Subttulo"/>
        <w:ind w:left="1843" w:hanging="1843"/>
        <w:rPr>
          <w:rFonts w:ascii="Bookman Old Style" w:hAnsi="Bookman Old Style" w:cs="Arial"/>
          <w:b w:val="0"/>
          <w:color w:val="000000"/>
        </w:rPr>
      </w:pPr>
      <w:proofErr w:type="spellStart"/>
      <w:r>
        <w:rPr>
          <w:rFonts w:ascii="Bookman Old Style" w:hAnsi="Bookman Old Style" w:cs="Arial"/>
          <w:b w:val="0"/>
          <w:i/>
          <w:color w:val="000000"/>
        </w:rPr>
        <w:t>DIP</w:t>
      </w:r>
      <w:r>
        <w:rPr>
          <w:rFonts w:ascii="Bookman Old Style" w:hAnsi="Bookman Old Style" w:cs="Arial"/>
          <w:b w:val="0"/>
          <w:i/>
          <w:color w:val="000000"/>
          <w:vertAlign w:val="subscript"/>
        </w:rPr>
        <w:t>t</w:t>
      </w:r>
      <w:proofErr w:type="spellEnd"/>
      <w:r w:rsidR="00FE0367" w:rsidRPr="008F06CC">
        <w:rPr>
          <w:rFonts w:ascii="Bookman Old Style" w:hAnsi="Bookman Old Style" w:cs="Arial"/>
          <w:b w:val="0"/>
          <w:color w:val="000000"/>
        </w:rPr>
        <w:tab/>
      </w:r>
      <w:r w:rsidR="00185DDA">
        <w:rPr>
          <w:rFonts w:ascii="Bookman Old Style" w:hAnsi="Bookman Old Style" w:cs="Arial"/>
          <w:b w:val="0"/>
          <w:color w:val="000000"/>
        </w:rPr>
        <w:t>Promedio de la variación mensual del í</w:t>
      </w:r>
      <w:r w:rsidR="00185DDA" w:rsidRPr="00185DDA">
        <w:rPr>
          <w:rFonts w:ascii="Bookman Old Style" w:hAnsi="Bookman Old Style" w:cs="Arial"/>
          <w:b w:val="0"/>
          <w:color w:val="000000"/>
        </w:rPr>
        <w:t>ndice de precios aplicable a la</w:t>
      </w:r>
      <w:r w:rsidR="00185DDA">
        <w:rPr>
          <w:rFonts w:ascii="Bookman Old Style" w:hAnsi="Bookman Old Style" w:cs="Arial"/>
          <w:b w:val="0"/>
          <w:color w:val="000000"/>
        </w:rPr>
        <w:t>s</w:t>
      </w:r>
      <w:r w:rsidR="00185DDA" w:rsidRPr="00185DDA">
        <w:rPr>
          <w:rFonts w:ascii="Bookman Old Style" w:hAnsi="Bookman Old Style" w:cs="Arial"/>
          <w:b w:val="0"/>
          <w:color w:val="000000"/>
        </w:rPr>
        <w:t xml:space="preserve"> actividad</w:t>
      </w:r>
      <w:r w:rsidR="00185DDA">
        <w:rPr>
          <w:rFonts w:ascii="Bookman Old Style" w:hAnsi="Bookman Old Style" w:cs="Arial"/>
          <w:b w:val="0"/>
          <w:color w:val="000000"/>
        </w:rPr>
        <w:t>es de distribución y transmisió</w:t>
      </w:r>
      <w:r w:rsidR="00942DDF">
        <w:rPr>
          <w:rFonts w:ascii="Bookman Old Style" w:hAnsi="Bookman Old Style" w:cs="Arial"/>
          <w:b w:val="0"/>
          <w:color w:val="000000"/>
        </w:rPr>
        <w:t>n en el año t-1</w:t>
      </w:r>
      <w:r w:rsidR="0011662C">
        <w:rPr>
          <w:rFonts w:ascii="Bookman Old Style" w:hAnsi="Bookman Old Style" w:cs="Arial"/>
          <w:b w:val="0"/>
          <w:color w:val="000000"/>
        </w:rPr>
        <w:t>.</w:t>
      </w:r>
    </w:p>
    <w:p w14:paraId="6AA84B51" w14:textId="6B14AEBA" w:rsidR="000F27DB" w:rsidRDefault="00E30CBE" w:rsidP="000E29FB">
      <w:pPr>
        <w:pStyle w:val="Subttulo"/>
        <w:ind w:left="1843" w:hanging="1843"/>
        <w:rPr>
          <w:rFonts w:ascii="Bookman Old Style" w:hAnsi="Bookman Old Style" w:cs="Arial"/>
          <w:b w:val="0"/>
          <w:color w:val="000000"/>
        </w:rPr>
      </w:pPr>
      <w:r>
        <w:rPr>
          <w:rFonts w:ascii="Bookman Old Style" w:hAnsi="Bookman Old Style" w:cs="Arial"/>
          <w:b w:val="0"/>
          <w:i/>
          <w:color w:val="000000"/>
        </w:rPr>
        <w:t>D</w:t>
      </w:r>
      <w:r w:rsidR="001721CE">
        <w:rPr>
          <w:rFonts w:ascii="Bookman Old Style" w:hAnsi="Bookman Old Style" w:cs="Arial"/>
          <w:b w:val="0"/>
          <w:i/>
          <w:color w:val="000000"/>
        </w:rPr>
        <w:t>r1</w:t>
      </w:r>
      <w:r w:rsidR="006043A7">
        <w:rPr>
          <w:rFonts w:ascii="Bookman Old Style" w:hAnsi="Bookman Old Style" w:cs="Arial"/>
          <w:b w:val="0"/>
          <w:i/>
          <w:color w:val="000000"/>
          <w:vertAlign w:val="subscript"/>
        </w:rPr>
        <w:t>ecf</w:t>
      </w:r>
      <w:r w:rsidR="000F27DB" w:rsidRPr="008F06CC">
        <w:rPr>
          <w:rFonts w:ascii="Bookman Old Style" w:hAnsi="Bookman Old Style" w:cs="Arial"/>
          <w:b w:val="0"/>
          <w:color w:val="000000"/>
        </w:rPr>
        <w:tab/>
      </w:r>
      <w:r w:rsidR="006043A7">
        <w:rPr>
          <w:rFonts w:ascii="Bookman Old Style" w:hAnsi="Bookman Old Style" w:cs="Arial"/>
          <w:b w:val="0"/>
          <w:color w:val="000000"/>
        </w:rPr>
        <w:t xml:space="preserve">Diferencia </w:t>
      </w:r>
      <w:r w:rsidR="000F27DB">
        <w:rPr>
          <w:rFonts w:ascii="Bookman Old Style" w:hAnsi="Bookman Old Style" w:cs="Arial"/>
          <w:b w:val="0"/>
          <w:color w:val="000000"/>
        </w:rPr>
        <w:t xml:space="preserve">entre el </w:t>
      </w:r>
      <w:r w:rsidR="006043A7">
        <w:rPr>
          <w:rFonts w:ascii="Bookman Old Style" w:hAnsi="Bookman Old Style" w:cs="Arial"/>
          <w:b w:val="0"/>
          <w:color w:val="000000"/>
        </w:rPr>
        <w:t>día del</w:t>
      </w:r>
      <w:r w:rsidR="000F27DB">
        <w:rPr>
          <w:rFonts w:ascii="Bookman Old Style" w:hAnsi="Bookman Old Style" w:cs="Arial"/>
          <w:b w:val="0"/>
          <w:color w:val="000000"/>
        </w:rPr>
        <w:t xml:space="preserve"> recaudo a los usuarios regulados y el día de pago </w:t>
      </w:r>
      <w:r w:rsidR="009F0401">
        <w:rPr>
          <w:rFonts w:ascii="Bookman Old Style" w:hAnsi="Bookman Old Style" w:cs="Arial"/>
          <w:b w:val="0"/>
          <w:color w:val="000000"/>
        </w:rPr>
        <w:t xml:space="preserve">de los costos facturados por el ASIC y el LAC </w:t>
      </w:r>
      <w:r w:rsidR="00E327D5">
        <w:rPr>
          <w:rFonts w:ascii="Bookman Old Style" w:hAnsi="Bookman Old Style" w:cs="Arial"/>
          <w:b w:val="0"/>
          <w:color w:val="000000"/>
        </w:rPr>
        <w:t xml:space="preserve">por el consumo </w:t>
      </w:r>
      <w:r w:rsidR="000F27DB">
        <w:rPr>
          <w:rFonts w:ascii="Bookman Old Style" w:hAnsi="Bookman Old Style" w:cs="Arial"/>
          <w:b w:val="0"/>
          <w:color w:val="000000"/>
        </w:rPr>
        <w:t xml:space="preserve">en el mes </w:t>
      </w:r>
      <w:r w:rsidR="009F0401" w:rsidRPr="009F0401">
        <w:rPr>
          <w:rFonts w:ascii="Bookman Old Style" w:hAnsi="Bookman Old Style" w:cs="Arial"/>
          <w:b w:val="0"/>
          <w:i/>
          <w:iCs/>
          <w:color w:val="000000"/>
        </w:rPr>
        <w:t>m1</w:t>
      </w:r>
      <w:r w:rsidR="009F0401">
        <w:rPr>
          <w:rFonts w:ascii="Bookman Old Style" w:hAnsi="Bookman Old Style" w:cs="Arial"/>
          <w:b w:val="0"/>
          <w:color w:val="000000"/>
        </w:rPr>
        <w:t xml:space="preserve"> </w:t>
      </w:r>
      <w:r w:rsidR="000F27DB">
        <w:rPr>
          <w:rFonts w:ascii="Bookman Old Style" w:hAnsi="Bookman Old Style" w:cs="Arial"/>
          <w:b w:val="0"/>
          <w:color w:val="000000"/>
        </w:rPr>
        <w:t xml:space="preserve">en el escenario </w:t>
      </w:r>
      <w:proofErr w:type="spellStart"/>
      <w:r w:rsidR="000F27DB" w:rsidRPr="00BB2923">
        <w:rPr>
          <w:rFonts w:ascii="Bookman Old Style" w:hAnsi="Bookman Old Style" w:cs="Arial"/>
          <w:b w:val="0"/>
          <w:i/>
          <w:iCs/>
          <w:color w:val="000000"/>
        </w:rPr>
        <w:t>e</w:t>
      </w:r>
      <w:r w:rsidR="009F0401">
        <w:rPr>
          <w:rFonts w:ascii="Bookman Old Style" w:hAnsi="Bookman Old Style" w:cs="Arial"/>
          <w:b w:val="0"/>
          <w:i/>
          <w:iCs/>
          <w:color w:val="000000"/>
        </w:rPr>
        <w:t>cf</w:t>
      </w:r>
      <w:proofErr w:type="spellEnd"/>
      <w:r w:rsidR="000F27DB">
        <w:rPr>
          <w:rFonts w:ascii="Bookman Old Style" w:hAnsi="Bookman Old Style" w:cs="Arial"/>
          <w:b w:val="0"/>
          <w:color w:val="000000"/>
        </w:rPr>
        <w:t>.</w:t>
      </w:r>
    </w:p>
    <w:p w14:paraId="555E5BE2" w14:textId="2F04885F" w:rsidR="000F27DB" w:rsidRDefault="0016428A" w:rsidP="000E29FB">
      <w:pPr>
        <w:pStyle w:val="Subttulo"/>
        <w:ind w:left="1843" w:hanging="1843"/>
        <w:rPr>
          <w:rFonts w:ascii="Bookman Old Style" w:hAnsi="Bookman Old Style" w:cs="Arial"/>
          <w:b w:val="0"/>
          <w:color w:val="000000"/>
        </w:rPr>
      </w:pPr>
      <w:r w:rsidRPr="00F74261">
        <w:rPr>
          <w:rFonts w:ascii="Bookman Old Style" w:hAnsi="Bookman Old Style" w:cs="Arial"/>
          <w:b w:val="0"/>
          <w:i/>
          <w:color w:val="000000"/>
        </w:rPr>
        <w:t>TT1</w:t>
      </w:r>
      <w:proofErr w:type="gramStart"/>
      <w:r w:rsidR="00656247">
        <w:rPr>
          <w:rFonts w:ascii="Bookman Old Style" w:hAnsi="Bookman Old Style" w:cs="Arial"/>
          <w:b w:val="0"/>
          <w:i/>
          <w:color w:val="000000"/>
          <w:vertAlign w:val="subscript"/>
        </w:rPr>
        <w:t>t,e</w:t>
      </w:r>
      <w:r w:rsidR="006043A7">
        <w:rPr>
          <w:rFonts w:ascii="Bookman Old Style" w:hAnsi="Bookman Old Style" w:cs="Arial"/>
          <w:b w:val="0"/>
          <w:i/>
          <w:color w:val="000000"/>
          <w:vertAlign w:val="subscript"/>
        </w:rPr>
        <w:t>cf</w:t>
      </w:r>
      <w:proofErr w:type="gramEnd"/>
      <w:r w:rsidR="000F27DB" w:rsidRPr="008F06CC">
        <w:rPr>
          <w:rFonts w:ascii="Bookman Old Style" w:hAnsi="Bookman Old Style" w:cs="Arial"/>
          <w:b w:val="0"/>
          <w:color w:val="000000"/>
        </w:rPr>
        <w:tab/>
      </w:r>
      <w:r w:rsidR="000F27DB" w:rsidRPr="001C35A5">
        <w:rPr>
          <w:rFonts w:ascii="Bookman Old Style" w:hAnsi="Bookman Old Style" w:cs="Arial"/>
          <w:b w:val="0"/>
          <w:color w:val="000000"/>
        </w:rPr>
        <w:t xml:space="preserve">Costo de oportunidad </w:t>
      </w:r>
      <w:r w:rsidR="000F27DB">
        <w:rPr>
          <w:rFonts w:ascii="Bookman Old Style" w:hAnsi="Bookman Old Style" w:cs="Arial"/>
          <w:b w:val="0"/>
          <w:color w:val="000000"/>
        </w:rPr>
        <w:t>día</w:t>
      </w:r>
      <w:r w:rsidR="000F27DB" w:rsidRPr="001C35A5">
        <w:rPr>
          <w:rFonts w:ascii="Bookman Old Style" w:hAnsi="Bookman Old Style" w:cs="Arial"/>
          <w:b w:val="0"/>
          <w:color w:val="000000"/>
        </w:rPr>
        <w:t xml:space="preserve"> vencido</w:t>
      </w:r>
      <w:r w:rsidR="00081437">
        <w:rPr>
          <w:rFonts w:ascii="Bookman Old Style" w:hAnsi="Bookman Old Style" w:cs="Arial"/>
          <w:b w:val="0"/>
          <w:color w:val="000000"/>
        </w:rPr>
        <w:t xml:space="preserve"> correspondiente a</w:t>
      </w:r>
      <w:r w:rsidR="00892F71">
        <w:rPr>
          <w:rFonts w:ascii="Bookman Old Style" w:hAnsi="Bookman Old Style" w:cs="Arial"/>
          <w:b w:val="0"/>
          <w:color w:val="000000"/>
        </w:rPr>
        <w:t xml:space="preserve"> la variable </w:t>
      </w:r>
      <w:r w:rsidR="0043697A" w:rsidRPr="0043697A">
        <w:rPr>
          <w:rFonts w:ascii="Cambria Math" w:eastAsia="Cambria Math" w:hAnsi="Cambria Math" w:cs="Cambria Math"/>
          <w:b w:val="0"/>
          <w:i/>
          <w:iCs/>
          <w:color w:val="000000"/>
        </w:rPr>
        <w:t>dr1</w:t>
      </w:r>
      <w:r w:rsidR="0043697A" w:rsidRPr="0043697A">
        <w:rPr>
          <w:rFonts w:ascii="Bookman Old Style" w:hAnsi="Bookman Old Style" w:cs="Arial"/>
          <w:b w:val="0"/>
          <w:i/>
          <w:iCs/>
          <w:color w:val="000000"/>
          <w:vertAlign w:val="subscript"/>
        </w:rPr>
        <w:t>ecf</w:t>
      </w:r>
      <w:r w:rsidR="000F27DB" w:rsidRPr="001C35A5">
        <w:rPr>
          <w:rFonts w:ascii="Bookman Old Style" w:hAnsi="Bookman Old Style" w:cs="Arial"/>
          <w:b w:val="0"/>
          <w:color w:val="000000"/>
        </w:rPr>
        <w:t>, calculado como el promedio</w:t>
      </w:r>
      <w:r w:rsidR="000F27DB">
        <w:rPr>
          <w:rFonts w:ascii="Bookman Old Style" w:hAnsi="Bookman Old Style" w:cs="Arial"/>
          <w:b w:val="0"/>
          <w:color w:val="000000"/>
        </w:rPr>
        <w:t xml:space="preserve"> </w:t>
      </w:r>
      <w:r w:rsidR="000F27DB" w:rsidRPr="001C35A5">
        <w:rPr>
          <w:rFonts w:ascii="Bookman Old Style" w:hAnsi="Bookman Old Style" w:cs="Arial"/>
          <w:b w:val="0"/>
          <w:color w:val="000000"/>
        </w:rPr>
        <w:t>de las</w:t>
      </w:r>
      <w:r w:rsidR="000F27DB">
        <w:rPr>
          <w:rFonts w:ascii="Bookman Old Style" w:hAnsi="Bookman Old Style" w:cs="Arial"/>
          <w:b w:val="0"/>
          <w:color w:val="000000"/>
        </w:rPr>
        <w:t xml:space="preserve"> t</w:t>
      </w:r>
      <w:r w:rsidR="000F27DB" w:rsidRPr="00211ABC">
        <w:rPr>
          <w:rFonts w:ascii="Bookman Old Style" w:hAnsi="Bookman Old Style" w:cs="Arial"/>
          <w:b w:val="0"/>
          <w:color w:val="000000"/>
        </w:rPr>
        <w:t>asas de captación</w:t>
      </w:r>
      <w:r w:rsidR="000F27DB">
        <w:rPr>
          <w:rFonts w:ascii="Bookman Old Style" w:hAnsi="Bookman Old Style" w:cs="Arial"/>
          <w:b w:val="0"/>
          <w:color w:val="000000"/>
        </w:rPr>
        <w:t xml:space="preserve"> o </w:t>
      </w:r>
      <w:r w:rsidR="00933532">
        <w:rPr>
          <w:rFonts w:ascii="Bookman Old Style" w:hAnsi="Bookman Old Style" w:cs="Arial"/>
          <w:b w:val="0"/>
          <w:color w:val="000000"/>
        </w:rPr>
        <w:t>colocación</w:t>
      </w:r>
      <w:r w:rsidR="000F27DB">
        <w:rPr>
          <w:rFonts w:ascii="Bookman Old Style" w:hAnsi="Bookman Old Style" w:cs="Arial"/>
          <w:b w:val="0"/>
          <w:color w:val="000000"/>
        </w:rPr>
        <w:t xml:space="preserve"> </w:t>
      </w:r>
      <w:r w:rsidR="000F27DB" w:rsidRPr="001C35A5">
        <w:rPr>
          <w:rFonts w:ascii="Bookman Old Style" w:hAnsi="Bookman Old Style" w:cs="Arial"/>
          <w:b w:val="0"/>
          <w:color w:val="000000"/>
        </w:rPr>
        <w:t>publicada</w:t>
      </w:r>
      <w:r w:rsidR="000F27DB">
        <w:rPr>
          <w:rFonts w:ascii="Bookman Old Style" w:hAnsi="Bookman Old Style" w:cs="Arial"/>
          <w:b w:val="0"/>
          <w:color w:val="000000"/>
        </w:rPr>
        <w:t>s</w:t>
      </w:r>
      <w:r w:rsidR="000F27DB" w:rsidRPr="001C35A5">
        <w:rPr>
          <w:rFonts w:ascii="Bookman Old Style" w:hAnsi="Bookman Old Style" w:cs="Arial"/>
          <w:b w:val="0"/>
          <w:color w:val="000000"/>
        </w:rPr>
        <w:t xml:space="preserve"> por el Banco de la República de acuerdo con el formato </w:t>
      </w:r>
      <w:r w:rsidR="00EC09EA">
        <w:rPr>
          <w:rFonts w:ascii="Bookman Old Style" w:hAnsi="Bookman Old Style" w:cs="Arial"/>
          <w:b w:val="0"/>
          <w:color w:val="000000"/>
        </w:rPr>
        <w:t>4</w:t>
      </w:r>
      <w:r w:rsidR="0005113A">
        <w:rPr>
          <w:rFonts w:ascii="Bookman Old Style" w:hAnsi="Bookman Old Style" w:cs="Arial"/>
          <w:b w:val="0"/>
          <w:color w:val="000000"/>
        </w:rPr>
        <w:t>41</w:t>
      </w:r>
      <w:r w:rsidR="000F27DB" w:rsidRPr="001C35A5">
        <w:rPr>
          <w:rFonts w:ascii="Bookman Old Style" w:hAnsi="Bookman Old Style" w:cs="Arial"/>
          <w:b w:val="0"/>
          <w:color w:val="000000"/>
        </w:rPr>
        <w:t xml:space="preserve"> de la Superintendencia Financiera de Colombia vigentes </w:t>
      </w:r>
      <w:r w:rsidR="000F27DB">
        <w:rPr>
          <w:rFonts w:ascii="Bookman Old Style" w:hAnsi="Bookman Old Style" w:cs="Arial"/>
          <w:b w:val="0"/>
          <w:color w:val="000000"/>
        </w:rPr>
        <w:t>en el año t-1</w:t>
      </w:r>
      <w:r w:rsidR="00081437">
        <w:rPr>
          <w:rFonts w:ascii="Bookman Old Style" w:hAnsi="Bookman Old Style" w:cs="Arial"/>
          <w:b w:val="0"/>
          <w:color w:val="000000"/>
        </w:rPr>
        <w:t>.</w:t>
      </w:r>
      <w:r w:rsidR="000F27DB">
        <w:rPr>
          <w:rFonts w:ascii="Bookman Old Style" w:hAnsi="Bookman Old Style" w:cs="Arial"/>
          <w:b w:val="0"/>
          <w:color w:val="000000"/>
        </w:rPr>
        <w:t xml:space="preserve"> </w:t>
      </w:r>
      <w:r w:rsidR="00640370">
        <w:rPr>
          <w:rFonts w:ascii="Bookman Old Style" w:hAnsi="Bookman Old Style" w:cs="Arial"/>
          <w:b w:val="0"/>
          <w:color w:val="000000"/>
        </w:rPr>
        <w:t>En el caso</w:t>
      </w:r>
      <w:r w:rsidR="000F27DB">
        <w:rPr>
          <w:rFonts w:ascii="Bookman Old Style" w:hAnsi="Bookman Old Style" w:cs="Arial"/>
          <w:b w:val="0"/>
          <w:color w:val="000000"/>
        </w:rPr>
        <w:t xml:space="preserve"> de </w:t>
      </w:r>
      <w:r w:rsidR="00640370">
        <w:rPr>
          <w:rFonts w:ascii="Bookman Old Style" w:hAnsi="Bookman Old Style" w:cs="Arial"/>
          <w:b w:val="0"/>
          <w:color w:val="000000"/>
        </w:rPr>
        <w:t>las tasas de</w:t>
      </w:r>
      <w:r w:rsidR="007D641A">
        <w:rPr>
          <w:rFonts w:ascii="Bookman Old Style" w:hAnsi="Bookman Old Style" w:cs="Arial"/>
          <w:b w:val="0"/>
          <w:color w:val="000000"/>
        </w:rPr>
        <w:t xml:space="preserve"> captación </w:t>
      </w:r>
      <w:r w:rsidR="00640370">
        <w:rPr>
          <w:rFonts w:ascii="Bookman Old Style" w:hAnsi="Bookman Old Style" w:cs="Arial"/>
          <w:b w:val="0"/>
          <w:color w:val="000000"/>
        </w:rPr>
        <w:t xml:space="preserve">se utilizan las </w:t>
      </w:r>
      <w:r w:rsidR="00F238F7" w:rsidRPr="00F238F7">
        <w:rPr>
          <w:rFonts w:ascii="Bookman Old Style" w:hAnsi="Bookman Old Style" w:cs="Arial"/>
          <w:b w:val="0"/>
          <w:color w:val="000000"/>
        </w:rPr>
        <w:t xml:space="preserve">Tasas de captación diarias </w:t>
      </w:r>
      <w:r w:rsidR="00760A68">
        <w:rPr>
          <w:rFonts w:ascii="Bookman Old Style" w:hAnsi="Bookman Old Style" w:cs="Arial"/>
          <w:b w:val="0"/>
          <w:color w:val="000000"/>
        </w:rPr>
        <w:t>–</w:t>
      </w:r>
      <w:r w:rsidR="00F238F7" w:rsidRPr="00F238F7">
        <w:rPr>
          <w:rFonts w:ascii="Bookman Old Style" w:hAnsi="Bookman Old Style" w:cs="Arial"/>
          <w:b w:val="0"/>
          <w:color w:val="000000"/>
        </w:rPr>
        <w:t xml:space="preserve"> CDT</w:t>
      </w:r>
      <w:r w:rsidR="000F27DB">
        <w:rPr>
          <w:rFonts w:ascii="Bookman Old Style" w:hAnsi="Bookman Old Style" w:cs="Arial"/>
          <w:b w:val="0"/>
          <w:color w:val="000000"/>
        </w:rPr>
        <w:t xml:space="preserve"> y </w:t>
      </w:r>
      <w:r w:rsidR="00F238F7" w:rsidRPr="00F238F7">
        <w:rPr>
          <w:rFonts w:ascii="Bookman Old Style" w:hAnsi="Bookman Old Style" w:cs="Arial"/>
          <w:b w:val="0"/>
          <w:color w:val="000000"/>
        </w:rPr>
        <w:t>CDAT</w:t>
      </w:r>
      <w:r w:rsidR="00F238F7" w:rsidRPr="00F238F7">
        <w:rPr>
          <w:rFonts w:ascii="Bookman Old Style" w:hAnsi="Bookman Old Style" w:cs="Arial"/>
          <w:b w:val="0"/>
          <w:color w:val="000000"/>
        </w:rPr>
        <w:tab/>
      </w:r>
      <w:r w:rsidR="00BE31D9">
        <w:rPr>
          <w:rFonts w:ascii="Bookman Old Style" w:hAnsi="Bookman Old Style" w:cs="Arial"/>
          <w:b w:val="0"/>
          <w:color w:val="000000"/>
        </w:rPr>
        <w:t xml:space="preserve"> para </w:t>
      </w:r>
      <w:r w:rsidR="000F27DB">
        <w:rPr>
          <w:rFonts w:ascii="Bookman Old Style" w:hAnsi="Bookman Old Style" w:cs="Arial"/>
          <w:b w:val="0"/>
          <w:color w:val="000000"/>
        </w:rPr>
        <w:t xml:space="preserve">el </w:t>
      </w:r>
      <w:r w:rsidR="00BE31D9">
        <w:rPr>
          <w:rFonts w:ascii="Bookman Old Style" w:hAnsi="Bookman Old Style" w:cs="Arial"/>
          <w:b w:val="0"/>
          <w:color w:val="000000"/>
        </w:rPr>
        <w:t xml:space="preserve">total de establecimientos </w:t>
      </w:r>
      <w:r w:rsidR="004327F1">
        <w:rPr>
          <w:rFonts w:ascii="Bookman Old Style" w:hAnsi="Bookman Old Style" w:cs="Arial"/>
          <w:b w:val="0"/>
          <w:color w:val="000000"/>
        </w:rPr>
        <w:t xml:space="preserve">numeral </w:t>
      </w:r>
      <w:r w:rsidR="00F238F7" w:rsidRPr="00F238F7">
        <w:rPr>
          <w:rFonts w:ascii="Bookman Old Style" w:hAnsi="Bookman Old Style" w:cs="Arial"/>
          <w:b w:val="0"/>
          <w:color w:val="000000"/>
        </w:rPr>
        <w:t>1.2.1.1.2.</w:t>
      </w:r>
      <w:r w:rsidR="00760A68">
        <w:rPr>
          <w:rFonts w:ascii="Bookman Old Style" w:hAnsi="Bookman Old Style" w:cs="Arial"/>
          <w:b w:val="0"/>
          <w:color w:val="000000"/>
        </w:rPr>
        <w:t xml:space="preserve"> Para las tasas de colocación se utiliza</w:t>
      </w:r>
      <w:r w:rsidR="00594DDA">
        <w:rPr>
          <w:rFonts w:ascii="Bookman Old Style" w:hAnsi="Bookman Old Style" w:cs="Arial"/>
          <w:b w:val="0"/>
          <w:color w:val="000000"/>
        </w:rPr>
        <w:t>n las</w:t>
      </w:r>
      <w:r w:rsidR="00760A68">
        <w:rPr>
          <w:rFonts w:ascii="Bookman Old Style" w:hAnsi="Bookman Old Style" w:cs="Arial"/>
          <w:b w:val="0"/>
          <w:color w:val="000000"/>
        </w:rPr>
        <w:t xml:space="preserve"> </w:t>
      </w:r>
      <w:r w:rsidR="00760A68" w:rsidRPr="00760A68">
        <w:rPr>
          <w:rFonts w:ascii="Bookman Old Style" w:hAnsi="Bookman Old Style" w:cs="Arial"/>
          <w:b w:val="0"/>
          <w:color w:val="000000"/>
        </w:rPr>
        <w:t>Tasas de colocación</w:t>
      </w:r>
      <w:r w:rsidR="000F27DB">
        <w:rPr>
          <w:rFonts w:ascii="Bookman Old Style" w:hAnsi="Bookman Old Style" w:cs="Arial"/>
          <w:b w:val="0"/>
          <w:color w:val="000000"/>
        </w:rPr>
        <w:t xml:space="preserve"> por </w:t>
      </w:r>
      <w:r w:rsidR="00760A68" w:rsidRPr="00760A68">
        <w:rPr>
          <w:rFonts w:ascii="Bookman Old Style" w:hAnsi="Bookman Old Style" w:cs="Arial"/>
          <w:b w:val="0"/>
          <w:color w:val="000000"/>
        </w:rPr>
        <w:t xml:space="preserve">modalidad de </w:t>
      </w:r>
      <w:r w:rsidR="00104602">
        <w:rPr>
          <w:rFonts w:ascii="Bookman Old Style" w:hAnsi="Bookman Old Style" w:cs="Arial"/>
          <w:b w:val="0"/>
          <w:color w:val="000000"/>
        </w:rPr>
        <w:t>c</w:t>
      </w:r>
      <w:r w:rsidR="00104602" w:rsidRPr="00104602">
        <w:rPr>
          <w:rFonts w:ascii="Bookman Old Style" w:hAnsi="Bookman Old Style" w:cs="Arial"/>
          <w:b w:val="0"/>
          <w:color w:val="000000"/>
        </w:rPr>
        <w:t xml:space="preserve">réditos </w:t>
      </w:r>
      <w:r w:rsidR="00104602">
        <w:rPr>
          <w:rFonts w:ascii="Bookman Old Style" w:hAnsi="Bookman Old Style" w:cs="Arial"/>
          <w:b w:val="0"/>
          <w:color w:val="000000"/>
        </w:rPr>
        <w:t>c</w:t>
      </w:r>
      <w:r w:rsidR="00104602" w:rsidRPr="00104602">
        <w:rPr>
          <w:rFonts w:ascii="Bookman Old Style" w:hAnsi="Bookman Old Style" w:cs="Arial"/>
          <w:b w:val="0"/>
          <w:color w:val="000000"/>
        </w:rPr>
        <w:t>omerciales (Tesorería)</w:t>
      </w:r>
      <w:r w:rsidR="00594DDA">
        <w:rPr>
          <w:rFonts w:ascii="Bookman Old Style" w:hAnsi="Bookman Old Style" w:cs="Arial"/>
          <w:b w:val="0"/>
          <w:color w:val="000000"/>
        </w:rPr>
        <w:t xml:space="preserve"> para </w:t>
      </w:r>
      <w:r w:rsidR="000F27DB">
        <w:rPr>
          <w:rFonts w:ascii="Bookman Old Style" w:hAnsi="Bookman Old Style" w:cs="Arial"/>
          <w:b w:val="0"/>
          <w:color w:val="000000"/>
        </w:rPr>
        <w:t xml:space="preserve">el </w:t>
      </w:r>
      <w:r w:rsidR="00594DDA">
        <w:rPr>
          <w:rFonts w:ascii="Bookman Old Style" w:hAnsi="Bookman Old Style" w:cs="Arial"/>
          <w:b w:val="0"/>
          <w:color w:val="000000"/>
        </w:rPr>
        <w:t xml:space="preserve">total de </w:t>
      </w:r>
      <w:r w:rsidR="00594DDA">
        <w:rPr>
          <w:rFonts w:ascii="Bookman Old Style" w:hAnsi="Bookman Old Style" w:cs="Arial"/>
          <w:b w:val="0"/>
          <w:color w:val="000000"/>
        </w:rPr>
        <w:lastRenderedPageBreak/>
        <w:t>establecimientos</w:t>
      </w:r>
      <w:r w:rsidR="000F27DB">
        <w:rPr>
          <w:rFonts w:ascii="Bookman Old Style" w:hAnsi="Bookman Old Style" w:cs="Arial"/>
          <w:b w:val="0"/>
          <w:color w:val="000000"/>
        </w:rPr>
        <w:t xml:space="preserve"> en el </w:t>
      </w:r>
      <w:r w:rsidR="00594DDA">
        <w:rPr>
          <w:rFonts w:ascii="Bookman Old Style" w:hAnsi="Bookman Old Style" w:cs="Arial"/>
          <w:b w:val="0"/>
          <w:color w:val="000000"/>
        </w:rPr>
        <w:t>numeral</w:t>
      </w:r>
      <w:r w:rsidR="00F238F7" w:rsidRPr="00F238F7">
        <w:rPr>
          <w:rFonts w:ascii="Bookman Old Style" w:hAnsi="Bookman Old Style" w:cs="Arial"/>
          <w:b w:val="0"/>
          <w:color w:val="000000"/>
        </w:rPr>
        <w:t xml:space="preserve"> </w:t>
      </w:r>
      <w:r w:rsidR="00594DDA" w:rsidRPr="00594DDA">
        <w:rPr>
          <w:rFonts w:ascii="Bookman Old Style" w:hAnsi="Bookman Old Style" w:cs="Arial"/>
          <w:b w:val="0"/>
          <w:color w:val="000000"/>
        </w:rPr>
        <w:t xml:space="preserve">1.2.2. Histórico para un tipo de </w:t>
      </w:r>
      <w:proofErr w:type="spellStart"/>
      <w:r w:rsidR="00594DDA" w:rsidRPr="00594DDA">
        <w:rPr>
          <w:rFonts w:ascii="Bookman Old Style" w:hAnsi="Bookman Old Style" w:cs="Arial"/>
          <w:b w:val="0"/>
          <w:color w:val="000000"/>
        </w:rPr>
        <w:t>cuenta_periodicidad</w:t>
      </w:r>
      <w:proofErr w:type="spellEnd"/>
      <w:r w:rsidR="00594DDA" w:rsidRPr="00594DDA">
        <w:rPr>
          <w:rFonts w:ascii="Bookman Old Style" w:hAnsi="Bookman Old Style" w:cs="Arial"/>
          <w:b w:val="0"/>
          <w:color w:val="000000"/>
        </w:rPr>
        <w:t xml:space="preserve"> semanal</w:t>
      </w:r>
      <w:r w:rsidR="000F27DB">
        <w:rPr>
          <w:rFonts w:ascii="Bookman Old Style" w:hAnsi="Bookman Old Style" w:cs="Arial"/>
          <w:b w:val="0"/>
          <w:color w:val="000000"/>
        </w:rPr>
        <w:t>.</w:t>
      </w:r>
    </w:p>
    <w:tbl>
      <w:tblPr>
        <w:tblStyle w:val="Tablaconcuadrcula"/>
        <w:tblW w:w="5035" w:type="dxa"/>
        <w:jc w:val="center"/>
        <w:tblLook w:val="0600" w:firstRow="0" w:lastRow="0" w:firstColumn="0" w:lastColumn="0" w:noHBand="1" w:noVBand="1"/>
      </w:tblPr>
      <w:tblGrid>
        <w:gridCol w:w="2332"/>
        <w:gridCol w:w="3028"/>
      </w:tblGrid>
      <w:tr w:rsidR="000F27DB" w:rsidRPr="000E29FB" w14:paraId="6BF1BE7E" w14:textId="77777777" w:rsidTr="00507464">
        <w:trPr>
          <w:trHeight w:val="290"/>
          <w:jc w:val="center"/>
        </w:trPr>
        <w:tc>
          <w:tcPr>
            <w:tcW w:w="2332" w:type="dxa"/>
            <w:hideMark/>
          </w:tcPr>
          <w:p w14:paraId="1FF7D7CD" w14:textId="581CD702" w:rsidR="000F27DB" w:rsidRPr="006A4D66" w:rsidRDefault="00DA1A31" w:rsidP="000E29FB">
            <w:pPr>
              <w:pStyle w:val="Subttulo"/>
              <w:spacing w:before="0" w:after="0"/>
              <w:jc w:val="center"/>
              <w:rPr>
                <w:rFonts w:ascii="Bookman Old Style" w:hAnsi="Bookman Old Style" w:cs="Arial"/>
                <w:bCs w:val="0"/>
                <w:color w:val="000000"/>
                <w:sz w:val="22"/>
                <w:szCs w:val="22"/>
              </w:rPr>
            </w:pPr>
            <w:r w:rsidRPr="006A4D66">
              <w:rPr>
                <w:rFonts w:ascii="Bookman Old Style" w:hAnsi="Bookman Old Style" w:cs="Arial"/>
                <w:bCs w:val="0"/>
                <w:color w:val="000000"/>
                <w:sz w:val="22"/>
                <w:szCs w:val="22"/>
              </w:rPr>
              <w:t>Valor</w:t>
            </w:r>
            <w:r w:rsidR="000F27DB" w:rsidRPr="006A4D66">
              <w:rPr>
                <w:rFonts w:ascii="Bookman Old Style" w:hAnsi="Bookman Old Style" w:cs="Arial"/>
                <w:bCs w:val="0"/>
                <w:color w:val="000000"/>
                <w:sz w:val="22"/>
                <w:szCs w:val="22"/>
              </w:rPr>
              <w:t xml:space="preserve"> de </w:t>
            </w:r>
            <w:r w:rsidRPr="006A4D66">
              <w:rPr>
                <w:rFonts w:ascii="Bookman Old Style" w:hAnsi="Bookman Old Style" w:cs="Arial"/>
                <w:bCs w:val="0"/>
                <w:color w:val="000000"/>
                <w:sz w:val="22"/>
                <w:szCs w:val="22"/>
              </w:rPr>
              <w:t>la variable</w:t>
            </w:r>
            <w:r w:rsidR="000F27DB" w:rsidRPr="006A4D66">
              <w:rPr>
                <w:rFonts w:ascii="Bookman Old Style" w:hAnsi="Bookman Old Style" w:cs="Arial"/>
                <w:bCs w:val="0"/>
                <w:color w:val="000000"/>
                <w:sz w:val="22"/>
                <w:szCs w:val="22"/>
              </w:rPr>
              <w:t xml:space="preserve"> </w:t>
            </w:r>
            <w:r w:rsidR="00656247" w:rsidRPr="00656247">
              <w:rPr>
                <w:rFonts w:ascii="Bookman Old Style" w:hAnsi="Bookman Old Style" w:cs="Arial"/>
                <w:bCs w:val="0"/>
                <w:i/>
                <w:iCs/>
                <w:color w:val="000000"/>
                <w:sz w:val="22"/>
                <w:szCs w:val="22"/>
              </w:rPr>
              <w:t>dr1</w:t>
            </w:r>
            <w:r w:rsidR="00656247" w:rsidRPr="00656247">
              <w:rPr>
                <w:rFonts w:ascii="Bookman Old Style" w:hAnsi="Bookman Old Style" w:cs="Arial"/>
                <w:bCs w:val="0"/>
                <w:i/>
                <w:iCs/>
                <w:color w:val="000000"/>
                <w:sz w:val="22"/>
                <w:szCs w:val="22"/>
                <w:vertAlign w:val="subscript"/>
              </w:rPr>
              <w:t>ecf</w:t>
            </w:r>
            <w:r w:rsidR="000F27DB" w:rsidRPr="006A4D66">
              <w:rPr>
                <w:rFonts w:ascii="Bookman Old Style" w:hAnsi="Bookman Old Style" w:cs="Arial"/>
                <w:bCs w:val="0"/>
                <w:color w:val="000000"/>
                <w:sz w:val="22"/>
                <w:szCs w:val="22"/>
              </w:rPr>
              <w:t xml:space="preserve"> </w:t>
            </w:r>
          </w:p>
        </w:tc>
        <w:tc>
          <w:tcPr>
            <w:tcW w:w="2703" w:type="dxa"/>
            <w:hideMark/>
          </w:tcPr>
          <w:p w14:paraId="021EA021" w14:textId="55EDC927" w:rsidR="000F27DB" w:rsidRPr="006A4D66" w:rsidRDefault="000F27DB" w:rsidP="003F25F2">
            <w:pPr>
              <w:pStyle w:val="Subttulo"/>
              <w:spacing w:before="0" w:after="0"/>
              <w:ind w:left="1843" w:hanging="1843"/>
              <w:jc w:val="center"/>
              <w:rPr>
                <w:rFonts w:ascii="Bookman Old Style" w:hAnsi="Bookman Old Style" w:cs="Arial"/>
                <w:bCs w:val="0"/>
                <w:color w:val="000000"/>
                <w:sz w:val="22"/>
                <w:szCs w:val="22"/>
              </w:rPr>
            </w:pPr>
            <w:r w:rsidRPr="006A4D66">
              <w:rPr>
                <w:rFonts w:ascii="Bookman Old Style" w:hAnsi="Bookman Old Style" w:cs="Arial"/>
                <w:bCs w:val="0"/>
                <w:color w:val="000000"/>
                <w:sz w:val="22"/>
                <w:szCs w:val="22"/>
              </w:rPr>
              <w:t xml:space="preserve">Tipo de Tasa </w:t>
            </w:r>
            <w:r w:rsidR="00656247" w:rsidRPr="00656247">
              <w:rPr>
                <w:rFonts w:ascii="Bookman Old Style" w:hAnsi="Bookman Old Style" w:cs="Arial"/>
                <w:bCs w:val="0"/>
                <w:i/>
                <w:iCs/>
                <w:color w:val="000000"/>
                <w:sz w:val="22"/>
                <w:szCs w:val="22"/>
              </w:rPr>
              <w:t>TT1</w:t>
            </w:r>
            <w:proofErr w:type="gramStart"/>
            <w:r w:rsidR="00656247" w:rsidRPr="00656247">
              <w:rPr>
                <w:rFonts w:ascii="Bookman Old Style" w:hAnsi="Bookman Old Style" w:cs="Arial"/>
                <w:bCs w:val="0"/>
                <w:i/>
                <w:iCs/>
                <w:color w:val="000000"/>
                <w:sz w:val="22"/>
                <w:szCs w:val="22"/>
              </w:rPr>
              <w:t>t,ecf</w:t>
            </w:r>
            <w:proofErr w:type="gramEnd"/>
          </w:p>
        </w:tc>
      </w:tr>
      <w:tr w:rsidR="000F27DB" w:rsidRPr="000E29FB" w14:paraId="79F9645C" w14:textId="77777777" w:rsidTr="00507464">
        <w:trPr>
          <w:trHeight w:val="290"/>
          <w:jc w:val="center"/>
        </w:trPr>
        <w:tc>
          <w:tcPr>
            <w:tcW w:w="2332" w:type="dxa"/>
            <w:hideMark/>
          </w:tcPr>
          <w:p w14:paraId="3425E3EF"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1 a 14</w:t>
            </w:r>
          </w:p>
        </w:tc>
        <w:tc>
          <w:tcPr>
            <w:tcW w:w="2703" w:type="dxa"/>
            <w:hideMark/>
          </w:tcPr>
          <w:p w14:paraId="2CA6117B"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2 -14 días</w:t>
            </w:r>
          </w:p>
        </w:tc>
      </w:tr>
      <w:tr w:rsidR="000F27DB" w:rsidRPr="000E29FB" w14:paraId="4E0E58BB" w14:textId="77777777" w:rsidTr="00507464">
        <w:trPr>
          <w:trHeight w:val="290"/>
          <w:jc w:val="center"/>
        </w:trPr>
        <w:tc>
          <w:tcPr>
            <w:tcW w:w="2332" w:type="dxa"/>
            <w:hideMark/>
          </w:tcPr>
          <w:p w14:paraId="6F8C24F7"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15 a 29</w:t>
            </w:r>
          </w:p>
        </w:tc>
        <w:tc>
          <w:tcPr>
            <w:tcW w:w="2703" w:type="dxa"/>
            <w:hideMark/>
          </w:tcPr>
          <w:p w14:paraId="6E730832"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15-29 días</w:t>
            </w:r>
          </w:p>
        </w:tc>
      </w:tr>
      <w:tr w:rsidR="000F27DB" w:rsidRPr="000E29FB" w14:paraId="79EE106C" w14:textId="77777777" w:rsidTr="00507464">
        <w:trPr>
          <w:trHeight w:val="290"/>
          <w:jc w:val="center"/>
        </w:trPr>
        <w:tc>
          <w:tcPr>
            <w:tcW w:w="2332" w:type="dxa"/>
            <w:hideMark/>
          </w:tcPr>
          <w:p w14:paraId="176ECD6F"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30</w:t>
            </w:r>
          </w:p>
        </w:tc>
        <w:tc>
          <w:tcPr>
            <w:tcW w:w="2703" w:type="dxa"/>
            <w:hideMark/>
          </w:tcPr>
          <w:p w14:paraId="10CBEA74"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a 30 días</w:t>
            </w:r>
          </w:p>
        </w:tc>
      </w:tr>
      <w:tr w:rsidR="000F27DB" w:rsidRPr="000E29FB" w14:paraId="5CE8CDF6" w14:textId="77777777" w:rsidTr="00507464">
        <w:trPr>
          <w:trHeight w:val="290"/>
          <w:jc w:val="center"/>
        </w:trPr>
        <w:tc>
          <w:tcPr>
            <w:tcW w:w="2332" w:type="dxa"/>
            <w:hideMark/>
          </w:tcPr>
          <w:p w14:paraId="3CF8E67C"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31 a 90</w:t>
            </w:r>
          </w:p>
        </w:tc>
        <w:tc>
          <w:tcPr>
            <w:tcW w:w="2703" w:type="dxa"/>
            <w:hideMark/>
          </w:tcPr>
          <w:p w14:paraId="33AF0893"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31-90 días</w:t>
            </w:r>
          </w:p>
        </w:tc>
      </w:tr>
      <w:tr w:rsidR="000F27DB" w:rsidRPr="000E29FB" w14:paraId="19D35697" w14:textId="77777777" w:rsidTr="00507464">
        <w:trPr>
          <w:trHeight w:val="290"/>
          <w:jc w:val="center"/>
        </w:trPr>
        <w:tc>
          <w:tcPr>
            <w:tcW w:w="2332" w:type="dxa"/>
            <w:hideMark/>
          </w:tcPr>
          <w:p w14:paraId="6A32390C"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-1 a -5</w:t>
            </w:r>
          </w:p>
        </w:tc>
        <w:tc>
          <w:tcPr>
            <w:tcW w:w="2703" w:type="dxa"/>
            <w:hideMark/>
          </w:tcPr>
          <w:p w14:paraId="23C363AB"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Tesorería 1-5 días</w:t>
            </w:r>
          </w:p>
        </w:tc>
      </w:tr>
      <w:tr w:rsidR="000F27DB" w:rsidRPr="000E29FB" w14:paraId="21625909" w14:textId="77777777" w:rsidTr="00507464">
        <w:trPr>
          <w:trHeight w:val="290"/>
          <w:jc w:val="center"/>
        </w:trPr>
        <w:tc>
          <w:tcPr>
            <w:tcW w:w="2332" w:type="dxa"/>
            <w:hideMark/>
          </w:tcPr>
          <w:p w14:paraId="5BAD8C8F"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-6 a -14</w:t>
            </w:r>
          </w:p>
        </w:tc>
        <w:tc>
          <w:tcPr>
            <w:tcW w:w="2703" w:type="dxa"/>
            <w:hideMark/>
          </w:tcPr>
          <w:p w14:paraId="2BF64283"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Tesorería 6-14 días</w:t>
            </w:r>
          </w:p>
        </w:tc>
      </w:tr>
      <w:tr w:rsidR="000F27DB" w:rsidRPr="000E29FB" w14:paraId="7886B9E6" w14:textId="77777777" w:rsidTr="00507464">
        <w:trPr>
          <w:trHeight w:val="300"/>
          <w:jc w:val="center"/>
        </w:trPr>
        <w:tc>
          <w:tcPr>
            <w:tcW w:w="2332" w:type="dxa"/>
            <w:hideMark/>
          </w:tcPr>
          <w:p w14:paraId="54FE5FA5" w14:textId="233B2D96"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 xml:space="preserve">-15 a </w:t>
            </w:r>
            <w:r w:rsidR="00E30CBE">
              <w:rPr>
                <w:rFonts w:ascii="Bookman Old Style" w:hAnsi="Bookman Old Style" w:cs="Arial"/>
                <w:b w:val="0"/>
                <w:color w:val="000000"/>
                <w:sz w:val="22"/>
                <w:szCs w:val="22"/>
              </w:rPr>
              <w:t>–</w:t>
            </w:r>
            <w:r w:rsidRPr="006A4D66">
              <w:rPr>
                <w:rFonts w:ascii="Bookman Old Style" w:hAnsi="Bookman Old Style" w:cs="Arial"/>
                <w:b w:val="0"/>
                <w:color w:val="000000"/>
                <w:sz w:val="22"/>
                <w:szCs w:val="22"/>
              </w:rPr>
              <w:t xml:space="preserve"> 30</w:t>
            </w:r>
          </w:p>
        </w:tc>
        <w:tc>
          <w:tcPr>
            <w:tcW w:w="2703" w:type="dxa"/>
            <w:hideMark/>
          </w:tcPr>
          <w:p w14:paraId="3DA831AE" w14:textId="77777777" w:rsidR="000F27DB" w:rsidRPr="006A4D66" w:rsidRDefault="000F27DB" w:rsidP="003F25F2">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Tesorería 15-30 días</w:t>
            </w:r>
          </w:p>
        </w:tc>
      </w:tr>
    </w:tbl>
    <w:p w14:paraId="54C0CDF6" w14:textId="77AA12BC" w:rsidR="006C63AA" w:rsidRDefault="006C63AA" w:rsidP="000E29FB">
      <w:pPr>
        <w:ind w:left="1809"/>
        <w:rPr>
          <w:color w:val="000000"/>
        </w:rPr>
      </w:pPr>
      <w:r w:rsidRPr="00304CAC">
        <w:rPr>
          <w:color w:val="000000"/>
        </w:rPr>
        <w:t xml:space="preserve">La tasa efectiva anual publicada deberá </w:t>
      </w:r>
      <w:r>
        <w:rPr>
          <w:color w:val="000000"/>
        </w:rPr>
        <w:t xml:space="preserve">actualizarse </w:t>
      </w:r>
      <w:r w:rsidRPr="00304CAC">
        <w:rPr>
          <w:color w:val="000000"/>
        </w:rPr>
        <w:t>para su aplicación utilizando la siguiente expresión:</w:t>
      </w:r>
    </w:p>
    <w:p w14:paraId="03AA348E" w14:textId="279CA3F3" w:rsidR="006C63AA" w:rsidRPr="000A29D6" w:rsidRDefault="00000000" w:rsidP="000E29FB">
      <w:pPr>
        <w:rPr>
          <w:rFonts w:cs="Arial"/>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ED</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EA</m:t>
                      </m:r>
                    </m:sub>
                  </m:sSub>
                </m:e>
              </m:d>
            </m:e>
            <m:sup>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365</m:t>
                  </m:r>
                </m:den>
              </m:f>
              <m:r>
                <w:rPr>
                  <w:rFonts w:ascii="Cambria Math" w:hAnsi="Cambria Math"/>
                  <w:color w:val="000000"/>
                </w:rPr>
                <m:t>-1</m:t>
              </m:r>
            </m:sup>
          </m:sSup>
        </m:oMath>
      </m:oMathPara>
    </w:p>
    <w:p w14:paraId="33AEEB6D" w14:textId="3F91965B" w:rsidR="006C63AA" w:rsidRDefault="000E29FB" w:rsidP="000E29FB">
      <w:pPr>
        <w:pStyle w:val="Subttulo"/>
        <w:ind w:left="1695" w:firstLine="113"/>
        <w:rPr>
          <w:rFonts w:ascii="Bookman Old Style" w:hAnsi="Bookman Old Style" w:cs="Arial"/>
          <w:b w:val="0"/>
          <w:color w:val="000000"/>
        </w:rPr>
      </w:pPr>
      <w:r>
        <w:rPr>
          <w:rFonts w:ascii="Bookman Old Style" w:hAnsi="Bookman Old Style" w:cs="Arial"/>
          <w:b w:val="0"/>
          <w:color w:val="000000"/>
        </w:rPr>
        <w:t>Donde</w:t>
      </w:r>
      <w:r w:rsidR="006C63AA">
        <w:rPr>
          <w:rFonts w:ascii="Bookman Old Style" w:hAnsi="Bookman Old Style" w:cs="Arial"/>
          <w:b w:val="0"/>
          <w:color w:val="000000"/>
        </w:rPr>
        <w:t xml:space="preserve">: </w:t>
      </w:r>
    </w:p>
    <w:p w14:paraId="588A8525" w14:textId="77777777" w:rsidR="006C63AA" w:rsidRPr="0035769F" w:rsidRDefault="006C63AA" w:rsidP="000E29FB">
      <w:pPr>
        <w:pStyle w:val="Subttulo"/>
        <w:ind w:left="3686" w:hanging="1843"/>
        <w:rPr>
          <w:rFonts w:ascii="Bookman Old Style" w:hAnsi="Bookman Old Style" w:cs="Arial"/>
          <w:b w:val="0"/>
          <w:color w:val="000000"/>
        </w:rPr>
      </w:pPr>
      <w:proofErr w:type="spellStart"/>
      <w:r w:rsidRPr="006D5686">
        <w:rPr>
          <w:rFonts w:ascii="Bookman Old Style" w:hAnsi="Bookman Old Style" w:cs="Arial"/>
          <w:b w:val="0"/>
          <w:i/>
          <w:color w:val="000000"/>
        </w:rPr>
        <w:t>r</w:t>
      </w:r>
      <w:r w:rsidRPr="006D5686">
        <w:rPr>
          <w:rFonts w:ascii="Bookman Old Style" w:hAnsi="Bookman Old Style" w:cs="Arial"/>
          <w:b w:val="0"/>
          <w:i/>
          <w:color w:val="000000"/>
          <w:vertAlign w:val="subscript"/>
        </w:rPr>
        <w:t>E</w:t>
      </w:r>
      <w:r>
        <w:rPr>
          <w:rFonts w:ascii="Bookman Old Style" w:hAnsi="Bookman Old Style" w:cs="Arial"/>
          <w:b w:val="0"/>
          <w:i/>
          <w:color w:val="000000"/>
          <w:vertAlign w:val="subscript"/>
        </w:rPr>
        <w:t>D</w:t>
      </w:r>
      <w:proofErr w:type="spellEnd"/>
      <w:r>
        <w:rPr>
          <w:rFonts w:ascii="Bookman Old Style" w:hAnsi="Bookman Old Style" w:cs="Arial"/>
          <w:b w:val="0"/>
          <w:i/>
          <w:color w:val="000000"/>
        </w:rPr>
        <w:tab/>
      </w:r>
      <w:r w:rsidRPr="0035769F">
        <w:rPr>
          <w:rFonts w:ascii="Bookman Old Style" w:hAnsi="Bookman Old Style" w:cs="Arial"/>
          <w:b w:val="0"/>
          <w:color w:val="000000"/>
        </w:rPr>
        <w:t xml:space="preserve">Tasa efectiva </w:t>
      </w:r>
      <w:r>
        <w:rPr>
          <w:rFonts w:ascii="Bookman Old Style" w:hAnsi="Bookman Old Style" w:cs="Arial"/>
          <w:b w:val="0"/>
          <w:color w:val="000000"/>
        </w:rPr>
        <w:t>diaria</w:t>
      </w:r>
    </w:p>
    <w:p w14:paraId="5522C065" w14:textId="77777777" w:rsidR="006C63AA" w:rsidRPr="0035769F" w:rsidRDefault="006C63AA" w:rsidP="000E29FB">
      <w:pPr>
        <w:pStyle w:val="Subttulo"/>
        <w:ind w:left="3686" w:hanging="1843"/>
        <w:rPr>
          <w:rFonts w:ascii="Bookman Old Style" w:hAnsi="Bookman Old Style" w:cs="Arial"/>
          <w:b w:val="0"/>
          <w:color w:val="000000"/>
        </w:rPr>
      </w:pPr>
      <w:proofErr w:type="spellStart"/>
      <w:r w:rsidRPr="006D5686">
        <w:rPr>
          <w:rFonts w:ascii="Bookman Old Style" w:hAnsi="Bookman Old Style" w:cs="Arial"/>
          <w:b w:val="0"/>
          <w:i/>
          <w:iCs/>
          <w:color w:val="000000"/>
        </w:rPr>
        <w:t>r</w:t>
      </w:r>
      <w:r w:rsidRPr="006D5686">
        <w:rPr>
          <w:rFonts w:ascii="Bookman Old Style" w:hAnsi="Bookman Old Style" w:cs="Arial"/>
          <w:b w:val="0"/>
          <w:i/>
          <w:iCs/>
          <w:color w:val="000000"/>
          <w:vertAlign w:val="subscript"/>
        </w:rPr>
        <w:t>EA</w:t>
      </w:r>
      <w:proofErr w:type="spellEnd"/>
      <w:r>
        <w:rPr>
          <w:rFonts w:ascii="Bookman Old Style" w:hAnsi="Bookman Old Style" w:cs="Arial"/>
          <w:b w:val="0"/>
          <w:color w:val="000000"/>
        </w:rPr>
        <w:t xml:space="preserve"> </w:t>
      </w:r>
      <w:r>
        <w:rPr>
          <w:rFonts w:ascii="Bookman Old Style" w:hAnsi="Bookman Old Style" w:cs="Arial"/>
          <w:b w:val="0"/>
          <w:color w:val="000000"/>
        </w:rPr>
        <w:tab/>
      </w:r>
      <w:r w:rsidRPr="0035769F">
        <w:rPr>
          <w:rFonts w:ascii="Bookman Old Style" w:hAnsi="Bookman Old Style" w:cs="Arial"/>
          <w:b w:val="0"/>
          <w:color w:val="000000"/>
        </w:rPr>
        <w:t>Tasa efectiva anual</w:t>
      </w:r>
    </w:p>
    <w:p w14:paraId="01765E4C" w14:textId="19FB58FB" w:rsidR="0031357E" w:rsidRDefault="0031357E" w:rsidP="0031357E">
      <w:pPr>
        <w:pStyle w:val="Subttulo"/>
        <w:ind w:left="1843" w:hanging="1843"/>
        <w:rPr>
          <w:rFonts w:ascii="Bookman Old Style" w:hAnsi="Bookman Old Style" w:cs="Arial"/>
          <w:b w:val="0"/>
          <w:color w:val="000000"/>
        </w:rPr>
      </w:pPr>
      <w:r w:rsidRPr="00E76A26">
        <w:rPr>
          <w:rFonts w:ascii="Bookman Old Style" w:hAnsi="Bookman Old Style" w:cs="Arial"/>
          <w:b w:val="0"/>
          <w:i/>
          <w:color w:val="000000"/>
        </w:rPr>
        <w:t>dT</w:t>
      </w:r>
      <w:r>
        <w:rPr>
          <w:rFonts w:ascii="Bookman Old Style" w:hAnsi="Bookman Old Style" w:cs="Arial"/>
          <w:b w:val="0"/>
          <w:i/>
          <w:color w:val="000000"/>
        </w:rPr>
        <w:t>2</w:t>
      </w:r>
      <w:r w:rsidRPr="00E76A26">
        <w:rPr>
          <w:rFonts w:ascii="Bookman Old Style" w:hAnsi="Bookman Old Style" w:cs="Arial"/>
          <w:b w:val="0"/>
          <w:i/>
          <w:color w:val="000000"/>
          <w:vertAlign w:val="subscript"/>
        </w:rPr>
        <w:t>e</w:t>
      </w:r>
      <w:r>
        <w:rPr>
          <w:rFonts w:ascii="Bookman Old Style" w:hAnsi="Bookman Old Style" w:cs="Arial"/>
          <w:b w:val="0"/>
          <w:i/>
          <w:color w:val="000000"/>
          <w:vertAlign w:val="subscript"/>
        </w:rPr>
        <w:t>cf</w:t>
      </w:r>
      <w:r w:rsidRPr="008F06CC">
        <w:rPr>
          <w:rFonts w:ascii="Bookman Old Style" w:hAnsi="Bookman Old Style" w:cs="Arial"/>
          <w:b w:val="0"/>
          <w:color w:val="000000"/>
        </w:rPr>
        <w:tab/>
      </w:r>
      <w:r>
        <w:rPr>
          <w:rFonts w:ascii="Bookman Old Style" w:hAnsi="Bookman Old Style" w:cs="Arial"/>
          <w:b w:val="0"/>
          <w:color w:val="000000"/>
        </w:rPr>
        <w:t xml:space="preserve">Relación entre los días de consumo en el mes </w:t>
      </w:r>
      <w:r w:rsidRPr="00F74261">
        <w:rPr>
          <w:rFonts w:ascii="Bookman Old Style" w:hAnsi="Bookman Old Style" w:cs="Arial"/>
          <w:b w:val="0"/>
          <w:i/>
          <w:color w:val="000000"/>
        </w:rPr>
        <w:t>m</w:t>
      </w:r>
      <w:r>
        <w:rPr>
          <w:rFonts w:ascii="Bookman Old Style" w:hAnsi="Bookman Old Style" w:cs="Arial"/>
          <w:b w:val="0"/>
          <w:i/>
          <w:color w:val="000000"/>
        </w:rPr>
        <w:t>2</w:t>
      </w:r>
      <w:r>
        <w:rPr>
          <w:rFonts w:ascii="Bookman Old Style" w:hAnsi="Bookman Old Style" w:cs="Arial"/>
          <w:b w:val="0"/>
          <w:color w:val="000000"/>
        </w:rPr>
        <w:t xml:space="preserve"> y el total de días del ciclo de facturación</w:t>
      </w:r>
      <w:r w:rsidRPr="003511E9">
        <w:rPr>
          <w:rFonts w:ascii="Bookman Old Style" w:hAnsi="Bookman Old Style" w:cs="Arial"/>
          <w:b w:val="0"/>
          <w:color w:val="000000"/>
        </w:rPr>
        <w:t xml:space="preserve"> </w:t>
      </w:r>
      <w:r>
        <w:rPr>
          <w:rFonts w:ascii="Bookman Old Style" w:hAnsi="Bookman Old Style" w:cs="Arial"/>
          <w:b w:val="0"/>
          <w:color w:val="000000"/>
        </w:rPr>
        <w:t xml:space="preserve">en el escenario </w:t>
      </w:r>
      <w:proofErr w:type="spellStart"/>
      <w:r w:rsidRPr="00C755FC">
        <w:rPr>
          <w:rFonts w:ascii="Bookman Old Style" w:hAnsi="Bookman Old Style" w:cs="Arial"/>
          <w:b w:val="0"/>
          <w:i/>
          <w:iCs/>
          <w:color w:val="000000"/>
        </w:rPr>
        <w:t>ecf</w:t>
      </w:r>
      <w:proofErr w:type="spellEnd"/>
      <w:r>
        <w:rPr>
          <w:rFonts w:ascii="Bookman Old Style" w:hAnsi="Bookman Old Style" w:cs="Arial"/>
          <w:b w:val="0"/>
          <w:color w:val="000000"/>
        </w:rPr>
        <w:t>, correspondiente a 30 días.</w:t>
      </w:r>
    </w:p>
    <w:p w14:paraId="274C48C7" w14:textId="45FEE924" w:rsidR="0031357E" w:rsidRDefault="00E30CBE" w:rsidP="0031357E">
      <w:pPr>
        <w:pStyle w:val="Subttulo"/>
        <w:ind w:left="1843" w:hanging="1843"/>
        <w:rPr>
          <w:rFonts w:ascii="Bookman Old Style" w:hAnsi="Bookman Old Style" w:cs="Arial"/>
          <w:b w:val="0"/>
          <w:color w:val="000000"/>
        </w:rPr>
      </w:pPr>
      <w:r>
        <w:rPr>
          <w:rFonts w:ascii="Bookman Old Style" w:hAnsi="Bookman Old Style" w:cs="Arial"/>
          <w:b w:val="0"/>
          <w:i/>
          <w:color w:val="000000"/>
        </w:rPr>
        <w:t>N</w:t>
      </w:r>
      <w:r w:rsidR="0031357E">
        <w:rPr>
          <w:rFonts w:ascii="Bookman Old Style" w:hAnsi="Bookman Old Style" w:cs="Arial"/>
          <w:b w:val="0"/>
          <w:i/>
          <w:color w:val="000000"/>
        </w:rPr>
        <w:t>m2</w:t>
      </w:r>
      <w:r w:rsidR="008C3540" w:rsidRPr="008C3540">
        <w:rPr>
          <w:rFonts w:ascii="Bookman Old Style" w:hAnsi="Bookman Old Style" w:cs="Arial"/>
          <w:b w:val="0"/>
          <w:i/>
          <w:color w:val="000000"/>
          <w:vertAlign w:val="subscript"/>
        </w:rPr>
        <w:t>ecf</w:t>
      </w:r>
      <w:r w:rsidR="0031357E" w:rsidRPr="008F06CC">
        <w:rPr>
          <w:rFonts w:ascii="Bookman Old Style" w:hAnsi="Bookman Old Style" w:cs="Arial"/>
          <w:b w:val="0"/>
          <w:color w:val="000000"/>
        </w:rPr>
        <w:tab/>
      </w:r>
      <w:r w:rsidR="0031357E">
        <w:rPr>
          <w:rFonts w:ascii="Bookman Old Style" w:hAnsi="Bookman Old Style" w:cs="Arial"/>
          <w:b w:val="0"/>
          <w:color w:val="000000"/>
        </w:rPr>
        <w:t xml:space="preserve">Número de meses transcurridos, entre el mes con el que se calcula la tarifa aplicada al usuario en el escenario </w:t>
      </w:r>
      <w:proofErr w:type="spellStart"/>
      <w:r w:rsidR="0031357E" w:rsidRPr="00A26747">
        <w:rPr>
          <w:rFonts w:ascii="Bookman Old Style" w:hAnsi="Bookman Old Style" w:cs="Arial"/>
          <w:b w:val="0"/>
          <w:i/>
          <w:iCs/>
          <w:color w:val="000000"/>
        </w:rPr>
        <w:t>ecf</w:t>
      </w:r>
      <w:proofErr w:type="spellEnd"/>
      <w:r w:rsidR="0031357E">
        <w:rPr>
          <w:rFonts w:ascii="Bookman Old Style" w:hAnsi="Bookman Old Style" w:cs="Arial"/>
          <w:b w:val="0"/>
          <w:color w:val="000000"/>
        </w:rPr>
        <w:t xml:space="preserve">, y el mes de pago de los costos facturados por el ASIC y el LAC por el consumo en el mes </w:t>
      </w:r>
      <w:r w:rsidR="0031357E" w:rsidRPr="003D3797">
        <w:rPr>
          <w:rFonts w:ascii="Bookman Old Style" w:hAnsi="Bookman Old Style" w:cs="Arial"/>
          <w:b w:val="0"/>
          <w:i/>
          <w:iCs/>
          <w:color w:val="000000"/>
        </w:rPr>
        <w:t>m</w:t>
      </w:r>
      <w:r w:rsidR="0031357E">
        <w:rPr>
          <w:rFonts w:ascii="Bookman Old Style" w:hAnsi="Bookman Old Style" w:cs="Arial"/>
          <w:b w:val="0"/>
          <w:i/>
          <w:iCs/>
          <w:color w:val="000000"/>
        </w:rPr>
        <w:t>2</w:t>
      </w:r>
      <w:r w:rsidR="0031357E">
        <w:rPr>
          <w:rFonts w:ascii="Bookman Old Style" w:hAnsi="Bookman Old Style" w:cs="Arial"/>
          <w:b w:val="0"/>
          <w:color w:val="000000"/>
        </w:rPr>
        <w:t>.</w:t>
      </w:r>
    </w:p>
    <w:p w14:paraId="79985D9F" w14:textId="245F5DD9" w:rsidR="0031357E" w:rsidRDefault="00E30CBE" w:rsidP="0031357E">
      <w:pPr>
        <w:pStyle w:val="Subttulo"/>
        <w:ind w:left="1843" w:hanging="1843"/>
        <w:rPr>
          <w:rFonts w:ascii="Bookman Old Style" w:hAnsi="Bookman Old Style" w:cs="Arial"/>
          <w:b w:val="0"/>
          <w:color w:val="000000"/>
        </w:rPr>
      </w:pPr>
      <w:r>
        <w:rPr>
          <w:rFonts w:ascii="Bookman Old Style" w:hAnsi="Bookman Old Style" w:cs="Arial"/>
          <w:b w:val="0"/>
          <w:i/>
          <w:color w:val="000000"/>
        </w:rPr>
        <w:t>D</w:t>
      </w:r>
      <w:r w:rsidR="0031357E">
        <w:rPr>
          <w:rFonts w:ascii="Bookman Old Style" w:hAnsi="Bookman Old Style" w:cs="Arial"/>
          <w:b w:val="0"/>
          <w:i/>
          <w:color w:val="000000"/>
        </w:rPr>
        <w:t>r2</w:t>
      </w:r>
      <w:r w:rsidR="0031357E">
        <w:rPr>
          <w:rFonts w:ascii="Bookman Old Style" w:hAnsi="Bookman Old Style" w:cs="Arial"/>
          <w:b w:val="0"/>
          <w:i/>
          <w:color w:val="000000"/>
          <w:vertAlign w:val="subscript"/>
        </w:rPr>
        <w:t>ecf</w:t>
      </w:r>
      <w:r w:rsidR="0031357E" w:rsidRPr="008F06CC">
        <w:rPr>
          <w:rFonts w:ascii="Bookman Old Style" w:hAnsi="Bookman Old Style" w:cs="Arial"/>
          <w:b w:val="0"/>
          <w:color w:val="000000"/>
        </w:rPr>
        <w:tab/>
      </w:r>
      <w:r w:rsidR="0031357E">
        <w:rPr>
          <w:rFonts w:ascii="Bookman Old Style" w:hAnsi="Bookman Old Style" w:cs="Arial"/>
          <w:b w:val="0"/>
          <w:color w:val="000000"/>
        </w:rPr>
        <w:t xml:space="preserve">Diferencia entre el día del recaudo a los usuarios regulados y el día de pago de los costos facturados por el ASIC y el LAC por el consumo en el mes </w:t>
      </w:r>
      <w:r w:rsidR="0031357E" w:rsidRPr="009F0401">
        <w:rPr>
          <w:rFonts w:ascii="Bookman Old Style" w:hAnsi="Bookman Old Style" w:cs="Arial"/>
          <w:b w:val="0"/>
          <w:i/>
          <w:iCs/>
          <w:color w:val="000000"/>
        </w:rPr>
        <w:t>m</w:t>
      </w:r>
      <w:r w:rsidR="0031357E">
        <w:rPr>
          <w:rFonts w:ascii="Bookman Old Style" w:hAnsi="Bookman Old Style" w:cs="Arial"/>
          <w:b w:val="0"/>
          <w:i/>
          <w:iCs/>
          <w:color w:val="000000"/>
        </w:rPr>
        <w:t>2</w:t>
      </w:r>
      <w:r w:rsidR="0031357E">
        <w:rPr>
          <w:rFonts w:ascii="Bookman Old Style" w:hAnsi="Bookman Old Style" w:cs="Arial"/>
          <w:b w:val="0"/>
          <w:color w:val="000000"/>
        </w:rPr>
        <w:t xml:space="preserve"> en el escenario </w:t>
      </w:r>
      <w:proofErr w:type="spellStart"/>
      <w:r w:rsidR="0031357E" w:rsidRPr="00BB2923">
        <w:rPr>
          <w:rFonts w:ascii="Bookman Old Style" w:hAnsi="Bookman Old Style" w:cs="Arial"/>
          <w:b w:val="0"/>
          <w:i/>
          <w:iCs/>
          <w:color w:val="000000"/>
        </w:rPr>
        <w:t>e</w:t>
      </w:r>
      <w:r w:rsidR="0031357E">
        <w:rPr>
          <w:rFonts w:ascii="Bookman Old Style" w:hAnsi="Bookman Old Style" w:cs="Arial"/>
          <w:b w:val="0"/>
          <w:i/>
          <w:iCs/>
          <w:color w:val="000000"/>
        </w:rPr>
        <w:t>cf</w:t>
      </w:r>
      <w:proofErr w:type="spellEnd"/>
      <w:r w:rsidR="0031357E">
        <w:rPr>
          <w:rFonts w:ascii="Bookman Old Style" w:hAnsi="Bookman Old Style" w:cs="Arial"/>
          <w:b w:val="0"/>
          <w:color w:val="000000"/>
        </w:rPr>
        <w:t>.</w:t>
      </w:r>
    </w:p>
    <w:p w14:paraId="79A81F76" w14:textId="06F99362" w:rsidR="000F27DB" w:rsidRDefault="002152E5" w:rsidP="000E29FB">
      <w:pPr>
        <w:pStyle w:val="Subttulo"/>
        <w:ind w:left="1843" w:hanging="1843"/>
        <w:rPr>
          <w:rFonts w:ascii="Bookman Old Style" w:hAnsi="Bookman Old Style" w:cs="Arial"/>
          <w:b w:val="0"/>
          <w:color w:val="000000"/>
        </w:rPr>
      </w:pPr>
      <w:r w:rsidRPr="004D062E">
        <w:rPr>
          <w:rFonts w:ascii="Bookman Old Style" w:hAnsi="Bookman Old Style" w:cs="Arial"/>
          <w:b w:val="0"/>
          <w:i/>
          <w:color w:val="000000"/>
        </w:rPr>
        <w:t>TT</w:t>
      </w:r>
      <w:r>
        <w:rPr>
          <w:rFonts w:ascii="Bookman Old Style" w:hAnsi="Bookman Old Style" w:cs="Arial"/>
          <w:b w:val="0"/>
          <w:i/>
          <w:color w:val="000000"/>
        </w:rPr>
        <w:t>2</w:t>
      </w:r>
      <w:proofErr w:type="gramStart"/>
      <w:r w:rsidR="00190E22">
        <w:rPr>
          <w:rFonts w:ascii="Bookman Old Style" w:hAnsi="Bookman Old Style" w:cs="Arial"/>
          <w:b w:val="0"/>
          <w:i/>
          <w:color w:val="000000"/>
          <w:vertAlign w:val="subscript"/>
        </w:rPr>
        <w:t>t,ecf</w:t>
      </w:r>
      <w:proofErr w:type="gramEnd"/>
      <w:r w:rsidR="000F27DB" w:rsidRPr="008F06CC">
        <w:rPr>
          <w:rFonts w:ascii="Bookman Old Style" w:hAnsi="Bookman Old Style" w:cs="Arial"/>
          <w:b w:val="0"/>
          <w:color w:val="000000"/>
        </w:rPr>
        <w:tab/>
      </w:r>
      <w:r w:rsidR="000F27DB" w:rsidRPr="001C35A5">
        <w:rPr>
          <w:rFonts w:ascii="Bookman Old Style" w:hAnsi="Bookman Old Style" w:cs="Arial"/>
          <w:b w:val="0"/>
          <w:color w:val="000000"/>
        </w:rPr>
        <w:t xml:space="preserve">Costo de oportunidad </w:t>
      </w:r>
      <w:r w:rsidR="000F27DB">
        <w:rPr>
          <w:rFonts w:ascii="Bookman Old Style" w:hAnsi="Bookman Old Style" w:cs="Arial"/>
          <w:b w:val="0"/>
          <w:color w:val="000000"/>
        </w:rPr>
        <w:t>día</w:t>
      </w:r>
      <w:r w:rsidR="000F27DB" w:rsidRPr="001C35A5">
        <w:rPr>
          <w:rFonts w:ascii="Bookman Old Style" w:hAnsi="Bookman Old Style" w:cs="Arial"/>
          <w:b w:val="0"/>
          <w:color w:val="000000"/>
        </w:rPr>
        <w:t xml:space="preserve"> vencido</w:t>
      </w:r>
      <w:r w:rsidR="00243905">
        <w:rPr>
          <w:rFonts w:ascii="Bookman Old Style" w:hAnsi="Bookman Old Style" w:cs="Arial"/>
          <w:b w:val="0"/>
          <w:color w:val="000000"/>
        </w:rPr>
        <w:t xml:space="preserve"> correspondiente a la variable </w:t>
      </w:r>
      <w:r w:rsidR="0031357E">
        <w:rPr>
          <w:rFonts w:ascii="Bookman Old Style" w:hAnsi="Bookman Old Style" w:cs="Arial"/>
          <w:b w:val="0"/>
          <w:i/>
          <w:color w:val="000000"/>
        </w:rPr>
        <w:t>dr2</w:t>
      </w:r>
      <w:r w:rsidR="0031357E">
        <w:rPr>
          <w:rFonts w:ascii="Bookman Old Style" w:hAnsi="Bookman Old Style" w:cs="Arial"/>
          <w:b w:val="0"/>
          <w:i/>
          <w:color w:val="000000"/>
          <w:vertAlign w:val="subscript"/>
        </w:rPr>
        <w:t>ecf</w:t>
      </w:r>
      <w:r w:rsidR="000F27DB" w:rsidRPr="001C35A5">
        <w:rPr>
          <w:rFonts w:ascii="Bookman Old Style" w:hAnsi="Bookman Old Style" w:cs="Arial"/>
          <w:b w:val="0"/>
          <w:color w:val="000000"/>
        </w:rPr>
        <w:t>, calculado como el promedio</w:t>
      </w:r>
      <w:r w:rsidR="000F27DB">
        <w:rPr>
          <w:rFonts w:ascii="Bookman Old Style" w:hAnsi="Bookman Old Style" w:cs="Arial"/>
          <w:b w:val="0"/>
          <w:color w:val="000000"/>
        </w:rPr>
        <w:t xml:space="preserve"> </w:t>
      </w:r>
      <w:r w:rsidR="000F27DB" w:rsidRPr="001C35A5">
        <w:rPr>
          <w:rFonts w:ascii="Bookman Old Style" w:hAnsi="Bookman Old Style" w:cs="Arial"/>
          <w:b w:val="0"/>
          <w:color w:val="000000"/>
        </w:rPr>
        <w:t>de las</w:t>
      </w:r>
      <w:r w:rsidR="000F27DB">
        <w:rPr>
          <w:rFonts w:ascii="Bookman Old Style" w:hAnsi="Bookman Old Style" w:cs="Arial"/>
          <w:b w:val="0"/>
          <w:color w:val="000000"/>
        </w:rPr>
        <w:t xml:space="preserve"> t</w:t>
      </w:r>
      <w:r w:rsidR="000F27DB" w:rsidRPr="00211ABC">
        <w:rPr>
          <w:rFonts w:ascii="Bookman Old Style" w:hAnsi="Bookman Old Style" w:cs="Arial"/>
          <w:b w:val="0"/>
          <w:color w:val="000000"/>
        </w:rPr>
        <w:t>asas de captación</w:t>
      </w:r>
      <w:r w:rsidR="000F27DB">
        <w:rPr>
          <w:rFonts w:ascii="Bookman Old Style" w:hAnsi="Bookman Old Style" w:cs="Arial"/>
          <w:b w:val="0"/>
          <w:color w:val="000000"/>
        </w:rPr>
        <w:t xml:space="preserve"> o </w:t>
      </w:r>
      <w:r w:rsidR="00243905">
        <w:rPr>
          <w:rFonts w:ascii="Bookman Old Style" w:hAnsi="Bookman Old Style" w:cs="Arial"/>
          <w:b w:val="0"/>
          <w:color w:val="000000"/>
        </w:rPr>
        <w:t>colocación</w:t>
      </w:r>
      <w:r w:rsidR="000F27DB">
        <w:rPr>
          <w:rFonts w:ascii="Bookman Old Style" w:hAnsi="Bookman Old Style" w:cs="Arial"/>
          <w:b w:val="0"/>
          <w:color w:val="000000"/>
        </w:rPr>
        <w:t xml:space="preserve"> </w:t>
      </w:r>
      <w:r w:rsidR="000F27DB" w:rsidRPr="001C35A5">
        <w:rPr>
          <w:rFonts w:ascii="Bookman Old Style" w:hAnsi="Bookman Old Style" w:cs="Arial"/>
          <w:b w:val="0"/>
          <w:color w:val="000000"/>
        </w:rPr>
        <w:t>publicada</w:t>
      </w:r>
      <w:r w:rsidR="000F27DB">
        <w:rPr>
          <w:rFonts w:ascii="Bookman Old Style" w:hAnsi="Bookman Old Style" w:cs="Arial"/>
          <w:b w:val="0"/>
          <w:color w:val="000000"/>
        </w:rPr>
        <w:t>s</w:t>
      </w:r>
      <w:r w:rsidR="000F27DB" w:rsidRPr="001C35A5">
        <w:rPr>
          <w:rFonts w:ascii="Bookman Old Style" w:hAnsi="Bookman Old Style" w:cs="Arial"/>
          <w:b w:val="0"/>
          <w:color w:val="000000"/>
        </w:rPr>
        <w:t xml:space="preserve"> por el Banco de la República de acuerdo con el formato </w:t>
      </w:r>
      <w:r w:rsidR="00243905">
        <w:rPr>
          <w:rFonts w:ascii="Bookman Old Style" w:hAnsi="Bookman Old Style" w:cs="Arial"/>
          <w:b w:val="0"/>
          <w:color w:val="000000"/>
        </w:rPr>
        <w:t>4</w:t>
      </w:r>
      <w:r w:rsidR="00556E90">
        <w:rPr>
          <w:rFonts w:ascii="Bookman Old Style" w:hAnsi="Bookman Old Style" w:cs="Arial"/>
          <w:b w:val="0"/>
          <w:color w:val="000000"/>
        </w:rPr>
        <w:t>41</w:t>
      </w:r>
      <w:r w:rsidR="000F27DB" w:rsidRPr="001C35A5">
        <w:rPr>
          <w:rFonts w:ascii="Bookman Old Style" w:hAnsi="Bookman Old Style" w:cs="Arial"/>
          <w:b w:val="0"/>
          <w:color w:val="000000"/>
        </w:rPr>
        <w:t xml:space="preserve"> de la Superintendencia Financiera de Colombia vigentes </w:t>
      </w:r>
      <w:r w:rsidR="000F27DB">
        <w:rPr>
          <w:rFonts w:ascii="Bookman Old Style" w:hAnsi="Bookman Old Style" w:cs="Arial"/>
          <w:b w:val="0"/>
          <w:color w:val="000000"/>
        </w:rPr>
        <w:t>en el año t-1</w:t>
      </w:r>
      <w:r w:rsidR="00243905">
        <w:rPr>
          <w:rFonts w:ascii="Bookman Old Style" w:hAnsi="Bookman Old Style" w:cs="Arial"/>
          <w:b w:val="0"/>
          <w:color w:val="000000"/>
        </w:rPr>
        <w:t xml:space="preserve">. En el caso de las tasas de captación se utilizan las </w:t>
      </w:r>
      <w:r w:rsidR="00243905" w:rsidRPr="00F238F7">
        <w:rPr>
          <w:rFonts w:ascii="Bookman Old Style" w:hAnsi="Bookman Old Style" w:cs="Arial"/>
          <w:b w:val="0"/>
          <w:color w:val="000000"/>
        </w:rPr>
        <w:t xml:space="preserve">Tasas de captación diarias </w:t>
      </w:r>
      <w:r w:rsidR="00243905">
        <w:rPr>
          <w:rFonts w:ascii="Bookman Old Style" w:hAnsi="Bookman Old Style" w:cs="Arial"/>
          <w:b w:val="0"/>
          <w:color w:val="000000"/>
        </w:rPr>
        <w:t>–</w:t>
      </w:r>
      <w:r w:rsidR="00243905" w:rsidRPr="00F238F7">
        <w:rPr>
          <w:rFonts w:ascii="Bookman Old Style" w:hAnsi="Bookman Old Style" w:cs="Arial"/>
          <w:b w:val="0"/>
          <w:color w:val="000000"/>
        </w:rPr>
        <w:t xml:space="preserve"> CDT y CDAT</w:t>
      </w:r>
      <w:r w:rsidR="00243905" w:rsidRPr="00F238F7">
        <w:rPr>
          <w:rFonts w:ascii="Bookman Old Style" w:hAnsi="Bookman Old Style" w:cs="Arial"/>
          <w:b w:val="0"/>
          <w:color w:val="000000"/>
        </w:rPr>
        <w:tab/>
      </w:r>
      <w:r w:rsidR="00243905">
        <w:rPr>
          <w:rFonts w:ascii="Bookman Old Style" w:hAnsi="Bookman Old Style" w:cs="Arial"/>
          <w:b w:val="0"/>
          <w:color w:val="000000"/>
        </w:rPr>
        <w:t xml:space="preserve"> para el total de establecimientos numeral </w:t>
      </w:r>
      <w:r w:rsidR="00243905" w:rsidRPr="00F238F7">
        <w:rPr>
          <w:rFonts w:ascii="Bookman Old Style" w:hAnsi="Bookman Old Style" w:cs="Arial"/>
          <w:b w:val="0"/>
          <w:color w:val="000000"/>
        </w:rPr>
        <w:t>1.2.1.1.2.</w:t>
      </w:r>
      <w:r w:rsidR="00243905">
        <w:rPr>
          <w:rFonts w:ascii="Bookman Old Style" w:hAnsi="Bookman Old Style" w:cs="Arial"/>
          <w:b w:val="0"/>
          <w:color w:val="000000"/>
        </w:rPr>
        <w:t xml:space="preserve"> Para las tasas de colocación se utilizan las </w:t>
      </w:r>
      <w:r w:rsidR="00243905" w:rsidRPr="00760A68">
        <w:rPr>
          <w:rFonts w:ascii="Bookman Old Style" w:hAnsi="Bookman Old Style" w:cs="Arial"/>
          <w:b w:val="0"/>
          <w:color w:val="000000"/>
        </w:rPr>
        <w:t xml:space="preserve">Tasas de colocación por modalidad de </w:t>
      </w:r>
      <w:r w:rsidR="00243905">
        <w:rPr>
          <w:rFonts w:ascii="Bookman Old Style" w:hAnsi="Bookman Old Style" w:cs="Arial"/>
          <w:b w:val="0"/>
          <w:color w:val="000000"/>
        </w:rPr>
        <w:t>c</w:t>
      </w:r>
      <w:r w:rsidR="00243905" w:rsidRPr="00104602">
        <w:rPr>
          <w:rFonts w:ascii="Bookman Old Style" w:hAnsi="Bookman Old Style" w:cs="Arial"/>
          <w:b w:val="0"/>
          <w:color w:val="000000"/>
        </w:rPr>
        <w:t xml:space="preserve">réditos </w:t>
      </w:r>
      <w:r w:rsidR="00243905">
        <w:rPr>
          <w:rFonts w:ascii="Bookman Old Style" w:hAnsi="Bookman Old Style" w:cs="Arial"/>
          <w:b w:val="0"/>
          <w:color w:val="000000"/>
        </w:rPr>
        <w:t>c</w:t>
      </w:r>
      <w:r w:rsidR="00243905" w:rsidRPr="00104602">
        <w:rPr>
          <w:rFonts w:ascii="Bookman Old Style" w:hAnsi="Bookman Old Style" w:cs="Arial"/>
          <w:b w:val="0"/>
          <w:color w:val="000000"/>
        </w:rPr>
        <w:t>omerciales (Tesorería)</w:t>
      </w:r>
      <w:r w:rsidR="00243905">
        <w:rPr>
          <w:rFonts w:ascii="Bookman Old Style" w:hAnsi="Bookman Old Style" w:cs="Arial"/>
          <w:b w:val="0"/>
          <w:color w:val="000000"/>
        </w:rPr>
        <w:t xml:space="preserve"> para el total de establecimientos en el numeral</w:t>
      </w:r>
      <w:r w:rsidR="00243905" w:rsidRPr="00F238F7">
        <w:rPr>
          <w:rFonts w:ascii="Bookman Old Style" w:hAnsi="Bookman Old Style" w:cs="Arial"/>
          <w:b w:val="0"/>
          <w:color w:val="000000"/>
        </w:rPr>
        <w:t xml:space="preserve"> </w:t>
      </w:r>
      <w:r w:rsidR="00243905" w:rsidRPr="00594DDA">
        <w:rPr>
          <w:rFonts w:ascii="Bookman Old Style" w:hAnsi="Bookman Old Style" w:cs="Arial"/>
          <w:b w:val="0"/>
          <w:color w:val="000000"/>
        </w:rPr>
        <w:t xml:space="preserve">1.2.2. Histórico para un tipo de </w:t>
      </w:r>
      <w:proofErr w:type="spellStart"/>
      <w:r w:rsidR="00243905" w:rsidRPr="00594DDA">
        <w:rPr>
          <w:rFonts w:ascii="Bookman Old Style" w:hAnsi="Bookman Old Style" w:cs="Arial"/>
          <w:b w:val="0"/>
          <w:color w:val="000000"/>
        </w:rPr>
        <w:t>cuenta_periodicidad</w:t>
      </w:r>
      <w:proofErr w:type="spellEnd"/>
      <w:r w:rsidR="00243905" w:rsidRPr="00594DDA">
        <w:rPr>
          <w:rFonts w:ascii="Bookman Old Style" w:hAnsi="Bookman Old Style" w:cs="Arial"/>
          <w:b w:val="0"/>
          <w:color w:val="000000"/>
        </w:rPr>
        <w:t xml:space="preserve"> semanal</w:t>
      </w:r>
      <w:r w:rsidR="00243905">
        <w:rPr>
          <w:rFonts w:ascii="Bookman Old Style" w:hAnsi="Bookman Old Style" w:cs="Arial"/>
          <w:b w:val="0"/>
          <w:color w:val="000000"/>
        </w:rPr>
        <w:t>.</w:t>
      </w:r>
    </w:p>
    <w:tbl>
      <w:tblPr>
        <w:tblStyle w:val="Tablaconcuadrcula"/>
        <w:tblW w:w="6100" w:type="dxa"/>
        <w:jc w:val="center"/>
        <w:tblLook w:val="0600" w:firstRow="0" w:lastRow="0" w:firstColumn="0" w:lastColumn="0" w:noHBand="1" w:noVBand="1"/>
      </w:tblPr>
      <w:tblGrid>
        <w:gridCol w:w="3397"/>
        <w:gridCol w:w="2703"/>
      </w:tblGrid>
      <w:tr w:rsidR="006C63AA" w:rsidRPr="000E29FB" w14:paraId="3F7E3C01" w14:textId="77777777" w:rsidTr="006A4D66">
        <w:trPr>
          <w:cantSplit/>
          <w:trHeight w:val="290"/>
          <w:tblHeader/>
          <w:jc w:val="center"/>
        </w:trPr>
        <w:tc>
          <w:tcPr>
            <w:tcW w:w="3539" w:type="dxa"/>
            <w:hideMark/>
          </w:tcPr>
          <w:p w14:paraId="0B0EC169" w14:textId="5B0E69F7" w:rsidR="006C63AA" w:rsidRPr="006A4D66" w:rsidRDefault="006C63AA" w:rsidP="006A4D66">
            <w:pPr>
              <w:pStyle w:val="Subttulo"/>
              <w:keepNext/>
              <w:spacing w:before="0" w:after="0"/>
              <w:ind w:left="1843" w:hanging="1843"/>
              <w:jc w:val="center"/>
              <w:rPr>
                <w:rFonts w:ascii="Bookman Old Style" w:hAnsi="Bookman Old Style" w:cs="Arial"/>
                <w:bCs w:val="0"/>
                <w:color w:val="000000"/>
                <w:sz w:val="22"/>
                <w:szCs w:val="22"/>
              </w:rPr>
            </w:pPr>
            <w:r w:rsidRPr="006A4D66">
              <w:rPr>
                <w:rFonts w:ascii="Bookman Old Style" w:hAnsi="Bookman Old Style" w:cs="Arial"/>
                <w:bCs w:val="0"/>
                <w:color w:val="000000"/>
                <w:sz w:val="22"/>
                <w:szCs w:val="22"/>
              </w:rPr>
              <w:t>Valor de la variable</w:t>
            </w:r>
            <w:r w:rsidR="006A4D66">
              <w:rPr>
                <w:rFonts w:ascii="Bookman Old Style" w:hAnsi="Bookman Old Style" w:cs="Arial"/>
                <w:bCs w:val="0"/>
                <w:color w:val="000000"/>
                <w:sz w:val="22"/>
                <w:szCs w:val="22"/>
              </w:rPr>
              <w:t xml:space="preserve"> </w:t>
            </w:r>
            <m:oMath>
              <m:d>
                <m:dPr>
                  <m:ctrlPr>
                    <w:rPr>
                      <w:rFonts w:ascii="Cambria Math" w:hAnsi="Cambria Math" w:cs="Arial"/>
                      <w:i/>
                      <w:color w:val="000000"/>
                      <w:sz w:val="22"/>
                      <w:szCs w:val="22"/>
                    </w:rPr>
                  </m:ctrlPr>
                </m:dPr>
                <m:e>
                  <m:sSub>
                    <m:sSubPr>
                      <m:ctrlPr>
                        <w:rPr>
                          <w:rFonts w:ascii="Cambria Math" w:hAnsi="Cambria Math" w:cs="Arial"/>
                          <w:bCs w:val="0"/>
                          <w:color w:val="000000"/>
                          <w:sz w:val="22"/>
                          <w:szCs w:val="22"/>
                        </w:rPr>
                      </m:ctrlPr>
                    </m:sSubPr>
                    <m:e>
                      <m:r>
                        <m:rPr>
                          <m:sty m:val="bi"/>
                        </m:rPr>
                        <w:rPr>
                          <w:rFonts w:ascii="Cambria Math" w:hAnsi="Cambria Math" w:cs="Arial"/>
                          <w:color w:val="000000"/>
                          <w:sz w:val="22"/>
                          <w:szCs w:val="22"/>
                        </w:rPr>
                        <m:t>dr</m:t>
                      </m:r>
                    </m:e>
                    <m:sub>
                      <m:r>
                        <m:rPr>
                          <m:sty m:val="b"/>
                        </m:rPr>
                        <w:rPr>
                          <w:rFonts w:ascii="Cambria Math" w:hAnsi="Cambria Math" w:cs="Arial"/>
                          <w:color w:val="000000"/>
                          <w:sz w:val="22"/>
                          <w:szCs w:val="22"/>
                        </w:rPr>
                        <m:t>2</m:t>
                      </m:r>
                    </m:sub>
                  </m:sSub>
                </m:e>
              </m:d>
            </m:oMath>
          </w:p>
        </w:tc>
        <w:tc>
          <w:tcPr>
            <w:tcW w:w="2561" w:type="dxa"/>
            <w:hideMark/>
          </w:tcPr>
          <w:p w14:paraId="501E8FC4" w14:textId="38836E95" w:rsidR="006C63AA" w:rsidRPr="006A4D66" w:rsidRDefault="006C63AA" w:rsidP="006A4D66">
            <w:pPr>
              <w:pStyle w:val="Subttulo"/>
              <w:keepNext/>
              <w:spacing w:before="0" w:after="0"/>
              <w:ind w:left="1843" w:hanging="1843"/>
              <w:jc w:val="center"/>
              <w:rPr>
                <w:rFonts w:ascii="Bookman Old Style" w:hAnsi="Bookman Old Style" w:cs="Arial"/>
                <w:bCs w:val="0"/>
                <w:color w:val="000000"/>
                <w:sz w:val="22"/>
                <w:szCs w:val="22"/>
              </w:rPr>
            </w:pPr>
            <w:r w:rsidRPr="006A4D66">
              <w:rPr>
                <w:rFonts w:ascii="Bookman Old Style" w:hAnsi="Bookman Old Style" w:cs="Arial"/>
                <w:bCs w:val="0"/>
                <w:color w:val="000000"/>
                <w:sz w:val="22"/>
                <w:szCs w:val="22"/>
              </w:rPr>
              <w:t>Tipo de Tasa (</w:t>
            </w:r>
            <m:oMath>
              <m:sSub>
                <m:sSubPr>
                  <m:ctrlPr>
                    <w:rPr>
                      <w:rFonts w:ascii="Cambria Math" w:eastAsia="Cambria Math" w:hAnsi="Cambria Math" w:cs="Arial"/>
                      <w:bCs w:val="0"/>
                      <w:color w:val="000000"/>
                      <w:sz w:val="22"/>
                      <w:szCs w:val="22"/>
                    </w:rPr>
                  </m:ctrlPr>
                </m:sSubPr>
                <m:e>
                  <m:r>
                    <m:rPr>
                      <m:sty m:val="bi"/>
                    </m:rPr>
                    <w:rPr>
                      <w:rFonts w:ascii="Cambria Math" w:eastAsia="Cambria Math" w:hAnsi="Cambria Math" w:cs="Arial"/>
                      <w:color w:val="000000"/>
                      <w:sz w:val="22"/>
                      <w:szCs w:val="22"/>
                    </w:rPr>
                    <m:t>TT</m:t>
                  </m:r>
                  <m:r>
                    <m:rPr>
                      <m:sty m:val="b"/>
                    </m:rPr>
                    <w:rPr>
                      <w:rFonts w:ascii="Cambria Math" w:eastAsia="Cambria Math" w:hAnsi="Cambria Math" w:cs="Arial"/>
                      <w:color w:val="000000"/>
                      <w:sz w:val="22"/>
                      <w:szCs w:val="22"/>
                    </w:rPr>
                    <m:t>2</m:t>
                  </m:r>
                </m:e>
                <m:sub>
                  <m:r>
                    <m:rPr>
                      <m:sty m:val="bi"/>
                    </m:rPr>
                    <w:rPr>
                      <w:rFonts w:ascii="Cambria Math" w:eastAsia="Cambria Math" w:hAnsi="Cambria Math" w:cs="Arial"/>
                      <w:color w:val="000000"/>
                      <w:sz w:val="22"/>
                      <w:szCs w:val="22"/>
                    </w:rPr>
                    <m:t>e</m:t>
                  </m:r>
                </m:sub>
              </m:sSub>
            </m:oMath>
            <w:r w:rsidRPr="006A4D66">
              <w:rPr>
                <w:rFonts w:ascii="Bookman Old Style" w:hAnsi="Bookman Old Style" w:cs="Arial"/>
                <w:bCs w:val="0"/>
                <w:color w:val="000000"/>
                <w:sz w:val="22"/>
                <w:szCs w:val="22"/>
              </w:rPr>
              <w:t>)</w:t>
            </w:r>
          </w:p>
        </w:tc>
      </w:tr>
      <w:tr w:rsidR="00A07785" w:rsidRPr="000E29FB" w14:paraId="359C6B01" w14:textId="77777777" w:rsidTr="006A4D66">
        <w:trPr>
          <w:trHeight w:val="290"/>
          <w:jc w:val="center"/>
        </w:trPr>
        <w:tc>
          <w:tcPr>
            <w:tcW w:w="3539" w:type="dxa"/>
            <w:hideMark/>
          </w:tcPr>
          <w:p w14:paraId="68D0B81F"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1 a 14</w:t>
            </w:r>
          </w:p>
        </w:tc>
        <w:tc>
          <w:tcPr>
            <w:tcW w:w="2561" w:type="dxa"/>
            <w:hideMark/>
          </w:tcPr>
          <w:p w14:paraId="2A345B39"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2 -14 días</w:t>
            </w:r>
          </w:p>
        </w:tc>
      </w:tr>
      <w:tr w:rsidR="00A07785" w:rsidRPr="000E29FB" w14:paraId="70E92637" w14:textId="77777777" w:rsidTr="006A4D66">
        <w:trPr>
          <w:trHeight w:val="290"/>
          <w:jc w:val="center"/>
        </w:trPr>
        <w:tc>
          <w:tcPr>
            <w:tcW w:w="3539" w:type="dxa"/>
            <w:hideMark/>
          </w:tcPr>
          <w:p w14:paraId="4CC1E246"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15 a 29</w:t>
            </w:r>
          </w:p>
        </w:tc>
        <w:tc>
          <w:tcPr>
            <w:tcW w:w="2561" w:type="dxa"/>
            <w:hideMark/>
          </w:tcPr>
          <w:p w14:paraId="45127A43"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15-29 días</w:t>
            </w:r>
          </w:p>
        </w:tc>
      </w:tr>
      <w:tr w:rsidR="00A07785" w:rsidRPr="000E29FB" w14:paraId="4E7D5F2E" w14:textId="77777777" w:rsidTr="006A4D66">
        <w:trPr>
          <w:trHeight w:val="290"/>
          <w:jc w:val="center"/>
        </w:trPr>
        <w:tc>
          <w:tcPr>
            <w:tcW w:w="3539" w:type="dxa"/>
            <w:hideMark/>
          </w:tcPr>
          <w:p w14:paraId="3B6C0FEE"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30</w:t>
            </w:r>
          </w:p>
        </w:tc>
        <w:tc>
          <w:tcPr>
            <w:tcW w:w="2561" w:type="dxa"/>
            <w:hideMark/>
          </w:tcPr>
          <w:p w14:paraId="3BABF25B"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a 30 días</w:t>
            </w:r>
          </w:p>
        </w:tc>
      </w:tr>
      <w:tr w:rsidR="00A07785" w:rsidRPr="000E29FB" w14:paraId="1AE1A936" w14:textId="77777777" w:rsidTr="006A4D66">
        <w:trPr>
          <w:trHeight w:val="290"/>
          <w:jc w:val="center"/>
        </w:trPr>
        <w:tc>
          <w:tcPr>
            <w:tcW w:w="3539" w:type="dxa"/>
            <w:hideMark/>
          </w:tcPr>
          <w:p w14:paraId="3AB9448C"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lastRenderedPageBreak/>
              <w:t>31 a 90</w:t>
            </w:r>
          </w:p>
        </w:tc>
        <w:tc>
          <w:tcPr>
            <w:tcW w:w="2561" w:type="dxa"/>
            <w:hideMark/>
          </w:tcPr>
          <w:p w14:paraId="70878AB8"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Tasa CDAT 31-90 días</w:t>
            </w:r>
          </w:p>
        </w:tc>
      </w:tr>
      <w:tr w:rsidR="00A07785" w:rsidRPr="000E29FB" w14:paraId="60180EB0" w14:textId="77777777" w:rsidTr="006A4D66">
        <w:trPr>
          <w:trHeight w:val="290"/>
          <w:jc w:val="center"/>
        </w:trPr>
        <w:tc>
          <w:tcPr>
            <w:tcW w:w="3539" w:type="dxa"/>
            <w:hideMark/>
          </w:tcPr>
          <w:p w14:paraId="5E25338A"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-1 a -5</w:t>
            </w:r>
          </w:p>
        </w:tc>
        <w:tc>
          <w:tcPr>
            <w:tcW w:w="2561" w:type="dxa"/>
            <w:hideMark/>
          </w:tcPr>
          <w:p w14:paraId="54371471"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Tesorería 1-5 días</w:t>
            </w:r>
          </w:p>
        </w:tc>
      </w:tr>
      <w:tr w:rsidR="00A07785" w:rsidRPr="000E29FB" w14:paraId="1FCB20EC" w14:textId="77777777" w:rsidTr="006A4D66">
        <w:trPr>
          <w:trHeight w:val="290"/>
          <w:jc w:val="center"/>
        </w:trPr>
        <w:tc>
          <w:tcPr>
            <w:tcW w:w="3539" w:type="dxa"/>
            <w:hideMark/>
          </w:tcPr>
          <w:p w14:paraId="15F85566"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-6 a -14</w:t>
            </w:r>
          </w:p>
        </w:tc>
        <w:tc>
          <w:tcPr>
            <w:tcW w:w="2561" w:type="dxa"/>
            <w:hideMark/>
          </w:tcPr>
          <w:p w14:paraId="72F0ED43"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Tesorería 6-14 días</w:t>
            </w:r>
          </w:p>
        </w:tc>
      </w:tr>
      <w:tr w:rsidR="00A07785" w:rsidRPr="000E29FB" w14:paraId="050B8E39" w14:textId="77777777" w:rsidTr="006A4D66">
        <w:trPr>
          <w:trHeight w:val="300"/>
          <w:jc w:val="center"/>
        </w:trPr>
        <w:tc>
          <w:tcPr>
            <w:tcW w:w="3539" w:type="dxa"/>
            <w:hideMark/>
          </w:tcPr>
          <w:p w14:paraId="4EBAC1B2" w14:textId="2AE4D04D"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 xml:space="preserve">-15 a </w:t>
            </w:r>
            <w:r w:rsidR="00E30CBE">
              <w:rPr>
                <w:rFonts w:ascii="Bookman Old Style" w:hAnsi="Bookman Old Style" w:cs="Arial"/>
                <w:b w:val="0"/>
                <w:color w:val="000000"/>
                <w:sz w:val="22"/>
                <w:szCs w:val="22"/>
              </w:rPr>
              <w:t>–</w:t>
            </w:r>
            <w:r w:rsidRPr="006A4D66">
              <w:rPr>
                <w:rFonts w:ascii="Bookman Old Style" w:hAnsi="Bookman Old Style" w:cs="Arial"/>
                <w:b w:val="0"/>
                <w:color w:val="000000"/>
                <w:sz w:val="22"/>
                <w:szCs w:val="22"/>
              </w:rPr>
              <w:t xml:space="preserve"> 30</w:t>
            </w:r>
          </w:p>
        </w:tc>
        <w:tc>
          <w:tcPr>
            <w:tcW w:w="2561" w:type="dxa"/>
            <w:hideMark/>
          </w:tcPr>
          <w:p w14:paraId="6DA599D6" w14:textId="77777777" w:rsidR="00A07785" w:rsidRPr="006A4D66" w:rsidRDefault="00A07785" w:rsidP="006A4D66">
            <w:pPr>
              <w:pStyle w:val="Subttulo"/>
              <w:spacing w:before="0" w:after="0"/>
              <w:ind w:left="1843" w:hanging="1843"/>
              <w:jc w:val="center"/>
              <w:rPr>
                <w:rFonts w:ascii="Bookman Old Style" w:hAnsi="Bookman Old Style" w:cs="Arial"/>
                <w:b w:val="0"/>
                <w:color w:val="000000"/>
                <w:sz w:val="22"/>
                <w:szCs w:val="22"/>
              </w:rPr>
            </w:pPr>
            <w:r w:rsidRPr="006A4D66">
              <w:rPr>
                <w:rFonts w:ascii="Bookman Old Style" w:hAnsi="Bookman Old Style" w:cs="Arial"/>
                <w:b w:val="0"/>
                <w:color w:val="000000"/>
                <w:sz w:val="22"/>
                <w:szCs w:val="22"/>
              </w:rPr>
              <w:t>Tesorería 15-30 días</w:t>
            </w:r>
          </w:p>
        </w:tc>
      </w:tr>
    </w:tbl>
    <w:p w14:paraId="0B27F9F6" w14:textId="6284FD06" w:rsidR="00A07785" w:rsidRDefault="00A07785" w:rsidP="000E29FB">
      <w:pPr>
        <w:ind w:left="1843"/>
        <w:rPr>
          <w:color w:val="000000"/>
        </w:rPr>
      </w:pPr>
      <w:r w:rsidRPr="00304CAC">
        <w:rPr>
          <w:color w:val="000000"/>
        </w:rPr>
        <w:t xml:space="preserve">La tasa efectiva anual publicada deberá </w:t>
      </w:r>
      <w:r>
        <w:rPr>
          <w:color w:val="000000"/>
        </w:rPr>
        <w:t xml:space="preserve">actualizarse </w:t>
      </w:r>
      <w:r w:rsidRPr="00304CAC">
        <w:rPr>
          <w:color w:val="000000"/>
        </w:rPr>
        <w:t>para su aplicación utilizando la siguiente expresión:</w:t>
      </w:r>
    </w:p>
    <w:p w14:paraId="17AD198D" w14:textId="00B8A279" w:rsidR="00A07785" w:rsidRPr="000A29D6" w:rsidRDefault="00000000" w:rsidP="006C63AA">
      <w:pPr>
        <w:spacing w:before="0" w:after="0"/>
        <w:rPr>
          <w:rFonts w:cs="Arial"/>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ED</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EA</m:t>
                      </m:r>
                    </m:sub>
                  </m:sSub>
                </m:e>
              </m:d>
            </m:e>
            <m:sup>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365</m:t>
                  </m:r>
                </m:den>
              </m:f>
              <m:r>
                <w:rPr>
                  <w:rFonts w:ascii="Cambria Math" w:hAnsi="Cambria Math"/>
                  <w:color w:val="000000"/>
                </w:rPr>
                <m:t>-1</m:t>
              </m:r>
            </m:sup>
          </m:sSup>
        </m:oMath>
      </m:oMathPara>
    </w:p>
    <w:p w14:paraId="66B9FF20" w14:textId="77777777" w:rsidR="00A07785" w:rsidRDefault="00A07785" w:rsidP="00D05B4D">
      <w:pPr>
        <w:pStyle w:val="Subttulo"/>
        <w:spacing w:before="200" w:after="200"/>
        <w:ind w:left="1730" w:firstLine="113"/>
        <w:rPr>
          <w:rFonts w:ascii="Bookman Old Style" w:hAnsi="Bookman Old Style" w:cs="Arial"/>
          <w:b w:val="0"/>
          <w:color w:val="000000"/>
        </w:rPr>
      </w:pPr>
      <w:r>
        <w:rPr>
          <w:rFonts w:ascii="Bookman Old Style" w:hAnsi="Bookman Old Style" w:cs="Arial"/>
          <w:b w:val="0"/>
          <w:color w:val="000000"/>
        </w:rPr>
        <w:t xml:space="preserve">Con: </w:t>
      </w:r>
    </w:p>
    <w:p w14:paraId="087D64B7" w14:textId="77777777" w:rsidR="00A07785" w:rsidRPr="0035769F" w:rsidRDefault="00A07785" w:rsidP="00D05B4D">
      <w:pPr>
        <w:pStyle w:val="Subttulo"/>
        <w:spacing w:before="200" w:after="200"/>
        <w:ind w:left="3686" w:hanging="1843"/>
        <w:rPr>
          <w:rFonts w:ascii="Bookman Old Style" w:hAnsi="Bookman Old Style" w:cs="Arial"/>
          <w:b w:val="0"/>
          <w:color w:val="000000"/>
        </w:rPr>
      </w:pPr>
      <w:proofErr w:type="spellStart"/>
      <w:r w:rsidRPr="006D5686">
        <w:rPr>
          <w:rFonts w:ascii="Bookman Old Style" w:hAnsi="Bookman Old Style" w:cs="Arial"/>
          <w:b w:val="0"/>
          <w:i/>
          <w:color w:val="000000"/>
        </w:rPr>
        <w:t>r</w:t>
      </w:r>
      <w:r w:rsidRPr="006D5686">
        <w:rPr>
          <w:rFonts w:ascii="Bookman Old Style" w:hAnsi="Bookman Old Style" w:cs="Arial"/>
          <w:b w:val="0"/>
          <w:i/>
          <w:color w:val="000000"/>
          <w:vertAlign w:val="subscript"/>
        </w:rPr>
        <w:t>E</w:t>
      </w:r>
      <w:r>
        <w:rPr>
          <w:rFonts w:ascii="Bookman Old Style" w:hAnsi="Bookman Old Style" w:cs="Arial"/>
          <w:b w:val="0"/>
          <w:i/>
          <w:color w:val="000000"/>
          <w:vertAlign w:val="subscript"/>
        </w:rPr>
        <w:t>D</w:t>
      </w:r>
      <w:proofErr w:type="spellEnd"/>
      <w:r>
        <w:rPr>
          <w:rFonts w:ascii="Bookman Old Style" w:hAnsi="Bookman Old Style" w:cs="Arial"/>
          <w:b w:val="0"/>
          <w:i/>
          <w:color w:val="000000"/>
        </w:rPr>
        <w:tab/>
      </w:r>
      <w:r w:rsidRPr="0035769F">
        <w:rPr>
          <w:rFonts w:ascii="Bookman Old Style" w:hAnsi="Bookman Old Style" w:cs="Arial"/>
          <w:b w:val="0"/>
          <w:color w:val="000000"/>
        </w:rPr>
        <w:t xml:space="preserve">Tasa efectiva </w:t>
      </w:r>
      <w:r>
        <w:rPr>
          <w:rFonts w:ascii="Bookman Old Style" w:hAnsi="Bookman Old Style" w:cs="Arial"/>
          <w:b w:val="0"/>
          <w:color w:val="000000"/>
        </w:rPr>
        <w:t>diaria</w:t>
      </w:r>
    </w:p>
    <w:p w14:paraId="4D8D7E25" w14:textId="77777777" w:rsidR="00A07785" w:rsidRPr="0035769F" w:rsidRDefault="00A07785" w:rsidP="00D05B4D">
      <w:pPr>
        <w:pStyle w:val="Subttulo"/>
        <w:spacing w:before="200" w:after="200"/>
        <w:ind w:left="3686" w:hanging="1843"/>
        <w:rPr>
          <w:rFonts w:ascii="Bookman Old Style" w:hAnsi="Bookman Old Style" w:cs="Arial"/>
          <w:b w:val="0"/>
          <w:color w:val="000000"/>
        </w:rPr>
      </w:pPr>
      <w:proofErr w:type="spellStart"/>
      <w:r w:rsidRPr="006D5686">
        <w:rPr>
          <w:rFonts w:ascii="Bookman Old Style" w:hAnsi="Bookman Old Style" w:cs="Arial"/>
          <w:b w:val="0"/>
          <w:i/>
          <w:iCs/>
          <w:color w:val="000000"/>
        </w:rPr>
        <w:t>r</w:t>
      </w:r>
      <w:r w:rsidRPr="006D5686">
        <w:rPr>
          <w:rFonts w:ascii="Bookman Old Style" w:hAnsi="Bookman Old Style" w:cs="Arial"/>
          <w:b w:val="0"/>
          <w:i/>
          <w:iCs/>
          <w:color w:val="000000"/>
          <w:vertAlign w:val="subscript"/>
        </w:rPr>
        <w:t>EA</w:t>
      </w:r>
      <w:proofErr w:type="spellEnd"/>
      <w:r>
        <w:rPr>
          <w:rFonts w:ascii="Bookman Old Style" w:hAnsi="Bookman Old Style" w:cs="Arial"/>
          <w:b w:val="0"/>
          <w:color w:val="000000"/>
        </w:rPr>
        <w:t xml:space="preserve"> </w:t>
      </w:r>
      <w:r>
        <w:rPr>
          <w:rFonts w:ascii="Bookman Old Style" w:hAnsi="Bookman Old Style" w:cs="Arial"/>
          <w:b w:val="0"/>
          <w:color w:val="000000"/>
        </w:rPr>
        <w:tab/>
      </w:r>
      <w:r w:rsidRPr="0035769F">
        <w:rPr>
          <w:rFonts w:ascii="Bookman Old Style" w:hAnsi="Bookman Old Style" w:cs="Arial"/>
          <w:b w:val="0"/>
          <w:color w:val="000000"/>
        </w:rPr>
        <w:t>Tasa efectiva anual</w:t>
      </w:r>
    </w:p>
    <w:p w14:paraId="14B14781" w14:textId="77777777" w:rsidR="00054924" w:rsidRDefault="00054924" w:rsidP="00C34CF2">
      <w:pPr>
        <w:pStyle w:val="Ttulo4"/>
      </w:pPr>
      <w:bookmarkStart w:id="59" w:name="_Ref136251192"/>
      <w:r w:rsidRPr="00C34CF2">
        <w:t>Costos</w:t>
      </w:r>
      <w:r>
        <w:t xml:space="preserve"> financieros por el giro de subsidios</w:t>
      </w:r>
      <w:bookmarkEnd w:id="59"/>
    </w:p>
    <w:p w14:paraId="01868309" w14:textId="3523AF1F" w:rsidR="00A714F9" w:rsidRPr="000A29D6" w:rsidRDefault="00FA61DF" w:rsidP="00C34CF2">
      <w:r>
        <w:rPr>
          <w:bCs/>
          <w:lang w:val="es-ES_tradnl"/>
        </w:rPr>
        <w:t>L</w:t>
      </w:r>
      <w:r w:rsidR="00A714F9" w:rsidRPr="001937C3">
        <w:rPr>
          <w:bCs/>
          <w:lang w:val="es-ES_tradnl"/>
        </w:rPr>
        <w:t xml:space="preserve">a variable </w:t>
      </w:r>
      <w:proofErr w:type="spellStart"/>
      <w:proofErr w:type="gramStart"/>
      <w:r w:rsidR="00A714F9" w:rsidRPr="00236FDE">
        <w:rPr>
          <w:bCs/>
          <w:i/>
          <w:lang w:val="es-ES_tradnl"/>
        </w:rPr>
        <w:t>CFS</w:t>
      </w:r>
      <w:r w:rsidR="00A714F9" w:rsidRPr="00236FDE">
        <w:rPr>
          <w:bCs/>
          <w:i/>
          <w:vertAlign w:val="subscript"/>
          <w:lang w:val="es-ES_tradnl"/>
        </w:rPr>
        <w:t>i,j</w:t>
      </w:r>
      <w:proofErr w:type="gramEnd"/>
      <w:r w:rsidR="00A714F9" w:rsidRPr="00236FDE">
        <w:rPr>
          <w:bCs/>
          <w:i/>
          <w:vertAlign w:val="subscript"/>
          <w:lang w:val="es-ES_tradnl"/>
        </w:rPr>
        <w:t>,m</w:t>
      </w:r>
      <w:proofErr w:type="spellEnd"/>
      <w:r w:rsidR="00A714F9" w:rsidRPr="001937C3">
        <w:t xml:space="preserve"> corresponderá a la remuneración</w:t>
      </w:r>
      <w:r w:rsidR="00A714F9" w:rsidRPr="000A29D6">
        <w:t xml:space="preserve"> por el </w:t>
      </w:r>
      <w:r w:rsidR="00A714F9">
        <w:t xml:space="preserve">tiempo requerido para </w:t>
      </w:r>
      <w:r w:rsidR="00A714F9" w:rsidRPr="000A29D6">
        <w:t>el giro de los subsidios cuando el comercializador es deficitario. Esta variable será estimada mensualmente por el comercializador de conformidad con la siguiente fórmula:</w:t>
      </w:r>
      <w:r w:rsidR="00EA25D3">
        <w:t xml:space="preserve"> </w:t>
      </w:r>
    </w:p>
    <w:p w14:paraId="205DA7CB" w14:textId="070F3DF6" w:rsidR="00A714F9" w:rsidRPr="000A29D6" w:rsidRDefault="00000000" w:rsidP="00C34CF2">
      <w:pPr>
        <w:rPr>
          <w:rFonts w:cs="Arial"/>
        </w:rPr>
      </w:pPr>
      <m:oMathPara>
        <m:oMath>
          <m:sSub>
            <m:sSubPr>
              <m:ctrlPr>
                <w:rPr>
                  <w:rFonts w:ascii="Cambria Math" w:hAnsi="Cambria Math"/>
                  <w:i/>
                  <w:color w:val="000000"/>
                </w:rPr>
              </m:ctrlPr>
            </m:sSubPr>
            <m:e>
              <m:r>
                <w:rPr>
                  <w:rFonts w:ascii="Cambria Math" w:hAnsi="Cambria Math"/>
                  <w:color w:val="000000"/>
                </w:rPr>
                <m:t>CFS</m:t>
              </m:r>
            </m:e>
            <m:sub>
              <m:r>
                <w:rPr>
                  <w:rFonts w:ascii="Cambria Math" w:hAnsi="Cambria Math"/>
                  <w:color w:val="000000"/>
                </w:rPr>
                <m:t>i,j,m</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Sub1</m:t>
                  </m:r>
                </m:e>
                <m:sub>
                  <m:r>
                    <w:rPr>
                      <w:rFonts w:ascii="Cambria Math" w:hAnsi="Cambria Math"/>
                      <w:color w:val="000000"/>
                    </w:rPr>
                    <m:t>i,j,T</m:t>
                  </m:r>
                </m:sub>
              </m:sSub>
              <m:r>
                <w:rPr>
                  <w:rFonts w:ascii="Cambria Math" w:hAnsi="Cambria Math"/>
                  <w:color w:val="000000"/>
                </w:rPr>
                <m:t>×</m:t>
              </m:r>
              <m:d>
                <m:dPr>
                  <m:begChr m:val="["/>
                  <m:endChr m:val="]"/>
                  <m:ctrlPr>
                    <w:rPr>
                      <w:rFonts w:ascii="Cambria Math" w:hAnsi="Cambria Math"/>
                      <w:i/>
                      <w:color w:val="000000"/>
                    </w:rPr>
                  </m:ctrlPr>
                </m:dPr>
                <m:e>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e>
                      </m:d>
                    </m:e>
                    <m:sup>
                      <m:r>
                        <w:rPr>
                          <w:rFonts w:ascii="Cambria Math" w:hAnsi="Cambria Math"/>
                          <w:color w:val="000000"/>
                        </w:rPr>
                        <m:t>N</m:t>
                      </m:r>
                    </m:sup>
                  </m:sSup>
                  <m:r>
                    <w:rPr>
                      <w:rFonts w:ascii="Cambria Math" w:hAnsi="Cambria Math"/>
                      <w:color w:val="000000"/>
                    </w:rPr>
                    <m:t>-1</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Sub2</m:t>
                  </m:r>
                </m:e>
                <m:sub>
                  <m:r>
                    <w:rPr>
                      <w:rFonts w:ascii="Cambria Math" w:hAnsi="Cambria Math"/>
                      <w:color w:val="000000"/>
                    </w:rPr>
                    <m:t>i,j,T</m:t>
                  </m:r>
                </m:sub>
              </m:sSub>
              <m:r>
                <w:rPr>
                  <w:rFonts w:ascii="Cambria Math" w:hAnsi="Cambria Math"/>
                  <w:color w:val="000000"/>
                </w:rPr>
                <m:t>×</m:t>
              </m:r>
              <m:d>
                <m:dPr>
                  <m:begChr m:val="["/>
                  <m:endChr m:val="]"/>
                  <m:ctrlPr>
                    <w:rPr>
                      <w:rFonts w:ascii="Cambria Math" w:hAnsi="Cambria Math"/>
                      <w:i/>
                      <w:color w:val="000000"/>
                    </w:rPr>
                  </m:ctrlPr>
                </m:dPr>
                <m:e>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e>
                    <m:sup>
                      <m:r>
                        <w:rPr>
                          <w:rFonts w:ascii="Cambria Math" w:hAnsi="Cambria Math"/>
                          <w:color w:val="000000"/>
                        </w:rPr>
                        <m:t>M</m:t>
                      </m:r>
                    </m:sup>
                  </m:sSup>
                  <m:r>
                    <w:rPr>
                      <w:rFonts w:ascii="Cambria Math" w:hAnsi="Cambria Math"/>
                      <w:color w:val="000000"/>
                    </w:rPr>
                    <m:t>-1</m:t>
                  </m:r>
                </m:e>
              </m:d>
            </m:num>
            <m:den>
              <m:sSub>
                <m:sSubPr>
                  <m:ctrlPr>
                    <w:rPr>
                      <w:rFonts w:ascii="Cambria Math" w:hAnsi="Cambria Math"/>
                      <w:i/>
                      <w:color w:val="000000"/>
                    </w:rPr>
                  </m:ctrlPr>
                </m:sSubPr>
                <m:e>
                  <m:r>
                    <w:rPr>
                      <w:rFonts w:ascii="Cambria Math" w:hAnsi="Cambria Math"/>
                      <w:color w:val="000000"/>
                    </w:rPr>
                    <m:t>Facturación</m:t>
                  </m:r>
                </m:e>
                <m:sub>
                  <m:r>
                    <w:rPr>
                      <w:rFonts w:ascii="Cambria Math" w:hAnsi="Cambria Math"/>
                      <w:color w:val="000000"/>
                    </w:rPr>
                    <m:t>i,j,T</m:t>
                  </m:r>
                </m:sub>
              </m:sSub>
            </m:den>
          </m:f>
        </m:oMath>
      </m:oMathPara>
    </w:p>
    <w:p w14:paraId="43FAE114" w14:textId="77777777" w:rsidR="00A714F9" w:rsidRPr="0033174D" w:rsidRDefault="00A714F9" w:rsidP="00C34CF2">
      <w:r w:rsidRPr="0033174D">
        <w:t>Donde:</w:t>
      </w:r>
    </w:p>
    <w:p w14:paraId="0A998271" w14:textId="77777777" w:rsidR="00A714F9" w:rsidRPr="001C35A5" w:rsidRDefault="00A714F9" w:rsidP="00C34CF2">
      <w:pPr>
        <w:pStyle w:val="Subttulo"/>
        <w:ind w:left="1843" w:hanging="1843"/>
        <w:rPr>
          <w:rFonts w:ascii="Bookman Old Style" w:hAnsi="Bookman Old Style" w:cs="Arial"/>
          <w:b w:val="0"/>
          <w:bCs w:val="0"/>
        </w:rPr>
      </w:pPr>
      <w:proofErr w:type="spellStart"/>
      <w:proofErr w:type="gramStart"/>
      <w:r w:rsidRPr="00236FDE">
        <w:rPr>
          <w:rFonts w:ascii="Bookman Old Style" w:hAnsi="Bookman Old Style" w:cs="Arial"/>
          <w:b w:val="0"/>
          <w:i/>
          <w:color w:val="000000"/>
        </w:rPr>
        <w:t>CFS</w:t>
      </w:r>
      <w:r w:rsidRPr="00236FDE">
        <w:rPr>
          <w:rFonts w:ascii="Bookman Old Style" w:hAnsi="Bookman Old Style" w:cs="Arial"/>
          <w:b w:val="0"/>
          <w:i/>
          <w:color w:val="000000"/>
          <w:vertAlign w:val="subscript"/>
        </w:rPr>
        <w:t>i,j</w:t>
      </w:r>
      <w:proofErr w:type="gramEnd"/>
      <w:r w:rsidRPr="00236FDE">
        <w:rPr>
          <w:rFonts w:ascii="Bookman Old Style" w:hAnsi="Bookman Old Style" w:cs="Arial"/>
          <w:b w:val="0"/>
          <w:i/>
          <w:color w:val="000000"/>
          <w:vertAlign w:val="subscript"/>
        </w:rPr>
        <w:t>,m</w:t>
      </w:r>
      <w:proofErr w:type="spellEnd"/>
      <w:r w:rsidRPr="008F06CC">
        <w:rPr>
          <w:rFonts w:ascii="Bookman Old Style" w:hAnsi="Bookman Old Style" w:cs="Arial"/>
          <w:b w:val="0"/>
          <w:color w:val="000000"/>
        </w:rPr>
        <w:t>:</w:t>
      </w:r>
      <w:r w:rsidRPr="008F06CC">
        <w:rPr>
          <w:rFonts w:ascii="Bookman Old Style" w:hAnsi="Bookman Old Style" w:cs="Arial"/>
          <w:b w:val="0"/>
          <w:color w:val="000000"/>
        </w:rPr>
        <w:tab/>
        <w:t>Costo financiero asociado al giro de los subsidios al comercializador deficitario</w:t>
      </w:r>
      <w:r>
        <w:rPr>
          <w:rFonts w:ascii="Bookman Old Style" w:hAnsi="Bookman Old Style" w:cs="Arial"/>
          <w:b w:val="0"/>
          <w:color w:val="000000"/>
        </w:rPr>
        <w:t xml:space="preserve"> </w:t>
      </w:r>
      <w:r w:rsidRPr="0046155D">
        <w:rPr>
          <w:rFonts w:ascii="Bookman Old Style" w:hAnsi="Bookman Old Style" w:cs="Arial"/>
          <w:b w:val="0"/>
          <w:i/>
          <w:color w:val="000000"/>
        </w:rPr>
        <w:t>i</w:t>
      </w:r>
      <w:r w:rsidRPr="00B07CFA">
        <w:rPr>
          <w:rFonts w:ascii="Bookman Old Style" w:hAnsi="Bookman Old Style" w:cs="Arial"/>
          <w:b w:val="0"/>
          <w:color w:val="000000"/>
        </w:rPr>
        <w:t>, e</w:t>
      </w:r>
      <w:r w:rsidRPr="00D841A0">
        <w:rPr>
          <w:rFonts w:ascii="Bookman Old Style" w:hAnsi="Bookman Old Style" w:cs="Arial"/>
          <w:b w:val="0"/>
          <w:color w:val="000000"/>
        </w:rPr>
        <w:t xml:space="preserve">n el </w:t>
      </w:r>
      <w:r>
        <w:rPr>
          <w:rFonts w:ascii="Bookman Old Style" w:hAnsi="Bookman Old Style" w:cs="Arial"/>
          <w:b w:val="0"/>
          <w:color w:val="000000"/>
        </w:rPr>
        <w:t>m</w:t>
      </w:r>
      <w:r w:rsidRPr="00D841A0">
        <w:rPr>
          <w:rFonts w:ascii="Bookman Old Style" w:hAnsi="Bookman Old Style" w:cs="Arial"/>
          <w:b w:val="0"/>
          <w:color w:val="000000"/>
        </w:rPr>
        <w:t xml:space="preserve">ercado de </w:t>
      </w:r>
      <w:r>
        <w:rPr>
          <w:rFonts w:ascii="Bookman Old Style" w:hAnsi="Bookman Old Style" w:cs="Arial"/>
          <w:b w:val="0"/>
          <w:color w:val="000000"/>
        </w:rPr>
        <w:t>c</w:t>
      </w:r>
      <w:r w:rsidRPr="00D841A0">
        <w:rPr>
          <w:rFonts w:ascii="Bookman Old Style" w:hAnsi="Bookman Old Style" w:cs="Arial"/>
          <w:b w:val="0"/>
          <w:color w:val="000000"/>
        </w:rPr>
        <w:t>omercialización</w:t>
      </w:r>
      <w:r>
        <w:rPr>
          <w:rFonts w:ascii="Bookman Old Style" w:hAnsi="Bookman Old Style" w:cs="Arial"/>
          <w:b w:val="0"/>
          <w:color w:val="000000"/>
        </w:rPr>
        <w:t xml:space="preserve"> </w:t>
      </w:r>
      <w:r w:rsidRPr="0046155D">
        <w:rPr>
          <w:rFonts w:ascii="Bookman Old Style" w:hAnsi="Bookman Old Style" w:cs="Arial"/>
          <w:b w:val="0"/>
          <w:i/>
          <w:color w:val="000000"/>
        </w:rPr>
        <w:t>j</w:t>
      </w:r>
      <w:r w:rsidRPr="00426FB1">
        <w:rPr>
          <w:rFonts w:ascii="Bookman Old Style" w:hAnsi="Bookman Old Style" w:cs="Arial"/>
          <w:b w:val="0"/>
          <w:color w:val="000000"/>
        </w:rPr>
        <w:t>, aplicable en el mes</w:t>
      </w:r>
      <w:r>
        <w:rPr>
          <w:rFonts w:ascii="Bookman Old Style" w:hAnsi="Bookman Old Style" w:cs="Arial"/>
          <w:b w:val="0"/>
          <w:color w:val="000000"/>
        </w:rPr>
        <w:t xml:space="preserve"> </w:t>
      </w:r>
      <w:r w:rsidRPr="0046155D">
        <w:rPr>
          <w:rFonts w:ascii="Bookman Old Style" w:hAnsi="Bookman Old Style" w:cs="Arial"/>
          <w:b w:val="0"/>
          <w:i/>
          <w:color w:val="000000"/>
        </w:rPr>
        <w:t>m</w:t>
      </w:r>
      <w:r w:rsidRPr="001C35A5">
        <w:rPr>
          <w:rFonts w:ascii="Bookman Old Style" w:hAnsi="Bookman Old Style" w:cs="Arial"/>
          <w:b w:val="0"/>
          <w:color w:val="000000"/>
        </w:rPr>
        <w:t xml:space="preserve">. </w:t>
      </w:r>
      <w:r w:rsidRPr="0026275F">
        <w:rPr>
          <w:rFonts w:ascii="Bookman Old Style" w:hAnsi="Bookman Old Style" w:cs="Arial"/>
          <w:b w:val="0"/>
          <w:color w:val="000000"/>
        </w:rPr>
        <w:t xml:space="preserve">Este factor será igual a cero cuando en la última validación trimestral realizada por el Ministerio de Minas y Energía, el comercializador </w:t>
      </w:r>
      <w:r w:rsidRPr="0026275F">
        <w:rPr>
          <w:rFonts w:ascii="Bookman Old Style" w:hAnsi="Bookman Old Style" w:cs="Arial"/>
          <w:b w:val="0"/>
          <w:i/>
          <w:color w:val="000000"/>
        </w:rPr>
        <w:t>i</w:t>
      </w:r>
      <w:r w:rsidRPr="0026275F">
        <w:rPr>
          <w:rFonts w:ascii="Bookman Old Style" w:hAnsi="Bookman Old Style" w:cs="Arial"/>
          <w:b w:val="0"/>
        </w:rPr>
        <w:t>,</w:t>
      </w:r>
      <w:r w:rsidRPr="0026275F">
        <w:rPr>
          <w:rFonts w:ascii="Bookman Old Style" w:hAnsi="Bookman Old Style" w:cs="Arial"/>
          <w:b w:val="0"/>
          <w:color w:val="000000"/>
        </w:rPr>
        <w:t xml:space="preserve"> en el mercado de comercialización </w:t>
      </w:r>
      <w:r w:rsidRPr="0026275F">
        <w:rPr>
          <w:rFonts w:ascii="Bookman Old Style" w:hAnsi="Bookman Old Style" w:cs="Arial"/>
          <w:b w:val="0"/>
          <w:i/>
          <w:color w:val="000000"/>
        </w:rPr>
        <w:t>j</w:t>
      </w:r>
      <w:r w:rsidRPr="0026275F">
        <w:rPr>
          <w:rFonts w:ascii="Bookman Old Style" w:hAnsi="Bookman Old Style" w:cs="Arial"/>
          <w:b w:val="0"/>
        </w:rPr>
        <w:t>,</w:t>
      </w:r>
      <w:r w:rsidRPr="0026275F">
        <w:rPr>
          <w:rFonts w:ascii="Bookman Old Style" w:hAnsi="Bookman Old Style" w:cs="Arial"/>
          <w:b w:val="0"/>
          <w:color w:val="000000"/>
        </w:rPr>
        <w:t xml:space="preserve"> sea superavitario</w:t>
      </w:r>
      <w:r w:rsidRPr="001C35A5">
        <w:rPr>
          <w:rFonts w:ascii="Bookman Old Style" w:hAnsi="Bookman Old Style" w:cs="Arial"/>
          <w:b w:val="0"/>
          <w:color w:val="000000"/>
        </w:rPr>
        <w:t>.</w:t>
      </w:r>
    </w:p>
    <w:p w14:paraId="3E2DCD77" w14:textId="77777777" w:rsidR="00A714F9" w:rsidRPr="001C35A5" w:rsidRDefault="00A714F9" w:rsidP="00C34CF2">
      <w:pPr>
        <w:pStyle w:val="Subttulo"/>
        <w:ind w:left="1843" w:hanging="1843"/>
        <w:rPr>
          <w:rFonts w:ascii="Bookman Old Style" w:hAnsi="Bookman Old Style" w:cs="Arial"/>
          <w:b w:val="0"/>
          <w:color w:val="000000"/>
        </w:rPr>
      </w:pPr>
      <w:r w:rsidRPr="00236FDE">
        <w:rPr>
          <w:rFonts w:ascii="Bookman Old Style" w:hAnsi="Bookman Old Style" w:cs="Arial"/>
          <w:b w:val="0"/>
          <w:i/>
          <w:color w:val="000000"/>
        </w:rPr>
        <w:t>T</w:t>
      </w:r>
      <w:r w:rsidRPr="001C35A5">
        <w:rPr>
          <w:rFonts w:ascii="Bookman Old Style" w:hAnsi="Bookman Old Style" w:cs="Arial"/>
          <w:b w:val="0"/>
          <w:color w:val="000000"/>
        </w:rPr>
        <w:t>:</w:t>
      </w:r>
      <w:r w:rsidRPr="001C35A5">
        <w:rPr>
          <w:rFonts w:ascii="Bookman Old Style" w:hAnsi="Bookman Old Style" w:cs="Arial"/>
          <w:b w:val="0"/>
          <w:color w:val="000000"/>
        </w:rPr>
        <w:tab/>
        <w:t>Últimos cuatro trimestres para los cuales el Ministerio de Minas y Energía ha realizado el giro de los subsidios al comercializador</w:t>
      </w:r>
      <w:r>
        <w:rPr>
          <w:rFonts w:ascii="Bookman Old Style" w:hAnsi="Bookman Old Style" w:cs="Arial"/>
          <w:b w:val="0"/>
          <w:color w:val="000000"/>
        </w:rPr>
        <w:t xml:space="preserve"> </w:t>
      </w:r>
      <w:r w:rsidRPr="0046155D">
        <w:rPr>
          <w:rFonts w:ascii="Bookman Old Style" w:hAnsi="Bookman Old Style" w:cs="Arial"/>
          <w:b w:val="0"/>
          <w:i/>
          <w:color w:val="000000"/>
        </w:rPr>
        <w:t>i</w:t>
      </w:r>
      <w:r w:rsidRPr="00C562D7">
        <w:rPr>
          <w:rFonts w:ascii="Bookman Old Style" w:hAnsi="Bookman Old Style" w:cs="Arial"/>
          <w:b w:val="0"/>
        </w:rPr>
        <w:t>,</w:t>
      </w:r>
      <w:r w:rsidRPr="001C35A5">
        <w:rPr>
          <w:rFonts w:ascii="Bookman Old Style" w:hAnsi="Bookman Old Style" w:cs="Arial"/>
          <w:b w:val="0"/>
          <w:bCs w:val="0"/>
          <w:lang w:eastAsia="ar-SA"/>
        </w:rPr>
        <w:t xml:space="preserve"> </w:t>
      </w:r>
      <w:r>
        <w:rPr>
          <w:rFonts w:ascii="Bookman Old Style" w:hAnsi="Bookman Old Style" w:cs="Arial"/>
          <w:b w:val="0"/>
          <w:color w:val="000000"/>
        </w:rPr>
        <w:t>en el</w:t>
      </w:r>
      <w:r w:rsidRPr="001C35A5">
        <w:rPr>
          <w:rFonts w:ascii="Bookman Old Style" w:hAnsi="Bookman Old Style" w:cs="Arial"/>
          <w:b w:val="0"/>
          <w:color w:val="000000"/>
        </w:rPr>
        <w:t xml:space="preserve"> </w:t>
      </w:r>
      <w:r>
        <w:rPr>
          <w:rFonts w:ascii="Bookman Old Style" w:hAnsi="Bookman Old Style" w:cs="Arial"/>
          <w:b w:val="0"/>
          <w:color w:val="000000"/>
        </w:rPr>
        <w:t>m</w:t>
      </w:r>
      <w:r w:rsidRPr="001C35A5">
        <w:rPr>
          <w:rFonts w:ascii="Bookman Old Style" w:hAnsi="Bookman Old Style" w:cs="Arial"/>
          <w:b w:val="0"/>
          <w:color w:val="000000"/>
        </w:rPr>
        <w:t xml:space="preserve">ercado de </w:t>
      </w:r>
      <w:r>
        <w:rPr>
          <w:rFonts w:ascii="Bookman Old Style" w:hAnsi="Bookman Old Style" w:cs="Arial"/>
          <w:b w:val="0"/>
          <w:color w:val="000000"/>
        </w:rPr>
        <w:t>c</w:t>
      </w:r>
      <w:r w:rsidRPr="001C35A5">
        <w:rPr>
          <w:rFonts w:ascii="Bookman Old Style" w:hAnsi="Bookman Old Style" w:cs="Arial"/>
          <w:b w:val="0"/>
          <w:color w:val="000000"/>
        </w:rPr>
        <w:t>omercialización</w:t>
      </w:r>
      <w:r>
        <w:rPr>
          <w:rFonts w:ascii="Bookman Old Style" w:hAnsi="Bookman Old Style" w:cs="Arial"/>
          <w:b w:val="0"/>
          <w:color w:val="000000"/>
        </w:rPr>
        <w:t xml:space="preserve"> </w:t>
      </w:r>
      <w:r w:rsidRPr="0046155D">
        <w:rPr>
          <w:rFonts w:ascii="Bookman Old Style" w:hAnsi="Bookman Old Style" w:cs="Arial"/>
          <w:b w:val="0"/>
          <w:i/>
          <w:color w:val="000000"/>
        </w:rPr>
        <w:t>j</w:t>
      </w:r>
      <w:r w:rsidRPr="001C35A5">
        <w:rPr>
          <w:rFonts w:ascii="Bookman Old Style" w:hAnsi="Bookman Old Style" w:cs="Arial"/>
          <w:b w:val="0"/>
          <w:color w:val="000000"/>
        </w:rPr>
        <w:t>.</w:t>
      </w:r>
    </w:p>
    <w:p w14:paraId="0A591251" w14:textId="77777777" w:rsidR="00AB0935" w:rsidRPr="00AB0935" w:rsidRDefault="00A714F9" w:rsidP="00AB0935">
      <w:pPr>
        <w:pStyle w:val="Subttulo"/>
        <w:ind w:left="1843" w:hanging="1843"/>
        <w:rPr>
          <w:rFonts w:ascii="Bookman Old Style" w:hAnsi="Bookman Old Style" w:cs="Arial"/>
          <w:b w:val="0"/>
          <w:color w:val="000000"/>
        </w:rPr>
      </w:pPr>
      <w:r w:rsidRPr="00236FDE">
        <w:rPr>
          <w:rFonts w:ascii="Bookman Old Style" w:hAnsi="Bookman Old Style" w:cs="Arial"/>
          <w:b w:val="0"/>
          <w:i/>
          <w:color w:val="000000"/>
        </w:rPr>
        <w:t>N</w:t>
      </w:r>
      <w:r w:rsidRPr="001C35A5">
        <w:rPr>
          <w:rFonts w:ascii="Bookman Old Style" w:hAnsi="Bookman Old Style" w:cs="Arial"/>
          <w:b w:val="0"/>
          <w:color w:val="000000"/>
        </w:rPr>
        <w:t>:</w:t>
      </w:r>
      <w:r w:rsidRPr="001C35A5">
        <w:rPr>
          <w:rFonts w:ascii="Bookman Old Style" w:hAnsi="Bookman Old Style" w:cs="Arial"/>
          <w:b w:val="0"/>
          <w:color w:val="000000"/>
        </w:rPr>
        <w:tab/>
      </w:r>
      <w:r w:rsidR="00AB0935" w:rsidRPr="00AB0935">
        <w:rPr>
          <w:rFonts w:ascii="Bookman Old Style" w:hAnsi="Bookman Old Style" w:cs="Arial"/>
          <w:b w:val="0"/>
          <w:color w:val="000000"/>
        </w:rPr>
        <w:t>Promedio del número de meses transcurridos a partir de la fecha en que culmine el proceso de conciliación con el Ministerio de Minas y Energía hasta el giro de los subsidios en todos los mercados relevantes de comercialización atendidos por el comercializador deficitario j.</w:t>
      </w:r>
    </w:p>
    <w:p w14:paraId="1A1639D9" w14:textId="52A8E985" w:rsidR="00A714F9" w:rsidRPr="001C35A5" w:rsidRDefault="00AB0935" w:rsidP="00AB0935">
      <w:pPr>
        <w:pStyle w:val="Subttulo"/>
        <w:ind w:left="1843" w:hanging="35"/>
        <w:rPr>
          <w:rFonts w:ascii="Bookman Old Style" w:hAnsi="Bookman Old Style" w:cs="Arial"/>
          <w:b w:val="0"/>
          <w:color w:val="000000"/>
        </w:rPr>
      </w:pPr>
      <w:r w:rsidRPr="00AB0935">
        <w:rPr>
          <w:rFonts w:ascii="Bookman Old Style" w:hAnsi="Bookman Old Style" w:cs="Arial"/>
          <w:b w:val="0"/>
          <w:color w:val="000000"/>
        </w:rPr>
        <w:t>En el caso de que para un trimestre T se presente más de un giro, se deberá calcular el promedio ponderado del tiempo transcurrido a partir de la fecha en que culmine el proceso de conciliación con el Ministerio de Minas y Energía hasta los giros empleando el valor de los giros realizados.</w:t>
      </w:r>
    </w:p>
    <w:p w14:paraId="61B6097B" w14:textId="1130DAD9" w:rsidR="00A714F9" w:rsidRDefault="00E30CBE" w:rsidP="00C34CF2">
      <w:pPr>
        <w:pStyle w:val="Subttulo"/>
        <w:ind w:left="1843" w:hanging="1843"/>
        <w:rPr>
          <w:rFonts w:ascii="Bookman Old Style" w:hAnsi="Bookman Old Style" w:cs="Arial"/>
          <w:b w:val="0"/>
          <w:color w:val="000000"/>
        </w:rPr>
      </w:pPr>
      <w:r>
        <w:rPr>
          <w:rFonts w:ascii="Bookman Old Style" w:hAnsi="Bookman Old Style" w:cs="Arial"/>
          <w:b w:val="0"/>
          <w:i/>
          <w:color w:val="000000"/>
        </w:rPr>
        <w:t>R</w:t>
      </w:r>
      <w:r w:rsidR="00A714F9" w:rsidRPr="00236FDE">
        <w:rPr>
          <w:rFonts w:ascii="Bookman Old Style" w:hAnsi="Bookman Old Style" w:cs="Arial"/>
          <w:b w:val="0"/>
          <w:i/>
          <w:color w:val="000000"/>
          <w:sz w:val="22"/>
          <w:vertAlign w:val="subscript"/>
        </w:rPr>
        <w:t>1</w:t>
      </w:r>
      <w:r w:rsidR="00A714F9" w:rsidRPr="001C35A5">
        <w:rPr>
          <w:rFonts w:ascii="Bookman Old Style" w:hAnsi="Bookman Old Style" w:cs="Arial"/>
          <w:b w:val="0"/>
          <w:color w:val="000000"/>
        </w:rPr>
        <w:tab/>
        <w:t xml:space="preserve">Costo de oportunidad mes vencido, calculado como el promedio semanal de las tasas de interés </w:t>
      </w:r>
      <w:r w:rsidR="00A714F9" w:rsidRPr="001C35A5">
        <w:rPr>
          <w:rFonts w:ascii="Bookman Old Style" w:hAnsi="Bookman Old Style" w:cs="Arial"/>
          <w:b w:val="0"/>
          <w:i/>
          <w:color w:val="000000"/>
        </w:rPr>
        <w:t>preferencial o corporativo</w:t>
      </w:r>
      <w:r w:rsidR="00A714F9" w:rsidRPr="001C35A5">
        <w:rPr>
          <w:rFonts w:ascii="Bookman Old Style" w:hAnsi="Bookman Old Style" w:cs="Arial"/>
          <w:b w:val="0"/>
          <w:color w:val="000000"/>
        </w:rPr>
        <w:t xml:space="preserve">, de los </w:t>
      </w:r>
      <w:r w:rsidR="00A714F9" w:rsidRPr="001C35A5">
        <w:rPr>
          <w:rFonts w:ascii="Bookman Old Style" w:hAnsi="Bookman Old Style" w:cs="Arial"/>
          <w:b w:val="0"/>
          <w:color w:val="000000"/>
        </w:rPr>
        <w:lastRenderedPageBreak/>
        <w:t xml:space="preserve">créditos comerciales, vigentes a partir del segundo mes del último trimestre de </w:t>
      </w:r>
      <w:r w:rsidR="00A714F9" w:rsidRPr="0046155D">
        <w:rPr>
          <w:rFonts w:ascii="Bookman Old Style" w:hAnsi="Bookman Old Style" w:cs="Arial"/>
          <w:b w:val="0"/>
          <w:i/>
          <w:color w:val="000000"/>
        </w:rPr>
        <w:t>T</w:t>
      </w:r>
      <w:r w:rsidR="00A714F9" w:rsidRPr="001C35A5">
        <w:rPr>
          <w:rFonts w:ascii="Bookman Old Style" w:hAnsi="Bookman Old Style" w:cs="Arial"/>
          <w:b w:val="0"/>
          <w:color w:val="000000"/>
        </w:rPr>
        <w:t xml:space="preserve"> y hasta el mes anterior al mes de giro de subsidios por parte del Ministerio de Minas y Energía. </w:t>
      </w:r>
    </w:p>
    <w:p w14:paraId="1F9690BF" w14:textId="2FFAE510" w:rsidR="00A714F9" w:rsidRDefault="00A714F9" w:rsidP="00C34CF2">
      <w:pPr>
        <w:pStyle w:val="Subttulo"/>
        <w:ind w:left="1843" w:hanging="35"/>
        <w:rPr>
          <w:rFonts w:ascii="Bookman Old Style" w:hAnsi="Bookman Old Style" w:cs="Arial"/>
          <w:b w:val="0"/>
          <w:color w:val="000000"/>
        </w:rPr>
      </w:pPr>
      <w:r w:rsidRPr="001C35A5">
        <w:rPr>
          <w:rFonts w:ascii="Bookman Old Style" w:hAnsi="Bookman Old Style" w:cs="Arial"/>
          <w:b w:val="0"/>
          <w:color w:val="000000"/>
        </w:rPr>
        <w:t xml:space="preserve">La fuente de información será la publicada por el Banco de la República de acuerdo con el formato </w:t>
      </w:r>
      <w:r w:rsidR="001E7261">
        <w:rPr>
          <w:rFonts w:ascii="Bookman Old Style" w:hAnsi="Bookman Old Style" w:cs="Arial"/>
          <w:b w:val="0"/>
          <w:color w:val="000000"/>
        </w:rPr>
        <w:t>4</w:t>
      </w:r>
      <w:r w:rsidR="00D05B4D">
        <w:rPr>
          <w:rFonts w:ascii="Bookman Old Style" w:hAnsi="Bookman Old Style" w:cs="Arial"/>
          <w:b w:val="0"/>
          <w:color w:val="000000"/>
        </w:rPr>
        <w:t>41</w:t>
      </w:r>
      <w:r w:rsidRPr="001C35A5">
        <w:rPr>
          <w:rFonts w:ascii="Bookman Old Style" w:hAnsi="Bookman Old Style" w:cs="Arial"/>
          <w:b w:val="0"/>
          <w:color w:val="000000"/>
        </w:rPr>
        <w:t xml:space="preserve"> de la Superintendencia Financiera de Colombia.</w:t>
      </w:r>
      <w:r w:rsidR="006749CA">
        <w:rPr>
          <w:rFonts w:ascii="Bookman Old Style" w:hAnsi="Bookman Old Style" w:cs="Arial"/>
          <w:b w:val="0"/>
          <w:color w:val="000000"/>
        </w:rPr>
        <w:t xml:space="preserve"> </w:t>
      </w:r>
      <w:r w:rsidR="006749CA" w:rsidRPr="006749CA">
        <w:rPr>
          <w:rFonts w:ascii="Bookman Old Style" w:hAnsi="Bookman Old Style" w:cs="Arial"/>
          <w:b w:val="0"/>
          <w:color w:val="000000"/>
        </w:rPr>
        <w:t>La tasa efectiva anual publicada deberá mensualizarse para su aplicación utilizando la siguiente expresión:</w:t>
      </w:r>
    </w:p>
    <w:p w14:paraId="11CA42FD" w14:textId="112A140F" w:rsidR="00A83DCF" w:rsidRPr="000A29D6" w:rsidRDefault="00000000" w:rsidP="00A83DCF">
      <w:pPr>
        <w:spacing w:before="0" w:after="0"/>
        <w:rPr>
          <w:rFonts w:cs="Arial"/>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EM</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EA</m:t>
                      </m:r>
                    </m:sub>
                  </m:sSub>
                </m:e>
              </m:d>
            </m:e>
            <m:sup>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12</m:t>
                  </m:r>
                </m:den>
              </m:f>
              <m:r>
                <w:rPr>
                  <w:rFonts w:ascii="Cambria Math" w:hAnsi="Cambria Math"/>
                  <w:color w:val="000000"/>
                </w:rPr>
                <m:t>-1</m:t>
              </m:r>
            </m:sup>
          </m:sSup>
        </m:oMath>
      </m:oMathPara>
    </w:p>
    <w:p w14:paraId="7F7E907F" w14:textId="43196B38" w:rsidR="00A83DCF" w:rsidRDefault="00B070D8" w:rsidP="00C34CF2">
      <w:pPr>
        <w:pStyle w:val="Subttulo"/>
        <w:ind w:left="1843" w:hanging="1843"/>
        <w:rPr>
          <w:rFonts w:ascii="Bookman Old Style" w:hAnsi="Bookman Old Style" w:cs="Arial"/>
          <w:b w:val="0"/>
          <w:color w:val="000000"/>
        </w:rPr>
      </w:pPr>
      <w:r>
        <w:rPr>
          <w:rFonts w:ascii="Bookman Old Style" w:hAnsi="Bookman Old Style" w:cs="Arial"/>
          <w:b w:val="0"/>
          <w:color w:val="000000"/>
        </w:rPr>
        <w:t xml:space="preserve">Con: </w:t>
      </w:r>
    </w:p>
    <w:p w14:paraId="5E9B907D" w14:textId="3629529A" w:rsidR="0035769F" w:rsidRPr="0035769F" w:rsidRDefault="0035769F" w:rsidP="00C34CF2">
      <w:pPr>
        <w:pStyle w:val="Subttulo"/>
        <w:ind w:left="1843" w:hanging="1843"/>
        <w:rPr>
          <w:rFonts w:ascii="Bookman Old Style" w:hAnsi="Bookman Old Style" w:cs="Arial"/>
          <w:b w:val="0"/>
          <w:color w:val="000000"/>
        </w:rPr>
      </w:pPr>
      <w:proofErr w:type="spellStart"/>
      <w:r w:rsidRPr="00D05B4D">
        <w:rPr>
          <w:rFonts w:ascii="Bookman Old Style" w:hAnsi="Bookman Old Style" w:cs="Arial"/>
          <w:b w:val="0"/>
          <w:i/>
          <w:color w:val="000000"/>
        </w:rPr>
        <w:t>r</w:t>
      </w:r>
      <w:r w:rsidRPr="00D05B4D">
        <w:rPr>
          <w:rFonts w:ascii="Bookman Old Style" w:hAnsi="Bookman Old Style" w:cs="Arial"/>
          <w:b w:val="0"/>
          <w:i/>
          <w:color w:val="000000"/>
          <w:vertAlign w:val="subscript"/>
        </w:rPr>
        <w:t>EM</w:t>
      </w:r>
      <w:proofErr w:type="spellEnd"/>
      <w:r w:rsidR="00D2495F">
        <w:rPr>
          <w:rFonts w:ascii="Bookman Old Style" w:hAnsi="Bookman Old Style" w:cs="Arial"/>
          <w:b w:val="0"/>
          <w:i/>
          <w:color w:val="000000"/>
        </w:rPr>
        <w:tab/>
      </w:r>
      <w:r w:rsidRPr="0035769F">
        <w:rPr>
          <w:rFonts w:ascii="Bookman Old Style" w:hAnsi="Bookman Old Style" w:cs="Arial"/>
          <w:b w:val="0"/>
          <w:color w:val="000000"/>
        </w:rPr>
        <w:t>Tasa efectiva mensual</w:t>
      </w:r>
    </w:p>
    <w:p w14:paraId="1102F0F1" w14:textId="2648F4F6" w:rsidR="0035769F" w:rsidRPr="0035769F" w:rsidRDefault="0035769F" w:rsidP="00C34CF2">
      <w:pPr>
        <w:pStyle w:val="Subttulo"/>
        <w:ind w:left="1843" w:hanging="1843"/>
        <w:rPr>
          <w:rFonts w:ascii="Bookman Old Style" w:hAnsi="Bookman Old Style" w:cs="Arial"/>
          <w:b w:val="0"/>
          <w:color w:val="000000"/>
        </w:rPr>
      </w:pPr>
      <w:proofErr w:type="spellStart"/>
      <w:r w:rsidRPr="00D05B4D">
        <w:rPr>
          <w:rFonts w:ascii="Bookman Old Style" w:hAnsi="Bookman Old Style" w:cs="Arial"/>
          <w:b w:val="0"/>
          <w:i/>
          <w:color w:val="000000"/>
        </w:rPr>
        <w:t>r</w:t>
      </w:r>
      <w:r w:rsidRPr="00D05B4D">
        <w:rPr>
          <w:rFonts w:ascii="Bookman Old Style" w:hAnsi="Bookman Old Style" w:cs="Arial"/>
          <w:b w:val="0"/>
          <w:i/>
          <w:color w:val="000000"/>
          <w:vertAlign w:val="subscript"/>
        </w:rPr>
        <w:t>EA</w:t>
      </w:r>
      <w:proofErr w:type="spellEnd"/>
      <w:r w:rsidR="00D2495F">
        <w:rPr>
          <w:rFonts w:ascii="Bookman Old Style" w:hAnsi="Bookman Old Style" w:cs="Arial"/>
          <w:b w:val="0"/>
          <w:color w:val="000000"/>
        </w:rPr>
        <w:t xml:space="preserve"> </w:t>
      </w:r>
      <w:r w:rsidR="00D2495F">
        <w:rPr>
          <w:rFonts w:ascii="Bookman Old Style" w:hAnsi="Bookman Old Style" w:cs="Arial"/>
          <w:b w:val="0"/>
          <w:color w:val="000000"/>
        </w:rPr>
        <w:tab/>
      </w:r>
      <w:r w:rsidRPr="0035769F">
        <w:rPr>
          <w:rFonts w:ascii="Bookman Old Style" w:hAnsi="Bookman Old Style" w:cs="Arial"/>
          <w:b w:val="0"/>
          <w:color w:val="000000"/>
        </w:rPr>
        <w:t>Tasa efectiva anual</w:t>
      </w:r>
    </w:p>
    <w:p w14:paraId="6E3BB9CA" w14:textId="77777777" w:rsidR="00A714F9" w:rsidRPr="001C35A5" w:rsidRDefault="00A714F9" w:rsidP="00C34CF2">
      <w:pPr>
        <w:pStyle w:val="Subttulo"/>
        <w:ind w:left="1843" w:hanging="1843"/>
        <w:rPr>
          <w:rFonts w:ascii="Bookman Old Style" w:hAnsi="Bookman Old Style" w:cs="Arial"/>
          <w:b w:val="0"/>
          <w:color w:val="000000"/>
        </w:rPr>
      </w:pPr>
      <w:r w:rsidRPr="00236FDE">
        <w:rPr>
          <w:rFonts w:ascii="Bookman Old Style" w:hAnsi="Bookman Old Style" w:cs="Arial"/>
          <w:b w:val="0"/>
          <w:i/>
          <w:color w:val="000000"/>
        </w:rPr>
        <w:t>Sub1</w:t>
      </w:r>
      <w:proofErr w:type="gramStart"/>
      <w:r w:rsidRPr="00236FDE">
        <w:rPr>
          <w:rFonts w:ascii="Bookman Old Style" w:hAnsi="Bookman Old Style" w:cs="Arial"/>
          <w:b w:val="0"/>
          <w:i/>
          <w:color w:val="000000"/>
          <w:vertAlign w:val="subscript"/>
        </w:rPr>
        <w:t>i,j</w:t>
      </w:r>
      <w:proofErr w:type="gramEnd"/>
      <w:r w:rsidRPr="00236FDE">
        <w:rPr>
          <w:rFonts w:ascii="Bookman Old Style" w:hAnsi="Bookman Old Style" w:cs="Arial"/>
          <w:b w:val="0"/>
          <w:i/>
          <w:color w:val="000000"/>
          <w:vertAlign w:val="subscript"/>
        </w:rPr>
        <w:t>,</w:t>
      </w:r>
      <w:r>
        <w:rPr>
          <w:rFonts w:ascii="Bookman Old Style" w:hAnsi="Bookman Old Style" w:cs="Arial"/>
          <w:b w:val="0"/>
          <w:i/>
          <w:color w:val="000000"/>
          <w:vertAlign w:val="subscript"/>
        </w:rPr>
        <w:t>T</w:t>
      </w:r>
      <w:r w:rsidRPr="001C35A5">
        <w:rPr>
          <w:rFonts w:ascii="Bookman Old Style" w:hAnsi="Bookman Old Style" w:cs="Arial"/>
          <w:b w:val="0"/>
          <w:color w:val="000000"/>
        </w:rPr>
        <w:t>:</w:t>
      </w:r>
      <w:r w:rsidRPr="001C35A5">
        <w:rPr>
          <w:rFonts w:ascii="Bookman Old Style" w:hAnsi="Bookman Old Style" w:cs="Arial"/>
          <w:b w:val="0"/>
          <w:color w:val="000000"/>
        </w:rPr>
        <w:tab/>
        <w:t>Valor promedio del déficit de subsidios causados y no pagados una vez finalizado cada trimestre, de acuerdo con las validaciones realizadas por el Ministerio de Minas y Energía, de conformidad con el artículo 5 del Decreto 847 de 2001 o aquel que lo modifique</w:t>
      </w:r>
      <w:r>
        <w:rPr>
          <w:rFonts w:ascii="Bookman Old Style" w:hAnsi="Bookman Old Style" w:cs="Arial"/>
          <w:b w:val="0"/>
          <w:color w:val="000000"/>
        </w:rPr>
        <w:t>, complemente</w:t>
      </w:r>
      <w:r w:rsidRPr="001C35A5">
        <w:rPr>
          <w:rFonts w:ascii="Bookman Old Style" w:hAnsi="Bookman Old Style" w:cs="Arial"/>
          <w:b w:val="0"/>
          <w:color w:val="000000"/>
        </w:rPr>
        <w:t xml:space="preserve"> o sustituya, para el comercializador</w:t>
      </w:r>
      <w:r>
        <w:rPr>
          <w:rFonts w:ascii="Bookman Old Style" w:hAnsi="Bookman Old Style" w:cs="Arial"/>
          <w:b w:val="0"/>
          <w:color w:val="000000"/>
        </w:rPr>
        <w:t xml:space="preserve"> </w:t>
      </w:r>
      <w:r w:rsidRPr="0046155D">
        <w:rPr>
          <w:rFonts w:ascii="Bookman Old Style" w:hAnsi="Bookman Old Style" w:cs="Arial"/>
          <w:b w:val="0"/>
          <w:i/>
          <w:color w:val="000000"/>
        </w:rPr>
        <w:t>i</w:t>
      </w:r>
      <w:r w:rsidRPr="001C35A5">
        <w:rPr>
          <w:rFonts w:ascii="Bookman Old Style" w:hAnsi="Bookman Old Style" w:cs="Arial"/>
          <w:b w:val="0"/>
          <w:color w:val="000000"/>
        </w:rPr>
        <w:t xml:space="preserve">, en el </w:t>
      </w:r>
      <w:r>
        <w:rPr>
          <w:rFonts w:ascii="Bookman Old Style" w:hAnsi="Bookman Old Style" w:cs="Arial"/>
          <w:b w:val="0"/>
          <w:color w:val="000000"/>
        </w:rPr>
        <w:t>m</w:t>
      </w:r>
      <w:r w:rsidRPr="001C35A5">
        <w:rPr>
          <w:rFonts w:ascii="Bookman Old Style" w:hAnsi="Bookman Old Style" w:cs="Arial"/>
          <w:b w:val="0"/>
          <w:color w:val="000000"/>
        </w:rPr>
        <w:t xml:space="preserve">ercado de </w:t>
      </w:r>
      <w:r>
        <w:rPr>
          <w:rFonts w:ascii="Bookman Old Style" w:hAnsi="Bookman Old Style" w:cs="Arial"/>
          <w:b w:val="0"/>
          <w:color w:val="000000"/>
        </w:rPr>
        <w:t>c</w:t>
      </w:r>
      <w:r w:rsidRPr="001C35A5">
        <w:rPr>
          <w:rFonts w:ascii="Bookman Old Style" w:hAnsi="Bookman Old Style" w:cs="Arial"/>
          <w:b w:val="0"/>
          <w:color w:val="000000"/>
        </w:rPr>
        <w:t>omercialización</w:t>
      </w:r>
      <w:r>
        <w:rPr>
          <w:rFonts w:ascii="Bookman Old Style" w:hAnsi="Bookman Old Style" w:cs="Arial"/>
          <w:b w:val="0"/>
          <w:color w:val="000000"/>
        </w:rPr>
        <w:t xml:space="preserve"> </w:t>
      </w:r>
      <w:r w:rsidRPr="0046155D">
        <w:rPr>
          <w:rFonts w:ascii="Bookman Old Style" w:hAnsi="Bookman Old Style" w:cs="Arial"/>
          <w:b w:val="0"/>
          <w:i/>
          <w:color w:val="000000"/>
        </w:rPr>
        <w:t>j</w:t>
      </w:r>
      <w:r w:rsidRPr="001C35A5">
        <w:rPr>
          <w:rFonts w:ascii="Bookman Old Style" w:hAnsi="Bookman Old Style" w:cs="Arial"/>
          <w:b w:val="0"/>
          <w:color w:val="000000"/>
        </w:rPr>
        <w:t>, para los trimestres</w:t>
      </w:r>
      <w:r>
        <w:rPr>
          <w:rFonts w:ascii="Bookman Old Style" w:hAnsi="Bookman Old Style" w:cs="Arial"/>
          <w:b w:val="0"/>
          <w:color w:val="000000"/>
        </w:rPr>
        <w:t xml:space="preserve"> </w:t>
      </w:r>
      <w:r w:rsidRPr="0046155D">
        <w:rPr>
          <w:rFonts w:ascii="Bookman Old Style" w:hAnsi="Bookman Old Style" w:cs="Arial"/>
          <w:b w:val="0"/>
          <w:i/>
          <w:color w:val="000000"/>
        </w:rPr>
        <w:t>T</w:t>
      </w:r>
      <w:r w:rsidRPr="001C35A5">
        <w:rPr>
          <w:rFonts w:ascii="Bookman Old Style" w:hAnsi="Bookman Old Style" w:cs="Arial"/>
          <w:b w:val="0"/>
          <w:color w:val="000000"/>
        </w:rPr>
        <w:t>.</w:t>
      </w:r>
    </w:p>
    <w:p w14:paraId="04536263" w14:textId="77777777" w:rsidR="00A714F9" w:rsidRPr="001C35A5" w:rsidRDefault="00A714F9" w:rsidP="00C34CF2">
      <w:pPr>
        <w:pStyle w:val="Subttulo"/>
        <w:ind w:left="1843" w:hanging="1843"/>
        <w:rPr>
          <w:rFonts w:ascii="Bookman Old Style" w:hAnsi="Bookman Old Style" w:cs="Arial"/>
          <w:b w:val="0"/>
          <w:color w:val="000000"/>
        </w:rPr>
      </w:pPr>
      <w:r w:rsidRPr="00236FDE">
        <w:rPr>
          <w:rFonts w:ascii="Bookman Old Style" w:hAnsi="Bookman Old Style" w:cs="Arial"/>
          <w:b w:val="0"/>
          <w:i/>
          <w:color w:val="000000"/>
        </w:rPr>
        <w:t>M</w:t>
      </w:r>
      <w:r w:rsidRPr="001C35A5">
        <w:rPr>
          <w:rFonts w:ascii="Bookman Old Style" w:hAnsi="Bookman Old Style" w:cs="Arial"/>
          <w:b w:val="0"/>
          <w:color w:val="000000"/>
        </w:rPr>
        <w:t>:</w:t>
      </w:r>
      <w:r w:rsidRPr="001C35A5">
        <w:rPr>
          <w:rFonts w:ascii="Bookman Old Style" w:hAnsi="Bookman Old Style" w:cs="Arial"/>
          <w:b w:val="0"/>
          <w:color w:val="000000"/>
        </w:rPr>
        <w:tab/>
        <w:t xml:space="preserve">Promedio del número de meses de pago anticipado respecto de la finalización de los trimestres </w:t>
      </w:r>
      <w:r w:rsidRPr="0046155D">
        <w:rPr>
          <w:rFonts w:ascii="Bookman Old Style" w:hAnsi="Bookman Old Style" w:cs="Arial"/>
          <w:b w:val="0"/>
          <w:i/>
          <w:color w:val="000000"/>
        </w:rPr>
        <w:t>T</w:t>
      </w:r>
      <w:r w:rsidRPr="001C35A5">
        <w:rPr>
          <w:rFonts w:ascii="Bookman Old Style" w:hAnsi="Bookman Old Style" w:cs="Arial"/>
          <w:b w:val="0"/>
          <w:color w:val="000000"/>
        </w:rPr>
        <w:t xml:space="preserve"> para el comercializador deficitario</w:t>
      </w:r>
      <w:r>
        <w:rPr>
          <w:rFonts w:ascii="Bookman Old Style" w:hAnsi="Bookman Old Style" w:cs="Arial"/>
          <w:b w:val="0"/>
          <w:color w:val="000000"/>
        </w:rPr>
        <w:t xml:space="preserve"> </w:t>
      </w:r>
      <w:r w:rsidRPr="0046155D">
        <w:rPr>
          <w:rFonts w:ascii="Bookman Old Style" w:hAnsi="Bookman Old Style" w:cs="Arial"/>
          <w:b w:val="0"/>
          <w:i/>
          <w:color w:val="000000"/>
        </w:rPr>
        <w:t>i</w:t>
      </w:r>
      <w:r w:rsidRPr="0046155D">
        <w:rPr>
          <w:rFonts w:ascii="Bookman Old Style" w:hAnsi="Bookman Old Style" w:cs="Arial"/>
          <w:b w:val="0"/>
        </w:rPr>
        <w:t>,</w:t>
      </w:r>
      <w:r w:rsidRPr="001C35A5">
        <w:rPr>
          <w:rFonts w:ascii="Bookman Old Style" w:hAnsi="Bookman Old Style" w:cs="Arial"/>
          <w:b w:val="0"/>
          <w:color w:val="000000"/>
        </w:rPr>
        <w:t xml:space="preserve"> </w:t>
      </w:r>
      <w:r>
        <w:rPr>
          <w:rFonts w:ascii="Bookman Old Style" w:hAnsi="Bookman Old Style" w:cs="Arial"/>
          <w:b w:val="0"/>
          <w:color w:val="000000"/>
        </w:rPr>
        <w:t>en el</w:t>
      </w:r>
      <w:r w:rsidRPr="001C35A5">
        <w:rPr>
          <w:rFonts w:ascii="Bookman Old Style" w:hAnsi="Bookman Old Style" w:cs="Arial"/>
          <w:b w:val="0"/>
          <w:color w:val="000000"/>
        </w:rPr>
        <w:t xml:space="preserve"> </w:t>
      </w:r>
      <w:r>
        <w:rPr>
          <w:rFonts w:ascii="Bookman Old Style" w:hAnsi="Bookman Old Style" w:cs="Arial"/>
          <w:b w:val="0"/>
          <w:color w:val="000000"/>
        </w:rPr>
        <w:t>m</w:t>
      </w:r>
      <w:r w:rsidRPr="001C35A5">
        <w:rPr>
          <w:rFonts w:ascii="Bookman Old Style" w:hAnsi="Bookman Old Style" w:cs="Arial"/>
          <w:b w:val="0"/>
          <w:color w:val="000000"/>
        </w:rPr>
        <w:t xml:space="preserve">ercado de </w:t>
      </w:r>
      <w:r>
        <w:rPr>
          <w:rFonts w:ascii="Bookman Old Style" w:hAnsi="Bookman Old Style" w:cs="Arial"/>
          <w:b w:val="0"/>
          <w:color w:val="000000"/>
        </w:rPr>
        <w:t>c</w:t>
      </w:r>
      <w:r w:rsidRPr="001C35A5">
        <w:rPr>
          <w:rFonts w:ascii="Bookman Old Style" w:hAnsi="Bookman Old Style" w:cs="Arial"/>
          <w:b w:val="0"/>
          <w:color w:val="000000"/>
        </w:rPr>
        <w:t>omercialización</w:t>
      </w:r>
      <w:r>
        <w:rPr>
          <w:rFonts w:ascii="Bookman Old Style" w:hAnsi="Bookman Old Style" w:cs="Arial"/>
          <w:b w:val="0"/>
          <w:color w:val="000000"/>
        </w:rPr>
        <w:t xml:space="preserve"> </w:t>
      </w:r>
      <w:r w:rsidRPr="0046155D">
        <w:rPr>
          <w:rFonts w:ascii="Bookman Old Style" w:hAnsi="Bookman Old Style" w:cs="Arial"/>
          <w:b w:val="0"/>
          <w:i/>
          <w:color w:val="000000"/>
        </w:rPr>
        <w:t>j</w:t>
      </w:r>
      <w:r w:rsidRPr="001C35A5">
        <w:rPr>
          <w:rFonts w:ascii="Bookman Old Style" w:hAnsi="Bookman Old Style" w:cs="Arial"/>
          <w:b w:val="0"/>
          <w:color w:val="000000"/>
        </w:rPr>
        <w:t>.</w:t>
      </w:r>
    </w:p>
    <w:p w14:paraId="0DF227F1" w14:textId="77777777" w:rsidR="00A714F9" w:rsidRDefault="00A714F9" w:rsidP="00C34CF2">
      <w:pPr>
        <w:pStyle w:val="Subttulo"/>
        <w:ind w:left="1843" w:hanging="1843"/>
        <w:rPr>
          <w:rFonts w:ascii="Bookman Old Style" w:hAnsi="Bookman Old Style" w:cs="Arial"/>
          <w:b w:val="0"/>
          <w:color w:val="000000"/>
        </w:rPr>
      </w:pPr>
      <w:r>
        <w:rPr>
          <w:rFonts w:ascii="Bookman Old Style" w:hAnsi="Bookman Old Style" w:cs="Arial"/>
          <w:b w:val="0"/>
          <w:i/>
          <w:color w:val="000000"/>
        </w:rPr>
        <w:t>r</w:t>
      </w:r>
      <w:r>
        <w:rPr>
          <w:rFonts w:ascii="Bookman Old Style" w:hAnsi="Bookman Old Style" w:cs="Arial"/>
          <w:b w:val="0"/>
          <w:i/>
          <w:color w:val="000000"/>
          <w:sz w:val="22"/>
          <w:vertAlign w:val="subscript"/>
        </w:rPr>
        <w:t>2</w:t>
      </w:r>
      <w:r w:rsidRPr="001C35A5">
        <w:rPr>
          <w:rFonts w:ascii="Bookman Old Style" w:hAnsi="Bookman Old Style" w:cs="Arial"/>
          <w:b w:val="0"/>
          <w:color w:val="000000"/>
        </w:rPr>
        <w:tab/>
        <w:t xml:space="preserve">Costo de oportunidad mes vencido, calculado como el promedio semanal de las tasas de los Certificados de Ahorro a Término, vigentes a partir del segundo mes del último trimestre de </w:t>
      </w:r>
      <w:r w:rsidRPr="0046155D">
        <w:rPr>
          <w:rFonts w:ascii="Bookman Old Style" w:hAnsi="Bookman Old Style" w:cs="Arial"/>
          <w:b w:val="0"/>
          <w:i/>
          <w:color w:val="000000"/>
        </w:rPr>
        <w:t>T</w:t>
      </w:r>
      <w:r w:rsidRPr="001C35A5">
        <w:rPr>
          <w:rFonts w:ascii="Bookman Old Style" w:hAnsi="Bookman Old Style" w:cs="Arial"/>
          <w:b w:val="0"/>
          <w:color w:val="000000"/>
        </w:rPr>
        <w:t xml:space="preserve"> y hasta el mes anterior al mes de giro de subsidios por parte del Ministerio de Minas y Energía. </w:t>
      </w:r>
    </w:p>
    <w:p w14:paraId="4C455D7D" w14:textId="12CDC80F" w:rsidR="00717076" w:rsidRDefault="0061773B" w:rsidP="00C34CF2">
      <w:pPr>
        <w:pStyle w:val="Subttulo"/>
        <w:ind w:left="1843" w:hanging="35"/>
        <w:rPr>
          <w:rFonts w:ascii="Bookman Old Style" w:hAnsi="Bookman Old Style" w:cs="Arial"/>
          <w:b w:val="0"/>
          <w:color w:val="000000"/>
        </w:rPr>
      </w:pPr>
      <w:r w:rsidRPr="0061773B">
        <w:rPr>
          <w:rFonts w:ascii="Bookman Old Style" w:hAnsi="Bookman Old Style" w:cs="Arial"/>
          <w:b w:val="0"/>
          <w:color w:val="000000"/>
        </w:rPr>
        <w:t>La fuente de información será la publicada por el Banco de la República de acuerdo con el Formato 441, Circular 100 de 1995 de la Superintendencia Financiera de Colombia. La tasa efectiva anual publicada en la columna “Total establecimientos” deberá mensualizarse para su aplicación utilizando la siguiente expresión</w:t>
      </w:r>
      <w:r w:rsidR="00717076">
        <w:rPr>
          <w:rFonts w:ascii="Bookman Old Style" w:hAnsi="Bookman Old Style" w:cs="Arial"/>
          <w:b w:val="0"/>
          <w:color w:val="000000"/>
        </w:rPr>
        <w:t xml:space="preserve">: </w:t>
      </w:r>
    </w:p>
    <w:p w14:paraId="1C2051D0" w14:textId="01E1A9B7" w:rsidR="00717076" w:rsidRPr="000A29D6" w:rsidRDefault="00000000" w:rsidP="00C34CF2">
      <w:pPr>
        <w:rPr>
          <w:rFonts w:cs="Arial"/>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EM</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EA</m:t>
                      </m:r>
                    </m:sub>
                  </m:sSub>
                </m:e>
              </m:d>
            </m:e>
            <m:sup>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12</m:t>
                  </m:r>
                </m:den>
              </m:f>
              <m:r>
                <w:rPr>
                  <w:rFonts w:ascii="Cambria Math" w:hAnsi="Cambria Math"/>
                  <w:color w:val="000000"/>
                </w:rPr>
                <m:t>-1</m:t>
              </m:r>
            </m:sup>
          </m:sSup>
        </m:oMath>
      </m:oMathPara>
    </w:p>
    <w:p w14:paraId="1EEF6464" w14:textId="77777777" w:rsidR="00717076" w:rsidRDefault="00717076" w:rsidP="00C34CF2">
      <w:r>
        <w:t xml:space="preserve">Con: </w:t>
      </w:r>
    </w:p>
    <w:p w14:paraId="60EB2346" w14:textId="77777777" w:rsidR="00717076" w:rsidRPr="0035769F" w:rsidRDefault="00717076" w:rsidP="00C34CF2">
      <w:pPr>
        <w:pStyle w:val="Subttulo"/>
        <w:ind w:left="1843" w:hanging="1843"/>
        <w:rPr>
          <w:rFonts w:ascii="Bookman Old Style" w:hAnsi="Bookman Old Style" w:cs="Arial"/>
          <w:b w:val="0"/>
          <w:color w:val="000000"/>
        </w:rPr>
      </w:pPr>
      <w:proofErr w:type="spellStart"/>
      <w:r w:rsidRPr="004D062E">
        <w:rPr>
          <w:rFonts w:ascii="Bookman Old Style" w:hAnsi="Bookman Old Style" w:cs="Arial"/>
          <w:b w:val="0"/>
          <w:i/>
          <w:color w:val="000000"/>
        </w:rPr>
        <w:t>r</w:t>
      </w:r>
      <w:r w:rsidRPr="004D062E">
        <w:rPr>
          <w:rFonts w:ascii="Bookman Old Style" w:hAnsi="Bookman Old Style" w:cs="Arial"/>
          <w:b w:val="0"/>
          <w:i/>
          <w:color w:val="000000"/>
          <w:vertAlign w:val="subscript"/>
        </w:rPr>
        <w:t>EM</w:t>
      </w:r>
      <w:proofErr w:type="spellEnd"/>
      <w:r>
        <w:rPr>
          <w:rFonts w:ascii="Bookman Old Style" w:hAnsi="Bookman Old Style" w:cs="Arial"/>
          <w:b w:val="0"/>
          <w:i/>
          <w:color w:val="000000"/>
        </w:rPr>
        <w:tab/>
      </w:r>
      <w:r w:rsidRPr="0035769F">
        <w:rPr>
          <w:rFonts w:ascii="Bookman Old Style" w:hAnsi="Bookman Old Style" w:cs="Arial"/>
          <w:b w:val="0"/>
          <w:color w:val="000000"/>
        </w:rPr>
        <w:t>Tasa efectiva mensual</w:t>
      </w:r>
    </w:p>
    <w:p w14:paraId="1DF2EFF7" w14:textId="3E2501B0" w:rsidR="00A714F9" w:rsidRPr="001C35A5" w:rsidRDefault="00717076" w:rsidP="00A87679">
      <w:pPr>
        <w:pStyle w:val="Subttulo"/>
        <w:ind w:left="1843" w:hanging="1843"/>
        <w:rPr>
          <w:rFonts w:ascii="Bookman Old Style" w:hAnsi="Bookman Old Style" w:cs="Arial"/>
          <w:b w:val="0"/>
          <w:color w:val="000000"/>
        </w:rPr>
      </w:pPr>
      <w:proofErr w:type="spellStart"/>
      <w:r w:rsidRPr="004D062E">
        <w:rPr>
          <w:rFonts w:ascii="Bookman Old Style" w:hAnsi="Bookman Old Style" w:cs="Arial"/>
          <w:b w:val="0"/>
          <w:i/>
          <w:iCs/>
          <w:color w:val="000000"/>
        </w:rPr>
        <w:t>r</w:t>
      </w:r>
      <w:r w:rsidRPr="004D062E">
        <w:rPr>
          <w:rFonts w:ascii="Bookman Old Style" w:hAnsi="Bookman Old Style" w:cs="Arial"/>
          <w:b w:val="0"/>
          <w:i/>
          <w:iCs/>
          <w:color w:val="000000"/>
          <w:vertAlign w:val="subscript"/>
        </w:rPr>
        <w:t>EA</w:t>
      </w:r>
      <w:proofErr w:type="spellEnd"/>
      <w:r>
        <w:rPr>
          <w:rFonts w:ascii="Bookman Old Style" w:hAnsi="Bookman Old Style" w:cs="Arial"/>
          <w:b w:val="0"/>
          <w:color w:val="000000"/>
        </w:rPr>
        <w:t xml:space="preserve"> </w:t>
      </w:r>
      <w:r>
        <w:rPr>
          <w:rFonts w:ascii="Bookman Old Style" w:hAnsi="Bookman Old Style" w:cs="Arial"/>
          <w:b w:val="0"/>
          <w:color w:val="000000"/>
        </w:rPr>
        <w:tab/>
      </w:r>
      <w:r w:rsidRPr="0035769F">
        <w:rPr>
          <w:rFonts w:ascii="Bookman Old Style" w:hAnsi="Bookman Old Style" w:cs="Arial"/>
          <w:b w:val="0"/>
          <w:color w:val="000000"/>
        </w:rPr>
        <w:t>Tasa efectiva anual</w:t>
      </w:r>
    </w:p>
    <w:p w14:paraId="0BEC9F0A" w14:textId="5715FD83" w:rsidR="00A714F9" w:rsidRPr="001C35A5" w:rsidRDefault="00A714F9" w:rsidP="00A87679">
      <w:pPr>
        <w:pStyle w:val="Subttulo"/>
        <w:ind w:left="1843" w:hanging="1843"/>
        <w:rPr>
          <w:rFonts w:ascii="Bookman Old Style" w:hAnsi="Bookman Old Style" w:cs="Arial"/>
          <w:b w:val="0"/>
          <w:i/>
          <w:color w:val="000000"/>
        </w:rPr>
      </w:pPr>
      <w:r w:rsidRPr="00236FDE">
        <w:rPr>
          <w:rFonts w:ascii="Bookman Old Style" w:hAnsi="Bookman Old Style" w:cs="Arial"/>
          <w:b w:val="0"/>
          <w:i/>
          <w:color w:val="000000"/>
        </w:rPr>
        <w:t>Sub</w:t>
      </w:r>
      <w:r>
        <w:rPr>
          <w:rFonts w:ascii="Bookman Old Style" w:hAnsi="Bookman Old Style" w:cs="Arial"/>
          <w:b w:val="0"/>
          <w:i/>
          <w:color w:val="000000"/>
        </w:rPr>
        <w:t>2</w:t>
      </w:r>
      <w:proofErr w:type="gramStart"/>
      <w:r w:rsidRPr="00236FDE">
        <w:rPr>
          <w:rFonts w:ascii="Bookman Old Style" w:hAnsi="Bookman Old Style" w:cs="Arial"/>
          <w:b w:val="0"/>
          <w:i/>
          <w:color w:val="000000"/>
          <w:vertAlign w:val="subscript"/>
        </w:rPr>
        <w:t>i,j</w:t>
      </w:r>
      <w:proofErr w:type="gramEnd"/>
      <w:r w:rsidRPr="00236FDE">
        <w:rPr>
          <w:rFonts w:ascii="Bookman Old Style" w:hAnsi="Bookman Old Style" w:cs="Arial"/>
          <w:b w:val="0"/>
          <w:i/>
          <w:color w:val="000000"/>
          <w:vertAlign w:val="subscript"/>
        </w:rPr>
        <w:t>,</w:t>
      </w:r>
      <w:r>
        <w:rPr>
          <w:rFonts w:ascii="Bookman Old Style" w:hAnsi="Bookman Old Style" w:cs="Arial"/>
          <w:b w:val="0"/>
          <w:i/>
          <w:color w:val="000000"/>
          <w:vertAlign w:val="subscript"/>
        </w:rPr>
        <w:t>T</w:t>
      </w:r>
      <w:r w:rsidRPr="001C35A5">
        <w:rPr>
          <w:rFonts w:ascii="Bookman Old Style" w:hAnsi="Bookman Old Style" w:cs="Arial"/>
          <w:b w:val="0"/>
          <w:color w:val="000000"/>
        </w:rPr>
        <w:t>:</w:t>
      </w:r>
      <w:r w:rsidRPr="001C35A5">
        <w:rPr>
          <w:rFonts w:ascii="Bookman Old Style" w:hAnsi="Bookman Old Style" w:cs="Arial"/>
          <w:b w:val="0"/>
          <w:color w:val="000000"/>
        </w:rPr>
        <w:tab/>
        <w:t xml:space="preserve">Valor promedio del déficit de subsidios pagados antes de finalizar cada trimestre, de acuerdo con las validaciones realizadas por el </w:t>
      </w:r>
      <w:r w:rsidRPr="001C35A5">
        <w:rPr>
          <w:rFonts w:ascii="Bookman Old Style" w:hAnsi="Bookman Old Style" w:cs="Arial"/>
          <w:b w:val="0"/>
          <w:color w:val="000000"/>
        </w:rPr>
        <w:lastRenderedPageBreak/>
        <w:t>Ministerio de Minas y Energía, de conformidad con el artículo 5 del Decreto 847 de 2001 o aquel que lo modifique</w:t>
      </w:r>
      <w:r w:rsidR="00E30CBE">
        <w:rPr>
          <w:rFonts w:ascii="Bookman Old Style" w:hAnsi="Bookman Old Style" w:cs="Arial"/>
          <w:b w:val="0"/>
          <w:color w:val="000000"/>
        </w:rPr>
        <w:t>, complemente</w:t>
      </w:r>
      <w:r w:rsidRPr="001C35A5">
        <w:rPr>
          <w:rFonts w:ascii="Bookman Old Style" w:hAnsi="Bookman Old Style" w:cs="Arial"/>
          <w:b w:val="0"/>
          <w:color w:val="000000"/>
        </w:rPr>
        <w:t xml:space="preserve"> o sustituya, para el comercializador</w:t>
      </w:r>
      <w:r>
        <w:rPr>
          <w:rFonts w:ascii="Bookman Old Style" w:hAnsi="Bookman Old Style" w:cs="Arial"/>
          <w:b w:val="0"/>
          <w:color w:val="000000"/>
        </w:rPr>
        <w:t xml:space="preserve"> </w:t>
      </w:r>
      <w:r w:rsidRPr="0046155D">
        <w:rPr>
          <w:rFonts w:ascii="Bookman Old Style" w:hAnsi="Bookman Old Style" w:cs="Arial"/>
          <w:b w:val="0"/>
          <w:i/>
          <w:color w:val="000000"/>
        </w:rPr>
        <w:t>i</w:t>
      </w:r>
      <w:r w:rsidRPr="001C35A5">
        <w:rPr>
          <w:rFonts w:ascii="Bookman Old Style" w:hAnsi="Bookman Old Style" w:cs="Arial"/>
          <w:b w:val="0"/>
          <w:color w:val="000000"/>
        </w:rPr>
        <w:t xml:space="preserve">, en el </w:t>
      </w:r>
      <w:r>
        <w:rPr>
          <w:rFonts w:ascii="Bookman Old Style" w:hAnsi="Bookman Old Style" w:cs="Arial"/>
          <w:b w:val="0"/>
          <w:color w:val="000000"/>
        </w:rPr>
        <w:t>m</w:t>
      </w:r>
      <w:r w:rsidRPr="001C35A5">
        <w:rPr>
          <w:rFonts w:ascii="Bookman Old Style" w:hAnsi="Bookman Old Style" w:cs="Arial"/>
          <w:b w:val="0"/>
          <w:color w:val="000000"/>
        </w:rPr>
        <w:t xml:space="preserve">ercado de </w:t>
      </w:r>
      <w:r>
        <w:rPr>
          <w:rFonts w:ascii="Bookman Old Style" w:hAnsi="Bookman Old Style" w:cs="Arial"/>
          <w:b w:val="0"/>
          <w:color w:val="000000"/>
        </w:rPr>
        <w:t>c</w:t>
      </w:r>
      <w:r w:rsidRPr="001C35A5">
        <w:rPr>
          <w:rFonts w:ascii="Bookman Old Style" w:hAnsi="Bookman Old Style" w:cs="Arial"/>
          <w:b w:val="0"/>
          <w:color w:val="000000"/>
        </w:rPr>
        <w:t>omercialización</w:t>
      </w:r>
      <w:r>
        <w:rPr>
          <w:rFonts w:ascii="Bookman Old Style" w:hAnsi="Bookman Old Style" w:cs="Arial"/>
          <w:b w:val="0"/>
          <w:color w:val="000000"/>
        </w:rPr>
        <w:t xml:space="preserve"> </w:t>
      </w:r>
      <w:r w:rsidRPr="0046155D">
        <w:rPr>
          <w:rFonts w:ascii="Bookman Old Style" w:hAnsi="Bookman Old Style" w:cs="Arial"/>
          <w:b w:val="0"/>
          <w:i/>
          <w:color w:val="000000"/>
        </w:rPr>
        <w:t>j</w:t>
      </w:r>
      <w:r w:rsidRPr="001C35A5">
        <w:rPr>
          <w:rFonts w:ascii="Bookman Old Style" w:hAnsi="Bookman Old Style" w:cs="Arial"/>
          <w:b w:val="0"/>
          <w:color w:val="000000"/>
        </w:rPr>
        <w:t>, para los trimestres</w:t>
      </w:r>
      <w:r>
        <w:rPr>
          <w:rFonts w:ascii="Bookman Old Style" w:hAnsi="Bookman Old Style" w:cs="Arial"/>
          <w:b w:val="0"/>
          <w:color w:val="000000"/>
        </w:rPr>
        <w:t xml:space="preserve"> </w:t>
      </w:r>
      <w:r w:rsidRPr="0046155D">
        <w:rPr>
          <w:rFonts w:ascii="Bookman Old Style" w:hAnsi="Bookman Old Style" w:cs="Arial"/>
          <w:b w:val="0"/>
          <w:i/>
          <w:color w:val="000000"/>
        </w:rPr>
        <w:t>T</w:t>
      </w:r>
      <w:r w:rsidRPr="001C35A5">
        <w:rPr>
          <w:rFonts w:ascii="Bookman Old Style" w:hAnsi="Bookman Old Style" w:cs="Arial"/>
          <w:b w:val="0"/>
          <w:color w:val="000000"/>
        </w:rPr>
        <w:t>.</w:t>
      </w:r>
    </w:p>
    <w:p w14:paraId="1FE8F4F6" w14:textId="77777777" w:rsidR="00296671" w:rsidRDefault="00A714F9" w:rsidP="00A87679">
      <w:pPr>
        <w:pStyle w:val="Subttulo"/>
        <w:ind w:left="1843" w:hanging="1843"/>
        <w:rPr>
          <w:rFonts w:ascii="Bookman Old Style" w:hAnsi="Bookman Old Style" w:cs="Arial"/>
          <w:b w:val="0"/>
          <w:color w:val="000000"/>
        </w:rPr>
      </w:pPr>
      <w:proofErr w:type="spellStart"/>
      <w:proofErr w:type="gramStart"/>
      <w:r w:rsidRPr="00236FDE">
        <w:rPr>
          <w:rFonts w:ascii="Bookman Old Style" w:hAnsi="Bookman Old Style" w:cs="Arial"/>
          <w:b w:val="0"/>
          <w:i/>
          <w:color w:val="000000"/>
        </w:rPr>
        <w:t>Facturación</w:t>
      </w:r>
      <w:r w:rsidRPr="00236FDE">
        <w:rPr>
          <w:rFonts w:ascii="Bookman Old Style" w:hAnsi="Bookman Old Style" w:cs="Arial"/>
          <w:b w:val="0"/>
          <w:i/>
          <w:color w:val="000000"/>
          <w:vertAlign w:val="subscript"/>
        </w:rPr>
        <w:t>i,j</w:t>
      </w:r>
      <w:proofErr w:type="gramEnd"/>
      <w:r w:rsidRPr="00236FDE">
        <w:rPr>
          <w:rFonts w:ascii="Bookman Old Style" w:hAnsi="Bookman Old Style" w:cs="Arial"/>
          <w:b w:val="0"/>
          <w:i/>
          <w:color w:val="000000"/>
          <w:vertAlign w:val="subscript"/>
        </w:rPr>
        <w:t>,T</w:t>
      </w:r>
      <w:proofErr w:type="spellEnd"/>
      <w:r w:rsidRPr="001C35A5">
        <w:rPr>
          <w:rFonts w:ascii="Bookman Old Style" w:hAnsi="Bookman Old Style" w:cs="Arial"/>
          <w:b w:val="0"/>
          <w:color w:val="000000"/>
        </w:rPr>
        <w:t>:</w:t>
      </w:r>
      <w:r w:rsidRPr="001C35A5">
        <w:rPr>
          <w:rFonts w:ascii="Bookman Old Style" w:hAnsi="Bookman Old Style" w:cs="Arial"/>
          <w:b w:val="0"/>
          <w:color w:val="000000"/>
        </w:rPr>
        <w:tab/>
        <w:t>Corresponde a la facturación por concepto de ventas de energía realizadas por el comercializador</w:t>
      </w:r>
      <w:r w:rsidRPr="0046155D">
        <w:rPr>
          <w:rFonts w:ascii="Bookman Old Style" w:hAnsi="Bookman Old Style" w:cs="Arial"/>
          <w:b w:val="0"/>
          <w:i/>
          <w:color w:val="000000"/>
        </w:rPr>
        <w:t xml:space="preserve"> i</w:t>
      </w:r>
      <w:r w:rsidRPr="001C35A5">
        <w:rPr>
          <w:rFonts w:ascii="Bookman Old Style" w:hAnsi="Bookman Old Style" w:cs="Arial"/>
          <w:b w:val="0"/>
          <w:color w:val="000000"/>
        </w:rPr>
        <w:t xml:space="preserve">, en el </w:t>
      </w:r>
      <w:r>
        <w:rPr>
          <w:rFonts w:ascii="Bookman Old Style" w:hAnsi="Bookman Old Style" w:cs="Arial"/>
          <w:b w:val="0"/>
          <w:color w:val="000000"/>
        </w:rPr>
        <w:t>m</w:t>
      </w:r>
      <w:r w:rsidRPr="001C35A5">
        <w:rPr>
          <w:rFonts w:ascii="Bookman Old Style" w:hAnsi="Bookman Old Style" w:cs="Arial"/>
          <w:b w:val="0"/>
          <w:color w:val="000000"/>
        </w:rPr>
        <w:t xml:space="preserve">ercado de </w:t>
      </w:r>
      <w:r>
        <w:rPr>
          <w:rFonts w:ascii="Bookman Old Style" w:hAnsi="Bookman Old Style" w:cs="Arial"/>
          <w:b w:val="0"/>
          <w:color w:val="000000"/>
        </w:rPr>
        <w:t>c</w:t>
      </w:r>
      <w:r w:rsidRPr="001C35A5">
        <w:rPr>
          <w:rFonts w:ascii="Bookman Old Style" w:hAnsi="Bookman Old Style" w:cs="Arial"/>
          <w:b w:val="0"/>
          <w:color w:val="000000"/>
        </w:rPr>
        <w:t>omercialización</w:t>
      </w:r>
      <w:r>
        <w:rPr>
          <w:rFonts w:ascii="Bookman Old Style" w:hAnsi="Bookman Old Style" w:cs="Arial"/>
          <w:b w:val="0"/>
          <w:color w:val="000000"/>
        </w:rPr>
        <w:t xml:space="preserve"> </w:t>
      </w:r>
      <w:r w:rsidRPr="0046155D">
        <w:rPr>
          <w:rFonts w:ascii="Bookman Old Style" w:hAnsi="Bookman Old Style" w:cs="Arial"/>
          <w:b w:val="0"/>
          <w:i/>
          <w:color w:val="000000"/>
        </w:rPr>
        <w:t>j</w:t>
      </w:r>
      <w:r w:rsidRPr="001C35A5">
        <w:rPr>
          <w:rFonts w:ascii="Bookman Old Style" w:hAnsi="Bookman Old Style" w:cs="Arial"/>
          <w:b w:val="0"/>
          <w:color w:val="000000"/>
        </w:rPr>
        <w:t>, para los trimestres</w:t>
      </w:r>
      <w:r>
        <w:rPr>
          <w:rFonts w:ascii="Bookman Old Style" w:hAnsi="Bookman Old Style" w:cs="Arial"/>
          <w:b w:val="0"/>
          <w:color w:val="000000"/>
        </w:rPr>
        <w:t xml:space="preserve"> </w:t>
      </w:r>
      <w:r w:rsidRPr="0046155D">
        <w:rPr>
          <w:rFonts w:ascii="Bookman Old Style" w:hAnsi="Bookman Old Style" w:cs="Arial"/>
          <w:b w:val="0"/>
          <w:i/>
          <w:color w:val="000000"/>
        </w:rPr>
        <w:t>T</w:t>
      </w:r>
      <w:r w:rsidRPr="001C35A5">
        <w:rPr>
          <w:rFonts w:ascii="Bookman Old Style" w:hAnsi="Bookman Old Style" w:cs="Arial"/>
          <w:b w:val="0"/>
          <w:color w:val="000000"/>
        </w:rPr>
        <w:t xml:space="preserve">. </w:t>
      </w:r>
    </w:p>
    <w:p w14:paraId="0F9E00FA" w14:textId="49F6E62C" w:rsidR="00A714F9" w:rsidRDefault="00A714F9" w:rsidP="00296671">
      <w:pPr>
        <w:pStyle w:val="Subttulo"/>
        <w:ind w:left="1843"/>
        <w:rPr>
          <w:rFonts w:ascii="Bookman Old Style" w:hAnsi="Bookman Old Style" w:cs="Arial"/>
          <w:b w:val="0"/>
          <w:color w:val="000000"/>
        </w:rPr>
      </w:pPr>
      <w:r w:rsidRPr="001C35A5">
        <w:rPr>
          <w:rFonts w:ascii="Bookman Old Style" w:hAnsi="Bookman Old Style" w:cs="Arial"/>
          <w:b w:val="0"/>
          <w:color w:val="000000"/>
        </w:rPr>
        <w:t>Esta facturación debe coincidir con lo reportado al Sistema Unificado de Información, SUI, para usuarios regulados en los form</w:t>
      </w:r>
      <w:r w:rsidRPr="00C57FE9">
        <w:rPr>
          <w:rFonts w:ascii="Bookman Old Style" w:hAnsi="Bookman Old Style" w:cs="Arial"/>
          <w:b w:val="0"/>
          <w:color w:val="000000"/>
        </w:rPr>
        <w:t>atos 2 y 3 de la Re</w:t>
      </w:r>
      <w:r w:rsidRPr="001C35A5">
        <w:rPr>
          <w:rFonts w:ascii="Bookman Old Style" w:hAnsi="Bookman Old Style" w:cs="Arial"/>
          <w:b w:val="0"/>
          <w:color w:val="000000"/>
        </w:rPr>
        <w:t xml:space="preserve">solución SSPD </w:t>
      </w:r>
      <w:r w:rsidR="0051336E" w:rsidRPr="0051336E">
        <w:rPr>
          <w:rFonts w:ascii="Bookman Old Style" w:hAnsi="Bookman Old Style" w:cs="Arial"/>
          <w:b w:val="0"/>
          <w:color w:val="000000"/>
        </w:rPr>
        <w:t xml:space="preserve">20212200012515 </w:t>
      </w:r>
      <w:r w:rsidR="0051336E">
        <w:rPr>
          <w:rFonts w:ascii="Bookman Old Style" w:hAnsi="Bookman Old Style" w:cs="Arial"/>
          <w:b w:val="0"/>
          <w:color w:val="000000"/>
        </w:rPr>
        <w:t>de</w:t>
      </w:r>
      <w:r w:rsidR="0051336E" w:rsidRPr="0051336E">
        <w:rPr>
          <w:rFonts w:ascii="Bookman Old Style" w:hAnsi="Bookman Old Style" w:cs="Arial"/>
          <w:b w:val="0"/>
          <w:color w:val="000000"/>
        </w:rPr>
        <w:t xml:space="preserve"> 2021</w:t>
      </w:r>
      <w:r w:rsidRPr="001C35A5">
        <w:rPr>
          <w:rFonts w:ascii="Bookman Old Style" w:hAnsi="Bookman Old Style" w:cs="Arial"/>
          <w:b w:val="0"/>
          <w:color w:val="000000"/>
        </w:rPr>
        <w:t xml:space="preserve"> o aquella que la modifique, complemente o sustituya</w:t>
      </w:r>
      <w:r>
        <w:rPr>
          <w:rFonts w:ascii="Bookman Old Style" w:hAnsi="Bookman Old Style" w:cs="Arial"/>
          <w:b w:val="0"/>
          <w:color w:val="000000"/>
        </w:rPr>
        <w:t>.</w:t>
      </w:r>
    </w:p>
    <w:p w14:paraId="435CDA61" w14:textId="77777777" w:rsidR="00D55B12" w:rsidRPr="0033174D" w:rsidRDefault="00D55B12" w:rsidP="00D55B12">
      <w:pPr>
        <w:pStyle w:val="Subttulo"/>
        <w:ind w:left="1843"/>
        <w:rPr>
          <w:rFonts w:ascii="Bookman Old Style" w:hAnsi="Bookman Old Style" w:cs="Arial"/>
          <w:b w:val="0"/>
          <w:color w:val="000000"/>
        </w:rPr>
      </w:pPr>
    </w:p>
    <w:p w14:paraId="5C329C58" w14:textId="4151F0F3" w:rsidR="00D55B12" w:rsidRPr="004E77B3" w:rsidRDefault="00D55B12" w:rsidP="00D55B12">
      <w:pPr>
        <w:pStyle w:val="Ttulo1"/>
      </w:pPr>
      <w:bookmarkStart w:id="60" w:name="_Ref460923885"/>
      <w:bookmarkStart w:id="61" w:name="_Toc164064369"/>
      <w:bookmarkStart w:id="62" w:name="_Ref398643120"/>
      <w:bookmarkStart w:id="63" w:name="_Toc408493136"/>
      <w:r>
        <w:t>CALIDAD DEL SERVICIO COMERCIAL</w:t>
      </w:r>
      <w:bookmarkEnd w:id="60"/>
      <w:bookmarkEnd w:id="61"/>
      <w:bookmarkEnd w:id="62"/>
      <w:bookmarkEnd w:id="63"/>
    </w:p>
    <w:p w14:paraId="457E51C8" w14:textId="1F97F13C" w:rsidR="00587DBC" w:rsidRDefault="00587DBC" w:rsidP="00587DBC">
      <w:pPr>
        <w:pStyle w:val="Ttulo2"/>
      </w:pPr>
      <w:r>
        <w:t xml:space="preserve">FACTOR DE AJUSTE </w:t>
      </w:r>
      <w:r w:rsidR="00F25CA1">
        <w:t>AL MARGEN OPERACIONAL</w:t>
      </w:r>
    </w:p>
    <w:p w14:paraId="78357CF8" w14:textId="77E4CDA6" w:rsidR="00D55B12" w:rsidRDefault="00D55B12" w:rsidP="00D55B12">
      <w:pPr>
        <w:spacing w:before="0" w:after="0"/>
        <w:rPr>
          <w:lang w:eastAsia="ar-SA"/>
        </w:rPr>
      </w:pPr>
      <w:r>
        <w:rPr>
          <w:lang w:eastAsia="ar-SA"/>
        </w:rPr>
        <w:t xml:space="preserve">La evaluación de la calidad del servicio comercial será considerada a partir de un valor mínimo de cumplimiento </w:t>
      </w:r>
      <w:r w:rsidR="00664A56">
        <w:rPr>
          <w:lang w:eastAsia="ar-SA"/>
        </w:rPr>
        <w:t xml:space="preserve">de los indicadores definidos en el </w:t>
      </w:r>
      <w:r w:rsidR="00664A56">
        <w:rPr>
          <w:lang w:val="es-CO" w:eastAsia="ar-SA"/>
        </w:rPr>
        <w:t xml:space="preserve">numeral 3.2 del presente anexo </w:t>
      </w:r>
      <w:r>
        <w:rPr>
          <w:lang w:eastAsia="ar-SA"/>
        </w:rPr>
        <w:t xml:space="preserve">y se verá reflejado en una variable calculada anualmente que </w:t>
      </w:r>
      <w:r w:rsidR="0029765D">
        <w:rPr>
          <w:lang w:eastAsia="ar-SA"/>
        </w:rPr>
        <w:t xml:space="preserve">afectará </w:t>
      </w:r>
      <w:r>
        <w:rPr>
          <w:lang w:eastAsia="ar-SA"/>
        </w:rPr>
        <w:t>e</w:t>
      </w:r>
      <w:r w:rsidR="00E9482F">
        <w:rPr>
          <w:lang w:eastAsia="ar-SA"/>
        </w:rPr>
        <w:t>l</w:t>
      </w:r>
      <w:r>
        <w:rPr>
          <w:lang w:eastAsia="ar-SA"/>
        </w:rPr>
        <w:t xml:space="preserve"> margen operacional, de conformidad con la siguiente fórmula:</w:t>
      </w:r>
    </w:p>
    <w:p w14:paraId="370828A9" w14:textId="77777777" w:rsidR="00D55B12" w:rsidRDefault="00D55B12" w:rsidP="00D55B12">
      <w:pPr>
        <w:spacing w:before="0" w:after="0"/>
        <w:rPr>
          <w:lang w:eastAsia="ar-SA"/>
        </w:rPr>
      </w:pPr>
    </w:p>
    <w:p w14:paraId="4F0CAAE5" w14:textId="4E336786" w:rsidR="00D55B12" w:rsidRPr="00D54E33" w:rsidRDefault="00000000" w:rsidP="00D55B12">
      <w:pPr>
        <w:spacing w:before="0" w:after="0"/>
        <w:rPr>
          <w:color w:val="000000"/>
        </w:rPr>
      </w:pPr>
      <m:oMathPara>
        <m:oMath>
          <m:sSub>
            <m:sSubPr>
              <m:ctrlPr>
                <w:rPr>
                  <w:rFonts w:ascii="Cambria Math" w:hAnsi="Cambria Math"/>
                  <w:i/>
                  <w:color w:val="000000"/>
                </w:rPr>
              </m:ctrlPr>
            </m:sSubPr>
            <m:e>
              <m:r>
                <w:rPr>
                  <w:rFonts w:ascii="Cambria Math" w:hAnsi="Cambria Math"/>
                  <w:color w:val="000000"/>
                </w:rPr>
                <m:t>ACS</m:t>
              </m:r>
            </m:e>
            <m:sub>
              <m:r>
                <w:rPr>
                  <w:rFonts w:ascii="Cambria Math" w:hAnsi="Cambria Math"/>
                  <w:color w:val="000000"/>
                </w:rPr>
                <m:t>i,j,t</m:t>
              </m:r>
            </m:sub>
          </m:sSub>
          <m:r>
            <w:rPr>
              <w:rFonts w:ascii="Cambria Math" w:hAnsi="Cambria Math"/>
              <w:color w:val="000000"/>
            </w:rPr>
            <m:t xml:space="preserve">=1-0,02 </m:t>
          </m:r>
          <m:sSub>
            <m:sSubPr>
              <m:ctrlPr>
                <w:rPr>
                  <w:rFonts w:ascii="Cambria Math" w:hAnsi="Cambria Math"/>
                  <w:i/>
                  <w:color w:val="000000"/>
                </w:rPr>
              </m:ctrlPr>
            </m:sSubPr>
            <m:e>
              <m:r>
                <w:rPr>
                  <w:rFonts w:ascii="Cambria Math" w:hAnsi="Cambria Math"/>
                  <w:color w:val="000000"/>
                </w:rPr>
                <m:t>inc</m:t>
              </m:r>
            </m:e>
            <m:sub>
              <m:r>
                <w:rPr>
                  <w:rFonts w:ascii="Cambria Math" w:hAnsi="Cambria Math"/>
                  <w:color w:val="000000"/>
                </w:rPr>
                <m:t>i,j,t-1</m:t>
              </m:r>
            </m:sub>
          </m:sSub>
        </m:oMath>
      </m:oMathPara>
    </w:p>
    <w:p w14:paraId="3404E251" w14:textId="77777777" w:rsidR="00D55B12" w:rsidRDefault="00D55B12" w:rsidP="00D55B12">
      <w:pPr>
        <w:spacing w:before="0" w:after="0"/>
        <w:rPr>
          <w:color w:val="000000"/>
        </w:rPr>
      </w:pPr>
    </w:p>
    <w:p w14:paraId="3A6B1013" w14:textId="77777777" w:rsidR="00D55B12" w:rsidRDefault="00D55B12" w:rsidP="00D55B12">
      <w:pPr>
        <w:spacing w:before="0" w:after="0"/>
        <w:rPr>
          <w:color w:val="000000"/>
        </w:rPr>
      </w:pPr>
      <w:r>
        <w:rPr>
          <w:color w:val="000000"/>
        </w:rPr>
        <w:t>Donde:</w:t>
      </w:r>
    </w:p>
    <w:p w14:paraId="34179D49" w14:textId="5158779B" w:rsidR="00E3177D" w:rsidRDefault="00D55B12" w:rsidP="00D55B12">
      <w:pPr>
        <w:pStyle w:val="Subttulo"/>
        <w:ind w:left="1843" w:hanging="1843"/>
        <w:rPr>
          <w:rFonts w:ascii="Bookman Old Style" w:hAnsi="Bookman Old Style" w:cs="Arial"/>
          <w:color w:val="000000"/>
        </w:rPr>
      </w:pPr>
      <w:proofErr w:type="spellStart"/>
      <w:proofErr w:type="gramStart"/>
      <w:r>
        <w:rPr>
          <w:rFonts w:ascii="Bookman Old Style" w:hAnsi="Bookman Old Style" w:cs="Arial"/>
          <w:b w:val="0"/>
          <w:i/>
          <w:color w:val="000000"/>
        </w:rPr>
        <w:t>ACS</w:t>
      </w:r>
      <w:r>
        <w:rPr>
          <w:rFonts w:ascii="Bookman Old Style" w:hAnsi="Bookman Old Style" w:cs="Arial"/>
          <w:b w:val="0"/>
          <w:i/>
          <w:color w:val="000000"/>
          <w:vertAlign w:val="subscript"/>
        </w:rPr>
        <w:t>i,</w:t>
      </w:r>
      <w:r w:rsidR="000D0B52">
        <w:rPr>
          <w:rFonts w:ascii="Bookman Old Style" w:hAnsi="Bookman Old Style" w:cs="Arial"/>
          <w:b w:val="0"/>
          <w:i/>
          <w:color w:val="000000"/>
          <w:vertAlign w:val="subscript"/>
        </w:rPr>
        <w:t>j</w:t>
      </w:r>
      <w:proofErr w:type="gramEnd"/>
      <w:r w:rsidR="000D0B52">
        <w:rPr>
          <w:rFonts w:ascii="Bookman Old Style" w:hAnsi="Bookman Old Style" w:cs="Arial"/>
          <w:b w:val="0"/>
          <w:i/>
          <w:color w:val="000000"/>
          <w:vertAlign w:val="subscript"/>
        </w:rPr>
        <w:t>,</w:t>
      </w:r>
      <w:r>
        <w:rPr>
          <w:rFonts w:ascii="Bookman Old Style" w:hAnsi="Bookman Old Style" w:cs="Arial"/>
          <w:b w:val="0"/>
          <w:i/>
          <w:color w:val="000000"/>
          <w:vertAlign w:val="subscript"/>
        </w:rPr>
        <w:t>t</w:t>
      </w:r>
      <w:proofErr w:type="spellEnd"/>
      <w:r>
        <w:rPr>
          <w:rFonts w:ascii="Bookman Old Style" w:hAnsi="Bookman Old Style" w:cs="Arial"/>
          <w:b w:val="0"/>
          <w:i/>
          <w:color w:val="000000"/>
        </w:rPr>
        <w:tab/>
      </w:r>
      <w:r>
        <w:rPr>
          <w:rFonts w:ascii="Bookman Old Style" w:hAnsi="Bookman Old Style" w:cs="Arial"/>
          <w:b w:val="0"/>
          <w:iCs/>
          <w:color w:val="000000"/>
        </w:rPr>
        <w:t>Factor de ajuste al margen operacional</w:t>
      </w:r>
      <w:r w:rsidRPr="00712EB8">
        <w:rPr>
          <w:rFonts w:ascii="Bookman Old Style" w:hAnsi="Bookman Old Style" w:cs="Arial"/>
          <w:b w:val="0"/>
          <w:color w:val="000000"/>
        </w:rPr>
        <w:t xml:space="preserve"> </w:t>
      </w:r>
      <w:proofErr w:type="spellStart"/>
      <w:r w:rsidRPr="00F15D5B">
        <w:rPr>
          <w:rFonts w:ascii="Bookman Old Style" w:hAnsi="Bookman Old Style" w:cs="Arial"/>
          <w:b w:val="0"/>
          <w:i/>
          <w:iCs/>
          <w:color w:val="000000"/>
        </w:rPr>
        <w:t>mo</w:t>
      </w:r>
      <w:proofErr w:type="spellEnd"/>
      <w:r w:rsidRPr="00712EB8">
        <w:rPr>
          <w:rFonts w:ascii="Bookman Old Style" w:hAnsi="Bookman Old Style" w:cs="Arial"/>
          <w:b w:val="0"/>
          <w:color w:val="000000"/>
        </w:rPr>
        <w:t xml:space="preserve">, </w:t>
      </w:r>
      <w:r>
        <w:rPr>
          <w:rFonts w:ascii="Bookman Old Style" w:hAnsi="Bookman Old Style" w:cs="Arial"/>
          <w:b w:val="0"/>
          <w:color w:val="000000"/>
        </w:rPr>
        <w:t xml:space="preserve">aplicable en el año </w:t>
      </w:r>
      <m:oMath>
        <m:r>
          <m:rPr>
            <m:sty m:val="bi"/>
          </m:rPr>
          <w:rPr>
            <w:rFonts w:ascii="Cambria Math" w:hAnsi="Cambria Math" w:cs="Arial"/>
            <w:color w:val="000000"/>
          </w:rPr>
          <m:t>t</m:t>
        </m:r>
      </m:oMath>
      <w:r>
        <w:rPr>
          <w:rFonts w:ascii="Bookman Old Style" w:hAnsi="Bookman Old Style" w:cs="Arial"/>
          <w:b w:val="0"/>
          <w:color w:val="000000"/>
        </w:rPr>
        <w:t xml:space="preserve">, </w:t>
      </w:r>
      <w:r w:rsidR="000D0B52" w:rsidRPr="000D0B52">
        <w:rPr>
          <w:rFonts w:ascii="Bookman Old Style" w:hAnsi="Bookman Old Style" w:cs="Arial"/>
          <w:b w:val="0"/>
          <w:color w:val="000000"/>
        </w:rPr>
        <w:t xml:space="preserve">  </w:t>
      </w:r>
      <w:r w:rsidR="00B5459D">
        <w:rPr>
          <w:rFonts w:ascii="Bookman Old Style" w:hAnsi="Bookman Old Style" w:cs="Arial"/>
          <w:b w:val="0"/>
          <w:color w:val="000000"/>
        </w:rPr>
        <w:t>que refleja el nivel de cumplimiento</w:t>
      </w:r>
      <w:r w:rsidR="00B5459D" w:rsidRPr="000D0B52">
        <w:rPr>
          <w:rFonts w:ascii="Bookman Old Style" w:hAnsi="Bookman Old Style" w:cs="Arial"/>
          <w:b w:val="0"/>
          <w:color w:val="000000"/>
        </w:rPr>
        <w:t xml:space="preserve"> </w:t>
      </w:r>
      <w:r w:rsidR="00B5459D">
        <w:rPr>
          <w:rFonts w:ascii="Bookman Old Style" w:hAnsi="Bookman Old Style" w:cs="Arial"/>
          <w:b w:val="0"/>
          <w:color w:val="000000"/>
        </w:rPr>
        <w:t xml:space="preserve">de </w:t>
      </w:r>
      <w:r w:rsidR="000D0B52" w:rsidRPr="000D0B52">
        <w:rPr>
          <w:rFonts w:ascii="Bookman Old Style" w:hAnsi="Bookman Old Style" w:cs="Arial"/>
          <w:b w:val="0"/>
          <w:color w:val="000000"/>
        </w:rPr>
        <w:t xml:space="preserve">la calidad del servicio comercial del año </w:t>
      </w:r>
      <m:oMath>
        <m:r>
          <m:rPr>
            <m:sty m:val="bi"/>
          </m:rPr>
          <w:rPr>
            <w:rFonts w:ascii="Cambria Math" w:hAnsi="Cambria Math" w:cs="Arial"/>
            <w:color w:val="000000"/>
          </w:rPr>
          <m:t>t-1</m:t>
        </m:r>
      </m:oMath>
      <w:r w:rsidR="000D0B52" w:rsidRPr="000D0B52">
        <w:rPr>
          <w:rFonts w:ascii="Bookman Old Style" w:hAnsi="Bookman Old Style" w:cs="Arial"/>
          <w:b w:val="0"/>
          <w:color w:val="000000"/>
        </w:rPr>
        <w:t xml:space="preserve">, en el mercado j, </w:t>
      </w:r>
      <w:r>
        <w:rPr>
          <w:rFonts w:ascii="Bookman Old Style" w:hAnsi="Bookman Old Style" w:cs="Arial"/>
          <w:b w:val="0"/>
          <w:color w:val="000000"/>
        </w:rPr>
        <w:t xml:space="preserve">del comercializador </w:t>
      </w:r>
      <m:oMath>
        <m:r>
          <m:rPr>
            <m:sty m:val="bi"/>
          </m:rPr>
          <w:rPr>
            <w:rFonts w:ascii="Cambria Math" w:hAnsi="Cambria Math" w:cs="Arial"/>
            <w:color w:val="000000"/>
          </w:rPr>
          <m:t>i</m:t>
        </m:r>
      </m:oMath>
      <w:r w:rsidR="00E3177D" w:rsidRPr="00E3177D">
        <w:rPr>
          <w:rFonts w:ascii="Bookman Old Style" w:hAnsi="Bookman Old Style" w:cs="Arial"/>
          <w:b w:val="0"/>
          <w:bCs w:val="0"/>
          <w:color w:val="000000"/>
        </w:rPr>
        <w:t>.</w:t>
      </w:r>
    </w:p>
    <w:p w14:paraId="196B4FC3" w14:textId="00E9CFD5" w:rsidR="00D55B12" w:rsidRDefault="00000000" w:rsidP="00D55B12">
      <w:pPr>
        <w:pStyle w:val="Subttulo"/>
        <w:ind w:left="1843" w:hanging="1843"/>
        <w:rPr>
          <w:rFonts w:ascii="Bookman Old Style" w:hAnsi="Bookman Old Style" w:cs="Arial"/>
          <w:b w:val="0"/>
          <w:color w:val="000000"/>
        </w:rPr>
      </w:pPr>
      <m:oMath>
        <m:sSub>
          <m:sSubPr>
            <m:ctrlPr>
              <w:rPr>
                <w:rFonts w:ascii="Cambria Math" w:hAnsi="Cambria Math" w:cs="Arial"/>
                <w:b w:val="0"/>
                <w:i/>
                <w:color w:val="000000"/>
              </w:rPr>
            </m:ctrlPr>
          </m:sSubPr>
          <m:e>
            <m:r>
              <m:rPr>
                <m:sty m:val="bi"/>
              </m:rPr>
              <w:rPr>
                <w:rFonts w:ascii="Cambria Math" w:hAnsi="Cambria Math" w:cs="Arial"/>
                <w:color w:val="000000"/>
              </w:rPr>
              <m:t>inc</m:t>
            </m:r>
          </m:e>
          <m:sub>
            <m:r>
              <m:rPr>
                <m:sty m:val="bi"/>
              </m:rPr>
              <w:rPr>
                <w:rFonts w:ascii="Cambria Math" w:hAnsi="Cambria Math" w:cs="Arial"/>
                <w:color w:val="000000"/>
              </w:rPr>
              <m:t>i,j,t-1</m:t>
            </m:r>
          </m:sub>
        </m:sSub>
      </m:oMath>
      <w:r w:rsidR="00D55B12">
        <w:rPr>
          <w:rFonts w:ascii="Bookman Old Style" w:hAnsi="Bookman Old Style" w:cs="Arial"/>
          <w:b w:val="0"/>
          <w:color w:val="000000"/>
        </w:rPr>
        <w:t xml:space="preserve"> </w:t>
      </w:r>
      <w:r w:rsidR="00D55B12">
        <w:rPr>
          <w:rFonts w:ascii="Bookman Old Style" w:hAnsi="Bookman Old Style" w:cs="Arial"/>
          <w:b w:val="0"/>
          <w:color w:val="000000"/>
        </w:rPr>
        <w:tab/>
        <w:t xml:space="preserve">Número de indicadores no cumplidos, que corresponde a aquellos indicadores sobre los cuales el comercializador </w:t>
      </w:r>
      <m:oMath>
        <m:r>
          <m:rPr>
            <m:sty m:val="bi"/>
          </m:rPr>
          <w:rPr>
            <w:rFonts w:ascii="Cambria Math" w:hAnsi="Cambria Math" w:cs="Arial"/>
            <w:color w:val="000000"/>
          </w:rPr>
          <m:t>i</m:t>
        </m:r>
      </m:oMath>
      <w:r w:rsidR="005A4C07" w:rsidRPr="005A4C07">
        <w:rPr>
          <w:rFonts w:ascii="Bookman Old Style" w:hAnsi="Bookman Old Style" w:cs="Arial"/>
          <w:b w:val="0"/>
          <w:bCs w:val="0"/>
          <w:color w:val="000000"/>
        </w:rPr>
        <w:t>, en el mercado</w:t>
      </w:r>
      <w:r w:rsidR="005A4C07">
        <w:rPr>
          <w:rFonts w:ascii="Bookman Old Style" w:hAnsi="Bookman Old Style" w:cs="Arial"/>
          <w:b w:val="0"/>
          <w:color w:val="000000"/>
        </w:rPr>
        <w:t xml:space="preserve"> </w:t>
      </w:r>
      <m:oMath>
        <m:r>
          <m:rPr>
            <m:sty m:val="bi"/>
          </m:rPr>
          <w:rPr>
            <w:rFonts w:ascii="Cambria Math" w:hAnsi="Cambria Math" w:cs="Arial"/>
            <w:color w:val="000000"/>
          </w:rPr>
          <m:t>j</m:t>
        </m:r>
      </m:oMath>
      <w:r w:rsidR="004C1460">
        <w:rPr>
          <w:rFonts w:ascii="Bookman Old Style" w:hAnsi="Bookman Old Style" w:cs="Arial"/>
          <w:b w:val="0"/>
          <w:color w:val="000000"/>
        </w:rPr>
        <w:t>,</w:t>
      </w:r>
      <w:r w:rsidR="00D55B12">
        <w:rPr>
          <w:rFonts w:ascii="Bookman Old Style" w:hAnsi="Bookman Old Style" w:cs="Arial"/>
          <w:b w:val="0"/>
          <w:color w:val="000000"/>
        </w:rPr>
        <w:t xml:space="preserve"> </w:t>
      </w:r>
      <w:r w:rsidR="004C1460">
        <w:rPr>
          <w:rFonts w:ascii="Bookman Old Style" w:hAnsi="Bookman Old Style" w:cs="Arial"/>
          <w:b w:val="0"/>
          <w:color w:val="000000"/>
        </w:rPr>
        <w:t>para el a</w:t>
      </w:r>
      <w:r w:rsidR="00902BA4">
        <w:rPr>
          <w:rFonts w:ascii="Bookman Old Style" w:hAnsi="Bookman Old Style" w:cs="Arial"/>
          <w:b w:val="0"/>
          <w:color w:val="000000"/>
        </w:rPr>
        <w:t>ñ</w:t>
      </w:r>
      <w:r w:rsidR="00D55B12">
        <w:rPr>
          <w:rFonts w:ascii="Bookman Old Style" w:hAnsi="Bookman Old Style" w:cs="Arial"/>
          <w:b w:val="0"/>
          <w:color w:val="000000"/>
        </w:rPr>
        <w:t>o</w:t>
      </w:r>
      <w:r w:rsidR="00902BA4">
        <w:rPr>
          <w:rFonts w:ascii="Bookman Old Style" w:hAnsi="Bookman Old Style" w:cs="Arial"/>
          <w:b w:val="0"/>
          <w:color w:val="000000"/>
        </w:rPr>
        <w:t xml:space="preserve"> </w:t>
      </w:r>
      <m:oMath>
        <m:r>
          <m:rPr>
            <m:sty m:val="bi"/>
          </m:rPr>
          <w:rPr>
            <w:rFonts w:ascii="Cambria Math" w:hAnsi="Cambria Math" w:cs="Arial"/>
            <w:color w:val="000000"/>
          </w:rPr>
          <m:t>t-1</m:t>
        </m:r>
      </m:oMath>
      <w:r w:rsidR="00902BA4">
        <w:rPr>
          <w:rFonts w:ascii="Bookman Old Style" w:hAnsi="Bookman Old Style" w:cs="Arial"/>
          <w:b w:val="0"/>
          <w:color w:val="000000"/>
        </w:rPr>
        <w:t>,</w:t>
      </w:r>
      <w:r w:rsidR="00D55B12">
        <w:rPr>
          <w:rFonts w:ascii="Bookman Old Style" w:hAnsi="Bookman Old Style" w:cs="Arial"/>
          <w:b w:val="0"/>
          <w:color w:val="000000"/>
        </w:rPr>
        <w:t xml:space="preserve"> </w:t>
      </w:r>
      <w:r w:rsidR="00675920">
        <w:rPr>
          <w:rFonts w:ascii="Bookman Old Style" w:hAnsi="Bookman Old Style" w:cs="Arial"/>
          <w:b w:val="0"/>
          <w:color w:val="000000"/>
        </w:rPr>
        <w:t xml:space="preserve">no </w:t>
      </w:r>
      <w:r w:rsidR="00D55B12">
        <w:rPr>
          <w:rFonts w:ascii="Bookman Old Style" w:hAnsi="Bookman Old Style" w:cs="Arial"/>
          <w:b w:val="0"/>
          <w:color w:val="000000"/>
        </w:rPr>
        <w:t>alcanzó un nivel de cumplimiento</w:t>
      </w:r>
      <w:r w:rsidR="00780D5F">
        <w:rPr>
          <w:rFonts w:ascii="Bookman Old Style" w:hAnsi="Bookman Old Style" w:cs="Arial"/>
          <w:b w:val="0"/>
          <w:color w:val="000000"/>
        </w:rPr>
        <w:t xml:space="preserve"> </w:t>
      </w:r>
      <w:r w:rsidR="00D55B12">
        <w:rPr>
          <w:rFonts w:ascii="Bookman Old Style" w:hAnsi="Bookman Old Style" w:cs="Arial"/>
          <w:b w:val="0"/>
          <w:color w:val="000000"/>
        </w:rPr>
        <w:t>definido por la CREG.</w:t>
      </w:r>
    </w:p>
    <w:p w14:paraId="63960BBA" w14:textId="77777777" w:rsidR="00D55B12" w:rsidRDefault="00D55B12" w:rsidP="00D55B12">
      <w:pPr>
        <w:pStyle w:val="Ttulo2"/>
      </w:pPr>
      <w:bookmarkStart w:id="64" w:name="_Toc164064370"/>
      <w:r>
        <w:t>Indicadores de calidad del servicio</w:t>
      </w:r>
      <w:bookmarkEnd w:id="64"/>
    </w:p>
    <w:p w14:paraId="354A8C44" w14:textId="77777777" w:rsidR="00D55B12" w:rsidRDefault="00D55B12" w:rsidP="00D55B12">
      <w:pPr>
        <w:spacing w:before="0" w:after="0"/>
      </w:pPr>
      <w:r>
        <w:t>Los indicadores de referencia para evaluar la calidad del servicio comercial, que serán calculados y reportados por cada comercializador, son los siguientes:</w:t>
      </w:r>
    </w:p>
    <w:p w14:paraId="07F3EDAA" w14:textId="77777777" w:rsidR="00D55B12" w:rsidRPr="002D5720" w:rsidRDefault="00D55B12" w:rsidP="00D55B12">
      <w:pPr>
        <w:spacing w:before="0" w:after="0"/>
        <w:jc w:val="center"/>
        <w:rPr>
          <w:b/>
          <w:bCs/>
        </w:rPr>
      </w:pPr>
    </w:p>
    <w:tbl>
      <w:tblPr>
        <w:tblStyle w:val="Tablaconcuadrcula"/>
        <w:tblW w:w="0" w:type="auto"/>
        <w:jc w:val="center"/>
        <w:tblLook w:val="04A0" w:firstRow="1" w:lastRow="0" w:firstColumn="1" w:lastColumn="0" w:noHBand="0" w:noVBand="1"/>
      </w:tblPr>
      <w:tblGrid>
        <w:gridCol w:w="1413"/>
        <w:gridCol w:w="5528"/>
      </w:tblGrid>
      <w:tr w:rsidR="00C736F9" w:rsidRPr="00203F24" w14:paraId="54C55F3B" w14:textId="77777777" w:rsidTr="006F0592">
        <w:trPr>
          <w:jc w:val="center"/>
        </w:trPr>
        <w:tc>
          <w:tcPr>
            <w:tcW w:w="1413" w:type="dxa"/>
            <w:vAlign w:val="center"/>
          </w:tcPr>
          <w:p w14:paraId="33F147E2" w14:textId="77777777" w:rsidR="00C736F9" w:rsidRPr="00203F24" w:rsidRDefault="00C736F9">
            <w:pPr>
              <w:spacing w:before="0" w:after="0"/>
              <w:jc w:val="center"/>
              <w:rPr>
                <w:b/>
                <w:bCs/>
                <w:sz w:val="18"/>
                <w:szCs w:val="18"/>
              </w:rPr>
            </w:pPr>
            <w:r w:rsidRPr="00203F24">
              <w:rPr>
                <w:b/>
                <w:bCs/>
                <w:sz w:val="18"/>
                <w:szCs w:val="18"/>
              </w:rPr>
              <w:t>CATEGORÍA</w:t>
            </w:r>
          </w:p>
        </w:tc>
        <w:tc>
          <w:tcPr>
            <w:tcW w:w="5528" w:type="dxa"/>
            <w:vAlign w:val="center"/>
          </w:tcPr>
          <w:p w14:paraId="4A5F7AA0" w14:textId="77777777" w:rsidR="00C736F9" w:rsidRPr="00203F24" w:rsidRDefault="00C736F9">
            <w:pPr>
              <w:spacing w:before="0" w:after="0"/>
              <w:jc w:val="center"/>
              <w:rPr>
                <w:b/>
                <w:bCs/>
                <w:sz w:val="18"/>
                <w:szCs w:val="18"/>
              </w:rPr>
            </w:pPr>
            <w:r w:rsidRPr="00203F24">
              <w:rPr>
                <w:b/>
                <w:bCs/>
                <w:sz w:val="18"/>
                <w:szCs w:val="18"/>
              </w:rPr>
              <w:t>INDICADOR</w:t>
            </w:r>
          </w:p>
        </w:tc>
      </w:tr>
      <w:tr w:rsidR="00C736F9" w:rsidRPr="00203F24" w14:paraId="3EC050A3" w14:textId="77777777" w:rsidTr="006F0592">
        <w:trPr>
          <w:jc w:val="center"/>
        </w:trPr>
        <w:tc>
          <w:tcPr>
            <w:tcW w:w="1413" w:type="dxa"/>
            <w:vMerge w:val="restart"/>
            <w:vAlign w:val="center"/>
          </w:tcPr>
          <w:p w14:paraId="32E34BCD" w14:textId="77777777" w:rsidR="00C736F9" w:rsidRPr="00203F24" w:rsidRDefault="00C736F9" w:rsidP="00203F24">
            <w:pPr>
              <w:spacing w:before="0" w:after="0"/>
              <w:jc w:val="left"/>
              <w:rPr>
                <w:sz w:val="18"/>
                <w:szCs w:val="18"/>
              </w:rPr>
            </w:pPr>
            <w:r w:rsidRPr="00203F24">
              <w:rPr>
                <w:sz w:val="18"/>
                <w:szCs w:val="18"/>
              </w:rPr>
              <w:t>Quejas y reclamos</w:t>
            </w:r>
          </w:p>
        </w:tc>
        <w:tc>
          <w:tcPr>
            <w:tcW w:w="5528" w:type="dxa"/>
          </w:tcPr>
          <w:p w14:paraId="54DFCA7E" w14:textId="29365F97" w:rsidR="00C736F9" w:rsidRPr="00203F24" w:rsidRDefault="00C736F9">
            <w:pPr>
              <w:spacing w:before="0" w:after="0"/>
              <w:rPr>
                <w:sz w:val="18"/>
                <w:szCs w:val="18"/>
              </w:rPr>
            </w:pPr>
            <w:r w:rsidRPr="00203F24">
              <w:rPr>
                <w:sz w:val="18"/>
                <w:szCs w:val="18"/>
              </w:rPr>
              <w:t>Cantidad de quejas</w:t>
            </w:r>
            <w:r w:rsidR="00127569">
              <w:rPr>
                <w:sz w:val="18"/>
                <w:szCs w:val="18"/>
              </w:rPr>
              <w:t xml:space="preserve"> por usuario</w:t>
            </w:r>
          </w:p>
        </w:tc>
      </w:tr>
      <w:tr w:rsidR="00C736F9" w:rsidRPr="00203F24" w14:paraId="0DEF2B15" w14:textId="77777777" w:rsidTr="006F0592">
        <w:trPr>
          <w:jc w:val="center"/>
        </w:trPr>
        <w:tc>
          <w:tcPr>
            <w:tcW w:w="1413" w:type="dxa"/>
            <w:vMerge/>
            <w:vAlign w:val="center"/>
          </w:tcPr>
          <w:p w14:paraId="72E24FB5" w14:textId="77777777" w:rsidR="00C736F9" w:rsidRPr="00203F24" w:rsidRDefault="00C736F9" w:rsidP="00203F24">
            <w:pPr>
              <w:spacing w:before="0" w:after="0"/>
              <w:jc w:val="left"/>
              <w:rPr>
                <w:sz w:val="18"/>
                <w:szCs w:val="18"/>
              </w:rPr>
            </w:pPr>
          </w:p>
        </w:tc>
        <w:tc>
          <w:tcPr>
            <w:tcW w:w="5528" w:type="dxa"/>
          </w:tcPr>
          <w:p w14:paraId="6F18D26E" w14:textId="3790F7EE" w:rsidR="00C736F9" w:rsidRPr="00203F24" w:rsidRDefault="00C736F9">
            <w:pPr>
              <w:spacing w:before="0" w:after="0"/>
              <w:rPr>
                <w:sz w:val="18"/>
                <w:szCs w:val="18"/>
              </w:rPr>
            </w:pPr>
            <w:r w:rsidRPr="00203F24">
              <w:rPr>
                <w:sz w:val="18"/>
                <w:szCs w:val="18"/>
              </w:rPr>
              <w:t xml:space="preserve">Calidad en la respuesta a </w:t>
            </w:r>
            <w:r w:rsidR="00741C0D">
              <w:rPr>
                <w:sz w:val="18"/>
                <w:szCs w:val="18"/>
              </w:rPr>
              <w:t>quejas y reclamos</w:t>
            </w:r>
          </w:p>
        </w:tc>
      </w:tr>
      <w:tr w:rsidR="00C736F9" w:rsidRPr="00203F24" w14:paraId="2EFF4876" w14:textId="77777777" w:rsidTr="006F0592">
        <w:trPr>
          <w:jc w:val="center"/>
        </w:trPr>
        <w:tc>
          <w:tcPr>
            <w:tcW w:w="1413" w:type="dxa"/>
            <w:vMerge w:val="restart"/>
            <w:vAlign w:val="center"/>
          </w:tcPr>
          <w:p w14:paraId="2B5470D7" w14:textId="77777777" w:rsidR="00C736F9" w:rsidRPr="00203F24" w:rsidRDefault="00C736F9" w:rsidP="00203F24">
            <w:pPr>
              <w:spacing w:before="0" w:after="0"/>
              <w:jc w:val="left"/>
              <w:rPr>
                <w:sz w:val="18"/>
                <w:szCs w:val="18"/>
              </w:rPr>
            </w:pPr>
            <w:r w:rsidRPr="00203F24">
              <w:rPr>
                <w:sz w:val="18"/>
                <w:szCs w:val="18"/>
              </w:rPr>
              <w:t>Atención al usuario</w:t>
            </w:r>
          </w:p>
        </w:tc>
        <w:tc>
          <w:tcPr>
            <w:tcW w:w="5528" w:type="dxa"/>
          </w:tcPr>
          <w:p w14:paraId="6179A206" w14:textId="60297B70" w:rsidR="00C736F9" w:rsidRPr="00203F24" w:rsidRDefault="00F31314">
            <w:pPr>
              <w:spacing w:before="0" w:after="0"/>
              <w:rPr>
                <w:sz w:val="18"/>
                <w:szCs w:val="18"/>
              </w:rPr>
            </w:pPr>
            <w:r>
              <w:rPr>
                <w:sz w:val="18"/>
                <w:szCs w:val="18"/>
              </w:rPr>
              <w:t>Calidad en la a</w:t>
            </w:r>
            <w:r w:rsidR="00C736F9" w:rsidRPr="00203F24">
              <w:rPr>
                <w:sz w:val="18"/>
                <w:szCs w:val="18"/>
              </w:rPr>
              <w:t>tención de llamadas telefónicas</w:t>
            </w:r>
          </w:p>
        </w:tc>
      </w:tr>
      <w:tr w:rsidR="00C736F9" w:rsidRPr="00203F24" w14:paraId="687DD714" w14:textId="77777777" w:rsidTr="006F0592">
        <w:trPr>
          <w:jc w:val="center"/>
        </w:trPr>
        <w:tc>
          <w:tcPr>
            <w:tcW w:w="1413" w:type="dxa"/>
            <w:vMerge/>
            <w:vAlign w:val="center"/>
          </w:tcPr>
          <w:p w14:paraId="128B9EF4" w14:textId="77777777" w:rsidR="00C736F9" w:rsidRPr="00203F24" w:rsidRDefault="00C736F9" w:rsidP="00203F24">
            <w:pPr>
              <w:spacing w:before="0" w:after="0"/>
              <w:jc w:val="left"/>
              <w:rPr>
                <w:sz w:val="18"/>
                <w:szCs w:val="18"/>
              </w:rPr>
            </w:pPr>
          </w:p>
        </w:tc>
        <w:tc>
          <w:tcPr>
            <w:tcW w:w="5528" w:type="dxa"/>
          </w:tcPr>
          <w:p w14:paraId="115DA014" w14:textId="77777777" w:rsidR="00C736F9" w:rsidRPr="00203F24" w:rsidRDefault="00C736F9">
            <w:pPr>
              <w:spacing w:before="0" w:after="0"/>
              <w:rPr>
                <w:sz w:val="18"/>
                <w:szCs w:val="18"/>
              </w:rPr>
            </w:pPr>
            <w:r w:rsidRPr="00203F24">
              <w:rPr>
                <w:sz w:val="18"/>
                <w:szCs w:val="18"/>
              </w:rPr>
              <w:t>Gestión de abandono de llamada</w:t>
            </w:r>
          </w:p>
        </w:tc>
      </w:tr>
      <w:tr w:rsidR="00C736F9" w:rsidRPr="00203F24" w14:paraId="54EA707A" w14:textId="77777777" w:rsidTr="006F0592">
        <w:trPr>
          <w:jc w:val="center"/>
        </w:trPr>
        <w:tc>
          <w:tcPr>
            <w:tcW w:w="1413" w:type="dxa"/>
            <w:vMerge/>
            <w:vAlign w:val="center"/>
          </w:tcPr>
          <w:p w14:paraId="3EB10304" w14:textId="77777777" w:rsidR="00C736F9" w:rsidRPr="00203F24" w:rsidRDefault="00C736F9" w:rsidP="00203F24">
            <w:pPr>
              <w:spacing w:before="0" w:after="0"/>
              <w:jc w:val="left"/>
              <w:rPr>
                <w:sz w:val="18"/>
                <w:szCs w:val="18"/>
              </w:rPr>
            </w:pPr>
          </w:p>
        </w:tc>
        <w:tc>
          <w:tcPr>
            <w:tcW w:w="5528" w:type="dxa"/>
          </w:tcPr>
          <w:p w14:paraId="27CD87BF" w14:textId="77777777" w:rsidR="00C736F9" w:rsidRPr="00203F24" w:rsidRDefault="00C736F9">
            <w:pPr>
              <w:spacing w:before="0" w:after="0"/>
              <w:rPr>
                <w:sz w:val="18"/>
                <w:szCs w:val="18"/>
              </w:rPr>
            </w:pPr>
            <w:r w:rsidRPr="00203F24">
              <w:rPr>
                <w:sz w:val="18"/>
                <w:szCs w:val="18"/>
              </w:rPr>
              <w:t>Respuesta a medios electrónicos</w:t>
            </w:r>
          </w:p>
        </w:tc>
      </w:tr>
      <w:tr w:rsidR="00C736F9" w:rsidRPr="00203F24" w14:paraId="4EEC6264" w14:textId="77777777" w:rsidTr="006F0592">
        <w:trPr>
          <w:jc w:val="center"/>
        </w:trPr>
        <w:tc>
          <w:tcPr>
            <w:tcW w:w="1413" w:type="dxa"/>
            <w:vAlign w:val="center"/>
          </w:tcPr>
          <w:p w14:paraId="3BE4B32C" w14:textId="77777777" w:rsidR="00C736F9" w:rsidRPr="00203F24" w:rsidRDefault="00C736F9" w:rsidP="00203F24">
            <w:pPr>
              <w:spacing w:before="0" w:after="0"/>
              <w:jc w:val="left"/>
              <w:rPr>
                <w:sz w:val="18"/>
                <w:szCs w:val="18"/>
              </w:rPr>
            </w:pPr>
            <w:r w:rsidRPr="00203F24">
              <w:rPr>
                <w:sz w:val="18"/>
                <w:szCs w:val="18"/>
              </w:rPr>
              <w:t>Facturación</w:t>
            </w:r>
          </w:p>
        </w:tc>
        <w:tc>
          <w:tcPr>
            <w:tcW w:w="5528" w:type="dxa"/>
          </w:tcPr>
          <w:p w14:paraId="4FBA8077" w14:textId="77777777" w:rsidR="00C736F9" w:rsidRPr="00203F24" w:rsidRDefault="00C736F9">
            <w:pPr>
              <w:spacing w:before="0" w:after="0"/>
              <w:rPr>
                <w:sz w:val="18"/>
                <w:szCs w:val="18"/>
              </w:rPr>
            </w:pPr>
            <w:r w:rsidRPr="00203F24">
              <w:rPr>
                <w:sz w:val="18"/>
                <w:szCs w:val="18"/>
              </w:rPr>
              <w:t>Calidad de la facturación</w:t>
            </w:r>
          </w:p>
        </w:tc>
      </w:tr>
    </w:tbl>
    <w:p w14:paraId="5D876467" w14:textId="77777777" w:rsidR="00D55B12" w:rsidRDefault="00D55B12" w:rsidP="00D55B12">
      <w:pPr>
        <w:spacing w:before="0" w:after="0"/>
      </w:pPr>
    </w:p>
    <w:p w14:paraId="2E23A799" w14:textId="77777777" w:rsidR="00D55B12" w:rsidRDefault="00D55B12" w:rsidP="00D55B12">
      <w:pPr>
        <w:pStyle w:val="Ttulo3"/>
      </w:pPr>
      <w:r>
        <w:t>Indicadores asociados a quejas y reclamos</w:t>
      </w:r>
    </w:p>
    <w:p w14:paraId="28E16CCE" w14:textId="77777777" w:rsidR="00D55B12" w:rsidRDefault="00D55B12" w:rsidP="00D55B12">
      <w:pPr>
        <w:spacing w:before="0" w:after="0"/>
      </w:pPr>
      <w:r>
        <w:t>Bajo esta categoría de indicadores será evaluado el volumen y calidad de la gestión de quejas y reclamos que formulan los usuarios a cada comercializador.</w:t>
      </w:r>
    </w:p>
    <w:p w14:paraId="6B17D49A" w14:textId="10AB55CC" w:rsidR="00D55B12" w:rsidRPr="000C3D4D" w:rsidRDefault="00D55B12" w:rsidP="00D55B12">
      <w:pPr>
        <w:pStyle w:val="Ttulo4"/>
      </w:pPr>
      <w:bookmarkStart w:id="65" w:name="_Toc164064371"/>
      <w:r>
        <w:lastRenderedPageBreak/>
        <w:t xml:space="preserve"> </w:t>
      </w:r>
      <w:r w:rsidRPr="000C3D4D">
        <w:t>Cantidad de quejas</w:t>
      </w:r>
      <w:bookmarkEnd w:id="65"/>
      <w:r w:rsidR="009F4DD9">
        <w:t xml:space="preserve"> por usuario</w:t>
      </w:r>
    </w:p>
    <w:p w14:paraId="1E196CCA" w14:textId="03454710" w:rsidR="00D55B12" w:rsidRDefault="00D55B12" w:rsidP="00262A0C">
      <w:pPr>
        <w:rPr>
          <w:lang w:val="es-ES_tradnl"/>
        </w:rPr>
      </w:pPr>
      <w:r w:rsidRPr="007A039D">
        <w:rPr>
          <w:b/>
          <w:bCs/>
          <w:lang w:val="es-ES_tradnl"/>
        </w:rPr>
        <w:t>Descripción:</w:t>
      </w:r>
      <w:r>
        <w:rPr>
          <w:b/>
          <w:bCs/>
          <w:lang w:val="es-ES_tradnl"/>
        </w:rPr>
        <w:t xml:space="preserve"> </w:t>
      </w:r>
      <w:r>
        <w:rPr>
          <w:lang w:val="es-ES_tradnl"/>
        </w:rPr>
        <w:t xml:space="preserve">Porcentaje que corresponde al total de quejas </w:t>
      </w:r>
      <w:r w:rsidR="00D13E7A">
        <w:rPr>
          <w:lang w:val="es-ES_tradnl"/>
        </w:rPr>
        <w:t xml:space="preserve">y reclamos </w:t>
      </w:r>
      <w:r>
        <w:rPr>
          <w:lang w:val="es-ES_tradnl"/>
        </w:rPr>
        <w:t>recibidas por el comercializador respecto del total de usuarios</w:t>
      </w:r>
      <w:r w:rsidR="00AB6762">
        <w:rPr>
          <w:lang w:val="es-ES_tradnl"/>
        </w:rPr>
        <w:t xml:space="preserve"> en cada mercado,</w:t>
      </w:r>
      <w:r>
        <w:rPr>
          <w:lang w:val="es-ES_tradnl"/>
        </w:rPr>
        <w:t xml:space="preserve"> en cualquiera de los medios de atención al usuario, discriminando si estas corresponden a </w:t>
      </w:r>
      <w:r w:rsidRPr="004B5148">
        <w:rPr>
          <w:lang w:val="es-ES_tradnl"/>
        </w:rPr>
        <w:t>petici</w:t>
      </w:r>
      <w:r>
        <w:rPr>
          <w:lang w:val="es-ES_tradnl"/>
        </w:rPr>
        <w:t>ones</w:t>
      </w:r>
      <w:r w:rsidRPr="004B5148">
        <w:rPr>
          <w:lang w:val="es-ES_tradnl"/>
        </w:rPr>
        <w:t>, quejas, reclamos o recursos</w:t>
      </w:r>
      <w:r w:rsidR="00AB5C12">
        <w:rPr>
          <w:lang w:val="es-ES_tradnl"/>
        </w:rPr>
        <w:t>, para las siguientes tipologías</w:t>
      </w:r>
      <w:r w:rsidR="009E5774">
        <w:rPr>
          <w:lang w:val="es-ES_tradnl"/>
        </w:rPr>
        <w:t xml:space="preserve"> correspondientes a </w:t>
      </w:r>
      <w:r w:rsidR="00527A44">
        <w:rPr>
          <w:lang w:val="es-ES_tradnl"/>
        </w:rPr>
        <w:t>la causal de prestación del servicio</w:t>
      </w:r>
      <w:r w:rsidR="00AB5C12">
        <w:rPr>
          <w:lang w:val="es-ES_tradnl"/>
        </w:rPr>
        <w:t>:</w:t>
      </w:r>
    </w:p>
    <w:p w14:paraId="4737EAEC" w14:textId="31BD9000" w:rsidR="00B76015" w:rsidRPr="00B76015" w:rsidRDefault="007832A1" w:rsidP="00B76015">
      <w:pPr>
        <w:pStyle w:val="Prrafodelista"/>
        <w:numPr>
          <w:ilvl w:val="0"/>
          <w:numId w:val="117"/>
        </w:numPr>
        <w:rPr>
          <w:lang w:val="es-ES_tradnl"/>
        </w:rPr>
      </w:pPr>
      <w:r>
        <w:rPr>
          <w:lang w:val="es-ES_tradnl"/>
        </w:rPr>
        <w:t>Cam</w:t>
      </w:r>
      <w:r w:rsidR="00B76015" w:rsidRPr="00B76015">
        <w:rPr>
          <w:lang w:val="es-ES_tradnl"/>
        </w:rPr>
        <w:t>bio de medidor o equipo de medida</w:t>
      </w:r>
    </w:p>
    <w:p w14:paraId="473C35D4" w14:textId="77777777" w:rsidR="00B76015" w:rsidRPr="00B76015" w:rsidRDefault="00B76015" w:rsidP="00B76015">
      <w:pPr>
        <w:pStyle w:val="Prrafodelista"/>
        <w:numPr>
          <w:ilvl w:val="0"/>
          <w:numId w:val="117"/>
        </w:numPr>
        <w:rPr>
          <w:lang w:val="es-ES_tradnl"/>
        </w:rPr>
      </w:pPr>
      <w:r w:rsidRPr="00B76015">
        <w:rPr>
          <w:lang w:val="es-ES_tradnl"/>
        </w:rPr>
        <w:t>Negación de la solicitud de suspensión</w:t>
      </w:r>
    </w:p>
    <w:p w14:paraId="6BE9D48A" w14:textId="77777777" w:rsidR="00B76015" w:rsidRPr="00B76015" w:rsidRDefault="00B76015" w:rsidP="00B76015">
      <w:pPr>
        <w:pStyle w:val="Prrafodelista"/>
        <w:numPr>
          <w:ilvl w:val="0"/>
          <w:numId w:val="117"/>
        </w:numPr>
        <w:rPr>
          <w:lang w:val="es-ES_tradnl"/>
        </w:rPr>
      </w:pPr>
      <w:r w:rsidRPr="00B76015">
        <w:rPr>
          <w:lang w:val="es-ES_tradnl"/>
        </w:rPr>
        <w:t>Quejas Administrativas</w:t>
      </w:r>
    </w:p>
    <w:p w14:paraId="048B99C3" w14:textId="77777777" w:rsidR="00B76015" w:rsidRPr="00B76015" w:rsidRDefault="00B76015" w:rsidP="00B76015">
      <w:pPr>
        <w:pStyle w:val="Prrafodelista"/>
        <w:numPr>
          <w:ilvl w:val="0"/>
          <w:numId w:val="117"/>
        </w:numPr>
        <w:rPr>
          <w:lang w:val="es-ES_tradnl"/>
        </w:rPr>
      </w:pPr>
      <w:r w:rsidRPr="00B76015">
        <w:rPr>
          <w:lang w:val="es-ES_tradnl"/>
        </w:rPr>
        <w:t>Suspensión o corte del servicio</w:t>
      </w:r>
    </w:p>
    <w:p w14:paraId="5DBF53AF" w14:textId="7A968968" w:rsidR="002E3D10" w:rsidRDefault="00B76015" w:rsidP="002E3D10">
      <w:pPr>
        <w:pStyle w:val="Prrafodelista"/>
        <w:numPr>
          <w:ilvl w:val="0"/>
          <w:numId w:val="117"/>
        </w:numPr>
        <w:rPr>
          <w:lang w:val="es-ES_tradnl"/>
        </w:rPr>
      </w:pPr>
      <w:r w:rsidRPr="00B76015">
        <w:rPr>
          <w:lang w:val="es-ES_tradnl"/>
        </w:rPr>
        <w:t>Terminación del contrato</w:t>
      </w:r>
    </w:p>
    <w:p w14:paraId="1F4FD9C3" w14:textId="62207431" w:rsidR="00D55B12" w:rsidRPr="00B23E57" w:rsidRDefault="00202DD5" w:rsidP="00D55B12">
      <w:pPr>
        <w:pStyle w:val="Ttulo4"/>
      </w:pPr>
      <w:r>
        <w:t xml:space="preserve"> </w:t>
      </w:r>
      <w:bookmarkStart w:id="66" w:name="_Toc164064372"/>
      <w:r w:rsidR="00D55B12" w:rsidRPr="00B23E57">
        <w:t xml:space="preserve">Calidad en la respuesta a </w:t>
      </w:r>
      <w:r w:rsidR="00AA4BEA">
        <w:t xml:space="preserve">quejas y </w:t>
      </w:r>
      <w:r w:rsidR="00D55B12" w:rsidRPr="00B23E57">
        <w:t>reclam</w:t>
      </w:r>
      <w:r w:rsidR="00AA4BEA">
        <w:t>o</w:t>
      </w:r>
      <w:r w:rsidR="00D55B12" w:rsidRPr="00B23E57">
        <w:t>s</w:t>
      </w:r>
      <w:bookmarkEnd w:id="66"/>
    </w:p>
    <w:p w14:paraId="43B346CD" w14:textId="5308A97F" w:rsidR="00C06D52" w:rsidRPr="00D13EA2" w:rsidRDefault="00D55B12" w:rsidP="00D13EA2">
      <w:pPr>
        <w:rPr>
          <w:lang w:val="es-ES_tradnl"/>
        </w:rPr>
      </w:pPr>
      <w:r w:rsidRPr="00BD6464">
        <w:rPr>
          <w:b/>
          <w:bCs/>
          <w:lang w:val="es-ES_tradnl"/>
        </w:rPr>
        <w:t>Descripción:</w:t>
      </w:r>
      <w:r>
        <w:rPr>
          <w:b/>
          <w:bCs/>
          <w:lang w:val="es-ES_tradnl"/>
        </w:rPr>
        <w:t xml:space="preserve"> </w:t>
      </w:r>
      <w:r>
        <w:rPr>
          <w:lang w:val="es-ES_tradnl"/>
        </w:rPr>
        <w:t xml:space="preserve">Corresponde al </w:t>
      </w:r>
      <w:r w:rsidR="00BC63AA" w:rsidRPr="00BC63AA">
        <w:rPr>
          <w:lang w:val="es-ES_tradnl"/>
        </w:rPr>
        <w:t xml:space="preserve">número </w:t>
      </w:r>
      <w:r w:rsidR="004D2788">
        <w:rPr>
          <w:lang w:val="es-ES_tradnl"/>
        </w:rPr>
        <w:t xml:space="preserve">de </w:t>
      </w:r>
      <w:r w:rsidR="003C0D13">
        <w:rPr>
          <w:lang w:val="es-ES_tradnl"/>
        </w:rPr>
        <w:t xml:space="preserve">quejas </w:t>
      </w:r>
      <w:r w:rsidR="00842934">
        <w:rPr>
          <w:lang w:val="es-ES_tradnl"/>
        </w:rPr>
        <w:t xml:space="preserve">y reclamos </w:t>
      </w:r>
      <w:r w:rsidR="003C0D13">
        <w:rPr>
          <w:lang w:val="es-ES_tradnl"/>
        </w:rPr>
        <w:t xml:space="preserve">que </w:t>
      </w:r>
      <w:r w:rsidR="00F02671">
        <w:rPr>
          <w:lang w:val="es-ES_tradnl"/>
        </w:rPr>
        <w:t xml:space="preserve">llegaron a la instancia de </w:t>
      </w:r>
      <w:r w:rsidR="00CE69BB">
        <w:rPr>
          <w:lang w:val="es-ES_tradnl"/>
        </w:rPr>
        <w:t>apelación</w:t>
      </w:r>
      <w:r w:rsidR="00AE6AC9">
        <w:rPr>
          <w:lang w:val="es-ES_tradnl"/>
        </w:rPr>
        <w:t xml:space="preserve"> </w:t>
      </w:r>
      <w:r w:rsidR="005D6736">
        <w:rPr>
          <w:lang w:val="es-ES_tradnl"/>
        </w:rPr>
        <w:t xml:space="preserve">ante la SSPD </w:t>
      </w:r>
      <w:r w:rsidR="00AE6AC9">
        <w:rPr>
          <w:lang w:val="es-ES_tradnl"/>
        </w:rPr>
        <w:t>y que su decisión final fue favorable a las pretensiones del usuario</w:t>
      </w:r>
      <w:r w:rsidR="00C43C7B">
        <w:rPr>
          <w:lang w:val="es-ES_tradnl"/>
        </w:rPr>
        <w:t>, respecto del</w:t>
      </w:r>
      <w:r w:rsidR="0024470E">
        <w:rPr>
          <w:lang w:val="es-ES_tradnl"/>
        </w:rPr>
        <w:t xml:space="preserve"> total de quejas y reclamos</w:t>
      </w:r>
      <w:r w:rsidR="0027465C">
        <w:rPr>
          <w:lang w:val="es-ES_tradnl"/>
        </w:rPr>
        <w:t xml:space="preserve"> que llegaron a </w:t>
      </w:r>
      <w:r w:rsidR="00C939E7">
        <w:rPr>
          <w:lang w:val="es-ES_tradnl"/>
        </w:rPr>
        <w:t>esta instancia</w:t>
      </w:r>
      <w:r w:rsidR="00817C6E">
        <w:rPr>
          <w:lang w:val="es-ES_tradnl"/>
        </w:rPr>
        <w:t>.</w:t>
      </w:r>
    </w:p>
    <w:p w14:paraId="7BD5D7CA" w14:textId="77777777" w:rsidR="00D55B12" w:rsidRDefault="00D55B12" w:rsidP="00D55B12">
      <w:pPr>
        <w:pStyle w:val="Ttulo3"/>
      </w:pPr>
      <w:r>
        <w:t>Indicadores asociados a calidad de la atención al usuario</w:t>
      </w:r>
    </w:p>
    <w:p w14:paraId="55C45F9C" w14:textId="77777777" w:rsidR="00D55B12" w:rsidRDefault="00D55B12" w:rsidP="00D55B12">
      <w:pPr>
        <w:spacing w:before="0" w:after="0"/>
      </w:pPr>
      <w:r>
        <w:t>Bajo esta categoría de indicadores será evaluada la calidad de la atención que reciben los usuarios por parte del comercializador en los distintos canales de atención.</w:t>
      </w:r>
    </w:p>
    <w:p w14:paraId="6994CDFE" w14:textId="77777777" w:rsidR="00D55B12" w:rsidRPr="00B23E57" w:rsidRDefault="00D55B12" w:rsidP="00D55B12">
      <w:pPr>
        <w:pStyle w:val="Ttulo4"/>
      </w:pPr>
      <w:bookmarkStart w:id="67" w:name="_Toc164064373"/>
      <w:r>
        <w:t xml:space="preserve"> </w:t>
      </w:r>
      <w:r w:rsidRPr="00B23E57">
        <w:t>Calidad en la atención de llamadas telefónicas</w:t>
      </w:r>
      <w:bookmarkEnd w:id="67"/>
    </w:p>
    <w:p w14:paraId="0CAF7FD0" w14:textId="5F3326C8" w:rsidR="00D55B12" w:rsidRDefault="00D55B12" w:rsidP="00D55B12">
      <w:pPr>
        <w:rPr>
          <w:lang w:val="es-ES_tradnl"/>
        </w:rPr>
      </w:pPr>
      <w:r w:rsidRPr="005575E9">
        <w:rPr>
          <w:b/>
          <w:bCs/>
          <w:lang w:val="es-ES_tradnl"/>
        </w:rPr>
        <w:t>Descripción:</w:t>
      </w:r>
      <w:r>
        <w:rPr>
          <w:b/>
          <w:bCs/>
          <w:lang w:val="es-ES_tradnl"/>
        </w:rPr>
        <w:t xml:space="preserve"> </w:t>
      </w:r>
      <w:r>
        <w:rPr>
          <w:lang w:val="es-ES_tradnl"/>
        </w:rPr>
        <w:t xml:space="preserve">Corresponde al </w:t>
      </w:r>
      <w:r w:rsidR="00681F94">
        <w:rPr>
          <w:lang w:val="es-ES_tradnl"/>
        </w:rPr>
        <w:t xml:space="preserve">número </w:t>
      </w:r>
      <w:r w:rsidRPr="008620F6">
        <w:rPr>
          <w:lang w:val="es-ES_tradnl"/>
        </w:rPr>
        <w:t>de llamadas contestadas dentro del tiempo establecido</w:t>
      </w:r>
      <w:r w:rsidR="007825F1">
        <w:rPr>
          <w:lang w:val="es-ES_tradnl"/>
        </w:rPr>
        <w:t>,</w:t>
      </w:r>
      <w:r>
        <w:rPr>
          <w:lang w:val="es-ES_tradnl"/>
        </w:rPr>
        <w:t xml:space="preserve"> respecto del total de llamadas recibidas por el comercializador.</w:t>
      </w:r>
    </w:p>
    <w:p w14:paraId="43C70FAD" w14:textId="77777777" w:rsidR="00D55B12" w:rsidRDefault="00D55B12" w:rsidP="00D55B12">
      <w:pPr>
        <w:pStyle w:val="Prrafodelista"/>
        <w:numPr>
          <w:ilvl w:val="0"/>
          <w:numId w:val="107"/>
        </w:numPr>
        <w:rPr>
          <w:lang w:val="es-ES_tradnl"/>
        </w:rPr>
      </w:pPr>
      <w:r w:rsidRPr="000B54CF">
        <w:rPr>
          <w:lang w:val="es-ES_tradnl"/>
        </w:rPr>
        <w:t xml:space="preserve">Tiempo de atención para </w:t>
      </w:r>
      <w:r>
        <w:rPr>
          <w:lang w:val="es-ES_tradnl"/>
        </w:rPr>
        <w:t xml:space="preserve">llamada atendida por </w:t>
      </w:r>
      <w:r w:rsidRPr="000B54CF">
        <w:rPr>
          <w:lang w:val="es-ES_tradnl"/>
        </w:rPr>
        <w:t>contestador o mecanismo automatizado: 20 segundos.</w:t>
      </w:r>
    </w:p>
    <w:p w14:paraId="46B133C4" w14:textId="77777777" w:rsidR="00D55B12" w:rsidRDefault="00D55B12" w:rsidP="00D55B12">
      <w:pPr>
        <w:pStyle w:val="Prrafodelista"/>
        <w:numPr>
          <w:ilvl w:val="0"/>
          <w:numId w:val="107"/>
        </w:numPr>
        <w:rPr>
          <w:lang w:val="es-ES_tradnl"/>
        </w:rPr>
      </w:pPr>
      <w:r w:rsidRPr="000B54CF">
        <w:rPr>
          <w:lang w:val="es-ES_tradnl"/>
        </w:rPr>
        <w:t xml:space="preserve">Tiempo de atención para </w:t>
      </w:r>
      <w:r>
        <w:rPr>
          <w:lang w:val="es-ES_tradnl"/>
        </w:rPr>
        <w:t>llamada atendida por operador</w:t>
      </w:r>
      <w:r w:rsidRPr="000B54CF">
        <w:rPr>
          <w:lang w:val="es-ES_tradnl"/>
        </w:rPr>
        <w:t xml:space="preserve">: </w:t>
      </w:r>
      <w:r>
        <w:rPr>
          <w:lang w:val="es-ES_tradnl"/>
        </w:rPr>
        <w:t>3</w:t>
      </w:r>
      <w:r w:rsidRPr="000B54CF">
        <w:rPr>
          <w:lang w:val="es-ES_tradnl"/>
        </w:rPr>
        <w:t>0 segundos.</w:t>
      </w:r>
    </w:p>
    <w:p w14:paraId="4F095E3B" w14:textId="29C9433A" w:rsidR="00D55B12" w:rsidRPr="00B23E57" w:rsidRDefault="00D13EA2" w:rsidP="00D55B12">
      <w:pPr>
        <w:pStyle w:val="Ttulo4"/>
      </w:pPr>
      <w:bookmarkStart w:id="68" w:name="_Toc164064374"/>
      <w:r>
        <w:t xml:space="preserve"> </w:t>
      </w:r>
      <w:r w:rsidR="00D55B12" w:rsidRPr="00B23E57">
        <w:t>Gestión de abandono de llamada</w:t>
      </w:r>
      <w:bookmarkEnd w:id="68"/>
    </w:p>
    <w:p w14:paraId="3570DBEB" w14:textId="392CA6C4" w:rsidR="00D55B12" w:rsidRDefault="00D55B12" w:rsidP="00D55B12">
      <w:r w:rsidRPr="44B85804">
        <w:rPr>
          <w:b/>
        </w:rPr>
        <w:t xml:space="preserve">Descripción: </w:t>
      </w:r>
      <w:r w:rsidRPr="44B85804">
        <w:t xml:space="preserve">Corresponde al </w:t>
      </w:r>
      <w:r w:rsidR="00681F94">
        <w:t xml:space="preserve">número </w:t>
      </w:r>
      <w:r w:rsidRPr="44B85804">
        <w:t>de llamadas abandonadas que fueron devueltas respecto del total de llamadas recibidas por el comercializador.</w:t>
      </w:r>
    </w:p>
    <w:p w14:paraId="012577A9" w14:textId="5FB5016F" w:rsidR="00D55B12" w:rsidRPr="00233D7B" w:rsidRDefault="00D13EA2" w:rsidP="00D55B12">
      <w:pPr>
        <w:pStyle w:val="Ttulo4"/>
      </w:pPr>
      <w:bookmarkStart w:id="69" w:name="_Toc164064375"/>
      <w:r>
        <w:t xml:space="preserve"> </w:t>
      </w:r>
      <w:r w:rsidR="00D55B12" w:rsidRPr="00233D7B">
        <w:t>Respuesta a medios electrónicos</w:t>
      </w:r>
      <w:bookmarkEnd w:id="69"/>
    </w:p>
    <w:p w14:paraId="156C5162" w14:textId="77777777" w:rsidR="00D55B12" w:rsidRDefault="00D55B12" w:rsidP="00D55B12">
      <w:pPr>
        <w:rPr>
          <w:lang w:val="es-ES_tradnl"/>
        </w:rPr>
      </w:pPr>
      <w:r w:rsidRPr="00093129">
        <w:rPr>
          <w:b/>
          <w:bCs/>
          <w:lang w:val="es-ES_tradnl"/>
        </w:rPr>
        <w:t>Descripción:</w:t>
      </w:r>
      <w:r>
        <w:rPr>
          <w:b/>
          <w:bCs/>
          <w:lang w:val="es-ES_tradnl"/>
        </w:rPr>
        <w:t xml:space="preserve"> </w:t>
      </w:r>
      <w:r>
        <w:rPr>
          <w:lang w:val="es-ES_tradnl"/>
        </w:rPr>
        <w:t>Corresponde al t</w:t>
      </w:r>
      <w:r w:rsidRPr="008620F6">
        <w:rPr>
          <w:lang w:val="es-ES_tradnl"/>
        </w:rPr>
        <w:t xml:space="preserve">iempo </w:t>
      </w:r>
      <w:r>
        <w:rPr>
          <w:lang w:val="es-ES_tradnl"/>
        </w:rPr>
        <w:t xml:space="preserve">promedio que tarda el comercializador en dar respuesta a reclamaciones realizadas por los usuarios en </w:t>
      </w:r>
      <w:r w:rsidRPr="008620F6">
        <w:rPr>
          <w:lang w:val="es-ES_tradnl"/>
        </w:rPr>
        <w:t>medios digitales.</w:t>
      </w:r>
      <w:r>
        <w:rPr>
          <w:lang w:val="es-ES_tradnl"/>
        </w:rPr>
        <w:t xml:space="preserve"> Este indicador debe tener en cuenta la siguiente desagregación por medio de atención:</w:t>
      </w:r>
    </w:p>
    <w:p w14:paraId="777ADEE9" w14:textId="77777777" w:rsidR="00D55B12" w:rsidRDefault="00D55B12" w:rsidP="00D55B12">
      <w:pPr>
        <w:pStyle w:val="Prrafodelista"/>
        <w:numPr>
          <w:ilvl w:val="0"/>
          <w:numId w:val="107"/>
        </w:numPr>
        <w:spacing w:before="0" w:after="0"/>
        <w:ind w:left="714" w:hanging="357"/>
        <w:rPr>
          <w:lang w:val="es-ES_tradnl"/>
        </w:rPr>
      </w:pPr>
      <w:r>
        <w:rPr>
          <w:lang w:val="es-ES_tradnl"/>
        </w:rPr>
        <w:t>Correo electrónico</w:t>
      </w:r>
    </w:p>
    <w:p w14:paraId="3FC692D5" w14:textId="77777777" w:rsidR="00D55B12" w:rsidRDefault="00D55B12" w:rsidP="00D55B12">
      <w:pPr>
        <w:pStyle w:val="Prrafodelista"/>
        <w:numPr>
          <w:ilvl w:val="0"/>
          <w:numId w:val="107"/>
        </w:numPr>
        <w:spacing w:before="0" w:after="0"/>
        <w:ind w:left="714" w:hanging="357"/>
        <w:rPr>
          <w:lang w:val="es-ES_tradnl"/>
        </w:rPr>
      </w:pPr>
      <w:r>
        <w:rPr>
          <w:lang w:val="es-ES_tradnl"/>
        </w:rPr>
        <w:t>Redes sociales</w:t>
      </w:r>
    </w:p>
    <w:p w14:paraId="3ADEE24B" w14:textId="58DF051C" w:rsidR="00D55B12" w:rsidRPr="00332587" w:rsidRDefault="00D55B12" w:rsidP="00D55B12">
      <w:pPr>
        <w:pStyle w:val="Prrafodelista"/>
        <w:numPr>
          <w:ilvl w:val="0"/>
          <w:numId w:val="107"/>
        </w:numPr>
        <w:spacing w:before="0" w:after="0"/>
        <w:ind w:left="714" w:hanging="357"/>
        <w:rPr>
          <w:lang w:val="es-ES_tradnl"/>
        </w:rPr>
      </w:pPr>
      <w:r>
        <w:rPr>
          <w:lang w:val="es-ES_tradnl"/>
        </w:rPr>
        <w:lastRenderedPageBreak/>
        <w:t>Otro, distinto a llamada telefónica</w:t>
      </w:r>
    </w:p>
    <w:p w14:paraId="436E4CB2" w14:textId="21829414" w:rsidR="00D55B12" w:rsidRDefault="00D55B12" w:rsidP="00D55B12">
      <w:pPr>
        <w:pStyle w:val="Ttulo3"/>
      </w:pPr>
      <w:r>
        <w:t xml:space="preserve">Indicadores asociados a calidad de la </w:t>
      </w:r>
      <w:r w:rsidR="002B5A17">
        <w:t>facturación</w:t>
      </w:r>
    </w:p>
    <w:p w14:paraId="798117C9" w14:textId="78B28E3C" w:rsidR="00D55B12" w:rsidRDefault="00D55B12" w:rsidP="00D55B12">
      <w:pPr>
        <w:spacing w:before="0" w:after="0"/>
      </w:pPr>
      <w:r>
        <w:t xml:space="preserve">Bajo esta categoría de indicadores será evaluada la calidad de la </w:t>
      </w:r>
      <w:r w:rsidR="002B5A17">
        <w:t>facturación expedida al usuario</w:t>
      </w:r>
      <w:r>
        <w:t>.</w:t>
      </w:r>
    </w:p>
    <w:p w14:paraId="3C9BBADF" w14:textId="77777777" w:rsidR="00D55B12" w:rsidRPr="00233D7B" w:rsidRDefault="00D55B12" w:rsidP="00D55B12">
      <w:pPr>
        <w:pStyle w:val="Ttulo4"/>
      </w:pPr>
      <w:bookmarkStart w:id="70" w:name="_Toc164064377"/>
      <w:r>
        <w:t xml:space="preserve"> </w:t>
      </w:r>
      <w:r w:rsidRPr="00233D7B">
        <w:t>Calidad de la facturación</w:t>
      </w:r>
      <w:bookmarkEnd w:id="70"/>
    </w:p>
    <w:p w14:paraId="75858470" w14:textId="2770C423" w:rsidR="00D55B12" w:rsidRPr="00D13EA2" w:rsidRDefault="00D55B12" w:rsidP="00D13EA2">
      <w:pPr>
        <w:rPr>
          <w:lang w:val="es-ES_tradnl"/>
        </w:rPr>
      </w:pPr>
      <w:r w:rsidRPr="00C7230F">
        <w:rPr>
          <w:b/>
          <w:bCs/>
          <w:lang w:val="es-ES_tradnl"/>
        </w:rPr>
        <w:t>Descripción</w:t>
      </w:r>
      <w:r>
        <w:rPr>
          <w:b/>
          <w:bCs/>
          <w:lang w:val="es-ES_tradnl"/>
        </w:rPr>
        <w:t xml:space="preserve">: </w:t>
      </w:r>
      <w:r w:rsidRPr="00BB07CF">
        <w:rPr>
          <w:lang w:val="es-ES_tradnl"/>
        </w:rPr>
        <w:t xml:space="preserve">Corresponde </w:t>
      </w:r>
      <w:r>
        <w:rPr>
          <w:lang w:val="es-ES_tradnl"/>
        </w:rPr>
        <w:t xml:space="preserve">al </w:t>
      </w:r>
      <w:r w:rsidR="008066F7">
        <w:rPr>
          <w:lang w:val="es-ES_tradnl"/>
        </w:rPr>
        <w:t xml:space="preserve">número </w:t>
      </w:r>
      <w:r w:rsidRPr="008620F6">
        <w:rPr>
          <w:lang w:val="es-ES_tradnl"/>
        </w:rPr>
        <w:t xml:space="preserve">de </w:t>
      </w:r>
      <w:r w:rsidR="008B269F">
        <w:rPr>
          <w:lang w:val="es-ES_tradnl"/>
        </w:rPr>
        <w:t xml:space="preserve">quejas y </w:t>
      </w:r>
      <w:r w:rsidRPr="008620F6">
        <w:rPr>
          <w:lang w:val="es-ES_tradnl"/>
        </w:rPr>
        <w:t xml:space="preserve">reclamos </w:t>
      </w:r>
      <w:r>
        <w:rPr>
          <w:lang w:val="es-ES_tradnl"/>
        </w:rPr>
        <w:t>por concepto de facturación</w:t>
      </w:r>
      <w:r w:rsidR="00CB2C10">
        <w:rPr>
          <w:lang w:val="es-ES_tradnl"/>
        </w:rPr>
        <w:t>,</w:t>
      </w:r>
      <w:r>
        <w:rPr>
          <w:lang w:val="es-ES_tradnl"/>
        </w:rPr>
        <w:t xml:space="preserve"> </w:t>
      </w:r>
      <w:r w:rsidRPr="008620F6">
        <w:rPr>
          <w:lang w:val="es-ES_tradnl"/>
        </w:rPr>
        <w:t xml:space="preserve">resueltos a favor del </w:t>
      </w:r>
      <w:r w:rsidR="00DF088C">
        <w:rPr>
          <w:lang w:val="es-ES_tradnl"/>
        </w:rPr>
        <w:t>usuario</w:t>
      </w:r>
      <w:r w:rsidR="00835BA2">
        <w:rPr>
          <w:lang w:val="es-ES_tradnl"/>
        </w:rPr>
        <w:t>, sobre el total de facturas expedidas por el comercializador</w:t>
      </w:r>
      <w:r w:rsidRPr="008620F6">
        <w:rPr>
          <w:lang w:val="es-ES_tradnl"/>
        </w:rPr>
        <w:t>.</w:t>
      </w:r>
    </w:p>
    <w:p w14:paraId="7D246A57" w14:textId="678D565B" w:rsidR="00C736F9" w:rsidRPr="007902E8" w:rsidRDefault="002E6E30" w:rsidP="00C736F9">
      <w:pPr>
        <w:pStyle w:val="Ttulo2"/>
      </w:pPr>
      <w:r>
        <w:t xml:space="preserve">evaluación </w:t>
      </w:r>
      <w:r w:rsidR="00C736F9">
        <w:t xml:space="preserve">DE CUMPLIMIENTO DE LOS INDICADORES DE CALIDAD </w:t>
      </w:r>
      <w:r w:rsidR="00C736F9" w:rsidRPr="007902E8">
        <w:t>del servicio comercial.</w:t>
      </w:r>
    </w:p>
    <w:p w14:paraId="1BD497AD" w14:textId="309FA1B8" w:rsidR="008F5C09" w:rsidRDefault="00471699" w:rsidP="008F5C09">
      <w:pPr>
        <w:pStyle w:val="Ttulo3"/>
      </w:pPr>
      <w:r>
        <w:t xml:space="preserve">Metas </w:t>
      </w:r>
      <w:r w:rsidR="008F5C09">
        <w:t>de cumplimiento de los indicadores de calidad comercial</w:t>
      </w:r>
      <w:r w:rsidR="008F5C09" w:rsidRPr="007902E8">
        <w:t>.</w:t>
      </w:r>
    </w:p>
    <w:p w14:paraId="60CD70FA" w14:textId="0442DA3F" w:rsidR="009035AA" w:rsidRPr="00471699" w:rsidRDefault="00471699" w:rsidP="00471699">
      <w:pPr>
        <w:pStyle w:val="Ttulo4"/>
      </w:pPr>
      <w:r>
        <w:t xml:space="preserve"> </w:t>
      </w:r>
      <w:r w:rsidR="009035AA" w:rsidRPr="00471699">
        <w:t xml:space="preserve">Indicadores </w:t>
      </w:r>
      <w:r w:rsidRPr="00471699">
        <w:t xml:space="preserve">con meta de cumplimiento </w:t>
      </w:r>
      <w:r w:rsidR="009035AA" w:rsidRPr="00471699">
        <w:t>de aplicación inmedia</w:t>
      </w:r>
      <w:r w:rsidRPr="00471699">
        <w:t>ta</w:t>
      </w:r>
    </w:p>
    <w:p w14:paraId="5931859C" w14:textId="600DBBED" w:rsidR="00103DE2" w:rsidRPr="002B033F" w:rsidRDefault="00492576" w:rsidP="008638B3">
      <w:pPr>
        <w:rPr>
          <w:lang w:val="es-ES_tradnl"/>
        </w:rPr>
      </w:pPr>
      <w:r>
        <w:rPr>
          <w:lang w:val="es-ES_tradnl"/>
        </w:rPr>
        <w:t xml:space="preserve">Para </w:t>
      </w:r>
      <w:r w:rsidR="008F6BAE">
        <w:rPr>
          <w:lang w:val="es-ES_tradnl"/>
        </w:rPr>
        <w:t>los indicadores “</w:t>
      </w:r>
      <w:r w:rsidR="008F6BAE" w:rsidRPr="00E6399F">
        <w:rPr>
          <w:lang w:val="es-ES_tradnl"/>
        </w:rPr>
        <w:t>Cantidad de quejas por usuario</w:t>
      </w:r>
      <w:r w:rsidR="008F6BAE">
        <w:rPr>
          <w:lang w:val="es-ES_tradnl"/>
        </w:rPr>
        <w:t>” y “</w:t>
      </w:r>
      <w:r w:rsidR="008F6BAE" w:rsidRPr="00492576">
        <w:rPr>
          <w:lang w:val="es-ES_tradnl"/>
        </w:rPr>
        <w:t>Calidad de la facturación</w:t>
      </w:r>
      <w:r w:rsidR="008F6BAE">
        <w:rPr>
          <w:lang w:val="es-ES_tradnl"/>
        </w:rPr>
        <w:t xml:space="preserve">”, la meta </w:t>
      </w:r>
      <w:r w:rsidR="008638B3">
        <w:rPr>
          <w:lang w:val="es-ES_tradnl"/>
        </w:rPr>
        <w:t xml:space="preserve">de cumplimiento consistirá en reflejar </w:t>
      </w:r>
      <w:r w:rsidR="00E0184B">
        <w:rPr>
          <w:lang w:val="es-ES_tradnl"/>
        </w:rPr>
        <w:t>un</w:t>
      </w:r>
      <w:r w:rsidR="00B9059A">
        <w:rPr>
          <w:lang w:val="es-ES_tradnl"/>
        </w:rPr>
        <w:t xml:space="preserve">a reducción anual de 5% respecto del porcentaje observado </w:t>
      </w:r>
      <w:r w:rsidR="0071011C">
        <w:rPr>
          <w:lang w:val="es-ES_tradnl"/>
        </w:rPr>
        <w:t>para est</w:t>
      </w:r>
      <w:r w:rsidR="0062546F">
        <w:rPr>
          <w:lang w:val="es-ES_tradnl"/>
        </w:rPr>
        <w:t>os</w:t>
      </w:r>
      <w:r w:rsidR="0071011C">
        <w:rPr>
          <w:lang w:val="es-ES_tradnl"/>
        </w:rPr>
        <w:t xml:space="preserve"> indicador</w:t>
      </w:r>
      <w:r w:rsidR="0062546F">
        <w:rPr>
          <w:lang w:val="es-ES_tradnl"/>
        </w:rPr>
        <w:t>es</w:t>
      </w:r>
      <w:r w:rsidR="0071011C">
        <w:rPr>
          <w:lang w:val="es-ES_tradnl"/>
        </w:rPr>
        <w:t xml:space="preserve"> en </w:t>
      </w:r>
      <w:r w:rsidR="00B9059A">
        <w:rPr>
          <w:lang w:val="es-ES_tradnl"/>
        </w:rPr>
        <w:t>el a</w:t>
      </w:r>
      <w:r w:rsidR="00F71274">
        <w:rPr>
          <w:lang w:val="es-ES_tradnl"/>
        </w:rPr>
        <w:t>ñ</w:t>
      </w:r>
      <w:r w:rsidR="00B9059A">
        <w:rPr>
          <w:lang w:val="es-ES_tradnl"/>
        </w:rPr>
        <w:t xml:space="preserve">o </w:t>
      </w:r>
      <w:r w:rsidR="00F71274">
        <w:rPr>
          <w:lang w:val="es-ES_tradnl"/>
        </w:rPr>
        <w:t>base de la metodología</w:t>
      </w:r>
      <w:r w:rsidR="003D5E87">
        <w:rPr>
          <w:lang w:val="es-ES_tradnl"/>
        </w:rPr>
        <w:t>.</w:t>
      </w:r>
      <w:r w:rsidR="008A130D">
        <w:rPr>
          <w:lang w:val="es-ES_tradnl"/>
        </w:rPr>
        <w:t xml:space="preserve"> Esto se aplicará </w:t>
      </w:r>
      <w:r w:rsidR="00954FFE">
        <w:rPr>
          <w:lang w:val="es-ES_tradnl"/>
        </w:rPr>
        <w:t xml:space="preserve">el siguiente año </w:t>
      </w:r>
      <w:r w:rsidR="003E5466">
        <w:rPr>
          <w:lang w:val="es-ES_tradnl"/>
        </w:rPr>
        <w:t xml:space="preserve">después de </w:t>
      </w:r>
      <w:r w:rsidR="00351B06">
        <w:rPr>
          <w:lang w:val="es-ES_tradnl"/>
        </w:rPr>
        <w:t>aplicar la metodología aprobada en esta resolución.</w:t>
      </w:r>
    </w:p>
    <w:p w14:paraId="22A09DD2" w14:textId="2D9B4218" w:rsidR="0062546F" w:rsidRPr="00471699" w:rsidRDefault="0062546F" w:rsidP="0062546F">
      <w:pPr>
        <w:pStyle w:val="Ttulo4"/>
      </w:pPr>
      <w:r>
        <w:t xml:space="preserve"> </w:t>
      </w:r>
      <w:r w:rsidRPr="00471699">
        <w:t xml:space="preserve">Indicadores con meta de cumplimiento </w:t>
      </w:r>
      <w:r>
        <w:t>por definir medi</w:t>
      </w:r>
      <w:r w:rsidR="009D0085">
        <w:t xml:space="preserve">ante </w:t>
      </w:r>
      <w:r w:rsidR="00C9652B">
        <w:t>circular expedida por la CREG</w:t>
      </w:r>
    </w:p>
    <w:p w14:paraId="71F5CD70" w14:textId="18C90E82" w:rsidR="00492576" w:rsidRDefault="00DC28C3" w:rsidP="00BB2914">
      <w:pPr>
        <w:rPr>
          <w:lang w:val="es-CO"/>
        </w:rPr>
      </w:pPr>
      <w:r>
        <w:rPr>
          <w:lang w:val="es-ES_tradnl"/>
        </w:rPr>
        <w:t xml:space="preserve">Para los indicadores restantes, </w:t>
      </w:r>
      <w:r w:rsidR="00B364D9">
        <w:rPr>
          <w:lang w:val="es-ES_tradnl"/>
        </w:rPr>
        <w:t xml:space="preserve">listados a continuación, la meta </w:t>
      </w:r>
      <w:r>
        <w:rPr>
          <w:lang w:val="es-CO"/>
        </w:rPr>
        <w:t xml:space="preserve">de cumplimiento </w:t>
      </w:r>
      <w:r w:rsidR="001B7FD0">
        <w:rPr>
          <w:lang w:val="es-CO"/>
        </w:rPr>
        <w:t>será definid</w:t>
      </w:r>
      <w:r w:rsidR="00B364D9">
        <w:rPr>
          <w:lang w:val="es-CO"/>
        </w:rPr>
        <w:t>a</w:t>
      </w:r>
      <w:r w:rsidR="00894DDC">
        <w:rPr>
          <w:lang w:val="es-CO"/>
        </w:rPr>
        <w:t xml:space="preserve"> por la CREG mediante circular</w:t>
      </w:r>
      <w:r w:rsidR="00B364D9">
        <w:rPr>
          <w:lang w:val="es-CO"/>
        </w:rPr>
        <w:t>:</w:t>
      </w:r>
    </w:p>
    <w:p w14:paraId="40BC62BA" w14:textId="77777777" w:rsidR="00D35D6B" w:rsidRPr="00D35D6B" w:rsidRDefault="00D35D6B" w:rsidP="002B033F">
      <w:pPr>
        <w:pStyle w:val="Prrafodelista"/>
        <w:numPr>
          <w:ilvl w:val="0"/>
          <w:numId w:val="118"/>
        </w:numPr>
      </w:pPr>
      <w:r w:rsidRPr="00D35D6B">
        <w:t>Calidad en la respuesta a quejas y reclamos</w:t>
      </w:r>
    </w:p>
    <w:p w14:paraId="162440D4" w14:textId="77777777" w:rsidR="00D35D6B" w:rsidRPr="00D35D6B" w:rsidRDefault="00D35D6B" w:rsidP="002B033F">
      <w:pPr>
        <w:pStyle w:val="Prrafodelista"/>
        <w:numPr>
          <w:ilvl w:val="0"/>
          <w:numId w:val="118"/>
        </w:numPr>
      </w:pPr>
      <w:r w:rsidRPr="00D35D6B">
        <w:t>Calidad en la atención de llamadas telefónicas</w:t>
      </w:r>
    </w:p>
    <w:p w14:paraId="07D7D4E5" w14:textId="77777777" w:rsidR="00D35D6B" w:rsidRPr="00D35D6B" w:rsidRDefault="00D35D6B" w:rsidP="002B033F">
      <w:pPr>
        <w:pStyle w:val="Prrafodelista"/>
        <w:numPr>
          <w:ilvl w:val="0"/>
          <w:numId w:val="118"/>
        </w:numPr>
      </w:pPr>
      <w:r w:rsidRPr="00D35D6B">
        <w:t>Gestión de abandono de llamada</w:t>
      </w:r>
    </w:p>
    <w:p w14:paraId="7E0EFA6D" w14:textId="77777777" w:rsidR="00D35D6B" w:rsidRPr="00D35D6B" w:rsidRDefault="00D35D6B" w:rsidP="002B033F">
      <w:pPr>
        <w:pStyle w:val="Prrafodelista"/>
        <w:numPr>
          <w:ilvl w:val="0"/>
          <w:numId w:val="118"/>
        </w:numPr>
      </w:pPr>
      <w:r w:rsidRPr="00D35D6B">
        <w:t>Respuesta a medios electrónicos</w:t>
      </w:r>
    </w:p>
    <w:p w14:paraId="22DAADCB" w14:textId="1FA577F4" w:rsidR="004232B1" w:rsidRPr="00471699" w:rsidRDefault="004232B1" w:rsidP="004232B1">
      <w:pPr>
        <w:pStyle w:val="Ttulo4"/>
      </w:pPr>
      <w:r>
        <w:t xml:space="preserve"> Evaluación de l</w:t>
      </w:r>
      <w:r w:rsidR="008D26A3">
        <w:t xml:space="preserve">os indicadores anuales </w:t>
      </w:r>
      <w:r w:rsidR="00C47D41">
        <w:t xml:space="preserve">frente a las </w:t>
      </w:r>
      <w:r w:rsidRPr="00471699">
        <w:t>meta</w:t>
      </w:r>
      <w:r>
        <w:t xml:space="preserve">s </w:t>
      </w:r>
      <w:r w:rsidR="00C47D41">
        <w:t>de cumplimiento</w:t>
      </w:r>
    </w:p>
    <w:p w14:paraId="51B73506" w14:textId="0C7D7F44" w:rsidR="0062187D" w:rsidRDefault="00FE3B67" w:rsidP="00D55B12">
      <w:pPr>
        <w:spacing w:before="0" w:after="0"/>
        <w:rPr>
          <w:lang w:val="es-CO"/>
        </w:rPr>
      </w:pPr>
      <w:r>
        <w:t xml:space="preserve">Para </w:t>
      </w:r>
      <w:r w:rsidR="004C4012">
        <w:t xml:space="preserve">efectuar la </w:t>
      </w:r>
      <w:proofErr w:type="spellStart"/>
      <w:r w:rsidR="00681AB2">
        <w:t>evaluaci</w:t>
      </w:r>
      <w:r w:rsidR="00681AB2">
        <w:rPr>
          <w:lang w:val="es-CO"/>
        </w:rPr>
        <w:t>ó</w:t>
      </w:r>
      <w:proofErr w:type="spellEnd"/>
      <w:r w:rsidR="00681AB2">
        <w:t xml:space="preserve">n de cumplimiento de la meta </w:t>
      </w:r>
      <w:r w:rsidR="0062187D">
        <w:rPr>
          <w:lang w:val="es-CO"/>
        </w:rPr>
        <w:t>en cada indicador, se aplicará el procedimiento de cálculo</w:t>
      </w:r>
      <w:r w:rsidR="009C0A4A">
        <w:rPr>
          <w:lang w:val="es-CO"/>
        </w:rPr>
        <w:t xml:space="preserve"> </w:t>
      </w:r>
      <w:r w:rsidR="00FC0939">
        <w:rPr>
          <w:lang w:val="es-CO"/>
        </w:rPr>
        <w:t xml:space="preserve">a partir de la descripción </w:t>
      </w:r>
      <w:r w:rsidR="003E3DD7">
        <w:rPr>
          <w:lang w:val="es-CO"/>
        </w:rPr>
        <w:t xml:space="preserve">señalada en el </w:t>
      </w:r>
      <w:r w:rsidR="00EC6CD7">
        <w:rPr>
          <w:lang w:val="es-CO"/>
        </w:rPr>
        <w:t>artículo</w:t>
      </w:r>
      <w:r w:rsidR="003E3DD7">
        <w:rPr>
          <w:lang w:val="es-CO"/>
        </w:rPr>
        <w:t xml:space="preserve"> 3.2</w:t>
      </w:r>
      <w:r w:rsidR="00EC6CD7">
        <w:rPr>
          <w:lang w:val="es-CO"/>
        </w:rPr>
        <w:t xml:space="preserve"> pero considerando el total anual.</w:t>
      </w:r>
    </w:p>
    <w:p w14:paraId="3ADEBA18" w14:textId="77777777" w:rsidR="00EC6CD7" w:rsidRDefault="00EC6CD7" w:rsidP="00D55B12">
      <w:pPr>
        <w:spacing w:before="0" w:after="0"/>
        <w:rPr>
          <w:lang w:val="es-CO"/>
        </w:rPr>
      </w:pPr>
    </w:p>
    <w:tbl>
      <w:tblPr>
        <w:tblStyle w:val="Tablaconcuadrcula"/>
        <w:tblW w:w="0" w:type="auto"/>
        <w:jc w:val="center"/>
        <w:tblLayout w:type="fixed"/>
        <w:tblLook w:val="04A0" w:firstRow="1" w:lastRow="0" w:firstColumn="1" w:lastColumn="0" w:noHBand="0" w:noVBand="1"/>
      </w:tblPr>
      <w:tblGrid>
        <w:gridCol w:w="1413"/>
        <w:gridCol w:w="2268"/>
        <w:gridCol w:w="5665"/>
      </w:tblGrid>
      <w:tr w:rsidR="00EC6CD7" w:rsidRPr="00203F24" w14:paraId="5E6621EC" w14:textId="6E3DBBBA" w:rsidTr="007C3526">
        <w:trPr>
          <w:jc w:val="center"/>
        </w:trPr>
        <w:tc>
          <w:tcPr>
            <w:tcW w:w="1413" w:type="dxa"/>
            <w:vAlign w:val="center"/>
          </w:tcPr>
          <w:p w14:paraId="3CED335A" w14:textId="77777777" w:rsidR="00EC6CD7" w:rsidRPr="00203F24" w:rsidRDefault="00EC6CD7">
            <w:pPr>
              <w:spacing w:before="0" w:after="0"/>
              <w:jc w:val="center"/>
              <w:rPr>
                <w:b/>
                <w:bCs/>
                <w:sz w:val="18"/>
                <w:szCs w:val="18"/>
              </w:rPr>
            </w:pPr>
            <w:r w:rsidRPr="00203F24">
              <w:rPr>
                <w:b/>
                <w:bCs/>
                <w:sz w:val="18"/>
                <w:szCs w:val="18"/>
              </w:rPr>
              <w:t>CATEGORÍA</w:t>
            </w:r>
          </w:p>
        </w:tc>
        <w:tc>
          <w:tcPr>
            <w:tcW w:w="2268" w:type="dxa"/>
            <w:vAlign w:val="center"/>
          </w:tcPr>
          <w:p w14:paraId="72D7DDD5" w14:textId="77777777" w:rsidR="00EC6CD7" w:rsidRPr="00203F24" w:rsidRDefault="00EC6CD7">
            <w:pPr>
              <w:spacing w:before="0" w:after="0"/>
              <w:jc w:val="center"/>
              <w:rPr>
                <w:b/>
                <w:bCs/>
                <w:sz w:val="18"/>
                <w:szCs w:val="18"/>
              </w:rPr>
            </w:pPr>
            <w:r w:rsidRPr="00203F24">
              <w:rPr>
                <w:b/>
                <w:bCs/>
                <w:sz w:val="18"/>
                <w:szCs w:val="18"/>
              </w:rPr>
              <w:t>INDICADOR</w:t>
            </w:r>
          </w:p>
        </w:tc>
        <w:tc>
          <w:tcPr>
            <w:tcW w:w="5665" w:type="dxa"/>
            <w:vAlign w:val="center"/>
          </w:tcPr>
          <w:p w14:paraId="5157CC13" w14:textId="31CCD186" w:rsidR="00EC6CD7" w:rsidRPr="00203F24" w:rsidRDefault="0036031F">
            <w:pPr>
              <w:spacing w:before="0" w:after="0"/>
              <w:jc w:val="center"/>
              <w:rPr>
                <w:b/>
                <w:bCs/>
                <w:sz w:val="18"/>
                <w:szCs w:val="18"/>
              </w:rPr>
            </w:pPr>
            <w:r>
              <w:rPr>
                <w:b/>
                <w:bCs/>
                <w:sz w:val="18"/>
                <w:szCs w:val="18"/>
              </w:rPr>
              <w:t xml:space="preserve">PROCEDIMIENTO DE </w:t>
            </w:r>
            <w:r w:rsidR="00EC6CD7">
              <w:rPr>
                <w:b/>
                <w:bCs/>
                <w:sz w:val="18"/>
                <w:szCs w:val="18"/>
              </w:rPr>
              <w:t>CÁLCULO PARA LA EVALUACIÓN</w:t>
            </w:r>
          </w:p>
        </w:tc>
      </w:tr>
      <w:tr w:rsidR="00EC6CD7" w:rsidRPr="00203F24" w14:paraId="01627BCF" w14:textId="332C180F" w:rsidTr="007C3526">
        <w:trPr>
          <w:jc w:val="center"/>
        </w:trPr>
        <w:tc>
          <w:tcPr>
            <w:tcW w:w="1413" w:type="dxa"/>
            <w:vMerge w:val="restart"/>
            <w:vAlign w:val="center"/>
          </w:tcPr>
          <w:p w14:paraId="0F304A28" w14:textId="77777777" w:rsidR="00EC6CD7" w:rsidRPr="00203F24" w:rsidRDefault="00EC6CD7">
            <w:pPr>
              <w:spacing w:before="0" w:after="0"/>
              <w:jc w:val="left"/>
              <w:rPr>
                <w:sz w:val="18"/>
                <w:szCs w:val="18"/>
              </w:rPr>
            </w:pPr>
            <w:r w:rsidRPr="00203F24">
              <w:rPr>
                <w:sz w:val="18"/>
                <w:szCs w:val="18"/>
              </w:rPr>
              <w:t>Quejas y reclamos</w:t>
            </w:r>
          </w:p>
        </w:tc>
        <w:tc>
          <w:tcPr>
            <w:tcW w:w="2268" w:type="dxa"/>
            <w:vAlign w:val="center"/>
          </w:tcPr>
          <w:p w14:paraId="4A9997D4" w14:textId="77777777" w:rsidR="00EC6CD7" w:rsidRPr="00203F24" w:rsidRDefault="00EC6CD7" w:rsidP="007C3526">
            <w:pPr>
              <w:spacing w:before="0" w:after="0"/>
              <w:jc w:val="left"/>
              <w:rPr>
                <w:sz w:val="18"/>
                <w:szCs w:val="18"/>
              </w:rPr>
            </w:pPr>
            <w:r w:rsidRPr="00203F24">
              <w:rPr>
                <w:sz w:val="18"/>
                <w:szCs w:val="18"/>
              </w:rPr>
              <w:t>Cantidad de quejas</w:t>
            </w:r>
            <w:r>
              <w:rPr>
                <w:sz w:val="18"/>
                <w:szCs w:val="18"/>
              </w:rPr>
              <w:t xml:space="preserve"> por usuario</w:t>
            </w:r>
          </w:p>
        </w:tc>
        <w:tc>
          <w:tcPr>
            <w:tcW w:w="5665" w:type="dxa"/>
            <w:vAlign w:val="center"/>
          </w:tcPr>
          <w:p w14:paraId="3DA3CF44" w14:textId="74249DF0" w:rsidR="00EC6CD7" w:rsidRPr="00203F24" w:rsidRDefault="00BC63AA">
            <w:pPr>
              <w:spacing w:before="0" w:after="0"/>
              <w:rPr>
                <w:sz w:val="18"/>
                <w:szCs w:val="18"/>
              </w:rPr>
            </w:pPr>
            <w:r>
              <w:rPr>
                <w:sz w:val="18"/>
                <w:szCs w:val="18"/>
              </w:rPr>
              <w:t>C</w:t>
            </w:r>
            <w:r w:rsidR="0036031F" w:rsidRPr="0036031F">
              <w:rPr>
                <w:sz w:val="18"/>
                <w:szCs w:val="18"/>
              </w:rPr>
              <w:t xml:space="preserve">orresponde al </w:t>
            </w:r>
            <w:r>
              <w:rPr>
                <w:sz w:val="18"/>
                <w:szCs w:val="18"/>
              </w:rPr>
              <w:t>número</w:t>
            </w:r>
            <w:r w:rsidR="0036031F" w:rsidRPr="0036031F">
              <w:rPr>
                <w:sz w:val="18"/>
                <w:szCs w:val="18"/>
              </w:rPr>
              <w:t xml:space="preserve"> total de quejas y reclamos recibidas por el comercializador </w:t>
            </w:r>
            <w:r w:rsidR="00ED21D2">
              <w:rPr>
                <w:sz w:val="18"/>
                <w:szCs w:val="18"/>
              </w:rPr>
              <w:t xml:space="preserve">en el periodo </w:t>
            </w:r>
            <m:oMath>
              <m:r>
                <w:rPr>
                  <w:rFonts w:ascii="Cambria Math" w:hAnsi="Cambria Math"/>
                  <w:sz w:val="18"/>
                  <w:szCs w:val="18"/>
                </w:rPr>
                <m:t>t-1</m:t>
              </m:r>
            </m:oMath>
            <w:r w:rsidR="00AE3B2C">
              <w:rPr>
                <w:sz w:val="18"/>
                <w:szCs w:val="18"/>
              </w:rPr>
              <w:t>,</w:t>
            </w:r>
            <w:r w:rsidR="00ED21D2">
              <w:rPr>
                <w:sz w:val="18"/>
                <w:szCs w:val="18"/>
              </w:rPr>
              <w:t xml:space="preserve"> </w:t>
            </w:r>
            <w:r w:rsidR="0036031F" w:rsidRPr="0036031F">
              <w:rPr>
                <w:sz w:val="18"/>
                <w:szCs w:val="18"/>
              </w:rPr>
              <w:t>respecto del total de usuarios en cada mercado</w:t>
            </w:r>
            <w:r w:rsidR="00606E10">
              <w:rPr>
                <w:sz w:val="18"/>
                <w:szCs w:val="18"/>
              </w:rPr>
              <w:t xml:space="preserve"> </w:t>
            </w:r>
            <w:r w:rsidR="00133864">
              <w:rPr>
                <w:sz w:val="18"/>
                <w:szCs w:val="18"/>
              </w:rPr>
              <w:t xml:space="preserve">en el mes </w:t>
            </w:r>
            <w:r w:rsidR="00ED5FE2">
              <w:rPr>
                <w:sz w:val="18"/>
                <w:szCs w:val="18"/>
              </w:rPr>
              <w:t xml:space="preserve">12 del periodo </w:t>
            </w:r>
            <m:oMath>
              <m:r>
                <w:rPr>
                  <w:rFonts w:ascii="Cambria Math" w:hAnsi="Cambria Math"/>
                  <w:sz w:val="18"/>
                  <w:szCs w:val="18"/>
                </w:rPr>
                <m:t>t-1</m:t>
              </m:r>
            </m:oMath>
            <w:r w:rsidR="0036031F" w:rsidRPr="0036031F">
              <w:rPr>
                <w:sz w:val="18"/>
                <w:szCs w:val="18"/>
              </w:rPr>
              <w:t>, en cualquiera de los medios de atención al usuario, discriminando s</w:t>
            </w:r>
            <w:proofErr w:type="spellStart"/>
            <w:r w:rsidR="00AB29B1">
              <w:rPr>
                <w:sz w:val="18"/>
                <w:szCs w:val="18"/>
              </w:rPr>
              <w:t>egún</w:t>
            </w:r>
            <w:proofErr w:type="spellEnd"/>
            <w:r w:rsidR="00AB29B1">
              <w:rPr>
                <w:sz w:val="18"/>
                <w:szCs w:val="18"/>
              </w:rPr>
              <w:t xml:space="preserve"> las tipologías </w:t>
            </w:r>
            <w:r w:rsidR="00E73810">
              <w:rPr>
                <w:sz w:val="18"/>
                <w:szCs w:val="18"/>
              </w:rPr>
              <w:t>de quejas</w:t>
            </w:r>
            <w:r w:rsidR="00A320AF">
              <w:rPr>
                <w:sz w:val="18"/>
                <w:szCs w:val="18"/>
              </w:rPr>
              <w:t>,</w:t>
            </w:r>
            <w:r w:rsidR="00E73810">
              <w:rPr>
                <w:sz w:val="18"/>
                <w:szCs w:val="18"/>
              </w:rPr>
              <w:t xml:space="preserve"> </w:t>
            </w:r>
            <w:r w:rsidR="00AB29B1">
              <w:rPr>
                <w:sz w:val="18"/>
                <w:szCs w:val="18"/>
              </w:rPr>
              <w:t xml:space="preserve">definidas </w:t>
            </w:r>
            <w:r w:rsidR="00DF62C6">
              <w:rPr>
                <w:sz w:val="18"/>
                <w:szCs w:val="18"/>
              </w:rPr>
              <w:t xml:space="preserve">para este indicador </w:t>
            </w:r>
            <w:r w:rsidR="00AB29B1">
              <w:rPr>
                <w:sz w:val="18"/>
                <w:szCs w:val="18"/>
              </w:rPr>
              <w:t xml:space="preserve">en la descripción </w:t>
            </w:r>
            <w:r w:rsidR="008A6097">
              <w:rPr>
                <w:sz w:val="18"/>
                <w:szCs w:val="18"/>
              </w:rPr>
              <w:t>de la sección 3.2</w:t>
            </w:r>
            <w:r w:rsidR="00440910">
              <w:rPr>
                <w:sz w:val="18"/>
                <w:szCs w:val="18"/>
              </w:rPr>
              <w:t>.</w:t>
            </w:r>
          </w:p>
        </w:tc>
      </w:tr>
      <w:tr w:rsidR="00EC6CD7" w:rsidRPr="00203F24" w14:paraId="558DE59D" w14:textId="24D3AC93" w:rsidTr="007C3526">
        <w:trPr>
          <w:jc w:val="center"/>
        </w:trPr>
        <w:tc>
          <w:tcPr>
            <w:tcW w:w="1413" w:type="dxa"/>
            <w:vMerge/>
            <w:vAlign w:val="center"/>
          </w:tcPr>
          <w:p w14:paraId="3A3454DE" w14:textId="77777777" w:rsidR="00EC6CD7" w:rsidRPr="00203F24" w:rsidRDefault="00EC6CD7">
            <w:pPr>
              <w:spacing w:before="0" w:after="0"/>
              <w:jc w:val="left"/>
              <w:rPr>
                <w:sz w:val="18"/>
                <w:szCs w:val="18"/>
              </w:rPr>
            </w:pPr>
          </w:p>
        </w:tc>
        <w:tc>
          <w:tcPr>
            <w:tcW w:w="2268" w:type="dxa"/>
            <w:vAlign w:val="center"/>
          </w:tcPr>
          <w:p w14:paraId="04A8A9FC" w14:textId="77777777" w:rsidR="00EC6CD7" w:rsidRPr="00203F24" w:rsidRDefault="00EC6CD7" w:rsidP="007C3526">
            <w:pPr>
              <w:spacing w:before="0" w:after="0"/>
              <w:jc w:val="left"/>
              <w:rPr>
                <w:sz w:val="18"/>
                <w:szCs w:val="18"/>
              </w:rPr>
            </w:pPr>
            <w:r w:rsidRPr="00203F24">
              <w:rPr>
                <w:sz w:val="18"/>
                <w:szCs w:val="18"/>
              </w:rPr>
              <w:t xml:space="preserve">Calidad en la respuesta a </w:t>
            </w:r>
            <w:r>
              <w:rPr>
                <w:sz w:val="18"/>
                <w:szCs w:val="18"/>
              </w:rPr>
              <w:t>quejas y reclamos</w:t>
            </w:r>
          </w:p>
        </w:tc>
        <w:tc>
          <w:tcPr>
            <w:tcW w:w="5665" w:type="dxa"/>
            <w:vAlign w:val="center"/>
          </w:tcPr>
          <w:p w14:paraId="67903B26" w14:textId="75A3EE52" w:rsidR="00EC6CD7" w:rsidRPr="00203F24" w:rsidRDefault="00202DD5">
            <w:pPr>
              <w:spacing w:before="0" w:after="0"/>
              <w:rPr>
                <w:sz w:val="18"/>
                <w:szCs w:val="18"/>
              </w:rPr>
            </w:pPr>
            <w:r w:rsidRPr="00202DD5">
              <w:rPr>
                <w:sz w:val="18"/>
                <w:szCs w:val="18"/>
              </w:rPr>
              <w:t xml:space="preserve">Corresponde al </w:t>
            </w:r>
            <w:r w:rsidR="00681F94">
              <w:rPr>
                <w:sz w:val="18"/>
                <w:szCs w:val="18"/>
              </w:rPr>
              <w:t xml:space="preserve">número </w:t>
            </w:r>
            <w:r w:rsidRPr="00202DD5">
              <w:rPr>
                <w:sz w:val="18"/>
                <w:szCs w:val="18"/>
              </w:rPr>
              <w:t xml:space="preserve">de quejas y reclamos </w:t>
            </w:r>
            <w:r w:rsidR="00DF4C85">
              <w:rPr>
                <w:sz w:val="18"/>
                <w:szCs w:val="18"/>
              </w:rPr>
              <w:t xml:space="preserve">en el año </w:t>
            </w:r>
            <m:oMath>
              <m:r>
                <w:rPr>
                  <w:rFonts w:ascii="Cambria Math" w:hAnsi="Cambria Math"/>
                  <w:sz w:val="18"/>
                  <w:szCs w:val="18"/>
                </w:rPr>
                <m:t>t-1</m:t>
              </m:r>
            </m:oMath>
            <w:r w:rsidR="00DF4C85">
              <w:rPr>
                <w:sz w:val="18"/>
                <w:szCs w:val="18"/>
              </w:rPr>
              <w:t xml:space="preserve"> </w:t>
            </w:r>
            <w:r w:rsidRPr="00202DD5">
              <w:rPr>
                <w:sz w:val="18"/>
                <w:szCs w:val="18"/>
              </w:rPr>
              <w:t xml:space="preserve">que llegaron a la instancia de apelación ante la SSPD y que su decisión final fue favorable a las pretensiones del usuario, </w:t>
            </w:r>
            <w:r w:rsidRPr="00202DD5">
              <w:rPr>
                <w:sz w:val="18"/>
                <w:szCs w:val="18"/>
              </w:rPr>
              <w:lastRenderedPageBreak/>
              <w:t>respecto del total de quejas y reclamos que llegaron a esta instancia</w:t>
            </w:r>
            <w:r w:rsidR="00DF4C85">
              <w:rPr>
                <w:sz w:val="18"/>
                <w:szCs w:val="18"/>
              </w:rPr>
              <w:t xml:space="preserve"> en el año </w:t>
            </w:r>
            <m:oMath>
              <m:r>
                <w:rPr>
                  <w:rFonts w:ascii="Cambria Math" w:hAnsi="Cambria Math"/>
                  <w:sz w:val="18"/>
                  <w:szCs w:val="18"/>
                </w:rPr>
                <m:t>t-1</m:t>
              </m:r>
            </m:oMath>
            <w:r w:rsidR="00DF4C85">
              <w:rPr>
                <w:sz w:val="18"/>
                <w:szCs w:val="18"/>
              </w:rPr>
              <w:t>.</w:t>
            </w:r>
          </w:p>
        </w:tc>
      </w:tr>
      <w:tr w:rsidR="00EC6CD7" w:rsidRPr="00203F24" w14:paraId="1CF151AD" w14:textId="0A4EF18E" w:rsidTr="007C3526">
        <w:trPr>
          <w:jc w:val="center"/>
        </w:trPr>
        <w:tc>
          <w:tcPr>
            <w:tcW w:w="1413" w:type="dxa"/>
            <w:vMerge w:val="restart"/>
            <w:vAlign w:val="center"/>
          </w:tcPr>
          <w:p w14:paraId="3FAE934C" w14:textId="77777777" w:rsidR="00EC6CD7" w:rsidRPr="00203F24" w:rsidRDefault="00EC6CD7">
            <w:pPr>
              <w:spacing w:before="0" w:after="0"/>
              <w:jc w:val="left"/>
              <w:rPr>
                <w:sz w:val="18"/>
                <w:szCs w:val="18"/>
              </w:rPr>
            </w:pPr>
            <w:r w:rsidRPr="00203F24">
              <w:rPr>
                <w:sz w:val="18"/>
                <w:szCs w:val="18"/>
              </w:rPr>
              <w:lastRenderedPageBreak/>
              <w:t>Atención al usuario</w:t>
            </w:r>
          </w:p>
        </w:tc>
        <w:tc>
          <w:tcPr>
            <w:tcW w:w="2268" w:type="dxa"/>
            <w:vAlign w:val="center"/>
          </w:tcPr>
          <w:p w14:paraId="2755AD97" w14:textId="77777777" w:rsidR="00EC6CD7" w:rsidRPr="00203F24" w:rsidRDefault="00EC6CD7" w:rsidP="007C3526">
            <w:pPr>
              <w:spacing w:before="0" w:after="0"/>
              <w:jc w:val="left"/>
              <w:rPr>
                <w:sz w:val="18"/>
                <w:szCs w:val="18"/>
              </w:rPr>
            </w:pPr>
            <w:r>
              <w:rPr>
                <w:sz w:val="18"/>
                <w:szCs w:val="18"/>
              </w:rPr>
              <w:t>Calidad en la a</w:t>
            </w:r>
            <w:r w:rsidRPr="00203F24">
              <w:rPr>
                <w:sz w:val="18"/>
                <w:szCs w:val="18"/>
              </w:rPr>
              <w:t>tención de llamadas telefónicas</w:t>
            </w:r>
          </w:p>
        </w:tc>
        <w:tc>
          <w:tcPr>
            <w:tcW w:w="5665" w:type="dxa"/>
            <w:vAlign w:val="center"/>
          </w:tcPr>
          <w:p w14:paraId="1195976D" w14:textId="16F8E048" w:rsidR="00EC6CD7" w:rsidRDefault="00443558">
            <w:pPr>
              <w:spacing w:before="0" w:after="0"/>
              <w:rPr>
                <w:sz w:val="18"/>
                <w:szCs w:val="18"/>
              </w:rPr>
            </w:pPr>
            <w:r w:rsidRPr="00443558">
              <w:rPr>
                <w:sz w:val="18"/>
                <w:szCs w:val="18"/>
              </w:rPr>
              <w:t xml:space="preserve">Corresponde al </w:t>
            </w:r>
            <w:r w:rsidR="00681F94">
              <w:rPr>
                <w:sz w:val="18"/>
                <w:szCs w:val="18"/>
              </w:rPr>
              <w:t xml:space="preserve">número </w:t>
            </w:r>
            <w:r w:rsidRPr="00443558">
              <w:rPr>
                <w:sz w:val="18"/>
                <w:szCs w:val="18"/>
              </w:rPr>
              <w:t>de llamadas contestadas dentro del tiempo establecido</w:t>
            </w:r>
            <w:r>
              <w:rPr>
                <w:sz w:val="18"/>
                <w:szCs w:val="18"/>
              </w:rPr>
              <w:t xml:space="preserve"> en el año </w:t>
            </w:r>
            <m:oMath>
              <m:r>
                <w:rPr>
                  <w:rFonts w:ascii="Cambria Math" w:hAnsi="Cambria Math"/>
                  <w:sz w:val="18"/>
                  <w:szCs w:val="18"/>
                </w:rPr>
                <m:t>t-1</m:t>
              </m:r>
            </m:oMath>
            <w:r w:rsidRPr="00443558">
              <w:rPr>
                <w:sz w:val="18"/>
                <w:szCs w:val="18"/>
              </w:rPr>
              <w:t>, respecto del total de llamadas recibidas por el comercializador</w:t>
            </w:r>
            <w:r>
              <w:rPr>
                <w:sz w:val="18"/>
                <w:szCs w:val="18"/>
              </w:rPr>
              <w:t xml:space="preserve"> en el año </w:t>
            </w:r>
            <m:oMath>
              <m:r>
                <w:rPr>
                  <w:rFonts w:ascii="Cambria Math" w:hAnsi="Cambria Math"/>
                  <w:sz w:val="18"/>
                  <w:szCs w:val="18"/>
                </w:rPr>
                <m:t>t-1</m:t>
              </m:r>
            </m:oMath>
            <w:r>
              <w:rPr>
                <w:sz w:val="18"/>
                <w:szCs w:val="18"/>
              </w:rPr>
              <w:t>.</w:t>
            </w:r>
          </w:p>
        </w:tc>
      </w:tr>
      <w:tr w:rsidR="00EC6CD7" w:rsidRPr="00203F24" w14:paraId="6AF078C0" w14:textId="3A5A28A9" w:rsidTr="007C3526">
        <w:trPr>
          <w:jc w:val="center"/>
        </w:trPr>
        <w:tc>
          <w:tcPr>
            <w:tcW w:w="1413" w:type="dxa"/>
            <w:vMerge/>
            <w:vAlign w:val="center"/>
          </w:tcPr>
          <w:p w14:paraId="70D708D3" w14:textId="77777777" w:rsidR="00EC6CD7" w:rsidRPr="00203F24" w:rsidRDefault="00EC6CD7">
            <w:pPr>
              <w:spacing w:before="0" w:after="0"/>
              <w:jc w:val="left"/>
              <w:rPr>
                <w:sz w:val="18"/>
                <w:szCs w:val="18"/>
              </w:rPr>
            </w:pPr>
          </w:p>
        </w:tc>
        <w:tc>
          <w:tcPr>
            <w:tcW w:w="2268" w:type="dxa"/>
            <w:vAlign w:val="center"/>
          </w:tcPr>
          <w:p w14:paraId="047A8296" w14:textId="77777777" w:rsidR="00EC6CD7" w:rsidRPr="00203F24" w:rsidRDefault="00EC6CD7" w:rsidP="007C3526">
            <w:pPr>
              <w:spacing w:before="0" w:after="0"/>
              <w:jc w:val="left"/>
              <w:rPr>
                <w:sz w:val="18"/>
                <w:szCs w:val="18"/>
              </w:rPr>
            </w:pPr>
            <w:r w:rsidRPr="00203F24">
              <w:rPr>
                <w:sz w:val="18"/>
                <w:szCs w:val="18"/>
              </w:rPr>
              <w:t>Gestión de abandono de llamada</w:t>
            </w:r>
          </w:p>
        </w:tc>
        <w:tc>
          <w:tcPr>
            <w:tcW w:w="5665" w:type="dxa"/>
            <w:vAlign w:val="center"/>
          </w:tcPr>
          <w:p w14:paraId="2FD6BBDE" w14:textId="3F36BD13" w:rsidR="00EC6CD7" w:rsidRPr="00203F24" w:rsidRDefault="00443558">
            <w:pPr>
              <w:spacing w:before="0" w:after="0"/>
              <w:rPr>
                <w:sz w:val="18"/>
                <w:szCs w:val="18"/>
              </w:rPr>
            </w:pPr>
            <w:r w:rsidRPr="00443558">
              <w:rPr>
                <w:sz w:val="18"/>
                <w:szCs w:val="18"/>
              </w:rPr>
              <w:t xml:space="preserve">Corresponde al </w:t>
            </w:r>
            <w:bookmarkStart w:id="71" w:name="_Hlk164351211"/>
            <w:r w:rsidR="00681F94">
              <w:rPr>
                <w:sz w:val="18"/>
                <w:szCs w:val="18"/>
              </w:rPr>
              <w:t xml:space="preserve">número </w:t>
            </w:r>
            <w:bookmarkEnd w:id="71"/>
            <w:r w:rsidRPr="00443558">
              <w:rPr>
                <w:sz w:val="18"/>
                <w:szCs w:val="18"/>
              </w:rPr>
              <w:t>de llamadas abandonadas que fueron devueltas</w:t>
            </w:r>
            <w:r>
              <w:rPr>
                <w:sz w:val="18"/>
                <w:szCs w:val="18"/>
              </w:rPr>
              <w:t xml:space="preserve">, en el </w:t>
            </w:r>
            <w:r w:rsidR="009C5A3D">
              <w:rPr>
                <w:sz w:val="18"/>
                <w:szCs w:val="18"/>
              </w:rPr>
              <w:t>año</w:t>
            </w:r>
            <w:r>
              <w:rPr>
                <w:sz w:val="18"/>
                <w:szCs w:val="18"/>
              </w:rPr>
              <w:t xml:space="preserve"> </w:t>
            </w:r>
            <m:oMath>
              <m:r>
                <w:rPr>
                  <w:rFonts w:ascii="Cambria Math" w:hAnsi="Cambria Math"/>
                  <w:sz w:val="18"/>
                  <w:szCs w:val="18"/>
                </w:rPr>
                <m:t>t-1</m:t>
              </m:r>
            </m:oMath>
            <w:r w:rsidR="006114B5">
              <w:rPr>
                <w:sz w:val="18"/>
                <w:szCs w:val="18"/>
              </w:rPr>
              <w:t>,</w:t>
            </w:r>
            <w:r w:rsidRPr="00443558">
              <w:rPr>
                <w:sz w:val="18"/>
                <w:szCs w:val="18"/>
              </w:rPr>
              <w:t xml:space="preserve"> respecto del total de llamadas recibidas por el comercializador</w:t>
            </w:r>
            <w:r w:rsidR="009C5A3D">
              <w:rPr>
                <w:sz w:val="18"/>
                <w:szCs w:val="18"/>
              </w:rPr>
              <w:t xml:space="preserve"> en el mismo periodo.</w:t>
            </w:r>
          </w:p>
        </w:tc>
      </w:tr>
      <w:tr w:rsidR="00EC6CD7" w:rsidRPr="00203F24" w14:paraId="724CF09A" w14:textId="60282AC5" w:rsidTr="007C3526">
        <w:trPr>
          <w:jc w:val="center"/>
        </w:trPr>
        <w:tc>
          <w:tcPr>
            <w:tcW w:w="1413" w:type="dxa"/>
            <w:vMerge/>
            <w:vAlign w:val="center"/>
          </w:tcPr>
          <w:p w14:paraId="265549CC" w14:textId="77777777" w:rsidR="00EC6CD7" w:rsidRPr="00203F24" w:rsidRDefault="00EC6CD7">
            <w:pPr>
              <w:spacing w:before="0" w:after="0"/>
              <w:jc w:val="left"/>
              <w:rPr>
                <w:sz w:val="18"/>
                <w:szCs w:val="18"/>
              </w:rPr>
            </w:pPr>
          </w:p>
        </w:tc>
        <w:tc>
          <w:tcPr>
            <w:tcW w:w="2268" w:type="dxa"/>
            <w:vAlign w:val="center"/>
          </w:tcPr>
          <w:p w14:paraId="30FCEE41" w14:textId="77777777" w:rsidR="00EC6CD7" w:rsidRPr="00203F24" w:rsidRDefault="00EC6CD7" w:rsidP="007C3526">
            <w:pPr>
              <w:spacing w:before="0" w:after="0"/>
              <w:jc w:val="left"/>
              <w:rPr>
                <w:sz w:val="18"/>
                <w:szCs w:val="18"/>
              </w:rPr>
            </w:pPr>
            <w:r w:rsidRPr="00203F24">
              <w:rPr>
                <w:sz w:val="18"/>
                <w:szCs w:val="18"/>
              </w:rPr>
              <w:t>Respuesta a medios electrónicos</w:t>
            </w:r>
          </w:p>
        </w:tc>
        <w:tc>
          <w:tcPr>
            <w:tcW w:w="5665" w:type="dxa"/>
            <w:vAlign w:val="center"/>
          </w:tcPr>
          <w:p w14:paraId="7FFDB4E2" w14:textId="1D41BA6B" w:rsidR="00EC6CD7" w:rsidRPr="00203F24" w:rsidRDefault="008066F7">
            <w:pPr>
              <w:spacing w:before="0" w:after="0"/>
              <w:rPr>
                <w:sz w:val="18"/>
                <w:szCs w:val="18"/>
              </w:rPr>
            </w:pPr>
            <w:r w:rsidRPr="008066F7">
              <w:rPr>
                <w:sz w:val="18"/>
                <w:szCs w:val="18"/>
              </w:rPr>
              <w:t xml:space="preserve">Corresponde al tiempo promedio </w:t>
            </w:r>
            <w:r>
              <w:rPr>
                <w:sz w:val="18"/>
                <w:szCs w:val="18"/>
              </w:rPr>
              <w:t xml:space="preserve">anual </w:t>
            </w:r>
            <w:r w:rsidRPr="008066F7">
              <w:rPr>
                <w:sz w:val="18"/>
                <w:szCs w:val="18"/>
              </w:rPr>
              <w:t>que tarda el comercializador en dar respuesta a reclamaciones realizadas por los usuarios en medios digitales</w:t>
            </w:r>
          </w:p>
        </w:tc>
      </w:tr>
      <w:tr w:rsidR="00EC6CD7" w:rsidRPr="00203F24" w14:paraId="550B60AC" w14:textId="0C2D9D19" w:rsidTr="007C3526">
        <w:trPr>
          <w:jc w:val="center"/>
        </w:trPr>
        <w:tc>
          <w:tcPr>
            <w:tcW w:w="1413" w:type="dxa"/>
            <w:vAlign w:val="center"/>
          </w:tcPr>
          <w:p w14:paraId="0CB73E9B" w14:textId="77777777" w:rsidR="00EC6CD7" w:rsidRPr="00203F24" w:rsidRDefault="00EC6CD7">
            <w:pPr>
              <w:spacing w:before="0" w:after="0"/>
              <w:jc w:val="left"/>
              <w:rPr>
                <w:sz w:val="18"/>
                <w:szCs w:val="18"/>
              </w:rPr>
            </w:pPr>
            <w:r w:rsidRPr="00203F24">
              <w:rPr>
                <w:sz w:val="18"/>
                <w:szCs w:val="18"/>
              </w:rPr>
              <w:t>Facturación</w:t>
            </w:r>
          </w:p>
        </w:tc>
        <w:tc>
          <w:tcPr>
            <w:tcW w:w="2268" w:type="dxa"/>
            <w:vAlign w:val="center"/>
          </w:tcPr>
          <w:p w14:paraId="6CE9811F" w14:textId="77777777" w:rsidR="00EC6CD7" w:rsidRPr="00203F24" w:rsidRDefault="00EC6CD7" w:rsidP="007C3526">
            <w:pPr>
              <w:spacing w:before="0" w:after="0"/>
              <w:jc w:val="left"/>
              <w:rPr>
                <w:sz w:val="18"/>
                <w:szCs w:val="18"/>
              </w:rPr>
            </w:pPr>
            <w:r w:rsidRPr="00203F24">
              <w:rPr>
                <w:sz w:val="18"/>
                <w:szCs w:val="18"/>
              </w:rPr>
              <w:t>Calidad de la facturación</w:t>
            </w:r>
          </w:p>
        </w:tc>
        <w:tc>
          <w:tcPr>
            <w:tcW w:w="5665" w:type="dxa"/>
            <w:vAlign w:val="center"/>
          </w:tcPr>
          <w:p w14:paraId="4CF07676" w14:textId="128A36F9" w:rsidR="00EC6CD7" w:rsidRPr="00203F24" w:rsidRDefault="000E237C" w:rsidP="007C3526">
            <w:pPr>
              <w:spacing w:before="0" w:after="0"/>
              <w:jc w:val="left"/>
              <w:rPr>
                <w:sz w:val="18"/>
                <w:szCs w:val="18"/>
              </w:rPr>
            </w:pPr>
            <w:r w:rsidRPr="000E237C">
              <w:rPr>
                <w:sz w:val="18"/>
                <w:szCs w:val="18"/>
              </w:rPr>
              <w:t>Corresponde al número de quejas y reclamos por concepto de facturación</w:t>
            </w:r>
            <w:r>
              <w:rPr>
                <w:sz w:val="18"/>
                <w:szCs w:val="18"/>
              </w:rPr>
              <w:t xml:space="preserve"> </w:t>
            </w:r>
            <w:r w:rsidR="00F45B64">
              <w:rPr>
                <w:sz w:val="18"/>
                <w:szCs w:val="18"/>
              </w:rPr>
              <w:t xml:space="preserve">en el año </w:t>
            </w:r>
            <m:oMath>
              <m:r>
                <w:rPr>
                  <w:rFonts w:ascii="Cambria Math" w:hAnsi="Cambria Math"/>
                  <w:sz w:val="18"/>
                  <w:szCs w:val="18"/>
                </w:rPr>
                <m:t>t-1</m:t>
              </m:r>
            </m:oMath>
            <w:r w:rsidRPr="000E237C">
              <w:rPr>
                <w:sz w:val="18"/>
                <w:szCs w:val="18"/>
              </w:rPr>
              <w:t>, resueltos a favor del usuario, sobre el total de facturas expedidas por el comercializador</w:t>
            </w:r>
            <w:r w:rsidR="00F45B64">
              <w:rPr>
                <w:sz w:val="18"/>
                <w:szCs w:val="18"/>
              </w:rPr>
              <w:t xml:space="preserve"> en el año </w:t>
            </w:r>
            <m:oMath>
              <m:r>
                <w:rPr>
                  <w:rFonts w:ascii="Cambria Math" w:hAnsi="Cambria Math"/>
                  <w:sz w:val="18"/>
                  <w:szCs w:val="18"/>
                </w:rPr>
                <m:t>t-1</m:t>
              </m:r>
            </m:oMath>
            <w:r w:rsidR="00F45B64">
              <w:rPr>
                <w:sz w:val="18"/>
                <w:szCs w:val="18"/>
              </w:rPr>
              <w:t>.</w:t>
            </w:r>
          </w:p>
        </w:tc>
      </w:tr>
    </w:tbl>
    <w:p w14:paraId="79E0A25A" w14:textId="77777777" w:rsidR="00EC6CD7" w:rsidRDefault="00EC6CD7" w:rsidP="00D55B12">
      <w:pPr>
        <w:spacing w:before="0" w:after="0"/>
        <w:rPr>
          <w:lang w:val="es-CO"/>
        </w:rPr>
      </w:pPr>
    </w:p>
    <w:p w14:paraId="345F7111" w14:textId="61036015" w:rsidR="006D280B" w:rsidRDefault="004A4975" w:rsidP="00627A5D">
      <w:pPr>
        <w:spacing w:before="0" w:after="0"/>
      </w:pPr>
      <w:r>
        <w:rPr>
          <w:lang w:val="es-CO"/>
        </w:rPr>
        <w:t>E</w:t>
      </w:r>
      <w:r w:rsidR="00E02987">
        <w:t xml:space="preserve">l resultado de la </w:t>
      </w:r>
      <w:proofErr w:type="spellStart"/>
      <w:r>
        <w:t>aplicaci</w:t>
      </w:r>
      <w:r>
        <w:rPr>
          <w:lang w:val="es-CO"/>
        </w:rPr>
        <w:t>ó</w:t>
      </w:r>
      <w:proofErr w:type="spellEnd"/>
      <w:r>
        <w:t xml:space="preserve">n del procedimiento anterior </w:t>
      </w:r>
      <w:r w:rsidR="00155A84">
        <w:t xml:space="preserve">se comparará con la meta definida para </w:t>
      </w:r>
      <w:r w:rsidR="003C423A">
        <w:t xml:space="preserve">estos indicadores </w:t>
      </w:r>
      <w:r w:rsidR="00582B94">
        <w:t xml:space="preserve">en los términos </w:t>
      </w:r>
      <w:r w:rsidR="00980229">
        <w:t>definidos en la sección 3.3.1.1.</w:t>
      </w:r>
    </w:p>
    <w:p w14:paraId="6CF155BB" w14:textId="77777777" w:rsidR="0046275F" w:rsidRDefault="0046275F" w:rsidP="00627A5D">
      <w:pPr>
        <w:spacing w:before="0" w:after="0"/>
      </w:pPr>
    </w:p>
    <w:p w14:paraId="526DCD4F" w14:textId="3EB0843B" w:rsidR="0046275F" w:rsidRDefault="00103DE2" w:rsidP="00627A5D">
      <w:pPr>
        <w:spacing w:before="0" w:after="0"/>
      </w:pPr>
      <w:r w:rsidRPr="00103DE2">
        <w:t xml:space="preserve">Para los </w:t>
      </w:r>
      <w:r w:rsidR="005D2C61">
        <w:t>indicadores</w:t>
      </w:r>
      <w:r w:rsidR="00463486">
        <w:t xml:space="preserve"> que no se les </w:t>
      </w:r>
      <w:r>
        <w:t xml:space="preserve">pueda </w:t>
      </w:r>
      <w:r w:rsidR="00872B9B">
        <w:t>realizar</w:t>
      </w:r>
      <w:r>
        <w:t xml:space="preserve"> la evaluación</w:t>
      </w:r>
      <w:r w:rsidR="00FF3147">
        <w:t xml:space="preserve"> por no contar con la información a que hace referencia el presente capitulo </w:t>
      </w:r>
      <w:r w:rsidR="00CA4C7B">
        <w:t xml:space="preserve">o que esta información </w:t>
      </w:r>
      <w:r w:rsidRPr="00103DE2">
        <w:t xml:space="preserve">se considere un valor (es) atípico (s) con respecto </w:t>
      </w:r>
      <w:r w:rsidR="009658A0">
        <w:t xml:space="preserve">a </w:t>
      </w:r>
      <w:r w:rsidR="009F0A8B">
        <w:t xml:space="preserve">los </w:t>
      </w:r>
      <w:r w:rsidR="009F0A8B" w:rsidRPr="009F0A8B">
        <w:t>indicadores en el año base de la metodología</w:t>
      </w:r>
      <w:r w:rsidRPr="00103DE2">
        <w:t xml:space="preserve">, </w:t>
      </w:r>
      <w:r w:rsidR="00390DDC">
        <w:t>se considera</w:t>
      </w:r>
      <w:r w:rsidR="005D2C61">
        <w:t>rá</w:t>
      </w:r>
      <w:r w:rsidR="00390DDC">
        <w:t xml:space="preserve"> </w:t>
      </w:r>
      <w:r w:rsidR="00AE4120">
        <w:t>como indica</w:t>
      </w:r>
      <w:r w:rsidR="00AC5C0F">
        <w:t>dor que no cumple con la meta</w:t>
      </w:r>
      <w:r w:rsidRPr="00103DE2">
        <w:t>.</w:t>
      </w:r>
    </w:p>
    <w:p w14:paraId="2E362AE8" w14:textId="77777777" w:rsidR="00FB0175" w:rsidRDefault="00FB0175" w:rsidP="00FB0175">
      <w:pPr>
        <w:spacing w:before="0" w:after="0"/>
      </w:pPr>
    </w:p>
    <w:p w14:paraId="3B08BEFB" w14:textId="7FA879B5" w:rsidR="00E5555D" w:rsidRPr="007902E8" w:rsidRDefault="00E5555D" w:rsidP="00E5555D">
      <w:pPr>
        <w:pStyle w:val="Ttulo3"/>
      </w:pPr>
      <w:r>
        <w:t xml:space="preserve">Número de indicadores </w:t>
      </w:r>
      <w:r w:rsidR="004763B6" w:rsidRPr="00E1791B">
        <w:t xml:space="preserve">que </w:t>
      </w:r>
      <w:r w:rsidR="00FE659F">
        <w:t xml:space="preserve">no </w:t>
      </w:r>
      <w:r w:rsidRPr="00E1791B">
        <w:t>cumpl</w:t>
      </w:r>
      <w:r w:rsidR="004763B6" w:rsidRPr="00E1791B">
        <w:t xml:space="preserve">en con </w:t>
      </w:r>
      <w:r w:rsidR="00224DEE" w:rsidRPr="00E1791B">
        <w:t>la meta</w:t>
      </w:r>
      <w:r w:rsidRPr="00E1791B">
        <w:t>,</w:t>
      </w:r>
      <w:r>
        <w:t xml:space="preserve"> </w:t>
      </w:r>
      <m:oMath>
        <m:sSub>
          <m:sSubPr>
            <m:ctrlPr>
              <w:rPr>
                <w:rFonts w:ascii="Cambria Math" w:hAnsi="Cambria Math"/>
                <w:i/>
              </w:rPr>
            </m:ctrlPr>
          </m:sSubPr>
          <m:e>
            <m:r>
              <m:rPr>
                <m:sty m:val="bi"/>
              </m:rPr>
              <w:rPr>
                <w:rFonts w:ascii="Cambria Math" w:hAnsi="Cambria Math"/>
              </w:rPr>
              <m:t>ic</m:t>
            </m:r>
          </m:e>
          <m:sub>
            <m:r>
              <m:rPr>
                <m:sty m:val="bi"/>
              </m:rPr>
              <w:rPr>
                <w:rFonts w:ascii="Cambria Math" w:hAnsi="Cambria Math"/>
              </w:rPr>
              <m:t>i,j,t-1</m:t>
            </m:r>
          </m:sub>
        </m:sSub>
      </m:oMath>
      <w:r w:rsidRPr="007902E8">
        <w:t>.</w:t>
      </w:r>
    </w:p>
    <w:p w14:paraId="292FCF59" w14:textId="7CFFE41D" w:rsidR="005A63EF" w:rsidRDefault="00E5555D" w:rsidP="00E5555D">
      <w:pPr>
        <w:spacing w:before="0" w:after="0"/>
      </w:pPr>
      <w:r w:rsidRPr="001738AE">
        <w:t>La evaluación del cumplimiento de los indicadores de calidad comercial se realizará anualmente y se</w:t>
      </w:r>
      <w:r w:rsidR="00130313">
        <w:t xml:space="preserve">rá considerado para el </w:t>
      </w:r>
      <w:r w:rsidR="005A63EF" w:rsidRPr="001738AE">
        <w:t>Factor de ajuste al margen operacional</w:t>
      </w:r>
      <w:r w:rsidR="005A63EF">
        <w:t xml:space="preserve">, </w:t>
      </w:r>
      <m:oMath>
        <m:r>
          <w:rPr>
            <w:rFonts w:ascii="Cambria Math" w:hAnsi="Cambria Math"/>
          </w:rPr>
          <m:t>mo</m:t>
        </m:r>
      </m:oMath>
      <w:r w:rsidR="00E10740">
        <w:t xml:space="preserve">, </w:t>
      </w:r>
      <w:r w:rsidR="00C548F0">
        <w:t>que hace parte del costo variable de comercialización</w:t>
      </w:r>
      <w:r w:rsidR="00C3326D">
        <w:t xml:space="preserve"> y se aplicará</w:t>
      </w:r>
      <w:r w:rsidR="00C548F0">
        <w:t xml:space="preserve"> </w:t>
      </w:r>
      <w:r w:rsidR="00762128">
        <w:t xml:space="preserve">desde </w:t>
      </w:r>
      <w:r w:rsidR="00C548F0">
        <w:t xml:space="preserve">el mes de febrero </w:t>
      </w:r>
      <w:r w:rsidR="00762128">
        <w:t>de cada año y permanecerá vigente por doce (12) meses</w:t>
      </w:r>
      <w:r w:rsidR="00C548F0">
        <w:t>.</w:t>
      </w:r>
    </w:p>
    <w:p w14:paraId="69F981D1" w14:textId="77777777" w:rsidR="005A63EF" w:rsidRDefault="005A63EF" w:rsidP="00E5555D">
      <w:pPr>
        <w:spacing w:before="0" w:after="0"/>
      </w:pPr>
    </w:p>
    <w:p w14:paraId="6F0E13F4" w14:textId="10F42477" w:rsidR="00DD2E3A" w:rsidRDefault="004B2265" w:rsidP="00D55B12">
      <w:pPr>
        <w:spacing w:before="0" w:after="0"/>
      </w:pPr>
      <w:r>
        <w:t>La e</w:t>
      </w:r>
      <w:r w:rsidR="00E5555D" w:rsidRPr="0066610C">
        <w:t xml:space="preserve">valuación consistirá en una revisión del </w:t>
      </w:r>
      <w:r w:rsidR="00691AC1">
        <w:t xml:space="preserve">número </w:t>
      </w:r>
      <w:r w:rsidR="00CE0291">
        <w:t xml:space="preserve">de </w:t>
      </w:r>
      <w:r w:rsidR="003147B7">
        <w:t xml:space="preserve">indicadores </w:t>
      </w:r>
      <w:r w:rsidR="00914898">
        <w:t xml:space="preserve">que no cumplen con la </w:t>
      </w:r>
      <w:r w:rsidR="00776CF8">
        <w:t xml:space="preserve">meta </w:t>
      </w:r>
      <w:r w:rsidR="001442E1">
        <w:t>definida en el numeral 3.3.</w:t>
      </w:r>
      <w:r w:rsidR="002D70BC">
        <w:t>1</w:t>
      </w:r>
      <w:r w:rsidR="001442E1">
        <w:t xml:space="preserve">. </w:t>
      </w:r>
      <w:r w:rsidR="00E5555D" w:rsidRPr="0066610C">
        <w:t xml:space="preserve">con el fin de determinar el componente </w:t>
      </w:r>
      <m:oMath>
        <m:r>
          <w:rPr>
            <w:rFonts w:ascii="Cambria Math" w:hAnsi="Cambria Math"/>
          </w:rPr>
          <m:t>i</m:t>
        </m:r>
        <m:sSub>
          <m:sSubPr>
            <m:ctrlPr>
              <w:rPr>
                <w:rFonts w:ascii="Cambria Math" w:hAnsi="Cambria Math"/>
                <w:i/>
              </w:rPr>
            </m:ctrlPr>
          </m:sSubPr>
          <m:e>
            <m:r>
              <w:rPr>
                <w:rFonts w:ascii="Cambria Math" w:hAnsi="Cambria Math"/>
              </w:rPr>
              <m:t>c</m:t>
            </m:r>
          </m:e>
          <m:sub>
            <m:r>
              <w:rPr>
                <w:rFonts w:ascii="Cambria Math" w:hAnsi="Cambria Math"/>
              </w:rPr>
              <m:t>i,j,t-1</m:t>
            </m:r>
          </m:sub>
        </m:sSub>
      </m:oMath>
      <w:r w:rsidR="00E5555D" w:rsidRPr="0066610C">
        <w:t xml:space="preserve"> descrito en la sección 3.1</w:t>
      </w:r>
      <w:r w:rsidR="00776CF8">
        <w:t>.</w:t>
      </w:r>
    </w:p>
    <w:p w14:paraId="328984B7" w14:textId="01B69C94" w:rsidR="00D55B12" w:rsidRPr="007902E8" w:rsidRDefault="00D55B12" w:rsidP="00D55B12">
      <w:pPr>
        <w:pStyle w:val="Ttulo2"/>
      </w:pPr>
      <w:bookmarkStart w:id="72" w:name="_Toc164064378"/>
      <w:r w:rsidRPr="007902E8">
        <w:t xml:space="preserve">Responsabilidad por la medición </w:t>
      </w:r>
      <w:r>
        <w:t xml:space="preserve">Y Reporte </w:t>
      </w:r>
      <w:r w:rsidRPr="007902E8">
        <w:t>de indicadores</w:t>
      </w:r>
      <w:r w:rsidR="00985B32">
        <w:t xml:space="preserve"> de </w:t>
      </w:r>
      <w:r w:rsidR="00985B32" w:rsidRPr="007902E8">
        <w:t>calidad del servicio comercial</w:t>
      </w:r>
      <w:r w:rsidRPr="007902E8">
        <w:t>.</w:t>
      </w:r>
      <w:bookmarkEnd w:id="72"/>
    </w:p>
    <w:p w14:paraId="60B52D5B" w14:textId="77777777" w:rsidR="00D55B12" w:rsidRDefault="00D55B12" w:rsidP="00D55B12">
      <w:pPr>
        <w:spacing w:before="0" w:after="0"/>
      </w:pPr>
    </w:p>
    <w:p w14:paraId="2199E3D6" w14:textId="247F5EAC" w:rsidR="00D55B12" w:rsidRDefault="00D55B12" w:rsidP="00D55B12">
      <w:pPr>
        <w:spacing w:before="0" w:after="0"/>
        <w:rPr>
          <w:lang w:val="es-CO"/>
        </w:rPr>
      </w:pPr>
      <w:r w:rsidRPr="00252D7D">
        <w:t>L</w:t>
      </w:r>
      <w:r w:rsidR="003E46D9">
        <w:t xml:space="preserve">os comercializadores de energía eléctrica que atienden usuarios regulados, </w:t>
      </w:r>
      <w:r>
        <w:rPr>
          <w:lang w:val="es-CO"/>
        </w:rPr>
        <w:t>serán responsables de la medición, cálculo, reporte y publicidad de los indicadores de calidad comercial</w:t>
      </w:r>
      <w:r w:rsidR="00CC479C">
        <w:rPr>
          <w:lang w:val="es-CO"/>
        </w:rPr>
        <w:t xml:space="preserve"> definidos en la sección </w:t>
      </w:r>
      <w:r w:rsidR="00FE6C0B">
        <w:rPr>
          <w:lang w:val="es-CO"/>
        </w:rPr>
        <w:t>3.2 del presente anexo</w:t>
      </w:r>
      <w:r>
        <w:rPr>
          <w:lang w:val="es-CO"/>
        </w:rPr>
        <w:t>.</w:t>
      </w:r>
    </w:p>
    <w:p w14:paraId="27C6522C" w14:textId="77777777" w:rsidR="00D55B12" w:rsidRDefault="00D55B12" w:rsidP="00D55B12">
      <w:pPr>
        <w:spacing w:before="0" w:after="0"/>
        <w:rPr>
          <w:lang w:val="es-CO"/>
        </w:rPr>
      </w:pPr>
    </w:p>
    <w:p w14:paraId="57520ADE" w14:textId="19767A67" w:rsidR="00705A6C" w:rsidRDefault="00C87C2A" w:rsidP="00D55B12">
      <w:pPr>
        <w:spacing w:before="0" w:after="0"/>
        <w:rPr>
          <w:lang w:val="es-CO"/>
        </w:rPr>
      </w:pPr>
      <w:r>
        <w:rPr>
          <w:lang w:val="es-CO"/>
        </w:rPr>
        <w:t>E</w:t>
      </w:r>
      <w:r w:rsidR="002E158E">
        <w:rPr>
          <w:lang w:val="es-CO"/>
        </w:rPr>
        <w:t xml:space="preserve">l reporte de la medición de </w:t>
      </w:r>
      <w:r w:rsidR="009E1959">
        <w:rPr>
          <w:lang w:val="es-CO"/>
        </w:rPr>
        <w:t xml:space="preserve">estos </w:t>
      </w:r>
      <w:r w:rsidR="008A4046">
        <w:rPr>
          <w:lang w:val="es-CO"/>
        </w:rPr>
        <w:t>indicadores</w:t>
      </w:r>
      <w:r w:rsidR="009E1959">
        <w:rPr>
          <w:lang w:val="es-CO"/>
        </w:rPr>
        <w:t xml:space="preserve"> </w:t>
      </w:r>
      <w:r>
        <w:rPr>
          <w:lang w:val="es-CO"/>
        </w:rPr>
        <w:t xml:space="preserve">se deberá realizar </w:t>
      </w:r>
      <w:r w:rsidR="00185088">
        <w:rPr>
          <w:lang w:val="es-CO"/>
        </w:rPr>
        <w:t xml:space="preserve">trimestralmente </w:t>
      </w:r>
      <w:r>
        <w:rPr>
          <w:lang w:val="es-CO"/>
        </w:rPr>
        <w:t xml:space="preserve">al </w:t>
      </w:r>
      <w:r w:rsidRPr="004560B3">
        <w:rPr>
          <w:lang w:val="es-CO"/>
        </w:rPr>
        <w:t>SUI</w:t>
      </w:r>
      <w:r w:rsidR="00185088">
        <w:rPr>
          <w:lang w:val="es-CO"/>
        </w:rPr>
        <w:t>,</w:t>
      </w:r>
      <w:r w:rsidR="002E158E">
        <w:rPr>
          <w:lang w:val="es-CO"/>
        </w:rPr>
        <w:t xml:space="preserve"> </w:t>
      </w:r>
      <w:r w:rsidR="007629E0">
        <w:rPr>
          <w:lang w:val="es-CO"/>
        </w:rPr>
        <w:t xml:space="preserve">con información </w:t>
      </w:r>
      <w:r w:rsidR="006C48C0">
        <w:rPr>
          <w:lang w:val="es-CO"/>
        </w:rPr>
        <w:t>mensual</w:t>
      </w:r>
      <w:r w:rsidR="00185088">
        <w:rPr>
          <w:lang w:val="es-CO"/>
        </w:rPr>
        <w:t xml:space="preserve">. </w:t>
      </w:r>
      <w:r w:rsidR="0016484B">
        <w:rPr>
          <w:lang w:val="es-CO"/>
        </w:rPr>
        <w:t xml:space="preserve">Este reporte debe </w:t>
      </w:r>
      <w:r w:rsidR="0048550D">
        <w:rPr>
          <w:lang w:val="es-CO"/>
        </w:rPr>
        <w:t xml:space="preserve">efectuarse </w:t>
      </w:r>
      <w:r w:rsidR="002E158E">
        <w:rPr>
          <w:lang w:val="es-CO"/>
        </w:rPr>
        <w:t>h</w:t>
      </w:r>
      <w:r w:rsidR="002E158E" w:rsidRPr="002E158E">
        <w:rPr>
          <w:lang w:val="es-CO"/>
        </w:rPr>
        <w:t xml:space="preserve">asta </w:t>
      </w:r>
      <w:r w:rsidR="002E158E">
        <w:rPr>
          <w:lang w:val="es-CO"/>
        </w:rPr>
        <w:t>diez (</w:t>
      </w:r>
      <w:r w:rsidR="002E158E" w:rsidRPr="002E158E">
        <w:rPr>
          <w:lang w:val="es-CO"/>
        </w:rPr>
        <w:t>10</w:t>
      </w:r>
      <w:r w:rsidR="002E158E">
        <w:rPr>
          <w:lang w:val="es-CO"/>
        </w:rPr>
        <w:t>)</w:t>
      </w:r>
      <w:r w:rsidR="002E158E" w:rsidRPr="002E158E">
        <w:rPr>
          <w:lang w:val="es-CO"/>
        </w:rPr>
        <w:t xml:space="preserve"> días después de finalizado el trimestre a reportar</w:t>
      </w:r>
      <w:r w:rsidR="0048550D">
        <w:rPr>
          <w:lang w:val="es-CO"/>
        </w:rPr>
        <w:t>.</w:t>
      </w:r>
    </w:p>
    <w:p w14:paraId="3E639D34" w14:textId="77777777" w:rsidR="00D55B12" w:rsidRPr="007135A2" w:rsidRDefault="00D55B12" w:rsidP="00D55B12">
      <w:pPr>
        <w:pStyle w:val="Ttulo2"/>
      </w:pPr>
      <w:bookmarkStart w:id="73" w:name="_Toc164064381"/>
      <w:r w:rsidRPr="007135A2">
        <w:t>Publicidad de los resultados de medición de indicadores de calidad comercial</w:t>
      </w:r>
      <w:bookmarkEnd w:id="73"/>
    </w:p>
    <w:p w14:paraId="0E92A770" w14:textId="77777777" w:rsidR="00D55B12" w:rsidRDefault="00D55B12" w:rsidP="00D55B12">
      <w:pPr>
        <w:spacing w:before="0" w:after="0"/>
        <w:rPr>
          <w:b/>
          <w:bCs/>
        </w:rPr>
      </w:pPr>
    </w:p>
    <w:p w14:paraId="2B2E3B78" w14:textId="3BD8F11A" w:rsidR="00D55B12" w:rsidRDefault="00D55B12" w:rsidP="00D55B12">
      <w:pPr>
        <w:spacing w:before="0" w:after="0"/>
        <w:rPr>
          <w:lang w:val="es-CO"/>
        </w:rPr>
      </w:pPr>
      <w:r w:rsidRPr="00252D7D">
        <w:t>L</w:t>
      </w:r>
      <w:r w:rsidR="00F8744B">
        <w:t xml:space="preserve">os comercializadores de energía eléctrica </w:t>
      </w:r>
      <w:r>
        <w:rPr>
          <w:lang w:val="es-CO"/>
        </w:rPr>
        <w:t>deben publicar en su página web los resultados de la medición de los indicadores de calidad comercial</w:t>
      </w:r>
      <w:r w:rsidR="00502163">
        <w:rPr>
          <w:lang w:val="es-CO"/>
        </w:rPr>
        <w:t xml:space="preserve"> para el trimestre inmediatamente anterior</w:t>
      </w:r>
      <w:r>
        <w:rPr>
          <w:lang w:val="es-CO"/>
        </w:rPr>
        <w:t xml:space="preserve">, </w:t>
      </w:r>
      <w:r w:rsidR="009C3E6D">
        <w:rPr>
          <w:lang w:val="es-CO"/>
        </w:rPr>
        <w:t>desagregados por mes</w:t>
      </w:r>
      <w:r w:rsidR="001C28A5">
        <w:rPr>
          <w:lang w:val="es-CO"/>
        </w:rPr>
        <w:t xml:space="preserve"> y para cada mercado,</w:t>
      </w:r>
      <w:r w:rsidR="009C3E6D">
        <w:rPr>
          <w:lang w:val="es-CO"/>
        </w:rPr>
        <w:t xml:space="preserve"> </w:t>
      </w:r>
      <w:r>
        <w:rPr>
          <w:lang w:val="es-CO"/>
        </w:rPr>
        <w:lastRenderedPageBreak/>
        <w:t xml:space="preserve">conservando </w:t>
      </w:r>
      <w:r w:rsidR="00502163">
        <w:rPr>
          <w:lang w:val="es-CO"/>
        </w:rPr>
        <w:t xml:space="preserve">publicados </w:t>
      </w:r>
      <w:r>
        <w:rPr>
          <w:lang w:val="es-CO"/>
        </w:rPr>
        <w:t xml:space="preserve">los </w:t>
      </w:r>
      <w:r w:rsidR="00F50583">
        <w:rPr>
          <w:lang w:val="es-CO"/>
        </w:rPr>
        <w:t xml:space="preserve">resultados </w:t>
      </w:r>
      <w:r>
        <w:rPr>
          <w:lang w:val="es-CO"/>
        </w:rPr>
        <w:t>históricos de medición de al menos los últimos dos (2) años.</w:t>
      </w:r>
    </w:p>
    <w:sectPr w:rsidR="00D55B12" w:rsidSect="00951099">
      <w:headerReference w:type="default" r:id="rId14"/>
      <w:headerReference w:type="first" r:id="rId15"/>
      <w:pgSz w:w="12242" w:h="18722" w:code="123"/>
      <w:pgMar w:top="2364" w:right="1185" w:bottom="1276"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389F" w14:textId="77777777" w:rsidR="00951099" w:rsidRDefault="00951099">
      <w:r>
        <w:separator/>
      </w:r>
    </w:p>
  </w:endnote>
  <w:endnote w:type="continuationSeparator" w:id="0">
    <w:p w14:paraId="493747BF" w14:textId="77777777" w:rsidR="00951099" w:rsidRDefault="00951099">
      <w:r>
        <w:continuationSeparator/>
      </w:r>
    </w:p>
  </w:endnote>
  <w:endnote w:type="continuationNotice" w:id="1">
    <w:p w14:paraId="63D4AEED" w14:textId="77777777" w:rsidR="00951099" w:rsidRDefault="009510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87149" w14:textId="77777777" w:rsidR="00951099" w:rsidRDefault="00951099">
      <w:r>
        <w:separator/>
      </w:r>
    </w:p>
  </w:footnote>
  <w:footnote w:type="continuationSeparator" w:id="0">
    <w:p w14:paraId="394F21FA" w14:textId="77777777" w:rsidR="00951099" w:rsidRDefault="00951099">
      <w:r>
        <w:continuationSeparator/>
      </w:r>
    </w:p>
  </w:footnote>
  <w:footnote w:type="continuationNotice" w:id="1">
    <w:p w14:paraId="7C0D921C" w14:textId="77777777" w:rsidR="00951099" w:rsidRDefault="009510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9B90" w14:textId="77777777" w:rsidR="009C207F" w:rsidRPr="00774553" w:rsidRDefault="009C207F" w:rsidP="00774553">
    <w:pPr>
      <w:rPr>
        <w:lang w:val="es-CO"/>
      </w:rPr>
    </w:pPr>
  </w:p>
  <w:p w14:paraId="176DC82B" w14:textId="2CB21270" w:rsidR="009C207F" w:rsidRPr="00524BF8" w:rsidRDefault="00CE2082" w:rsidP="00490639">
    <w:pPr>
      <w:pStyle w:val="Ttulo1"/>
      <w:numPr>
        <w:ilvl w:val="0"/>
        <w:numId w:val="0"/>
      </w:numPr>
      <w:ind w:left="432" w:right="6"/>
      <w:jc w:val="left"/>
      <w:rPr>
        <w:rFonts w:cs="Arial"/>
        <w:b w:val="0"/>
        <w:sz w:val="20"/>
        <w:szCs w:val="22"/>
      </w:rPr>
    </w:pPr>
    <w:r>
      <w:rPr>
        <w:rFonts w:cs="Arial"/>
        <w:b w:val="0"/>
        <w:sz w:val="20"/>
        <w:szCs w:val="22"/>
      </w:rPr>
      <w:t xml:space="preserve">PROYECTO DE </w:t>
    </w:r>
    <w:r w:rsidR="009C207F" w:rsidRPr="00524BF8">
      <w:rPr>
        <w:rFonts w:cs="Arial"/>
        <w:b w:val="0"/>
        <w:sz w:val="20"/>
        <w:szCs w:val="22"/>
      </w:rPr>
      <w:t>RESOLUCIÓN No.</w:t>
    </w:r>
    <w:r>
      <w:rPr>
        <w:rFonts w:cs="Arial"/>
        <w:b w:val="0"/>
        <w:sz w:val="20"/>
        <w:szCs w:val="22"/>
      </w:rPr>
      <w:t xml:space="preserve"> </w:t>
    </w:r>
    <w:r w:rsidRPr="00CE2082">
      <w:rPr>
        <w:rFonts w:cs="Arial"/>
        <w:bCs/>
        <w:szCs w:val="24"/>
        <w:u w:val="single"/>
      </w:rPr>
      <w:t>701 038</w:t>
    </w:r>
    <w:r>
      <w:rPr>
        <w:rFonts w:cs="Arial"/>
        <w:b w:val="0"/>
        <w:sz w:val="20"/>
        <w:szCs w:val="22"/>
      </w:rPr>
      <w:t xml:space="preserve">   </w:t>
    </w:r>
    <w:r w:rsidR="009C207F" w:rsidRPr="00524BF8">
      <w:rPr>
        <w:rFonts w:cs="Arial"/>
        <w:b w:val="0"/>
        <w:sz w:val="20"/>
        <w:szCs w:val="22"/>
      </w:rPr>
      <w:t xml:space="preserve">DE </w:t>
    </w:r>
    <w:r w:rsidRPr="00CE2082">
      <w:rPr>
        <w:rFonts w:cs="Arial"/>
        <w:bCs/>
        <w:szCs w:val="24"/>
        <w:u w:val="single"/>
      </w:rPr>
      <w:t>13 ABR. 2024</w:t>
    </w:r>
    <w:r>
      <w:rPr>
        <w:rFonts w:cs="Arial"/>
        <w:bCs/>
        <w:szCs w:val="24"/>
        <w:u w:val="single"/>
      </w:rPr>
      <w:t xml:space="preserve"> </w:t>
    </w:r>
    <w:r>
      <w:rPr>
        <w:rFonts w:cs="Arial"/>
        <w:b w:val="0"/>
        <w:sz w:val="20"/>
        <w:szCs w:val="22"/>
      </w:rPr>
      <w:t xml:space="preserve">  </w:t>
    </w:r>
    <w:r w:rsidR="009C207F" w:rsidRPr="00524BF8">
      <w:rPr>
        <w:rFonts w:cs="Arial"/>
        <w:b w:val="0"/>
        <w:sz w:val="20"/>
        <w:szCs w:val="22"/>
      </w:rPr>
      <w:t xml:space="preserve">HOJA No. </w:t>
    </w:r>
    <w:r w:rsidR="009C207F" w:rsidRPr="00524BF8">
      <w:rPr>
        <w:rFonts w:cs="Arial"/>
        <w:b w:val="0"/>
        <w:sz w:val="20"/>
        <w:szCs w:val="22"/>
      </w:rPr>
      <w:fldChar w:fldCharType="begin"/>
    </w:r>
    <w:r w:rsidR="009C207F" w:rsidRPr="00524BF8">
      <w:rPr>
        <w:rFonts w:cs="Arial"/>
        <w:b w:val="0"/>
        <w:sz w:val="20"/>
        <w:szCs w:val="22"/>
      </w:rPr>
      <w:instrText xml:space="preserve"> PAGE   \* MERGEFORMAT </w:instrText>
    </w:r>
    <w:r w:rsidR="009C207F" w:rsidRPr="00524BF8">
      <w:rPr>
        <w:rFonts w:cs="Arial"/>
        <w:b w:val="0"/>
        <w:sz w:val="20"/>
        <w:szCs w:val="22"/>
      </w:rPr>
      <w:fldChar w:fldCharType="separate"/>
    </w:r>
    <w:r w:rsidR="009C207F">
      <w:rPr>
        <w:rFonts w:cs="Arial"/>
        <w:b w:val="0"/>
        <w:noProof/>
        <w:sz w:val="20"/>
        <w:szCs w:val="22"/>
      </w:rPr>
      <w:t>1</w:t>
    </w:r>
    <w:r w:rsidR="009C207F" w:rsidRPr="00524BF8">
      <w:rPr>
        <w:rFonts w:cs="Arial"/>
        <w:b w:val="0"/>
        <w:sz w:val="20"/>
        <w:szCs w:val="22"/>
      </w:rPr>
      <w:fldChar w:fldCharType="end"/>
    </w:r>
    <w:r w:rsidR="009C207F" w:rsidRPr="00524BF8">
      <w:rPr>
        <w:rFonts w:cs="Arial"/>
        <w:b w:val="0"/>
        <w:sz w:val="20"/>
        <w:szCs w:val="22"/>
      </w:rPr>
      <w:t>/</w:t>
    </w:r>
    <w:r w:rsidR="009C207F" w:rsidRPr="00524BF8">
      <w:rPr>
        <w:sz w:val="22"/>
      </w:rPr>
      <w:fldChar w:fldCharType="begin"/>
    </w:r>
    <w:r w:rsidR="009C207F" w:rsidRPr="00524BF8">
      <w:rPr>
        <w:sz w:val="22"/>
      </w:rPr>
      <w:instrText xml:space="preserve"> NUMPAGES  \* MERGEFORMAT </w:instrText>
    </w:r>
    <w:r w:rsidR="009C207F" w:rsidRPr="00524BF8">
      <w:rPr>
        <w:sz w:val="22"/>
      </w:rPr>
      <w:fldChar w:fldCharType="separate"/>
    </w:r>
    <w:r w:rsidR="00737178" w:rsidRPr="00737178">
      <w:rPr>
        <w:rFonts w:cs="Arial"/>
        <w:b w:val="0"/>
        <w:noProof/>
        <w:sz w:val="20"/>
        <w:szCs w:val="22"/>
      </w:rPr>
      <w:t>239</w:t>
    </w:r>
    <w:r w:rsidR="009C207F" w:rsidRPr="00524BF8">
      <w:rPr>
        <w:rFonts w:cs="Arial"/>
        <w:b w:val="0"/>
        <w:noProof/>
        <w:sz w:val="20"/>
        <w:szCs w:val="22"/>
      </w:rPr>
      <w:fldChar w:fldCharType="end"/>
    </w:r>
  </w:p>
  <w:p w14:paraId="69A4DFD4" w14:textId="77777777" w:rsidR="009C207F" w:rsidRDefault="009C207F" w:rsidP="00CD665F">
    <w:pPr>
      <w:ind w:left="142" w:right="148"/>
      <w:rPr>
        <w:rFonts w:cs="Arial"/>
        <w:sz w:val="22"/>
        <w:szCs w:val="22"/>
      </w:rPr>
    </w:pPr>
    <w:r>
      <w:rPr>
        <w:noProof/>
        <w:lang w:val="es-CO" w:eastAsia="es-CO"/>
      </w:rPr>
      <mc:AlternateContent>
        <mc:Choice Requires="wps">
          <w:drawing>
            <wp:anchor distT="0" distB="0" distL="114300" distR="114300" simplePos="0" relativeHeight="251662336" behindDoc="0" locked="0" layoutInCell="1" allowOverlap="1" wp14:anchorId="081BBF41" wp14:editId="2B84C734">
              <wp:simplePos x="0" y="0"/>
              <wp:positionH relativeFrom="column">
                <wp:posOffset>-175260</wp:posOffset>
              </wp:positionH>
              <wp:positionV relativeFrom="paragraph">
                <wp:posOffset>109220</wp:posOffset>
              </wp:positionV>
              <wp:extent cx="6267450" cy="9977120"/>
              <wp:effectExtent l="0" t="0" r="19050"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771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0C958" id="Rectangle 9" o:spid="_x0000_s1026" style="position:absolute;margin-left:-13.8pt;margin-top:8.6pt;width:493.5pt;height:78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" filled="f" strokeweight="1.5pt"/>
          </w:pict>
        </mc:Fallback>
      </mc:AlternateContent>
    </w:r>
  </w:p>
  <w:p w14:paraId="270F732C" w14:textId="77777777" w:rsidR="009C207F" w:rsidRPr="00490639" w:rsidRDefault="009C207F" w:rsidP="007C5DE6">
    <w:pPr>
      <w:spacing w:before="0" w:after="0"/>
      <w:ind w:left="142" w:right="148"/>
      <w:rPr>
        <w:rFonts w:cs="Arial"/>
        <w:sz w:val="20"/>
        <w:szCs w:val="22"/>
      </w:rPr>
    </w:pPr>
    <w:r>
      <w:rPr>
        <w:rFonts w:cs="Arial"/>
        <w:sz w:val="20"/>
        <w:szCs w:val="22"/>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B03B" w14:textId="23FB3DDB" w:rsidR="00CB31CB" w:rsidRPr="00C10EDF" w:rsidRDefault="00E26C61" w:rsidP="009B72AA">
    <w:pPr>
      <w:jc w:val="center"/>
      <w:rPr>
        <w:rFonts w:ascii="Arial" w:hAnsi="Arial" w:cs="Arial"/>
        <w:sz w:val="20"/>
        <w:szCs w:val="20"/>
      </w:rPr>
    </w:pPr>
    <w:r w:rsidRPr="00C10EDF">
      <w:rPr>
        <w:rFonts w:ascii="Arial" w:hAnsi="Arial" w:cs="Arial"/>
        <w:sz w:val="20"/>
        <w:szCs w:val="20"/>
      </w:rPr>
      <w:t>Rep</w:t>
    </w:r>
    <w:r w:rsidR="00D52B78" w:rsidRPr="00C10EDF">
      <w:rPr>
        <w:rFonts w:ascii="Arial" w:hAnsi="Arial" w:cs="Arial"/>
        <w:sz w:val="20"/>
        <w:szCs w:val="20"/>
      </w:rPr>
      <w:t>ública de Colombia</w:t>
    </w:r>
    <w:r w:rsidR="00E71D93" w:rsidRPr="00C10EDF">
      <w:rPr>
        <w:rFonts w:ascii="Arial" w:hAnsi="Arial" w:cs="Arial"/>
        <w:sz w:val="20"/>
        <w:szCs w:val="20"/>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061BFF"/>
    <w:multiLevelType w:val="multilevel"/>
    <w:tmpl w:val="D16E102A"/>
    <w:lvl w:ilvl="0">
      <w:start w:val="1"/>
      <w:numFmt w:val="decimal"/>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start w:val="1"/>
      <w:numFmt w:val="lowerLetter"/>
      <w:lvlText w:val="%5."/>
      <w:lvlJc w:val="left"/>
      <w:pPr>
        <w:tabs>
          <w:tab w:val="num" w:pos="-86"/>
        </w:tabs>
        <w:ind w:left="-86" w:hanging="360"/>
      </w:pPr>
    </w:lvl>
    <w:lvl w:ilvl="5">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3" w15:restartNumberingAfterBreak="0">
    <w:nsid w:val="032D720B"/>
    <w:multiLevelType w:val="hybridMultilevel"/>
    <w:tmpl w:val="CCC41E90"/>
    <w:lvl w:ilvl="0" w:tplc="F432ADB8">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963AC9"/>
    <w:multiLevelType w:val="hybridMultilevel"/>
    <w:tmpl w:val="CD2C8F4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52A41C5"/>
    <w:multiLevelType w:val="hybridMultilevel"/>
    <w:tmpl w:val="AD82C51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5460727"/>
    <w:multiLevelType w:val="hybridMultilevel"/>
    <w:tmpl w:val="FC3C15F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074D3982"/>
    <w:multiLevelType w:val="hybridMultilevel"/>
    <w:tmpl w:val="F21A6C1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90109C1"/>
    <w:multiLevelType w:val="hybridMultilevel"/>
    <w:tmpl w:val="BE520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A230944"/>
    <w:multiLevelType w:val="hybridMultilevel"/>
    <w:tmpl w:val="5230563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C3E6120"/>
    <w:multiLevelType w:val="hybridMultilevel"/>
    <w:tmpl w:val="8CD89B8E"/>
    <w:lvl w:ilvl="0" w:tplc="881AE0FC">
      <w:start w:val="4"/>
      <w:numFmt w:val="bullet"/>
      <w:lvlText w:val="-"/>
      <w:lvlJc w:val="left"/>
      <w:pPr>
        <w:ind w:left="473" w:hanging="360"/>
      </w:pPr>
      <w:rPr>
        <w:rFonts w:ascii="Bookman Old Style" w:eastAsia="Times New Roman" w:hAnsi="Bookman Old Style" w:cs="Times New Roman" w:hint="default"/>
      </w:rPr>
    </w:lvl>
    <w:lvl w:ilvl="1" w:tplc="240A0003" w:tentative="1">
      <w:start w:val="1"/>
      <w:numFmt w:val="bullet"/>
      <w:lvlText w:val="o"/>
      <w:lvlJc w:val="left"/>
      <w:pPr>
        <w:ind w:left="1193" w:hanging="360"/>
      </w:pPr>
      <w:rPr>
        <w:rFonts w:ascii="Courier New" w:hAnsi="Courier New" w:cs="Courier New" w:hint="default"/>
      </w:rPr>
    </w:lvl>
    <w:lvl w:ilvl="2" w:tplc="240A0005" w:tentative="1">
      <w:start w:val="1"/>
      <w:numFmt w:val="bullet"/>
      <w:lvlText w:val=""/>
      <w:lvlJc w:val="left"/>
      <w:pPr>
        <w:ind w:left="1913" w:hanging="360"/>
      </w:pPr>
      <w:rPr>
        <w:rFonts w:ascii="Wingdings" w:hAnsi="Wingdings" w:hint="default"/>
      </w:rPr>
    </w:lvl>
    <w:lvl w:ilvl="3" w:tplc="240A0001" w:tentative="1">
      <w:start w:val="1"/>
      <w:numFmt w:val="bullet"/>
      <w:lvlText w:val=""/>
      <w:lvlJc w:val="left"/>
      <w:pPr>
        <w:ind w:left="2633" w:hanging="360"/>
      </w:pPr>
      <w:rPr>
        <w:rFonts w:ascii="Symbol" w:hAnsi="Symbol" w:hint="default"/>
      </w:rPr>
    </w:lvl>
    <w:lvl w:ilvl="4" w:tplc="240A0003" w:tentative="1">
      <w:start w:val="1"/>
      <w:numFmt w:val="bullet"/>
      <w:lvlText w:val="o"/>
      <w:lvlJc w:val="left"/>
      <w:pPr>
        <w:ind w:left="3353" w:hanging="360"/>
      </w:pPr>
      <w:rPr>
        <w:rFonts w:ascii="Courier New" w:hAnsi="Courier New" w:cs="Courier New" w:hint="default"/>
      </w:rPr>
    </w:lvl>
    <w:lvl w:ilvl="5" w:tplc="240A0005" w:tentative="1">
      <w:start w:val="1"/>
      <w:numFmt w:val="bullet"/>
      <w:lvlText w:val=""/>
      <w:lvlJc w:val="left"/>
      <w:pPr>
        <w:ind w:left="4073" w:hanging="360"/>
      </w:pPr>
      <w:rPr>
        <w:rFonts w:ascii="Wingdings" w:hAnsi="Wingdings" w:hint="default"/>
      </w:rPr>
    </w:lvl>
    <w:lvl w:ilvl="6" w:tplc="240A0001" w:tentative="1">
      <w:start w:val="1"/>
      <w:numFmt w:val="bullet"/>
      <w:lvlText w:val=""/>
      <w:lvlJc w:val="left"/>
      <w:pPr>
        <w:ind w:left="4793" w:hanging="360"/>
      </w:pPr>
      <w:rPr>
        <w:rFonts w:ascii="Symbol" w:hAnsi="Symbol" w:hint="default"/>
      </w:rPr>
    </w:lvl>
    <w:lvl w:ilvl="7" w:tplc="240A0003" w:tentative="1">
      <w:start w:val="1"/>
      <w:numFmt w:val="bullet"/>
      <w:lvlText w:val="o"/>
      <w:lvlJc w:val="left"/>
      <w:pPr>
        <w:ind w:left="5513" w:hanging="360"/>
      </w:pPr>
      <w:rPr>
        <w:rFonts w:ascii="Courier New" w:hAnsi="Courier New" w:cs="Courier New" w:hint="default"/>
      </w:rPr>
    </w:lvl>
    <w:lvl w:ilvl="8" w:tplc="240A0005" w:tentative="1">
      <w:start w:val="1"/>
      <w:numFmt w:val="bullet"/>
      <w:lvlText w:val=""/>
      <w:lvlJc w:val="left"/>
      <w:pPr>
        <w:ind w:left="6233" w:hanging="360"/>
      </w:pPr>
      <w:rPr>
        <w:rFonts w:ascii="Wingdings" w:hAnsi="Wingdings" w:hint="default"/>
      </w:rPr>
    </w:lvl>
  </w:abstractNum>
  <w:abstractNum w:abstractNumId="11" w15:restartNumberingAfterBreak="0">
    <w:nsid w:val="0D703423"/>
    <w:multiLevelType w:val="hybridMultilevel"/>
    <w:tmpl w:val="AD82C51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0F832DD"/>
    <w:multiLevelType w:val="hybridMultilevel"/>
    <w:tmpl w:val="2074792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2A909E6"/>
    <w:multiLevelType w:val="multilevel"/>
    <w:tmpl w:val="E49E299E"/>
    <w:lvl w:ilvl="0">
      <w:start w:val="1"/>
      <w:numFmt w:val="decimal"/>
      <w:pStyle w:val="Ttulo1"/>
      <w:lvlText w:val="CAPITULO %1."/>
      <w:lvlJc w:val="left"/>
      <w:pPr>
        <w:ind w:left="1778" w:hanging="360"/>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tulo6"/>
      <w:lvlText w:val="%1.%2.%3.%4.%5.%6"/>
      <w:lvlJc w:val="left"/>
      <w:pPr>
        <w:ind w:left="1152" w:hanging="1152"/>
      </w:pPr>
      <w:rPr>
        <w:rFonts w:hint="default"/>
      </w:rPr>
    </w:lvl>
    <w:lvl w:ilvl="6">
      <w:start w:val="1"/>
      <w:numFmt w:val="lowerLetter"/>
      <w:pStyle w:val="Ttulo7"/>
      <w:lvlText w:val="%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147E5DB0"/>
    <w:multiLevelType w:val="hybridMultilevel"/>
    <w:tmpl w:val="02166B0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4E24A2E"/>
    <w:multiLevelType w:val="hybridMultilevel"/>
    <w:tmpl w:val="F0860D02"/>
    <w:lvl w:ilvl="0" w:tplc="240A001B">
      <w:start w:val="1"/>
      <w:numFmt w:val="low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15:restartNumberingAfterBreak="0">
    <w:nsid w:val="16033740"/>
    <w:multiLevelType w:val="hybridMultilevel"/>
    <w:tmpl w:val="744C1474"/>
    <w:lvl w:ilvl="0" w:tplc="B76C1F0E">
      <w:start w:val="1"/>
      <w:numFmt w:val="bullet"/>
      <w:pStyle w:val="Sangradetextonormal"/>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168F1A0D"/>
    <w:multiLevelType w:val="hybridMultilevel"/>
    <w:tmpl w:val="063EF10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781518"/>
    <w:multiLevelType w:val="hybridMultilevel"/>
    <w:tmpl w:val="01C8A63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1BB5137A"/>
    <w:multiLevelType w:val="hybridMultilevel"/>
    <w:tmpl w:val="E2821238"/>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BD3289B"/>
    <w:multiLevelType w:val="hybridMultilevel"/>
    <w:tmpl w:val="102EFCF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BF06BCC"/>
    <w:multiLevelType w:val="hybridMultilevel"/>
    <w:tmpl w:val="97B0B4B8"/>
    <w:lvl w:ilvl="0" w:tplc="240A0019">
      <w:start w:val="1"/>
      <w:numFmt w:val="lowerLetter"/>
      <w:lvlText w:val="%1."/>
      <w:lvlJc w:val="left"/>
      <w:pPr>
        <w:ind w:left="384" w:hanging="384"/>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1CC67EB3"/>
    <w:multiLevelType w:val="hybridMultilevel"/>
    <w:tmpl w:val="C008A796"/>
    <w:lvl w:ilvl="0" w:tplc="240A001B">
      <w:start w:val="1"/>
      <w:numFmt w:val="low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447029"/>
    <w:multiLevelType w:val="hybridMultilevel"/>
    <w:tmpl w:val="399EB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E1E0C72"/>
    <w:multiLevelType w:val="hybridMultilevel"/>
    <w:tmpl w:val="6A1067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1F0373D7"/>
    <w:multiLevelType w:val="hybridMultilevel"/>
    <w:tmpl w:val="92EA7EA0"/>
    <w:lvl w:ilvl="0" w:tplc="240A0019">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1F0C5793"/>
    <w:multiLevelType w:val="hybridMultilevel"/>
    <w:tmpl w:val="CCB8369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1D1030A"/>
    <w:multiLevelType w:val="hybridMultilevel"/>
    <w:tmpl w:val="A9941938"/>
    <w:lvl w:ilvl="0" w:tplc="65EEBC32">
      <w:start w:val="5"/>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331548D"/>
    <w:multiLevelType w:val="hybridMultilevel"/>
    <w:tmpl w:val="BF6C2F68"/>
    <w:lvl w:ilvl="0" w:tplc="4480565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38909FE"/>
    <w:multiLevelType w:val="hybridMultilevel"/>
    <w:tmpl w:val="2FA42880"/>
    <w:lvl w:ilvl="0" w:tplc="454E4A82">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240F798C"/>
    <w:multiLevelType w:val="hybridMultilevel"/>
    <w:tmpl w:val="65DE879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851020"/>
    <w:multiLevelType w:val="hybridMultilevel"/>
    <w:tmpl w:val="95381EF2"/>
    <w:lvl w:ilvl="0" w:tplc="240A001B">
      <w:start w:val="1"/>
      <w:numFmt w:val="lowerRoman"/>
      <w:lvlText w:val="%1."/>
      <w:lvlJc w:val="righ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2A960261"/>
    <w:multiLevelType w:val="hybridMultilevel"/>
    <w:tmpl w:val="A6106332"/>
    <w:lvl w:ilvl="0" w:tplc="1188CB1A">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2D294554"/>
    <w:multiLevelType w:val="hybridMultilevel"/>
    <w:tmpl w:val="BF9C7964"/>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2DF3766F"/>
    <w:multiLevelType w:val="hybridMultilevel"/>
    <w:tmpl w:val="A24A5CC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2E390A46"/>
    <w:multiLevelType w:val="hybridMultilevel"/>
    <w:tmpl w:val="E32C9934"/>
    <w:lvl w:ilvl="0" w:tplc="240A0019">
      <w:start w:val="1"/>
      <w:numFmt w:val="lowerLetter"/>
      <w:lvlText w:val="%1."/>
      <w:lvlJc w:val="left"/>
      <w:pPr>
        <w:ind w:left="360" w:hanging="360"/>
      </w:pPr>
      <w:rPr>
        <w:rFonts w:hint="default"/>
      </w:rPr>
    </w:lvl>
    <w:lvl w:ilvl="1" w:tplc="E4C2637E">
      <w:numFmt w:val="bullet"/>
      <w:lvlText w:val="-"/>
      <w:lvlJc w:val="left"/>
      <w:pPr>
        <w:ind w:left="1080" w:hanging="360"/>
      </w:pPr>
      <w:rPr>
        <w:rFonts w:ascii="Bookman Old Style" w:eastAsia="Times New Roman" w:hAnsi="Bookman Old Style"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2F410CCE"/>
    <w:multiLevelType w:val="hybridMultilevel"/>
    <w:tmpl w:val="B5282DD4"/>
    <w:lvl w:ilvl="0" w:tplc="6E4CDD0C">
      <w:start w:val="1"/>
      <w:numFmt w:val="lowerRoman"/>
      <w:lvlText w:val="%1)"/>
      <w:lvlJc w:val="left"/>
      <w:pPr>
        <w:ind w:left="707" w:hanging="720"/>
      </w:pPr>
      <w:rPr>
        <w:rFonts w:hint="default"/>
      </w:rPr>
    </w:lvl>
    <w:lvl w:ilvl="1" w:tplc="240A0019" w:tentative="1">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39"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01A0A86"/>
    <w:multiLevelType w:val="hybridMultilevel"/>
    <w:tmpl w:val="F59C07A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30E757CB"/>
    <w:multiLevelType w:val="hybridMultilevel"/>
    <w:tmpl w:val="93BE64A4"/>
    <w:lvl w:ilvl="0" w:tplc="240A0019">
      <w:start w:val="1"/>
      <w:numFmt w:val="lowerLetter"/>
      <w:lvlText w:val="%1."/>
      <w:lvlJc w:val="left"/>
      <w:pPr>
        <w:ind w:left="473" w:hanging="360"/>
      </w:pPr>
    </w:lvl>
    <w:lvl w:ilvl="1" w:tplc="3E38509E">
      <w:numFmt w:val="bullet"/>
      <w:lvlText w:val=""/>
      <w:lvlJc w:val="left"/>
      <w:pPr>
        <w:ind w:left="1193" w:hanging="360"/>
      </w:pPr>
      <w:rPr>
        <w:rFonts w:ascii="Symbol" w:eastAsia="Times New Roman" w:hAnsi="Symbol" w:cs="Times New Roman" w:hint="default"/>
      </w:r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42" w15:restartNumberingAfterBreak="0">
    <w:nsid w:val="324D6442"/>
    <w:multiLevelType w:val="hybridMultilevel"/>
    <w:tmpl w:val="67802204"/>
    <w:lvl w:ilvl="0" w:tplc="240A0017">
      <w:start w:val="1"/>
      <w:numFmt w:val="lowerLetter"/>
      <w:lvlText w:val="%1)"/>
      <w:lvlJc w:val="left"/>
      <w:pPr>
        <w:ind w:left="792" w:hanging="360"/>
      </w:pPr>
    </w:lvl>
    <w:lvl w:ilvl="1" w:tplc="240A0019" w:tentative="1">
      <w:start w:val="1"/>
      <w:numFmt w:val="lowerLetter"/>
      <w:lvlText w:val="%2."/>
      <w:lvlJc w:val="left"/>
      <w:pPr>
        <w:ind w:left="1512" w:hanging="360"/>
      </w:pPr>
    </w:lvl>
    <w:lvl w:ilvl="2" w:tplc="240A001B" w:tentative="1">
      <w:start w:val="1"/>
      <w:numFmt w:val="lowerRoman"/>
      <w:lvlText w:val="%3."/>
      <w:lvlJc w:val="right"/>
      <w:pPr>
        <w:ind w:left="2232" w:hanging="180"/>
      </w:pPr>
    </w:lvl>
    <w:lvl w:ilvl="3" w:tplc="240A000F" w:tentative="1">
      <w:start w:val="1"/>
      <w:numFmt w:val="decimal"/>
      <w:lvlText w:val="%4."/>
      <w:lvlJc w:val="left"/>
      <w:pPr>
        <w:ind w:left="2952" w:hanging="360"/>
      </w:pPr>
    </w:lvl>
    <w:lvl w:ilvl="4" w:tplc="240A0019" w:tentative="1">
      <w:start w:val="1"/>
      <w:numFmt w:val="lowerLetter"/>
      <w:lvlText w:val="%5."/>
      <w:lvlJc w:val="left"/>
      <w:pPr>
        <w:ind w:left="3672" w:hanging="360"/>
      </w:pPr>
    </w:lvl>
    <w:lvl w:ilvl="5" w:tplc="240A001B" w:tentative="1">
      <w:start w:val="1"/>
      <w:numFmt w:val="lowerRoman"/>
      <w:lvlText w:val="%6."/>
      <w:lvlJc w:val="right"/>
      <w:pPr>
        <w:ind w:left="4392" w:hanging="180"/>
      </w:pPr>
    </w:lvl>
    <w:lvl w:ilvl="6" w:tplc="240A000F" w:tentative="1">
      <w:start w:val="1"/>
      <w:numFmt w:val="decimal"/>
      <w:lvlText w:val="%7."/>
      <w:lvlJc w:val="left"/>
      <w:pPr>
        <w:ind w:left="5112" w:hanging="360"/>
      </w:pPr>
    </w:lvl>
    <w:lvl w:ilvl="7" w:tplc="240A0019" w:tentative="1">
      <w:start w:val="1"/>
      <w:numFmt w:val="lowerLetter"/>
      <w:lvlText w:val="%8."/>
      <w:lvlJc w:val="left"/>
      <w:pPr>
        <w:ind w:left="5832" w:hanging="360"/>
      </w:pPr>
    </w:lvl>
    <w:lvl w:ilvl="8" w:tplc="240A001B" w:tentative="1">
      <w:start w:val="1"/>
      <w:numFmt w:val="lowerRoman"/>
      <w:lvlText w:val="%9."/>
      <w:lvlJc w:val="right"/>
      <w:pPr>
        <w:ind w:left="6552" w:hanging="180"/>
      </w:pPr>
    </w:lvl>
  </w:abstractNum>
  <w:abstractNum w:abstractNumId="43" w15:restartNumberingAfterBreak="0">
    <w:nsid w:val="34090624"/>
    <w:multiLevelType w:val="hybridMultilevel"/>
    <w:tmpl w:val="EDC0830E"/>
    <w:lvl w:ilvl="0" w:tplc="26808158">
      <w:start w:val="1"/>
      <w:numFmt w:val="lowerLetter"/>
      <w:lvlText w:val="%1."/>
      <w:lvlJc w:val="left"/>
      <w:pPr>
        <w:ind w:left="360" w:hanging="360"/>
      </w:pPr>
      <w:rPr>
        <w:rFonts w:ascii="Bookman Old Style" w:hAnsi="Bookman Old Style"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344204F5"/>
    <w:multiLevelType w:val="hybridMultilevel"/>
    <w:tmpl w:val="A6106332"/>
    <w:lvl w:ilvl="0" w:tplc="1188CB1A">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34640C9C"/>
    <w:multiLevelType w:val="hybridMultilevel"/>
    <w:tmpl w:val="C6761B0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34CA687C"/>
    <w:multiLevelType w:val="hybridMultilevel"/>
    <w:tmpl w:val="EDC0830E"/>
    <w:lvl w:ilvl="0" w:tplc="26808158">
      <w:start w:val="1"/>
      <w:numFmt w:val="lowerLetter"/>
      <w:lvlText w:val="%1."/>
      <w:lvlJc w:val="left"/>
      <w:pPr>
        <w:ind w:left="360" w:hanging="360"/>
      </w:pPr>
      <w:rPr>
        <w:rFonts w:ascii="Bookman Old Style" w:hAnsi="Bookman Old Style"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34F263CD"/>
    <w:multiLevelType w:val="hybridMultilevel"/>
    <w:tmpl w:val="FA867B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35EF4F77"/>
    <w:multiLevelType w:val="hybridMultilevel"/>
    <w:tmpl w:val="7F4CEE6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36CD2111"/>
    <w:multiLevelType w:val="hybridMultilevel"/>
    <w:tmpl w:val="AD82C51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37B25CAB"/>
    <w:multiLevelType w:val="hybridMultilevel"/>
    <w:tmpl w:val="C10C5A80"/>
    <w:lvl w:ilvl="0" w:tplc="F7B44D04">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37E92693"/>
    <w:multiLevelType w:val="hybridMultilevel"/>
    <w:tmpl w:val="A912C874"/>
    <w:lvl w:ilvl="0" w:tplc="F962B776">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37F161E7"/>
    <w:multiLevelType w:val="hybridMultilevel"/>
    <w:tmpl w:val="6BC01F24"/>
    <w:lvl w:ilvl="0" w:tplc="240A0019">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838743C"/>
    <w:multiLevelType w:val="hybridMultilevel"/>
    <w:tmpl w:val="DBD4F41E"/>
    <w:lvl w:ilvl="0" w:tplc="CD361B7A">
      <w:start w:val="2"/>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38D808AF"/>
    <w:multiLevelType w:val="hybridMultilevel"/>
    <w:tmpl w:val="C8644034"/>
    <w:lvl w:ilvl="0" w:tplc="F7B44D0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38FD1199"/>
    <w:multiLevelType w:val="hybridMultilevel"/>
    <w:tmpl w:val="AD98330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3A38249E"/>
    <w:multiLevelType w:val="hybridMultilevel"/>
    <w:tmpl w:val="7840D0D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3B94691B"/>
    <w:multiLevelType w:val="hybridMultilevel"/>
    <w:tmpl w:val="ECFC42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3D4A100C"/>
    <w:multiLevelType w:val="hybridMultilevel"/>
    <w:tmpl w:val="BC1AC8A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9" w15:restartNumberingAfterBreak="0">
    <w:nsid w:val="3DD66C0D"/>
    <w:multiLevelType w:val="multilevel"/>
    <w:tmpl w:val="198A32F2"/>
    <w:lvl w:ilvl="0">
      <w:start w:val="1"/>
      <w:numFmt w:val="lowerLetter"/>
      <w:lvlText w:val="%1."/>
      <w:lvlJc w:val="left"/>
      <w:pPr>
        <w:ind w:left="360" w:hanging="360"/>
      </w:pPr>
      <w:rPr>
        <w:rFonts w:hint="default"/>
      </w:rPr>
    </w:lvl>
    <w:lvl w:ilvl="1">
      <w:start w:val="1"/>
      <w:numFmt w:val="decimal"/>
      <w:lvlText w:val="%1.%2"/>
      <w:lvlJc w:val="left"/>
      <w:pPr>
        <w:ind w:left="-275" w:hanging="576"/>
      </w:pPr>
    </w:lvl>
    <w:lvl w:ilvl="2">
      <w:start w:val="1"/>
      <w:numFmt w:val="decimal"/>
      <w:lvlText w:val="%1.%2.%3"/>
      <w:lvlJc w:val="left"/>
      <w:pPr>
        <w:ind w:left="-131" w:hanging="720"/>
      </w:pPr>
    </w:lvl>
    <w:lvl w:ilvl="3">
      <w:start w:val="1"/>
      <w:numFmt w:val="decimal"/>
      <w:lvlText w:val="%1.%2.%3.%4"/>
      <w:lvlJc w:val="left"/>
      <w:pPr>
        <w:ind w:left="13" w:hanging="864"/>
      </w:pPr>
    </w:lvl>
    <w:lvl w:ilvl="4">
      <w:start w:val="1"/>
      <w:numFmt w:val="decimal"/>
      <w:lvlText w:val="%1.%2.%3.%4.%5"/>
      <w:lvlJc w:val="left"/>
      <w:pPr>
        <w:ind w:left="157" w:hanging="1008"/>
      </w:pPr>
    </w:lvl>
    <w:lvl w:ilvl="5">
      <w:start w:val="1"/>
      <w:numFmt w:val="decimal"/>
      <w:lvlText w:val="%1.%2.%3.%4.%5.%6"/>
      <w:lvlJc w:val="left"/>
      <w:pPr>
        <w:ind w:left="301" w:hanging="1152"/>
      </w:pPr>
    </w:lvl>
    <w:lvl w:ilvl="6">
      <w:start w:val="1"/>
      <w:numFmt w:val="decimal"/>
      <w:lvlText w:val="%1.%2.%3.%4.%5.%6.%7"/>
      <w:lvlJc w:val="left"/>
      <w:pPr>
        <w:ind w:left="445" w:hanging="1296"/>
      </w:pPr>
    </w:lvl>
    <w:lvl w:ilvl="7">
      <w:start w:val="1"/>
      <w:numFmt w:val="decimal"/>
      <w:lvlText w:val="%1.%2.%3.%4.%5.%6.%7.%8"/>
      <w:lvlJc w:val="left"/>
      <w:pPr>
        <w:ind w:left="589" w:hanging="1440"/>
      </w:pPr>
    </w:lvl>
    <w:lvl w:ilvl="8">
      <w:start w:val="1"/>
      <w:numFmt w:val="decimal"/>
      <w:lvlText w:val="%1.%2.%3.%4.%5.%6.%7.%8.%9"/>
      <w:lvlJc w:val="left"/>
      <w:pPr>
        <w:ind w:left="733" w:hanging="1584"/>
      </w:pPr>
    </w:lvl>
  </w:abstractNum>
  <w:abstractNum w:abstractNumId="60" w15:restartNumberingAfterBreak="0">
    <w:nsid w:val="3E71280F"/>
    <w:multiLevelType w:val="hybridMultilevel"/>
    <w:tmpl w:val="D3F87D58"/>
    <w:lvl w:ilvl="0" w:tplc="673ABA98">
      <w:start w:val="30"/>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3F6A7D44"/>
    <w:multiLevelType w:val="hybridMultilevel"/>
    <w:tmpl w:val="BEB2341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2" w15:restartNumberingAfterBreak="0">
    <w:nsid w:val="3FA14720"/>
    <w:multiLevelType w:val="hybridMultilevel"/>
    <w:tmpl w:val="C0DE914A"/>
    <w:lvl w:ilvl="0" w:tplc="D6DC4BAE">
      <w:start w:val="1"/>
      <w:numFmt w:val="decimal"/>
      <w:lvlText w:val="%1."/>
      <w:lvlJc w:val="left"/>
      <w:pPr>
        <w:ind w:left="-338" w:hanging="360"/>
      </w:pPr>
      <w:rPr>
        <w:rFonts w:hint="default"/>
      </w:rPr>
    </w:lvl>
    <w:lvl w:ilvl="1" w:tplc="0C0A0019" w:tentative="1">
      <w:start w:val="1"/>
      <w:numFmt w:val="lowerLetter"/>
      <w:lvlText w:val="%2."/>
      <w:lvlJc w:val="left"/>
      <w:pPr>
        <w:ind w:left="382" w:hanging="360"/>
      </w:pPr>
    </w:lvl>
    <w:lvl w:ilvl="2" w:tplc="0C0A001B" w:tentative="1">
      <w:start w:val="1"/>
      <w:numFmt w:val="lowerRoman"/>
      <w:lvlText w:val="%3."/>
      <w:lvlJc w:val="right"/>
      <w:pPr>
        <w:ind w:left="1102" w:hanging="180"/>
      </w:pPr>
    </w:lvl>
    <w:lvl w:ilvl="3" w:tplc="0C0A000F" w:tentative="1">
      <w:start w:val="1"/>
      <w:numFmt w:val="decimal"/>
      <w:lvlText w:val="%4."/>
      <w:lvlJc w:val="left"/>
      <w:pPr>
        <w:ind w:left="1822" w:hanging="360"/>
      </w:pPr>
    </w:lvl>
    <w:lvl w:ilvl="4" w:tplc="0C0A0019" w:tentative="1">
      <w:start w:val="1"/>
      <w:numFmt w:val="lowerLetter"/>
      <w:lvlText w:val="%5."/>
      <w:lvlJc w:val="left"/>
      <w:pPr>
        <w:ind w:left="2542" w:hanging="360"/>
      </w:pPr>
    </w:lvl>
    <w:lvl w:ilvl="5" w:tplc="0C0A001B" w:tentative="1">
      <w:start w:val="1"/>
      <w:numFmt w:val="lowerRoman"/>
      <w:lvlText w:val="%6."/>
      <w:lvlJc w:val="right"/>
      <w:pPr>
        <w:ind w:left="3262" w:hanging="180"/>
      </w:pPr>
    </w:lvl>
    <w:lvl w:ilvl="6" w:tplc="0C0A000F" w:tentative="1">
      <w:start w:val="1"/>
      <w:numFmt w:val="decimal"/>
      <w:lvlText w:val="%7."/>
      <w:lvlJc w:val="left"/>
      <w:pPr>
        <w:ind w:left="3982" w:hanging="360"/>
      </w:pPr>
    </w:lvl>
    <w:lvl w:ilvl="7" w:tplc="0C0A0019" w:tentative="1">
      <w:start w:val="1"/>
      <w:numFmt w:val="lowerLetter"/>
      <w:lvlText w:val="%8."/>
      <w:lvlJc w:val="left"/>
      <w:pPr>
        <w:ind w:left="4702" w:hanging="360"/>
      </w:pPr>
    </w:lvl>
    <w:lvl w:ilvl="8" w:tplc="0C0A001B" w:tentative="1">
      <w:start w:val="1"/>
      <w:numFmt w:val="lowerRoman"/>
      <w:lvlText w:val="%9."/>
      <w:lvlJc w:val="right"/>
      <w:pPr>
        <w:ind w:left="5422" w:hanging="180"/>
      </w:pPr>
    </w:lvl>
  </w:abstractNum>
  <w:abstractNum w:abstractNumId="63" w15:restartNumberingAfterBreak="0">
    <w:nsid w:val="3FAA2CA7"/>
    <w:multiLevelType w:val="hybridMultilevel"/>
    <w:tmpl w:val="5E72AFB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4385089A"/>
    <w:multiLevelType w:val="hybridMultilevel"/>
    <w:tmpl w:val="5AD6280C"/>
    <w:lvl w:ilvl="0" w:tplc="89E811D6">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44A94CF7"/>
    <w:multiLevelType w:val="hybridMultilevel"/>
    <w:tmpl w:val="AC2A6AB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6"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67" w15:restartNumberingAfterBreak="0">
    <w:nsid w:val="4C8C6E13"/>
    <w:multiLevelType w:val="hybridMultilevel"/>
    <w:tmpl w:val="7840D0D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4D8237C3"/>
    <w:multiLevelType w:val="hybridMultilevel"/>
    <w:tmpl w:val="FCB672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50767F67"/>
    <w:multiLevelType w:val="hybridMultilevel"/>
    <w:tmpl w:val="B70AA054"/>
    <w:lvl w:ilvl="0" w:tplc="240A001B">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51AA3655"/>
    <w:multiLevelType w:val="hybridMultilevel"/>
    <w:tmpl w:val="44025E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542A0C9B"/>
    <w:multiLevelType w:val="hybridMultilevel"/>
    <w:tmpl w:val="840C697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2" w15:restartNumberingAfterBreak="0">
    <w:nsid w:val="556251F3"/>
    <w:multiLevelType w:val="hybridMultilevel"/>
    <w:tmpl w:val="203AB65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3" w15:restartNumberingAfterBreak="0">
    <w:nsid w:val="58FA36CB"/>
    <w:multiLevelType w:val="hybridMultilevel"/>
    <w:tmpl w:val="70340AF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59DD2C15"/>
    <w:multiLevelType w:val="hybridMultilevel"/>
    <w:tmpl w:val="A0BE13F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5" w15:restartNumberingAfterBreak="0">
    <w:nsid w:val="5A2C0678"/>
    <w:multiLevelType w:val="hybridMultilevel"/>
    <w:tmpl w:val="C29EC9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5A3569FB"/>
    <w:multiLevelType w:val="hybridMultilevel"/>
    <w:tmpl w:val="0FC2FC0E"/>
    <w:lvl w:ilvl="0" w:tplc="240A0019">
      <w:start w:val="1"/>
      <w:numFmt w:val="lowerLetter"/>
      <w:lvlText w:val="%1."/>
      <w:lvlJc w:val="left"/>
      <w:pPr>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77" w15:restartNumberingAfterBreak="0">
    <w:nsid w:val="5C573649"/>
    <w:multiLevelType w:val="hybridMultilevel"/>
    <w:tmpl w:val="A6106332"/>
    <w:lvl w:ilvl="0" w:tplc="1188CB1A">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60BE16AF"/>
    <w:multiLevelType w:val="hybridMultilevel"/>
    <w:tmpl w:val="4C60513C"/>
    <w:lvl w:ilvl="0" w:tplc="4256637E">
      <w:start w:val="1"/>
      <w:numFmt w:val="decimal"/>
      <w:lvlText w:val="%1."/>
      <w:lvlJc w:val="left"/>
      <w:pPr>
        <w:ind w:left="744" w:hanging="384"/>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61571E74"/>
    <w:multiLevelType w:val="hybridMultilevel"/>
    <w:tmpl w:val="F21EF45E"/>
    <w:lvl w:ilvl="0" w:tplc="240A001B">
      <w:start w:val="1"/>
      <w:numFmt w:val="lowerRoman"/>
      <w:lvlText w:val="%1."/>
      <w:lvlJc w:val="righ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0" w15:restartNumberingAfterBreak="0">
    <w:nsid w:val="621622C0"/>
    <w:multiLevelType w:val="hybridMultilevel"/>
    <w:tmpl w:val="C038DC86"/>
    <w:lvl w:ilvl="0" w:tplc="240A0019">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65A541F3"/>
    <w:multiLevelType w:val="hybridMultilevel"/>
    <w:tmpl w:val="A0E62C74"/>
    <w:lvl w:ilvl="0" w:tplc="240A0019">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2" w15:restartNumberingAfterBreak="0">
    <w:nsid w:val="660633F1"/>
    <w:multiLevelType w:val="hybridMultilevel"/>
    <w:tmpl w:val="CCB8369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3" w15:restartNumberingAfterBreak="0">
    <w:nsid w:val="66A0449F"/>
    <w:multiLevelType w:val="hybridMultilevel"/>
    <w:tmpl w:val="B35EA4FE"/>
    <w:lvl w:ilvl="0" w:tplc="881AE0FC">
      <w:start w:val="4"/>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7B60C02"/>
    <w:multiLevelType w:val="hybridMultilevel"/>
    <w:tmpl w:val="CA68744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15:restartNumberingAfterBreak="0">
    <w:nsid w:val="68B53130"/>
    <w:multiLevelType w:val="hybridMultilevel"/>
    <w:tmpl w:val="85D6FB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6" w15:restartNumberingAfterBreak="0">
    <w:nsid w:val="6BB146A5"/>
    <w:multiLevelType w:val="hybridMultilevel"/>
    <w:tmpl w:val="C0DE914A"/>
    <w:lvl w:ilvl="0" w:tplc="D6DC4BA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15:restartNumberingAfterBreak="0">
    <w:nsid w:val="6BCE7AF6"/>
    <w:multiLevelType w:val="hybridMultilevel"/>
    <w:tmpl w:val="E62E32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6CE309A0"/>
    <w:multiLevelType w:val="hybridMultilevel"/>
    <w:tmpl w:val="7840D0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6D1C18BE"/>
    <w:multiLevelType w:val="hybridMultilevel"/>
    <w:tmpl w:val="DB34F446"/>
    <w:lvl w:ilvl="0" w:tplc="F7B44D0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0" w15:restartNumberingAfterBreak="0">
    <w:nsid w:val="6DCE4CA7"/>
    <w:multiLevelType w:val="hybridMultilevel"/>
    <w:tmpl w:val="BA1418A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1" w15:restartNumberingAfterBreak="0">
    <w:nsid w:val="6F735223"/>
    <w:multiLevelType w:val="hybridMultilevel"/>
    <w:tmpl w:val="C07E225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2" w15:restartNumberingAfterBreak="0">
    <w:nsid w:val="6FF440E2"/>
    <w:multiLevelType w:val="hybridMultilevel"/>
    <w:tmpl w:val="D92ADF7C"/>
    <w:lvl w:ilvl="0" w:tplc="EA72BDBE">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3" w15:restartNumberingAfterBreak="0">
    <w:nsid w:val="715F1B30"/>
    <w:multiLevelType w:val="hybridMultilevel"/>
    <w:tmpl w:val="4C9C4A6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4" w15:restartNumberingAfterBreak="0">
    <w:nsid w:val="717313E3"/>
    <w:multiLevelType w:val="hybridMultilevel"/>
    <w:tmpl w:val="D92ADF7C"/>
    <w:lvl w:ilvl="0" w:tplc="EA72BDBE">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735604EA"/>
    <w:multiLevelType w:val="hybridMultilevel"/>
    <w:tmpl w:val="7C9ABCF4"/>
    <w:lvl w:ilvl="0" w:tplc="F7B44D0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73AA1721"/>
    <w:multiLevelType w:val="hybridMultilevel"/>
    <w:tmpl w:val="F54CFF46"/>
    <w:lvl w:ilvl="0" w:tplc="3A3211AA">
      <w:start w:val="5"/>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74F41206"/>
    <w:multiLevelType w:val="hybridMultilevel"/>
    <w:tmpl w:val="4D02AC7C"/>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15:restartNumberingAfterBreak="0">
    <w:nsid w:val="75F33AF8"/>
    <w:multiLevelType w:val="hybridMultilevel"/>
    <w:tmpl w:val="FA5AD29E"/>
    <w:lvl w:ilvl="0" w:tplc="FF2E214C">
      <w:start w:val="2"/>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15:restartNumberingAfterBreak="0">
    <w:nsid w:val="76A26D8B"/>
    <w:multiLevelType w:val="hybridMultilevel"/>
    <w:tmpl w:val="9112FF18"/>
    <w:lvl w:ilvl="0" w:tplc="240A001B">
      <w:start w:val="1"/>
      <w:numFmt w:val="low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77182B14"/>
    <w:multiLevelType w:val="hybridMultilevel"/>
    <w:tmpl w:val="C462A07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15:restartNumberingAfterBreak="0">
    <w:nsid w:val="771F1F1B"/>
    <w:multiLevelType w:val="hybridMultilevel"/>
    <w:tmpl w:val="F260FFE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3" w15:restartNumberingAfterBreak="0">
    <w:nsid w:val="77636AC8"/>
    <w:multiLevelType w:val="hybridMultilevel"/>
    <w:tmpl w:val="7AA2F9BE"/>
    <w:lvl w:ilvl="0" w:tplc="FA6A5E7E">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15:restartNumberingAfterBreak="0">
    <w:nsid w:val="77BE1027"/>
    <w:multiLevelType w:val="hybridMultilevel"/>
    <w:tmpl w:val="AD82C51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5" w15:restartNumberingAfterBreak="0">
    <w:nsid w:val="780B10EA"/>
    <w:multiLevelType w:val="hybridMultilevel"/>
    <w:tmpl w:val="B37AD5DE"/>
    <w:lvl w:ilvl="0" w:tplc="65F61EFC">
      <w:start w:val="1"/>
      <w:numFmt w:val="decimal"/>
      <w:pStyle w:val="Artculo"/>
      <w:lvlText w:val="Artículo %1."/>
      <w:lvlJc w:val="left"/>
      <w:pPr>
        <w:ind w:left="4046"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6" w15:restartNumberingAfterBreak="0">
    <w:nsid w:val="783B50C6"/>
    <w:multiLevelType w:val="hybridMultilevel"/>
    <w:tmpl w:val="0B504B5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7" w15:restartNumberingAfterBreak="0">
    <w:nsid w:val="78F8158B"/>
    <w:multiLevelType w:val="hybridMultilevel"/>
    <w:tmpl w:val="6840D5F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8" w15:restartNumberingAfterBreak="0">
    <w:nsid w:val="7A2355FF"/>
    <w:multiLevelType w:val="hybridMultilevel"/>
    <w:tmpl w:val="B666EE18"/>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9" w15:restartNumberingAfterBreak="0">
    <w:nsid w:val="7A53201C"/>
    <w:multiLevelType w:val="hybridMultilevel"/>
    <w:tmpl w:val="CE7CF2D8"/>
    <w:lvl w:ilvl="0" w:tplc="F884A6C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0" w15:restartNumberingAfterBreak="0">
    <w:nsid w:val="7AE62715"/>
    <w:multiLevelType w:val="hybridMultilevel"/>
    <w:tmpl w:val="37D42C2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1" w15:restartNumberingAfterBreak="0">
    <w:nsid w:val="7BF06BBC"/>
    <w:multiLevelType w:val="hybridMultilevel"/>
    <w:tmpl w:val="A0EE7C78"/>
    <w:lvl w:ilvl="0" w:tplc="240A0019">
      <w:start w:val="1"/>
      <w:numFmt w:val="lowerLetter"/>
      <w:lvlText w:val="%1."/>
      <w:lvlJc w:val="left"/>
      <w:pPr>
        <w:ind w:left="707" w:hanging="720"/>
      </w:pPr>
      <w:rPr>
        <w:rFonts w:hint="default"/>
      </w:rPr>
    </w:lvl>
    <w:lvl w:ilvl="1" w:tplc="240A0019" w:tentative="1">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12" w15:restartNumberingAfterBreak="0">
    <w:nsid w:val="7C7F6745"/>
    <w:multiLevelType w:val="hybridMultilevel"/>
    <w:tmpl w:val="3218232C"/>
    <w:lvl w:ilvl="0" w:tplc="973072AE">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7D237CBB"/>
    <w:multiLevelType w:val="hybridMultilevel"/>
    <w:tmpl w:val="B2166C40"/>
    <w:lvl w:ilvl="0" w:tplc="AE429CFC">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7DFA236B"/>
    <w:multiLevelType w:val="hybridMultilevel"/>
    <w:tmpl w:val="D03E887E"/>
    <w:lvl w:ilvl="0" w:tplc="881AE0FC">
      <w:start w:val="4"/>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20162571">
    <w:abstractNumId w:val="1"/>
  </w:num>
  <w:num w:numId="2" w16cid:durableId="1496412045">
    <w:abstractNumId w:val="17"/>
  </w:num>
  <w:num w:numId="3" w16cid:durableId="857424">
    <w:abstractNumId w:val="39"/>
  </w:num>
  <w:num w:numId="4" w16cid:durableId="1860850977">
    <w:abstractNumId w:val="13"/>
  </w:num>
  <w:num w:numId="5" w16cid:durableId="754017009">
    <w:abstractNumId w:val="47"/>
  </w:num>
  <w:num w:numId="6" w16cid:durableId="905652873">
    <w:abstractNumId w:val="105"/>
  </w:num>
  <w:num w:numId="7" w16cid:durableId="118650880">
    <w:abstractNumId w:val="108"/>
  </w:num>
  <w:num w:numId="8" w16cid:durableId="786897722">
    <w:abstractNumId w:val="107"/>
  </w:num>
  <w:num w:numId="9" w16cid:durableId="1101027723">
    <w:abstractNumId w:val="63"/>
  </w:num>
  <w:num w:numId="10" w16cid:durableId="385421670">
    <w:abstractNumId w:val="21"/>
  </w:num>
  <w:num w:numId="11" w16cid:durableId="1117335631">
    <w:abstractNumId w:val="9"/>
  </w:num>
  <w:num w:numId="12" w16cid:durableId="172494430">
    <w:abstractNumId w:val="73"/>
  </w:num>
  <w:num w:numId="13" w16cid:durableId="2052226729">
    <w:abstractNumId w:val="68"/>
  </w:num>
  <w:num w:numId="14" w16cid:durableId="2104565621">
    <w:abstractNumId w:val="106"/>
  </w:num>
  <w:num w:numId="15" w16cid:durableId="1131556387">
    <w:abstractNumId w:val="86"/>
  </w:num>
  <w:num w:numId="16" w16cid:durableId="796874612">
    <w:abstractNumId w:val="62"/>
  </w:num>
  <w:num w:numId="17" w16cid:durableId="1435202946">
    <w:abstractNumId w:val="59"/>
  </w:num>
  <w:num w:numId="18" w16cid:durableId="1035816029">
    <w:abstractNumId w:val="31"/>
  </w:num>
  <w:num w:numId="19" w16cid:durableId="698894374">
    <w:abstractNumId w:val="65"/>
  </w:num>
  <w:num w:numId="20" w16cid:durableId="1825849972">
    <w:abstractNumId w:val="36"/>
  </w:num>
  <w:num w:numId="21" w16cid:durableId="602419028">
    <w:abstractNumId w:val="92"/>
  </w:num>
  <w:num w:numId="22" w16cid:durableId="1667511998">
    <w:abstractNumId w:val="51"/>
  </w:num>
  <w:num w:numId="23" w16cid:durableId="702172979">
    <w:abstractNumId w:val="27"/>
  </w:num>
  <w:num w:numId="24" w16cid:durableId="2064020491">
    <w:abstractNumId w:val="72"/>
  </w:num>
  <w:num w:numId="25" w16cid:durableId="1379820479">
    <w:abstractNumId w:val="7"/>
  </w:num>
  <w:num w:numId="26" w16cid:durableId="962425789">
    <w:abstractNumId w:val="76"/>
  </w:num>
  <w:num w:numId="27" w16cid:durableId="535895922">
    <w:abstractNumId w:val="61"/>
  </w:num>
  <w:num w:numId="28" w16cid:durableId="259141411">
    <w:abstractNumId w:val="30"/>
  </w:num>
  <w:num w:numId="29" w16cid:durableId="1491092891">
    <w:abstractNumId w:val="44"/>
  </w:num>
  <w:num w:numId="30" w16cid:durableId="849805487">
    <w:abstractNumId w:val="88"/>
  </w:num>
  <w:num w:numId="31" w16cid:durableId="1741782377">
    <w:abstractNumId w:val="67"/>
  </w:num>
  <w:num w:numId="32" w16cid:durableId="210117612">
    <w:abstractNumId w:val="56"/>
  </w:num>
  <w:num w:numId="33" w16cid:durableId="1068042325">
    <w:abstractNumId w:val="34"/>
  </w:num>
  <w:num w:numId="34" w16cid:durableId="1365902655">
    <w:abstractNumId w:val="77"/>
  </w:num>
  <w:num w:numId="35" w16cid:durableId="2031947258">
    <w:abstractNumId w:val="95"/>
  </w:num>
  <w:num w:numId="36" w16cid:durableId="121509780">
    <w:abstractNumId w:val="52"/>
  </w:num>
  <w:num w:numId="37" w16cid:durableId="1466389224">
    <w:abstractNumId w:val="74"/>
  </w:num>
  <w:num w:numId="38" w16cid:durableId="1178230844">
    <w:abstractNumId w:val="80"/>
  </w:num>
  <w:num w:numId="39" w16cid:durableId="1542278126">
    <w:abstractNumId w:val="48"/>
  </w:num>
  <w:num w:numId="40" w16cid:durableId="1230506101">
    <w:abstractNumId w:val="85"/>
  </w:num>
  <w:num w:numId="41" w16cid:durableId="1283465343">
    <w:abstractNumId w:val="12"/>
  </w:num>
  <w:num w:numId="42" w16cid:durableId="905653049">
    <w:abstractNumId w:val="40"/>
  </w:num>
  <w:num w:numId="43" w16cid:durableId="1795631136">
    <w:abstractNumId w:val="101"/>
  </w:num>
  <w:num w:numId="44" w16cid:durableId="1575696875">
    <w:abstractNumId w:val="26"/>
  </w:num>
  <w:num w:numId="45" w16cid:durableId="1710374605">
    <w:abstractNumId w:val="14"/>
  </w:num>
  <w:num w:numId="46" w16cid:durableId="504513820">
    <w:abstractNumId w:val="45"/>
  </w:num>
  <w:num w:numId="47" w16cid:durableId="2136679479">
    <w:abstractNumId w:val="43"/>
  </w:num>
  <w:num w:numId="48" w16cid:durableId="1794714183">
    <w:abstractNumId w:val="46"/>
  </w:num>
  <w:num w:numId="49" w16cid:durableId="698894317">
    <w:abstractNumId w:val="82"/>
  </w:num>
  <w:num w:numId="50" w16cid:durableId="878467903">
    <w:abstractNumId w:val="23"/>
  </w:num>
  <w:num w:numId="51" w16cid:durableId="809252006">
    <w:abstractNumId w:val="100"/>
  </w:num>
  <w:num w:numId="52" w16cid:durableId="869149235">
    <w:abstractNumId w:val="15"/>
  </w:num>
  <w:num w:numId="53" w16cid:durableId="246576452">
    <w:abstractNumId w:val="33"/>
  </w:num>
  <w:num w:numId="54" w16cid:durableId="1038623506">
    <w:abstractNumId w:val="113"/>
  </w:num>
  <w:num w:numId="55" w16cid:durableId="1665358287">
    <w:abstractNumId w:val="28"/>
  </w:num>
  <w:num w:numId="56" w16cid:durableId="1900241763">
    <w:abstractNumId w:val="97"/>
  </w:num>
  <w:num w:numId="57" w16cid:durableId="1308558015">
    <w:abstractNumId w:val="5"/>
  </w:num>
  <w:num w:numId="58" w16cid:durableId="2076389990">
    <w:abstractNumId w:val="93"/>
  </w:num>
  <w:num w:numId="59" w16cid:durableId="729887868">
    <w:abstractNumId w:val="71"/>
  </w:num>
  <w:num w:numId="60" w16cid:durableId="180969688">
    <w:abstractNumId w:val="49"/>
  </w:num>
  <w:num w:numId="61" w16cid:durableId="639462302">
    <w:abstractNumId w:val="11"/>
  </w:num>
  <w:num w:numId="62" w16cid:durableId="1152209848">
    <w:abstractNumId w:val="104"/>
  </w:num>
  <w:num w:numId="63" w16cid:durableId="1642425335">
    <w:abstractNumId w:val="98"/>
  </w:num>
  <w:num w:numId="64" w16cid:durableId="722212534">
    <w:abstractNumId w:val="37"/>
  </w:num>
  <w:num w:numId="65" w16cid:durableId="1052072491">
    <w:abstractNumId w:val="91"/>
  </w:num>
  <w:num w:numId="66" w16cid:durableId="447774585">
    <w:abstractNumId w:val="110"/>
  </w:num>
  <w:num w:numId="67" w16cid:durableId="882206262">
    <w:abstractNumId w:val="19"/>
  </w:num>
  <w:num w:numId="68" w16cid:durableId="440343037">
    <w:abstractNumId w:val="112"/>
  </w:num>
  <w:num w:numId="69" w16cid:durableId="1284574486">
    <w:abstractNumId w:val="55"/>
  </w:num>
  <w:num w:numId="70" w16cid:durableId="2112163889">
    <w:abstractNumId w:val="102"/>
  </w:num>
  <w:num w:numId="71" w16cid:durableId="954558877">
    <w:abstractNumId w:val="79"/>
  </w:num>
  <w:num w:numId="72" w16cid:durableId="579171774">
    <w:abstractNumId w:val="6"/>
  </w:num>
  <w:num w:numId="73" w16cid:durableId="165871803">
    <w:abstractNumId w:val="64"/>
  </w:num>
  <w:num w:numId="74" w16cid:durableId="1519395034">
    <w:abstractNumId w:val="99"/>
  </w:num>
  <w:num w:numId="75" w16cid:durableId="944580275">
    <w:abstractNumId w:val="3"/>
  </w:num>
  <w:num w:numId="76" w16cid:durableId="1970864179">
    <w:abstractNumId w:val="53"/>
  </w:num>
  <w:num w:numId="77" w16cid:durableId="1997102362">
    <w:abstractNumId w:val="78"/>
  </w:num>
  <w:num w:numId="78" w16cid:durableId="139616700">
    <w:abstractNumId w:val="38"/>
  </w:num>
  <w:num w:numId="79" w16cid:durableId="1160802999">
    <w:abstractNumId w:val="96"/>
  </w:num>
  <w:num w:numId="80" w16cid:durableId="59523272">
    <w:abstractNumId w:val="20"/>
  </w:num>
  <w:num w:numId="81" w16cid:durableId="358241693">
    <w:abstractNumId w:val="89"/>
  </w:num>
  <w:num w:numId="82" w16cid:durableId="1494953820">
    <w:abstractNumId w:val="54"/>
  </w:num>
  <w:num w:numId="83" w16cid:durableId="172190079">
    <w:abstractNumId w:val="50"/>
  </w:num>
  <w:num w:numId="84" w16cid:durableId="963510846">
    <w:abstractNumId w:val="35"/>
  </w:num>
  <w:num w:numId="85" w16cid:durableId="339700869">
    <w:abstractNumId w:val="84"/>
  </w:num>
  <w:num w:numId="86" w16cid:durableId="1326471121">
    <w:abstractNumId w:val="81"/>
  </w:num>
  <w:num w:numId="87" w16cid:durableId="24839349">
    <w:abstractNumId w:val="109"/>
  </w:num>
  <w:num w:numId="88" w16cid:durableId="61604785">
    <w:abstractNumId w:val="94"/>
  </w:num>
  <w:num w:numId="89" w16cid:durableId="1206681315">
    <w:abstractNumId w:val="24"/>
  </w:num>
  <w:num w:numId="90" w16cid:durableId="812064823">
    <w:abstractNumId w:val="42"/>
  </w:num>
  <w:num w:numId="91" w16cid:durableId="1091969144">
    <w:abstractNumId w:val="69"/>
  </w:num>
  <w:num w:numId="92" w16cid:durableId="194388035">
    <w:abstractNumId w:val="103"/>
  </w:num>
  <w:num w:numId="93" w16cid:durableId="1290892795">
    <w:abstractNumId w:val="29"/>
  </w:num>
  <w:num w:numId="94" w16cid:durableId="1688478482">
    <w:abstractNumId w:val="70"/>
  </w:num>
  <w:num w:numId="95" w16cid:durableId="88813758">
    <w:abstractNumId w:val="75"/>
  </w:num>
  <w:num w:numId="96" w16cid:durableId="1128549796">
    <w:abstractNumId w:val="13"/>
  </w:num>
  <w:num w:numId="97" w16cid:durableId="1597130751">
    <w:abstractNumId w:val="13"/>
  </w:num>
  <w:num w:numId="98" w16cid:durableId="2086416767">
    <w:abstractNumId w:val="111"/>
  </w:num>
  <w:num w:numId="99" w16cid:durableId="1209150484">
    <w:abstractNumId w:val="22"/>
  </w:num>
  <w:num w:numId="100" w16cid:durableId="782269415">
    <w:abstractNumId w:val="2"/>
  </w:num>
  <w:num w:numId="101" w16cid:durableId="292100503">
    <w:abstractNumId w:val="90"/>
  </w:num>
  <w:num w:numId="102" w16cid:durableId="898513320">
    <w:abstractNumId w:val="41"/>
  </w:num>
  <w:num w:numId="103" w16cid:durableId="1228878241">
    <w:abstractNumId w:val="58"/>
  </w:num>
  <w:num w:numId="104" w16cid:durableId="1069573096">
    <w:abstractNumId w:val="4"/>
  </w:num>
  <w:num w:numId="105" w16cid:durableId="190384535">
    <w:abstractNumId w:val="25"/>
  </w:num>
  <w:num w:numId="106" w16cid:durableId="1208562471">
    <w:abstractNumId w:val="87"/>
  </w:num>
  <w:num w:numId="107" w16cid:durableId="222835974">
    <w:abstractNumId w:val="83"/>
  </w:num>
  <w:num w:numId="108" w16cid:durableId="2110344479">
    <w:abstractNumId w:val="13"/>
  </w:num>
  <w:num w:numId="109" w16cid:durableId="832797459">
    <w:abstractNumId w:val="13"/>
  </w:num>
  <w:num w:numId="110" w16cid:durableId="737482587">
    <w:abstractNumId w:val="13"/>
  </w:num>
  <w:num w:numId="111" w16cid:durableId="1363632913">
    <w:abstractNumId w:val="13"/>
  </w:num>
  <w:num w:numId="112" w16cid:durableId="1443570218">
    <w:abstractNumId w:val="105"/>
  </w:num>
  <w:num w:numId="113" w16cid:durableId="1276715279">
    <w:abstractNumId w:val="57"/>
  </w:num>
  <w:num w:numId="114" w16cid:durableId="302540861">
    <w:abstractNumId w:val="13"/>
  </w:num>
  <w:num w:numId="115" w16cid:durableId="866214676">
    <w:abstractNumId w:val="13"/>
  </w:num>
  <w:num w:numId="116" w16cid:durableId="294918632">
    <w:abstractNumId w:val="8"/>
  </w:num>
  <w:num w:numId="117" w16cid:durableId="2039744443">
    <w:abstractNumId w:val="60"/>
  </w:num>
  <w:num w:numId="118" w16cid:durableId="1040790123">
    <w:abstractNumId w:val="114"/>
  </w:num>
  <w:num w:numId="119" w16cid:durableId="139855451">
    <w:abstractNumId w:val="10"/>
  </w:num>
  <w:num w:numId="120" w16cid:durableId="28841123">
    <w:abstractNumId w:val="18"/>
  </w:num>
  <w:num w:numId="121" w16cid:durableId="1416053916">
    <w:abstractNumId w:val="3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defaultTabStop w:val="113"/>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D76"/>
    <w:rsid w:val="000012B4"/>
    <w:rsid w:val="000012F4"/>
    <w:rsid w:val="00001550"/>
    <w:rsid w:val="00003055"/>
    <w:rsid w:val="0000305A"/>
    <w:rsid w:val="00004043"/>
    <w:rsid w:val="000042F8"/>
    <w:rsid w:val="0000438A"/>
    <w:rsid w:val="00004479"/>
    <w:rsid w:val="00004661"/>
    <w:rsid w:val="0000552D"/>
    <w:rsid w:val="00005536"/>
    <w:rsid w:val="000055AB"/>
    <w:rsid w:val="00005950"/>
    <w:rsid w:val="00005B3C"/>
    <w:rsid w:val="00005C71"/>
    <w:rsid w:val="00005F7A"/>
    <w:rsid w:val="0000607C"/>
    <w:rsid w:val="00006184"/>
    <w:rsid w:val="00006958"/>
    <w:rsid w:val="00006AE2"/>
    <w:rsid w:val="000075B9"/>
    <w:rsid w:val="000076A1"/>
    <w:rsid w:val="00007762"/>
    <w:rsid w:val="00007823"/>
    <w:rsid w:val="00007850"/>
    <w:rsid w:val="00007B6C"/>
    <w:rsid w:val="00007CF4"/>
    <w:rsid w:val="00007DD3"/>
    <w:rsid w:val="00007E26"/>
    <w:rsid w:val="00010373"/>
    <w:rsid w:val="000107DC"/>
    <w:rsid w:val="00010CC1"/>
    <w:rsid w:val="00010E38"/>
    <w:rsid w:val="00011215"/>
    <w:rsid w:val="000112E3"/>
    <w:rsid w:val="00011391"/>
    <w:rsid w:val="000115D0"/>
    <w:rsid w:val="000115F1"/>
    <w:rsid w:val="000118E5"/>
    <w:rsid w:val="00011A35"/>
    <w:rsid w:val="00011A72"/>
    <w:rsid w:val="00011AC4"/>
    <w:rsid w:val="00011F75"/>
    <w:rsid w:val="0001200E"/>
    <w:rsid w:val="00012259"/>
    <w:rsid w:val="00012346"/>
    <w:rsid w:val="000129D0"/>
    <w:rsid w:val="00012B1C"/>
    <w:rsid w:val="00012EBA"/>
    <w:rsid w:val="000130D2"/>
    <w:rsid w:val="000131F0"/>
    <w:rsid w:val="000134B5"/>
    <w:rsid w:val="00013824"/>
    <w:rsid w:val="00013A38"/>
    <w:rsid w:val="00014464"/>
    <w:rsid w:val="0001475A"/>
    <w:rsid w:val="000147D5"/>
    <w:rsid w:val="00015010"/>
    <w:rsid w:val="00015488"/>
    <w:rsid w:val="00015746"/>
    <w:rsid w:val="00015E23"/>
    <w:rsid w:val="00016101"/>
    <w:rsid w:val="00016938"/>
    <w:rsid w:val="00016E02"/>
    <w:rsid w:val="000170EC"/>
    <w:rsid w:val="00017164"/>
    <w:rsid w:val="000173D1"/>
    <w:rsid w:val="0001744C"/>
    <w:rsid w:val="0001787B"/>
    <w:rsid w:val="00017FA6"/>
    <w:rsid w:val="0002012E"/>
    <w:rsid w:val="000201DC"/>
    <w:rsid w:val="000202AD"/>
    <w:rsid w:val="00020608"/>
    <w:rsid w:val="00020636"/>
    <w:rsid w:val="00020822"/>
    <w:rsid w:val="00020ACC"/>
    <w:rsid w:val="0002118E"/>
    <w:rsid w:val="00021765"/>
    <w:rsid w:val="00021777"/>
    <w:rsid w:val="00021D02"/>
    <w:rsid w:val="00022071"/>
    <w:rsid w:val="000221B2"/>
    <w:rsid w:val="00022215"/>
    <w:rsid w:val="00022A2C"/>
    <w:rsid w:val="00022B8F"/>
    <w:rsid w:val="0002324D"/>
    <w:rsid w:val="00023308"/>
    <w:rsid w:val="000236D6"/>
    <w:rsid w:val="00023782"/>
    <w:rsid w:val="000237CB"/>
    <w:rsid w:val="00023835"/>
    <w:rsid w:val="00023E52"/>
    <w:rsid w:val="00024233"/>
    <w:rsid w:val="00024721"/>
    <w:rsid w:val="00024F79"/>
    <w:rsid w:val="00025137"/>
    <w:rsid w:val="00025383"/>
    <w:rsid w:val="000253CD"/>
    <w:rsid w:val="000258D7"/>
    <w:rsid w:val="00025CBE"/>
    <w:rsid w:val="00025DF8"/>
    <w:rsid w:val="00025ED0"/>
    <w:rsid w:val="00025F3B"/>
    <w:rsid w:val="000264F3"/>
    <w:rsid w:val="0002650A"/>
    <w:rsid w:val="0002686B"/>
    <w:rsid w:val="00026BB5"/>
    <w:rsid w:val="00026BCA"/>
    <w:rsid w:val="00026C94"/>
    <w:rsid w:val="00026EC6"/>
    <w:rsid w:val="000270AD"/>
    <w:rsid w:val="000277DE"/>
    <w:rsid w:val="00027808"/>
    <w:rsid w:val="00027991"/>
    <w:rsid w:val="00030236"/>
    <w:rsid w:val="0003028A"/>
    <w:rsid w:val="0003055E"/>
    <w:rsid w:val="0003094A"/>
    <w:rsid w:val="00030B22"/>
    <w:rsid w:val="00030D24"/>
    <w:rsid w:val="00030F33"/>
    <w:rsid w:val="0003125B"/>
    <w:rsid w:val="0003155E"/>
    <w:rsid w:val="00032DBD"/>
    <w:rsid w:val="0003311C"/>
    <w:rsid w:val="000332E0"/>
    <w:rsid w:val="00033359"/>
    <w:rsid w:val="00033E94"/>
    <w:rsid w:val="00033F56"/>
    <w:rsid w:val="00034A2C"/>
    <w:rsid w:val="00034FFE"/>
    <w:rsid w:val="000352C8"/>
    <w:rsid w:val="000353D3"/>
    <w:rsid w:val="00035441"/>
    <w:rsid w:val="000354E0"/>
    <w:rsid w:val="000357BE"/>
    <w:rsid w:val="00036098"/>
    <w:rsid w:val="000360CD"/>
    <w:rsid w:val="000364A9"/>
    <w:rsid w:val="00036985"/>
    <w:rsid w:val="00036C96"/>
    <w:rsid w:val="00036E4F"/>
    <w:rsid w:val="000372B7"/>
    <w:rsid w:val="000372B9"/>
    <w:rsid w:val="000374F3"/>
    <w:rsid w:val="000378D1"/>
    <w:rsid w:val="00037981"/>
    <w:rsid w:val="00037B4F"/>
    <w:rsid w:val="00037EE0"/>
    <w:rsid w:val="00040403"/>
    <w:rsid w:val="00040547"/>
    <w:rsid w:val="000409A6"/>
    <w:rsid w:val="00041019"/>
    <w:rsid w:val="000414AE"/>
    <w:rsid w:val="00041735"/>
    <w:rsid w:val="000418CE"/>
    <w:rsid w:val="00041B54"/>
    <w:rsid w:val="00041DF3"/>
    <w:rsid w:val="000424B7"/>
    <w:rsid w:val="000426F4"/>
    <w:rsid w:val="00042A35"/>
    <w:rsid w:val="00042C2A"/>
    <w:rsid w:val="0004303D"/>
    <w:rsid w:val="00043209"/>
    <w:rsid w:val="00044111"/>
    <w:rsid w:val="00044AA3"/>
    <w:rsid w:val="00044DA3"/>
    <w:rsid w:val="000451C2"/>
    <w:rsid w:val="00045289"/>
    <w:rsid w:val="0004541E"/>
    <w:rsid w:val="000454E7"/>
    <w:rsid w:val="00045599"/>
    <w:rsid w:val="00045D3D"/>
    <w:rsid w:val="00045EC0"/>
    <w:rsid w:val="0004621F"/>
    <w:rsid w:val="000464B1"/>
    <w:rsid w:val="0004692A"/>
    <w:rsid w:val="000469B8"/>
    <w:rsid w:val="00046D4D"/>
    <w:rsid w:val="00046E26"/>
    <w:rsid w:val="0004736B"/>
    <w:rsid w:val="000474CD"/>
    <w:rsid w:val="00047793"/>
    <w:rsid w:val="00047905"/>
    <w:rsid w:val="00047B0B"/>
    <w:rsid w:val="00047B47"/>
    <w:rsid w:val="000502FA"/>
    <w:rsid w:val="0005043A"/>
    <w:rsid w:val="00050BDD"/>
    <w:rsid w:val="000510EC"/>
    <w:rsid w:val="0005113A"/>
    <w:rsid w:val="00051790"/>
    <w:rsid w:val="00051D51"/>
    <w:rsid w:val="00051DEA"/>
    <w:rsid w:val="000521F4"/>
    <w:rsid w:val="00052747"/>
    <w:rsid w:val="00052C6B"/>
    <w:rsid w:val="00053B33"/>
    <w:rsid w:val="00053C64"/>
    <w:rsid w:val="000540A9"/>
    <w:rsid w:val="00054924"/>
    <w:rsid w:val="00054C7D"/>
    <w:rsid w:val="000551C9"/>
    <w:rsid w:val="000553F8"/>
    <w:rsid w:val="00055691"/>
    <w:rsid w:val="00055EBB"/>
    <w:rsid w:val="000563F4"/>
    <w:rsid w:val="000565E6"/>
    <w:rsid w:val="00056C77"/>
    <w:rsid w:val="00057007"/>
    <w:rsid w:val="00057050"/>
    <w:rsid w:val="000577E1"/>
    <w:rsid w:val="00057A15"/>
    <w:rsid w:val="00057BCC"/>
    <w:rsid w:val="00057F43"/>
    <w:rsid w:val="00060757"/>
    <w:rsid w:val="000607EB"/>
    <w:rsid w:val="00060C7D"/>
    <w:rsid w:val="00060D33"/>
    <w:rsid w:val="00060E29"/>
    <w:rsid w:val="00060F36"/>
    <w:rsid w:val="000612F6"/>
    <w:rsid w:val="00061A9D"/>
    <w:rsid w:val="00061B32"/>
    <w:rsid w:val="0006297A"/>
    <w:rsid w:val="00062BCD"/>
    <w:rsid w:val="00063198"/>
    <w:rsid w:val="0006350C"/>
    <w:rsid w:val="00063657"/>
    <w:rsid w:val="00063D7F"/>
    <w:rsid w:val="000640CF"/>
    <w:rsid w:val="000643A5"/>
    <w:rsid w:val="000645CF"/>
    <w:rsid w:val="000648BC"/>
    <w:rsid w:val="00064FDC"/>
    <w:rsid w:val="00065E3A"/>
    <w:rsid w:val="0006600D"/>
    <w:rsid w:val="0006608D"/>
    <w:rsid w:val="00066500"/>
    <w:rsid w:val="00066878"/>
    <w:rsid w:val="00066906"/>
    <w:rsid w:val="00066C51"/>
    <w:rsid w:val="00066CFC"/>
    <w:rsid w:val="00066E71"/>
    <w:rsid w:val="00067143"/>
    <w:rsid w:val="00067165"/>
    <w:rsid w:val="00067221"/>
    <w:rsid w:val="0006747E"/>
    <w:rsid w:val="00067833"/>
    <w:rsid w:val="00067B60"/>
    <w:rsid w:val="00067C8E"/>
    <w:rsid w:val="00067D98"/>
    <w:rsid w:val="000702BD"/>
    <w:rsid w:val="000708C8"/>
    <w:rsid w:val="00070BA6"/>
    <w:rsid w:val="00070D18"/>
    <w:rsid w:val="00070D59"/>
    <w:rsid w:val="00070E80"/>
    <w:rsid w:val="0007145D"/>
    <w:rsid w:val="000719B9"/>
    <w:rsid w:val="00071EF3"/>
    <w:rsid w:val="00072067"/>
    <w:rsid w:val="000722F5"/>
    <w:rsid w:val="0007259D"/>
    <w:rsid w:val="00072C89"/>
    <w:rsid w:val="00072E9E"/>
    <w:rsid w:val="00073115"/>
    <w:rsid w:val="00073883"/>
    <w:rsid w:val="000739DA"/>
    <w:rsid w:val="00074511"/>
    <w:rsid w:val="00074738"/>
    <w:rsid w:val="0007499E"/>
    <w:rsid w:val="00074C28"/>
    <w:rsid w:val="00074D4E"/>
    <w:rsid w:val="00075019"/>
    <w:rsid w:val="000757B2"/>
    <w:rsid w:val="00075DB9"/>
    <w:rsid w:val="00075DD5"/>
    <w:rsid w:val="00075FDD"/>
    <w:rsid w:val="00076680"/>
    <w:rsid w:val="00076A1D"/>
    <w:rsid w:val="00077527"/>
    <w:rsid w:val="000779D4"/>
    <w:rsid w:val="0008073E"/>
    <w:rsid w:val="0008078D"/>
    <w:rsid w:val="000807EA"/>
    <w:rsid w:val="00080851"/>
    <w:rsid w:val="00080D07"/>
    <w:rsid w:val="0008123A"/>
    <w:rsid w:val="00081416"/>
    <w:rsid w:val="00081437"/>
    <w:rsid w:val="00081583"/>
    <w:rsid w:val="000815F9"/>
    <w:rsid w:val="0008175A"/>
    <w:rsid w:val="00081803"/>
    <w:rsid w:val="00081811"/>
    <w:rsid w:val="00081B40"/>
    <w:rsid w:val="00081D32"/>
    <w:rsid w:val="000822A7"/>
    <w:rsid w:val="000826AB"/>
    <w:rsid w:val="000828FE"/>
    <w:rsid w:val="000829BE"/>
    <w:rsid w:val="00082C10"/>
    <w:rsid w:val="00082EED"/>
    <w:rsid w:val="000830E2"/>
    <w:rsid w:val="00083247"/>
    <w:rsid w:val="0008337B"/>
    <w:rsid w:val="00083694"/>
    <w:rsid w:val="0008449D"/>
    <w:rsid w:val="00084711"/>
    <w:rsid w:val="00084CA6"/>
    <w:rsid w:val="00084EEF"/>
    <w:rsid w:val="00085697"/>
    <w:rsid w:val="0008575A"/>
    <w:rsid w:val="000861C8"/>
    <w:rsid w:val="000862DC"/>
    <w:rsid w:val="00086666"/>
    <w:rsid w:val="00086BC3"/>
    <w:rsid w:val="00086BCF"/>
    <w:rsid w:val="00087918"/>
    <w:rsid w:val="00087B74"/>
    <w:rsid w:val="00090489"/>
    <w:rsid w:val="00090640"/>
    <w:rsid w:val="00090902"/>
    <w:rsid w:val="00090917"/>
    <w:rsid w:val="00090DEB"/>
    <w:rsid w:val="000910EF"/>
    <w:rsid w:val="0009166D"/>
    <w:rsid w:val="00091C80"/>
    <w:rsid w:val="00091CDB"/>
    <w:rsid w:val="00092146"/>
    <w:rsid w:val="00092426"/>
    <w:rsid w:val="00092430"/>
    <w:rsid w:val="0009287D"/>
    <w:rsid w:val="000928E5"/>
    <w:rsid w:val="0009294C"/>
    <w:rsid w:val="000930A7"/>
    <w:rsid w:val="000933EA"/>
    <w:rsid w:val="000933ED"/>
    <w:rsid w:val="0009345B"/>
    <w:rsid w:val="000937FB"/>
    <w:rsid w:val="00093D7C"/>
    <w:rsid w:val="00093DB6"/>
    <w:rsid w:val="00093E9C"/>
    <w:rsid w:val="0009400E"/>
    <w:rsid w:val="00094219"/>
    <w:rsid w:val="000945E6"/>
    <w:rsid w:val="00094632"/>
    <w:rsid w:val="000946E1"/>
    <w:rsid w:val="000948EB"/>
    <w:rsid w:val="00094B45"/>
    <w:rsid w:val="00094FC1"/>
    <w:rsid w:val="00095290"/>
    <w:rsid w:val="00095892"/>
    <w:rsid w:val="000959C3"/>
    <w:rsid w:val="00096EE1"/>
    <w:rsid w:val="00096FFA"/>
    <w:rsid w:val="000973CA"/>
    <w:rsid w:val="00097420"/>
    <w:rsid w:val="0009755F"/>
    <w:rsid w:val="0009763B"/>
    <w:rsid w:val="0009769A"/>
    <w:rsid w:val="000978D9"/>
    <w:rsid w:val="00097E0C"/>
    <w:rsid w:val="000A055F"/>
    <w:rsid w:val="000A0BBD"/>
    <w:rsid w:val="000A1503"/>
    <w:rsid w:val="000A19AC"/>
    <w:rsid w:val="000A1D7F"/>
    <w:rsid w:val="000A1F95"/>
    <w:rsid w:val="000A1F98"/>
    <w:rsid w:val="000A1FA3"/>
    <w:rsid w:val="000A20B0"/>
    <w:rsid w:val="000A2277"/>
    <w:rsid w:val="000A234C"/>
    <w:rsid w:val="000A2414"/>
    <w:rsid w:val="000A24CA"/>
    <w:rsid w:val="000A2B86"/>
    <w:rsid w:val="000A2C54"/>
    <w:rsid w:val="000A2C59"/>
    <w:rsid w:val="000A2E20"/>
    <w:rsid w:val="000A3248"/>
    <w:rsid w:val="000A36CA"/>
    <w:rsid w:val="000A3735"/>
    <w:rsid w:val="000A37D5"/>
    <w:rsid w:val="000A3B6A"/>
    <w:rsid w:val="000A3D2F"/>
    <w:rsid w:val="000A4440"/>
    <w:rsid w:val="000A450B"/>
    <w:rsid w:val="000A45F5"/>
    <w:rsid w:val="000A4B57"/>
    <w:rsid w:val="000A4FDC"/>
    <w:rsid w:val="000A6240"/>
    <w:rsid w:val="000A685C"/>
    <w:rsid w:val="000A6A1F"/>
    <w:rsid w:val="000A6C8D"/>
    <w:rsid w:val="000A71B3"/>
    <w:rsid w:val="000A7248"/>
    <w:rsid w:val="000A736E"/>
    <w:rsid w:val="000A7633"/>
    <w:rsid w:val="000A7726"/>
    <w:rsid w:val="000B0071"/>
    <w:rsid w:val="000B008F"/>
    <w:rsid w:val="000B0787"/>
    <w:rsid w:val="000B0CAA"/>
    <w:rsid w:val="000B0E29"/>
    <w:rsid w:val="000B1944"/>
    <w:rsid w:val="000B1E76"/>
    <w:rsid w:val="000B2200"/>
    <w:rsid w:val="000B2599"/>
    <w:rsid w:val="000B27AE"/>
    <w:rsid w:val="000B2BD1"/>
    <w:rsid w:val="000B2EC9"/>
    <w:rsid w:val="000B390C"/>
    <w:rsid w:val="000B40CD"/>
    <w:rsid w:val="000B41D3"/>
    <w:rsid w:val="000B455E"/>
    <w:rsid w:val="000B45FC"/>
    <w:rsid w:val="000B493F"/>
    <w:rsid w:val="000B49BA"/>
    <w:rsid w:val="000B4CC0"/>
    <w:rsid w:val="000B4E0D"/>
    <w:rsid w:val="000B4E51"/>
    <w:rsid w:val="000B507D"/>
    <w:rsid w:val="000B5148"/>
    <w:rsid w:val="000B527D"/>
    <w:rsid w:val="000B5389"/>
    <w:rsid w:val="000B562C"/>
    <w:rsid w:val="000B592A"/>
    <w:rsid w:val="000B5CCA"/>
    <w:rsid w:val="000B5E97"/>
    <w:rsid w:val="000B6593"/>
    <w:rsid w:val="000B67D7"/>
    <w:rsid w:val="000B6B61"/>
    <w:rsid w:val="000B6CB7"/>
    <w:rsid w:val="000B743A"/>
    <w:rsid w:val="000B7CF7"/>
    <w:rsid w:val="000B7EBD"/>
    <w:rsid w:val="000C04B6"/>
    <w:rsid w:val="000C0FD1"/>
    <w:rsid w:val="000C105B"/>
    <w:rsid w:val="000C1224"/>
    <w:rsid w:val="000C195E"/>
    <w:rsid w:val="000C1B79"/>
    <w:rsid w:val="000C1C22"/>
    <w:rsid w:val="000C1C2C"/>
    <w:rsid w:val="000C1E08"/>
    <w:rsid w:val="000C21E3"/>
    <w:rsid w:val="000C2845"/>
    <w:rsid w:val="000C2C59"/>
    <w:rsid w:val="000C2EF6"/>
    <w:rsid w:val="000C311B"/>
    <w:rsid w:val="000C3CE3"/>
    <w:rsid w:val="000C3D77"/>
    <w:rsid w:val="000C417B"/>
    <w:rsid w:val="000C43B5"/>
    <w:rsid w:val="000C44EE"/>
    <w:rsid w:val="000C51DB"/>
    <w:rsid w:val="000C55DD"/>
    <w:rsid w:val="000C5BF3"/>
    <w:rsid w:val="000C62E1"/>
    <w:rsid w:val="000C6953"/>
    <w:rsid w:val="000C799E"/>
    <w:rsid w:val="000C7A70"/>
    <w:rsid w:val="000C7B3E"/>
    <w:rsid w:val="000C7B41"/>
    <w:rsid w:val="000C7C8C"/>
    <w:rsid w:val="000C7E93"/>
    <w:rsid w:val="000C7EDE"/>
    <w:rsid w:val="000C7F95"/>
    <w:rsid w:val="000C7FB2"/>
    <w:rsid w:val="000D0178"/>
    <w:rsid w:val="000D01CC"/>
    <w:rsid w:val="000D0A05"/>
    <w:rsid w:val="000D0B52"/>
    <w:rsid w:val="000D0E84"/>
    <w:rsid w:val="000D0F8F"/>
    <w:rsid w:val="000D12F4"/>
    <w:rsid w:val="000D17BD"/>
    <w:rsid w:val="000D1879"/>
    <w:rsid w:val="000D19E0"/>
    <w:rsid w:val="000D1D8E"/>
    <w:rsid w:val="000D2239"/>
    <w:rsid w:val="000D2346"/>
    <w:rsid w:val="000D250A"/>
    <w:rsid w:val="000D26F8"/>
    <w:rsid w:val="000D26FE"/>
    <w:rsid w:val="000D2938"/>
    <w:rsid w:val="000D2AB6"/>
    <w:rsid w:val="000D2B66"/>
    <w:rsid w:val="000D2B7D"/>
    <w:rsid w:val="000D2C67"/>
    <w:rsid w:val="000D39CF"/>
    <w:rsid w:val="000D3B3B"/>
    <w:rsid w:val="000D3B4E"/>
    <w:rsid w:val="000D418D"/>
    <w:rsid w:val="000D435C"/>
    <w:rsid w:val="000D4524"/>
    <w:rsid w:val="000D4EEC"/>
    <w:rsid w:val="000D4F44"/>
    <w:rsid w:val="000D4F99"/>
    <w:rsid w:val="000D523E"/>
    <w:rsid w:val="000D5257"/>
    <w:rsid w:val="000D5B0B"/>
    <w:rsid w:val="000D5D2D"/>
    <w:rsid w:val="000D5DEB"/>
    <w:rsid w:val="000D6DED"/>
    <w:rsid w:val="000D73B6"/>
    <w:rsid w:val="000D7816"/>
    <w:rsid w:val="000E0195"/>
    <w:rsid w:val="000E0486"/>
    <w:rsid w:val="000E04D4"/>
    <w:rsid w:val="000E04F4"/>
    <w:rsid w:val="000E05C8"/>
    <w:rsid w:val="000E13B6"/>
    <w:rsid w:val="000E1786"/>
    <w:rsid w:val="000E1857"/>
    <w:rsid w:val="000E1F13"/>
    <w:rsid w:val="000E2319"/>
    <w:rsid w:val="000E237C"/>
    <w:rsid w:val="000E24C7"/>
    <w:rsid w:val="000E26E9"/>
    <w:rsid w:val="000E29FB"/>
    <w:rsid w:val="000E2EC9"/>
    <w:rsid w:val="000E304B"/>
    <w:rsid w:val="000E34FB"/>
    <w:rsid w:val="000E3928"/>
    <w:rsid w:val="000E3A57"/>
    <w:rsid w:val="000E3AA5"/>
    <w:rsid w:val="000E3B5F"/>
    <w:rsid w:val="000E3DCF"/>
    <w:rsid w:val="000E4101"/>
    <w:rsid w:val="000E4560"/>
    <w:rsid w:val="000E471A"/>
    <w:rsid w:val="000E4AAB"/>
    <w:rsid w:val="000E4EE1"/>
    <w:rsid w:val="000E5388"/>
    <w:rsid w:val="000E5560"/>
    <w:rsid w:val="000E6071"/>
    <w:rsid w:val="000E64AB"/>
    <w:rsid w:val="000E6B85"/>
    <w:rsid w:val="000E6C56"/>
    <w:rsid w:val="000E7EE8"/>
    <w:rsid w:val="000F038B"/>
    <w:rsid w:val="000F064C"/>
    <w:rsid w:val="000F072A"/>
    <w:rsid w:val="000F0B42"/>
    <w:rsid w:val="000F14F7"/>
    <w:rsid w:val="000F19BE"/>
    <w:rsid w:val="000F1A6B"/>
    <w:rsid w:val="000F1EB8"/>
    <w:rsid w:val="000F1F85"/>
    <w:rsid w:val="000F2659"/>
    <w:rsid w:val="000F27DB"/>
    <w:rsid w:val="000F2B0F"/>
    <w:rsid w:val="000F2FED"/>
    <w:rsid w:val="000F31D2"/>
    <w:rsid w:val="000F39A1"/>
    <w:rsid w:val="000F3A90"/>
    <w:rsid w:val="000F3ADB"/>
    <w:rsid w:val="000F42D1"/>
    <w:rsid w:val="000F4507"/>
    <w:rsid w:val="000F4AAF"/>
    <w:rsid w:val="000F4F2D"/>
    <w:rsid w:val="000F5720"/>
    <w:rsid w:val="000F5A2E"/>
    <w:rsid w:val="000F6451"/>
    <w:rsid w:val="000F6A45"/>
    <w:rsid w:val="000F6AF2"/>
    <w:rsid w:val="000F76DE"/>
    <w:rsid w:val="000F777B"/>
    <w:rsid w:val="000F79CE"/>
    <w:rsid w:val="000F7DDD"/>
    <w:rsid w:val="000F7EF0"/>
    <w:rsid w:val="001006BB"/>
    <w:rsid w:val="00100739"/>
    <w:rsid w:val="00100815"/>
    <w:rsid w:val="00100853"/>
    <w:rsid w:val="001008BA"/>
    <w:rsid w:val="00100A70"/>
    <w:rsid w:val="00100AAC"/>
    <w:rsid w:val="00100CC4"/>
    <w:rsid w:val="0010147B"/>
    <w:rsid w:val="00101914"/>
    <w:rsid w:val="00101E67"/>
    <w:rsid w:val="00102142"/>
    <w:rsid w:val="0010275E"/>
    <w:rsid w:val="0010293A"/>
    <w:rsid w:val="00102A2F"/>
    <w:rsid w:val="00102C92"/>
    <w:rsid w:val="001034BA"/>
    <w:rsid w:val="0010376F"/>
    <w:rsid w:val="00103920"/>
    <w:rsid w:val="00103AB8"/>
    <w:rsid w:val="00103DE2"/>
    <w:rsid w:val="0010408F"/>
    <w:rsid w:val="0010411A"/>
    <w:rsid w:val="00104221"/>
    <w:rsid w:val="00104414"/>
    <w:rsid w:val="00104451"/>
    <w:rsid w:val="00104602"/>
    <w:rsid w:val="00104750"/>
    <w:rsid w:val="00104DCB"/>
    <w:rsid w:val="00104E2E"/>
    <w:rsid w:val="001052B7"/>
    <w:rsid w:val="00105391"/>
    <w:rsid w:val="00105571"/>
    <w:rsid w:val="00105814"/>
    <w:rsid w:val="0010586A"/>
    <w:rsid w:val="001058A8"/>
    <w:rsid w:val="00105B7A"/>
    <w:rsid w:val="00105DDD"/>
    <w:rsid w:val="00105F5B"/>
    <w:rsid w:val="00106210"/>
    <w:rsid w:val="0010689B"/>
    <w:rsid w:val="001069ED"/>
    <w:rsid w:val="001078D1"/>
    <w:rsid w:val="00107C28"/>
    <w:rsid w:val="0011007B"/>
    <w:rsid w:val="0011051E"/>
    <w:rsid w:val="00110898"/>
    <w:rsid w:val="00110BF4"/>
    <w:rsid w:val="0011132B"/>
    <w:rsid w:val="0011178A"/>
    <w:rsid w:val="00111AD8"/>
    <w:rsid w:val="00111BC1"/>
    <w:rsid w:val="001122A1"/>
    <w:rsid w:val="00112749"/>
    <w:rsid w:val="00113687"/>
    <w:rsid w:val="0011378B"/>
    <w:rsid w:val="00113CFB"/>
    <w:rsid w:val="00113D49"/>
    <w:rsid w:val="0011404E"/>
    <w:rsid w:val="00114280"/>
    <w:rsid w:val="001143E3"/>
    <w:rsid w:val="0011473A"/>
    <w:rsid w:val="001147DF"/>
    <w:rsid w:val="00114BC3"/>
    <w:rsid w:val="00114D4A"/>
    <w:rsid w:val="001159F3"/>
    <w:rsid w:val="00115D44"/>
    <w:rsid w:val="00115FB8"/>
    <w:rsid w:val="00116246"/>
    <w:rsid w:val="00116605"/>
    <w:rsid w:val="0011662C"/>
    <w:rsid w:val="0011665C"/>
    <w:rsid w:val="001168E9"/>
    <w:rsid w:val="00116BAF"/>
    <w:rsid w:val="0011706F"/>
    <w:rsid w:val="001178CA"/>
    <w:rsid w:val="001179CC"/>
    <w:rsid w:val="00117A30"/>
    <w:rsid w:val="00117AF6"/>
    <w:rsid w:val="001203B7"/>
    <w:rsid w:val="001208C5"/>
    <w:rsid w:val="00120A62"/>
    <w:rsid w:val="001211F5"/>
    <w:rsid w:val="00121537"/>
    <w:rsid w:val="0012157B"/>
    <w:rsid w:val="001216FB"/>
    <w:rsid w:val="001217E7"/>
    <w:rsid w:val="00121AC3"/>
    <w:rsid w:val="00122108"/>
    <w:rsid w:val="00122129"/>
    <w:rsid w:val="00122249"/>
    <w:rsid w:val="00122377"/>
    <w:rsid w:val="0012284C"/>
    <w:rsid w:val="00122DED"/>
    <w:rsid w:val="001232F1"/>
    <w:rsid w:val="001234B1"/>
    <w:rsid w:val="00123606"/>
    <w:rsid w:val="00123755"/>
    <w:rsid w:val="00123976"/>
    <w:rsid w:val="00123C20"/>
    <w:rsid w:val="00123E65"/>
    <w:rsid w:val="0012403A"/>
    <w:rsid w:val="00124594"/>
    <w:rsid w:val="001245DF"/>
    <w:rsid w:val="00124823"/>
    <w:rsid w:val="00124843"/>
    <w:rsid w:val="00124BDB"/>
    <w:rsid w:val="00124C0C"/>
    <w:rsid w:val="00125076"/>
    <w:rsid w:val="001253B7"/>
    <w:rsid w:val="001255FD"/>
    <w:rsid w:val="001258BA"/>
    <w:rsid w:val="00125C6F"/>
    <w:rsid w:val="00125F33"/>
    <w:rsid w:val="00125F87"/>
    <w:rsid w:val="0012606E"/>
    <w:rsid w:val="0012659B"/>
    <w:rsid w:val="00126759"/>
    <w:rsid w:val="00126781"/>
    <w:rsid w:val="001269C3"/>
    <w:rsid w:val="00126A60"/>
    <w:rsid w:val="0012735F"/>
    <w:rsid w:val="00127399"/>
    <w:rsid w:val="00127569"/>
    <w:rsid w:val="00127CE6"/>
    <w:rsid w:val="00127F9B"/>
    <w:rsid w:val="00127FC3"/>
    <w:rsid w:val="00130313"/>
    <w:rsid w:val="001303E0"/>
    <w:rsid w:val="00130937"/>
    <w:rsid w:val="0013127F"/>
    <w:rsid w:val="00131716"/>
    <w:rsid w:val="00131AE9"/>
    <w:rsid w:val="001320BA"/>
    <w:rsid w:val="001321F4"/>
    <w:rsid w:val="001323BA"/>
    <w:rsid w:val="00132899"/>
    <w:rsid w:val="0013304B"/>
    <w:rsid w:val="00133864"/>
    <w:rsid w:val="00133AB8"/>
    <w:rsid w:val="00134192"/>
    <w:rsid w:val="0013442B"/>
    <w:rsid w:val="001344FF"/>
    <w:rsid w:val="00134544"/>
    <w:rsid w:val="001347D1"/>
    <w:rsid w:val="00134855"/>
    <w:rsid w:val="00134B46"/>
    <w:rsid w:val="00134D4C"/>
    <w:rsid w:val="00134FE5"/>
    <w:rsid w:val="0013526C"/>
    <w:rsid w:val="001352E7"/>
    <w:rsid w:val="001354BA"/>
    <w:rsid w:val="00135AD7"/>
    <w:rsid w:val="00135BC0"/>
    <w:rsid w:val="00135BDE"/>
    <w:rsid w:val="00135E0A"/>
    <w:rsid w:val="00136011"/>
    <w:rsid w:val="0013678F"/>
    <w:rsid w:val="00136B66"/>
    <w:rsid w:val="00136CF5"/>
    <w:rsid w:val="00136D95"/>
    <w:rsid w:val="00136FDF"/>
    <w:rsid w:val="0013728F"/>
    <w:rsid w:val="00137331"/>
    <w:rsid w:val="00137977"/>
    <w:rsid w:val="00140133"/>
    <w:rsid w:val="0014048D"/>
    <w:rsid w:val="001405C6"/>
    <w:rsid w:val="00140884"/>
    <w:rsid w:val="001409EC"/>
    <w:rsid w:val="00140C00"/>
    <w:rsid w:val="00140EAE"/>
    <w:rsid w:val="00141013"/>
    <w:rsid w:val="00141098"/>
    <w:rsid w:val="001410DA"/>
    <w:rsid w:val="001411C5"/>
    <w:rsid w:val="001417B5"/>
    <w:rsid w:val="00141979"/>
    <w:rsid w:val="00141F60"/>
    <w:rsid w:val="0014211C"/>
    <w:rsid w:val="001423A5"/>
    <w:rsid w:val="001428C6"/>
    <w:rsid w:val="00142A34"/>
    <w:rsid w:val="00143AA8"/>
    <w:rsid w:val="00143C48"/>
    <w:rsid w:val="00143C56"/>
    <w:rsid w:val="00143F3C"/>
    <w:rsid w:val="0014418D"/>
    <w:rsid w:val="0014422A"/>
    <w:rsid w:val="001442E1"/>
    <w:rsid w:val="00144A7A"/>
    <w:rsid w:val="00144C3C"/>
    <w:rsid w:val="001458E4"/>
    <w:rsid w:val="00145957"/>
    <w:rsid w:val="00145E81"/>
    <w:rsid w:val="00145F7B"/>
    <w:rsid w:val="001463E0"/>
    <w:rsid w:val="0014643A"/>
    <w:rsid w:val="00146553"/>
    <w:rsid w:val="0014668A"/>
    <w:rsid w:val="00146A05"/>
    <w:rsid w:val="00146DAB"/>
    <w:rsid w:val="0014737D"/>
    <w:rsid w:val="001473BB"/>
    <w:rsid w:val="00147408"/>
    <w:rsid w:val="0014765B"/>
    <w:rsid w:val="00147663"/>
    <w:rsid w:val="00147B85"/>
    <w:rsid w:val="00147FAC"/>
    <w:rsid w:val="00150339"/>
    <w:rsid w:val="0015044E"/>
    <w:rsid w:val="00150879"/>
    <w:rsid w:val="00150CF1"/>
    <w:rsid w:val="00150F18"/>
    <w:rsid w:val="001513E7"/>
    <w:rsid w:val="00151495"/>
    <w:rsid w:val="00151C1C"/>
    <w:rsid w:val="00151F75"/>
    <w:rsid w:val="001529E5"/>
    <w:rsid w:val="00153350"/>
    <w:rsid w:val="0015350F"/>
    <w:rsid w:val="00153809"/>
    <w:rsid w:val="00153B92"/>
    <w:rsid w:val="001542D3"/>
    <w:rsid w:val="00154516"/>
    <w:rsid w:val="00154907"/>
    <w:rsid w:val="00154A26"/>
    <w:rsid w:val="00154AC2"/>
    <w:rsid w:val="00155504"/>
    <w:rsid w:val="001555E5"/>
    <w:rsid w:val="00155723"/>
    <w:rsid w:val="00155A84"/>
    <w:rsid w:val="00156572"/>
    <w:rsid w:val="00156602"/>
    <w:rsid w:val="00156DB2"/>
    <w:rsid w:val="00156FD9"/>
    <w:rsid w:val="00157200"/>
    <w:rsid w:val="00157239"/>
    <w:rsid w:val="00157341"/>
    <w:rsid w:val="001575BA"/>
    <w:rsid w:val="00157C86"/>
    <w:rsid w:val="00157CDF"/>
    <w:rsid w:val="00157FD9"/>
    <w:rsid w:val="00160293"/>
    <w:rsid w:val="00160690"/>
    <w:rsid w:val="001607FD"/>
    <w:rsid w:val="001610E3"/>
    <w:rsid w:val="00161280"/>
    <w:rsid w:val="001615FC"/>
    <w:rsid w:val="00161AD8"/>
    <w:rsid w:val="00161C73"/>
    <w:rsid w:val="001621B7"/>
    <w:rsid w:val="0016267C"/>
    <w:rsid w:val="0016286D"/>
    <w:rsid w:val="001631B0"/>
    <w:rsid w:val="0016325A"/>
    <w:rsid w:val="0016352A"/>
    <w:rsid w:val="00163F44"/>
    <w:rsid w:val="001641B8"/>
    <w:rsid w:val="0016423D"/>
    <w:rsid w:val="0016428A"/>
    <w:rsid w:val="001643B7"/>
    <w:rsid w:val="0016484B"/>
    <w:rsid w:val="001648BB"/>
    <w:rsid w:val="00164980"/>
    <w:rsid w:val="00164C3F"/>
    <w:rsid w:val="00164C5F"/>
    <w:rsid w:val="00164E76"/>
    <w:rsid w:val="00164EE3"/>
    <w:rsid w:val="00165118"/>
    <w:rsid w:val="00165242"/>
    <w:rsid w:val="001653B2"/>
    <w:rsid w:val="00165C18"/>
    <w:rsid w:val="00165C8F"/>
    <w:rsid w:val="00165EE8"/>
    <w:rsid w:val="001668C1"/>
    <w:rsid w:val="00166B9D"/>
    <w:rsid w:val="00166D4D"/>
    <w:rsid w:val="00166F02"/>
    <w:rsid w:val="001675D4"/>
    <w:rsid w:val="00167604"/>
    <w:rsid w:val="001677EE"/>
    <w:rsid w:val="00167A50"/>
    <w:rsid w:val="00167C8F"/>
    <w:rsid w:val="001700F9"/>
    <w:rsid w:val="001706CE"/>
    <w:rsid w:val="001706F3"/>
    <w:rsid w:val="0017096E"/>
    <w:rsid w:val="0017134E"/>
    <w:rsid w:val="0017147C"/>
    <w:rsid w:val="00171C29"/>
    <w:rsid w:val="00171F65"/>
    <w:rsid w:val="00172074"/>
    <w:rsid w:val="001721CE"/>
    <w:rsid w:val="00172224"/>
    <w:rsid w:val="001722C3"/>
    <w:rsid w:val="0017291B"/>
    <w:rsid w:val="00172D6E"/>
    <w:rsid w:val="00173511"/>
    <w:rsid w:val="001738AE"/>
    <w:rsid w:val="00173B3C"/>
    <w:rsid w:val="001742D2"/>
    <w:rsid w:val="001744C2"/>
    <w:rsid w:val="001745F5"/>
    <w:rsid w:val="00174951"/>
    <w:rsid w:val="00174A4F"/>
    <w:rsid w:val="00174F26"/>
    <w:rsid w:val="00174FAF"/>
    <w:rsid w:val="001752FA"/>
    <w:rsid w:val="00175361"/>
    <w:rsid w:val="00175393"/>
    <w:rsid w:val="0017567A"/>
    <w:rsid w:val="0017570A"/>
    <w:rsid w:val="00175806"/>
    <w:rsid w:val="00176291"/>
    <w:rsid w:val="001762A2"/>
    <w:rsid w:val="00176457"/>
    <w:rsid w:val="0017673B"/>
    <w:rsid w:val="0017680A"/>
    <w:rsid w:val="001769C3"/>
    <w:rsid w:val="00176AFA"/>
    <w:rsid w:val="0017703D"/>
    <w:rsid w:val="001770A7"/>
    <w:rsid w:val="00177408"/>
    <w:rsid w:val="001775ED"/>
    <w:rsid w:val="00177602"/>
    <w:rsid w:val="00177628"/>
    <w:rsid w:val="0017796B"/>
    <w:rsid w:val="00177BD8"/>
    <w:rsid w:val="00180D0F"/>
    <w:rsid w:val="00181460"/>
    <w:rsid w:val="001815F4"/>
    <w:rsid w:val="00181ACC"/>
    <w:rsid w:val="00181C5A"/>
    <w:rsid w:val="00181CE7"/>
    <w:rsid w:val="00181E55"/>
    <w:rsid w:val="00181FEA"/>
    <w:rsid w:val="00182665"/>
    <w:rsid w:val="00182A2B"/>
    <w:rsid w:val="00183CE5"/>
    <w:rsid w:val="00183EA2"/>
    <w:rsid w:val="00183ECF"/>
    <w:rsid w:val="00183F48"/>
    <w:rsid w:val="00184039"/>
    <w:rsid w:val="001842C5"/>
    <w:rsid w:val="00184312"/>
    <w:rsid w:val="001846AF"/>
    <w:rsid w:val="00184E36"/>
    <w:rsid w:val="00185088"/>
    <w:rsid w:val="00185854"/>
    <w:rsid w:val="001859BF"/>
    <w:rsid w:val="00185DDA"/>
    <w:rsid w:val="00186118"/>
    <w:rsid w:val="00186CED"/>
    <w:rsid w:val="00187284"/>
    <w:rsid w:val="00187374"/>
    <w:rsid w:val="001873CD"/>
    <w:rsid w:val="00187941"/>
    <w:rsid w:val="00187A26"/>
    <w:rsid w:val="00187A3F"/>
    <w:rsid w:val="00187ED7"/>
    <w:rsid w:val="00190163"/>
    <w:rsid w:val="001901E9"/>
    <w:rsid w:val="00190327"/>
    <w:rsid w:val="001905EF"/>
    <w:rsid w:val="00190A01"/>
    <w:rsid w:val="00190C00"/>
    <w:rsid w:val="00190E22"/>
    <w:rsid w:val="00190FB0"/>
    <w:rsid w:val="00191323"/>
    <w:rsid w:val="0019166E"/>
    <w:rsid w:val="00191B3A"/>
    <w:rsid w:val="001921CF"/>
    <w:rsid w:val="0019254D"/>
    <w:rsid w:val="00192602"/>
    <w:rsid w:val="00192884"/>
    <w:rsid w:val="00192942"/>
    <w:rsid w:val="00192B5B"/>
    <w:rsid w:val="00192CBF"/>
    <w:rsid w:val="00192F1D"/>
    <w:rsid w:val="00192FF1"/>
    <w:rsid w:val="00193054"/>
    <w:rsid w:val="00193062"/>
    <w:rsid w:val="00193332"/>
    <w:rsid w:val="00193992"/>
    <w:rsid w:val="00193EE9"/>
    <w:rsid w:val="00193F6F"/>
    <w:rsid w:val="00194042"/>
    <w:rsid w:val="001941A5"/>
    <w:rsid w:val="0019440A"/>
    <w:rsid w:val="00194708"/>
    <w:rsid w:val="001947A8"/>
    <w:rsid w:val="00194C51"/>
    <w:rsid w:val="0019511C"/>
    <w:rsid w:val="00195DA4"/>
    <w:rsid w:val="00195E8D"/>
    <w:rsid w:val="00196130"/>
    <w:rsid w:val="001965CE"/>
    <w:rsid w:val="0019692F"/>
    <w:rsid w:val="00196ADF"/>
    <w:rsid w:val="00197379"/>
    <w:rsid w:val="001975C9"/>
    <w:rsid w:val="001975D7"/>
    <w:rsid w:val="00197853"/>
    <w:rsid w:val="001978E3"/>
    <w:rsid w:val="00197B81"/>
    <w:rsid w:val="00197E5F"/>
    <w:rsid w:val="001A0191"/>
    <w:rsid w:val="001A0212"/>
    <w:rsid w:val="001A0A87"/>
    <w:rsid w:val="001A1853"/>
    <w:rsid w:val="001A1BF9"/>
    <w:rsid w:val="001A1EBA"/>
    <w:rsid w:val="001A1F45"/>
    <w:rsid w:val="001A22A9"/>
    <w:rsid w:val="001A22AB"/>
    <w:rsid w:val="001A2443"/>
    <w:rsid w:val="001A2DD8"/>
    <w:rsid w:val="001A3DE5"/>
    <w:rsid w:val="001A4054"/>
    <w:rsid w:val="001A4283"/>
    <w:rsid w:val="001A4D9A"/>
    <w:rsid w:val="001A4FCE"/>
    <w:rsid w:val="001A5056"/>
    <w:rsid w:val="001A50AC"/>
    <w:rsid w:val="001A50E8"/>
    <w:rsid w:val="001A5189"/>
    <w:rsid w:val="001A51B4"/>
    <w:rsid w:val="001A51B9"/>
    <w:rsid w:val="001A56B6"/>
    <w:rsid w:val="001A58B3"/>
    <w:rsid w:val="001A5F1B"/>
    <w:rsid w:val="001A5F74"/>
    <w:rsid w:val="001A616A"/>
    <w:rsid w:val="001A623D"/>
    <w:rsid w:val="001A635D"/>
    <w:rsid w:val="001A6F4B"/>
    <w:rsid w:val="001A6F84"/>
    <w:rsid w:val="001A6FA3"/>
    <w:rsid w:val="001A704F"/>
    <w:rsid w:val="001A7285"/>
    <w:rsid w:val="001A7288"/>
    <w:rsid w:val="001A7501"/>
    <w:rsid w:val="001A788A"/>
    <w:rsid w:val="001A7C13"/>
    <w:rsid w:val="001A7D69"/>
    <w:rsid w:val="001B04AA"/>
    <w:rsid w:val="001B059B"/>
    <w:rsid w:val="001B0EC8"/>
    <w:rsid w:val="001B0EFB"/>
    <w:rsid w:val="001B16B7"/>
    <w:rsid w:val="001B18CD"/>
    <w:rsid w:val="001B1C22"/>
    <w:rsid w:val="001B2022"/>
    <w:rsid w:val="001B23C4"/>
    <w:rsid w:val="001B255A"/>
    <w:rsid w:val="001B29C2"/>
    <w:rsid w:val="001B308C"/>
    <w:rsid w:val="001B325A"/>
    <w:rsid w:val="001B34C6"/>
    <w:rsid w:val="001B3639"/>
    <w:rsid w:val="001B3DED"/>
    <w:rsid w:val="001B457D"/>
    <w:rsid w:val="001B46BC"/>
    <w:rsid w:val="001B4803"/>
    <w:rsid w:val="001B51B6"/>
    <w:rsid w:val="001B52E2"/>
    <w:rsid w:val="001B57C3"/>
    <w:rsid w:val="001B5B96"/>
    <w:rsid w:val="001B5CF1"/>
    <w:rsid w:val="001B5E1B"/>
    <w:rsid w:val="001B676D"/>
    <w:rsid w:val="001B6B0D"/>
    <w:rsid w:val="001B6D44"/>
    <w:rsid w:val="001B6D7F"/>
    <w:rsid w:val="001B761A"/>
    <w:rsid w:val="001B7FD0"/>
    <w:rsid w:val="001C00AF"/>
    <w:rsid w:val="001C0564"/>
    <w:rsid w:val="001C070C"/>
    <w:rsid w:val="001C10FC"/>
    <w:rsid w:val="001C113D"/>
    <w:rsid w:val="001C131C"/>
    <w:rsid w:val="001C1C6B"/>
    <w:rsid w:val="001C1C74"/>
    <w:rsid w:val="001C1F1F"/>
    <w:rsid w:val="001C2131"/>
    <w:rsid w:val="001C2165"/>
    <w:rsid w:val="001C22E7"/>
    <w:rsid w:val="001C2754"/>
    <w:rsid w:val="001C28A5"/>
    <w:rsid w:val="001C2A98"/>
    <w:rsid w:val="001C2FC9"/>
    <w:rsid w:val="001C300F"/>
    <w:rsid w:val="001C31CC"/>
    <w:rsid w:val="001C3508"/>
    <w:rsid w:val="001C363A"/>
    <w:rsid w:val="001C36E6"/>
    <w:rsid w:val="001C382F"/>
    <w:rsid w:val="001C3A2D"/>
    <w:rsid w:val="001C3F2F"/>
    <w:rsid w:val="001C4254"/>
    <w:rsid w:val="001C42B2"/>
    <w:rsid w:val="001C49AD"/>
    <w:rsid w:val="001C4B96"/>
    <w:rsid w:val="001C4C06"/>
    <w:rsid w:val="001C4D0D"/>
    <w:rsid w:val="001C4DC0"/>
    <w:rsid w:val="001C4DDB"/>
    <w:rsid w:val="001C516F"/>
    <w:rsid w:val="001C5497"/>
    <w:rsid w:val="001C55F9"/>
    <w:rsid w:val="001C5A92"/>
    <w:rsid w:val="001C5B41"/>
    <w:rsid w:val="001C5D44"/>
    <w:rsid w:val="001C6034"/>
    <w:rsid w:val="001C637C"/>
    <w:rsid w:val="001C649B"/>
    <w:rsid w:val="001C65CB"/>
    <w:rsid w:val="001C664D"/>
    <w:rsid w:val="001C703B"/>
    <w:rsid w:val="001C7343"/>
    <w:rsid w:val="001C7452"/>
    <w:rsid w:val="001C7682"/>
    <w:rsid w:val="001C76F6"/>
    <w:rsid w:val="001C7827"/>
    <w:rsid w:val="001C7EF2"/>
    <w:rsid w:val="001D021A"/>
    <w:rsid w:val="001D0858"/>
    <w:rsid w:val="001D14CF"/>
    <w:rsid w:val="001D16C9"/>
    <w:rsid w:val="001D16EF"/>
    <w:rsid w:val="001D1BD8"/>
    <w:rsid w:val="001D1FFF"/>
    <w:rsid w:val="001D25F1"/>
    <w:rsid w:val="001D2A7F"/>
    <w:rsid w:val="001D3921"/>
    <w:rsid w:val="001D3A9A"/>
    <w:rsid w:val="001D44B0"/>
    <w:rsid w:val="001D453B"/>
    <w:rsid w:val="001D4636"/>
    <w:rsid w:val="001D4942"/>
    <w:rsid w:val="001D4EFF"/>
    <w:rsid w:val="001D5295"/>
    <w:rsid w:val="001D5435"/>
    <w:rsid w:val="001D5E03"/>
    <w:rsid w:val="001D609F"/>
    <w:rsid w:val="001D6151"/>
    <w:rsid w:val="001D642A"/>
    <w:rsid w:val="001D6CC7"/>
    <w:rsid w:val="001D7183"/>
    <w:rsid w:val="001D732E"/>
    <w:rsid w:val="001D774D"/>
    <w:rsid w:val="001D7832"/>
    <w:rsid w:val="001D7EFA"/>
    <w:rsid w:val="001E0015"/>
    <w:rsid w:val="001E0237"/>
    <w:rsid w:val="001E0906"/>
    <w:rsid w:val="001E0B7B"/>
    <w:rsid w:val="001E0D89"/>
    <w:rsid w:val="001E1685"/>
    <w:rsid w:val="001E1BB5"/>
    <w:rsid w:val="001E1E64"/>
    <w:rsid w:val="001E1F4A"/>
    <w:rsid w:val="001E20BD"/>
    <w:rsid w:val="001E220F"/>
    <w:rsid w:val="001E253A"/>
    <w:rsid w:val="001E34CA"/>
    <w:rsid w:val="001E35F1"/>
    <w:rsid w:val="001E363B"/>
    <w:rsid w:val="001E392A"/>
    <w:rsid w:val="001E3D53"/>
    <w:rsid w:val="001E41AE"/>
    <w:rsid w:val="001E496F"/>
    <w:rsid w:val="001E4AD2"/>
    <w:rsid w:val="001E52FF"/>
    <w:rsid w:val="001E55C1"/>
    <w:rsid w:val="001E5E65"/>
    <w:rsid w:val="001E6101"/>
    <w:rsid w:val="001E6601"/>
    <w:rsid w:val="001E69EB"/>
    <w:rsid w:val="001E7261"/>
    <w:rsid w:val="001E758E"/>
    <w:rsid w:val="001E759F"/>
    <w:rsid w:val="001E75B5"/>
    <w:rsid w:val="001E7969"/>
    <w:rsid w:val="001E7C8B"/>
    <w:rsid w:val="001F0615"/>
    <w:rsid w:val="001F08E5"/>
    <w:rsid w:val="001F0E3E"/>
    <w:rsid w:val="001F151C"/>
    <w:rsid w:val="001F156A"/>
    <w:rsid w:val="001F2492"/>
    <w:rsid w:val="001F25AE"/>
    <w:rsid w:val="001F332F"/>
    <w:rsid w:val="001F355C"/>
    <w:rsid w:val="001F37DB"/>
    <w:rsid w:val="001F3895"/>
    <w:rsid w:val="001F38EE"/>
    <w:rsid w:val="001F3A1A"/>
    <w:rsid w:val="001F4358"/>
    <w:rsid w:val="001F47ED"/>
    <w:rsid w:val="001F4845"/>
    <w:rsid w:val="001F4A57"/>
    <w:rsid w:val="001F4E0E"/>
    <w:rsid w:val="001F517D"/>
    <w:rsid w:val="001F5718"/>
    <w:rsid w:val="001F5A38"/>
    <w:rsid w:val="001F5D15"/>
    <w:rsid w:val="001F5D5A"/>
    <w:rsid w:val="001F5EEA"/>
    <w:rsid w:val="001F6007"/>
    <w:rsid w:val="001F60F1"/>
    <w:rsid w:val="001F634C"/>
    <w:rsid w:val="001F6526"/>
    <w:rsid w:val="001F661E"/>
    <w:rsid w:val="001F6949"/>
    <w:rsid w:val="001F6E1B"/>
    <w:rsid w:val="001F6E5B"/>
    <w:rsid w:val="001F7359"/>
    <w:rsid w:val="001F74CE"/>
    <w:rsid w:val="001F77EC"/>
    <w:rsid w:val="001F79F6"/>
    <w:rsid w:val="001F7DC7"/>
    <w:rsid w:val="001F7E8C"/>
    <w:rsid w:val="00200148"/>
    <w:rsid w:val="002003CE"/>
    <w:rsid w:val="00200876"/>
    <w:rsid w:val="002008CF"/>
    <w:rsid w:val="0020105F"/>
    <w:rsid w:val="002010B8"/>
    <w:rsid w:val="0020110F"/>
    <w:rsid w:val="00201336"/>
    <w:rsid w:val="002014BB"/>
    <w:rsid w:val="002017B8"/>
    <w:rsid w:val="0020212A"/>
    <w:rsid w:val="00202373"/>
    <w:rsid w:val="002025B4"/>
    <w:rsid w:val="00202765"/>
    <w:rsid w:val="00202B66"/>
    <w:rsid w:val="00202DD5"/>
    <w:rsid w:val="00202E4D"/>
    <w:rsid w:val="002034DC"/>
    <w:rsid w:val="00203A58"/>
    <w:rsid w:val="00203F24"/>
    <w:rsid w:val="00203FC5"/>
    <w:rsid w:val="00204C1A"/>
    <w:rsid w:val="00204D12"/>
    <w:rsid w:val="00204D40"/>
    <w:rsid w:val="00204E74"/>
    <w:rsid w:val="00204EE6"/>
    <w:rsid w:val="00204F21"/>
    <w:rsid w:val="00205121"/>
    <w:rsid w:val="002051B4"/>
    <w:rsid w:val="00205A40"/>
    <w:rsid w:val="00205A92"/>
    <w:rsid w:val="002063F9"/>
    <w:rsid w:val="002066BA"/>
    <w:rsid w:val="002067EF"/>
    <w:rsid w:val="0020692B"/>
    <w:rsid w:val="00206F3D"/>
    <w:rsid w:val="002071B1"/>
    <w:rsid w:val="00207366"/>
    <w:rsid w:val="002102DF"/>
    <w:rsid w:val="00210683"/>
    <w:rsid w:val="0021097A"/>
    <w:rsid w:val="00210DC1"/>
    <w:rsid w:val="0021126D"/>
    <w:rsid w:val="0021195E"/>
    <w:rsid w:val="00211D34"/>
    <w:rsid w:val="00211FA8"/>
    <w:rsid w:val="00212125"/>
    <w:rsid w:val="002126A0"/>
    <w:rsid w:val="00212A24"/>
    <w:rsid w:val="00212AEB"/>
    <w:rsid w:val="00212B16"/>
    <w:rsid w:val="00212EF8"/>
    <w:rsid w:val="0021349A"/>
    <w:rsid w:val="0021480F"/>
    <w:rsid w:val="00214847"/>
    <w:rsid w:val="0021493F"/>
    <w:rsid w:val="00214D3F"/>
    <w:rsid w:val="00214F04"/>
    <w:rsid w:val="002150CE"/>
    <w:rsid w:val="0021527B"/>
    <w:rsid w:val="002152E5"/>
    <w:rsid w:val="00216071"/>
    <w:rsid w:val="00216477"/>
    <w:rsid w:val="002164BA"/>
    <w:rsid w:val="002170D4"/>
    <w:rsid w:val="00217464"/>
    <w:rsid w:val="00217907"/>
    <w:rsid w:val="00217AE4"/>
    <w:rsid w:val="00217BDC"/>
    <w:rsid w:val="00220639"/>
    <w:rsid w:val="00220730"/>
    <w:rsid w:val="00220748"/>
    <w:rsid w:val="00220D31"/>
    <w:rsid w:val="002210FB"/>
    <w:rsid w:val="00221380"/>
    <w:rsid w:val="00221575"/>
    <w:rsid w:val="00221F31"/>
    <w:rsid w:val="0022206B"/>
    <w:rsid w:val="002220EE"/>
    <w:rsid w:val="002221A2"/>
    <w:rsid w:val="00222B70"/>
    <w:rsid w:val="00222F77"/>
    <w:rsid w:val="00222F95"/>
    <w:rsid w:val="00223094"/>
    <w:rsid w:val="00223178"/>
    <w:rsid w:val="002239E9"/>
    <w:rsid w:val="00223B3A"/>
    <w:rsid w:val="00223DF6"/>
    <w:rsid w:val="00223F4C"/>
    <w:rsid w:val="002244A0"/>
    <w:rsid w:val="00224A3D"/>
    <w:rsid w:val="00224DEE"/>
    <w:rsid w:val="00224E89"/>
    <w:rsid w:val="00224EEF"/>
    <w:rsid w:val="00225147"/>
    <w:rsid w:val="0022530A"/>
    <w:rsid w:val="00225397"/>
    <w:rsid w:val="002253A2"/>
    <w:rsid w:val="00225877"/>
    <w:rsid w:val="00225C9C"/>
    <w:rsid w:val="00225E6D"/>
    <w:rsid w:val="00226247"/>
    <w:rsid w:val="0022626F"/>
    <w:rsid w:val="00226376"/>
    <w:rsid w:val="002264E4"/>
    <w:rsid w:val="00226621"/>
    <w:rsid w:val="00226A62"/>
    <w:rsid w:val="00226D28"/>
    <w:rsid w:val="00226E66"/>
    <w:rsid w:val="0022702E"/>
    <w:rsid w:val="002272F2"/>
    <w:rsid w:val="0023033C"/>
    <w:rsid w:val="00230424"/>
    <w:rsid w:val="002310E8"/>
    <w:rsid w:val="00231148"/>
    <w:rsid w:val="0023120B"/>
    <w:rsid w:val="0023129D"/>
    <w:rsid w:val="00231371"/>
    <w:rsid w:val="0023141E"/>
    <w:rsid w:val="00231A54"/>
    <w:rsid w:val="00231F87"/>
    <w:rsid w:val="00232336"/>
    <w:rsid w:val="002324BF"/>
    <w:rsid w:val="00232C01"/>
    <w:rsid w:val="0023349A"/>
    <w:rsid w:val="00233732"/>
    <w:rsid w:val="002338BA"/>
    <w:rsid w:val="0023406C"/>
    <w:rsid w:val="0023471C"/>
    <w:rsid w:val="00234B9C"/>
    <w:rsid w:val="00234D8A"/>
    <w:rsid w:val="00234D90"/>
    <w:rsid w:val="00234E87"/>
    <w:rsid w:val="002350D2"/>
    <w:rsid w:val="0023531B"/>
    <w:rsid w:val="002358E1"/>
    <w:rsid w:val="00235910"/>
    <w:rsid w:val="00235DC9"/>
    <w:rsid w:val="00235E7C"/>
    <w:rsid w:val="0023603B"/>
    <w:rsid w:val="00236379"/>
    <w:rsid w:val="002364B4"/>
    <w:rsid w:val="00236839"/>
    <w:rsid w:val="00236FD5"/>
    <w:rsid w:val="002371E4"/>
    <w:rsid w:val="0023736A"/>
    <w:rsid w:val="002375F7"/>
    <w:rsid w:val="00237749"/>
    <w:rsid w:val="00237E5B"/>
    <w:rsid w:val="00240335"/>
    <w:rsid w:val="002404D2"/>
    <w:rsid w:val="0024068A"/>
    <w:rsid w:val="00240A51"/>
    <w:rsid w:val="00240FF4"/>
    <w:rsid w:val="0024123C"/>
    <w:rsid w:val="00241823"/>
    <w:rsid w:val="00241C92"/>
    <w:rsid w:val="00241E33"/>
    <w:rsid w:val="00242146"/>
    <w:rsid w:val="00242232"/>
    <w:rsid w:val="00242DCA"/>
    <w:rsid w:val="00242FA0"/>
    <w:rsid w:val="0024304E"/>
    <w:rsid w:val="002433F6"/>
    <w:rsid w:val="00243767"/>
    <w:rsid w:val="00243905"/>
    <w:rsid w:val="00243CDC"/>
    <w:rsid w:val="0024432D"/>
    <w:rsid w:val="0024437D"/>
    <w:rsid w:val="0024439A"/>
    <w:rsid w:val="0024470E"/>
    <w:rsid w:val="00244837"/>
    <w:rsid w:val="0024515A"/>
    <w:rsid w:val="00245A54"/>
    <w:rsid w:val="002461B3"/>
    <w:rsid w:val="002462B0"/>
    <w:rsid w:val="002462F0"/>
    <w:rsid w:val="00246406"/>
    <w:rsid w:val="00246728"/>
    <w:rsid w:val="00246AB1"/>
    <w:rsid w:val="00247809"/>
    <w:rsid w:val="0024788D"/>
    <w:rsid w:val="00247B3C"/>
    <w:rsid w:val="0025004F"/>
    <w:rsid w:val="00250184"/>
    <w:rsid w:val="0025018F"/>
    <w:rsid w:val="00250522"/>
    <w:rsid w:val="00250611"/>
    <w:rsid w:val="0025074A"/>
    <w:rsid w:val="00250A35"/>
    <w:rsid w:val="00250C72"/>
    <w:rsid w:val="00250E32"/>
    <w:rsid w:val="00251211"/>
    <w:rsid w:val="00251433"/>
    <w:rsid w:val="00251475"/>
    <w:rsid w:val="00251AC0"/>
    <w:rsid w:val="00252341"/>
    <w:rsid w:val="00252374"/>
    <w:rsid w:val="002523E9"/>
    <w:rsid w:val="00252447"/>
    <w:rsid w:val="002525C6"/>
    <w:rsid w:val="00252652"/>
    <w:rsid w:val="0025282E"/>
    <w:rsid w:val="00252CD8"/>
    <w:rsid w:val="00253796"/>
    <w:rsid w:val="002539AD"/>
    <w:rsid w:val="00253D10"/>
    <w:rsid w:val="00253DA8"/>
    <w:rsid w:val="002540F4"/>
    <w:rsid w:val="00254A8F"/>
    <w:rsid w:val="00254B63"/>
    <w:rsid w:val="002551A5"/>
    <w:rsid w:val="002559D8"/>
    <w:rsid w:val="00255D11"/>
    <w:rsid w:val="00255D39"/>
    <w:rsid w:val="00255EE3"/>
    <w:rsid w:val="0025678F"/>
    <w:rsid w:val="002569DB"/>
    <w:rsid w:val="00256C36"/>
    <w:rsid w:val="002573C5"/>
    <w:rsid w:val="0025768D"/>
    <w:rsid w:val="0025788E"/>
    <w:rsid w:val="00257B08"/>
    <w:rsid w:val="00257BF4"/>
    <w:rsid w:val="00257C81"/>
    <w:rsid w:val="00257E20"/>
    <w:rsid w:val="002602F8"/>
    <w:rsid w:val="0026063D"/>
    <w:rsid w:val="002608A8"/>
    <w:rsid w:val="00260B5E"/>
    <w:rsid w:val="002610C3"/>
    <w:rsid w:val="0026111F"/>
    <w:rsid w:val="0026134F"/>
    <w:rsid w:val="00261785"/>
    <w:rsid w:val="00261934"/>
    <w:rsid w:val="00261D52"/>
    <w:rsid w:val="00262270"/>
    <w:rsid w:val="002622C6"/>
    <w:rsid w:val="0026235B"/>
    <w:rsid w:val="0026275F"/>
    <w:rsid w:val="0026289A"/>
    <w:rsid w:val="00262A0C"/>
    <w:rsid w:val="00262A29"/>
    <w:rsid w:val="00262EB9"/>
    <w:rsid w:val="00263128"/>
    <w:rsid w:val="0026340C"/>
    <w:rsid w:val="0026368E"/>
    <w:rsid w:val="0026373E"/>
    <w:rsid w:val="00263994"/>
    <w:rsid w:val="0026403A"/>
    <w:rsid w:val="002646F1"/>
    <w:rsid w:val="002648A8"/>
    <w:rsid w:val="00264A44"/>
    <w:rsid w:val="00264DCE"/>
    <w:rsid w:val="00264EC8"/>
    <w:rsid w:val="002650C4"/>
    <w:rsid w:val="00265289"/>
    <w:rsid w:val="00265A44"/>
    <w:rsid w:val="00265C2D"/>
    <w:rsid w:val="00265E23"/>
    <w:rsid w:val="002662B2"/>
    <w:rsid w:val="00266363"/>
    <w:rsid w:val="00266431"/>
    <w:rsid w:val="0026654B"/>
    <w:rsid w:val="00266711"/>
    <w:rsid w:val="00266A07"/>
    <w:rsid w:val="00266CD6"/>
    <w:rsid w:val="00266DA6"/>
    <w:rsid w:val="00266EF1"/>
    <w:rsid w:val="00267079"/>
    <w:rsid w:val="00267282"/>
    <w:rsid w:val="0026764B"/>
    <w:rsid w:val="00267672"/>
    <w:rsid w:val="00267A1D"/>
    <w:rsid w:val="00270282"/>
    <w:rsid w:val="0027043E"/>
    <w:rsid w:val="002705E1"/>
    <w:rsid w:val="0027062A"/>
    <w:rsid w:val="002709AC"/>
    <w:rsid w:val="002709C1"/>
    <w:rsid w:val="00271308"/>
    <w:rsid w:val="0027185D"/>
    <w:rsid w:val="00271E74"/>
    <w:rsid w:val="00271F64"/>
    <w:rsid w:val="00272B68"/>
    <w:rsid w:val="00272E8E"/>
    <w:rsid w:val="00272F9E"/>
    <w:rsid w:val="00273057"/>
    <w:rsid w:val="0027310A"/>
    <w:rsid w:val="00273336"/>
    <w:rsid w:val="002734D4"/>
    <w:rsid w:val="00273A1E"/>
    <w:rsid w:val="00273CC7"/>
    <w:rsid w:val="00274001"/>
    <w:rsid w:val="00274055"/>
    <w:rsid w:val="002741E1"/>
    <w:rsid w:val="00274233"/>
    <w:rsid w:val="0027431E"/>
    <w:rsid w:val="00274330"/>
    <w:rsid w:val="0027465C"/>
    <w:rsid w:val="002747A3"/>
    <w:rsid w:val="00274B4B"/>
    <w:rsid w:val="00275796"/>
    <w:rsid w:val="00275A3E"/>
    <w:rsid w:val="00275CD4"/>
    <w:rsid w:val="00275DAB"/>
    <w:rsid w:val="00275FF2"/>
    <w:rsid w:val="00276174"/>
    <w:rsid w:val="00276326"/>
    <w:rsid w:val="00276541"/>
    <w:rsid w:val="002767CD"/>
    <w:rsid w:val="002767DE"/>
    <w:rsid w:val="00276910"/>
    <w:rsid w:val="00276969"/>
    <w:rsid w:val="00276B26"/>
    <w:rsid w:val="00277328"/>
    <w:rsid w:val="002801E5"/>
    <w:rsid w:val="00280D75"/>
    <w:rsid w:val="00281396"/>
    <w:rsid w:val="00281632"/>
    <w:rsid w:val="002818A4"/>
    <w:rsid w:val="00281AA0"/>
    <w:rsid w:val="00281CD5"/>
    <w:rsid w:val="00282058"/>
    <w:rsid w:val="002821B7"/>
    <w:rsid w:val="002827C9"/>
    <w:rsid w:val="00282956"/>
    <w:rsid w:val="0028299D"/>
    <w:rsid w:val="00282CF2"/>
    <w:rsid w:val="002830CA"/>
    <w:rsid w:val="002830FB"/>
    <w:rsid w:val="00283553"/>
    <w:rsid w:val="00283958"/>
    <w:rsid w:val="002840CE"/>
    <w:rsid w:val="00284526"/>
    <w:rsid w:val="002846A9"/>
    <w:rsid w:val="00284F56"/>
    <w:rsid w:val="002850C3"/>
    <w:rsid w:val="00285940"/>
    <w:rsid w:val="00285994"/>
    <w:rsid w:val="00285A2D"/>
    <w:rsid w:val="00285C73"/>
    <w:rsid w:val="00285D9A"/>
    <w:rsid w:val="00285DD2"/>
    <w:rsid w:val="0028684D"/>
    <w:rsid w:val="00286862"/>
    <w:rsid w:val="00287661"/>
    <w:rsid w:val="00287A81"/>
    <w:rsid w:val="00287CEC"/>
    <w:rsid w:val="00287F53"/>
    <w:rsid w:val="002902B6"/>
    <w:rsid w:val="00290311"/>
    <w:rsid w:val="00290C63"/>
    <w:rsid w:val="00290F6E"/>
    <w:rsid w:val="0029104E"/>
    <w:rsid w:val="0029155D"/>
    <w:rsid w:val="00291C8D"/>
    <w:rsid w:val="00291E53"/>
    <w:rsid w:val="00291F48"/>
    <w:rsid w:val="00292249"/>
    <w:rsid w:val="00292360"/>
    <w:rsid w:val="0029253B"/>
    <w:rsid w:val="0029271E"/>
    <w:rsid w:val="002928AE"/>
    <w:rsid w:val="002928FE"/>
    <w:rsid w:val="002932A0"/>
    <w:rsid w:val="00293346"/>
    <w:rsid w:val="00293630"/>
    <w:rsid w:val="002938A8"/>
    <w:rsid w:val="00293BB4"/>
    <w:rsid w:val="00293EA6"/>
    <w:rsid w:val="00294253"/>
    <w:rsid w:val="0029586A"/>
    <w:rsid w:val="00295CB5"/>
    <w:rsid w:val="00296665"/>
    <w:rsid w:val="00296671"/>
    <w:rsid w:val="00296943"/>
    <w:rsid w:val="00296E60"/>
    <w:rsid w:val="002971CB"/>
    <w:rsid w:val="00297481"/>
    <w:rsid w:val="002975DD"/>
    <w:rsid w:val="0029765D"/>
    <w:rsid w:val="00297806"/>
    <w:rsid w:val="00297ACA"/>
    <w:rsid w:val="00297F09"/>
    <w:rsid w:val="002A0593"/>
    <w:rsid w:val="002A08FD"/>
    <w:rsid w:val="002A0A66"/>
    <w:rsid w:val="002A0A79"/>
    <w:rsid w:val="002A0AA3"/>
    <w:rsid w:val="002A0EC3"/>
    <w:rsid w:val="002A10F8"/>
    <w:rsid w:val="002A1266"/>
    <w:rsid w:val="002A13AD"/>
    <w:rsid w:val="002A165B"/>
    <w:rsid w:val="002A1678"/>
    <w:rsid w:val="002A17E2"/>
    <w:rsid w:val="002A1E11"/>
    <w:rsid w:val="002A1EB2"/>
    <w:rsid w:val="002A205C"/>
    <w:rsid w:val="002A2291"/>
    <w:rsid w:val="002A2786"/>
    <w:rsid w:val="002A28C9"/>
    <w:rsid w:val="002A3228"/>
    <w:rsid w:val="002A3645"/>
    <w:rsid w:val="002A38AC"/>
    <w:rsid w:val="002A3EB8"/>
    <w:rsid w:val="002A4608"/>
    <w:rsid w:val="002A4683"/>
    <w:rsid w:val="002A476C"/>
    <w:rsid w:val="002A4B2F"/>
    <w:rsid w:val="002A4D18"/>
    <w:rsid w:val="002A53AD"/>
    <w:rsid w:val="002A55A7"/>
    <w:rsid w:val="002A6029"/>
    <w:rsid w:val="002A64D6"/>
    <w:rsid w:val="002A6694"/>
    <w:rsid w:val="002A69F8"/>
    <w:rsid w:val="002A6DA8"/>
    <w:rsid w:val="002A6F4F"/>
    <w:rsid w:val="002A7607"/>
    <w:rsid w:val="002A782A"/>
    <w:rsid w:val="002A7A92"/>
    <w:rsid w:val="002A7BF1"/>
    <w:rsid w:val="002A7E28"/>
    <w:rsid w:val="002A7E7F"/>
    <w:rsid w:val="002B033F"/>
    <w:rsid w:val="002B05F1"/>
    <w:rsid w:val="002B0AB2"/>
    <w:rsid w:val="002B0C17"/>
    <w:rsid w:val="002B0D11"/>
    <w:rsid w:val="002B0D62"/>
    <w:rsid w:val="002B11E2"/>
    <w:rsid w:val="002B1409"/>
    <w:rsid w:val="002B1697"/>
    <w:rsid w:val="002B17FE"/>
    <w:rsid w:val="002B1BDC"/>
    <w:rsid w:val="002B1CB4"/>
    <w:rsid w:val="002B1D47"/>
    <w:rsid w:val="002B2442"/>
    <w:rsid w:val="002B24B8"/>
    <w:rsid w:val="002B2771"/>
    <w:rsid w:val="002B3288"/>
    <w:rsid w:val="002B3CC9"/>
    <w:rsid w:val="002B3DF7"/>
    <w:rsid w:val="002B42A8"/>
    <w:rsid w:val="002B46B6"/>
    <w:rsid w:val="002B4AFD"/>
    <w:rsid w:val="002B4C16"/>
    <w:rsid w:val="002B4EF9"/>
    <w:rsid w:val="002B4FB5"/>
    <w:rsid w:val="002B514A"/>
    <w:rsid w:val="002B52C0"/>
    <w:rsid w:val="002B573C"/>
    <w:rsid w:val="002B5A17"/>
    <w:rsid w:val="002B5A8A"/>
    <w:rsid w:val="002B5FC7"/>
    <w:rsid w:val="002B628C"/>
    <w:rsid w:val="002B6AFD"/>
    <w:rsid w:val="002B710B"/>
    <w:rsid w:val="002B71B7"/>
    <w:rsid w:val="002B72BA"/>
    <w:rsid w:val="002B7442"/>
    <w:rsid w:val="002B7E8C"/>
    <w:rsid w:val="002C00AE"/>
    <w:rsid w:val="002C0556"/>
    <w:rsid w:val="002C0698"/>
    <w:rsid w:val="002C07C6"/>
    <w:rsid w:val="002C09F3"/>
    <w:rsid w:val="002C0FC5"/>
    <w:rsid w:val="002C161C"/>
    <w:rsid w:val="002C164E"/>
    <w:rsid w:val="002C182C"/>
    <w:rsid w:val="002C1837"/>
    <w:rsid w:val="002C1B43"/>
    <w:rsid w:val="002C1BB8"/>
    <w:rsid w:val="002C1C1C"/>
    <w:rsid w:val="002C23BE"/>
    <w:rsid w:val="002C24CB"/>
    <w:rsid w:val="002C265D"/>
    <w:rsid w:val="002C2D5A"/>
    <w:rsid w:val="002C2E2A"/>
    <w:rsid w:val="002C3A34"/>
    <w:rsid w:val="002C3EF7"/>
    <w:rsid w:val="002C4050"/>
    <w:rsid w:val="002C40D3"/>
    <w:rsid w:val="002C470C"/>
    <w:rsid w:val="002C4A87"/>
    <w:rsid w:val="002C4B52"/>
    <w:rsid w:val="002C4C51"/>
    <w:rsid w:val="002C4FE0"/>
    <w:rsid w:val="002C508C"/>
    <w:rsid w:val="002C5284"/>
    <w:rsid w:val="002C586D"/>
    <w:rsid w:val="002C5E76"/>
    <w:rsid w:val="002C5E98"/>
    <w:rsid w:val="002C6CC7"/>
    <w:rsid w:val="002C6FFB"/>
    <w:rsid w:val="002C6FFF"/>
    <w:rsid w:val="002C7537"/>
    <w:rsid w:val="002C7AA4"/>
    <w:rsid w:val="002C7C7A"/>
    <w:rsid w:val="002C7DE5"/>
    <w:rsid w:val="002C7E2B"/>
    <w:rsid w:val="002D06B0"/>
    <w:rsid w:val="002D0CE3"/>
    <w:rsid w:val="002D0D51"/>
    <w:rsid w:val="002D0FB8"/>
    <w:rsid w:val="002D1917"/>
    <w:rsid w:val="002D196B"/>
    <w:rsid w:val="002D1DBC"/>
    <w:rsid w:val="002D23E7"/>
    <w:rsid w:val="002D2B8A"/>
    <w:rsid w:val="002D2EC9"/>
    <w:rsid w:val="002D3008"/>
    <w:rsid w:val="002D30CA"/>
    <w:rsid w:val="002D39CC"/>
    <w:rsid w:val="002D3AE9"/>
    <w:rsid w:val="002D430F"/>
    <w:rsid w:val="002D4510"/>
    <w:rsid w:val="002D45A1"/>
    <w:rsid w:val="002D4A3D"/>
    <w:rsid w:val="002D5159"/>
    <w:rsid w:val="002D527F"/>
    <w:rsid w:val="002D5470"/>
    <w:rsid w:val="002D5B3D"/>
    <w:rsid w:val="002D5FC9"/>
    <w:rsid w:val="002D6554"/>
    <w:rsid w:val="002D66DE"/>
    <w:rsid w:val="002D671D"/>
    <w:rsid w:val="002D681D"/>
    <w:rsid w:val="002D6A09"/>
    <w:rsid w:val="002D6BF7"/>
    <w:rsid w:val="002D6EC8"/>
    <w:rsid w:val="002D6FA1"/>
    <w:rsid w:val="002D70BC"/>
    <w:rsid w:val="002D7403"/>
    <w:rsid w:val="002D74FB"/>
    <w:rsid w:val="002D7671"/>
    <w:rsid w:val="002D77EB"/>
    <w:rsid w:val="002E05E7"/>
    <w:rsid w:val="002E08E5"/>
    <w:rsid w:val="002E158E"/>
    <w:rsid w:val="002E172D"/>
    <w:rsid w:val="002E1971"/>
    <w:rsid w:val="002E1A05"/>
    <w:rsid w:val="002E1B6C"/>
    <w:rsid w:val="002E1CE2"/>
    <w:rsid w:val="002E1D7A"/>
    <w:rsid w:val="002E1E0D"/>
    <w:rsid w:val="002E1E4C"/>
    <w:rsid w:val="002E217A"/>
    <w:rsid w:val="002E2D23"/>
    <w:rsid w:val="002E32D0"/>
    <w:rsid w:val="002E39DF"/>
    <w:rsid w:val="002E3D10"/>
    <w:rsid w:val="002E5292"/>
    <w:rsid w:val="002E5ACC"/>
    <w:rsid w:val="002E5F0C"/>
    <w:rsid w:val="002E6639"/>
    <w:rsid w:val="002E6E30"/>
    <w:rsid w:val="002E6F0B"/>
    <w:rsid w:val="002E72BD"/>
    <w:rsid w:val="002E730D"/>
    <w:rsid w:val="002E7346"/>
    <w:rsid w:val="002E7DFC"/>
    <w:rsid w:val="002E7F45"/>
    <w:rsid w:val="002F0159"/>
    <w:rsid w:val="002F0509"/>
    <w:rsid w:val="002F0734"/>
    <w:rsid w:val="002F0A79"/>
    <w:rsid w:val="002F0DFE"/>
    <w:rsid w:val="002F11BD"/>
    <w:rsid w:val="002F1753"/>
    <w:rsid w:val="002F1C86"/>
    <w:rsid w:val="002F1F3A"/>
    <w:rsid w:val="002F1F62"/>
    <w:rsid w:val="002F2BDE"/>
    <w:rsid w:val="002F2D78"/>
    <w:rsid w:val="002F2ED0"/>
    <w:rsid w:val="002F2F75"/>
    <w:rsid w:val="002F353E"/>
    <w:rsid w:val="002F371B"/>
    <w:rsid w:val="002F42DD"/>
    <w:rsid w:val="002F46E7"/>
    <w:rsid w:val="002F4A44"/>
    <w:rsid w:val="002F4A97"/>
    <w:rsid w:val="002F4D5E"/>
    <w:rsid w:val="002F548A"/>
    <w:rsid w:val="002F5B1C"/>
    <w:rsid w:val="002F5E8B"/>
    <w:rsid w:val="002F61D2"/>
    <w:rsid w:val="002F64CF"/>
    <w:rsid w:val="002F6673"/>
    <w:rsid w:val="002F6AD1"/>
    <w:rsid w:val="002F6B95"/>
    <w:rsid w:val="002F6F95"/>
    <w:rsid w:val="002F7176"/>
    <w:rsid w:val="002F760D"/>
    <w:rsid w:val="002F77F1"/>
    <w:rsid w:val="002F7ACE"/>
    <w:rsid w:val="002F7B4D"/>
    <w:rsid w:val="002F7EB4"/>
    <w:rsid w:val="002F7F4A"/>
    <w:rsid w:val="003006C5"/>
    <w:rsid w:val="0030084A"/>
    <w:rsid w:val="00300C76"/>
    <w:rsid w:val="00300F74"/>
    <w:rsid w:val="003011BA"/>
    <w:rsid w:val="003011F7"/>
    <w:rsid w:val="003016D1"/>
    <w:rsid w:val="00301B84"/>
    <w:rsid w:val="003021F3"/>
    <w:rsid w:val="003023AC"/>
    <w:rsid w:val="00303293"/>
    <w:rsid w:val="003033D2"/>
    <w:rsid w:val="0030350C"/>
    <w:rsid w:val="00303F29"/>
    <w:rsid w:val="0030429F"/>
    <w:rsid w:val="003043C9"/>
    <w:rsid w:val="0030475A"/>
    <w:rsid w:val="003049F7"/>
    <w:rsid w:val="00304AAF"/>
    <w:rsid w:val="00304CAC"/>
    <w:rsid w:val="00305615"/>
    <w:rsid w:val="00305842"/>
    <w:rsid w:val="003058C4"/>
    <w:rsid w:val="00306257"/>
    <w:rsid w:val="003064AD"/>
    <w:rsid w:val="00306633"/>
    <w:rsid w:val="00306645"/>
    <w:rsid w:val="00306868"/>
    <w:rsid w:val="00306952"/>
    <w:rsid w:val="003074CD"/>
    <w:rsid w:val="003079AC"/>
    <w:rsid w:val="00307BCB"/>
    <w:rsid w:val="003101DA"/>
    <w:rsid w:val="00310E35"/>
    <w:rsid w:val="00310F64"/>
    <w:rsid w:val="0031106E"/>
    <w:rsid w:val="00311115"/>
    <w:rsid w:val="003111CA"/>
    <w:rsid w:val="0031131D"/>
    <w:rsid w:val="00311594"/>
    <w:rsid w:val="00311AF0"/>
    <w:rsid w:val="00311D9A"/>
    <w:rsid w:val="00311FCA"/>
    <w:rsid w:val="0031200B"/>
    <w:rsid w:val="003123C5"/>
    <w:rsid w:val="003128AC"/>
    <w:rsid w:val="003128ED"/>
    <w:rsid w:val="00312BF8"/>
    <w:rsid w:val="0031301F"/>
    <w:rsid w:val="003132A4"/>
    <w:rsid w:val="0031357E"/>
    <w:rsid w:val="00313A7B"/>
    <w:rsid w:val="00313B7C"/>
    <w:rsid w:val="00313EDE"/>
    <w:rsid w:val="003144FF"/>
    <w:rsid w:val="00314715"/>
    <w:rsid w:val="00314757"/>
    <w:rsid w:val="003147B7"/>
    <w:rsid w:val="003148DE"/>
    <w:rsid w:val="003150AD"/>
    <w:rsid w:val="00315282"/>
    <w:rsid w:val="0031561A"/>
    <w:rsid w:val="003159E5"/>
    <w:rsid w:val="00315A66"/>
    <w:rsid w:val="00315EC9"/>
    <w:rsid w:val="00315FFF"/>
    <w:rsid w:val="003161F8"/>
    <w:rsid w:val="0031623C"/>
    <w:rsid w:val="003163BC"/>
    <w:rsid w:val="003164F7"/>
    <w:rsid w:val="0031689E"/>
    <w:rsid w:val="00317173"/>
    <w:rsid w:val="003171AF"/>
    <w:rsid w:val="0031725A"/>
    <w:rsid w:val="00317731"/>
    <w:rsid w:val="00317993"/>
    <w:rsid w:val="003201B6"/>
    <w:rsid w:val="003203E1"/>
    <w:rsid w:val="00320980"/>
    <w:rsid w:val="00320A74"/>
    <w:rsid w:val="00320CEA"/>
    <w:rsid w:val="00321193"/>
    <w:rsid w:val="003211CE"/>
    <w:rsid w:val="003212EE"/>
    <w:rsid w:val="003216D2"/>
    <w:rsid w:val="00321C4E"/>
    <w:rsid w:val="00321EE7"/>
    <w:rsid w:val="00321FB3"/>
    <w:rsid w:val="00322A44"/>
    <w:rsid w:val="00322B0C"/>
    <w:rsid w:val="00322B3B"/>
    <w:rsid w:val="003230A0"/>
    <w:rsid w:val="00323157"/>
    <w:rsid w:val="0032326C"/>
    <w:rsid w:val="00323AA4"/>
    <w:rsid w:val="00323C6C"/>
    <w:rsid w:val="00323E04"/>
    <w:rsid w:val="00323FD5"/>
    <w:rsid w:val="00324387"/>
    <w:rsid w:val="003244CB"/>
    <w:rsid w:val="00324636"/>
    <w:rsid w:val="003248F9"/>
    <w:rsid w:val="00324A52"/>
    <w:rsid w:val="00324CC5"/>
    <w:rsid w:val="003251CE"/>
    <w:rsid w:val="00325E06"/>
    <w:rsid w:val="003262DA"/>
    <w:rsid w:val="0032694C"/>
    <w:rsid w:val="00326D28"/>
    <w:rsid w:val="00326F0E"/>
    <w:rsid w:val="003271B2"/>
    <w:rsid w:val="0032792D"/>
    <w:rsid w:val="00327BCE"/>
    <w:rsid w:val="00327ECD"/>
    <w:rsid w:val="003300EC"/>
    <w:rsid w:val="00330481"/>
    <w:rsid w:val="003304E4"/>
    <w:rsid w:val="00330729"/>
    <w:rsid w:val="0033079D"/>
    <w:rsid w:val="00330F1F"/>
    <w:rsid w:val="00331955"/>
    <w:rsid w:val="00331A26"/>
    <w:rsid w:val="00331D8C"/>
    <w:rsid w:val="00332587"/>
    <w:rsid w:val="00332CB5"/>
    <w:rsid w:val="003333FF"/>
    <w:rsid w:val="0033357A"/>
    <w:rsid w:val="00333693"/>
    <w:rsid w:val="00333827"/>
    <w:rsid w:val="0033383F"/>
    <w:rsid w:val="00333A36"/>
    <w:rsid w:val="00333CEB"/>
    <w:rsid w:val="00333E89"/>
    <w:rsid w:val="00333EA5"/>
    <w:rsid w:val="00334221"/>
    <w:rsid w:val="00334311"/>
    <w:rsid w:val="0033478A"/>
    <w:rsid w:val="00334A72"/>
    <w:rsid w:val="00334C07"/>
    <w:rsid w:val="00334DE8"/>
    <w:rsid w:val="00334E2A"/>
    <w:rsid w:val="00334F9E"/>
    <w:rsid w:val="00334FD0"/>
    <w:rsid w:val="0033531B"/>
    <w:rsid w:val="003353D1"/>
    <w:rsid w:val="003362E0"/>
    <w:rsid w:val="0033669B"/>
    <w:rsid w:val="003366D5"/>
    <w:rsid w:val="0033685B"/>
    <w:rsid w:val="003368F3"/>
    <w:rsid w:val="003369BA"/>
    <w:rsid w:val="00336C1B"/>
    <w:rsid w:val="003371C2"/>
    <w:rsid w:val="003378FD"/>
    <w:rsid w:val="00337A20"/>
    <w:rsid w:val="00337AB8"/>
    <w:rsid w:val="00337D24"/>
    <w:rsid w:val="00337E78"/>
    <w:rsid w:val="00337E9C"/>
    <w:rsid w:val="00340223"/>
    <w:rsid w:val="00340272"/>
    <w:rsid w:val="00340CFB"/>
    <w:rsid w:val="00340F2F"/>
    <w:rsid w:val="00341646"/>
    <w:rsid w:val="003418C9"/>
    <w:rsid w:val="00341C87"/>
    <w:rsid w:val="00341D63"/>
    <w:rsid w:val="003423CD"/>
    <w:rsid w:val="00342C1F"/>
    <w:rsid w:val="00342D6D"/>
    <w:rsid w:val="00342E42"/>
    <w:rsid w:val="00342F78"/>
    <w:rsid w:val="003433DC"/>
    <w:rsid w:val="003434CB"/>
    <w:rsid w:val="00343677"/>
    <w:rsid w:val="0034367F"/>
    <w:rsid w:val="0034379D"/>
    <w:rsid w:val="00343836"/>
    <w:rsid w:val="00343B37"/>
    <w:rsid w:val="00344131"/>
    <w:rsid w:val="003441EE"/>
    <w:rsid w:val="003443A3"/>
    <w:rsid w:val="003443B3"/>
    <w:rsid w:val="003443D4"/>
    <w:rsid w:val="00344674"/>
    <w:rsid w:val="00344E76"/>
    <w:rsid w:val="00344EA5"/>
    <w:rsid w:val="003451A7"/>
    <w:rsid w:val="00345784"/>
    <w:rsid w:val="00345787"/>
    <w:rsid w:val="0034592D"/>
    <w:rsid w:val="00345DB1"/>
    <w:rsid w:val="00345DB6"/>
    <w:rsid w:val="0034625F"/>
    <w:rsid w:val="003468C1"/>
    <w:rsid w:val="00346C6D"/>
    <w:rsid w:val="00346E98"/>
    <w:rsid w:val="00346EC0"/>
    <w:rsid w:val="00347BF9"/>
    <w:rsid w:val="00347D02"/>
    <w:rsid w:val="0035012A"/>
    <w:rsid w:val="0035055D"/>
    <w:rsid w:val="00350765"/>
    <w:rsid w:val="00350D58"/>
    <w:rsid w:val="00350D9E"/>
    <w:rsid w:val="003511E9"/>
    <w:rsid w:val="00351339"/>
    <w:rsid w:val="0035146A"/>
    <w:rsid w:val="0035179F"/>
    <w:rsid w:val="00351B06"/>
    <w:rsid w:val="00351C24"/>
    <w:rsid w:val="00351D96"/>
    <w:rsid w:val="0035207F"/>
    <w:rsid w:val="0035286E"/>
    <w:rsid w:val="00353232"/>
    <w:rsid w:val="003533DF"/>
    <w:rsid w:val="00353E7D"/>
    <w:rsid w:val="0035403A"/>
    <w:rsid w:val="00354428"/>
    <w:rsid w:val="0035453D"/>
    <w:rsid w:val="003545BB"/>
    <w:rsid w:val="00354EDC"/>
    <w:rsid w:val="00355260"/>
    <w:rsid w:val="00355320"/>
    <w:rsid w:val="003559E1"/>
    <w:rsid w:val="0035627D"/>
    <w:rsid w:val="003570A4"/>
    <w:rsid w:val="003570F4"/>
    <w:rsid w:val="003574B5"/>
    <w:rsid w:val="0035769C"/>
    <w:rsid w:val="0035769F"/>
    <w:rsid w:val="003576AC"/>
    <w:rsid w:val="00357C4B"/>
    <w:rsid w:val="00360047"/>
    <w:rsid w:val="003602CB"/>
    <w:rsid w:val="0036031F"/>
    <w:rsid w:val="00360B59"/>
    <w:rsid w:val="00360FA9"/>
    <w:rsid w:val="003618EA"/>
    <w:rsid w:val="00362645"/>
    <w:rsid w:val="0036286F"/>
    <w:rsid w:val="00362C31"/>
    <w:rsid w:val="00362E2B"/>
    <w:rsid w:val="0036321B"/>
    <w:rsid w:val="003635CB"/>
    <w:rsid w:val="003637A1"/>
    <w:rsid w:val="0036394B"/>
    <w:rsid w:val="00363F3F"/>
    <w:rsid w:val="00363FA5"/>
    <w:rsid w:val="0036433F"/>
    <w:rsid w:val="003648C4"/>
    <w:rsid w:val="00364B4B"/>
    <w:rsid w:val="00364C3D"/>
    <w:rsid w:val="00364D96"/>
    <w:rsid w:val="00364F54"/>
    <w:rsid w:val="00364FC3"/>
    <w:rsid w:val="00365170"/>
    <w:rsid w:val="00365357"/>
    <w:rsid w:val="00365453"/>
    <w:rsid w:val="00365492"/>
    <w:rsid w:val="003657AA"/>
    <w:rsid w:val="0036582B"/>
    <w:rsid w:val="00365855"/>
    <w:rsid w:val="00365882"/>
    <w:rsid w:val="00365BA8"/>
    <w:rsid w:val="00365D19"/>
    <w:rsid w:val="00365E50"/>
    <w:rsid w:val="00365EA7"/>
    <w:rsid w:val="0036691A"/>
    <w:rsid w:val="00366DB6"/>
    <w:rsid w:val="00366F07"/>
    <w:rsid w:val="00366F49"/>
    <w:rsid w:val="0037012B"/>
    <w:rsid w:val="003701D6"/>
    <w:rsid w:val="003702CA"/>
    <w:rsid w:val="00370644"/>
    <w:rsid w:val="00370813"/>
    <w:rsid w:val="003709B5"/>
    <w:rsid w:val="00370A31"/>
    <w:rsid w:val="00370C8E"/>
    <w:rsid w:val="00370DAE"/>
    <w:rsid w:val="00370F5F"/>
    <w:rsid w:val="00370F68"/>
    <w:rsid w:val="00370FF8"/>
    <w:rsid w:val="003711F4"/>
    <w:rsid w:val="00371598"/>
    <w:rsid w:val="003717F1"/>
    <w:rsid w:val="00371F72"/>
    <w:rsid w:val="00372334"/>
    <w:rsid w:val="003723E8"/>
    <w:rsid w:val="003727EB"/>
    <w:rsid w:val="003729D7"/>
    <w:rsid w:val="00372C54"/>
    <w:rsid w:val="00372D61"/>
    <w:rsid w:val="00373516"/>
    <w:rsid w:val="00373CB4"/>
    <w:rsid w:val="00373DA3"/>
    <w:rsid w:val="00373E83"/>
    <w:rsid w:val="00373F85"/>
    <w:rsid w:val="00374038"/>
    <w:rsid w:val="0037467F"/>
    <w:rsid w:val="003746E9"/>
    <w:rsid w:val="00374925"/>
    <w:rsid w:val="003749A9"/>
    <w:rsid w:val="00374DA4"/>
    <w:rsid w:val="00374F88"/>
    <w:rsid w:val="003752A7"/>
    <w:rsid w:val="00375344"/>
    <w:rsid w:val="00375748"/>
    <w:rsid w:val="003758D0"/>
    <w:rsid w:val="003759C2"/>
    <w:rsid w:val="00375BA7"/>
    <w:rsid w:val="00375F44"/>
    <w:rsid w:val="003764CC"/>
    <w:rsid w:val="00376826"/>
    <w:rsid w:val="00376E7A"/>
    <w:rsid w:val="00377A9D"/>
    <w:rsid w:val="00377AEF"/>
    <w:rsid w:val="00377D04"/>
    <w:rsid w:val="003804C8"/>
    <w:rsid w:val="00380888"/>
    <w:rsid w:val="00380962"/>
    <w:rsid w:val="00380E53"/>
    <w:rsid w:val="003812E4"/>
    <w:rsid w:val="00381611"/>
    <w:rsid w:val="00381CD0"/>
    <w:rsid w:val="00382335"/>
    <w:rsid w:val="00382449"/>
    <w:rsid w:val="00382CF9"/>
    <w:rsid w:val="00382EA8"/>
    <w:rsid w:val="003830D9"/>
    <w:rsid w:val="003839CE"/>
    <w:rsid w:val="00383CE1"/>
    <w:rsid w:val="00383FF8"/>
    <w:rsid w:val="00384543"/>
    <w:rsid w:val="00384744"/>
    <w:rsid w:val="00384CA9"/>
    <w:rsid w:val="00384CC6"/>
    <w:rsid w:val="003851E7"/>
    <w:rsid w:val="00385272"/>
    <w:rsid w:val="003854D6"/>
    <w:rsid w:val="003857DE"/>
    <w:rsid w:val="003859A4"/>
    <w:rsid w:val="00385A9B"/>
    <w:rsid w:val="00385D66"/>
    <w:rsid w:val="003860BF"/>
    <w:rsid w:val="003864D7"/>
    <w:rsid w:val="003867C2"/>
    <w:rsid w:val="00386A11"/>
    <w:rsid w:val="00386EB9"/>
    <w:rsid w:val="003871B1"/>
    <w:rsid w:val="003872F6"/>
    <w:rsid w:val="0038762D"/>
    <w:rsid w:val="00387AD0"/>
    <w:rsid w:val="00390146"/>
    <w:rsid w:val="003907AC"/>
    <w:rsid w:val="00390A4D"/>
    <w:rsid w:val="00390C90"/>
    <w:rsid w:val="00390DDC"/>
    <w:rsid w:val="00390F6F"/>
    <w:rsid w:val="00391468"/>
    <w:rsid w:val="00391B58"/>
    <w:rsid w:val="00391B98"/>
    <w:rsid w:val="00391D5C"/>
    <w:rsid w:val="00391D71"/>
    <w:rsid w:val="00391DAD"/>
    <w:rsid w:val="00391FA0"/>
    <w:rsid w:val="0039220E"/>
    <w:rsid w:val="0039288C"/>
    <w:rsid w:val="003928E8"/>
    <w:rsid w:val="00392972"/>
    <w:rsid w:val="00392A0B"/>
    <w:rsid w:val="00392EAE"/>
    <w:rsid w:val="00392F82"/>
    <w:rsid w:val="00392F8E"/>
    <w:rsid w:val="00393C24"/>
    <w:rsid w:val="00394287"/>
    <w:rsid w:val="00395570"/>
    <w:rsid w:val="00395709"/>
    <w:rsid w:val="00395E96"/>
    <w:rsid w:val="00395F48"/>
    <w:rsid w:val="00396448"/>
    <w:rsid w:val="003965E4"/>
    <w:rsid w:val="003968C0"/>
    <w:rsid w:val="00396BE4"/>
    <w:rsid w:val="00396E57"/>
    <w:rsid w:val="0039707D"/>
    <w:rsid w:val="00397365"/>
    <w:rsid w:val="0039796C"/>
    <w:rsid w:val="00397B9A"/>
    <w:rsid w:val="00397D62"/>
    <w:rsid w:val="003A016E"/>
    <w:rsid w:val="003A01BF"/>
    <w:rsid w:val="003A0200"/>
    <w:rsid w:val="003A094D"/>
    <w:rsid w:val="003A0953"/>
    <w:rsid w:val="003A0A31"/>
    <w:rsid w:val="003A0FB7"/>
    <w:rsid w:val="003A1542"/>
    <w:rsid w:val="003A1BD7"/>
    <w:rsid w:val="003A2A6A"/>
    <w:rsid w:val="003A2A73"/>
    <w:rsid w:val="003A31F6"/>
    <w:rsid w:val="003A3455"/>
    <w:rsid w:val="003A3704"/>
    <w:rsid w:val="003A37AF"/>
    <w:rsid w:val="003A3A73"/>
    <w:rsid w:val="003A3FF2"/>
    <w:rsid w:val="003A40A8"/>
    <w:rsid w:val="003A41DC"/>
    <w:rsid w:val="003A4763"/>
    <w:rsid w:val="003A4861"/>
    <w:rsid w:val="003A4960"/>
    <w:rsid w:val="003A496E"/>
    <w:rsid w:val="003A4A06"/>
    <w:rsid w:val="003A4C4E"/>
    <w:rsid w:val="003A5460"/>
    <w:rsid w:val="003A5A45"/>
    <w:rsid w:val="003A5C56"/>
    <w:rsid w:val="003A5C6B"/>
    <w:rsid w:val="003A5CB7"/>
    <w:rsid w:val="003A5F44"/>
    <w:rsid w:val="003A6163"/>
    <w:rsid w:val="003A6914"/>
    <w:rsid w:val="003A69EE"/>
    <w:rsid w:val="003A6DD8"/>
    <w:rsid w:val="003A6F6E"/>
    <w:rsid w:val="003A7575"/>
    <w:rsid w:val="003A7BDE"/>
    <w:rsid w:val="003B01C3"/>
    <w:rsid w:val="003B0462"/>
    <w:rsid w:val="003B061C"/>
    <w:rsid w:val="003B062B"/>
    <w:rsid w:val="003B0966"/>
    <w:rsid w:val="003B0D1C"/>
    <w:rsid w:val="003B0E42"/>
    <w:rsid w:val="003B0FAE"/>
    <w:rsid w:val="003B16D2"/>
    <w:rsid w:val="003B1819"/>
    <w:rsid w:val="003B24BB"/>
    <w:rsid w:val="003B24DF"/>
    <w:rsid w:val="003B261C"/>
    <w:rsid w:val="003B2706"/>
    <w:rsid w:val="003B2E7B"/>
    <w:rsid w:val="003B30CB"/>
    <w:rsid w:val="003B30DD"/>
    <w:rsid w:val="003B32D5"/>
    <w:rsid w:val="003B3E15"/>
    <w:rsid w:val="003B410A"/>
    <w:rsid w:val="003B465E"/>
    <w:rsid w:val="003B4750"/>
    <w:rsid w:val="003B4FAA"/>
    <w:rsid w:val="003B54EA"/>
    <w:rsid w:val="003B57E8"/>
    <w:rsid w:val="003B585C"/>
    <w:rsid w:val="003B5E31"/>
    <w:rsid w:val="003B6096"/>
    <w:rsid w:val="003B6EA8"/>
    <w:rsid w:val="003B7453"/>
    <w:rsid w:val="003B7603"/>
    <w:rsid w:val="003B78B4"/>
    <w:rsid w:val="003B7FCF"/>
    <w:rsid w:val="003C001A"/>
    <w:rsid w:val="003C0416"/>
    <w:rsid w:val="003C0750"/>
    <w:rsid w:val="003C0D13"/>
    <w:rsid w:val="003C0DFD"/>
    <w:rsid w:val="003C0F95"/>
    <w:rsid w:val="003C1470"/>
    <w:rsid w:val="003C14EC"/>
    <w:rsid w:val="003C188A"/>
    <w:rsid w:val="003C1AFD"/>
    <w:rsid w:val="003C1B03"/>
    <w:rsid w:val="003C1B89"/>
    <w:rsid w:val="003C22F0"/>
    <w:rsid w:val="003C2B93"/>
    <w:rsid w:val="003C2C3B"/>
    <w:rsid w:val="003C2E9E"/>
    <w:rsid w:val="003C319C"/>
    <w:rsid w:val="003C3447"/>
    <w:rsid w:val="003C3606"/>
    <w:rsid w:val="003C39B2"/>
    <w:rsid w:val="003C3DC4"/>
    <w:rsid w:val="003C3DD5"/>
    <w:rsid w:val="003C40F4"/>
    <w:rsid w:val="003C4223"/>
    <w:rsid w:val="003C423A"/>
    <w:rsid w:val="003C4663"/>
    <w:rsid w:val="003C47FE"/>
    <w:rsid w:val="003C4965"/>
    <w:rsid w:val="003C5153"/>
    <w:rsid w:val="003C5289"/>
    <w:rsid w:val="003C5727"/>
    <w:rsid w:val="003C5DAC"/>
    <w:rsid w:val="003C5E0F"/>
    <w:rsid w:val="003C5F6A"/>
    <w:rsid w:val="003C635C"/>
    <w:rsid w:val="003C65EA"/>
    <w:rsid w:val="003C6769"/>
    <w:rsid w:val="003C6BB7"/>
    <w:rsid w:val="003C6E50"/>
    <w:rsid w:val="003C74D0"/>
    <w:rsid w:val="003C76EC"/>
    <w:rsid w:val="003D032C"/>
    <w:rsid w:val="003D076C"/>
    <w:rsid w:val="003D0FFC"/>
    <w:rsid w:val="003D1080"/>
    <w:rsid w:val="003D1375"/>
    <w:rsid w:val="003D16BE"/>
    <w:rsid w:val="003D19A5"/>
    <w:rsid w:val="003D22DA"/>
    <w:rsid w:val="003D2529"/>
    <w:rsid w:val="003D27B5"/>
    <w:rsid w:val="003D32C7"/>
    <w:rsid w:val="003D368F"/>
    <w:rsid w:val="003D371F"/>
    <w:rsid w:val="003D3797"/>
    <w:rsid w:val="003D3860"/>
    <w:rsid w:val="003D394C"/>
    <w:rsid w:val="003D3C72"/>
    <w:rsid w:val="003D3FD9"/>
    <w:rsid w:val="003D410D"/>
    <w:rsid w:val="003D4138"/>
    <w:rsid w:val="003D4212"/>
    <w:rsid w:val="003D453E"/>
    <w:rsid w:val="003D45A2"/>
    <w:rsid w:val="003D49FA"/>
    <w:rsid w:val="003D4DC5"/>
    <w:rsid w:val="003D5239"/>
    <w:rsid w:val="003D59F8"/>
    <w:rsid w:val="003D5AB4"/>
    <w:rsid w:val="003D5E87"/>
    <w:rsid w:val="003D5FAC"/>
    <w:rsid w:val="003D63C7"/>
    <w:rsid w:val="003D6976"/>
    <w:rsid w:val="003D6B2A"/>
    <w:rsid w:val="003D6B4A"/>
    <w:rsid w:val="003D7366"/>
    <w:rsid w:val="003D7997"/>
    <w:rsid w:val="003D7D7B"/>
    <w:rsid w:val="003D7E2A"/>
    <w:rsid w:val="003E0442"/>
    <w:rsid w:val="003E0653"/>
    <w:rsid w:val="003E0864"/>
    <w:rsid w:val="003E0F7F"/>
    <w:rsid w:val="003E15F9"/>
    <w:rsid w:val="003E215C"/>
    <w:rsid w:val="003E259A"/>
    <w:rsid w:val="003E2CE0"/>
    <w:rsid w:val="003E2DF2"/>
    <w:rsid w:val="003E3CA6"/>
    <w:rsid w:val="003E3DD7"/>
    <w:rsid w:val="003E3F37"/>
    <w:rsid w:val="003E46D9"/>
    <w:rsid w:val="003E492E"/>
    <w:rsid w:val="003E4DEC"/>
    <w:rsid w:val="003E4F2B"/>
    <w:rsid w:val="003E5466"/>
    <w:rsid w:val="003E5B2D"/>
    <w:rsid w:val="003E5BDB"/>
    <w:rsid w:val="003E5BF1"/>
    <w:rsid w:val="003E68E2"/>
    <w:rsid w:val="003E6A69"/>
    <w:rsid w:val="003E718E"/>
    <w:rsid w:val="003E7434"/>
    <w:rsid w:val="003E745C"/>
    <w:rsid w:val="003E75E5"/>
    <w:rsid w:val="003E76F1"/>
    <w:rsid w:val="003E78B5"/>
    <w:rsid w:val="003F0088"/>
    <w:rsid w:val="003F078F"/>
    <w:rsid w:val="003F0DF9"/>
    <w:rsid w:val="003F10FF"/>
    <w:rsid w:val="003F11B9"/>
    <w:rsid w:val="003F13F9"/>
    <w:rsid w:val="003F155A"/>
    <w:rsid w:val="003F17B5"/>
    <w:rsid w:val="003F1994"/>
    <w:rsid w:val="003F214B"/>
    <w:rsid w:val="003F23BA"/>
    <w:rsid w:val="003F248D"/>
    <w:rsid w:val="003F24AF"/>
    <w:rsid w:val="003F24DF"/>
    <w:rsid w:val="003F25F2"/>
    <w:rsid w:val="003F2829"/>
    <w:rsid w:val="003F29BC"/>
    <w:rsid w:val="003F29CF"/>
    <w:rsid w:val="003F2ABB"/>
    <w:rsid w:val="003F2C58"/>
    <w:rsid w:val="003F2EF0"/>
    <w:rsid w:val="003F3376"/>
    <w:rsid w:val="003F34C2"/>
    <w:rsid w:val="003F3CCB"/>
    <w:rsid w:val="003F3D5C"/>
    <w:rsid w:val="003F4340"/>
    <w:rsid w:val="003F468A"/>
    <w:rsid w:val="003F4816"/>
    <w:rsid w:val="003F48C5"/>
    <w:rsid w:val="003F4CC2"/>
    <w:rsid w:val="003F4D38"/>
    <w:rsid w:val="003F50C4"/>
    <w:rsid w:val="003F52AB"/>
    <w:rsid w:val="003F5314"/>
    <w:rsid w:val="003F55DC"/>
    <w:rsid w:val="003F5A6C"/>
    <w:rsid w:val="003F5D6E"/>
    <w:rsid w:val="003F5D97"/>
    <w:rsid w:val="003F5DCC"/>
    <w:rsid w:val="003F60AF"/>
    <w:rsid w:val="003F6D0D"/>
    <w:rsid w:val="003F6D76"/>
    <w:rsid w:val="003F6DDE"/>
    <w:rsid w:val="003F74AA"/>
    <w:rsid w:val="003F75A3"/>
    <w:rsid w:val="003F7854"/>
    <w:rsid w:val="003F7A0C"/>
    <w:rsid w:val="004004E1"/>
    <w:rsid w:val="0040115C"/>
    <w:rsid w:val="004011AE"/>
    <w:rsid w:val="004013E3"/>
    <w:rsid w:val="00401563"/>
    <w:rsid w:val="00401676"/>
    <w:rsid w:val="004019DC"/>
    <w:rsid w:val="00401A2D"/>
    <w:rsid w:val="00401DCE"/>
    <w:rsid w:val="00401E00"/>
    <w:rsid w:val="00401EE5"/>
    <w:rsid w:val="00402421"/>
    <w:rsid w:val="00403128"/>
    <w:rsid w:val="00403246"/>
    <w:rsid w:val="0040403B"/>
    <w:rsid w:val="004040D6"/>
    <w:rsid w:val="00404887"/>
    <w:rsid w:val="0040489B"/>
    <w:rsid w:val="00404A3E"/>
    <w:rsid w:val="00405264"/>
    <w:rsid w:val="00405466"/>
    <w:rsid w:val="0040573B"/>
    <w:rsid w:val="004058C2"/>
    <w:rsid w:val="00406320"/>
    <w:rsid w:val="0040640B"/>
    <w:rsid w:val="0040663B"/>
    <w:rsid w:val="00406FAC"/>
    <w:rsid w:val="004070C1"/>
    <w:rsid w:val="00407449"/>
    <w:rsid w:val="00407652"/>
    <w:rsid w:val="00407928"/>
    <w:rsid w:val="00407989"/>
    <w:rsid w:val="00407BD8"/>
    <w:rsid w:val="00407F1E"/>
    <w:rsid w:val="00407FB5"/>
    <w:rsid w:val="0041042C"/>
    <w:rsid w:val="00410550"/>
    <w:rsid w:val="00410704"/>
    <w:rsid w:val="004108A2"/>
    <w:rsid w:val="00410DC5"/>
    <w:rsid w:val="0041100D"/>
    <w:rsid w:val="0041158F"/>
    <w:rsid w:val="00411C51"/>
    <w:rsid w:val="00412370"/>
    <w:rsid w:val="004128F8"/>
    <w:rsid w:val="004129BA"/>
    <w:rsid w:val="004129EE"/>
    <w:rsid w:val="004131B2"/>
    <w:rsid w:val="00413A9E"/>
    <w:rsid w:val="00413D7A"/>
    <w:rsid w:val="00413DDA"/>
    <w:rsid w:val="00414102"/>
    <w:rsid w:val="00414413"/>
    <w:rsid w:val="0041451C"/>
    <w:rsid w:val="00414588"/>
    <w:rsid w:val="004148DC"/>
    <w:rsid w:val="00414C52"/>
    <w:rsid w:val="0041585A"/>
    <w:rsid w:val="00415BAB"/>
    <w:rsid w:val="00415C6A"/>
    <w:rsid w:val="00415ED2"/>
    <w:rsid w:val="004165DF"/>
    <w:rsid w:val="00416B61"/>
    <w:rsid w:val="00416B96"/>
    <w:rsid w:val="0041700F"/>
    <w:rsid w:val="00417041"/>
    <w:rsid w:val="004172DC"/>
    <w:rsid w:val="0041735B"/>
    <w:rsid w:val="00417690"/>
    <w:rsid w:val="00417D7B"/>
    <w:rsid w:val="00417F31"/>
    <w:rsid w:val="00420409"/>
    <w:rsid w:val="004205C5"/>
    <w:rsid w:val="0042068C"/>
    <w:rsid w:val="004207DF"/>
    <w:rsid w:val="0042092C"/>
    <w:rsid w:val="00420B9A"/>
    <w:rsid w:val="00420F57"/>
    <w:rsid w:val="00420F8D"/>
    <w:rsid w:val="004213BD"/>
    <w:rsid w:val="0042152D"/>
    <w:rsid w:val="004219A9"/>
    <w:rsid w:val="00421D3D"/>
    <w:rsid w:val="004220DC"/>
    <w:rsid w:val="00422221"/>
    <w:rsid w:val="004222A7"/>
    <w:rsid w:val="00422466"/>
    <w:rsid w:val="004224BE"/>
    <w:rsid w:val="004228CD"/>
    <w:rsid w:val="00422A53"/>
    <w:rsid w:val="00422B7E"/>
    <w:rsid w:val="00422B81"/>
    <w:rsid w:val="00422D86"/>
    <w:rsid w:val="004232B1"/>
    <w:rsid w:val="004232E6"/>
    <w:rsid w:val="00423759"/>
    <w:rsid w:val="0042379F"/>
    <w:rsid w:val="004239AF"/>
    <w:rsid w:val="00423DC0"/>
    <w:rsid w:val="00423DEE"/>
    <w:rsid w:val="00423E06"/>
    <w:rsid w:val="00424356"/>
    <w:rsid w:val="0042441F"/>
    <w:rsid w:val="00424479"/>
    <w:rsid w:val="00424B18"/>
    <w:rsid w:val="00424C18"/>
    <w:rsid w:val="00424E40"/>
    <w:rsid w:val="00425273"/>
    <w:rsid w:val="00425277"/>
    <w:rsid w:val="00425CE0"/>
    <w:rsid w:val="00425FB3"/>
    <w:rsid w:val="00426186"/>
    <w:rsid w:val="00426340"/>
    <w:rsid w:val="004264BB"/>
    <w:rsid w:val="00426928"/>
    <w:rsid w:val="00426C7D"/>
    <w:rsid w:val="00426D9C"/>
    <w:rsid w:val="0042742D"/>
    <w:rsid w:val="0042757F"/>
    <w:rsid w:val="004275EC"/>
    <w:rsid w:val="00427C0B"/>
    <w:rsid w:val="004302BF"/>
    <w:rsid w:val="0043033F"/>
    <w:rsid w:val="00430349"/>
    <w:rsid w:val="004306C4"/>
    <w:rsid w:val="00431014"/>
    <w:rsid w:val="00431148"/>
    <w:rsid w:val="004315FE"/>
    <w:rsid w:val="0043162A"/>
    <w:rsid w:val="00431A93"/>
    <w:rsid w:val="00431C56"/>
    <w:rsid w:val="004320A4"/>
    <w:rsid w:val="00432259"/>
    <w:rsid w:val="0043265B"/>
    <w:rsid w:val="004327F1"/>
    <w:rsid w:val="0043347C"/>
    <w:rsid w:val="004336EB"/>
    <w:rsid w:val="00433AC9"/>
    <w:rsid w:val="00433F36"/>
    <w:rsid w:val="00434BE9"/>
    <w:rsid w:val="00434C20"/>
    <w:rsid w:val="00434DA7"/>
    <w:rsid w:val="00434E92"/>
    <w:rsid w:val="00434EA9"/>
    <w:rsid w:val="004351C1"/>
    <w:rsid w:val="004352BF"/>
    <w:rsid w:val="004356C7"/>
    <w:rsid w:val="00435CF5"/>
    <w:rsid w:val="00435E2B"/>
    <w:rsid w:val="004364D5"/>
    <w:rsid w:val="00436618"/>
    <w:rsid w:val="0043697A"/>
    <w:rsid w:val="00436F01"/>
    <w:rsid w:val="00437570"/>
    <w:rsid w:val="00437918"/>
    <w:rsid w:val="00437C60"/>
    <w:rsid w:val="00437C83"/>
    <w:rsid w:val="00437F64"/>
    <w:rsid w:val="00440104"/>
    <w:rsid w:val="00440251"/>
    <w:rsid w:val="0044043E"/>
    <w:rsid w:val="00440910"/>
    <w:rsid w:val="00440C55"/>
    <w:rsid w:val="00440F06"/>
    <w:rsid w:val="00440FC6"/>
    <w:rsid w:val="00441048"/>
    <w:rsid w:val="00441332"/>
    <w:rsid w:val="00441676"/>
    <w:rsid w:val="004416C6"/>
    <w:rsid w:val="00441962"/>
    <w:rsid w:val="00441A2D"/>
    <w:rsid w:val="00441DA4"/>
    <w:rsid w:val="0044208B"/>
    <w:rsid w:val="004421A1"/>
    <w:rsid w:val="0044228D"/>
    <w:rsid w:val="00442407"/>
    <w:rsid w:val="00442860"/>
    <w:rsid w:val="00442994"/>
    <w:rsid w:val="00442E69"/>
    <w:rsid w:val="00442F4C"/>
    <w:rsid w:val="0044318E"/>
    <w:rsid w:val="004434F7"/>
    <w:rsid w:val="00443558"/>
    <w:rsid w:val="00443619"/>
    <w:rsid w:val="00443828"/>
    <w:rsid w:val="0044386C"/>
    <w:rsid w:val="00443A6C"/>
    <w:rsid w:val="00443ADC"/>
    <w:rsid w:val="00443B35"/>
    <w:rsid w:val="00443CF8"/>
    <w:rsid w:val="00443EDE"/>
    <w:rsid w:val="00444588"/>
    <w:rsid w:val="00444F3F"/>
    <w:rsid w:val="00444FDE"/>
    <w:rsid w:val="004455A2"/>
    <w:rsid w:val="00445797"/>
    <w:rsid w:val="004459EE"/>
    <w:rsid w:val="00445B71"/>
    <w:rsid w:val="0044687C"/>
    <w:rsid w:val="00446BCE"/>
    <w:rsid w:val="0044714C"/>
    <w:rsid w:val="00447B18"/>
    <w:rsid w:val="00447E61"/>
    <w:rsid w:val="004500E0"/>
    <w:rsid w:val="0045026D"/>
    <w:rsid w:val="004507B1"/>
    <w:rsid w:val="0045095B"/>
    <w:rsid w:val="00450A74"/>
    <w:rsid w:val="00450EA4"/>
    <w:rsid w:val="00450F92"/>
    <w:rsid w:val="00450FB1"/>
    <w:rsid w:val="00451DFC"/>
    <w:rsid w:val="00451F45"/>
    <w:rsid w:val="00452136"/>
    <w:rsid w:val="004525D7"/>
    <w:rsid w:val="00452705"/>
    <w:rsid w:val="004528D8"/>
    <w:rsid w:val="004529F2"/>
    <w:rsid w:val="00452D30"/>
    <w:rsid w:val="00452F58"/>
    <w:rsid w:val="0045383F"/>
    <w:rsid w:val="0045390C"/>
    <w:rsid w:val="00453B14"/>
    <w:rsid w:val="0045414E"/>
    <w:rsid w:val="00454D78"/>
    <w:rsid w:val="00454E32"/>
    <w:rsid w:val="00454E5F"/>
    <w:rsid w:val="00455259"/>
    <w:rsid w:val="00455289"/>
    <w:rsid w:val="00455668"/>
    <w:rsid w:val="00455C30"/>
    <w:rsid w:val="00455E28"/>
    <w:rsid w:val="004560B3"/>
    <w:rsid w:val="004564B6"/>
    <w:rsid w:val="004564C3"/>
    <w:rsid w:val="0045697B"/>
    <w:rsid w:val="00456A21"/>
    <w:rsid w:val="00456B59"/>
    <w:rsid w:val="00456DB3"/>
    <w:rsid w:val="00456DF3"/>
    <w:rsid w:val="00457983"/>
    <w:rsid w:val="00457B11"/>
    <w:rsid w:val="00457B9F"/>
    <w:rsid w:val="00457D35"/>
    <w:rsid w:val="004600D7"/>
    <w:rsid w:val="004600DA"/>
    <w:rsid w:val="004604CA"/>
    <w:rsid w:val="0046060C"/>
    <w:rsid w:val="004606B7"/>
    <w:rsid w:val="00460855"/>
    <w:rsid w:val="00460D2A"/>
    <w:rsid w:val="0046111D"/>
    <w:rsid w:val="00461126"/>
    <w:rsid w:val="004614F3"/>
    <w:rsid w:val="0046173C"/>
    <w:rsid w:val="00461930"/>
    <w:rsid w:val="0046193A"/>
    <w:rsid w:val="00461949"/>
    <w:rsid w:val="00461BA0"/>
    <w:rsid w:val="00461BFF"/>
    <w:rsid w:val="00461DB1"/>
    <w:rsid w:val="00462078"/>
    <w:rsid w:val="0046231C"/>
    <w:rsid w:val="00462750"/>
    <w:rsid w:val="0046275F"/>
    <w:rsid w:val="00462AB7"/>
    <w:rsid w:val="00462F7C"/>
    <w:rsid w:val="00463486"/>
    <w:rsid w:val="00463A73"/>
    <w:rsid w:val="00463B90"/>
    <w:rsid w:val="00464524"/>
    <w:rsid w:val="004649D6"/>
    <w:rsid w:val="004649F9"/>
    <w:rsid w:val="00464CAD"/>
    <w:rsid w:val="00464DB4"/>
    <w:rsid w:val="00464EA2"/>
    <w:rsid w:val="004650A2"/>
    <w:rsid w:val="004650DF"/>
    <w:rsid w:val="00465176"/>
    <w:rsid w:val="00465425"/>
    <w:rsid w:val="0046552B"/>
    <w:rsid w:val="004656C5"/>
    <w:rsid w:val="00465FBA"/>
    <w:rsid w:val="0046613C"/>
    <w:rsid w:val="0046639A"/>
    <w:rsid w:val="00466587"/>
    <w:rsid w:val="0046661C"/>
    <w:rsid w:val="00466649"/>
    <w:rsid w:val="00466740"/>
    <w:rsid w:val="00466C5E"/>
    <w:rsid w:val="00467700"/>
    <w:rsid w:val="00467AF3"/>
    <w:rsid w:val="00467C64"/>
    <w:rsid w:val="00467F9C"/>
    <w:rsid w:val="004706A6"/>
    <w:rsid w:val="004706E5"/>
    <w:rsid w:val="004711A4"/>
    <w:rsid w:val="0047122B"/>
    <w:rsid w:val="00471304"/>
    <w:rsid w:val="00471357"/>
    <w:rsid w:val="00471699"/>
    <w:rsid w:val="00471BF6"/>
    <w:rsid w:val="00471D3A"/>
    <w:rsid w:val="00471D5A"/>
    <w:rsid w:val="00471EF1"/>
    <w:rsid w:val="004721E3"/>
    <w:rsid w:val="00472313"/>
    <w:rsid w:val="0047244E"/>
    <w:rsid w:val="00472B11"/>
    <w:rsid w:val="00472E1D"/>
    <w:rsid w:val="00473038"/>
    <w:rsid w:val="0047304B"/>
    <w:rsid w:val="00473320"/>
    <w:rsid w:val="00473388"/>
    <w:rsid w:val="004738FE"/>
    <w:rsid w:val="00473B7A"/>
    <w:rsid w:val="00473B90"/>
    <w:rsid w:val="00473BBF"/>
    <w:rsid w:val="004745A7"/>
    <w:rsid w:val="00474859"/>
    <w:rsid w:val="00474DC2"/>
    <w:rsid w:val="004750A6"/>
    <w:rsid w:val="004756DD"/>
    <w:rsid w:val="00475975"/>
    <w:rsid w:val="00475B0D"/>
    <w:rsid w:val="00475F38"/>
    <w:rsid w:val="004762CE"/>
    <w:rsid w:val="004763B6"/>
    <w:rsid w:val="0047646A"/>
    <w:rsid w:val="00476669"/>
    <w:rsid w:val="00476788"/>
    <w:rsid w:val="00476D06"/>
    <w:rsid w:val="00477EB6"/>
    <w:rsid w:val="004806E6"/>
    <w:rsid w:val="0048078D"/>
    <w:rsid w:val="0048089D"/>
    <w:rsid w:val="004808CE"/>
    <w:rsid w:val="00480A41"/>
    <w:rsid w:val="00480A7B"/>
    <w:rsid w:val="00480EAF"/>
    <w:rsid w:val="00480F28"/>
    <w:rsid w:val="00481028"/>
    <w:rsid w:val="0048126C"/>
    <w:rsid w:val="004812B5"/>
    <w:rsid w:val="00481722"/>
    <w:rsid w:val="00481A27"/>
    <w:rsid w:val="00481EAF"/>
    <w:rsid w:val="00481F36"/>
    <w:rsid w:val="00482195"/>
    <w:rsid w:val="0048260C"/>
    <w:rsid w:val="0048280A"/>
    <w:rsid w:val="00482829"/>
    <w:rsid w:val="00482ACA"/>
    <w:rsid w:val="00482BC1"/>
    <w:rsid w:val="00482CA6"/>
    <w:rsid w:val="00482CB1"/>
    <w:rsid w:val="00482D61"/>
    <w:rsid w:val="00482E08"/>
    <w:rsid w:val="00482E12"/>
    <w:rsid w:val="00482E62"/>
    <w:rsid w:val="00482F10"/>
    <w:rsid w:val="00482FCF"/>
    <w:rsid w:val="00483332"/>
    <w:rsid w:val="0048358F"/>
    <w:rsid w:val="00483807"/>
    <w:rsid w:val="004839C5"/>
    <w:rsid w:val="00483E9A"/>
    <w:rsid w:val="004840A1"/>
    <w:rsid w:val="004842F4"/>
    <w:rsid w:val="0048439F"/>
    <w:rsid w:val="00484803"/>
    <w:rsid w:val="00484BD0"/>
    <w:rsid w:val="00484E98"/>
    <w:rsid w:val="00485016"/>
    <w:rsid w:val="00485062"/>
    <w:rsid w:val="004853CA"/>
    <w:rsid w:val="0048550D"/>
    <w:rsid w:val="00485AD9"/>
    <w:rsid w:val="00485B1F"/>
    <w:rsid w:val="00485C46"/>
    <w:rsid w:val="00485EA8"/>
    <w:rsid w:val="004861AB"/>
    <w:rsid w:val="00486A76"/>
    <w:rsid w:val="00486AAA"/>
    <w:rsid w:val="00486D6A"/>
    <w:rsid w:val="004870BD"/>
    <w:rsid w:val="00487676"/>
    <w:rsid w:val="0048787E"/>
    <w:rsid w:val="0048799D"/>
    <w:rsid w:val="004900C3"/>
    <w:rsid w:val="00490473"/>
    <w:rsid w:val="004905D8"/>
    <w:rsid w:val="00490639"/>
    <w:rsid w:val="00490680"/>
    <w:rsid w:val="004908D4"/>
    <w:rsid w:val="004909A7"/>
    <w:rsid w:val="00490C46"/>
    <w:rsid w:val="0049142D"/>
    <w:rsid w:val="004916BC"/>
    <w:rsid w:val="00491A1F"/>
    <w:rsid w:val="00491BAF"/>
    <w:rsid w:val="00491E16"/>
    <w:rsid w:val="00492576"/>
    <w:rsid w:val="00492906"/>
    <w:rsid w:val="00492D55"/>
    <w:rsid w:val="00492EC9"/>
    <w:rsid w:val="00492FE0"/>
    <w:rsid w:val="00493329"/>
    <w:rsid w:val="00493589"/>
    <w:rsid w:val="0049377D"/>
    <w:rsid w:val="00493954"/>
    <w:rsid w:val="00493CAC"/>
    <w:rsid w:val="00493D0E"/>
    <w:rsid w:val="004942B6"/>
    <w:rsid w:val="004945BF"/>
    <w:rsid w:val="004945DE"/>
    <w:rsid w:val="00494BF2"/>
    <w:rsid w:val="00494F85"/>
    <w:rsid w:val="00494F87"/>
    <w:rsid w:val="004950C4"/>
    <w:rsid w:val="004950FE"/>
    <w:rsid w:val="00495DAA"/>
    <w:rsid w:val="004960E9"/>
    <w:rsid w:val="00496A8C"/>
    <w:rsid w:val="00496B00"/>
    <w:rsid w:val="00496F84"/>
    <w:rsid w:val="0049707D"/>
    <w:rsid w:val="004972E5"/>
    <w:rsid w:val="00497670"/>
    <w:rsid w:val="004976AB"/>
    <w:rsid w:val="00497824"/>
    <w:rsid w:val="00497B0C"/>
    <w:rsid w:val="00497C79"/>
    <w:rsid w:val="00497F9B"/>
    <w:rsid w:val="004A02F5"/>
    <w:rsid w:val="004A09BA"/>
    <w:rsid w:val="004A1A77"/>
    <w:rsid w:val="004A1B8E"/>
    <w:rsid w:val="004A1C10"/>
    <w:rsid w:val="004A1EC3"/>
    <w:rsid w:val="004A209D"/>
    <w:rsid w:val="004A2350"/>
    <w:rsid w:val="004A26A8"/>
    <w:rsid w:val="004A2A57"/>
    <w:rsid w:val="004A2A85"/>
    <w:rsid w:val="004A2B72"/>
    <w:rsid w:val="004A2C90"/>
    <w:rsid w:val="004A2E88"/>
    <w:rsid w:val="004A2F7E"/>
    <w:rsid w:val="004A372F"/>
    <w:rsid w:val="004A3D15"/>
    <w:rsid w:val="004A40CF"/>
    <w:rsid w:val="004A46C3"/>
    <w:rsid w:val="004A4975"/>
    <w:rsid w:val="004A49C3"/>
    <w:rsid w:val="004A4DFE"/>
    <w:rsid w:val="004A4EF4"/>
    <w:rsid w:val="004A4FF1"/>
    <w:rsid w:val="004A50B3"/>
    <w:rsid w:val="004A5305"/>
    <w:rsid w:val="004A5831"/>
    <w:rsid w:val="004A5C8F"/>
    <w:rsid w:val="004A5CAC"/>
    <w:rsid w:val="004A5D49"/>
    <w:rsid w:val="004A67AD"/>
    <w:rsid w:val="004A6914"/>
    <w:rsid w:val="004A6F2B"/>
    <w:rsid w:val="004A70ED"/>
    <w:rsid w:val="004A73F3"/>
    <w:rsid w:val="004A7445"/>
    <w:rsid w:val="004A7A1E"/>
    <w:rsid w:val="004A7EBA"/>
    <w:rsid w:val="004B06AE"/>
    <w:rsid w:val="004B06C0"/>
    <w:rsid w:val="004B090C"/>
    <w:rsid w:val="004B0AC9"/>
    <w:rsid w:val="004B0D0A"/>
    <w:rsid w:val="004B0D26"/>
    <w:rsid w:val="004B0D66"/>
    <w:rsid w:val="004B0F29"/>
    <w:rsid w:val="004B1103"/>
    <w:rsid w:val="004B1382"/>
    <w:rsid w:val="004B1462"/>
    <w:rsid w:val="004B15DF"/>
    <w:rsid w:val="004B1795"/>
    <w:rsid w:val="004B1C18"/>
    <w:rsid w:val="004B2265"/>
    <w:rsid w:val="004B2780"/>
    <w:rsid w:val="004B2B9D"/>
    <w:rsid w:val="004B3471"/>
    <w:rsid w:val="004B35EA"/>
    <w:rsid w:val="004B3DF6"/>
    <w:rsid w:val="004B4378"/>
    <w:rsid w:val="004B44BC"/>
    <w:rsid w:val="004B4562"/>
    <w:rsid w:val="004B4865"/>
    <w:rsid w:val="004B521F"/>
    <w:rsid w:val="004B581B"/>
    <w:rsid w:val="004B5BC6"/>
    <w:rsid w:val="004B5F08"/>
    <w:rsid w:val="004B5F5F"/>
    <w:rsid w:val="004B5F65"/>
    <w:rsid w:val="004B6398"/>
    <w:rsid w:val="004B693A"/>
    <w:rsid w:val="004B69C1"/>
    <w:rsid w:val="004B6C5C"/>
    <w:rsid w:val="004B7409"/>
    <w:rsid w:val="004B747A"/>
    <w:rsid w:val="004B765E"/>
    <w:rsid w:val="004B7742"/>
    <w:rsid w:val="004B7AB9"/>
    <w:rsid w:val="004B7AE9"/>
    <w:rsid w:val="004C017D"/>
    <w:rsid w:val="004C0221"/>
    <w:rsid w:val="004C04B4"/>
    <w:rsid w:val="004C07B1"/>
    <w:rsid w:val="004C0E24"/>
    <w:rsid w:val="004C0E6B"/>
    <w:rsid w:val="004C0F9C"/>
    <w:rsid w:val="004C1460"/>
    <w:rsid w:val="004C1AE9"/>
    <w:rsid w:val="004C24D2"/>
    <w:rsid w:val="004C24DF"/>
    <w:rsid w:val="004C2565"/>
    <w:rsid w:val="004C2727"/>
    <w:rsid w:val="004C2DB4"/>
    <w:rsid w:val="004C304B"/>
    <w:rsid w:val="004C37E4"/>
    <w:rsid w:val="004C3914"/>
    <w:rsid w:val="004C3BB3"/>
    <w:rsid w:val="004C3E0E"/>
    <w:rsid w:val="004C4012"/>
    <w:rsid w:val="004C424F"/>
    <w:rsid w:val="004C42C0"/>
    <w:rsid w:val="004C4550"/>
    <w:rsid w:val="004C460D"/>
    <w:rsid w:val="004C4893"/>
    <w:rsid w:val="004C4C05"/>
    <w:rsid w:val="004C4F6D"/>
    <w:rsid w:val="004C50FA"/>
    <w:rsid w:val="004C558C"/>
    <w:rsid w:val="004C570A"/>
    <w:rsid w:val="004C5985"/>
    <w:rsid w:val="004C5994"/>
    <w:rsid w:val="004C5D62"/>
    <w:rsid w:val="004C5E87"/>
    <w:rsid w:val="004C621B"/>
    <w:rsid w:val="004C678A"/>
    <w:rsid w:val="004C69AB"/>
    <w:rsid w:val="004C72AD"/>
    <w:rsid w:val="004C7893"/>
    <w:rsid w:val="004C7AA3"/>
    <w:rsid w:val="004C7C09"/>
    <w:rsid w:val="004C7CDB"/>
    <w:rsid w:val="004C7DBD"/>
    <w:rsid w:val="004C7E91"/>
    <w:rsid w:val="004C7FF2"/>
    <w:rsid w:val="004D04C5"/>
    <w:rsid w:val="004D05D7"/>
    <w:rsid w:val="004D0991"/>
    <w:rsid w:val="004D0E58"/>
    <w:rsid w:val="004D135F"/>
    <w:rsid w:val="004D179B"/>
    <w:rsid w:val="004D17ED"/>
    <w:rsid w:val="004D1D01"/>
    <w:rsid w:val="004D1D91"/>
    <w:rsid w:val="004D2070"/>
    <w:rsid w:val="004D2788"/>
    <w:rsid w:val="004D2A39"/>
    <w:rsid w:val="004D37E1"/>
    <w:rsid w:val="004D39CB"/>
    <w:rsid w:val="004D3C23"/>
    <w:rsid w:val="004D4313"/>
    <w:rsid w:val="004D48C9"/>
    <w:rsid w:val="004D4AF9"/>
    <w:rsid w:val="004D50C0"/>
    <w:rsid w:val="004D5492"/>
    <w:rsid w:val="004D57BC"/>
    <w:rsid w:val="004D5E63"/>
    <w:rsid w:val="004D5EAB"/>
    <w:rsid w:val="004D6633"/>
    <w:rsid w:val="004D6A05"/>
    <w:rsid w:val="004D6D73"/>
    <w:rsid w:val="004D6DD3"/>
    <w:rsid w:val="004D6F61"/>
    <w:rsid w:val="004D709A"/>
    <w:rsid w:val="004D7634"/>
    <w:rsid w:val="004D784F"/>
    <w:rsid w:val="004D7DC1"/>
    <w:rsid w:val="004E07C8"/>
    <w:rsid w:val="004E0CF6"/>
    <w:rsid w:val="004E0F99"/>
    <w:rsid w:val="004E10D7"/>
    <w:rsid w:val="004E12A4"/>
    <w:rsid w:val="004E158D"/>
    <w:rsid w:val="004E1747"/>
    <w:rsid w:val="004E198F"/>
    <w:rsid w:val="004E1A76"/>
    <w:rsid w:val="004E1ECC"/>
    <w:rsid w:val="004E1EFA"/>
    <w:rsid w:val="004E1FFA"/>
    <w:rsid w:val="004E2085"/>
    <w:rsid w:val="004E2131"/>
    <w:rsid w:val="004E2156"/>
    <w:rsid w:val="004E2206"/>
    <w:rsid w:val="004E2E16"/>
    <w:rsid w:val="004E3255"/>
    <w:rsid w:val="004E3330"/>
    <w:rsid w:val="004E35AD"/>
    <w:rsid w:val="004E3F58"/>
    <w:rsid w:val="004E3FA0"/>
    <w:rsid w:val="004E42A7"/>
    <w:rsid w:val="004E4553"/>
    <w:rsid w:val="004E4579"/>
    <w:rsid w:val="004E46BF"/>
    <w:rsid w:val="004E4903"/>
    <w:rsid w:val="004E49A4"/>
    <w:rsid w:val="004E4D85"/>
    <w:rsid w:val="004E4DFE"/>
    <w:rsid w:val="004E5995"/>
    <w:rsid w:val="004E59F2"/>
    <w:rsid w:val="004E5B7A"/>
    <w:rsid w:val="004E5F3C"/>
    <w:rsid w:val="004E611A"/>
    <w:rsid w:val="004E62BB"/>
    <w:rsid w:val="004E63D1"/>
    <w:rsid w:val="004E660B"/>
    <w:rsid w:val="004E6649"/>
    <w:rsid w:val="004E6667"/>
    <w:rsid w:val="004E6BFA"/>
    <w:rsid w:val="004E6CFC"/>
    <w:rsid w:val="004E706B"/>
    <w:rsid w:val="004E76E9"/>
    <w:rsid w:val="004E7713"/>
    <w:rsid w:val="004E77B3"/>
    <w:rsid w:val="004E78B0"/>
    <w:rsid w:val="004E7DDC"/>
    <w:rsid w:val="004E7F49"/>
    <w:rsid w:val="004F087C"/>
    <w:rsid w:val="004F096A"/>
    <w:rsid w:val="004F1599"/>
    <w:rsid w:val="004F1623"/>
    <w:rsid w:val="004F18EB"/>
    <w:rsid w:val="004F1B9A"/>
    <w:rsid w:val="004F1CF7"/>
    <w:rsid w:val="004F2263"/>
    <w:rsid w:val="004F2825"/>
    <w:rsid w:val="004F2C0A"/>
    <w:rsid w:val="004F3217"/>
    <w:rsid w:val="004F3424"/>
    <w:rsid w:val="004F3813"/>
    <w:rsid w:val="004F3945"/>
    <w:rsid w:val="004F3A4D"/>
    <w:rsid w:val="004F3BE0"/>
    <w:rsid w:val="004F4697"/>
    <w:rsid w:val="004F4BF9"/>
    <w:rsid w:val="004F4CB1"/>
    <w:rsid w:val="004F4D6E"/>
    <w:rsid w:val="004F4FD2"/>
    <w:rsid w:val="004F5248"/>
    <w:rsid w:val="004F548E"/>
    <w:rsid w:val="004F557E"/>
    <w:rsid w:val="004F55BA"/>
    <w:rsid w:val="004F5750"/>
    <w:rsid w:val="004F65A0"/>
    <w:rsid w:val="004F68FE"/>
    <w:rsid w:val="004F6CE2"/>
    <w:rsid w:val="004F73C7"/>
    <w:rsid w:val="004F7B6E"/>
    <w:rsid w:val="004F7DC4"/>
    <w:rsid w:val="00500038"/>
    <w:rsid w:val="00500076"/>
    <w:rsid w:val="005001AD"/>
    <w:rsid w:val="005003EF"/>
    <w:rsid w:val="00500452"/>
    <w:rsid w:val="00501448"/>
    <w:rsid w:val="00501811"/>
    <w:rsid w:val="00501843"/>
    <w:rsid w:val="00501D78"/>
    <w:rsid w:val="00501E65"/>
    <w:rsid w:val="00501F24"/>
    <w:rsid w:val="00502163"/>
    <w:rsid w:val="00502167"/>
    <w:rsid w:val="00502A20"/>
    <w:rsid w:val="00502AD8"/>
    <w:rsid w:val="00502B6E"/>
    <w:rsid w:val="00502DEC"/>
    <w:rsid w:val="00502E7A"/>
    <w:rsid w:val="00503374"/>
    <w:rsid w:val="00503446"/>
    <w:rsid w:val="00503B11"/>
    <w:rsid w:val="00503D30"/>
    <w:rsid w:val="00503DBC"/>
    <w:rsid w:val="00503E22"/>
    <w:rsid w:val="005042DC"/>
    <w:rsid w:val="0050453F"/>
    <w:rsid w:val="00504C02"/>
    <w:rsid w:val="00504EA9"/>
    <w:rsid w:val="005053E8"/>
    <w:rsid w:val="00506335"/>
    <w:rsid w:val="00506380"/>
    <w:rsid w:val="005067A1"/>
    <w:rsid w:val="00506F04"/>
    <w:rsid w:val="00506FBB"/>
    <w:rsid w:val="005070D2"/>
    <w:rsid w:val="00507464"/>
    <w:rsid w:val="0050763F"/>
    <w:rsid w:val="0050781E"/>
    <w:rsid w:val="00507A96"/>
    <w:rsid w:val="0051016E"/>
    <w:rsid w:val="00510459"/>
    <w:rsid w:val="005104D3"/>
    <w:rsid w:val="0051095B"/>
    <w:rsid w:val="00510F53"/>
    <w:rsid w:val="0051109C"/>
    <w:rsid w:val="0051162E"/>
    <w:rsid w:val="005118A1"/>
    <w:rsid w:val="00511A54"/>
    <w:rsid w:val="00511BF3"/>
    <w:rsid w:val="00512036"/>
    <w:rsid w:val="00512460"/>
    <w:rsid w:val="00512B8A"/>
    <w:rsid w:val="0051336E"/>
    <w:rsid w:val="00513815"/>
    <w:rsid w:val="0051401D"/>
    <w:rsid w:val="0051417B"/>
    <w:rsid w:val="00514620"/>
    <w:rsid w:val="005146C4"/>
    <w:rsid w:val="0051488C"/>
    <w:rsid w:val="005149B4"/>
    <w:rsid w:val="00514A75"/>
    <w:rsid w:val="00514C8C"/>
    <w:rsid w:val="0051570F"/>
    <w:rsid w:val="005159FB"/>
    <w:rsid w:val="00515D5A"/>
    <w:rsid w:val="005164DE"/>
    <w:rsid w:val="005168BF"/>
    <w:rsid w:val="00516D25"/>
    <w:rsid w:val="00516DB3"/>
    <w:rsid w:val="00517490"/>
    <w:rsid w:val="005175B6"/>
    <w:rsid w:val="00517A1C"/>
    <w:rsid w:val="00517BBF"/>
    <w:rsid w:val="00520431"/>
    <w:rsid w:val="005205D3"/>
    <w:rsid w:val="005205E3"/>
    <w:rsid w:val="00520645"/>
    <w:rsid w:val="005206E3"/>
    <w:rsid w:val="00520C3B"/>
    <w:rsid w:val="0052126E"/>
    <w:rsid w:val="005213B0"/>
    <w:rsid w:val="00521739"/>
    <w:rsid w:val="0052191E"/>
    <w:rsid w:val="00521A4E"/>
    <w:rsid w:val="00521D7E"/>
    <w:rsid w:val="005220D8"/>
    <w:rsid w:val="00522179"/>
    <w:rsid w:val="005223BF"/>
    <w:rsid w:val="005228B9"/>
    <w:rsid w:val="005228EE"/>
    <w:rsid w:val="00522DCE"/>
    <w:rsid w:val="00522E2E"/>
    <w:rsid w:val="0052323C"/>
    <w:rsid w:val="00523559"/>
    <w:rsid w:val="0052369D"/>
    <w:rsid w:val="00523897"/>
    <w:rsid w:val="00524731"/>
    <w:rsid w:val="00524821"/>
    <w:rsid w:val="00524824"/>
    <w:rsid w:val="005248F9"/>
    <w:rsid w:val="00524BF8"/>
    <w:rsid w:val="00524C74"/>
    <w:rsid w:val="005251BC"/>
    <w:rsid w:val="00525340"/>
    <w:rsid w:val="005255AA"/>
    <w:rsid w:val="005257FD"/>
    <w:rsid w:val="00525E8D"/>
    <w:rsid w:val="00525EF9"/>
    <w:rsid w:val="0052636B"/>
    <w:rsid w:val="0052690C"/>
    <w:rsid w:val="00526AE5"/>
    <w:rsid w:val="00526C88"/>
    <w:rsid w:val="00526E46"/>
    <w:rsid w:val="00526F2A"/>
    <w:rsid w:val="0052752D"/>
    <w:rsid w:val="005276D5"/>
    <w:rsid w:val="0052779D"/>
    <w:rsid w:val="00527A44"/>
    <w:rsid w:val="00527D85"/>
    <w:rsid w:val="00527E26"/>
    <w:rsid w:val="00527E31"/>
    <w:rsid w:val="0053006E"/>
    <w:rsid w:val="005300D3"/>
    <w:rsid w:val="00530875"/>
    <w:rsid w:val="005308A1"/>
    <w:rsid w:val="00530A79"/>
    <w:rsid w:val="00530D22"/>
    <w:rsid w:val="00530DFE"/>
    <w:rsid w:val="0053100E"/>
    <w:rsid w:val="005313D5"/>
    <w:rsid w:val="005331DF"/>
    <w:rsid w:val="00533488"/>
    <w:rsid w:val="005334BE"/>
    <w:rsid w:val="00533528"/>
    <w:rsid w:val="00533603"/>
    <w:rsid w:val="00533E23"/>
    <w:rsid w:val="00534402"/>
    <w:rsid w:val="005347DB"/>
    <w:rsid w:val="00534CE8"/>
    <w:rsid w:val="005358D9"/>
    <w:rsid w:val="00535F7A"/>
    <w:rsid w:val="00536341"/>
    <w:rsid w:val="005365D4"/>
    <w:rsid w:val="005368AF"/>
    <w:rsid w:val="00536A5B"/>
    <w:rsid w:val="00536AC7"/>
    <w:rsid w:val="00536B97"/>
    <w:rsid w:val="00537381"/>
    <w:rsid w:val="00537B72"/>
    <w:rsid w:val="00537EDC"/>
    <w:rsid w:val="005402BE"/>
    <w:rsid w:val="0054035B"/>
    <w:rsid w:val="0054063F"/>
    <w:rsid w:val="005407AC"/>
    <w:rsid w:val="00540822"/>
    <w:rsid w:val="00540A5F"/>
    <w:rsid w:val="00540B9A"/>
    <w:rsid w:val="00540CA3"/>
    <w:rsid w:val="00540D70"/>
    <w:rsid w:val="005410EB"/>
    <w:rsid w:val="0054110D"/>
    <w:rsid w:val="005412CF"/>
    <w:rsid w:val="00541E5B"/>
    <w:rsid w:val="00541F0D"/>
    <w:rsid w:val="005421B6"/>
    <w:rsid w:val="00542464"/>
    <w:rsid w:val="00542821"/>
    <w:rsid w:val="00542C21"/>
    <w:rsid w:val="00542D14"/>
    <w:rsid w:val="005431FF"/>
    <w:rsid w:val="00543761"/>
    <w:rsid w:val="005437F5"/>
    <w:rsid w:val="00543B97"/>
    <w:rsid w:val="005440EA"/>
    <w:rsid w:val="0054425F"/>
    <w:rsid w:val="00544291"/>
    <w:rsid w:val="005443C6"/>
    <w:rsid w:val="00544A00"/>
    <w:rsid w:val="00544AF5"/>
    <w:rsid w:val="00544BA0"/>
    <w:rsid w:val="00544F82"/>
    <w:rsid w:val="0054520C"/>
    <w:rsid w:val="005453A1"/>
    <w:rsid w:val="00545DC2"/>
    <w:rsid w:val="00545E52"/>
    <w:rsid w:val="005461BF"/>
    <w:rsid w:val="005461FE"/>
    <w:rsid w:val="005462B1"/>
    <w:rsid w:val="0054640F"/>
    <w:rsid w:val="00546591"/>
    <w:rsid w:val="0054674F"/>
    <w:rsid w:val="00546752"/>
    <w:rsid w:val="00546E96"/>
    <w:rsid w:val="00546F21"/>
    <w:rsid w:val="00547080"/>
    <w:rsid w:val="00547157"/>
    <w:rsid w:val="005472BB"/>
    <w:rsid w:val="00547708"/>
    <w:rsid w:val="005478C3"/>
    <w:rsid w:val="00547BCF"/>
    <w:rsid w:val="00547E7A"/>
    <w:rsid w:val="0055024B"/>
    <w:rsid w:val="005507A3"/>
    <w:rsid w:val="005509D2"/>
    <w:rsid w:val="00550A24"/>
    <w:rsid w:val="00550A7C"/>
    <w:rsid w:val="00550AFB"/>
    <w:rsid w:val="00550BFF"/>
    <w:rsid w:val="00550F90"/>
    <w:rsid w:val="0055136D"/>
    <w:rsid w:val="005519A7"/>
    <w:rsid w:val="00551A1E"/>
    <w:rsid w:val="00551B7C"/>
    <w:rsid w:val="0055206E"/>
    <w:rsid w:val="005520F4"/>
    <w:rsid w:val="00552427"/>
    <w:rsid w:val="0055247C"/>
    <w:rsid w:val="0055254B"/>
    <w:rsid w:val="00552716"/>
    <w:rsid w:val="00552AA3"/>
    <w:rsid w:val="00552EB3"/>
    <w:rsid w:val="00553340"/>
    <w:rsid w:val="005535BD"/>
    <w:rsid w:val="00554410"/>
    <w:rsid w:val="005545A2"/>
    <w:rsid w:val="005545F9"/>
    <w:rsid w:val="00554820"/>
    <w:rsid w:val="00554A37"/>
    <w:rsid w:val="00554B43"/>
    <w:rsid w:val="00554CCC"/>
    <w:rsid w:val="00554F92"/>
    <w:rsid w:val="00554FEC"/>
    <w:rsid w:val="00555713"/>
    <w:rsid w:val="00555932"/>
    <w:rsid w:val="00555A2C"/>
    <w:rsid w:val="00555D94"/>
    <w:rsid w:val="005560CE"/>
    <w:rsid w:val="005561D1"/>
    <w:rsid w:val="005562EC"/>
    <w:rsid w:val="0055640A"/>
    <w:rsid w:val="00556A36"/>
    <w:rsid w:val="00556D66"/>
    <w:rsid w:val="00556E90"/>
    <w:rsid w:val="005571F7"/>
    <w:rsid w:val="00557403"/>
    <w:rsid w:val="005577EB"/>
    <w:rsid w:val="005578B8"/>
    <w:rsid w:val="00557E5E"/>
    <w:rsid w:val="0056004E"/>
    <w:rsid w:val="00560245"/>
    <w:rsid w:val="00560408"/>
    <w:rsid w:val="005605C9"/>
    <w:rsid w:val="005608E4"/>
    <w:rsid w:val="0056093C"/>
    <w:rsid w:val="00560B28"/>
    <w:rsid w:val="00560C50"/>
    <w:rsid w:val="00560C9E"/>
    <w:rsid w:val="00560D85"/>
    <w:rsid w:val="00561264"/>
    <w:rsid w:val="005612DF"/>
    <w:rsid w:val="0056135A"/>
    <w:rsid w:val="00561A2C"/>
    <w:rsid w:val="00561D78"/>
    <w:rsid w:val="005622C9"/>
    <w:rsid w:val="00562740"/>
    <w:rsid w:val="005627DC"/>
    <w:rsid w:val="00562B49"/>
    <w:rsid w:val="00562D85"/>
    <w:rsid w:val="00563198"/>
    <w:rsid w:val="005632A7"/>
    <w:rsid w:val="00563A24"/>
    <w:rsid w:val="00563BCD"/>
    <w:rsid w:val="00563DA3"/>
    <w:rsid w:val="00563ED2"/>
    <w:rsid w:val="00564495"/>
    <w:rsid w:val="0056495C"/>
    <w:rsid w:val="005649EC"/>
    <w:rsid w:val="00564B84"/>
    <w:rsid w:val="00564E04"/>
    <w:rsid w:val="0056519A"/>
    <w:rsid w:val="0056533B"/>
    <w:rsid w:val="005653E0"/>
    <w:rsid w:val="005658B4"/>
    <w:rsid w:val="00565E02"/>
    <w:rsid w:val="00566043"/>
    <w:rsid w:val="00566494"/>
    <w:rsid w:val="00566499"/>
    <w:rsid w:val="00566714"/>
    <w:rsid w:val="00566850"/>
    <w:rsid w:val="00566A61"/>
    <w:rsid w:val="00566CAB"/>
    <w:rsid w:val="00566CB1"/>
    <w:rsid w:val="00567325"/>
    <w:rsid w:val="005678FF"/>
    <w:rsid w:val="00567AFA"/>
    <w:rsid w:val="00567BFB"/>
    <w:rsid w:val="00567D37"/>
    <w:rsid w:val="005705C8"/>
    <w:rsid w:val="0057076D"/>
    <w:rsid w:val="00571108"/>
    <w:rsid w:val="0057187A"/>
    <w:rsid w:val="00571DFD"/>
    <w:rsid w:val="00571F96"/>
    <w:rsid w:val="005722E9"/>
    <w:rsid w:val="005724B9"/>
    <w:rsid w:val="00572790"/>
    <w:rsid w:val="005729F4"/>
    <w:rsid w:val="0057320F"/>
    <w:rsid w:val="0057321C"/>
    <w:rsid w:val="005734BF"/>
    <w:rsid w:val="0057361F"/>
    <w:rsid w:val="00573690"/>
    <w:rsid w:val="00573930"/>
    <w:rsid w:val="00573A04"/>
    <w:rsid w:val="00573B8E"/>
    <w:rsid w:val="00573CDD"/>
    <w:rsid w:val="00573D5E"/>
    <w:rsid w:val="00573E48"/>
    <w:rsid w:val="00573FFF"/>
    <w:rsid w:val="005744BC"/>
    <w:rsid w:val="00574D5C"/>
    <w:rsid w:val="00574EB9"/>
    <w:rsid w:val="0057516C"/>
    <w:rsid w:val="0057561C"/>
    <w:rsid w:val="005759B8"/>
    <w:rsid w:val="00575D57"/>
    <w:rsid w:val="00575D7C"/>
    <w:rsid w:val="00576084"/>
    <w:rsid w:val="0057636B"/>
    <w:rsid w:val="0057691E"/>
    <w:rsid w:val="00577264"/>
    <w:rsid w:val="00577751"/>
    <w:rsid w:val="00577C79"/>
    <w:rsid w:val="00580376"/>
    <w:rsid w:val="005808AB"/>
    <w:rsid w:val="00580B8F"/>
    <w:rsid w:val="00580D1D"/>
    <w:rsid w:val="00580DA8"/>
    <w:rsid w:val="00580DEC"/>
    <w:rsid w:val="00580EF6"/>
    <w:rsid w:val="00580F98"/>
    <w:rsid w:val="005813E7"/>
    <w:rsid w:val="00581874"/>
    <w:rsid w:val="00581A1A"/>
    <w:rsid w:val="00582501"/>
    <w:rsid w:val="00582B94"/>
    <w:rsid w:val="00582E01"/>
    <w:rsid w:val="00583013"/>
    <w:rsid w:val="00583266"/>
    <w:rsid w:val="00583402"/>
    <w:rsid w:val="00583A07"/>
    <w:rsid w:val="00584062"/>
    <w:rsid w:val="00584918"/>
    <w:rsid w:val="00584D26"/>
    <w:rsid w:val="00584DF4"/>
    <w:rsid w:val="005850D4"/>
    <w:rsid w:val="00586F97"/>
    <w:rsid w:val="00587121"/>
    <w:rsid w:val="0058759F"/>
    <w:rsid w:val="00587701"/>
    <w:rsid w:val="005878B5"/>
    <w:rsid w:val="005879D5"/>
    <w:rsid w:val="00587DBC"/>
    <w:rsid w:val="0059031D"/>
    <w:rsid w:val="005908FE"/>
    <w:rsid w:val="00590C4B"/>
    <w:rsid w:val="005910C6"/>
    <w:rsid w:val="00591155"/>
    <w:rsid w:val="005911EC"/>
    <w:rsid w:val="00591336"/>
    <w:rsid w:val="005916C9"/>
    <w:rsid w:val="005917A0"/>
    <w:rsid w:val="00591912"/>
    <w:rsid w:val="00591A42"/>
    <w:rsid w:val="00591DAD"/>
    <w:rsid w:val="005929C0"/>
    <w:rsid w:val="00592ADA"/>
    <w:rsid w:val="00593076"/>
    <w:rsid w:val="005931FE"/>
    <w:rsid w:val="00593517"/>
    <w:rsid w:val="005937EB"/>
    <w:rsid w:val="00593C4F"/>
    <w:rsid w:val="00593E35"/>
    <w:rsid w:val="00593EB2"/>
    <w:rsid w:val="00594351"/>
    <w:rsid w:val="0059467A"/>
    <w:rsid w:val="005946A8"/>
    <w:rsid w:val="005946C4"/>
    <w:rsid w:val="00594DDA"/>
    <w:rsid w:val="00594DF0"/>
    <w:rsid w:val="00595719"/>
    <w:rsid w:val="00595B60"/>
    <w:rsid w:val="00595D25"/>
    <w:rsid w:val="00595DBE"/>
    <w:rsid w:val="0059639E"/>
    <w:rsid w:val="00596461"/>
    <w:rsid w:val="005965ED"/>
    <w:rsid w:val="0059670F"/>
    <w:rsid w:val="00596943"/>
    <w:rsid w:val="00597007"/>
    <w:rsid w:val="005971AA"/>
    <w:rsid w:val="00597458"/>
    <w:rsid w:val="00597493"/>
    <w:rsid w:val="00597D8A"/>
    <w:rsid w:val="005A056A"/>
    <w:rsid w:val="005A1101"/>
    <w:rsid w:val="005A19A0"/>
    <w:rsid w:val="005A1B1D"/>
    <w:rsid w:val="005A1DDB"/>
    <w:rsid w:val="005A1FD8"/>
    <w:rsid w:val="005A200A"/>
    <w:rsid w:val="005A24AA"/>
    <w:rsid w:val="005A27FF"/>
    <w:rsid w:val="005A2AD7"/>
    <w:rsid w:val="005A2D18"/>
    <w:rsid w:val="005A2E42"/>
    <w:rsid w:val="005A3303"/>
    <w:rsid w:val="005A3861"/>
    <w:rsid w:val="005A3E6D"/>
    <w:rsid w:val="005A3FF9"/>
    <w:rsid w:val="005A4407"/>
    <w:rsid w:val="005A4652"/>
    <w:rsid w:val="005A4732"/>
    <w:rsid w:val="005A47C8"/>
    <w:rsid w:val="005A4A7C"/>
    <w:rsid w:val="005A4B35"/>
    <w:rsid w:val="005A4BD6"/>
    <w:rsid w:val="005A4C07"/>
    <w:rsid w:val="005A4EB1"/>
    <w:rsid w:val="005A5611"/>
    <w:rsid w:val="005A5947"/>
    <w:rsid w:val="005A59EF"/>
    <w:rsid w:val="005A5B48"/>
    <w:rsid w:val="005A5BFB"/>
    <w:rsid w:val="005A5D85"/>
    <w:rsid w:val="005A6199"/>
    <w:rsid w:val="005A63EF"/>
    <w:rsid w:val="005A6474"/>
    <w:rsid w:val="005A6EC7"/>
    <w:rsid w:val="005A729B"/>
    <w:rsid w:val="005A7B0C"/>
    <w:rsid w:val="005A7CAD"/>
    <w:rsid w:val="005A7DD3"/>
    <w:rsid w:val="005B0305"/>
    <w:rsid w:val="005B07F1"/>
    <w:rsid w:val="005B0B23"/>
    <w:rsid w:val="005B0B4F"/>
    <w:rsid w:val="005B0CA3"/>
    <w:rsid w:val="005B10B1"/>
    <w:rsid w:val="005B1231"/>
    <w:rsid w:val="005B1C7E"/>
    <w:rsid w:val="005B26E1"/>
    <w:rsid w:val="005B2BEB"/>
    <w:rsid w:val="005B2C1F"/>
    <w:rsid w:val="005B3394"/>
    <w:rsid w:val="005B37D0"/>
    <w:rsid w:val="005B3854"/>
    <w:rsid w:val="005B3D63"/>
    <w:rsid w:val="005B4088"/>
    <w:rsid w:val="005B45D9"/>
    <w:rsid w:val="005B4654"/>
    <w:rsid w:val="005B4C19"/>
    <w:rsid w:val="005B4E8E"/>
    <w:rsid w:val="005B4F77"/>
    <w:rsid w:val="005B51CC"/>
    <w:rsid w:val="005B52BE"/>
    <w:rsid w:val="005B5303"/>
    <w:rsid w:val="005B54DD"/>
    <w:rsid w:val="005B573C"/>
    <w:rsid w:val="005B57A0"/>
    <w:rsid w:val="005B5E04"/>
    <w:rsid w:val="005B6926"/>
    <w:rsid w:val="005B6A99"/>
    <w:rsid w:val="005B75DB"/>
    <w:rsid w:val="005B7A1B"/>
    <w:rsid w:val="005B7C08"/>
    <w:rsid w:val="005B7CC5"/>
    <w:rsid w:val="005B7D20"/>
    <w:rsid w:val="005B7FED"/>
    <w:rsid w:val="005C0016"/>
    <w:rsid w:val="005C095E"/>
    <w:rsid w:val="005C11BC"/>
    <w:rsid w:val="005C12F0"/>
    <w:rsid w:val="005C1895"/>
    <w:rsid w:val="005C1CE0"/>
    <w:rsid w:val="005C1FD3"/>
    <w:rsid w:val="005C20FE"/>
    <w:rsid w:val="005C24E3"/>
    <w:rsid w:val="005C284B"/>
    <w:rsid w:val="005C2A21"/>
    <w:rsid w:val="005C2C85"/>
    <w:rsid w:val="005C3EE9"/>
    <w:rsid w:val="005C416C"/>
    <w:rsid w:val="005C432F"/>
    <w:rsid w:val="005C4524"/>
    <w:rsid w:val="005C4550"/>
    <w:rsid w:val="005C4875"/>
    <w:rsid w:val="005C5388"/>
    <w:rsid w:val="005C554C"/>
    <w:rsid w:val="005C58D8"/>
    <w:rsid w:val="005C5B8D"/>
    <w:rsid w:val="005C5B90"/>
    <w:rsid w:val="005C5DA9"/>
    <w:rsid w:val="005C5DDA"/>
    <w:rsid w:val="005C5FAB"/>
    <w:rsid w:val="005C648A"/>
    <w:rsid w:val="005C65EB"/>
    <w:rsid w:val="005C68B1"/>
    <w:rsid w:val="005C6976"/>
    <w:rsid w:val="005C6D78"/>
    <w:rsid w:val="005C7636"/>
    <w:rsid w:val="005C7679"/>
    <w:rsid w:val="005C7680"/>
    <w:rsid w:val="005C7813"/>
    <w:rsid w:val="005C79AB"/>
    <w:rsid w:val="005C7CA1"/>
    <w:rsid w:val="005C7D96"/>
    <w:rsid w:val="005D019C"/>
    <w:rsid w:val="005D04BF"/>
    <w:rsid w:val="005D04EF"/>
    <w:rsid w:val="005D0606"/>
    <w:rsid w:val="005D08CF"/>
    <w:rsid w:val="005D0A52"/>
    <w:rsid w:val="005D0A57"/>
    <w:rsid w:val="005D2700"/>
    <w:rsid w:val="005D2C61"/>
    <w:rsid w:val="005D2E0F"/>
    <w:rsid w:val="005D2F91"/>
    <w:rsid w:val="005D34C8"/>
    <w:rsid w:val="005D37D5"/>
    <w:rsid w:val="005D442D"/>
    <w:rsid w:val="005D4442"/>
    <w:rsid w:val="005D450F"/>
    <w:rsid w:val="005D46DE"/>
    <w:rsid w:val="005D4BF8"/>
    <w:rsid w:val="005D4EEB"/>
    <w:rsid w:val="005D516E"/>
    <w:rsid w:val="005D521C"/>
    <w:rsid w:val="005D540D"/>
    <w:rsid w:val="005D59A9"/>
    <w:rsid w:val="005D5A03"/>
    <w:rsid w:val="005D5C8B"/>
    <w:rsid w:val="005D64CA"/>
    <w:rsid w:val="005D65E3"/>
    <w:rsid w:val="005D6736"/>
    <w:rsid w:val="005D6749"/>
    <w:rsid w:val="005D682B"/>
    <w:rsid w:val="005D6E1B"/>
    <w:rsid w:val="005D6F51"/>
    <w:rsid w:val="005D7AF1"/>
    <w:rsid w:val="005D7BE2"/>
    <w:rsid w:val="005D7DC1"/>
    <w:rsid w:val="005D7E21"/>
    <w:rsid w:val="005E0CC2"/>
    <w:rsid w:val="005E117C"/>
    <w:rsid w:val="005E1564"/>
    <w:rsid w:val="005E1602"/>
    <w:rsid w:val="005E16C0"/>
    <w:rsid w:val="005E175E"/>
    <w:rsid w:val="005E17C8"/>
    <w:rsid w:val="005E1CEB"/>
    <w:rsid w:val="005E248C"/>
    <w:rsid w:val="005E2C8D"/>
    <w:rsid w:val="005E2F54"/>
    <w:rsid w:val="005E302E"/>
    <w:rsid w:val="005E3071"/>
    <w:rsid w:val="005E3186"/>
    <w:rsid w:val="005E31F1"/>
    <w:rsid w:val="005E357B"/>
    <w:rsid w:val="005E3B91"/>
    <w:rsid w:val="005E402A"/>
    <w:rsid w:val="005E4075"/>
    <w:rsid w:val="005E42D8"/>
    <w:rsid w:val="005E4556"/>
    <w:rsid w:val="005E5354"/>
    <w:rsid w:val="005E55B6"/>
    <w:rsid w:val="005E588E"/>
    <w:rsid w:val="005E58EB"/>
    <w:rsid w:val="005E5A3B"/>
    <w:rsid w:val="005E5CC6"/>
    <w:rsid w:val="005E6159"/>
    <w:rsid w:val="005E64D1"/>
    <w:rsid w:val="005E6500"/>
    <w:rsid w:val="005E6753"/>
    <w:rsid w:val="005E680D"/>
    <w:rsid w:val="005E6E31"/>
    <w:rsid w:val="005E6F8C"/>
    <w:rsid w:val="005E71E7"/>
    <w:rsid w:val="005E736B"/>
    <w:rsid w:val="005E7934"/>
    <w:rsid w:val="005F0A8D"/>
    <w:rsid w:val="005F0B5A"/>
    <w:rsid w:val="005F0F06"/>
    <w:rsid w:val="005F1087"/>
    <w:rsid w:val="005F12A7"/>
    <w:rsid w:val="005F16B0"/>
    <w:rsid w:val="005F18AD"/>
    <w:rsid w:val="005F19E8"/>
    <w:rsid w:val="005F1A84"/>
    <w:rsid w:val="005F1A8B"/>
    <w:rsid w:val="005F1BA7"/>
    <w:rsid w:val="005F2266"/>
    <w:rsid w:val="005F2537"/>
    <w:rsid w:val="005F2699"/>
    <w:rsid w:val="005F2BBC"/>
    <w:rsid w:val="005F30E2"/>
    <w:rsid w:val="005F310E"/>
    <w:rsid w:val="005F3414"/>
    <w:rsid w:val="005F344C"/>
    <w:rsid w:val="005F3600"/>
    <w:rsid w:val="005F3AA4"/>
    <w:rsid w:val="005F3C82"/>
    <w:rsid w:val="005F3F8A"/>
    <w:rsid w:val="005F41F7"/>
    <w:rsid w:val="005F46C2"/>
    <w:rsid w:val="005F4B35"/>
    <w:rsid w:val="005F4DDE"/>
    <w:rsid w:val="005F4E63"/>
    <w:rsid w:val="005F518A"/>
    <w:rsid w:val="005F577B"/>
    <w:rsid w:val="005F5AB3"/>
    <w:rsid w:val="005F5F7A"/>
    <w:rsid w:val="005F60BD"/>
    <w:rsid w:val="005F649C"/>
    <w:rsid w:val="005F6855"/>
    <w:rsid w:val="005F6F41"/>
    <w:rsid w:val="005F6FEC"/>
    <w:rsid w:val="005F7A1E"/>
    <w:rsid w:val="006000D3"/>
    <w:rsid w:val="006005B6"/>
    <w:rsid w:val="00600949"/>
    <w:rsid w:val="00600E90"/>
    <w:rsid w:val="006010FD"/>
    <w:rsid w:val="00601D03"/>
    <w:rsid w:val="00601FAA"/>
    <w:rsid w:val="006026DC"/>
    <w:rsid w:val="00602B77"/>
    <w:rsid w:val="00602C75"/>
    <w:rsid w:val="00602CCF"/>
    <w:rsid w:val="00603539"/>
    <w:rsid w:val="006039BA"/>
    <w:rsid w:val="00603B49"/>
    <w:rsid w:val="00603C90"/>
    <w:rsid w:val="00603E86"/>
    <w:rsid w:val="0060415A"/>
    <w:rsid w:val="0060420C"/>
    <w:rsid w:val="006043A7"/>
    <w:rsid w:val="00604452"/>
    <w:rsid w:val="0060460E"/>
    <w:rsid w:val="00604AD5"/>
    <w:rsid w:val="00604BC4"/>
    <w:rsid w:val="00604C10"/>
    <w:rsid w:val="00604FBB"/>
    <w:rsid w:val="0060555B"/>
    <w:rsid w:val="00605722"/>
    <w:rsid w:val="00605C0B"/>
    <w:rsid w:val="00605CFC"/>
    <w:rsid w:val="00605E4D"/>
    <w:rsid w:val="0060605B"/>
    <w:rsid w:val="0060616F"/>
    <w:rsid w:val="006065F5"/>
    <w:rsid w:val="00606E10"/>
    <w:rsid w:val="006072CB"/>
    <w:rsid w:val="00607A12"/>
    <w:rsid w:val="00610174"/>
    <w:rsid w:val="006105A8"/>
    <w:rsid w:val="006109FF"/>
    <w:rsid w:val="00610D4A"/>
    <w:rsid w:val="00611079"/>
    <w:rsid w:val="006111B6"/>
    <w:rsid w:val="00611295"/>
    <w:rsid w:val="006114B5"/>
    <w:rsid w:val="0061171E"/>
    <w:rsid w:val="00611F24"/>
    <w:rsid w:val="00612100"/>
    <w:rsid w:val="0061213D"/>
    <w:rsid w:val="006122C5"/>
    <w:rsid w:val="006129BF"/>
    <w:rsid w:val="00612A31"/>
    <w:rsid w:val="00613316"/>
    <w:rsid w:val="00613439"/>
    <w:rsid w:val="00613495"/>
    <w:rsid w:val="00613841"/>
    <w:rsid w:val="00613CC4"/>
    <w:rsid w:val="00613D8B"/>
    <w:rsid w:val="006140E4"/>
    <w:rsid w:val="0061427C"/>
    <w:rsid w:val="00614356"/>
    <w:rsid w:val="00614745"/>
    <w:rsid w:val="006147F3"/>
    <w:rsid w:val="00614B9B"/>
    <w:rsid w:val="00615325"/>
    <w:rsid w:val="00615AE4"/>
    <w:rsid w:val="00615B25"/>
    <w:rsid w:val="00615B58"/>
    <w:rsid w:val="00615BA7"/>
    <w:rsid w:val="0061657F"/>
    <w:rsid w:val="00616B4D"/>
    <w:rsid w:val="00616D73"/>
    <w:rsid w:val="00616D9F"/>
    <w:rsid w:val="00616E5B"/>
    <w:rsid w:val="00617031"/>
    <w:rsid w:val="00617119"/>
    <w:rsid w:val="006171A2"/>
    <w:rsid w:val="006172EA"/>
    <w:rsid w:val="0061758A"/>
    <w:rsid w:val="0061773B"/>
    <w:rsid w:val="006178BD"/>
    <w:rsid w:val="00617BB5"/>
    <w:rsid w:val="00617C4E"/>
    <w:rsid w:val="00617F30"/>
    <w:rsid w:val="0062037A"/>
    <w:rsid w:val="00620498"/>
    <w:rsid w:val="00620639"/>
    <w:rsid w:val="00620775"/>
    <w:rsid w:val="00620FBC"/>
    <w:rsid w:val="0062114C"/>
    <w:rsid w:val="0062187D"/>
    <w:rsid w:val="006218B7"/>
    <w:rsid w:val="00621968"/>
    <w:rsid w:val="006219B6"/>
    <w:rsid w:val="006219BD"/>
    <w:rsid w:val="00621EC6"/>
    <w:rsid w:val="00622119"/>
    <w:rsid w:val="006221E4"/>
    <w:rsid w:val="0062238F"/>
    <w:rsid w:val="006224B9"/>
    <w:rsid w:val="00622A22"/>
    <w:rsid w:val="0062331F"/>
    <w:rsid w:val="006236A4"/>
    <w:rsid w:val="0062370D"/>
    <w:rsid w:val="00623A93"/>
    <w:rsid w:val="00624365"/>
    <w:rsid w:val="00624BF3"/>
    <w:rsid w:val="00624FEE"/>
    <w:rsid w:val="0062546F"/>
    <w:rsid w:val="006258C5"/>
    <w:rsid w:val="00625C18"/>
    <w:rsid w:val="00625C9E"/>
    <w:rsid w:val="00625D21"/>
    <w:rsid w:val="00625DC6"/>
    <w:rsid w:val="00625E8F"/>
    <w:rsid w:val="00625F80"/>
    <w:rsid w:val="006262E1"/>
    <w:rsid w:val="00626A26"/>
    <w:rsid w:val="00626D40"/>
    <w:rsid w:val="00626EB0"/>
    <w:rsid w:val="006270B4"/>
    <w:rsid w:val="006275FF"/>
    <w:rsid w:val="00627691"/>
    <w:rsid w:val="0062796A"/>
    <w:rsid w:val="00627A5D"/>
    <w:rsid w:val="00627B5C"/>
    <w:rsid w:val="00627CBB"/>
    <w:rsid w:val="00630432"/>
    <w:rsid w:val="006304DF"/>
    <w:rsid w:val="006306BA"/>
    <w:rsid w:val="006313E1"/>
    <w:rsid w:val="0063165F"/>
    <w:rsid w:val="006317E0"/>
    <w:rsid w:val="00632373"/>
    <w:rsid w:val="00632428"/>
    <w:rsid w:val="006325C5"/>
    <w:rsid w:val="0063298E"/>
    <w:rsid w:val="006329CF"/>
    <w:rsid w:val="00632C56"/>
    <w:rsid w:val="00632D75"/>
    <w:rsid w:val="00632E98"/>
    <w:rsid w:val="00632F48"/>
    <w:rsid w:val="00633270"/>
    <w:rsid w:val="00633745"/>
    <w:rsid w:val="00633864"/>
    <w:rsid w:val="00634754"/>
    <w:rsid w:val="006347B5"/>
    <w:rsid w:val="00634924"/>
    <w:rsid w:val="0063498E"/>
    <w:rsid w:val="0063506E"/>
    <w:rsid w:val="0063558B"/>
    <w:rsid w:val="0063582A"/>
    <w:rsid w:val="00635A35"/>
    <w:rsid w:val="00635BDF"/>
    <w:rsid w:val="006364D7"/>
    <w:rsid w:val="0063658B"/>
    <w:rsid w:val="00636686"/>
    <w:rsid w:val="006366EE"/>
    <w:rsid w:val="006368D3"/>
    <w:rsid w:val="0063694F"/>
    <w:rsid w:val="00637208"/>
    <w:rsid w:val="00637A07"/>
    <w:rsid w:val="00637A3F"/>
    <w:rsid w:val="00637AA2"/>
    <w:rsid w:val="006402F0"/>
    <w:rsid w:val="00640370"/>
    <w:rsid w:val="0064046C"/>
    <w:rsid w:val="006405AE"/>
    <w:rsid w:val="00640802"/>
    <w:rsid w:val="006409BD"/>
    <w:rsid w:val="00640DA9"/>
    <w:rsid w:val="00641036"/>
    <w:rsid w:val="006417A3"/>
    <w:rsid w:val="006418D4"/>
    <w:rsid w:val="00641DBA"/>
    <w:rsid w:val="00642491"/>
    <w:rsid w:val="00642564"/>
    <w:rsid w:val="00643000"/>
    <w:rsid w:val="00643376"/>
    <w:rsid w:val="006433AE"/>
    <w:rsid w:val="006437F5"/>
    <w:rsid w:val="0064391D"/>
    <w:rsid w:val="00643D38"/>
    <w:rsid w:val="00643EB9"/>
    <w:rsid w:val="006443CE"/>
    <w:rsid w:val="00644618"/>
    <w:rsid w:val="0064489C"/>
    <w:rsid w:val="006449CB"/>
    <w:rsid w:val="00644A7D"/>
    <w:rsid w:val="00644FF0"/>
    <w:rsid w:val="006451AE"/>
    <w:rsid w:val="006451E3"/>
    <w:rsid w:val="006453D1"/>
    <w:rsid w:val="006456F9"/>
    <w:rsid w:val="00645C1D"/>
    <w:rsid w:val="00645C6E"/>
    <w:rsid w:val="00645E3D"/>
    <w:rsid w:val="0064641F"/>
    <w:rsid w:val="00646678"/>
    <w:rsid w:val="00646AD4"/>
    <w:rsid w:val="0064712C"/>
    <w:rsid w:val="00647358"/>
    <w:rsid w:val="00647550"/>
    <w:rsid w:val="006475AB"/>
    <w:rsid w:val="006476F1"/>
    <w:rsid w:val="00647C3C"/>
    <w:rsid w:val="00647E07"/>
    <w:rsid w:val="006505E9"/>
    <w:rsid w:val="006506FA"/>
    <w:rsid w:val="00650727"/>
    <w:rsid w:val="006508C3"/>
    <w:rsid w:val="00650CE3"/>
    <w:rsid w:val="006510F5"/>
    <w:rsid w:val="00651520"/>
    <w:rsid w:val="0065155D"/>
    <w:rsid w:val="00651821"/>
    <w:rsid w:val="00651A07"/>
    <w:rsid w:val="00651EE1"/>
    <w:rsid w:val="00652391"/>
    <w:rsid w:val="00652988"/>
    <w:rsid w:val="006529F2"/>
    <w:rsid w:val="00652B4C"/>
    <w:rsid w:val="00652ED8"/>
    <w:rsid w:val="006538FB"/>
    <w:rsid w:val="00653AE7"/>
    <w:rsid w:val="00653BF0"/>
    <w:rsid w:val="00653C52"/>
    <w:rsid w:val="00654384"/>
    <w:rsid w:val="00654B01"/>
    <w:rsid w:val="00654B22"/>
    <w:rsid w:val="0065534F"/>
    <w:rsid w:val="0065562B"/>
    <w:rsid w:val="0065569F"/>
    <w:rsid w:val="00655A35"/>
    <w:rsid w:val="00655C87"/>
    <w:rsid w:val="0065607F"/>
    <w:rsid w:val="00656247"/>
    <w:rsid w:val="00656483"/>
    <w:rsid w:val="0065675B"/>
    <w:rsid w:val="0065685F"/>
    <w:rsid w:val="00656883"/>
    <w:rsid w:val="00656D69"/>
    <w:rsid w:val="006575B3"/>
    <w:rsid w:val="00657771"/>
    <w:rsid w:val="00657824"/>
    <w:rsid w:val="00660257"/>
    <w:rsid w:val="00660510"/>
    <w:rsid w:val="00660569"/>
    <w:rsid w:val="0066081E"/>
    <w:rsid w:val="00660CEE"/>
    <w:rsid w:val="00661345"/>
    <w:rsid w:val="006614B3"/>
    <w:rsid w:val="006619BE"/>
    <w:rsid w:val="00661ACD"/>
    <w:rsid w:val="00661B11"/>
    <w:rsid w:val="00662779"/>
    <w:rsid w:val="00662EC0"/>
    <w:rsid w:val="00662F2B"/>
    <w:rsid w:val="0066311A"/>
    <w:rsid w:val="0066339D"/>
    <w:rsid w:val="006636E0"/>
    <w:rsid w:val="00663900"/>
    <w:rsid w:val="006646B2"/>
    <w:rsid w:val="00664A56"/>
    <w:rsid w:val="006651B4"/>
    <w:rsid w:val="006653B6"/>
    <w:rsid w:val="0066579B"/>
    <w:rsid w:val="00665C25"/>
    <w:rsid w:val="0066610C"/>
    <w:rsid w:val="006661CA"/>
    <w:rsid w:val="00666233"/>
    <w:rsid w:val="00666416"/>
    <w:rsid w:val="006666A6"/>
    <w:rsid w:val="00666843"/>
    <w:rsid w:val="006668B1"/>
    <w:rsid w:val="00666B06"/>
    <w:rsid w:val="00666F71"/>
    <w:rsid w:val="00666F8C"/>
    <w:rsid w:val="006675CD"/>
    <w:rsid w:val="00667B72"/>
    <w:rsid w:val="00667F60"/>
    <w:rsid w:val="0067013D"/>
    <w:rsid w:val="00670159"/>
    <w:rsid w:val="006701D5"/>
    <w:rsid w:val="00670401"/>
    <w:rsid w:val="006708E8"/>
    <w:rsid w:val="00670B37"/>
    <w:rsid w:val="00670C55"/>
    <w:rsid w:val="00670C8D"/>
    <w:rsid w:val="00670D53"/>
    <w:rsid w:val="00670DB9"/>
    <w:rsid w:val="00670F25"/>
    <w:rsid w:val="006712CA"/>
    <w:rsid w:val="0067177A"/>
    <w:rsid w:val="00671A53"/>
    <w:rsid w:val="00671BDC"/>
    <w:rsid w:val="00671D8C"/>
    <w:rsid w:val="00671ED7"/>
    <w:rsid w:val="006721A5"/>
    <w:rsid w:val="0067264B"/>
    <w:rsid w:val="00672A71"/>
    <w:rsid w:val="00672D6A"/>
    <w:rsid w:val="0067359C"/>
    <w:rsid w:val="006738AB"/>
    <w:rsid w:val="0067406A"/>
    <w:rsid w:val="00674237"/>
    <w:rsid w:val="006745F9"/>
    <w:rsid w:val="0067470F"/>
    <w:rsid w:val="00674939"/>
    <w:rsid w:val="006749CA"/>
    <w:rsid w:val="00674D22"/>
    <w:rsid w:val="0067523A"/>
    <w:rsid w:val="006755FC"/>
    <w:rsid w:val="00675628"/>
    <w:rsid w:val="00675920"/>
    <w:rsid w:val="00675938"/>
    <w:rsid w:val="006759BB"/>
    <w:rsid w:val="00675FBE"/>
    <w:rsid w:val="00676B63"/>
    <w:rsid w:val="00676C0B"/>
    <w:rsid w:val="00676E74"/>
    <w:rsid w:val="00676EC7"/>
    <w:rsid w:val="0067742F"/>
    <w:rsid w:val="00677434"/>
    <w:rsid w:val="00677834"/>
    <w:rsid w:val="00677E32"/>
    <w:rsid w:val="00680199"/>
    <w:rsid w:val="0068032F"/>
    <w:rsid w:val="006804D7"/>
    <w:rsid w:val="006805AA"/>
    <w:rsid w:val="00680834"/>
    <w:rsid w:val="0068097D"/>
    <w:rsid w:val="00680EEB"/>
    <w:rsid w:val="00680F3D"/>
    <w:rsid w:val="00681370"/>
    <w:rsid w:val="006814D1"/>
    <w:rsid w:val="00681603"/>
    <w:rsid w:val="00681973"/>
    <w:rsid w:val="00681AB2"/>
    <w:rsid w:val="00681B4A"/>
    <w:rsid w:val="00681E8A"/>
    <w:rsid w:val="00681F94"/>
    <w:rsid w:val="00682175"/>
    <w:rsid w:val="00682D93"/>
    <w:rsid w:val="006833EC"/>
    <w:rsid w:val="006835E1"/>
    <w:rsid w:val="00683629"/>
    <w:rsid w:val="006836E2"/>
    <w:rsid w:val="00683B66"/>
    <w:rsid w:val="00684347"/>
    <w:rsid w:val="006846B9"/>
    <w:rsid w:val="00684D9B"/>
    <w:rsid w:val="00684EEE"/>
    <w:rsid w:val="006854B5"/>
    <w:rsid w:val="00685948"/>
    <w:rsid w:val="00685A85"/>
    <w:rsid w:val="0068601B"/>
    <w:rsid w:val="006863D3"/>
    <w:rsid w:val="006865E7"/>
    <w:rsid w:val="00686CB7"/>
    <w:rsid w:val="00687734"/>
    <w:rsid w:val="00687797"/>
    <w:rsid w:val="00687D1B"/>
    <w:rsid w:val="00687EDB"/>
    <w:rsid w:val="006902F5"/>
    <w:rsid w:val="006903D3"/>
    <w:rsid w:val="0069073A"/>
    <w:rsid w:val="00690C47"/>
    <w:rsid w:val="0069100D"/>
    <w:rsid w:val="00691803"/>
    <w:rsid w:val="006918D9"/>
    <w:rsid w:val="0069195C"/>
    <w:rsid w:val="006919D9"/>
    <w:rsid w:val="00691AC1"/>
    <w:rsid w:val="00691DC7"/>
    <w:rsid w:val="00692050"/>
    <w:rsid w:val="006922E0"/>
    <w:rsid w:val="00692779"/>
    <w:rsid w:val="00692B4F"/>
    <w:rsid w:val="00692E0B"/>
    <w:rsid w:val="00692FF0"/>
    <w:rsid w:val="006932B4"/>
    <w:rsid w:val="00693447"/>
    <w:rsid w:val="006936E5"/>
    <w:rsid w:val="00693E44"/>
    <w:rsid w:val="00693F59"/>
    <w:rsid w:val="00694077"/>
    <w:rsid w:val="0069414C"/>
    <w:rsid w:val="00694154"/>
    <w:rsid w:val="006947BC"/>
    <w:rsid w:val="00694823"/>
    <w:rsid w:val="00694A96"/>
    <w:rsid w:val="00694E8F"/>
    <w:rsid w:val="006950F1"/>
    <w:rsid w:val="0069558D"/>
    <w:rsid w:val="0069565C"/>
    <w:rsid w:val="006958AE"/>
    <w:rsid w:val="00695A96"/>
    <w:rsid w:val="00695B54"/>
    <w:rsid w:val="00695B63"/>
    <w:rsid w:val="00695C41"/>
    <w:rsid w:val="00695D1A"/>
    <w:rsid w:val="00695F4E"/>
    <w:rsid w:val="00697252"/>
    <w:rsid w:val="006974FB"/>
    <w:rsid w:val="00697556"/>
    <w:rsid w:val="00697B96"/>
    <w:rsid w:val="00697D22"/>
    <w:rsid w:val="006A0ED2"/>
    <w:rsid w:val="006A1216"/>
    <w:rsid w:val="006A1442"/>
    <w:rsid w:val="006A14A5"/>
    <w:rsid w:val="006A150D"/>
    <w:rsid w:val="006A1519"/>
    <w:rsid w:val="006A15CB"/>
    <w:rsid w:val="006A1696"/>
    <w:rsid w:val="006A2022"/>
    <w:rsid w:val="006A236B"/>
    <w:rsid w:val="006A2995"/>
    <w:rsid w:val="006A29A0"/>
    <w:rsid w:val="006A2A0E"/>
    <w:rsid w:val="006A2AE6"/>
    <w:rsid w:val="006A2DDF"/>
    <w:rsid w:val="006A31ED"/>
    <w:rsid w:val="006A388F"/>
    <w:rsid w:val="006A3D1A"/>
    <w:rsid w:val="006A4058"/>
    <w:rsid w:val="006A4325"/>
    <w:rsid w:val="006A4364"/>
    <w:rsid w:val="006A4486"/>
    <w:rsid w:val="006A4D66"/>
    <w:rsid w:val="006A552B"/>
    <w:rsid w:val="006A5695"/>
    <w:rsid w:val="006A576F"/>
    <w:rsid w:val="006A597A"/>
    <w:rsid w:val="006A597D"/>
    <w:rsid w:val="006A5EDE"/>
    <w:rsid w:val="006A65EA"/>
    <w:rsid w:val="006A673E"/>
    <w:rsid w:val="006A67FC"/>
    <w:rsid w:val="006A6CF5"/>
    <w:rsid w:val="006A7C3B"/>
    <w:rsid w:val="006A7C84"/>
    <w:rsid w:val="006B00BA"/>
    <w:rsid w:val="006B0313"/>
    <w:rsid w:val="006B03FE"/>
    <w:rsid w:val="006B0B1A"/>
    <w:rsid w:val="006B0C9C"/>
    <w:rsid w:val="006B0FC9"/>
    <w:rsid w:val="006B1CF3"/>
    <w:rsid w:val="006B21D1"/>
    <w:rsid w:val="006B221B"/>
    <w:rsid w:val="006B231B"/>
    <w:rsid w:val="006B2FF3"/>
    <w:rsid w:val="006B3C69"/>
    <w:rsid w:val="006B447F"/>
    <w:rsid w:val="006B4639"/>
    <w:rsid w:val="006B4647"/>
    <w:rsid w:val="006B4A88"/>
    <w:rsid w:val="006B4C2B"/>
    <w:rsid w:val="006B539D"/>
    <w:rsid w:val="006B550B"/>
    <w:rsid w:val="006B5E80"/>
    <w:rsid w:val="006B6194"/>
    <w:rsid w:val="006B6D47"/>
    <w:rsid w:val="006B6DB2"/>
    <w:rsid w:val="006B738E"/>
    <w:rsid w:val="006B7A12"/>
    <w:rsid w:val="006B7D00"/>
    <w:rsid w:val="006B7D68"/>
    <w:rsid w:val="006B7DF6"/>
    <w:rsid w:val="006C0138"/>
    <w:rsid w:val="006C02EE"/>
    <w:rsid w:val="006C052B"/>
    <w:rsid w:val="006C0641"/>
    <w:rsid w:val="006C09D3"/>
    <w:rsid w:val="006C10A0"/>
    <w:rsid w:val="006C128A"/>
    <w:rsid w:val="006C1346"/>
    <w:rsid w:val="006C1563"/>
    <w:rsid w:val="006C18E3"/>
    <w:rsid w:val="006C1CBD"/>
    <w:rsid w:val="006C1D6A"/>
    <w:rsid w:val="006C20EE"/>
    <w:rsid w:val="006C22A6"/>
    <w:rsid w:val="006C2478"/>
    <w:rsid w:val="006C2641"/>
    <w:rsid w:val="006C2891"/>
    <w:rsid w:val="006C2EF1"/>
    <w:rsid w:val="006C384C"/>
    <w:rsid w:val="006C3C15"/>
    <w:rsid w:val="006C3C97"/>
    <w:rsid w:val="006C48C0"/>
    <w:rsid w:val="006C4BF2"/>
    <w:rsid w:val="006C4E28"/>
    <w:rsid w:val="006C5473"/>
    <w:rsid w:val="006C57A1"/>
    <w:rsid w:val="006C597E"/>
    <w:rsid w:val="006C59BA"/>
    <w:rsid w:val="006C5AFE"/>
    <w:rsid w:val="006C5CAC"/>
    <w:rsid w:val="006C61EB"/>
    <w:rsid w:val="006C63AA"/>
    <w:rsid w:val="006C6564"/>
    <w:rsid w:val="006C6988"/>
    <w:rsid w:val="006C6BB5"/>
    <w:rsid w:val="006C7152"/>
    <w:rsid w:val="006C72A6"/>
    <w:rsid w:val="006C74B1"/>
    <w:rsid w:val="006C7B27"/>
    <w:rsid w:val="006C7C2F"/>
    <w:rsid w:val="006D0370"/>
    <w:rsid w:val="006D047A"/>
    <w:rsid w:val="006D0604"/>
    <w:rsid w:val="006D067E"/>
    <w:rsid w:val="006D072B"/>
    <w:rsid w:val="006D0954"/>
    <w:rsid w:val="006D0ACA"/>
    <w:rsid w:val="006D0BE3"/>
    <w:rsid w:val="006D0EB2"/>
    <w:rsid w:val="006D1045"/>
    <w:rsid w:val="006D1125"/>
    <w:rsid w:val="006D1138"/>
    <w:rsid w:val="006D1524"/>
    <w:rsid w:val="006D15EB"/>
    <w:rsid w:val="006D175D"/>
    <w:rsid w:val="006D1BE9"/>
    <w:rsid w:val="006D2417"/>
    <w:rsid w:val="006D26F7"/>
    <w:rsid w:val="006D280B"/>
    <w:rsid w:val="006D2F02"/>
    <w:rsid w:val="006D3042"/>
    <w:rsid w:val="006D32BA"/>
    <w:rsid w:val="006D33D6"/>
    <w:rsid w:val="006D37A9"/>
    <w:rsid w:val="006D38ED"/>
    <w:rsid w:val="006D3CA0"/>
    <w:rsid w:val="006D3F29"/>
    <w:rsid w:val="006D4343"/>
    <w:rsid w:val="006D4353"/>
    <w:rsid w:val="006D493D"/>
    <w:rsid w:val="006D4CF7"/>
    <w:rsid w:val="006D54F5"/>
    <w:rsid w:val="006D5C28"/>
    <w:rsid w:val="006D5E24"/>
    <w:rsid w:val="006D6003"/>
    <w:rsid w:val="006D66A1"/>
    <w:rsid w:val="006D6998"/>
    <w:rsid w:val="006D6AB6"/>
    <w:rsid w:val="006D6B9F"/>
    <w:rsid w:val="006D7124"/>
    <w:rsid w:val="006D71D8"/>
    <w:rsid w:val="006D736D"/>
    <w:rsid w:val="006D773E"/>
    <w:rsid w:val="006D7D7F"/>
    <w:rsid w:val="006D7D89"/>
    <w:rsid w:val="006E0049"/>
    <w:rsid w:val="006E09CA"/>
    <w:rsid w:val="006E0CAD"/>
    <w:rsid w:val="006E0D50"/>
    <w:rsid w:val="006E0E9F"/>
    <w:rsid w:val="006E0EA8"/>
    <w:rsid w:val="006E0FC1"/>
    <w:rsid w:val="006E14CF"/>
    <w:rsid w:val="006E194F"/>
    <w:rsid w:val="006E1CFC"/>
    <w:rsid w:val="006E210A"/>
    <w:rsid w:val="006E2408"/>
    <w:rsid w:val="006E24A5"/>
    <w:rsid w:val="006E2571"/>
    <w:rsid w:val="006E2779"/>
    <w:rsid w:val="006E27E3"/>
    <w:rsid w:val="006E2951"/>
    <w:rsid w:val="006E2A81"/>
    <w:rsid w:val="006E2DE3"/>
    <w:rsid w:val="006E34DD"/>
    <w:rsid w:val="006E34FF"/>
    <w:rsid w:val="006E3A5B"/>
    <w:rsid w:val="006E3C2E"/>
    <w:rsid w:val="006E3C3E"/>
    <w:rsid w:val="006E3D12"/>
    <w:rsid w:val="006E403F"/>
    <w:rsid w:val="006E4463"/>
    <w:rsid w:val="006E45F7"/>
    <w:rsid w:val="006E50BB"/>
    <w:rsid w:val="006E5174"/>
    <w:rsid w:val="006E5293"/>
    <w:rsid w:val="006E5744"/>
    <w:rsid w:val="006E5EB9"/>
    <w:rsid w:val="006E62A0"/>
    <w:rsid w:val="006E657F"/>
    <w:rsid w:val="006E6949"/>
    <w:rsid w:val="006E6E87"/>
    <w:rsid w:val="006E71BE"/>
    <w:rsid w:val="006E7380"/>
    <w:rsid w:val="006E75BE"/>
    <w:rsid w:val="006E792E"/>
    <w:rsid w:val="006E7B06"/>
    <w:rsid w:val="006E7EC4"/>
    <w:rsid w:val="006E7F1D"/>
    <w:rsid w:val="006F0592"/>
    <w:rsid w:val="006F08A9"/>
    <w:rsid w:val="006F0FE7"/>
    <w:rsid w:val="006F10E0"/>
    <w:rsid w:val="006F144B"/>
    <w:rsid w:val="006F14F4"/>
    <w:rsid w:val="006F15F6"/>
    <w:rsid w:val="006F168B"/>
    <w:rsid w:val="006F18B7"/>
    <w:rsid w:val="006F19C0"/>
    <w:rsid w:val="006F1C13"/>
    <w:rsid w:val="006F1C4F"/>
    <w:rsid w:val="006F1FCC"/>
    <w:rsid w:val="006F2165"/>
    <w:rsid w:val="006F246D"/>
    <w:rsid w:val="006F24C6"/>
    <w:rsid w:val="006F2632"/>
    <w:rsid w:val="006F2AE7"/>
    <w:rsid w:val="006F2D84"/>
    <w:rsid w:val="006F2F32"/>
    <w:rsid w:val="006F39F3"/>
    <w:rsid w:val="006F3BD5"/>
    <w:rsid w:val="006F41C5"/>
    <w:rsid w:val="006F42D4"/>
    <w:rsid w:val="006F45CD"/>
    <w:rsid w:val="006F4930"/>
    <w:rsid w:val="006F4B94"/>
    <w:rsid w:val="006F4CF8"/>
    <w:rsid w:val="006F4D33"/>
    <w:rsid w:val="006F4EBA"/>
    <w:rsid w:val="006F591B"/>
    <w:rsid w:val="006F5EDC"/>
    <w:rsid w:val="006F5F8C"/>
    <w:rsid w:val="006F6129"/>
    <w:rsid w:val="006F6204"/>
    <w:rsid w:val="006F6AAE"/>
    <w:rsid w:val="006F6D95"/>
    <w:rsid w:val="006F6EA0"/>
    <w:rsid w:val="006F711B"/>
    <w:rsid w:val="006F75E8"/>
    <w:rsid w:val="006F796B"/>
    <w:rsid w:val="006F7B8C"/>
    <w:rsid w:val="006F7DCF"/>
    <w:rsid w:val="007001CE"/>
    <w:rsid w:val="007003D0"/>
    <w:rsid w:val="00700966"/>
    <w:rsid w:val="00700CAD"/>
    <w:rsid w:val="00701556"/>
    <w:rsid w:val="00701611"/>
    <w:rsid w:val="007018B4"/>
    <w:rsid w:val="00701DB9"/>
    <w:rsid w:val="0070233F"/>
    <w:rsid w:val="0070263F"/>
    <w:rsid w:val="007028FF"/>
    <w:rsid w:val="00702A20"/>
    <w:rsid w:val="00702F49"/>
    <w:rsid w:val="00703063"/>
    <w:rsid w:val="007030E3"/>
    <w:rsid w:val="00703B93"/>
    <w:rsid w:val="00703CCE"/>
    <w:rsid w:val="0070472C"/>
    <w:rsid w:val="00704888"/>
    <w:rsid w:val="00705083"/>
    <w:rsid w:val="00705187"/>
    <w:rsid w:val="0070537A"/>
    <w:rsid w:val="007054F4"/>
    <w:rsid w:val="0070557D"/>
    <w:rsid w:val="00705858"/>
    <w:rsid w:val="007059DD"/>
    <w:rsid w:val="00705A6C"/>
    <w:rsid w:val="00705AF5"/>
    <w:rsid w:val="00706AF4"/>
    <w:rsid w:val="00706B92"/>
    <w:rsid w:val="00706F0A"/>
    <w:rsid w:val="00706F13"/>
    <w:rsid w:val="00706F5C"/>
    <w:rsid w:val="007072A3"/>
    <w:rsid w:val="007072DB"/>
    <w:rsid w:val="007072E8"/>
    <w:rsid w:val="0070736F"/>
    <w:rsid w:val="00707909"/>
    <w:rsid w:val="00707AC4"/>
    <w:rsid w:val="00707C5D"/>
    <w:rsid w:val="0071011C"/>
    <w:rsid w:val="007106FF"/>
    <w:rsid w:val="007107C8"/>
    <w:rsid w:val="00710A3E"/>
    <w:rsid w:val="00710DE2"/>
    <w:rsid w:val="00711278"/>
    <w:rsid w:val="0071127B"/>
    <w:rsid w:val="00711428"/>
    <w:rsid w:val="00711C0B"/>
    <w:rsid w:val="00712086"/>
    <w:rsid w:val="00712A6F"/>
    <w:rsid w:val="00712B19"/>
    <w:rsid w:val="00713589"/>
    <w:rsid w:val="007135A2"/>
    <w:rsid w:val="007137C4"/>
    <w:rsid w:val="00713DA8"/>
    <w:rsid w:val="00713F6E"/>
    <w:rsid w:val="0071425D"/>
    <w:rsid w:val="00714290"/>
    <w:rsid w:val="007142AE"/>
    <w:rsid w:val="00714779"/>
    <w:rsid w:val="00714AF6"/>
    <w:rsid w:val="00714B0D"/>
    <w:rsid w:val="00714C78"/>
    <w:rsid w:val="007155AF"/>
    <w:rsid w:val="0071562D"/>
    <w:rsid w:val="00715770"/>
    <w:rsid w:val="0071596B"/>
    <w:rsid w:val="00715994"/>
    <w:rsid w:val="00715D46"/>
    <w:rsid w:val="0071618D"/>
    <w:rsid w:val="0071634E"/>
    <w:rsid w:val="00717076"/>
    <w:rsid w:val="0071731A"/>
    <w:rsid w:val="00717959"/>
    <w:rsid w:val="00717992"/>
    <w:rsid w:val="00717B24"/>
    <w:rsid w:val="00720064"/>
    <w:rsid w:val="007200C7"/>
    <w:rsid w:val="0072028D"/>
    <w:rsid w:val="007202AB"/>
    <w:rsid w:val="007204EA"/>
    <w:rsid w:val="0072051E"/>
    <w:rsid w:val="007207AE"/>
    <w:rsid w:val="007214A6"/>
    <w:rsid w:val="0072186C"/>
    <w:rsid w:val="00721C9A"/>
    <w:rsid w:val="00721CD5"/>
    <w:rsid w:val="00721D1B"/>
    <w:rsid w:val="00721DE3"/>
    <w:rsid w:val="00722035"/>
    <w:rsid w:val="007226A2"/>
    <w:rsid w:val="0072270B"/>
    <w:rsid w:val="00722856"/>
    <w:rsid w:val="007228A4"/>
    <w:rsid w:val="00722D97"/>
    <w:rsid w:val="007231D0"/>
    <w:rsid w:val="007235A2"/>
    <w:rsid w:val="00723A48"/>
    <w:rsid w:val="00724B28"/>
    <w:rsid w:val="00724E59"/>
    <w:rsid w:val="00724F48"/>
    <w:rsid w:val="007254DD"/>
    <w:rsid w:val="007256F0"/>
    <w:rsid w:val="0072587D"/>
    <w:rsid w:val="007258DE"/>
    <w:rsid w:val="00725E33"/>
    <w:rsid w:val="00725E7A"/>
    <w:rsid w:val="00725EB3"/>
    <w:rsid w:val="00725FA4"/>
    <w:rsid w:val="007260EE"/>
    <w:rsid w:val="00726170"/>
    <w:rsid w:val="0072663B"/>
    <w:rsid w:val="00726944"/>
    <w:rsid w:val="00726A95"/>
    <w:rsid w:val="00726BF1"/>
    <w:rsid w:val="00727334"/>
    <w:rsid w:val="007277B9"/>
    <w:rsid w:val="007277FA"/>
    <w:rsid w:val="0072782B"/>
    <w:rsid w:val="00727A64"/>
    <w:rsid w:val="00727D85"/>
    <w:rsid w:val="00730567"/>
    <w:rsid w:val="0073078D"/>
    <w:rsid w:val="00731186"/>
    <w:rsid w:val="00731211"/>
    <w:rsid w:val="007313C6"/>
    <w:rsid w:val="00731B3B"/>
    <w:rsid w:val="00731F92"/>
    <w:rsid w:val="00732476"/>
    <w:rsid w:val="0073351D"/>
    <w:rsid w:val="00733627"/>
    <w:rsid w:val="0073381D"/>
    <w:rsid w:val="007339BA"/>
    <w:rsid w:val="007341F0"/>
    <w:rsid w:val="00734888"/>
    <w:rsid w:val="00734A34"/>
    <w:rsid w:val="00734CDA"/>
    <w:rsid w:val="007354E9"/>
    <w:rsid w:val="007354FD"/>
    <w:rsid w:val="00735560"/>
    <w:rsid w:val="0073630D"/>
    <w:rsid w:val="007363D7"/>
    <w:rsid w:val="00736E61"/>
    <w:rsid w:val="00736FBC"/>
    <w:rsid w:val="00737178"/>
    <w:rsid w:val="0073770C"/>
    <w:rsid w:val="0073794E"/>
    <w:rsid w:val="00737BCE"/>
    <w:rsid w:val="00737DFB"/>
    <w:rsid w:val="007400DA"/>
    <w:rsid w:val="0074018D"/>
    <w:rsid w:val="00740446"/>
    <w:rsid w:val="00740954"/>
    <w:rsid w:val="00740D6C"/>
    <w:rsid w:val="00741336"/>
    <w:rsid w:val="0074172C"/>
    <w:rsid w:val="0074175F"/>
    <w:rsid w:val="00741BCA"/>
    <w:rsid w:val="00741C0D"/>
    <w:rsid w:val="00741D72"/>
    <w:rsid w:val="00741E4D"/>
    <w:rsid w:val="00741F51"/>
    <w:rsid w:val="00742045"/>
    <w:rsid w:val="00742148"/>
    <w:rsid w:val="0074244C"/>
    <w:rsid w:val="0074287E"/>
    <w:rsid w:val="00742BE6"/>
    <w:rsid w:val="00742DE0"/>
    <w:rsid w:val="00742E4D"/>
    <w:rsid w:val="007430ED"/>
    <w:rsid w:val="00743124"/>
    <w:rsid w:val="00743283"/>
    <w:rsid w:val="00743306"/>
    <w:rsid w:val="007433B7"/>
    <w:rsid w:val="007438A9"/>
    <w:rsid w:val="00743B7E"/>
    <w:rsid w:val="00743F0B"/>
    <w:rsid w:val="007445BF"/>
    <w:rsid w:val="0074491E"/>
    <w:rsid w:val="00744BB5"/>
    <w:rsid w:val="00744EE8"/>
    <w:rsid w:val="00744F56"/>
    <w:rsid w:val="00745EF6"/>
    <w:rsid w:val="00745F56"/>
    <w:rsid w:val="00745F65"/>
    <w:rsid w:val="00746781"/>
    <w:rsid w:val="007468EF"/>
    <w:rsid w:val="00746977"/>
    <w:rsid w:val="007469A1"/>
    <w:rsid w:val="00746AED"/>
    <w:rsid w:val="00746FEA"/>
    <w:rsid w:val="007474C3"/>
    <w:rsid w:val="00747674"/>
    <w:rsid w:val="00747AFF"/>
    <w:rsid w:val="00747BE7"/>
    <w:rsid w:val="00747C0B"/>
    <w:rsid w:val="00747FC1"/>
    <w:rsid w:val="00750086"/>
    <w:rsid w:val="007503A0"/>
    <w:rsid w:val="00750496"/>
    <w:rsid w:val="00750978"/>
    <w:rsid w:val="00751285"/>
    <w:rsid w:val="007513DA"/>
    <w:rsid w:val="00751998"/>
    <w:rsid w:val="00751B90"/>
    <w:rsid w:val="00751FC5"/>
    <w:rsid w:val="007526DA"/>
    <w:rsid w:val="0075287E"/>
    <w:rsid w:val="00752B3C"/>
    <w:rsid w:val="00752E6E"/>
    <w:rsid w:val="0075321E"/>
    <w:rsid w:val="0075383A"/>
    <w:rsid w:val="00753E64"/>
    <w:rsid w:val="0075406D"/>
    <w:rsid w:val="00754083"/>
    <w:rsid w:val="00754D20"/>
    <w:rsid w:val="00755875"/>
    <w:rsid w:val="00755A00"/>
    <w:rsid w:val="00755B81"/>
    <w:rsid w:val="0075650D"/>
    <w:rsid w:val="00756883"/>
    <w:rsid w:val="00756BA1"/>
    <w:rsid w:val="00756CB6"/>
    <w:rsid w:val="00756D1B"/>
    <w:rsid w:val="00756DFE"/>
    <w:rsid w:val="00756F91"/>
    <w:rsid w:val="007571E7"/>
    <w:rsid w:val="0075758A"/>
    <w:rsid w:val="00757A57"/>
    <w:rsid w:val="0076034A"/>
    <w:rsid w:val="007604DA"/>
    <w:rsid w:val="00760878"/>
    <w:rsid w:val="0076088B"/>
    <w:rsid w:val="007609BA"/>
    <w:rsid w:val="00760A68"/>
    <w:rsid w:val="00760E64"/>
    <w:rsid w:val="00761913"/>
    <w:rsid w:val="00761E02"/>
    <w:rsid w:val="00761E79"/>
    <w:rsid w:val="00761FF5"/>
    <w:rsid w:val="00762128"/>
    <w:rsid w:val="0076247A"/>
    <w:rsid w:val="00762555"/>
    <w:rsid w:val="00762700"/>
    <w:rsid w:val="00762725"/>
    <w:rsid w:val="007628A5"/>
    <w:rsid w:val="00762941"/>
    <w:rsid w:val="007629E0"/>
    <w:rsid w:val="00762C76"/>
    <w:rsid w:val="00762E86"/>
    <w:rsid w:val="00763105"/>
    <w:rsid w:val="00763451"/>
    <w:rsid w:val="00763694"/>
    <w:rsid w:val="007637DC"/>
    <w:rsid w:val="007638C8"/>
    <w:rsid w:val="007643D5"/>
    <w:rsid w:val="00764935"/>
    <w:rsid w:val="00765261"/>
    <w:rsid w:val="00765429"/>
    <w:rsid w:val="007657C9"/>
    <w:rsid w:val="00765A78"/>
    <w:rsid w:val="00765CF3"/>
    <w:rsid w:val="00765ED0"/>
    <w:rsid w:val="00766300"/>
    <w:rsid w:val="0076634E"/>
    <w:rsid w:val="0076634F"/>
    <w:rsid w:val="007664B5"/>
    <w:rsid w:val="00770073"/>
    <w:rsid w:val="00770965"/>
    <w:rsid w:val="007709D4"/>
    <w:rsid w:val="00771048"/>
    <w:rsid w:val="007717A1"/>
    <w:rsid w:val="00771919"/>
    <w:rsid w:val="00771DB0"/>
    <w:rsid w:val="00771F49"/>
    <w:rsid w:val="0077203D"/>
    <w:rsid w:val="0077204D"/>
    <w:rsid w:val="007720CC"/>
    <w:rsid w:val="0077212C"/>
    <w:rsid w:val="00772373"/>
    <w:rsid w:val="00772B9A"/>
    <w:rsid w:val="00772EA9"/>
    <w:rsid w:val="00772ED9"/>
    <w:rsid w:val="00773167"/>
    <w:rsid w:val="007739AF"/>
    <w:rsid w:val="00773B71"/>
    <w:rsid w:val="00773F16"/>
    <w:rsid w:val="00773F7F"/>
    <w:rsid w:val="00774446"/>
    <w:rsid w:val="00774552"/>
    <w:rsid w:val="00774553"/>
    <w:rsid w:val="007753C9"/>
    <w:rsid w:val="00775505"/>
    <w:rsid w:val="0077554F"/>
    <w:rsid w:val="0077559E"/>
    <w:rsid w:val="00775964"/>
    <w:rsid w:val="00775E05"/>
    <w:rsid w:val="007765FE"/>
    <w:rsid w:val="0077673A"/>
    <w:rsid w:val="00776A65"/>
    <w:rsid w:val="00776CF8"/>
    <w:rsid w:val="00776FDD"/>
    <w:rsid w:val="0077706D"/>
    <w:rsid w:val="007770A3"/>
    <w:rsid w:val="00777738"/>
    <w:rsid w:val="00777842"/>
    <w:rsid w:val="00777917"/>
    <w:rsid w:val="00777F93"/>
    <w:rsid w:val="007801BB"/>
    <w:rsid w:val="007802BA"/>
    <w:rsid w:val="007802BE"/>
    <w:rsid w:val="00780D5F"/>
    <w:rsid w:val="00781238"/>
    <w:rsid w:val="007814CD"/>
    <w:rsid w:val="00781594"/>
    <w:rsid w:val="007817D9"/>
    <w:rsid w:val="00781CD4"/>
    <w:rsid w:val="007825F1"/>
    <w:rsid w:val="00782B03"/>
    <w:rsid w:val="00782F97"/>
    <w:rsid w:val="0078311B"/>
    <w:rsid w:val="007832A1"/>
    <w:rsid w:val="0078377A"/>
    <w:rsid w:val="00783A94"/>
    <w:rsid w:val="00783D05"/>
    <w:rsid w:val="00783FDB"/>
    <w:rsid w:val="0078439F"/>
    <w:rsid w:val="007843AE"/>
    <w:rsid w:val="00784B9D"/>
    <w:rsid w:val="00784F43"/>
    <w:rsid w:val="00785112"/>
    <w:rsid w:val="00785147"/>
    <w:rsid w:val="007854C9"/>
    <w:rsid w:val="00785932"/>
    <w:rsid w:val="00785998"/>
    <w:rsid w:val="0078632A"/>
    <w:rsid w:val="00786536"/>
    <w:rsid w:val="00786622"/>
    <w:rsid w:val="0078681C"/>
    <w:rsid w:val="00786B25"/>
    <w:rsid w:val="00786F3E"/>
    <w:rsid w:val="007872BC"/>
    <w:rsid w:val="007874EA"/>
    <w:rsid w:val="007878A5"/>
    <w:rsid w:val="0079009A"/>
    <w:rsid w:val="00790194"/>
    <w:rsid w:val="00790225"/>
    <w:rsid w:val="00790331"/>
    <w:rsid w:val="00790A73"/>
    <w:rsid w:val="00790BFA"/>
    <w:rsid w:val="0079105B"/>
    <w:rsid w:val="0079190F"/>
    <w:rsid w:val="00791B51"/>
    <w:rsid w:val="00792079"/>
    <w:rsid w:val="007920BB"/>
    <w:rsid w:val="007922E2"/>
    <w:rsid w:val="00792402"/>
    <w:rsid w:val="0079240A"/>
    <w:rsid w:val="0079266B"/>
    <w:rsid w:val="00792B0E"/>
    <w:rsid w:val="00792C3D"/>
    <w:rsid w:val="0079376E"/>
    <w:rsid w:val="007937AD"/>
    <w:rsid w:val="00793DD2"/>
    <w:rsid w:val="007942B5"/>
    <w:rsid w:val="00794876"/>
    <w:rsid w:val="00794B12"/>
    <w:rsid w:val="00794C69"/>
    <w:rsid w:val="00794E2E"/>
    <w:rsid w:val="00794F93"/>
    <w:rsid w:val="00795017"/>
    <w:rsid w:val="0079504E"/>
    <w:rsid w:val="0079523D"/>
    <w:rsid w:val="007955D7"/>
    <w:rsid w:val="0079578D"/>
    <w:rsid w:val="0079591B"/>
    <w:rsid w:val="00795BFB"/>
    <w:rsid w:val="00795DEA"/>
    <w:rsid w:val="00795E23"/>
    <w:rsid w:val="00795FC0"/>
    <w:rsid w:val="00796320"/>
    <w:rsid w:val="007963F6"/>
    <w:rsid w:val="0079666C"/>
    <w:rsid w:val="0079743F"/>
    <w:rsid w:val="007974D2"/>
    <w:rsid w:val="00797520"/>
    <w:rsid w:val="00797A63"/>
    <w:rsid w:val="00797B81"/>
    <w:rsid w:val="00797F51"/>
    <w:rsid w:val="007A0240"/>
    <w:rsid w:val="007A07B2"/>
    <w:rsid w:val="007A0BD8"/>
    <w:rsid w:val="007A1356"/>
    <w:rsid w:val="007A188D"/>
    <w:rsid w:val="007A1A17"/>
    <w:rsid w:val="007A1ACB"/>
    <w:rsid w:val="007A22E5"/>
    <w:rsid w:val="007A390A"/>
    <w:rsid w:val="007A404E"/>
    <w:rsid w:val="007A4115"/>
    <w:rsid w:val="007A45BF"/>
    <w:rsid w:val="007A45F5"/>
    <w:rsid w:val="007A4BAE"/>
    <w:rsid w:val="007A5191"/>
    <w:rsid w:val="007A52EB"/>
    <w:rsid w:val="007A56AB"/>
    <w:rsid w:val="007A5765"/>
    <w:rsid w:val="007A57A5"/>
    <w:rsid w:val="007A6046"/>
    <w:rsid w:val="007A61F7"/>
    <w:rsid w:val="007A647D"/>
    <w:rsid w:val="007A6AAC"/>
    <w:rsid w:val="007A6C1D"/>
    <w:rsid w:val="007A6C2B"/>
    <w:rsid w:val="007A73B1"/>
    <w:rsid w:val="007A7A73"/>
    <w:rsid w:val="007A7FD2"/>
    <w:rsid w:val="007B007D"/>
    <w:rsid w:val="007B00CA"/>
    <w:rsid w:val="007B0377"/>
    <w:rsid w:val="007B03B7"/>
    <w:rsid w:val="007B04FA"/>
    <w:rsid w:val="007B0C54"/>
    <w:rsid w:val="007B12BB"/>
    <w:rsid w:val="007B131B"/>
    <w:rsid w:val="007B14E8"/>
    <w:rsid w:val="007B1B98"/>
    <w:rsid w:val="007B2078"/>
    <w:rsid w:val="007B2231"/>
    <w:rsid w:val="007B2286"/>
    <w:rsid w:val="007B2760"/>
    <w:rsid w:val="007B2CBB"/>
    <w:rsid w:val="007B2D39"/>
    <w:rsid w:val="007B2FDC"/>
    <w:rsid w:val="007B3C9D"/>
    <w:rsid w:val="007B401D"/>
    <w:rsid w:val="007B4603"/>
    <w:rsid w:val="007B4843"/>
    <w:rsid w:val="007B4E83"/>
    <w:rsid w:val="007B5321"/>
    <w:rsid w:val="007B59C9"/>
    <w:rsid w:val="007B6026"/>
    <w:rsid w:val="007B65DB"/>
    <w:rsid w:val="007B6717"/>
    <w:rsid w:val="007B6B50"/>
    <w:rsid w:val="007B6BF9"/>
    <w:rsid w:val="007B6FE6"/>
    <w:rsid w:val="007B7246"/>
    <w:rsid w:val="007B72AA"/>
    <w:rsid w:val="007B745B"/>
    <w:rsid w:val="007B77A3"/>
    <w:rsid w:val="007B7B2F"/>
    <w:rsid w:val="007C0138"/>
    <w:rsid w:val="007C04C5"/>
    <w:rsid w:val="007C04EF"/>
    <w:rsid w:val="007C088A"/>
    <w:rsid w:val="007C09B6"/>
    <w:rsid w:val="007C0A91"/>
    <w:rsid w:val="007C1147"/>
    <w:rsid w:val="007C1879"/>
    <w:rsid w:val="007C1C95"/>
    <w:rsid w:val="007C1D8F"/>
    <w:rsid w:val="007C23C8"/>
    <w:rsid w:val="007C277D"/>
    <w:rsid w:val="007C29D9"/>
    <w:rsid w:val="007C2C57"/>
    <w:rsid w:val="007C2C87"/>
    <w:rsid w:val="007C3393"/>
    <w:rsid w:val="007C3526"/>
    <w:rsid w:val="007C356D"/>
    <w:rsid w:val="007C3782"/>
    <w:rsid w:val="007C3AC7"/>
    <w:rsid w:val="007C3C4F"/>
    <w:rsid w:val="007C459C"/>
    <w:rsid w:val="007C4F14"/>
    <w:rsid w:val="007C542A"/>
    <w:rsid w:val="007C5778"/>
    <w:rsid w:val="007C5DE6"/>
    <w:rsid w:val="007C6236"/>
    <w:rsid w:val="007C6409"/>
    <w:rsid w:val="007C66BB"/>
    <w:rsid w:val="007C6779"/>
    <w:rsid w:val="007C687E"/>
    <w:rsid w:val="007C7266"/>
    <w:rsid w:val="007C770F"/>
    <w:rsid w:val="007C77E1"/>
    <w:rsid w:val="007C79CE"/>
    <w:rsid w:val="007C7D40"/>
    <w:rsid w:val="007C7FEC"/>
    <w:rsid w:val="007D02D0"/>
    <w:rsid w:val="007D03E4"/>
    <w:rsid w:val="007D04E4"/>
    <w:rsid w:val="007D065A"/>
    <w:rsid w:val="007D09DF"/>
    <w:rsid w:val="007D10B1"/>
    <w:rsid w:val="007D10B5"/>
    <w:rsid w:val="007D1A6E"/>
    <w:rsid w:val="007D1D8B"/>
    <w:rsid w:val="007D230E"/>
    <w:rsid w:val="007D2356"/>
    <w:rsid w:val="007D2A19"/>
    <w:rsid w:val="007D2E84"/>
    <w:rsid w:val="007D2FE7"/>
    <w:rsid w:val="007D31CC"/>
    <w:rsid w:val="007D327D"/>
    <w:rsid w:val="007D3700"/>
    <w:rsid w:val="007D3860"/>
    <w:rsid w:val="007D387C"/>
    <w:rsid w:val="007D483C"/>
    <w:rsid w:val="007D4B82"/>
    <w:rsid w:val="007D4C4B"/>
    <w:rsid w:val="007D4DF4"/>
    <w:rsid w:val="007D5015"/>
    <w:rsid w:val="007D52DC"/>
    <w:rsid w:val="007D5368"/>
    <w:rsid w:val="007D53CD"/>
    <w:rsid w:val="007D5750"/>
    <w:rsid w:val="007D5CF5"/>
    <w:rsid w:val="007D6127"/>
    <w:rsid w:val="007D6338"/>
    <w:rsid w:val="007D641A"/>
    <w:rsid w:val="007D6495"/>
    <w:rsid w:val="007D7CCD"/>
    <w:rsid w:val="007D7E58"/>
    <w:rsid w:val="007E063B"/>
    <w:rsid w:val="007E0DCC"/>
    <w:rsid w:val="007E0E8C"/>
    <w:rsid w:val="007E0F2A"/>
    <w:rsid w:val="007E12AF"/>
    <w:rsid w:val="007E13C7"/>
    <w:rsid w:val="007E183E"/>
    <w:rsid w:val="007E1843"/>
    <w:rsid w:val="007E1979"/>
    <w:rsid w:val="007E1BBA"/>
    <w:rsid w:val="007E1CB4"/>
    <w:rsid w:val="007E1D05"/>
    <w:rsid w:val="007E1D6C"/>
    <w:rsid w:val="007E209B"/>
    <w:rsid w:val="007E21BF"/>
    <w:rsid w:val="007E2656"/>
    <w:rsid w:val="007E29D6"/>
    <w:rsid w:val="007E29D9"/>
    <w:rsid w:val="007E2A90"/>
    <w:rsid w:val="007E2BC6"/>
    <w:rsid w:val="007E2D7F"/>
    <w:rsid w:val="007E3CA7"/>
    <w:rsid w:val="007E412B"/>
    <w:rsid w:val="007E45FC"/>
    <w:rsid w:val="007E47CA"/>
    <w:rsid w:val="007E48A8"/>
    <w:rsid w:val="007E4CE0"/>
    <w:rsid w:val="007E5169"/>
    <w:rsid w:val="007E52BE"/>
    <w:rsid w:val="007E5629"/>
    <w:rsid w:val="007E5995"/>
    <w:rsid w:val="007E5FAC"/>
    <w:rsid w:val="007E61A6"/>
    <w:rsid w:val="007E624E"/>
    <w:rsid w:val="007E6261"/>
    <w:rsid w:val="007E6327"/>
    <w:rsid w:val="007E6884"/>
    <w:rsid w:val="007E6A07"/>
    <w:rsid w:val="007E6A4B"/>
    <w:rsid w:val="007E6A60"/>
    <w:rsid w:val="007E6B05"/>
    <w:rsid w:val="007E6F81"/>
    <w:rsid w:val="007E7156"/>
    <w:rsid w:val="007E7400"/>
    <w:rsid w:val="007E797F"/>
    <w:rsid w:val="007E7CE9"/>
    <w:rsid w:val="007F03CA"/>
    <w:rsid w:val="007F1161"/>
    <w:rsid w:val="007F1369"/>
    <w:rsid w:val="007F1A29"/>
    <w:rsid w:val="007F1AEE"/>
    <w:rsid w:val="007F23B0"/>
    <w:rsid w:val="007F256A"/>
    <w:rsid w:val="007F27BD"/>
    <w:rsid w:val="007F294D"/>
    <w:rsid w:val="007F2C10"/>
    <w:rsid w:val="007F2CF2"/>
    <w:rsid w:val="007F3463"/>
    <w:rsid w:val="007F41D6"/>
    <w:rsid w:val="007F4285"/>
    <w:rsid w:val="007F43FA"/>
    <w:rsid w:val="007F4499"/>
    <w:rsid w:val="007F483D"/>
    <w:rsid w:val="007F4BAC"/>
    <w:rsid w:val="007F4C92"/>
    <w:rsid w:val="007F4EBD"/>
    <w:rsid w:val="007F5318"/>
    <w:rsid w:val="007F5544"/>
    <w:rsid w:val="007F562D"/>
    <w:rsid w:val="007F5AA0"/>
    <w:rsid w:val="007F65AA"/>
    <w:rsid w:val="007F6992"/>
    <w:rsid w:val="007F6B90"/>
    <w:rsid w:val="007F6D9B"/>
    <w:rsid w:val="007F6EB9"/>
    <w:rsid w:val="007F71CF"/>
    <w:rsid w:val="007F72B3"/>
    <w:rsid w:val="007F739D"/>
    <w:rsid w:val="007F74D4"/>
    <w:rsid w:val="007F78FE"/>
    <w:rsid w:val="007F7A2F"/>
    <w:rsid w:val="007F7B20"/>
    <w:rsid w:val="007F7BDF"/>
    <w:rsid w:val="007F7DAC"/>
    <w:rsid w:val="0080004F"/>
    <w:rsid w:val="00800404"/>
    <w:rsid w:val="008006CE"/>
    <w:rsid w:val="00800FC9"/>
    <w:rsid w:val="00801332"/>
    <w:rsid w:val="008016F6"/>
    <w:rsid w:val="0080213C"/>
    <w:rsid w:val="008022E0"/>
    <w:rsid w:val="008023CD"/>
    <w:rsid w:val="0080242F"/>
    <w:rsid w:val="0080250B"/>
    <w:rsid w:val="008025DC"/>
    <w:rsid w:val="00802E3D"/>
    <w:rsid w:val="0080301D"/>
    <w:rsid w:val="008039A2"/>
    <w:rsid w:val="0080423C"/>
    <w:rsid w:val="008046AC"/>
    <w:rsid w:val="00804735"/>
    <w:rsid w:val="008048C5"/>
    <w:rsid w:val="00804DB5"/>
    <w:rsid w:val="00805401"/>
    <w:rsid w:val="00805A34"/>
    <w:rsid w:val="00805AD9"/>
    <w:rsid w:val="00805B4E"/>
    <w:rsid w:val="00805C12"/>
    <w:rsid w:val="008061EB"/>
    <w:rsid w:val="008066F7"/>
    <w:rsid w:val="00806882"/>
    <w:rsid w:val="008069DB"/>
    <w:rsid w:val="00806C01"/>
    <w:rsid w:val="00806D77"/>
    <w:rsid w:val="00807853"/>
    <w:rsid w:val="00807861"/>
    <w:rsid w:val="00807F31"/>
    <w:rsid w:val="0081056A"/>
    <w:rsid w:val="0081071B"/>
    <w:rsid w:val="00810780"/>
    <w:rsid w:val="00810887"/>
    <w:rsid w:val="008108BA"/>
    <w:rsid w:val="00810943"/>
    <w:rsid w:val="0081101C"/>
    <w:rsid w:val="008113D2"/>
    <w:rsid w:val="00811AC7"/>
    <w:rsid w:val="00811B76"/>
    <w:rsid w:val="00811CBE"/>
    <w:rsid w:val="00811DE9"/>
    <w:rsid w:val="0081234E"/>
    <w:rsid w:val="0081242E"/>
    <w:rsid w:val="0081256E"/>
    <w:rsid w:val="00812657"/>
    <w:rsid w:val="0081267D"/>
    <w:rsid w:val="0081269F"/>
    <w:rsid w:val="00812CFD"/>
    <w:rsid w:val="00812DFC"/>
    <w:rsid w:val="008130E2"/>
    <w:rsid w:val="00813AF1"/>
    <w:rsid w:val="00813BEC"/>
    <w:rsid w:val="00814163"/>
    <w:rsid w:val="008148CC"/>
    <w:rsid w:val="00814B3A"/>
    <w:rsid w:val="00814FDA"/>
    <w:rsid w:val="0081545B"/>
    <w:rsid w:val="00815480"/>
    <w:rsid w:val="0081574A"/>
    <w:rsid w:val="008158FB"/>
    <w:rsid w:val="00815CD6"/>
    <w:rsid w:val="00816139"/>
    <w:rsid w:val="008167E8"/>
    <w:rsid w:val="00816B92"/>
    <w:rsid w:val="00816E82"/>
    <w:rsid w:val="008170DF"/>
    <w:rsid w:val="008170FF"/>
    <w:rsid w:val="0081720E"/>
    <w:rsid w:val="00817261"/>
    <w:rsid w:val="008173EE"/>
    <w:rsid w:val="00817966"/>
    <w:rsid w:val="008179C0"/>
    <w:rsid w:val="00817A5C"/>
    <w:rsid w:val="00817B65"/>
    <w:rsid w:val="00817BF5"/>
    <w:rsid w:val="00817C6E"/>
    <w:rsid w:val="00817FAE"/>
    <w:rsid w:val="0082040D"/>
    <w:rsid w:val="0082075D"/>
    <w:rsid w:val="00820ABF"/>
    <w:rsid w:val="00820D67"/>
    <w:rsid w:val="008211A4"/>
    <w:rsid w:val="00821258"/>
    <w:rsid w:val="0082164B"/>
    <w:rsid w:val="00821871"/>
    <w:rsid w:val="00821D37"/>
    <w:rsid w:val="00821F6F"/>
    <w:rsid w:val="008221A9"/>
    <w:rsid w:val="0082239F"/>
    <w:rsid w:val="0082246B"/>
    <w:rsid w:val="008224EB"/>
    <w:rsid w:val="00822F68"/>
    <w:rsid w:val="00822F78"/>
    <w:rsid w:val="00823176"/>
    <w:rsid w:val="00823431"/>
    <w:rsid w:val="00823960"/>
    <w:rsid w:val="00823CE9"/>
    <w:rsid w:val="008242E7"/>
    <w:rsid w:val="00824727"/>
    <w:rsid w:val="00824767"/>
    <w:rsid w:val="00824810"/>
    <w:rsid w:val="00824B12"/>
    <w:rsid w:val="00824BBE"/>
    <w:rsid w:val="0082537A"/>
    <w:rsid w:val="00825483"/>
    <w:rsid w:val="008257AE"/>
    <w:rsid w:val="0082587B"/>
    <w:rsid w:val="00825BE8"/>
    <w:rsid w:val="00825C31"/>
    <w:rsid w:val="00825DA4"/>
    <w:rsid w:val="00825ECE"/>
    <w:rsid w:val="00826106"/>
    <w:rsid w:val="008264C3"/>
    <w:rsid w:val="00827006"/>
    <w:rsid w:val="0082778E"/>
    <w:rsid w:val="00827824"/>
    <w:rsid w:val="008279DD"/>
    <w:rsid w:val="00827B93"/>
    <w:rsid w:val="0083026B"/>
    <w:rsid w:val="008303FD"/>
    <w:rsid w:val="008305EB"/>
    <w:rsid w:val="00830B38"/>
    <w:rsid w:val="008313EF"/>
    <w:rsid w:val="00831887"/>
    <w:rsid w:val="00831C97"/>
    <w:rsid w:val="008320F8"/>
    <w:rsid w:val="00832287"/>
    <w:rsid w:val="00832362"/>
    <w:rsid w:val="0083268D"/>
    <w:rsid w:val="00832714"/>
    <w:rsid w:val="00832716"/>
    <w:rsid w:val="008328B1"/>
    <w:rsid w:val="00832AD3"/>
    <w:rsid w:val="00832DE0"/>
    <w:rsid w:val="00832F92"/>
    <w:rsid w:val="00833543"/>
    <w:rsid w:val="008335CD"/>
    <w:rsid w:val="008337F3"/>
    <w:rsid w:val="00833916"/>
    <w:rsid w:val="00833AC6"/>
    <w:rsid w:val="00833F91"/>
    <w:rsid w:val="00834557"/>
    <w:rsid w:val="00834D13"/>
    <w:rsid w:val="00834E30"/>
    <w:rsid w:val="00834FCF"/>
    <w:rsid w:val="00835326"/>
    <w:rsid w:val="0083575D"/>
    <w:rsid w:val="008357CA"/>
    <w:rsid w:val="00835A9F"/>
    <w:rsid w:val="00835BA2"/>
    <w:rsid w:val="00836890"/>
    <w:rsid w:val="00836AAE"/>
    <w:rsid w:val="00836C48"/>
    <w:rsid w:val="0083770E"/>
    <w:rsid w:val="00837924"/>
    <w:rsid w:val="00837A3E"/>
    <w:rsid w:val="00837BD6"/>
    <w:rsid w:val="0084072C"/>
    <w:rsid w:val="00840BD6"/>
    <w:rsid w:val="00841015"/>
    <w:rsid w:val="00841453"/>
    <w:rsid w:val="00841988"/>
    <w:rsid w:val="00841B74"/>
    <w:rsid w:val="00841E28"/>
    <w:rsid w:val="00841FDE"/>
    <w:rsid w:val="00842934"/>
    <w:rsid w:val="00842978"/>
    <w:rsid w:val="00842CCC"/>
    <w:rsid w:val="00842D25"/>
    <w:rsid w:val="00842FC0"/>
    <w:rsid w:val="0084306D"/>
    <w:rsid w:val="00843C44"/>
    <w:rsid w:val="00843E1F"/>
    <w:rsid w:val="00844037"/>
    <w:rsid w:val="008441CD"/>
    <w:rsid w:val="00844FDC"/>
    <w:rsid w:val="008451B9"/>
    <w:rsid w:val="00845252"/>
    <w:rsid w:val="008454AE"/>
    <w:rsid w:val="0084594E"/>
    <w:rsid w:val="00845BFA"/>
    <w:rsid w:val="0084604E"/>
    <w:rsid w:val="00846084"/>
    <w:rsid w:val="008464A0"/>
    <w:rsid w:val="008464C3"/>
    <w:rsid w:val="008473F2"/>
    <w:rsid w:val="008475DB"/>
    <w:rsid w:val="00847E20"/>
    <w:rsid w:val="00847FDA"/>
    <w:rsid w:val="00850313"/>
    <w:rsid w:val="00850495"/>
    <w:rsid w:val="008506F7"/>
    <w:rsid w:val="008507B6"/>
    <w:rsid w:val="00850849"/>
    <w:rsid w:val="008508CA"/>
    <w:rsid w:val="00850951"/>
    <w:rsid w:val="008509E1"/>
    <w:rsid w:val="0085106F"/>
    <w:rsid w:val="008515DA"/>
    <w:rsid w:val="008516B4"/>
    <w:rsid w:val="008517B5"/>
    <w:rsid w:val="00851B40"/>
    <w:rsid w:val="008520C3"/>
    <w:rsid w:val="0085212B"/>
    <w:rsid w:val="008528FF"/>
    <w:rsid w:val="008535C0"/>
    <w:rsid w:val="00853601"/>
    <w:rsid w:val="00853ABA"/>
    <w:rsid w:val="00853E87"/>
    <w:rsid w:val="00854494"/>
    <w:rsid w:val="00854ACD"/>
    <w:rsid w:val="00854C45"/>
    <w:rsid w:val="00855199"/>
    <w:rsid w:val="00855393"/>
    <w:rsid w:val="0085539A"/>
    <w:rsid w:val="008553FB"/>
    <w:rsid w:val="00855422"/>
    <w:rsid w:val="00855712"/>
    <w:rsid w:val="00855961"/>
    <w:rsid w:val="00855FD9"/>
    <w:rsid w:val="008560FC"/>
    <w:rsid w:val="0085623D"/>
    <w:rsid w:val="0085662F"/>
    <w:rsid w:val="0085668D"/>
    <w:rsid w:val="00856798"/>
    <w:rsid w:val="00856929"/>
    <w:rsid w:val="00856CE0"/>
    <w:rsid w:val="0085726E"/>
    <w:rsid w:val="008573FC"/>
    <w:rsid w:val="0085755B"/>
    <w:rsid w:val="00857A4A"/>
    <w:rsid w:val="00857BE1"/>
    <w:rsid w:val="00857E29"/>
    <w:rsid w:val="0086021E"/>
    <w:rsid w:val="008604E7"/>
    <w:rsid w:val="0086062F"/>
    <w:rsid w:val="00860630"/>
    <w:rsid w:val="0086066F"/>
    <w:rsid w:val="0086093E"/>
    <w:rsid w:val="00860DBE"/>
    <w:rsid w:val="00860E0A"/>
    <w:rsid w:val="00861561"/>
    <w:rsid w:val="00861754"/>
    <w:rsid w:val="00861EBF"/>
    <w:rsid w:val="00862453"/>
    <w:rsid w:val="008624F4"/>
    <w:rsid w:val="00862544"/>
    <w:rsid w:val="008627C8"/>
    <w:rsid w:val="00862973"/>
    <w:rsid w:val="00862A10"/>
    <w:rsid w:val="00862B7B"/>
    <w:rsid w:val="00862BB2"/>
    <w:rsid w:val="00862EED"/>
    <w:rsid w:val="0086308D"/>
    <w:rsid w:val="00863432"/>
    <w:rsid w:val="008638B3"/>
    <w:rsid w:val="00863B1E"/>
    <w:rsid w:val="00863C4D"/>
    <w:rsid w:val="00863FA0"/>
    <w:rsid w:val="008640F4"/>
    <w:rsid w:val="00864475"/>
    <w:rsid w:val="00864915"/>
    <w:rsid w:val="008649CF"/>
    <w:rsid w:val="00864BA2"/>
    <w:rsid w:val="00864C08"/>
    <w:rsid w:val="00864C46"/>
    <w:rsid w:val="00865FC2"/>
    <w:rsid w:val="00865FCA"/>
    <w:rsid w:val="00866211"/>
    <w:rsid w:val="008666D4"/>
    <w:rsid w:val="00866A91"/>
    <w:rsid w:val="00866DFB"/>
    <w:rsid w:val="00866F33"/>
    <w:rsid w:val="0086756F"/>
    <w:rsid w:val="008675B1"/>
    <w:rsid w:val="008702D7"/>
    <w:rsid w:val="008705EF"/>
    <w:rsid w:val="008706AA"/>
    <w:rsid w:val="00870E8F"/>
    <w:rsid w:val="0087123B"/>
    <w:rsid w:val="00871624"/>
    <w:rsid w:val="00871AF4"/>
    <w:rsid w:val="0087284A"/>
    <w:rsid w:val="008729EA"/>
    <w:rsid w:val="00872ADC"/>
    <w:rsid w:val="00872B9B"/>
    <w:rsid w:val="00872FFC"/>
    <w:rsid w:val="00873150"/>
    <w:rsid w:val="008734D6"/>
    <w:rsid w:val="00873642"/>
    <w:rsid w:val="00873E62"/>
    <w:rsid w:val="008742F4"/>
    <w:rsid w:val="00874331"/>
    <w:rsid w:val="008748B1"/>
    <w:rsid w:val="00874A90"/>
    <w:rsid w:val="00874B17"/>
    <w:rsid w:val="00874D75"/>
    <w:rsid w:val="0087529C"/>
    <w:rsid w:val="00875522"/>
    <w:rsid w:val="008757FC"/>
    <w:rsid w:val="008758F9"/>
    <w:rsid w:val="00875939"/>
    <w:rsid w:val="00875C33"/>
    <w:rsid w:val="00875E75"/>
    <w:rsid w:val="00875EFD"/>
    <w:rsid w:val="0087634C"/>
    <w:rsid w:val="0087657D"/>
    <w:rsid w:val="00876624"/>
    <w:rsid w:val="008768B5"/>
    <w:rsid w:val="00876ACF"/>
    <w:rsid w:val="00877128"/>
    <w:rsid w:val="00877745"/>
    <w:rsid w:val="00877C44"/>
    <w:rsid w:val="00877F9A"/>
    <w:rsid w:val="0088035C"/>
    <w:rsid w:val="0088037E"/>
    <w:rsid w:val="00880422"/>
    <w:rsid w:val="00880550"/>
    <w:rsid w:val="00880647"/>
    <w:rsid w:val="008807D5"/>
    <w:rsid w:val="00880832"/>
    <w:rsid w:val="00881426"/>
    <w:rsid w:val="008815DE"/>
    <w:rsid w:val="008816AF"/>
    <w:rsid w:val="008818C2"/>
    <w:rsid w:val="00881ED9"/>
    <w:rsid w:val="00882402"/>
    <w:rsid w:val="00882599"/>
    <w:rsid w:val="0088301B"/>
    <w:rsid w:val="00883587"/>
    <w:rsid w:val="00883A44"/>
    <w:rsid w:val="00883C87"/>
    <w:rsid w:val="008844A8"/>
    <w:rsid w:val="008846BC"/>
    <w:rsid w:val="0088482A"/>
    <w:rsid w:val="00884F2A"/>
    <w:rsid w:val="008856CC"/>
    <w:rsid w:val="00885AFD"/>
    <w:rsid w:val="008860A8"/>
    <w:rsid w:val="00886282"/>
    <w:rsid w:val="00886812"/>
    <w:rsid w:val="00886886"/>
    <w:rsid w:val="008869C2"/>
    <w:rsid w:val="00886AF8"/>
    <w:rsid w:val="00886B1D"/>
    <w:rsid w:val="00886E13"/>
    <w:rsid w:val="00886EE1"/>
    <w:rsid w:val="00886F6B"/>
    <w:rsid w:val="00887053"/>
    <w:rsid w:val="0088705A"/>
    <w:rsid w:val="0088727D"/>
    <w:rsid w:val="008873B8"/>
    <w:rsid w:val="008873DF"/>
    <w:rsid w:val="00887827"/>
    <w:rsid w:val="00890454"/>
    <w:rsid w:val="00890719"/>
    <w:rsid w:val="008911A3"/>
    <w:rsid w:val="008913C4"/>
    <w:rsid w:val="0089156B"/>
    <w:rsid w:val="00891A5F"/>
    <w:rsid w:val="00891AED"/>
    <w:rsid w:val="00891D9F"/>
    <w:rsid w:val="00891F24"/>
    <w:rsid w:val="00891F5D"/>
    <w:rsid w:val="00892346"/>
    <w:rsid w:val="0089240E"/>
    <w:rsid w:val="00892600"/>
    <w:rsid w:val="0089292B"/>
    <w:rsid w:val="00892AF0"/>
    <w:rsid w:val="00892F71"/>
    <w:rsid w:val="008930EF"/>
    <w:rsid w:val="008931F1"/>
    <w:rsid w:val="008934D5"/>
    <w:rsid w:val="00893B48"/>
    <w:rsid w:val="00893FEA"/>
    <w:rsid w:val="008942B5"/>
    <w:rsid w:val="008943A1"/>
    <w:rsid w:val="0089440D"/>
    <w:rsid w:val="008944AF"/>
    <w:rsid w:val="008944D6"/>
    <w:rsid w:val="00894643"/>
    <w:rsid w:val="0089470C"/>
    <w:rsid w:val="00894DDC"/>
    <w:rsid w:val="00894E48"/>
    <w:rsid w:val="008951E2"/>
    <w:rsid w:val="00895216"/>
    <w:rsid w:val="00895289"/>
    <w:rsid w:val="00895353"/>
    <w:rsid w:val="00895405"/>
    <w:rsid w:val="00895462"/>
    <w:rsid w:val="00895743"/>
    <w:rsid w:val="00895C5A"/>
    <w:rsid w:val="00895FC1"/>
    <w:rsid w:val="008960BC"/>
    <w:rsid w:val="00896440"/>
    <w:rsid w:val="0089663D"/>
    <w:rsid w:val="008968D3"/>
    <w:rsid w:val="00896B10"/>
    <w:rsid w:val="00897358"/>
    <w:rsid w:val="00897958"/>
    <w:rsid w:val="00897C75"/>
    <w:rsid w:val="00897D5F"/>
    <w:rsid w:val="008A0399"/>
    <w:rsid w:val="008A0639"/>
    <w:rsid w:val="008A06D0"/>
    <w:rsid w:val="008A130D"/>
    <w:rsid w:val="008A16AB"/>
    <w:rsid w:val="008A1750"/>
    <w:rsid w:val="008A185F"/>
    <w:rsid w:val="008A2137"/>
    <w:rsid w:val="008A232E"/>
    <w:rsid w:val="008A2863"/>
    <w:rsid w:val="008A2923"/>
    <w:rsid w:val="008A2E2D"/>
    <w:rsid w:val="008A2E3D"/>
    <w:rsid w:val="008A379B"/>
    <w:rsid w:val="008A3847"/>
    <w:rsid w:val="008A387E"/>
    <w:rsid w:val="008A38B4"/>
    <w:rsid w:val="008A4046"/>
    <w:rsid w:val="008A46CB"/>
    <w:rsid w:val="008A477E"/>
    <w:rsid w:val="008A47EC"/>
    <w:rsid w:val="008A4D5E"/>
    <w:rsid w:val="008A4D89"/>
    <w:rsid w:val="008A50B9"/>
    <w:rsid w:val="008A5156"/>
    <w:rsid w:val="008A52C5"/>
    <w:rsid w:val="008A530F"/>
    <w:rsid w:val="008A551D"/>
    <w:rsid w:val="008A6097"/>
    <w:rsid w:val="008A609F"/>
    <w:rsid w:val="008A6591"/>
    <w:rsid w:val="008A66AC"/>
    <w:rsid w:val="008A6AE8"/>
    <w:rsid w:val="008A6AF2"/>
    <w:rsid w:val="008A6C5F"/>
    <w:rsid w:val="008A6F54"/>
    <w:rsid w:val="008A70C9"/>
    <w:rsid w:val="008A713F"/>
    <w:rsid w:val="008A71AC"/>
    <w:rsid w:val="008A76FE"/>
    <w:rsid w:val="008A7797"/>
    <w:rsid w:val="008A7F9A"/>
    <w:rsid w:val="008B00AF"/>
    <w:rsid w:val="008B01B9"/>
    <w:rsid w:val="008B0333"/>
    <w:rsid w:val="008B0463"/>
    <w:rsid w:val="008B04A9"/>
    <w:rsid w:val="008B0581"/>
    <w:rsid w:val="008B05EC"/>
    <w:rsid w:val="008B0868"/>
    <w:rsid w:val="008B08E5"/>
    <w:rsid w:val="008B09B2"/>
    <w:rsid w:val="008B0BD6"/>
    <w:rsid w:val="008B0ED0"/>
    <w:rsid w:val="008B10EF"/>
    <w:rsid w:val="008B1335"/>
    <w:rsid w:val="008B1C1D"/>
    <w:rsid w:val="008B1E24"/>
    <w:rsid w:val="008B1ED7"/>
    <w:rsid w:val="008B269F"/>
    <w:rsid w:val="008B283D"/>
    <w:rsid w:val="008B2DD1"/>
    <w:rsid w:val="008B2FC5"/>
    <w:rsid w:val="008B3076"/>
    <w:rsid w:val="008B336D"/>
    <w:rsid w:val="008B34B8"/>
    <w:rsid w:val="008B34EE"/>
    <w:rsid w:val="008B3666"/>
    <w:rsid w:val="008B36C9"/>
    <w:rsid w:val="008B38E0"/>
    <w:rsid w:val="008B3DB3"/>
    <w:rsid w:val="008B4247"/>
    <w:rsid w:val="008B43D8"/>
    <w:rsid w:val="008B4618"/>
    <w:rsid w:val="008B4C22"/>
    <w:rsid w:val="008B5746"/>
    <w:rsid w:val="008B5AA2"/>
    <w:rsid w:val="008B5C74"/>
    <w:rsid w:val="008B5DDB"/>
    <w:rsid w:val="008B5FCC"/>
    <w:rsid w:val="008B6CE9"/>
    <w:rsid w:val="008B70E0"/>
    <w:rsid w:val="008B76B9"/>
    <w:rsid w:val="008B77F0"/>
    <w:rsid w:val="008B79AD"/>
    <w:rsid w:val="008B7EFE"/>
    <w:rsid w:val="008C00B8"/>
    <w:rsid w:val="008C00BA"/>
    <w:rsid w:val="008C0680"/>
    <w:rsid w:val="008C08C0"/>
    <w:rsid w:val="008C09A0"/>
    <w:rsid w:val="008C0A93"/>
    <w:rsid w:val="008C0AFA"/>
    <w:rsid w:val="008C0ED9"/>
    <w:rsid w:val="008C1130"/>
    <w:rsid w:val="008C172B"/>
    <w:rsid w:val="008C2159"/>
    <w:rsid w:val="008C21E9"/>
    <w:rsid w:val="008C27C7"/>
    <w:rsid w:val="008C283D"/>
    <w:rsid w:val="008C293A"/>
    <w:rsid w:val="008C2E66"/>
    <w:rsid w:val="008C3382"/>
    <w:rsid w:val="008C3540"/>
    <w:rsid w:val="008C3542"/>
    <w:rsid w:val="008C3A5B"/>
    <w:rsid w:val="008C3C2F"/>
    <w:rsid w:val="008C467F"/>
    <w:rsid w:val="008C479C"/>
    <w:rsid w:val="008C4DAF"/>
    <w:rsid w:val="008C50DE"/>
    <w:rsid w:val="008C5DEB"/>
    <w:rsid w:val="008C5FF3"/>
    <w:rsid w:val="008C61BD"/>
    <w:rsid w:val="008C6373"/>
    <w:rsid w:val="008C6A25"/>
    <w:rsid w:val="008C6C0E"/>
    <w:rsid w:val="008C6C3B"/>
    <w:rsid w:val="008C7671"/>
    <w:rsid w:val="008C7763"/>
    <w:rsid w:val="008D0261"/>
    <w:rsid w:val="008D0831"/>
    <w:rsid w:val="008D0A3A"/>
    <w:rsid w:val="008D0D67"/>
    <w:rsid w:val="008D1027"/>
    <w:rsid w:val="008D10AE"/>
    <w:rsid w:val="008D11D6"/>
    <w:rsid w:val="008D1251"/>
    <w:rsid w:val="008D15F7"/>
    <w:rsid w:val="008D18E6"/>
    <w:rsid w:val="008D1B73"/>
    <w:rsid w:val="008D1C66"/>
    <w:rsid w:val="008D1E84"/>
    <w:rsid w:val="008D26A3"/>
    <w:rsid w:val="008D2C72"/>
    <w:rsid w:val="008D2E3E"/>
    <w:rsid w:val="008D3041"/>
    <w:rsid w:val="008D33E9"/>
    <w:rsid w:val="008D3441"/>
    <w:rsid w:val="008D34C4"/>
    <w:rsid w:val="008D357B"/>
    <w:rsid w:val="008D3775"/>
    <w:rsid w:val="008D389F"/>
    <w:rsid w:val="008D3B45"/>
    <w:rsid w:val="008D3EA1"/>
    <w:rsid w:val="008D3FBD"/>
    <w:rsid w:val="008D4AD6"/>
    <w:rsid w:val="008D4F6B"/>
    <w:rsid w:val="008D5187"/>
    <w:rsid w:val="008D520E"/>
    <w:rsid w:val="008D5435"/>
    <w:rsid w:val="008D567E"/>
    <w:rsid w:val="008D57AA"/>
    <w:rsid w:val="008D5CC2"/>
    <w:rsid w:val="008D5DAF"/>
    <w:rsid w:val="008D610F"/>
    <w:rsid w:val="008D6214"/>
    <w:rsid w:val="008D6422"/>
    <w:rsid w:val="008D699D"/>
    <w:rsid w:val="008D6AB3"/>
    <w:rsid w:val="008D6CE9"/>
    <w:rsid w:val="008D70F6"/>
    <w:rsid w:val="008D7207"/>
    <w:rsid w:val="008D7982"/>
    <w:rsid w:val="008D7A9B"/>
    <w:rsid w:val="008D7D2D"/>
    <w:rsid w:val="008E0060"/>
    <w:rsid w:val="008E00D8"/>
    <w:rsid w:val="008E0482"/>
    <w:rsid w:val="008E0555"/>
    <w:rsid w:val="008E06AD"/>
    <w:rsid w:val="008E0724"/>
    <w:rsid w:val="008E1270"/>
    <w:rsid w:val="008E139E"/>
    <w:rsid w:val="008E15DF"/>
    <w:rsid w:val="008E192F"/>
    <w:rsid w:val="008E1FC4"/>
    <w:rsid w:val="008E2662"/>
    <w:rsid w:val="008E2AC4"/>
    <w:rsid w:val="008E2D34"/>
    <w:rsid w:val="008E3714"/>
    <w:rsid w:val="008E3895"/>
    <w:rsid w:val="008E38FD"/>
    <w:rsid w:val="008E3957"/>
    <w:rsid w:val="008E4356"/>
    <w:rsid w:val="008E472F"/>
    <w:rsid w:val="008E4738"/>
    <w:rsid w:val="008E48D1"/>
    <w:rsid w:val="008E4D00"/>
    <w:rsid w:val="008E4D19"/>
    <w:rsid w:val="008E4EB1"/>
    <w:rsid w:val="008E504B"/>
    <w:rsid w:val="008E54B4"/>
    <w:rsid w:val="008E55CD"/>
    <w:rsid w:val="008E5A00"/>
    <w:rsid w:val="008E5B78"/>
    <w:rsid w:val="008E5E41"/>
    <w:rsid w:val="008E6072"/>
    <w:rsid w:val="008E6533"/>
    <w:rsid w:val="008E65D4"/>
    <w:rsid w:val="008E6653"/>
    <w:rsid w:val="008E68D2"/>
    <w:rsid w:val="008E6A56"/>
    <w:rsid w:val="008E6DF4"/>
    <w:rsid w:val="008E6F15"/>
    <w:rsid w:val="008E70FA"/>
    <w:rsid w:val="008E76AC"/>
    <w:rsid w:val="008F00E4"/>
    <w:rsid w:val="008F0830"/>
    <w:rsid w:val="008F0909"/>
    <w:rsid w:val="008F0A75"/>
    <w:rsid w:val="008F0BDC"/>
    <w:rsid w:val="008F0E0B"/>
    <w:rsid w:val="008F10F7"/>
    <w:rsid w:val="008F1660"/>
    <w:rsid w:val="008F188E"/>
    <w:rsid w:val="008F19D1"/>
    <w:rsid w:val="008F1A26"/>
    <w:rsid w:val="008F1A4B"/>
    <w:rsid w:val="008F1FB2"/>
    <w:rsid w:val="008F21F6"/>
    <w:rsid w:val="008F235B"/>
    <w:rsid w:val="008F289C"/>
    <w:rsid w:val="008F2C67"/>
    <w:rsid w:val="008F2E7B"/>
    <w:rsid w:val="008F31B9"/>
    <w:rsid w:val="008F3378"/>
    <w:rsid w:val="008F368C"/>
    <w:rsid w:val="008F36AF"/>
    <w:rsid w:val="008F383C"/>
    <w:rsid w:val="008F3E8E"/>
    <w:rsid w:val="008F3EAA"/>
    <w:rsid w:val="008F433D"/>
    <w:rsid w:val="008F4531"/>
    <w:rsid w:val="008F4693"/>
    <w:rsid w:val="008F496B"/>
    <w:rsid w:val="008F4A61"/>
    <w:rsid w:val="008F4D2D"/>
    <w:rsid w:val="008F4E7B"/>
    <w:rsid w:val="008F58CD"/>
    <w:rsid w:val="008F59D0"/>
    <w:rsid w:val="008F5C09"/>
    <w:rsid w:val="008F5DF8"/>
    <w:rsid w:val="008F5E67"/>
    <w:rsid w:val="008F61F2"/>
    <w:rsid w:val="008F6381"/>
    <w:rsid w:val="008F63DF"/>
    <w:rsid w:val="008F6438"/>
    <w:rsid w:val="008F68ED"/>
    <w:rsid w:val="008F6BAE"/>
    <w:rsid w:val="008F6CC2"/>
    <w:rsid w:val="008F7003"/>
    <w:rsid w:val="008F728B"/>
    <w:rsid w:val="008F7784"/>
    <w:rsid w:val="008F7905"/>
    <w:rsid w:val="008F7B6F"/>
    <w:rsid w:val="0090033F"/>
    <w:rsid w:val="00900366"/>
    <w:rsid w:val="009004A0"/>
    <w:rsid w:val="00900739"/>
    <w:rsid w:val="00900DCA"/>
    <w:rsid w:val="00900F7E"/>
    <w:rsid w:val="009014B9"/>
    <w:rsid w:val="009016BB"/>
    <w:rsid w:val="0090192A"/>
    <w:rsid w:val="00901931"/>
    <w:rsid w:val="0090194E"/>
    <w:rsid w:val="00901BCF"/>
    <w:rsid w:val="00902363"/>
    <w:rsid w:val="009023B5"/>
    <w:rsid w:val="00902519"/>
    <w:rsid w:val="00902842"/>
    <w:rsid w:val="00902BA4"/>
    <w:rsid w:val="00902C12"/>
    <w:rsid w:val="00902C46"/>
    <w:rsid w:val="00902D0E"/>
    <w:rsid w:val="00902D12"/>
    <w:rsid w:val="00902E42"/>
    <w:rsid w:val="00903480"/>
    <w:rsid w:val="0090351D"/>
    <w:rsid w:val="009035AA"/>
    <w:rsid w:val="00903658"/>
    <w:rsid w:val="00903935"/>
    <w:rsid w:val="00903A89"/>
    <w:rsid w:val="00903CE1"/>
    <w:rsid w:val="00903DFE"/>
    <w:rsid w:val="00903EAB"/>
    <w:rsid w:val="00903EEB"/>
    <w:rsid w:val="00904635"/>
    <w:rsid w:val="0090465C"/>
    <w:rsid w:val="009046DF"/>
    <w:rsid w:val="009047FF"/>
    <w:rsid w:val="00904E2D"/>
    <w:rsid w:val="0090536E"/>
    <w:rsid w:val="00905871"/>
    <w:rsid w:val="00905EE4"/>
    <w:rsid w:val="0090642C"/>
    <w:rsid w:val="0090691E"/>
    <w:rsid w:val="00906B06"/>
    <w:rsid w:val="00906E81"/>
    <w:rsid w:val="00906ED0"/>
    <w:rsid w:val="00907007"/>
    <w:rsid w:val="009070C3"/>
    <w:rsid w:val="00907341"/>
    <w:rsid w:val="0090778F"/>
    <w:rsid w:val="00907B4B"/>
    <w:rsid w:val="00907EAB"/>
    <w:rsid w:val="00907F30"/>
    <w:rsid w:val="00907F80"/>
    <w:rsid w:val="00910268"/>
    <w:rsid w:val="0091078D"/>
    <w:rsid w:val="00910A0A"/>
    <w:rsid w:val="00910C29"/>
    <w:rsid w:val="00910EC1"/>
    <w:rsid w:val="00911A45"/>
    <w:rsid w:val="00911C96"/>
    <w:rsid w:val="0091260B"/>
    <w:rsid w:val="009129A4"/>
    <w:rsid w:val="00912C53"/>
    <w:rsid w:val="00912CB7"/>
    <w:rsid w:val="009132BB"/>
    <w:rsid w:val="009136BD"/>
    <w:rsid w:val="009136F8"/>
    <w:rsid w:val="00913D0E"/>
    <w:rsid w:val="00913D5A"/>
    <w:rsid w:val="00914768"/>
    <w:rsid w:val="009147B7"/>
    <w:rsid w:val="00914898"/>
    <w:rsid w:val="00914AAD"/>
    <w:rsid w:val="00914C5D"/>
    <w:rsid w:val="00914F5E"/>
    <w:rsid w:val="00915046"/>
    <w:rsid w:val="009150BF"/>
    <w:rsid w:val="009153F3"/>
    <w:rsid w:val="00915529"/>
    <w:rsid w:val="009155D7"/>
    <w:rsid w:val="0091583E"/>
    <w:rsid w:val="0091622D"/>
    <w:rsid w:val="00916234"/>
    <w:rsid w:val="009162A3"/>
    <w:rsid w:val="009163CF"/>
    <w:rsid w:val="009169BB"/>
    <w:rsid w:val="00916CD8"/>
    <w:rsid w:val="009174AB"/>
    <w:rsid w:val="00917705"/>
    <w:rsid w:val="00920213"/>
    <w:rsid w:val="00920BC5"/>
    <w:rsid w:val="00921339"/>
    <w:rsid w:val="00921870"/>
    <w:rsid w:val="009218FB"/>
    <w:rsid w:val="00921B68"/>
    <w:rsid w:val="00921E5C"/>
    <w:rsid w:val="00922384"/>
    <w:rsid w:val="009223A1"/>
    <w:rsid w:val="009223DD"/>
    <w:rsid w:val="009227DC"/>
    <w:rsid w:val="0092291B"/>
    <w:rsid w:val="00922E56"/>
    <w:rsid w:val="00923110"/>
    <w:rsid w:val="00923DC0"/>
    <w:rsid w:val="00923E7A"/>
    <w:rsid w:val="00923F10"/>
    <w:rsid w:val="0092416A"/>
    <w:rsid w:val="009247E0"/>
    <w:rsid w:val="0092507B"/>
    <w:rsid w:val="009250CE"/>
    <w:rsid w:val="009254FD"/>
    <w:rsid w:val="0092553D"/>
    <w:rsid w:val="00925E6F"/>
    <w:rsid w:val="009264BC"/>
    <w:rsid w:val="00926CC6"/>
    <w:rsid w:val="00926FB2"/>
    <w:rsid w:val="009274F0"/>
    <w:rsid w:val="00927ACD"/>
    <w:rsid w:val="00927E19"/>
    <w:rsid w:val="00927EC9"/>
    <w:rsid w:val="00927FB5"/>
    <w:rsid w:val="009301BB"/>
    <w:rsid w:val="00930211"/>
    <w:rsid w:val="0093021E"/>
    <w:rsid w:val="0093049E"/>
    <w:rsid w:val="00930BAA"/>
    <w:rsid w:val="00930D1C"/>
    <w:rsid w:val="00931157"/>
    <w:rsid w:val="0093150F"/>
    <w:rsid w:val="00931598"/>
    <w:rsid w:val="00931875"/>
    <w:rsid w:val="009319EE"/>
    <w:rsid w:val="00931DCE"/>
    <w:rsid w:val="009322B8"/>
    <w:rsid w:val="009322D3"/>
    <w:rsid w:val="0093275F"/>
    <w:rsid w:val="00932B6B"/>
    <w:rsid w:val="00932BB4"/>
    <w:rsid w:val="00932D5D"/>
    <w:rsid w:val="00933413"/>
    <w:rsid w:val="00933532"/>
    <w:rsid w:val="0093362D"/>
    <w:rsid w:val="009336DF"/>
    <w:rsid w:val="0093387C"/>
    <w:rsid w:val="00933933"/>
    <w:rsid w:val="00933ABC"/>
    <w:rsid w:val="00933E12"/>
    <w:rsid w:val="00933E97"/>
    <w:rsid w:val="00934013"/>
    <w:rsid w:val="009341BA"/>
    <w:rsid w:val="0093433A"/>
    <w:rsid w:val="00934443"/>
    <w:rsid w:val="009345E4"/>
    <w:rsid w:val="00934A03"/>
    <w:rsid w:val="00934E80"/>
    <w:rsid w:val="00934ED4"/>
    <w:rsid w:val="00935569"/>
    <w:rsid w:val="00935747"/>
    <w:rsid w:val="009359A3"/>
    <w:rsid w:val="00935ABC"/>
    <w:rsid w:val="00935B71"/>
    <w:rsid w:val="00935DCC"/>
    <w:rsid w:val="0093626E"/>
    <w:rsid w:val="009367A5"/>
    <w:rsid w:val="00936AB2"/>
    <w:rsid w:val="00936C9F"/>
    <w:rsid w:val="00936D70"/>
    <w:rsid w:val="009372CC"/>
    <w:rsid w:val="009376FD"/>
    <w:rsid w:val="00937FEE"/>
    <w:rsid w:val="009404FC"/>
    <w:rsid w:val="009407FB"/>
    <w:rsid w:val="00940F20"/>
    <w:rsid w:val="009410AA"/>
    <w:rsid w:val="009410AD"/>
    <w:rsid w:val="0094164F"/>
    <w:rsid w:val="00941AAB"/>
    <w:rsid w:val="00941FC2"/>
    <w:rsid w:val="00942060"/>
    <w:rsid w:val="009425BA"/>
    <w:rsid w:val="0094274C"/>
    <w:rsid w:val="0094295C"/>
    <w:rsid w:val="009429BD"/>
    <w:rsid w:val="00942DDF"/>
    <w:rsid w:val="00942DE6"/>
    <w:rsid w:val="00942EF2"/>
    <w:rsid w:val="00943211"/>
    <w:rsid w:val="00943438"/>
    <w:rsid w:val="00943B1C"/>
    <w:rsid w:val="00943D96"/>
    <w:rsid w:val="00944106"/>
    <w:rsid w:val="009442C5"/>
    <w:rsid w:val="0094445E"/>
    <w:rsid w:val="009447A9"/>
    <w:rsid w:val="00944914"/>
    <w:rsid w:val="00944E56"/>
    <w:rsid w:val="00944E76"/>
    <w:rsid w:val="0094502A"/>
    <w:rsid w:val="009452ED"/>
    <w:rsid w:val="00945362"/>
    <w:rsid w:val="00945895"/>
    <w:rsid w:val="0094591E"/>
    <w:rsid w:val="00945C1E"/>
    <w:rsid w:val="00945D74"/>
    <w:rsid w:val="00946140"/>
    <w:rsid w:val="009463B4"/>
    <w:rsid w:val="00946AB6"/>
    <w:rsid w:val="00947386"/>
    <w:rsid w:val="009473A5"/>
    <w:rsid w:val="00947835"/>
    <w:rsid w:val="00947892"/>
    <w:rsid w:val="00947F5F"/>
    <w:rsid w:val="00950013"/>
    <w:rsid w:val="00951099"/>
    <w:rsid w:val="009514DE"/>
    <w:rsid w:val="0095159A"/>
    <w:rsid w:val="0095187F"/>
    <w:rsid w:val="009519BB"/>
    <w:rsid w:val="00951B52"/>
    <w:rsid w:val="00951E56"/>
    <w:rsid w:val="00951F79"/>
    <w:rsid w:val="0095232A"/>
    <w:rsid w:val="009524C8"/>
    <w:rsid w:val="00952F30"/>
    <w:rsid w:val="009530EA"/>
    <w:rsid w:val="0095356E"/>
    <w:rsid w:val="00953A56"/>
    <w:rsid w:val="00953B0C"/>
    <w:rsid w:val="0095459A"/>
    <w:rsid w:val="00954901"/>
    <w:rsid w:val="00954B2C"/>
    <w:rsid w:val="00954DD8"/>
    <w:rsid w:val="00954E55"/>
    <w:rsid w:val="00954FFE"/>
    <w:rsid w:val="00955778"/>
    <w:rsid w:val="00955950"/>
    <w:rsid w:val="00955F7C"/>
    <w:rsid w:val="009560DC"/>
    <w:rsid w:val="009563B7"/>
    <w:rsid w:val="00956561"/>
    <w:rsid w:val="00957048"/>
    <w:rsid w:val="009575BF"/>
    <w:rsid w:val="0095768B"/>
    <w:rsid w:val="0095779E"/>
    <w:rsid w:val="00957FB0"/>
    <w:rsid w:val="00960B13"/>
    <w:rsid w:val="00960F31"/>
    <w:rsid w:val="00961245"/>
    <w:rsid w:val="009615A4"/>
    <w:rsid w:val="00961666"/>
    <w:rsid w:val="009617B5"/>
    <w:rsid w:val="009617F2"/>
    <w:rsid w:val="00961B91"/>
    <w:rsid w:val="00961BC5"/>
    <w:rsid w:val="00961C3E"/>
    <w:rsid w:val="00961CDF"/>
    <w:rsid w:val="00961DCC"/>
    <w:rsid w:val="00961E9E"/>
    <w:rsid w:val="009621FF"/>
    <w:rsid w:val="009622FE"/>
    <w:rsid w:val="009624BB"/>
    <w:rsid w:val="0096298D"/>
    <w:rsid w:val="00962DD6"/>
    <w:rsid w:val="00962F14"/>
    <w:rsid w:val="009632D0"/>
    <w:rsid w:val="00963C5A"/>
    <w:rsid w:val="009642B9"/>
    <w:rsid w:val="009642BF"/>
    <w:rsid w:val="009642C6"/>
    <w:rsid w:val="009643C7"/>
    <w:rsid w:val="00964618"/>
    <w:rsid w:val="00964683"/>
    <w:rsid w:val="00964A7D"/>
    <w:rsid w:val="00964B48"/>
    <w:rsid w:val="0096547A"/>
    <w:rsid w:val="0096554E"/>
    <w:rsid w:val="00965689"/>
    <w:rsid w:val="009657DB"/>
    <w:rsid w:val="00965802"/>
    <w:rsid w:val="0096588D"/>
    <w:rsid w:val="009658A0"/>
    <w:rsid w:val="00965D78"/>
    <w:rsid w:val="00966287"/>
    <w:rsid w:val="009663B8"/>
    <w:rsid w:val="00966467"/>
    <w:rsid w:val="009669B2"/>
    <w:rsid w:val="00966C78"/>
    <w:rsid w:val="00966EC8"/>
    <w:rsid w:val="009671C5"/>
    <w:rsid w:val="0096785D"/>
    <w:rsid w:val="009678C4"/>
    <w:rsid w:val="009678DB"/>
    <w:rsid w:val="0096798F"/>
    <w:rsid w:val="00967A3D"/>
    <w:rsid w:val="00967F69"/>
    <w:rsid w:val="009702C2"/>
    <w:rsid w:val="00970360"/>
    <w:rsid w:val="00970364"/>
    <w:rsid w:val="0097054C"/>
    <w:rsid w:val="0097093E"/>
    <w:rsid w:val="0097135D"/>
    <w:rsid w:val="009724CC"/>
    <w:rsid w:val="00972C98"/>
    <w:rsid w:val="0097329F"/>
    <w:rsid w:val="00973CF8"/>
    <w:rsid w:val="00973FE1"/>
    <w:rsid w:val="00974198"/>
    <w:rsid w:val="00974452"/>
    <w:rsid w:val="009747AB"/>
    <w:rsid w:val="00974906"/>
    <w:rsid w:val="00974AB5"/>
    <w:rsid w:val="0097504D"/>
    <w:rsid w:val="00975448"/>
    <w:rsid w:val="00975677"/>
    <w:rsid w:val="00975678"/>
    <w:rsid w:val="00975806"/>
    <w:rsid w:val="009760D4"/>
    <w:rsid w:val="00976174"/>
    <w:rsid w:val="009766AB"/>
    <w:rsid w:val="00976AB3"/>
    <w:rsid w:val="00976B1D"/>
    <w:rsid w:val="00977547"/>
    <w:rsid w:val="009776B3"/>
    <w:rsid w:val="009777E5"/>
    <w:rsid w:val="00977910"/>
    <w:rsid w:val="00977EDC"/>
    <w:rsid w:val="00980020"/>
    <w:rsid w:val="00980229"/>
    <w:rsid w:val="00980634"/>
    <w:rsid w:val="009807B7"/>
    <w:rsid w:val="00981350"/>
    <w:rsid w:val="00981A7F"/>
    <w:rsid w:val="0098215D"/>
    <w:rsid w:val="00982610"/>
    <w:rsid w:val="00982624"/>
    <w:rsid w:val="0098264B"/>
    <w:rsid w:val="009828B9"/>
    <w:rsid w:val="00982972"/>
    <w:rsid w:val="00982F23"/>
    <w:rsid w:val="0098309F"/>
    <w:rsid w:val="009836F6"/>
    <w:rsid w:val="00983822"/>
    <w:rsid w:val="009839D1"/>
    <w:rsid w:val="00983ED8"/>
    <w:rsid w:val="00983EE7"/>
    <w:rsid w:val="00983EF1"/>
    <w:rsid w:val="009848F9"/>
    <w:rsid w:val="00984D66"/>
    <w:rsid w:val="00984F04"/>
    <w:rsid w:val="009850BA"/>
    <w:rsid w:val="00985249"/>
    <w:rsid w:val="009853D2"/>
    <w:rsid w:val="00985531"/>
    <w:rsid w:val="0098574C"/>
    <w:rsid w:val="00985B32"/>
    <w:rsid w:val="00985E8D"/>
    <w:rsid w:val="0098609B"/>
    <w:rsid w:val="0098615D"/>
    <w:rsid w:val="00986FBC"/>
    <w:rsid w:val="0098706D"/>
    <w:rsid w:val="00987563"/>
    <w:rsid w:val="009877EE"/>
    <w:rsid w:val="00987842"/>
    <w:rsid w:val="00987959"/>
    <w:rsid w:val="00987A33"/>
    <w:rsid w:val="00987AA2"/>
    <w:rsid w:val="00990595"/>
    <w:rsid w:val="0099084B"/>
    <w:rsid w:val="009909E0"/>
    <w:rsid w:val="00990AF0"/>
    <w:rsid w:val="00990EA7"/>
    <w:rsid w:val="009912B3"/>
    <w:rsid w:val="00991659"/>
    <w:rsid w:val="00991716"/>
    <w:rsid w:val="009919E5"/>
    <w:rsid w:val="0099210B"/>
    <w:rsid w:val="009928D1"/>
    <w:rsid w:val="00992E73"/>
    <w:rsid w:val="009935FB"/>
    <w:rsid w:val="00993C2C"/>
    <w:rsid w:val="00993C8C"/>
    <w:rsid w:val="00993D7D"/>
    <w:rsid w:val="0099454E"/>
    <w:rsid w:val="0099455F"/>
    <w:rsid w:val="009945B2"/>
    <w:rsid w:val="00994A37"/>
    <w:rsid w:val="00994A7D"/>
    <w:rsid w:val="0099585F"/>
    <w:rsid w:val="00995E34"/>
    <w:rsid w:val="00995F7C"/>
    <w:rsid w:val="009960A5"/>
    <w:rsid w:val="0099661F"/>
    <w:rsid w:val="00996864"/>
    <w:rsid w:val="00996CD6"/>
    <w:rsid w:val="00996F36"/>
    <w:rsid w:val="0099786F"/>
    <w:rsid w:val="0099795A"/>
    <w:rsid w:val="0099796E"/>
    <w:rsid w:val="009979A6"/>
    <w:rsid w:val="00997AF1"/>
    <w:rsid w:val="009A026B"/>
    <w:rsid w:val="009A046D"/>
    <w:rsid w:val="009A0719"/>
    <w:rsid w:val="009A122F"/>
    <w:rsid w:val="009A1323"/>
    <w:rsid w:val="009A1387"/>
    <w:rsid w:val="009A1889"/>
    <w:rsid w:val="009A1898"/>
    <w:rsid w:val="009A1F50"/>
    <w:rsid w:val="009A204E"/>
    <w:rsid w:val="009A28F6"/>
    <w:rsid w:val="009A2A36"/>
    <w:rsid w:val="009A2DEC"/>
    <w:rsid w:val="009A2F9C"/>
    <w:rsid w:val="009A3101"/>
    <w:rsid w:val="009A3833"/>
    <w:rsid w:val="009A3AD4"/>
    <w:rsid w:val="009A3BCE"/>
    <w:rsid w:val="009A3BFC"/>
    <w:rsid w:val="009A3C91"/>
    <w:rsid w:val="009A46F7"/>
    <w:rsid w:val="009A526E"/>
    <w:rsid w:val="009A559F"/>
    <w:rsid w:val="009A571D"/>
    <w:rsid w:val="009A5C5B"/>
    <w:rsid w:val="009A5D08"/>
    <w:rsid w:val="009A610B"/>
    <w:rsid w:val="009A622A"/>
    <w:rsid w:val="009A64EF"/>
    <w:rsid w:val="009A6509"/>
    <w:rsid w:val="009A6A46"/>
    <w:rsid w:val="009A6BC9"/>
    <w:rsid w:val="009A6BD4"/>
    <w:rsid w:val="009A6C2C"/>
    <w:rsid w:val="009A7045"/>
    <w:rsid w:val="009A714C"/>
    <w:rsid w:val="009A74CF"/>
    <w:rsid w:val="009A7C3E"/>
    <w:rsid w:val="009A7DEB"/>
    <w:rsid w:val="009B11E9"/>
    <w:rsid w:val="009B1C74"/>
    <w:rsid w:val="009B1F92"/>
    <w:rsid w:val="009B211F"/>
    <w:rsid w:val="009B21D5"/>
    <w:rsid w:val="009B227A"/>
    <w:rsid w:val="009B235F"/>
    <w:rsid w:val="009B24B4"/>
    <w:rsid w:val="009B262A"/>
    <w:rsid w:val="009B2B6C"/>
    <w:rsid w:val="009B2CD6"/>
    <w:rsid w:val="009B2F1B"/>
    <w:rsid w:val="009B3164"/>
    <w:rsid w:val="009B322B"/>
    <w:rsid w:val="009B3277"/>
    <w:rsid w:val="009B33A9"/>
    <w:rsid w:val="009B37B5"/>
    <w:rsid w:val="009B39A0"/>
    <w:rsid w:val="009B3B75"/>
    <w:rsid w:val="009B4EE8"/>
    <w:rsid w:val="009B4F62"/>
    <w:rsid w:val="009B534D"/>
    <w:rsid w:val="009B5458"/>
    <w:rsid w:val="009B5A98"/>
    <w:rsid w:val="009B5C53"/>
    <w:rsid w:val="009B62B2"/>
    <w:rsid w:val="009B632E"/>
    <w:rsid w:val="009B66DB"/>
    <w:rsid w:val="009B6784"/>
    <w:rsid w:val="009B6D87"/>
    <w:rsid w:val="009B6EFA"/>
    <w:rsid w:val="009B6FB2"/>
    <w:rsid w:val="009B72AA"/>
    <w:rsid w:val="009B78E1"/>
    <w:rsid w:val="009B7AE9"/>
    <w:rsid w:val="009B7CC8"/>
    <w:rsid w:val="009B7D53"/>
    <w:rsid w:val="009C0846"/>
    <w:rsid w:val="009C086B"/>
    <w:rsid w:val="009C0A4A"/>
    <w:rsid w:val="009C0C2C"/>
    <w:rsid w:val="009C0ED5"/>
    <w:rsid w:val="009C11F0"/>
    <w:rsid w:val="009C1651"/>
    <w:rsid w:val="009C1741"/>
    <w:rsid w:val="009C1A04"/>
    <w:rsid w:val="009C201A"/>
    <w:rsid w:val="009C2041"/>
    <w:rsid w:val="009C207F"/>
    <w:rsid w:val="009C2386"/>
    <w:rsid w:val="009C24AF"/>
    <w:rsid w:val="009C24C8"/>
    <w:rsid w:val="009C25E8"/>
    <w:rsid w:val="009C2618"/>
    <w:rsid w:val="009C2884"/>
    <w:rsid w:val="009C2904"/>
    <w:rsid w:val="009C2B6E"/>
    <w:rsid w:val="009C2BA6"/>
    <w:rsid w:val="009C2DDD"/>
    <w:rsid w:val="009C2F5F"/>
    <w:rsid w:val="009C3132"/>
    <w:rsid w:val="009C320D"/>
    <w:rsid w:val="009C34B5"/>
    <w:rsid w:val="009C3524"/>
    <w:rsid w:val="009C37A6"/>
    <w:rsid w:val="009C38B7"/>
    <w:rsid w:val="009C39A5"/>
    <w:rsid w:val="009C3B13"/>
    <w:rsid w:val="009C3E6D"/>
    <w:rsid w:val="009C3EE0"/>
    <w:rsid w:val="009C42BF"/>
    <w:rsid w:val="009C445F"/>
    <w:rsid w:val="009C489D"/>
    <w:rsid w:val="009C48CA"/>
    <w:rsid w:val="009C4CB5"/>
    <w:rsid w:val="009C4DB1"/>
    <w:rsid w:val="009C5A3D"/>
    <w:rsid w:val="009C61A3"/>
    <w:rsid w:val="009C664D"/>
    <w:rsid w:val="009C6D1B"/>
    <w:rsid w:val="009C7021"/>
    <w:rsid w:val="009C7471"/>
    <w:rsid w:val="009C75BB"/>
    <w:rsid w:val="009D0085"/>
    <w:rsid w:val="009D025A"/>
    <w:rsid w:val="009D0AB8"/>
    <w:rsid w:val="009D0B65"/>
    <w:rsid w:val="009D0DFD"/>
    <w:rsid w:val="009D0E39"/>
    <w:rsid w:val="009D120A"/>
    <w:rsid w:val="009D12D1"/>
    <w:rsid w:val="009D14E8"/>
    <w:rsid w:val="009D19D2"/>
    <w:rsid w:val="009D19D4"/>
    <w:rsid w:val="009D1A3E"/>
    <w:rsid w:val="009D22AF"/>
    <w:rsid w:val="009D23A6"/>
    <w:rsid w:val="009D266B"/>
    <w:rsid w:val="009D2762"/>
    <w:rsid w:val="009D27B3"/>
    <w:rsid w:val="009D29A4"/>
    <w:rsid w:val="009D31AA"/>
    <w:rsid w:val="009D3458"/>
    <w:rsid w:val="009D348C"/>
    <w:rsid w:val="009D34CC"/>
    <w:rsid w:val="009D3533"/>
    <w:rsid w:val="009D39EA"/>
    <w:rsid w:val="009D3B55"/>
    <w:rsid w:val="009D45EA"/>
    <w:rsid w:val="009D4635"/>
    <w:rsid w:val="009D47AD"/>
    <w:rsid w:val="009D4F1F"/>
    <w:rsid w:val="009D5028"/>
    <w:rsid w:val="009D5229"/>
    <w:rsid w:val="009D5C42"/>
    <w:rsid w:val="009D5D0F"/>
    <w:rsid w:val="009D5E4E"/>
    <w:rsid w:val="009D5EB6"/>
    <w:rsid w:val="009D5EBA"/>
    <w:rsid w:val="009D5F5C"/>
    <w:rsid w:val="009D6318"/>
    <w:rsid w:val="009D681B"/>
    <w:rsid w:val="009D6A12"/>
    <w:rsid w:val="009D6CD0"/>
    <w:rsid w:val="009D6D15"/>
    <w:rsid w:val="009D6EBB"/>
    <w:rsid w:val="009D6FD5"/>
    <w:rsid w:val="009D7190"/>
    <w:rsid w:val="009D7385"/>
    <w:rsid w:val="009D7F1C"/>
    <w:rsid w:val="009E008C"/>
    <w:rsid w:val="009E0EEE"/>
    <w:rsid w:val="009E10AF"/>
    <w:rsid w:val="009E1157"/>
    <w:rsid w:val="009E1264"/>
    <w:rsid w:val="009E1520"/>
    <w:rsid w:val="009E1566"/>
    <w:rsid w:val="009E1833"/>
    <w:rsid w:val="009E18A1"/>
    <w:rsid w:val="009E1959"/>
    <w:rsid w:val="009E20A7"/>
    <w:rsid w:val="009E2437"/>
    <w:rsid w:val="009E255B"/>
    <w:rsid w:val="009E26C7"/>
    <w:rsid w:val="009E3243"/>
    <w:rsid w:val="009E3577"/>
    <w:rsid w:val="009E366E"/>
    <w:rsid w:val="009E3921"/>
    <w:rsid w:val="009E448A"/>
    <w:rsid w:val="009E47BD"/>
    <w:rsid w:val="009E4824"/>
    <w:rsid w:val="009E4A31"/>
    <w:rsid w:val="009E4AAE"/>
    <w:rsid w:val="009E4D94"/>
    <w:rsid w:val="009E50D5"/>
    <w:rsid w:val="009E53BC"/>
    <w:rsid w:val="009E56E2"/>
    <w:rsid w:val="009E5774"/>
    <w:rsid w:val="009E59F9"/>
    <w:rsid w:val="009E5A25"/>
    <w:rsid w:val="009E60C0"/>
    <w:rsid w:val="009E6395"/>
    <w:rsid w:val="009E64B0"/>
    <w:rsid w:val="009E6A28"/>
    <w:rsid w:val="009E6B08"/>
    <w:rsid w:val="009E6B56"/>
    <w:rsid w:val="009E6C1F"/>
    <w:rsid w:val="009E6C99"/>
    <w:rsid w:val="009E6DAE"/>
    <w:rsid w:val="009E7699"/>
    <w:rsid w:val="009E788D"/>
    <w:rsid w:val="009E7CD9"/>
    <w:rsid w:val="009E7CE4"/>
    <w:rsid w:val="009F0401"/>
    <w:rsid w:val="009F0482"/>
    <w:rsid w:val="009F0751"/>
    <w:rsid w:val="009F0A8B"/>
    <w:rsid w:val="009F0D6A"/>
    <w:rsid w:val="009F118C"/>
    <w:rsid w:val="009F119F"/>
    <w:rsid w:val="009F186F"/>
    <w:rsid w:val="009F2954"/>
    <w:rsid w:val="009F2C23"/>
    <w:rsid w:val="009F2C4F"/>
    <w:rsid w:val="009F4183"/>
    <w:rsid w:val="009F4A54"/>
    <w:rsid w:val="009F4B4E"/>
    <w:rsid w:val="009F4B93"/>
    <w:rsid w:val="009F4BEC"/>
    <w:rsid w:val="009F4C4F"/>
    <w:rsid w:val="009F4DD9"/>
    <w:rsid w:val="009F50FC"/>
    <w:rsid w:val="009F51CE"/>
    <w:rsid w:val="009F554D"/>
    <w:rsid w:val="009F5874"/>
    <w:rsid w:val="009F5921"/>
    <w:rsid w:val="009F5A1C"/>
    <w:rsid w:val="009F5A24"/>
    <w:rsid w:val="009F5BAC"/>
    <w:rsid w:val="009F61F1"/>
    <w:rsid w:val="009F6869"/>
    <w:rsid w:val="009F69D1"/>
    <w:rsid w:val="009F7331"/>
    <w:rsid w:val="009F7706"/>
    <w:rsid w:val="009F78DC"/>
    <w:rsid w:val="00A001BA"/>
    <w:rsid w:val="00A001DF"/>
    <w:rsid w:val="00A00335"/>
    <w:rsid w:val="00A003C0"/>
    <w:rsid w:val="00A003D1"/>
    <w:rsid w:val="00A009C5"/>
    <w:rsid w:val="00A01416"/>
    <w:rsid w:val="00A01525"/>
    <w:rsid w:val="00A015DB"/>
    <w:rsid w:val="00A015EA"/>
    <w:rsid w:val="00A0164E"/>
    <w:rsid w:val="00A01B03"/>
    <w:rsid w:val="00A02A92"/>
    <w:rsid w:val="00A02CEA"/>
    <w:rsid w:val="00A02DDF"/>
    <w:rsid w:val="00A0384C"/>
    <w:rsid w:val="00A0389E"/>
    <w:rsid w:val="00A03E14"/>
    <w:rsid w:val="00A03EEB"/>
    <w:rsid w:val="00A04002"/>
    <w:rsid w:val="00A04572"/>
    <w:rsid w:val="00A04957"/>
    <w:rsid w:val="00A0497F"/>
    <w:rsid w:val="00A04E7D"/>
    <w:rsid w:val="00A0500F"/>
    <w:rsid w:val="00A0559F"/>
    <w:rsid w:val="00A05909"/>
    <w:rsid w:val="00A05BAC"/>
    <w:rsid w:val="00A05C3D"/>
    <w:rsid w:val="00A05E25"/>
    <w:rsid w:val="00A0634B"/>
    <w:rsid w:val="00A064C1"/>
    <w:rsid w:val="00A06A52"/>
    <w:rsid w:val="00A06ED7"/>
    <w:rsid w:val="00A06F12"/>
    <w:rsid w:val="00A06F2F"/>
    <w:rsid w:val="00A07785"/>
    <w:rsid w:val="00A07A05"/>
    <w:rsid w:val="00A101E7"/>
    <w:rsid w:val="00A1077F"/>
    <w:rsid w:val="00A10A6A"/>
    <w:rsid w:val="00A1137D"/>
    <w:rsid w:val="00A11AEE"/>
    <w:rsid w:val="00A11B8B"/>
    <w:rsid w:val="00A11E0C"/>
    <w:rsid w:val="00A11EF6"/>
    <w:rsid w:val="00A12518"/>
    <w:rsid w:val="00A1287E"/>
    <w:rsid w:val="00A12B72"/>
    <w:rsid w:val="00A12D3F"/>
    <w:rsid w:val="00A12EDC"/>
    <w:rsid w:val="00A12F97"/>
    <w:rsid w:val="00A1304E"/>
    <w:rsid w:val="00A13274"/>
    <w:rsid w:val="00A13487"/>
    <w:rsid w:val="00A135ED"/>
    <w:rsid w:val="00A13E9D"/>
    <w:rsid w:val="00A143FC"/>
    <w:rsid w:val="00A14510"/>
    <w:rsid w:val="00A14A02"/>
    <w:rsid w:val="00A14AF6"/>
    <w:rsid w:val="00A15675"/>
    <w:rsid w:val="00A1588A"/>
    <w:rsid w:val="00A15FE8"/>
    <w:rsid w:val="00A163C9"/>
    <w:rsid w:val="00A169A2"/>
    <w:rsid w:val="00A16B34"/>
    <w:rsid w:val="00A16D48"/>
    <w:rsid w:val="00A1725E"/>
    <w:rsid w:val="00A1792E"/>
    <w:rsid w:val="00A17A41"/>
    <w:rsid w:val="00A17AA2"/>
    <w:rsid w:val="00A17C2A"/>
    <w:rsid w:val="00A206BF"/>
    <w:rsid w:val="00A208AC"/>
    <w:rsid w:val="00A208B5"/>
    <w:rsid w:val="00A20A08"/>
    <w:rsid w:val="00A211D7"/>
    <w:rsid w:val="00A21883"/>
    <w:rsid w:val="00A21970"/>
    <w:rsid w:val="00A21AF8"/>
    <w:rsid w:val="00A21C7C"/>
    <w:rsid w:val="00A21D20"/>
    <w:rsid w:val="00A21FD3"/>
    <w:rsid w:val="00A22055"/>
    <w:rsid w:val="00A22493"/>
    <w:rsid w:val="00A2249C"/>
    <w:rsid w:val="00A22DE4"/>
    <w:rsid w:val="00A22EF4"/>
    <w:rsid w:val="00A22FAF"/>
    <w:rsid w:val="00A22FC8"/>
    <w:rsid w:val="00A22FF0"/>
    <w:rsid w:val="00A2426E"/>
    <w:rsid w:val="00A24433"/>
    <w:rsid w:val="00A24635"/>
    <w:rsid w:val="00A2465F"/>
    <w:rsid w:val="00A25288"/>
    <w:rsid w:val="00A2561E"/>
    <w:rsid w:val="00A25B51"/>
    <w:rsid w:val="00A25CC0"/>
    <w:rsid w:val="00A25D61"/>
    <w:rsid w:val="00A25FD7"/>
    <w:rsid w:val="00A26129"/>
    <w:rsid w:val="00A263F4"/>
    <w:rsid w:val="00A2659E"/>
    <w:rsid w:val="00A26747"/>
    <w:rsid w:val="00A2695F"/>
    <w:rsid w:val="00A269F7"/>
    <w:rsid w:val="00A26E06"/>
    <w:rsid w:val="00A271D5"/>
    <w:rsid w:val="00A272A9"/>
    <w:rsid w:val="00A2748A"/>
    <w:rsid w:val="00A27863"/>
    <w:rsid w:val="00A27DBC"/>
    <w:rsid w:val="00A301DE"/>
    <w:rsid w:val="00A30A79"/>
    <w:rsid w:val="00A30B59"/>
    <w:rsid w:val="00A30C75"/>
    <w:rsid w:val="00A31074"/>
    <w:rsid w:val="00A31422"/>
    <w:rsid w:val="00A3172E"/>
    <w:rsid w:val="00A31C03"/>
    <w:rsid w:val="00A31E74"/>
    <w:rsid w:val="00A320AF"/>
    <w:rsid w:val="00A325CE"/>
    <w:rsid w:val="00A32CB9"/>
    <w:rsid w:val="00A32CED"/>
    <w:rsid w:val="00A32F9C"/>
    <w:rsid w:val="00A33118"/>
    <w:rsid w:val="00A3343A"/>
    <w:rsid w:val="00A33840"/>
    <w:rsid w:val="00A34406"/>
    <w:rsid w:val="00A345D2"/>
    <w:rsid w:val="00A345DF"/>
    <w:rsid w:val="00A34BED"/>
    <w:rsid w:val="00A34D80"/>
    <w:rsid w:val="00A35454"/>
    <w:rsid w:val="00A35A83"/>
    <w:rsid w:val="00A35B5B"/>
    <w:rsid w:val="00A35DE7"/>
    <w:rsid w:val="00A3633F"/>
    <w:rsid w:val="00A36C9F"/>
    <w:rsid w:val="00A36F22"/>
    <w:rsid w:val="00A36FBE"/>
    <w:rsid w:val="00A37276"/>
    <w:rsid w:val="00A372D9"/>
    <w:rsid w:val="00A37904"/>
    <w:rsid w:val="00A37A12"/>
    <w:rsid w:val="00A37D73"/>
    <w:rsid w:val="00A40156"/>
    <w:rsid w:val="00A402DC"/>
    <w:rsid w:val="00A40319"/>
    <w:rsid w:val="00A40509"/>
    <w:rsid w:val="00A4069A"/>
    <w:rsid w:val="00A40710"/>
    <w:rsid w:val="00A40D25"/>
    <w:rsid w:val="00A40D84"/>
    <w:rsid w:val="00A4111A"/>
    <w:rsid w:val="00A4146B"/>
    <w:rsid w:val="00A414A9"/>
    <w:rsid w:val="00A41B6F"/>
    <w:rsid w:val="00A41B93"/>
    <w:rsid w:val="00A426DC"/>
    <w:rsid w:val="00A426F7"/>
    <w:rsid w:val="00A4382E"/>
    <w:rsid w:val="00A4391C"/>
    <w:rsid w:val="00A43AFF"/>
    <w:rsid w:val="00A43B35"/>
    <w:rsid w:val="00A43B6F"/>
    <w:rsid w:val="00A43BBE"/>
    <w:rsid w:val="00A43F2B"/>
    <w:rsid w:val="00A444B1"/>
    <w:rsid w:val="00A44B8B"/>
    <w:rsid w:val="00A44B99"/>
    <w:rsid w:val="00A44C0E"/>
    <w:rsid w:val="00A44DAC"/>
    <w:rsid w:val="00A45296"/>
    <w:rsid w:val="00A458E7"/>
    <w:rsid w:val="00A4619E"/>
    <w:rsid w:val="00A464E6"/>
    <w:rsid w:val="00A46652"/>
    <w:rsid w:val="00A46C4F"/>
    <w:rsid w:val="00A47084"/>
    <w:rsid w:val="00A47589"/>
    <w:rsid w:val="00A479D8"/>
    <w:rsid w:val="00A47EE0"/>
    <w:rsid w:val="00A500E5"/>
    <w:rsid w:val="00A5030F"/>
    <w:rsid w:val="00A50506"/>
    <w:rsid w:val="00A506C1"/>
    <w:rsid w:val="00A50D1E"/>
    <w:rsid w:val="00A50F72"/>
    <w:rsid w:val="00A5122E"/>
    <w:rsid w:val="00A52001"/>
    <w:rsid w:val="00A5250A"/>
    <w:rsid w:val="00A5279E"/>
    <w:rsid w:val="00A5288D"/>
    <w:rsid w:val="00A531B8"/>
    <w:rsid w:val="00A53588"/>
    <w:rsid w:val="00A53863"/>
    <w:rsid w:val="00A53A5F"/>
    <w:rsid w:val="00A53BEA"/>
    <w:rsid w:val="00A53D1B"/>
    <w:rsid w:val="00A5469C"/>
    <w:rsid w:val="00A54BB3"/>
    <w:rsid w:val="00A54BEE"/>
    <w:rsid w:val="00A54CBC"/>
    <w:rsid w:val="00A550C1"/>
    <w:rsid w:val="00A55126"/>
    <w:rsid w:val="00A5515F"/>
    <w:rsid w:val="00A55566"/>
    <w:rsid w:val="00A557C1"/>
    <w:rsid w:val="00A55960"/>
    <w:rsid w:val="00A5658D"/>
    <w:rsid w:val="00A575A7"/>
    <w:rsid w:val="00A57779"/>
    <w:rsid w:val="00A577CA"/>
    <w:rsid w:val="00A57C3F"/>
    <w:rsid w:val="00A603CA"/>
    <w:rsid w:val="00A608B1"/>
    <w:rsid w:val="00A609A4"/>
    <w:rsid w:val="00A60A02"/>
    <w:rsid w:val="00A60A45"/>
    <w:rsid w:val="00A60BA2"/>
    <w:rsid w:val="00A60D87"/>
    <w:rsid w:val="00A612F2"/>
    <w:rsid w:val="00A61512"/>
    <w:rsid w:val="00A61869"/>
    <w:rsid w:val="00A61E00"/>
    <w:rsid w:val="00A621D4"/>
    <w:rsid w:val="00A6276F"/>
    <w:rsid w:val="00A62888"/>
    <w:rsid w:val="00A62992"/>
    <w:rsid w:val="00A62A90"/>
    <w:rsid w:val="00A62B1A"/>
    <w:rsid w:val="00A62D99"/>
    <w:rsid w:val="00A63078"/>
    <w:rsid w:val="00A63245"/>
    <w:rsid w:val="00A6325A"/>
    <w:rsid w:val="00A6341D"/>
    <w:rsid w:val="00A636E9"/>
    <w:rsid w:val="00A63744"/>
    <w:rsid w:val="00A63A20"/>
    <w:rsid w:val="00A63B90"/>
    <w:rsid w:val="00A63D01"/>
    <w:rsid w:val="00A63F13"/>
    <w:rsid w:val="00A647E4"/>
    <w:rsid w:val="00A64A63"/>
    <w:rsid w:val="00A64C27"/>
    <w:rsid w:val="00A64C50"/>
    <w:rsid w:val="00A650F8"/>
    <w:rsid w:val="00A65204"/>
    <w:rsid w:val="00A652C6"/>
    <w:rsid w:val="00A65A01"/>
    <w:rsid w:val="00A65B4B"/>
    <w:rsid w:val="00A65DA2"/>
    <w:rsid w:val="00A6615B"/>
    <w:rsid w:val="00A66863"/>
    <w:rsid w:val="00A6694F"/>
    <w:rsid w:val="00A66AFE"/>
    <w:rsid w:val="00A66C7A"/>
    <w:rsid w:val="00A66E7F"/>
    <w:rsid w:val="00A671B1"/>
    <w:rsid w:val="00A67830"/>
    <w:rsid w:val="00A67C07"/>
    <w:rsid w:val="00A70A59"/>
    <w:rsid w:val="00A71297"/>
    <w:rsid w:val="00A714E1"/>
    <w:rsid w:val="00A714F9"/>
    <w:rsid w:val="00A71597"/>
    <w:rsid w:val="00A715A8"/>
    <w:rsid w:val="00A7165F"/>
    <w:rsid w:val="00A71B37"/>
    <w:rsid w:val="00A71E97"/>
    <w:rsid w:val="00A72EEA"/>
    <w:rsid w:val="00A7301B"/>
    <w:rsid w:val="00A7314A"/>
    <w:rsid w:val="00A732F4"/>
    <w:rsid w:val="00A73B2B"/>
    <w:rsid w:val="00A73D87"/>
    <w:rsid w:val="00A73E68"/>
    <w:rsid w:val="00A7450F"/>
    <w:rsid w:val="00A74A25"/>
    <w:rsid w:val="00A74BE4"/>
    <w:rsid w:val="00A75635"/>
    <w:rsid w:val="00A75692"/>
    <w:rsid w:val="00A7577A"/>
    <w:rsid w:val="00A7613E"/>
    <w:rsid w:val="00A761B3"/>
    <w:rsid w:val="00A7623A"/>
    <w:rsid w:val="00A76763"/>
    <w:rsid w:val="00A7702A"/>
    <w:rsid w:val="00A7711E"/>
    <w:rsid w:val="00A7726E"/>
    <w:rsid w:val="00A77319"/>
    <w:rsid w:val="00A773BF"/>
    <w:rsid w:val="00A77655"/>
    <w:rsid w:val="00A777C3"/>
    <w:rsid w:val="00A7793A"/>
    <w:rsid w:val="00A8036B"/>
    <w:rsid w:val="00A807C2"/>
    <w:rsid w:val="00A80EF0"/>
    <w:rsid w:val="00A814EB"/>
    <w:rsid w:val="00A8180F"/>
    <w:rsid w:val="00A81A76"/>
    <w:rsid w:val="00A81BFD"/>
    <w:rsid w:val="00A8215F"/>
    <w:rsid w:val="00A82C40"/>
    <w:rsid w:val="00A82ECE"/>
    <w:rsid w:val="00A835C6"/>
    <w:rsid w:val="00A83DCF"/>
    <w:rsid w:val="00A843B1"/>
    <w:rsid w:val="00A848D7"/>
    <w:rsid w:val="00A8493E"/>
    <w:rsid w:val="00A84A9B"/>
    <w:rsid w:val="00A8544E"/>
    <w:rsid w:val="00A85910"/>
    <w:rsid w:val="00A85AB5"/>
    <w:rsid w:val="00A85C1D"/>
    <w:rsid w:val="00A85EEE"/>
    <w:rsid w:val="00A85FAB"/>
    <w:rsid w:val="00A860CC"/>
    <w:rsid w:val="00A86127"/>
    <w:rsid w:val="00A861D4"/>
    <w:rsid w:val="00A8631E"/>
    <w:rsid w:val="00A8648E"/>
    <w:rsid w:val="00A86A8F"/>
    <w:rsid w:val="00A87321"/>
    <w:rsid w:val="00A87679"/>
    <w:rsid w:val="00A8790B"/>
    <w:rsid w:val="00A87E02"/>
    <w:rsid w:val="00A87E48"/>
    <w:rsid w:val="00A87EC6"/>
    <w:rsid w:val="00A87F95"/>
    <w:rsid w:val="00A901C6"/>
    <w:rsid w:val="00A901F3"/>
    <w:rsid w:val="00A90673"/>
    <w:rsid w:val="00A907C9"/>
    <w:rsid w:val="00A908E6"/>
    <w:rsid w:val="00A9096D"/>
    <w:rsid w:val="00A91538"/>
    <w:rsid w:val="00A91600"/>
    <w:rsid w:val="00A916E3"/>
    <w:rsid w:val="00A91BEC"/>
    <w:rsid w:val="00A91E0F"/>
    <w:rsid w:val="00A92021"/>
    <w:rsid w:val="00A92236"/>
    <w:rsid w:val="00A92484"/>
    <w:rsid w:val="00A929FC"/>
    <w:rsid w:val="00A9323E"/>
    <w:rsid w:val="00A93293"/>
    <w:rsid w:val="00A937F0"/>
    <w:rsid w:val="00A9413D"/>
    <w:rsid w:val="00A9417F"/>
    <w:rsid w:val="00A94362"/>
    <w:rsid w:val="00A9458B"/>
    <w:rsid w:val="00A94656"/>
    <w:rsid w:val="00A946C1"/>
    <w:rsid w:val="00A94B1E"/>
    <w:rsid w:val="00A94F77"/>
    <w:rsid w:val="00A9532B"/>
    <w:rsid w:val="00A954E2"/>
    <w:rsid w:val="00A956D5"/>
    <w:rsid w:val="00A95A45"/>
    <w:rsid w:val="00A95C24"/>
    <w:rsid w:val="00A95DC9"/>
    <w:rsid w:val="00A95E1B"/>
    <w:rsid w:val="00A95EBB"/>
    <w:rsid w:val="00A95F4F"/>
    <w:rsid w:val="00A9658E"/>
    <w:rsid w:val="00A9665D"/>
    <w:rsid w:val="00A966C3"/>
    <w:rsid w:val="00A9687D"/>
    <w:rsid w:val="00A96A61"/>
    <w:rsid w:val="00A96BE2"/>
    <w:rsid w:val="00A9709D"/>
    <w:rsid w:val="00A97286"/>
    <w:rsid w:val="00A973EC"/>
    <w:rsid w:val="00A97AE3"/>
    <w:rsid w:val="00A97B8E"/>
    <w:rsid w:val="00A97F37"/>
    <w:rsid w:val="00A97FE4"/>
    <w:rsid w:val="00AA0121"/>
    <w:rsid w:val="00AA07CF"/>
    <w:rsid w:val="00AA0842"/>
    <w:rsid w:val="00AA0A59"/>
    <w:rsid w:val="00AA0B7C"/>
    <w:rsid w:val="00AA11BE"/>
    <w:rsid w:val="00AA156F"/>
    <w:rsid w:val="00AA1997"/>
    <w:rsid w:val="00AA1FC0"/>
    <w:rsid w:val="00AA240B"/>
    <w:rsid w:val="00AA24B5"/>
    <w:rsid w:val="00AA2873"/>
    <w:rsid w:val="00AA2AA2"/>
    <w:rsid w:val="00AA2C89"/>
    <w:rsid w:val="00AA2DA0"/>
    <w:rsid w:val="00AA2DAC"/>
    <w:rsid w:val="00AA2E52"/>
    <w:rsid w:val="00AA31A5"/>
    <w:rsid w:val="00AA31FF"/>
    <w:rsid w:val="00AA3421"/>
    <w:rsid w:val="00AA39DF"/>
    <w:rsid w:val="00AA3EE4"/>
    <w:rsid w:val="00AA45FB"/>
    <w:rsid w:val="00AA471B"/>
    <w:rsid w:val="00AA47D7"/>
    <w:rsid w:val="00AA4BEA"/>
    <w:rsid w:val="00AA4C7C"/>
    <w:rsid w:val="00AA4CC7"/>
    <w:rsid w:val="00AA4CE3"/>
    <w:rsid w:val="00AA4EFD"/>
    <w:rsid w:val="00AA5E8E"/>
    <w:rsid w:val="00AA5F45"/>
    <w:rsid w:val="00AA6699"/>
    <w:rsid w:val="00AA6732"/>
    <w:rsid w:val="00AA6BFB"/>
    <w:rsid w:val="00AA6D01"/>
    <w:rsid w:val="00AA763D"/>
    <w:rsid w:val="00AA7E26"/>
    <w:rsid w:val="00AB04BF"/>
    <w:rsid w:val="00AB04ED"/>
    <w:rsid w:val="00AB0635"/>
    <w:rsid w:val="00AB0935"/>
    <w:rsid w:val="00AB0CD6"/>
    <w:rsid w:val="00AB0D63"/>
    <w:rsid w:val="00AB1106"/>
    <w:rsid w:val="00AB140C"/>
    <w:rsid w:val="00AB1452"/>
    <w:rsid w:val="00AB14AA"/>
    <w:rsid w:val="00AB19AA"/>
    <w:rsid w:val="00AB1D03"/>
    <w:rsid w:val="00AB1D3A"/>
    <w:rsid w:val="00AB21F9"/>
    <w:rsid w:val="00AB2485"/>
    <w:rsid w:val="00AB25FD"/>
    <w:rsid w:val="00AB2968"/>
    <w:rsid w:val="00AB29B1"/>
    <w:rsid w:val="00AB29C8"/>
    <w:rsid w:val="00AB31DD"/>
    <w:rsid w:val="00AB31E6"/>
    <w:rsid w:val="00AB3A76"/>
    <w:rsid w:val="00AB3E79"/>
    <w:rsid w:val="00AB3FC4"/>
    <w:rsid w:val="00AB4122"/>
    <w:rsid w:val="00AB4317"/>
    <w:rsid w:val="00AB467C"/>
    <w:rsid w:val="00AB4706"/>
    <w:rsid w:val="00AB4C86"/>
    <w:rsid w:val="00AB5133"/>
    <w:rsid w:val="00AB55B6"/>
    <w:rsid w:val="00AB56BA"/>
    <w:rsid w:val="00AB59F8"/>
    <w:rsid w:val="00AB5C12"/>
    <w:rsid w:val="00AB5E46"/>
    <w:rsid w:val="00AB6762"/>
    <w:rsid w:val="00AB6CA7"/>
    <w:rsid w:val="00AB6ECA"/>
    <w:rsid w:val="00AB7829"/>
    <w:rsid w:val="00AB78EB"/>
    <w:rsid w:val="00AC0345"/>
    <w:rsid w:val="00AC043A"/>
    <w:rsid w:val="00AC09AA"/>
    <w:rsid w:val="00AC09CB"/>
    <w:rsid w:val="00AC0DD9"/>
    <w:rsid w:val="00AC0E59"/>
    <w:rsid w:val="00AC0E98"/>
    <w:rsid w:val="00AC1155"/>
    <w:rsid w:val="00AC1164"/>
    <w:rsid w:val="00AC1508"/>
    <w:rsid w:val="00AC157A"/>
    <w:rsid w:val="00AC159F"/>
    <w:rsid w:val="00AC1AE9"/>
    <w:rsid w:val="00AC1B46"/>
    <w:rsid w:val="00AC2BBD"/>
    <w:rsid w:val="00AC2CDA"/>
    <w:rsid w:val="00AC2EF6"/>
    <w:rsid w:val="00AC3289"/>
    <w:rsid w:val="00AC374A"/>
    <w:rsid w:val="00AC38F6"/>
    <w:rsid w:val="00AC3A56"/>
    <w:rsid w:val="00AC3EDE"/>
    <w:rsid w:val="00AC4251"/>
    <w:rsid w:val="00AC4277"/>
    <w:rsid w:val="00AC42D3"/>
    <w:rsid w:val="00AC44D5"/>
    <w:rsid w:val="00AC46C9"/>
    <w:rsid w:val="00AC4F11"/>
    <w:rsid w:val="00AC5C0F"/>
    <w:rsid w:val="00AC5E51"/>
    <w:rsid w:val="00AC5E7A"/>
    <w:rsid w:val="00AC6017"/>
    <w:rsid w:val="00AC6090"/>
    <w:rsid w:val="00AC61EB"/>
    <w:rsid w:val="00AC6A58"/>
    <w:rsid w:val="00AC6B25"/>
    <w:rsid w:val="00AC6CF7"/>
    <w:rsid w:val="00AC7143"/>
    <w:rsid w:val="00AC749A"/>
    <w:rsid w:val="00AC76A9"/>
    <w:rsid w:val="00AC771E"/>
    <w:rsid w:val="00AC79E0"/>
    <w:rsid w:val="00AC7AAC"/>
    <w:rsid w:val="00AD0026"/>
    <w:rsid w:val="00AD010A"/>
    <w:rsid w:val="00AD01E4"/>
    <w:rsid w:val="00AD01EB"/>
    <w:rsid w:val="00AD072F"/>
    <w:rsid w:val="00AD0858"/>
    <w:rsid w:val="00AD11BC"/>
    <w:rsid w:val="00AD1511"/>
    <w:rsid w:val="00AD195B"/>
    <w:rsid w:val="00AD1CDB"/>
    <w:rsid w:val="00AD1FA1"/>
    <w:rsid w:val="00AD2629"/>
    <w:rsid w:val="00AD2979"/>
    <w:rsid w:val="00AD2A5D"/>
    <w:rsid w:val="00AD2EDF"/>
    <w:rsid w:val="00AD3477"/>
    <w:rsid w:val="00AD36D1"/>
    <w:rsid w:val="00AD3710"/>
    <w:rsid w:val="00AD3725"/>
    <w:rsid w:val="00AD3DB7"/>
    <w:rsid w:val="00AD413B"/>
    <w:rsid w:val="00AD43BF"/>
    <w:rsid w:val="00AD4D73"/>
    <w:rsid w:val="00AD53C4"/>
    <w:rsid w:val="00AD548E"/>
    <w:rsid w:val="00AD5662"/>
    <w:rsid w:val="00AD5780"/>
    <w:rsid w:val="00AD58C5"/>
    <w:rsid w:val="00AD5D8E"/>
    <w:rsid w:val="00AD6178"/>
    <w:rsid w:val="00AD665B"/>
    <w:rsid w:val="00AD6BA3"/>
    <w:rsid w:val="00AD6CAE"/>
    <w:rsid w:val="00AD7020"/>
    <w:rsid w:val="00AD7359"/>
    <w:rsid w:val="00AD777B"/>
    <w:rsid w:val="00AE0374"/>
    <w:rsid w:val="00AE0505"/>
    <w:rsid w:val="00AE057C"/>
    <w:rsid w:val="00AE0636"/>
    <w:rsid w:val="00AE0700"/>
    <w:rsid w:val="00AE1119"/>
    <w:rsid w:val="00AE11A9"/>
    <w:rsid w:val="00AE12CF"/>
    <w:rsid w:val="00AE14C2"/>
    <w:rsid w:val="00AE14FD"/>
    <w:rsid w:val="00AE15A8"/>
    <w:rsid w:val="00AE170D"/>
    <w:rsid w:val="00AE18B5"/>
    <w:rsid w:val="00AE199A"/>
    <w:rsid w:val="00AE19E0"/>
    <w:rsid w:val="00AE235C"/>
    <w:rsid w:val="00AE2543"/>
    <w:rsid w:val="00AE284D"/>
    <w:rsid w:val="00AE2C02"/>
    <w:rsid w:val="00AE2D83"/>
    <w:rsid w:val="00AE2EE3"/>
    <w:rsid w:val="00AE33F4"/>
    <w:rsid w:val="00AE34AF"/>
    <w:rsid w:val="00AE3B2C"/>
    <w:rsid w:val="00AE3E71"/>
    <w:rsid w:val="00AE407C"/>
    <w:rsid w:val="00AE4120"/>
    <w:rsid w:val="00AE45D3"/>
    <w:rsid w:val="00AE51BA"/>
    <w:rsid w:val="00AE52A2"/>
    <w:rsid w:val="00AE5341"/>
    <w:rsid w:val="00AE5417"/>
    <w:rsid w:val="00AE5624"/>
    <w:rsid w:val="00AE58BD"/>
    <w:rsid w:val="00AE5A50"/>
    <w:rsid w:val="00AE5ACC"/>
    <w:rsid w:val="00AE5B15"/>
    <w:rsid w:val="00AE5EE2"/>
    <w:rsid w:val="00AE5FFA"/>
    <w:rsid w:val="00AE6AC9"/>
    <w:rsid w:val="00AE70D2"/>
    <w:rsid w:val="00AE72FA"/>
    <w:rsid w:val="00AE7340"/>
    <w:rsid w:val="00AE752C"/>
    <w:rsid w:val="00AE796B"/>
    <w:rsid w:val="00AE7D2E"/>
    <w:rsid w:val="00AE7E88"/>
    <w:rsid w:val="00AE7F2F"/>
    <w:rsid w:val="00AF0174"/>
    <w:rsid w:val="00AF0369"/>
    <w:rsid w:val="00AF0508"/>
    <w:rsid w:val="00AF0841"/>
    <w:rsid w:val="00AF106D"/>
    <w:rsid w:val="00AF181B"/>
    <w:rsid w:val="00AF1BBD"/>
    <w:rsid w:val="00AF1F42"/>
    <w:rsid w:val="00AF227D"/>
    <w:rsid w:val="00AF2333"/>
    <w:rsid w:val="00AF237F"/>
    <w:rsid w:val="00AF23E7"/>
    <w:rsid w:val="00AF273C"/>
    <w:rsid w:val="00AF29D6"/>
    <w:rsid w:val="00AF30BE"/>
    <w:rsid w:val="00AF350A"/>
    <w:rsid w:val="00AF3C6F"/>
    <w:rsid w:val="00AF3C9A"/>
    <w:rsid w:val="00AF3CB1"/>
    <w:rsid w:val="00AF3E3D"/>
    <w:rsid w:val="00AF3FC2"/>
    <w:rsid w:val="00AF41D2"/>
    <w:rsid w:val="00AF439E"/>
    <w:rsid w:val="00AF45A8"/>
    <w:rsid w:val="00AF4A27"/>
    <w:rsid w:val="00AF4AD5"/>
    <w:rsid w:val="00AF4B12"/>
    <w:rsid w:val="00AF4B70"/>
    <w:rsid w:val="00AF4D3E"/>
    <w:rsid w:val="00AF50CC"/>
    <w:rsid w:val="00AF575F"/>
    <w:rsid w:val="00AF5F8D"/>
    <w:rsid w:val="00AF6024"/>
    <w:rsid w:val="00AF60D1"/>
    <w:rsid w:val="00AF6182"/>
    <w:rsid w:val="00AF6839"/>
    <w:rsid w:val="00AF71E0"/>
    <w:rsid w:val="00AF723C"/>
    <w:rsid w:val="00AF7336"/>
    <w:rsid w:val="00AF74B9"/>
    <w:rsid w:val="00AF799A"/>
    <w:rsid w:val="00AF7A84"/>
    <w:rsid w:val="00AF7F50"/>
    <w:rsid w:val="00AF7F53"/>
    <w:rsid w:val="00B0023B"/>
    <w:rsid w:val="00B002B6"/>
    <w:rsid w:val="00B00A57"/>
    <w:rsid w:val="00B00CB6"/>
    <w:rsid w:val="00B00DC5"/>
    <w:rsid w:val="00B00E2A"/>
    <w:rsid w:val="00B00EE0"/>
    <w:rsid w:val="00B010E1"/>
    <w:rsid w:val="00B014D6"/>
    <w:rsid w:val="00B0166C"/>
    <w:rsid w:val="00B01808"/>
    <w:rsid w:val="00B02577"/>
    <w:rsid w:val="00B0281E"/>
    <w:rsid w:val="00B02837"/>
    <w:rsid w:val="00B0299C"/>
    <w:rsid w:val="00B02C25"/>
    <w:rsid w:val="00B0304D"/>
    <w:rsid w:val="00B034E6"/>
    <w:rsid w:val="00B038BA"/>
    <w:rsid w:val="00B03946"/>
    <w:rsid w:val="00B039C0"/>
    <w:rsid w:val="00B03B51"/>
    <w:rsid w:val="00B0425E"/>
    <w:rsid w:val="00B04441"/>
    <w:rsid w:val="00B048CB"/>
    <w:rsid w:val="00B04D11"/>
    <w:rsid w:val="00B0509C"/>
    <w:rsid w:val="00B05534"/>
    <w:rsid w:val="00B05756"/>
    <w:rsid w:val="00B05875"/>
    <w:rsid w:val="00B05CEA"/>
    <w:rsid w:val="00B05EF1"/>
    <w:rsid w:val="00B062C5"/>
    <w:rsid w:val="00B064F2"/>
    <w:rsid w:val="00B065E6"/>
    <w:rsid w:val="00B068F9"/>
    <w:rsid w:val="00B06B8C"/>
    <w:rsid w:val="00B06C56"/>
    <w:rsid w:val="00B06CE4"/>
    <w:rsid w:val="00B0704B"/>
    <w:rsid w:val="00B070D8"/>
    <w:rsid w:val="00B0735B"/>
    <w:rsid w:val="00B074C5"/>
    <w:rsid w:val="00B07929"/>
    <w:rsid w:val="00B07D0C"/>
    <w:rsid w:val="00B07E9B"/>
    <w:rsid w:val="00B10207"/>
    <w:rsid w:val="00B10695"/>
    <w:rsid w:val="00B10B5D"/>
    <w:rsid w:val="00B10BFB"/>
    <w:rsid w:val="00B10EC2"/>
    <w:rsid w:val="00B114B1"/>
    <w:rsid w:val="00B11942"/>
    <w:rsid w:val="00B11B0E"/>
    <w:rsid w:val="00B11BAA"/>
    <w:rsid w:val="00B11C1F"/>
    <w:rsid w:val="00B12038"/>
    <w:rsid w:val="00B1266A"/>
    <w:rsid w:val="00B13189"/>
    <w:rsid w:val="00B13717"/>
    <w:rsid w:val="00B139F6"/>
    <w:rsid w:val="00B141E7"/>
    <w:rsid w:val="00B1427F"/>
    <w:rsid w:val="00B142FD"/>
    <w:rsid w:val="00B15B8B"/>
    <w:rsid w:val="00B15C9E"/>
    <w:rsid w:val="00B16873"/>
    <w:rsid w:val="00B16E16"/>
    <w:rsid w:val="00B16E46"/>
    <w:rsid w:val="00B171C5"/>
    <w:rsid w:val="00B17290"/>
    <w:rsid w:val="00B17C73"/>
    <w:rsid w:val="00B20012"/>
    <w:rsid w:val="00B202E6"/>
    <w:rsid w:val="00B20A60"/>
    <w:rsid w:val="00B2138B"/>
    <w:rsid w:val="00B21408"/>
    <w:rsid w:val="00B216EB"/>
    <w:rsid w:val="00B218C3"/>
    <w:rsid w:val="00B21D04"/>
    <w:rsid w:val="00B22592"/>
    <w:rsid w:val="00B2278F"/>
    <w:rsid w:val="00B227B5"/>
    <w:rsid w:val="00B231C4"/>
    <w:rsid w:val="00B2335F"/>
    <w:rsid w:val="00B23617"/>
    <w:rsid w:val="00B23637"/>
    <w:rsid w:val="00B236F2"/>
    <w:rsid w:val="00B23ADF"/>
    <w:rsid w:val="00B24029"/>
    <w:rsid w:val="00B2452B"/>
    <w:rsid w:val="00B24E4A"/>
    <w:rsid w:val="00B25826"/>
    <w:rsid w:val="00B259FB"/>
    <w:rsid w:val="00B25BE1"/>
    <w:rsid w:val="00B25C63"/>
    <w:rsid w:val="00B263E5"/>
    <w:rsid w:val="00B265B4"/>
    <w:rsid w:val="00B26C60"/>
    <w:rsid w:val="00B26D56"/>
    <w:rsid w:val="00B270DC"/>
    <w:rsid w:val="00B2736A"/>
    <w:rsid w:val="00B27560"/>
    <w:rsid w:val="00B279EE"/>
    <w:rsid w:val="00B27BDA"/>
    <w:rsid w:val="00B30037"/>
    <w:rsid w:val="00B300EA"/>
    <w:rsid w:val="00B3011A"/>
    <w:rsid w:val="00B3027F"/>
    <w:rsid w:val="00B303AF"/>
    <w:rsid w:val="00B30E79"/>
    <w:rsid w:val="00B31276"/>
    <w:rsid w:val="00B325E3"/>
    <w:rsid w:val="00B3289B"/>
    <w:rsid w:val="00B32D01"/>
    <w:rsid w:val="00B32FE3"/>
    <w:rsid w:val="00B33253"/>
    <w:rsid w:val="00B33D60"/>
    <w:rsid w:val="00B33E05"/>
    <w:rsid w:val="00B340B6"/>
    <w:rsid w:val="00B34305"/>
    <w:rsid w:val="00B344BF"/>
    <w:rsid w:val="00B348A6"/>
    <w:rsid w:val="00B34C6D"/>
    <w:rsid w:val="00B3511B"/>
    <w:rsid w:val="00B351B4"/>
    <w:rsid w:val="00B353A6"/>
    <w:rsid w:val="00B357E0"/>
    <w:rsid w:val="00B35939"/>
    <w:rsid w:val="00B35991"/>
    <w:rsid w:val="00B35AAB"/>
    <w:rsid w:val="00B35FE1"/>
    <w:rsid w:val="00B3608C"/>
    <w:rsid w:val="00B3619B"/>
    <w:rsid w:val="00B364D9"/>
    <w:rsid w:val="00B364FD"/>
    <w:rsid w:val="00B37118"/>
    <w:rsid w:val="00B3738C"/>
    <w:rsid w:val="00B3741A"/>
    <w:rsid w:val="00B3792F"/>
    <w:rsid w:val="00B37A64"/>
    <w:rsid w:val="00B37DE1"/>
    <w:rsid w:val="00B405DE"/>
    <w:rsid w:val="00B4135A"/>
    <w:rsid w:val="00B415F1"/>
    <w:rsid w:val="00B41ACC"/>
    <w:rsid w:val="00B41D11"/>
    <w:rsid w:val="00B42073"/>
    <w:rsid w:val="00B420EA"/>
    <w:rsid w:val="00B425EB"/>
    <w:rsid w:val="00B42913"/>
    <w:rsid w:val="00B429B3"/>
    <w:rsid w:val="00B429E2"/>
    <w:rsid w:val="00B42B7A"/>
    <w:rsid w:val="00B43030"/>
    <w:rsid w:val="00B43454"/>
    <w:rsid w:val="00B437E9"/>
    <w:rsid w:val="00B446A8"/>
    <w:rsid w:val="00B4489A"/>
    <w:rsid w:val="00B44B18"/>
    <w:rsid w:val="00B4521C"/>
    <w:rsid w:val="00B456D9"/>
    <w:rsid w:val="00B4592A"/>
    <w:rsid w:val="00B45BE6"/>
    <w:rsid w:val="00B45F4B"/>
    <w:rsid w:val="00B45F93"/>
    <w:rsid w:val="00B46535"/>
    <w:rsid w:val="00B46621"/>
    <w:rsid w:val="00B467E6"/>
    <w:rsid w:val="00B46887"/>
    <w:rsid w:val="00B46BCA"/>
    <w:rsid w:val="00B46C08"/>
    <w:rsid w:val="00B46E7C"/>
    <w:rsid w:val="00B476C4"/>
    <w:rsid w:val="00B478AA"/>
    <w:rsid w:val="00B47F9F"/>
    <w:rsid w:val="00B50000"/>
    <w:rsid w:val="00B504C6"/>
    <w:rsid w:val="00B50586"/>
    <w:rsid w:val="00B506B2"/>
    <w:rsid w:val="00B506D5"/>
    <w:rsid w:val="00B51518"/>
    <w:rsid w:val="00B51590"/>
    <w:rsid w:val="00B51937"/>
    <w:rsid w:val="00B51A70"/>
    <w:rsid w:val="00B51E57"/>
    <w:rsid w:val="00B52833"/>
    <w:rsid w:val="00B52C5B"/>
    <w:rsid w:val="00B52D99"/>
    <w:rsid w:val="00B52E10"/>
    <w:rsid w:val="00B532BF"/>
    <w:rsid w:val="00B532CD"/>
    <w:rsid w:val="00B53670"/>
    <w:rsid w:val="00B53801"/>
    <w:rsid w:val="00B53A6A"/>
    <w:rsid w:val="00B53A9D"/>
    <w:rsid w:val="00B53AD5"/>
    <w:rsid w:val="00B53F9E"/>
    <w:rsid w:val="00B5459D"/>
    <w:rsid w:val="00B54A77"/>
    <w:rsid w:val="00B54B2A"/>
    <w:rsid w:val="00B54D3A"/>
    <w:rsid w:val="00B54D6F"/>
    <w:rsid w:val="00B54EEB"/>
    <w:rsid w:val="00B54F2C"/>
    <w:rsid w:val="00B54F7B"/>
    <w:rsid w:val="00B55041"/>
    <w:rsid w:val="00B55102"/>
    <w:rsid w:val="00B55490"/>
    <w:rsid w:val="00B554C3"/>
    <w:rsid w:val="00B5679A"/>
    <w:rsid w:val="00B56980"/>
    <w:rsid w:val="00B56AF8"/>
    <w:rsid w:val="00B56C1C"/>
    <w:rsid w:val="00B56F04"/>
    <w:rsid w:val="00B57186"/>
    <w:rsid w:val="00B57765"/>
    <w:rsid w:val="00B60291"/>
    <w:rsid w:val="00B60346"/>
    <w:rsid w:val="00B60458"/>
    <w:rsid w:val="00B60575"/>
    <w:rsid w:val="00B60A07"/>
    <w:rsid w:val="00B60D21"/>
    <w:rsid w:val="00B60D71"/>
    <w:rsid w:val="00B60E2E"/>
    <w:rsid w:val="00B60E55"/>
    <w:rsid w:val="00B61565"/>
    <w:rsid w:val="00B61C1B"/>
    <w:rsid w:val="00B61ECF"/>
    <w:rsid w:val="00B61FFE"/>
    <w:rsid w:val="00B6203C"/>
    <w:rsid w:val="00B62156"/>
    <w:rsid w:val="00B621CE"/>
    <w:rsid w:val="00B62648"/>
    <w:rsid w:val="00B626A3"/>
    <w:rsid w:val="00B62725"/>
    <w:rsid w:val="00B635EE"/>
    <w:rsid w:val="00B6380C"/>
    <w:rsid w:val="00B64049"/>
    <w:rsid w:val="00B6425C"/>
    <w:rsid w:val="00B6447A"/>
    <w:rsid w:val="00B64600"/>
    <w:rsid w:val="00B6467A"/>
    <w:rsid w:val="00B64AF8"/>
    <w:rsid w:val="00B64BF4"/>
    <w:rsid w:val="00B64EF5"/>
    <w:rsid w:val="00B65135"/>
    <w:rsid w:val="00B653F8"/>
    <w:rsid w:val="00B65773"/>
    <w:rsid w:val="00B65A7D"/>
    <w:rsid w:val="00B66032"/>
    <w:rsid w:val="00B6606E"/>
    <w:rsid w:val="00B6611C"/>
    <w:rsid w:val="00B66152"/>
    <w:rsid w:val="00B66478"/>
    <w:rsid w:val="00B666FD"/>
    <w:rsid w:val="00B66914"/>
    <w:rsid w:val="00B669A1"/>
    <w:rsid w:val="00B6709D"/>
    <w:rsid w:val="00B672C0"/>
    <w:rsid w:val="00B67538"/>
    <w:rsid w:val="00B701E4"/>
    <w:rsid w:val="00B706D7"/>
    <w:rsid w:val="00B70A9A"/>
    <w:rsid w:val="00B70BA3"/>
    <w:rsid w:val="00B70DC1"/>
    <w:rsid w:val="00B71029"/>
    <w:rsid w:val="00B713B8"/>
    <w:rsid w:val="00B715CB"/>
    <w:rsid w:val="00B71BAA"/>
    <w:rsid w:val="00B72202"/>
    <w:rsid w:val="00B7238D"/>
    <w:rsid w:val="00B724DE"/>
    <w:rsid w:val="00B72B0B"/>
    <w:rsid w:val="00B72F7E"/>
    <w:rsid w:val="00B730F3"/>
    <w:rsid w:val="00B7320D"/>
    <w:rsid w:val="00B735C5"/>
    <w:rsid w:val="00B73662"/>
    <w:rsid w:val="00B736C6"/>
    <w:rsid w:val="00B73761"/>
    <w:rsid w:val="00B73819"/>
    <w:rsid w:val="00B738DD"/>
    <w:rsid w:val="00B73AFE"/>
    <w:rsid w:val="00B73C20"/>
    <w:rsid w:val="00B73E38"/>
    <w:rsid w:val="00B743AC"/>
    <w:rsid w:val="00B74738"/>
    <w:rsid w:val="00B750F9"/>
    <w:rsid w:val="00B75160"/>
    <w:rsid w:val="00B75264"/>
    <w:rsid w:val="00B75356"/>
    <w:rsid w:val="00B755B3"/>
    <w:rsid w:val="00B75B00"/>
    <w:rsid w:val="00B76015"/>
    <w:rsid w:val="00B76198"/>
    <w:rsid w:val="00B7639F"/>
    <w:rsid w:val="00B7696A"/>
    <w:rsid w:val="00B769CB"/>
    <w:rsid w:val="00B7763B"/>
    <w:rsid w:val="00B77658"/>
    <w:rsid w:val="00B776C0"/>
    <w:rsid w:val="00B7778F"/>
    <w:rsid w:val="00B77BC9"/>
    <w:rsid w:val="00B77CDE"/>
    <w:rsid w:val="00B80423"/>
    <w:rsid w:val="00B80474"/>
    <w:rsid w:val="00B804D3"/>
    <w:rsid w:val="00B80CD4"/>
    <w:rsid w:val="00B80D36"/>
    <w:rsid w:val="00B81094"/>
    <w:rsid w:val="00B812CD"/>
    <w:rsid w:val="00B818A9"/>
    <w:rsid w:val="00B818F7"/>
    <w:rsid w:val="00B819F0"/>
    <w:rsid w:val="00B81C71"/>
    <w:rsid w:val="00B822B3"/>
    <w:rsid w:val="00B823BF"/>
    <w:rsid w:val="00B826A2"/>
    <w:rsid w:val="00B8289B"/>
    <w:rsid w:val="00B82ABF"/>
    <w:rsid w:val="00B82B9C"/>
    <w:rsid w:val="00B82ECC"/>
    <w:rsid w:val="00B82EE1"/>
    <w:rsid w:val="00B82FF0"/>
    <w:rsid w:val="00B839A0"/>
    <w:rsid w:val="00B83A5D"/>
    <w:rsid w:val="00B843EA"/>
    <w:rsid w:val="00B84571"/>
    <w:rsid w:val="00B84885"/>
    <w:rsid w:val="00B85019"/>
    <w:rsid w:val="00B852C9"/>
    <w:rsid w:val="00B85649"/>
    <w:rsid w:val="00B85A9B"/>
    <w:rsid w:val="00B85BEB"/>
    <w:rsid w:val="00B85CF0"/>
    <w:rsid w:val="00B85DD5"/>
    <w:rsid w:val="00B85DE4"/>
    <w:rsid w:val="00B85F6C"/>
    <w:rsid w:val="00B861BB"/>
    <w:rsid w:val="00B86654"/>
    <w:rsid w:val="00B86C44"/>
    <w:rsid w:val="00B86D1C"/>
    <w:rsid w:val="00B86FD5"/>
    <w:rsid w:val="00B8723D"/>
    <w:rsid w:val="00B8724E"/>
    <w:rsid w:val="00B8739F"/>
    <w:rsid w:val="00B87806"/>
    <w:rsid w:val="00B878C3"/>
    <w:rsid w:val="00B87D44"/>
    <w:rsid w:val="00B87EC9"/>
    <w:rsid w:val="00B902E4"/>
    <w:rsid w:val="00B9045D"/>
    <w:rsid w:val="00B90560"/>
    <w:rsid w:val="00B9059A"/>
    <w:rsid w:val="00B9064C"/>
    <w:rsid w:val="00B9068B"/>
    <w:rsid w:val="00B90762"/>
    <w:rsid w:val="00B90AA5"/>
    <w:rsid w:val="00B90BA8"/>
    <w:rsid w:val="00B9104F"/>
    <w:rsid w:val="00B910CF"/>
    <w:rsid w:val="00B91548"/>
    <w:rsid w:val="00B91B55"/>
    <w:rsid w:val="00B91DBA"/>
    <w:rsid w:val="00B91E1F"/>
    <w:rsid w:val="00B92305"/>
    <w:rsid w:val="00B923ED"/>
    <w:rsid w:val="00B9261A"/>
    <w:rsid w:val="00B928A6"/>
    <w:rsid w:val="00B92BF8"/>
    <w:rsid w:val="00B92FB0"/>
    <w:rsid w:val="00B93259"/>
    <w:rsid w:val="00B93442"/>
    <w:rsid w:val="00B93509"/>
    <w:rsid w:val="00B93824"/>
    <w:rsid w:val="00B94342"/>
    <w:rsid w:val="00B953B3"/>
    <w:rsid w:val="00B9582A"/>
    <w:rsid w:val="00B95880"/>
    <w:rsid w:val="00B95B40"/>
    <w:rsid w:val="00B95C00"/>
    <w:rsid w:val="00B95C6B"/>
    <w:rsid w:val="00B95F4E"/>
    <w:rsid w:val="00B96223"/>
    <w:rsid w:val="00B96514"/>
    <w:rsid w:val="00B9658B"/>
    <w:rsid w:val="00B9690C"/>
    <w:rsid w:val="00B96B10"/>
    <w:rsid w:val="00B96DFC"/>
    <w:rsid w:val="00B970C6"/>
    <w:rsid w:val="00B97B9F"/>
    <w:rsid w:val="00B97C42"/>
    <w:rsid w:val="00BA03D4"/>
    <w:rsid w:val="00BA0750"/>
    <w:rsid w:val="00BA08BB"/>
    <w:rsid w:val="00BA093A"/>
    <w:rsid w:val="00BA09E8"/>
    <w:rsid w:val="00BA0B2C"/>
    <w:rsid w:val="00BA0B57"/>
    <w:rsid w:val="00BA1253"/>
    <w:rsid w:val="00BA16B9"/>
    <w:rsid w:val="00BA2294"/>
    <w:rsid w:val="00BA2C10"/>
    <w:rsid w:val="00BA2CD2"/>
    <w:rsid w:val="00BA39C6"/>
    <w:rsid w:val="00BA48D5"/>
    <w:rsid w:val="00BA4C0A"/>
    <w:rsid w:val="00BA4C20"/>
    <w:rsid w:val="00BA4E1A"/>
    <w:rsid w:val="00BA4E9C"/>
    <w:rsid w:val="00BA5620"/>
    <w:rsid w:val="00BA59FC"/>
    <w:rsid w:val="00BA5FF7"/>
    <w:rsid w:val="00BA6463"/>
    <w:rsid w:val="00BA66C9"/>
    <w:rsid w:val="00BA66E6"/>
    <w:rsid w:val="00BA72D0"/>
    <w:rsid w:val="00BA74F2"/>
    <w:rsid w:val="00BA7797"/>
    <w:rsid w:val="00BA7CC4"/>
    <w:rsid w:val="00BB003D"/>
    <w:rsid w:val="00BB046D"/>
    <w:rsid w:val="00BB1483"/>
    <w:rsid w:val="00BB15BB"/>
    <w:rsid w:val="00BB19C8"/>
    <w:rsid w:val="00BB1FBF"/>
    <w:rsid w:val="00BB226B"/>
    <w:rsid w:val="00BB228C"/>
    <w:rsid w:val="00BB28E9"/>
    <w:rsid w:val="00BB2914"/>
    <w:rsid w:val="00BB2EA1"/>
    <w:rsid w:val="00BB3144"/>
    <w:rsid w:val="00BB318C"/>
    <w:rsid w:val="00BB3466"/>
    <w:rsid w:val="00BB49A4"/>
    <w:rsid w:val="00BB4B8A"/>
    <w:rsid w:val="00BB4CC8"/>
    <w:rsid w:val="00BB4F13"/>
    <w:rsid w:val="00BB545D"/>
    <w:rsid w:val="00BB5784"/>
    <w:rsid w:val="00BB5802"/>
    <w:rsid w:val="00BB648F"/>
    <w:rsid w:val="00BB6690"/>
    <w:rsid w:val="00BB676E"/>
    <w:rsid w:val="00BB6B31"/>
    <w:rsid w:val="00BB6FB5"/>
    <w:rsid w:val="00BB70ED"/>
    <w:rsid w:val="00BB7594"/>
    <w:rsid w:val="00BB7629"/>
    <w:rsid w:val="00BB77C1"/>
    <w:rsid w:val="00BB78F7"/>
    <w:rsid w:val="00BC0169"/>
    <w:rsid w:val="00BC05D3"/>
    <w:rsid w:val="00BC06A9"/>
    <w:rsid w:val="00BC0A2A"/>
    <w:rsid w:val="00BC0DC2"/>
    <w:rsid w:val="00BC112C"/>
    <w:rsid w:val="00BC1334"/>
    <w:rsid w:val="00BC154C"/>
    <w:rsid w:val="00BC1589"/>
    <w:rsid w:val="00BC1D46"/>
    <w:rsid w:val="00BC1D70"/>
    <w:rsid w:val="00BC21BE"/>
    <w:rsid w:val="00BC24D7"/>
    <w:rsid w:val="00BC281D"/>
    <w:rsid w:val="00BC2A1E"/>
    <w:rsid w:val="00BC3581"/>
    <w:rsid w:val="00BC38FD"/>
    <w:rsid w:val="00BC3CC6"/>
    <w:rsid w:val="00BC4A2B"/>
    <w:rsid w:val="00BC4AD6"/>
    <w:rsid w:val="00BC4B5E"/>
    <w:rsid w:val="00BC5BA6"/>
    <w:rsid w:val="00BC607D"/>
    <w:rsid w:val="00BC622B"/>
    <w:rsid w:val="00BC63AA"/>
    <w:rsid w:val="00BC66E9"/>
    <w:rsid w:val="00BC68BF"/>
    <w:rsid w:val="00BC6BDB"/>
    <w:rsid w:val="00BC6C73"/>
    <w:rsid w:val="00BC6EB3"/>
    <w:rsid w:val="00BC700C"/>
    <w:rsid w:val="00BC7EF4"/>
    <w:rsid w:val="00BD0059"/>
    <w:rsid w:val="00BD0684"/>
    <w:rsid w:val="00BD08A1"/>
    <w:rsid w:val="00BD0CED"/>
    <w:rsid w:val="00BD0D00"/>
    <w:rsid w:val="00BD0E5B"/>
    <w:rsid w:val="00BD11E2"/>
    <w:rsid w:val="00BD13EC"/>
    <w:rsid w:val="00BD15C1"/>
    <w:rsid w:val="00BD16D2"/>
    <w:rsid w:val="00BD1DBA"/>
    <w:rsid w:val="00BD1F56"/>
    <w:rsid w:val="00BD1FBD"/>
    <w:rsid w:val="00BD26D3"/>
    <w:rsid w:val="00BD2780"/>
    <w:rsid w:val="00BD2843"/>
    <w:rsid w:val="00BD2A32"/>
    <w:rsid w:val="00BD2AEB"/>
    <w:rsid w:val="00BD2D00"/>
    <w:rsid w:val="00BD3636"/>
    <w:rsid w:val="00BD436C"/>
    <w:rsid w:val="00BD4719"/>
    <w:rsid w:val="00BD4AC3"/>
    <w:rsid w:val="00BD4CEB"/>
    <w:rsid w:val="00BD4F2C"/>
    <w:rsid w:val="00BD56B2"/>
    <w:rsid w:val="00BD5780"/>
    <w:rsid w:val="00BD5D34"/>
    <w:rsid w:val="00BD5FAC"/>
    <w:rsid w:val="00BD66E3"/>
    <w:rsid w:val="00BD67AD"/>
    <w:rsid w:val="00BD68E2"/>
    <w:rsid w:val="00BD7037"/>
    <w:rsid w:val="00BD7FD7"/>
    <w:rsid w:val="00BE00AA"/>
    <w:rsid w:val="00BE07FD"/>
    <w:rsid w:val="00BE08D1"/>
    <w:rsid w:val="00BE09E5"/>
    <w:rsid w:val="00BE0F8B"/>
    <w:rsid w:val="00BE156E"/>
    <w:rsid w:val="00BE15F2"/>
    <w:rsid w:val="00BE18D0"/>
    <w:rsid w:val="00BE1BAC"/>
    <w:rsid w:val="00BE28C1"/>
    <w:rsid w:val="00BE2D8A"/>
    <w:rsid w:val="00BE31D9"/>
    <w:rsid w:val="00BE3299"/>
    <w:rsid w:val="00BE37BB"/>
    <w:rsid w:val="00BE37C0"/>
    <w:rsid w:val="00BE3A3C"/>
    <w:rsid w:val="00BE3AB1"/>
    <w:rsid w:val="00BE3B43"/>
    <w:rsid w:val="00BE3B67"/>
    <w:rsid w:val="00BE3CEF"/>
    <w:rsid w:val="00BE4367"/>
    <w:rsid w:val="00BE4443"/>
    <w:rsid w:val="00BE47E3"/>
    <w:rsid w:val="00BE483E"/>
    <w:rsid w:val="00BE4B10"/>
    <w:rsid w:val="00BE4CAA"/>
    <w:rsid w:val="00BE54C4"/>
    <w:rsid w:val="00BE5C93"/>
    <w:rsid w:val="00BE5DF2"/>
    <w:rsid w:val="00BE5FD3"/>
    <w:rsid w:val="00BE5FD7"/>
    <w:rsid w:val="00BE5FEF"/>
    <w:rsid w:val="00BE6602"/>
    <w:rsid w:val="00BE6DFF"/>
    <w:rsid w:val="00BE7167"/>
    <w:rsid w:val="00BE77D6"/>
    <w:rsid w:val="00BE7DB6"/>
    <w:rsid w:val="00BE7ED4"/>
    <w:rsid w:val="00BE7F0F"/>
    <w:rsid w:val="00BF0265"/>
    <w:rsid w:val="00BF047E"/>
    <w:rsid w:val="00BF061D"/>
    <w:rsid w:val="00BF0795"/>
    <w:rsid w:val="00BF0853"/>
    <w:rsid w:val="00BF08AA"/>
    <w:rsid w:val="00BF0A05"/>
    <w:rsid w:val="00BF0FF6"/>
    <w:rsid w:val="00BF1077"/>
    <w:rsid w:val="00BF13E1"/>
    <w:rsid w:val="00BF147F"/>
    <w:rsid w:val="00BF1891"/>
    <w:rsid w:val="00BF197E"/>
    <w:rsid w:val="00BF19CF"/>
    <w:rsid w:val="00BF1A3D"/>
    <w:rsid w:val="00BF1CDC"/>
    <w:rsid w:val="00BF2841"/>
    <w:rsid w:val="00BF31C3"/>
    <w:rsid w:val="00BF3604"/>
    <w:rsid w:val="00BF3682"/>
    <w:rsid w:val="00BF420E"/>
    <w:rsid w:val="00BF429C"/>
    <w:rsid w:val="00BF42B6"/>
    <w:rsid w:val="00BF495F"/>
    <w:rsid w:val="00BF49A4"/>
    <w:rsid w:val="00BF4A56"/>
    <w:rsid w:val="00BF51B9"/>
    <w:rsid w:val="00BF52BE"/>
    <w:rsid w:val="00BF5809"/>
    <w:rsid w:val="00BF5968"/>
    <w:rsid w:val="00BF63E2"/>
    <w:rsid w:val="00BF6B3E"/>
    <w:rsid w:val="00BF72A2"/>
    <w:rsid w:val="00BF73E3"/>
    <w:rsid w:val="00BF7B57"/>
    <w:rsid w:val="00BF7B83"/>
    <w:rsid w:val="00BF7C34"/>
    <w:rsid w:val="00BF7FF4"/>
    <w:rsid w:val="00C00475"/>
    <w:rsid w:val="00C00B59"/>
    <w:rsid w:val="00C00EBE"/>
    <w:rsid w:val="00C01AEC"/>
    <w:rsid w:val="00C01D46"/>
    <w:rsid w:val="00C01DED"/>
    <w:rsid w:val="00C02344"/>
    <w:rsid w:val="00C0243A"/>
    <w:rsid w:val="00C02F81"/>
    <w:rsid w:val="00C034CB"/>
    <w:rsid w:val="00C03C9C"/>
    <w:rsid w:val="00C04136"/>
    <w:rsid w:val="00C0420D"/>
    <w:rsid w:val="00C0425E"/>
    <w:rsid w:val="00C04A99"/>
    <w:rsid w:val="00C04C53"/>
    <w:rsid w:val="00C04E52"/>
    <w:rsid w:val="00C050D4"/>
    <w:rsid w:val="00C051A8"/>
    <w:rsid w:val="00C0539C"/>
    <w:rsid w:val="00C054BC"/>
    <w:rsid w:val="00C05773"/>
    <w:rsid w:val="00C05AF0"/>
    <w:rsid w:val="00C05E87"/>
    <w:rsid w:val="00C06262"/>
    <w:rsid w:val="00C064D6"/>
    <w:rsid w:val="00C0656A"/>
    <w:rsid w:val="00C06C19"/>
    <w:rsid w:val="00C06D52"/>
    <w:rsid w:val="00C073C2"/>
    <w:rsid w:val="00C0748F"/>
    <w:rsid w:val="00C07AE7"/>
    <w:rsid w:val="00C07E94"/>
    <w:rsid w:val="00C07FA3"/>
    <w:rsid w:val="00C1026D"/>
    <w:rsid w:val="00C1033F"/>
    <w:rsid w:val="00C106D3"/>
    <w:rsid w:val="00C10A74"/>
    <w:rsid w:val="00C10CD1"/>
    <w:rsid w:val="00C10CD7"/>
    <w:rsid w:val="00C10EDF"/>
    <w:rsid w:val="00C1100A"/>
    <w:rsid w:val="00C111C6"/>
    <w:rsid w:val="00C116D1"/>
    <w:rsid w:val="00C117BE"/>
    <w:rsid w:val="00C118C2"/>
    <w:rsid w:val="00C122EF"/>
    <w:rsid w:val="00C12409"/>
    <w:rsid w:val="00C12859"/>
    <w:rsid w:val="00C12F50"/>
    <w:rsid w:val="00C136A0"/>
    <w:rsid w:val="00C13734"/>
    <w:rsid w:val="00C139BF"/>
    <w:rsid w:val="00C13AC6"/>
    <w:rsid w:val="00C1411D"/>
    <w:rsid w:val="00C14329"/>
    <w:rsid w:val="00C14406"/>
    <w:rsid w:val="00C14CC5"/>
    <w:rsid w:val="00C14D77"/>
    <w:rsid w:val="00C151B9"/>
    <w:rsid w:val="00C1550E"/>
    <w:rsid w:val="00C157FC"/>
    <w:rsid w:val="00C161DB"/>
    <w:rsid w:val="00C16308"/>
    <w:rsid w:val="00C1636D"/>
    <w:rsid w:val="00C1665A"/>
    <w:rsid w:val="00C16D2D"/>
    <w:rsid w:val="00C1759A"/>
    <w:rsid w:val="00C17897"/>
    <w:rsid w:val="00C17A11"/>
    <w:rsid w:val="00C17EAF"/>
    <w:rsid w:val="00C2049D"/>
    <w:rsid w:val="00C20688"/>
    <w:rsid w:val="00C20A36"/>
    <w:rsid w:val="00C21807"/>
    <w:rsid w:val="00C220F5"/>
    <w:rsid w:val="00C22470"/>
    <w:rsid w:val="00C22ED4"/>
    <w:rsid w:val="00C22F35"/>
    <w:rsid w:val="00C22F46"/>
    <w:rsid w:val="00C22FD8"/>
    <w:rsid w:val="00C234D0"/>
    <w:rsid w:val="00C2374F"/>
    <w:rsid w:val="00C23854"/>
    <w:rsid w:val="00C243EF"/>
    <w:rsid w:val="00C244D1"/>
    <w:rsid w:val="00C2494C"/>
    <w:rsid w:val="00C24B70"/>
    <w:rsid w:val="00C24CE1"/>
    <w:rsid w:val="00C252BA"/>
    <w:rsid w:val="00C252FD"/>
    <w:rsid w:val="00C25891"/>
    <w:rsid w:val="00C2616A"/>
    <w:rsid w:val="00C2647C"/>
    <w:rsid w:val="00C26CC3"/>
    <w:rsid w:val="00C26EF1"/>
    <w:rsid w:val="00C27237"/>
    <w:rsid w:val="00C27243"/>
    <w:rsid w:val="00C27399"/>
    <w:rsid w:val="00C276AA"/>
    <w:rsid w:val="00C27C35"/>
    <w:rsid w:val="00C30129"/>
    <w:rsid w:val="00C30289"/>
    <w:rsid w:val="00C30A0D"/>
    <w:rsid w:val="00C30ADC"/>
    <w:rsid w:val="00C30CAC"/>
    <w:rsid w:val="00C30EC4"/>
    <w:rsid w:val="00C3104A"/>
    <w:rsid w:val="00C31776"/>
    <w:rsid w:val="00C31C96"/>
    <w:rsid w:val="00C31D51"/>
    <w:rsid w:val="00C31FBA"/>
    <w:rsid w:val="00C32075"/>
    <w:rsid w:val="00C324B3"/>
    <w:rsid w:val="00C3286A"/>
    <w:rsid w:val="00C3296C"/>
    <w:rsid w:val="00C32A0C"/>
    <w:rsid w:val="00C32D96"/>
    <w:rsid w:val="00C3302D"/>
    <w:rsid w:val="00C3326D"/>
    <w:rsid w:val="00C33867"/>
    <w:rsid w:val="00C34282"/>
    <w:rsid w:val="00C342E7"/>
    <w:rsid w:val="00C348B8"/>
    <w:rsid w:val="00C34CF2"/>
    <w:rsid w:val="00C3531B"/>
    <w:rsid w:val="00C35322"/>
    <w:rsid w:val="00C35A51"/>
    <w:rsid w:val="00C35C3D"/>
    <w:rsid w:val="00C35D05"/>
    <w:rsid w:val="00C35E47"/>
    <w:rsid w:val="00C36286"/>
    <w:rsid w:val="00C36E61"/>
    <w:rsid w:val="00C36EC2"/>
    <w:rsid w:val="00C36F20"/>
    <w:rsid w:val="00C3736B"/>
    <w:rsid w:val="00C379F1"/>
    <w:rsid w:val="00C40351"/>
    <w:rsid w:val="00C40371"/>
    <w:rsid w:val="00C405E9"/>
    <w:rsid w:val="00C407CA"/>
    <w:rsid w:val="00C409D5"/>
    <w:rsid w:val="00C40A6B"/>
    <w:rsid w:val="00C40B80"/>
    <w:rsid w:val="00C40D3B"/>
    <w:rsid w:val="00C41908"/>
    <w:rsid w:val="00C41A04"/>
    <w:rsid w:val="00C41A1F"/>
    <w:rsid w:val="00C41B11"/>
    <w:rsid w:val="00C420C3"/>
    <w:rsid w:val="00C42B6C"/>
    <w:rsid w:val="00C42E54"/>
    <w:rsid w:val="00C43172"/>
    <w:rsid w:val="00C43312"/>
    <w:rsid w:val="00C435C3"/>
    <w:rsid w:val="00C43C38"/>
    <w:rsid w:val="00C43C7B"/>
    <w:rsid w:val="00C43D06"/>
    <w:rsid w:val="00C44123"/>
    <w:rsid w:val="00C447DC"/>
    <w:rsid w:val="00C44941"/>
    <w:rsid w:val="00C45280"/>
    <w:rsid w:val="00C45285"/>
    <w:rsid w:val="00C452AA"/>
    <w:rsid w:val="00C4574C"/>
    <w:rsid w:val="00C4621D"/>
    <w:rsid w:val="00C4652E"/>
    <w:rsid w:val="00C467B7"/>
    <w:rsid w:val="00C468F1"/>
    <w:rsid w:val="00C46DC0"/>
    <w:rsid w:val="00C4701B"/>
    <w:rsid w:val="00C47252"/>
    <w:rsid w:val="00C47346"/>
    <w:rsid w:val="00C4753B"/>
    <w:rsid w:val="00C4767E"/>
    <w:rsid w:val="00C476B1"/>
    <w:rsid w:val="00C47D41"/>
    <w:rsid w:val="00C47F7D"/>
    <w:rsid w:val="00C50564"/>
    <w:rsid w:val="00C50A5F"/>
    <w:rsid w:val="00C5220F"/>
    <w:rsid w:val="00C52345"/>
    <w:rsid w:val="00C52762"/>
    <w:rsid w:val="00C53260"/>
    <w:rsid w:val="00C532AD"/>
    <w:rsid w:val="00C5362A"/>
    <w:rsid w:val="00C5373E"/>
    <w:rsid w:val="00C538A9"/>
    <w:rsid w:val="00C53986"/>
    <w:rsid w:val="00C539A4"/>
    <w:rsid w:val="00C53DB2"/>
    <w:rsid w:val="00C5427A"/>
    <w:rsid w:val="00C543D6"/>
    <w:rsid w:val="00C543F1"/>
    <w:rsid w:val="00C548F0"/>
    <w:rsid w:val="00C549EF"/>
    <w:rsid w:val="00C54B1E"/>
    <w:rsid w:val="00C54FBF"/>
    <w:rsid w:val="00C55C43"/>
    <w:rsid w:val="00C55D8D"/>
    <w:rsid w:val="00C56108"/>
    <w:rsid w:val="00C57548"/>
    <w:rsid w:val="00C57A49"/>
    <w:rsid w:val="00C57C7F"/>
    <w:rsid w:val="00C57FE9"/>
    <w:rsid w:val="00C60AB6"/>
    <w:rsid w:val="00C60D9A"/>
    <w:rsid w:val="00C611D6"/>
    <w:rsid w:val="00C613D4"/>
    <w:rsid w:val="00C6172A"/>
    <w:rsid w:val="00C61758"/>
    <w:rsid w:val="00C617D6"/>
    <w:rsid w:val="00C61E41"/>
    <w:rsid w:val="00C6204E"/>
    <w:rsid w:val="00C6234B"/>
    <w:rsid w:val="00C62588"/>
    <w:rsid w:val="00C62754"/>
    <w:rsid w:val="00C62B2B"/>
    <w:rsid w:val="00C62F78"/>
    <w:rsid w:val="00C63426"/>
    <w:rsid w:val="00C635D5"/>
    <w:rsid w:val="00C63637"/>
    <w:rsid w:val="00C63A01"/>
    <w:rsid w:val="00C63E85"/>
    <w:rsid w:val="00C63EAE"/>
    <w:rsid w:val="00C642D6"/>
    <w:rsid w:val="00C642E8"/>
    <w:rsid w:val="00C64C98"/>
    <w:rsid w:val="00C64D03"/>
    <w:rsid w:val="00C64EBD"/>
    <w:rsid w:val="00C652A6"/>
    <w:rsid w:val="00C65623"/>
    <w:rsid w:val="00C65A78"/>
    <w:rsid w:val="00C65E36"/>
    <w:rsid w:val="00C66226"/>
    <w:rsid w:val="00C66418"/>
    <w:rsid w:val="00C6664D"/>
    <w:rsid w:val="00C666F5"/>
    <w:rsid w:val="00C667CE"/>
    <w:rsid w:val="00C66D3D"/>
    <w:rsid w:val="00C670A4"/>
    <w:rsid w:val="00C67389"/>
    <w:rsid w:val="00C6749E"/>
    <w:rsid w:val="00C679D8"/>
    <w:rsid w:val="00C67F65"/>
    <w:rsid w:val="00C70272"/>
    <w:rsid w:val="00C717CA"/>
    <w:rsid w:val="00C7198D"/>
    <w:rsid w:val="00C719BC"/>
    <w:rsid w:val="00C71AC6"/>
    <w:rsid w:val="00C71CEF"/>
    <w:rsid w:val="00C71EC3"/>
    <w:rsid w:val="00C7245B"/>
    <w:rsid w:val="00C727CC"/>
    <w:rsid w:val="00C728D7"/>
    <w:rsid w:val="00C729DA"/>
    <w:rsid w:val="00C72A73"/>
    <w:rsid w:val="00C7318E"/>
    <w:rsid w:val="00C733E4"/>
    <w:rsid w:val="00C735DA"/>
    <w:rsid w:val="00C736F9"/>
    <w:rsid w:val="00C73802"/>
    <w:rsid w:val="00C7381C"/>
    <w:rsid w:val="00C739E2"/>
    <w:rsid w:val="00C74034"/>
    <w:rsid w:val="00C7414B"/>
    <w:rsid w:val="00C74598"/>
    <w:rsid w:val="00C74866"/>
    <w:rsid w:val="00C74A6A"/>
    <w:rsid w:val="00C74D18"/>
    <w:rsid w:val="00C74E89"/>
    <w:rsid w:val="00C75079"/>
    <w:rsid w:val="00C750FD"/>
    <w:rsid w:val="00C75197"/>
    <w:rsid w:val="00C75362"/>
    <w:rsid w:val="00C755FC"/>
    <w:rsid w:val="00C75776"/>
    <w:rsid w:val="00C758F9"/>
    <w:rsid w:val="00C75979"/>
    <w:rsid w:val="00C75C1B"/>
    <w:rsid w:val="00C7629F"/>
    <w:rsid w:val="00C762A9"/>
    <w:rsid w:val="00C7637F"/>
    <w:rsid w:val="00C765EB"/>
    <w:rsid w:val="00C766A3"/>
    <w:rsid w:val="00C767B3"/>
    <w:rsid w:val="00C774F2"/>
    <w:rsid w:val="00C7757E"/>
    <w:rsid w:val="00C778D8"/>
    <w:rsid w:val="00C77AF6"/>
    <w:rsid w:val="00C77D60"/>
    <w:rsid w:val="00C77F3E"/>
    <w:rsid w:val="00C803E2"/>
    <w:rsid w:val="00C804B4"/>
    <w:rsid w:val="00C80719"/>
    <w:rsid w:val="00C8090D"/>
    <w:rsid w:val="00C80BC2"/>
    <w:rsid w:val="00C81100"/>
    <w:rsid w:val="00C811DD"/>
    <w:rsid w:val="00C815FD"/>
    <w:rsid w:val="00C8181C"/>
    <w:rsid w:val="00C81841"/>
    <w:rsid w:val="00C81CC2"/>
    <w:rsid w:val="00C822D9"/>
    <w:rsid w:val="00C826F1"/>
    <w:rsid w:val="00C8271B"/>
    <w:rsid w:val="00C82C8D"/>
    <w:rsid w:val="00C830DE"/>
    <w:rsid w:val="00C833A5"/>
    <w:rsid w:val="00C83713"/>
    <w:rsid w:val="00C83732"/>
    <w:rsid w:val="00C839B3"/>
    <w:rsid w:val="00C845E4"/>
    <w:rsid w:val="00C845ED"/>
    <w:rsid w:val="00C848F8"/>
    <w:rsid w:val="00C84AFE"/>
    <w:rsid w:val="00C84BF4"/>
    <w:rsid w:val="00C84D98"/>
    <w:rsid w:val="00C85030"/>
    <w:rsid w:val="00C850D9"/>
    <w:rsid w:val="00C856A9"/>
    <w:rsid w:val="00C85B9B"/>
    <w:rsid w:val="00C85E53"/>
    <w:rsid w:val="00C862F1"/>
    <w:rsid w:val="00C863FE"/>
    <w:rsid w:val="00C86476"/>
    <w:rsid w:val="00C865F4"/>
    <w:rsid w:val="00C8661B"/>
    <w:rsid w:val="00C86665"/>
    <w:rsid w:val="00C8710F"/>
    <w:rsid w:val="00C87348"/>
    <w:rsid w:val="00C875AF"/>
    <w:rsid w:val="00C877EE"/>
    <w:rsid w:val="00C878AE"/>
    <w:rsid w:val="00C87C2A"/>
    <w:rsid w:val="00C87CCB"/>
    <w:rsid w:val="00C87F6E"/>
    <w:rsid w:val="00C90318"/>
    <w:rsid w:val="00C9033F"/>
    <w:rsid w:val="00C903FA"/>
    <w:rsid w:val="00C9063A"/>
    <w:rsid w:val="00C90763"/>
    <w:rsid w:val="00C911E7"/>
    <w:rsid w:val="00C91B5C"/>
    <w:rsid w:val="00C91D56"/>
    <w:rsid w:val="00C92E5C"/>
    <w:rsid w:val="00C93116"/>
    <w:rsid w:val="00C93312"/>
    <w:rsid w:val="00C9367E"/>
    <w:rsid w:val="00C93877"/>
    <w:rsid w:val="00C939E7"/>
    <w:rsid w:val="00C93BB9"/>
    <w:rsid w:val="00C93BD4"/>
    <w:rsid w:val="00C93E41"/>
    <w:rsid w:val="00C94175"/>
    <w:rsid w:val="00C945CA"/>
    <w:rsid w:val="00C9460F"/>
    <w:rsid w:val="00C9464D"/>
    <w:rsid w:val="00C94E64"/>
    <w:rsid w:val="00C94EBF"/>
    <w:rsid w:val="00C95652"/>
    <w:rsid w:val="00C9592F"/>
    <w:rsid w:val="00C95DDD"/>
    <w:rsid w:val="00C9652B"/>
    <w:rsid w:val="00C96780"/>
    <w:rsid w:val="00C96CAC"/>
    <w:rsid w:val="00C96F11"/>
    <w:rsid w:val="00C96F16"/>
    <w:rsid w:val="00C972EC"/>
    <w:rsid w:val="00C974DA"/>
    <w:rsid w:val="00C9753C"/>
    <w:rsid w:val="00C97580"/>
    <w:rsid w:val="00C9789E"/>
    <w:rsid w:val="00CA034F"/>
    <w:rsid w:val="00CA0431"/>
    <w:rsid w:val="00CA09B1"/>
    <w:rsid w:val="00CA116C"/>
    <w:rsid w:val="00CA139A"/>
    <w:rsid w:val="00CA16CB"/>
    <w:rsid w:val="00CA1B83"/>
    <w:rsid w:val="00CA1D31"/>
    <w:rsid w:val="00CA2092"/>
    <w:rsid w:val="00CA249F"/>
    <w:rsid w:val="00CA271C"/>
    <w:rsid w:val="00CA284B"/>
    <w:rsid w:val="00CA2899"/>
    <w:rsid w:val="00CA2A79"/>
    <w:rsid w:val="00CA2F2F"/>
    <w:rsid w:val="00CA3491"/>
    <w:rsid w:val="00CA35BF"/>
    <w:rsid w:val="00CA3A3D"/>
    <w:rsid w:val="00CA3F11"/>
    <w:rsid w:val="00CA4382"/>
    <w:rsid w:val="00CA4666"/>
    <w:rsid w:val="00CA4C7B"/>
    <w:rsid w:val="00CA4F69"/>
    <w:rsid w:val="00CA50A1"/>
    <w:rsid w:val="00CA5165"/>
    <w:rsid w:val="00CA5197"/>
    <w:rsid w:val="00CA5D59"/>
    <w:rsid w:val="00CA5EA5"/>
    <w:rsid w:val="00CA607D"/>
    <w:rsid w:val="00CA6191"/>
    <w:rsid w:val="00CA634B"/>
    <w:rsid w:val="00CA6961"/>
    <w:rsid w:val="00CA7141"/>
    <w:rsid w:val="00CA72AC"/>
    <w:rsid w:val="00CA77FB"/>
    <w:rsid w:val="00CA7816"/>
    <w:rsid w:val="00CA7895"/>
    <w:rsid w:val="00CB07A3"/>
    <w:rsid w:val="00CB1844"/>
    <w:rsid w:val="00CB1B2F"/>
    <w:rsid w:val="00CB1E3D"/>
    <w:rsid w:val="00CB25A9"/>
    <w:rsid w:val="00CB2B46"/>
    <w:rsid w:val="00CB2C10"/>
    <w:rsid w:val="00CB2C57"/>
    <w:rsid w:val="00CB2C5F"/>
    <w:rsid w:val="00CB2EB3"/>
    <w:rsid w:val="00CB31CB"/>
    <w:rsid w:val="00CB3727"/>
    <w:rsid w:val="00CB379B"/>
    <w:rsid w:val="00CB489F"/>
    <w:rsid w:val="00CB4A53"/>
    <w:rsid w:val="00CB5DD0"/>
    <w:rsid w:val="00CB5F75"/>
    <w:rsid w:val="00CB60F7"/>
    <w:rsid w:val="00CB619D"/>
    <w:rsid w:val="00CB6521"/>
    <w:rsid w:val="00CB6627"/>
    <w:rsid w:val="00CB6AE9"/>
    <w:rsid w:val="00CB71CE"/>
    <w:rsid w:val="00CB72CC"/>
    <w:rsid w:val="00CB7B62"/>
    <w:rsid w:val="00CB7F3B"/>
    <w:rsid w:val="00CC003C"/>
    <w:rsid w:val="00CC06D8"/>
    <w:rsid w:val="00CC07BC"/>
    <w:rsid w:val="00CC092A"/>
    <w:rsid w:val="00CC114B"/>
    <w:rsid w:val="00CC11E8"/>
    <w:rsid w:val="00CC133E"/>
    <w:rsid w:val="00CC13DA"/>
    <w:rsid w:val="00CC14C1"/>
    <w:rsid w:val="00CC14C2"/>
    <w:rsid w:val="00CC1813"/>
    <w:rsid w:val="00CC194E"/>
    <w:rsid w:val="00CC1B43"/>
    <w:rsid w:val="00CC1DB4"/>
    <w:rsid w:val="00CC262A"/>
    <w:rsid w:val="00CC2761"/>
    <w:rsid w:val="00CC27FD"/>
    <w:rsid w:val="00CC281F"/>
    <w:rsid w:val="00CC28D6"/>
    <w:rsid w:val="00CC2CD5"/>
    <w:rsid w:val="00CC309B"/>
    <w:rsid w:val="00CC317E"/>
    <w:rsid w:val="00CC3955"/>
    <w:rsid w:val="00CC3D29"/>
    <w:rsid w:val="00CC4242"/>
    <w:rsid w:val="00CC429F"/>
    <w:rsid w:val="00CC4641"/>
    <w:rsid w:val="00CC46DA"/>
    <w:rsid w:val="00CC479C"/>
    <w:rsid w:val="00CC494A"/>
    <w:rsid w:val="00CC51D4"/>
    <w:rsid w:val="00CC544C"/>
    <w:rsid w:val="00CC5A0B"/>
    <w:rsid w:val="00CC5B93"/>
    <w:rsid w:val="00CC6349"/>
    <w:rsid w:val="00CC65DA"/>
    <w:rsid w:val="00CC6B75"/>
    <w:rsid w:val="00CC6B7D"/>
    <w:rsid w:val="00CC6CD5"/>
    <w:rsid w:val="00CC6D75"/>
    <w:rsid w:val="00CC6F6A"/>
    <w:rsid w:val="00CC7086"/>
    <w:rsid w:val="00CC71C1"/>
    <w:rsid w:val="00CC77E1"/>
    <w:rsid w:val="00CC795D"/>
    <w:rsid w:val="00CC7A7E"/>
    <w:rsid w:val="00CC7FD6"/>
    <w:rsid w:val="00CD0632"/>
    <w:rsid w:val="00CD085C"/>
    <w:rsid w:val="00CD0943"/>
    <w:rsid w:val="00CD0F04"/>
    <w:rsid w:val="00CD10E3"/>
    <w:rsid w:val="00CD13B0"/>
    <w:rsid w:val="00CD175D"/>
    <w:rsid w:val="00CD1913"/>
    <w:rsid w:val="00CD1ED2"/>
    <w:rsid w:val="00CD286B"/>
    <w:rsid w:val="00CD2AB6"/>
    <w:rsid w:val="00CD2AFB"/>
    <w:rsid w:val="00CD2CB9"/>
    <w:rsid w:val="00CD2F9F"/>
    <w:rsid w:val="00CD3244"/>
    <w:rsid w:val="00CD3716"/>
    <w:rsid w:val="00CD3AA4"/>
    <w:rsid w:val="00CD3BB6"/>
    <w:rsid w:val="00CD452C"/>
    <w:rsid w:val="00CD481A"/>
    <w:rsid w:val="00CD487E"/>
    <w:rsid w:val="00CD4AF4"/>
    <w:rsid w:val="00CD4BBD"/>
    <w:rsid w:val="00CD5414"/>
    <w:rsid w:val="00CD5597"/>
    <w:rsid w:val="00CD594D"/>
    <w:rsid w:val="00CD5ECF"/>
    <w:rsid w:val="00CD5EFF"/>
    <w:rsid w:val="00CD6075"/>
    <w:rsid w:val="00CD609A"/>
    <w:rsid w:val="00CD61BB"/>
    <w:rsid w:val="00CD661E"/>
    <w:rsid w:val="00CD665F"/>
    <w:rsid w:val="00CD6AA6"/>
    <w:rsid w:val="00CD6C10"/>
    <w:rsid w:val="00CD6D7D"/>
    <w:rsid w:val="00CD6DDF"/>
    <w:rsid w:val="00CD7323"/>
    <w:rsid w:val="00CD7B13"/>
    <w:rsid w:val="00CD7E8C"/>
    <w:rsid w:val="00CE0244"/>
    <w:rsid w:val="00CE0291"/>
    <w:rsid w:val="00CE0984"/>
    <w:rsid w:val="00CE0B5C"/>
    <w:rsid w:val="00CE1039"/>
    <w:rsid w:val="00CE13E7"/>
    <w:rsid w:val="00CE17EC"/>
    <w:rsid w:val="00CE1AF5"/>
    <w:rsid w:val="00CE1B15"/>
    <w:rsid w:val="00CE1B25"/>
    <w:rsid w:val="00CE1C47"/>
    <w:rsid w:val="00CE1EC2"/>
    <w:rsid w:val="00CE2082"/>
    <w:rsid w:val="00CE22AC"/>
    <w:rsid w:val="00CE2326"/>
    <w:rsid w:val="00CE2573"/>
    <w:rsid w:val="00CE2C89"/>
    <w:rsid w:val="00CE2D98"/>
    <w:rsid w:val="00CE2EE8"/>
    <w:rsid w:val="00CE31E5"/>
    <w:rsid w:val="00CE356E"/>
    <w:rsid w:val="00CE3895"/>
    <w:rsid w:val="00CE39B8"/>
    <w:rsid w:val="00CE3A46"/>
    <w:rsid w:val="00CE44FC"/>
    <w:rsid w:val="00CE4C3F"/>
    <w:rsid w:val="00CE51FF"/>
    <w:rsid w:val="00CE576D"/>
    <w:rsid w:val="00CE5BA3"/>
    <w:rsid w:val="00CE5F8D"/>
    <w:rsid w:val="00CE6607"/>
    <w:rsid w:val="00CE69BB"/>
    <w:rsid w:val="00CE7220"/>
    <w:rsid w:val="00CE7839"/>
    <w:rsid w:val="00CE790A"/>
    <w:rsid w:val="00CE7AC2"/>
    <w:rsid w:val="00CE7BC5"/>
    <w:rsid w:val="00CE7DD7"/>
    <w:rsid w:val="00CF0121"/>
    <w:rsid w:val="00CF07AA"/>
    <w:rsid w:val="00CF0B4A"/>
    <w:rsid w:val="00CF0B66"/>
    <w:rsid w:val="00CF1062"/>
    <w:rsid w:val="00CF18E8"/>
    <w:rsid w:val="00CF206B"/>
    <w:rsid w:val="00CF21B9"/>
    <w:rsid w:val="00CF2321"/>
    <w:rsid w:val="00CF254B"/>
    <w:rsid w:val="00CF28C7"/>
    <w:rsid w:val="00CF2AC4"/>
    <w:rsid w:val="00CF2F85"/>
    <w:rsid w:val="00CF2FC2"/>
    <w:rsid w:val="00CF3033"/>
    <w:rsid w:val="00CF37C3"/>
    <w:rsid w:val="00CF3A00"/>
    <w:rsid w:val="00CF3A14"/>
    <w:rsid w:val="00CF3AAB"/>
    <w:rsid w:val="00CF4245"/>
    <w:rsid w:val="00CF42E3"/>
    <w:rsid w:val="00CF438D"/>
    <w:rsid w:val="00CF4A97"/>
    <w:rsid w:val="00CF4B76"/>
    <w:rsid w:val="00CF4CE5"/>
    <w:rsid w:val="00CF4F43"/>
    <w:rsid w:val="00CF5682"/>
    <w:rsid w:val="00CF5E7B"/>
    <w:rsid w:val="00CF6032"/>
    <w:rsid w:val="00CF6388"/>
    <w:rsid w:val="00CF64EE"/>
    <w:rsid w:val="00CF65E7"/>
    <w:rsid w:val="00CF65EC"/>
    <w:rsid w:val="00CF6625"/>
    <w:rsid w:val="00CF6BF9"/>
    <w:rsid w:val="00CF6FD4"/>
    <w:rsid w:val="00CF721F"/>
    <w:rsid w:val="00CF72A6"/>
    <w:rsid w:val="00CF7496"/>
    <w:rsid w:val="00CF7B90"/>
    <w:rsid w:val="00CF7C52"/>
    <w:rsid w:val="00CF7DDA"/>
    <w:rsid w:val="00CF7ED5"/>
    <w:rsid w:val="00D00101"/>
    <w:rsid w:val="00D001CD"/>
    <w:rsid w:val="00D0037A"/>
    <w:rsid w:val="00D008A9"/>
    <w:rsid w:val="00D00926"/>
    <w:rsid w:val="00D00E05"/>
    <w:rsid w:val="00D00F22"/>
    <w:rsid w:val="00D00F64"/>
    <w:rsid w:val="00D012E0"/>
    <w:rsid w:val="00D01774"/>
    <w:rsid w:val="00D0193C"/>
    <w:rsid w:val="00D01B28"/>
    <w:rsid w:val="00D01F0C"/>
    <w:rsid w:val="00D027DA"/>
    <w:rsid w:val="00D02825"/>
    <w:rsid w:val="00D02D0A"/>
    <w:rsid w:val="00D02F09"/>
    <w:rsid w:val="00D03078"/>
    <w:rsid w:val="00D031B0"/>
    <w:rsid w:val="00D036F7"/>
    <w:rsid w:val="00D03723"/>
    <w:rsid w:val="00D03800"/>
    <w:rsid w:val="00D03E8F"/>
    <w:rsid w:val="00D04450"/>
    <w:rsid w:val="00D04582"/>
    <w:rsid w:val="00D04641"/>
    <w:rsid w:val="00D0483C"/>
    <w:rsid w:val="00D049EF"/>
    <w:rsid w:val="00D04ADD"/>
    <w:rsid w:val="00D04CAD"/>
    <w:rsid w:val="00D05432"/>
    <w:rsid w:val="00D0585D"/>
    <w:rsid w:val="00D058B5"/>
    <w:rsid w:val="00D05B4D"/>
    <w:rsid w:val="00D05FEE"/>
    <w:rsid w:val="00D063DA"/>
    <w:rsid w:val="00D0656E"/>
    <w:rsid w:val="00D065D3"/>
    <w:rsid w:val="00D06A75"/>
    <w:rsid w:val="00D06C25"/>
    <w:rsid w:val="00D0704A"/>
    <w:rsid w:val="00D072E3"/>
    <w:rsid w:val="00D073EB"/>
    <w:rsid w:val="00D0766C"/>
    <w:rsid w:val="00D076CD"/>
    <w:rsid w:val="00D079FC"/>
    <w:rsid w:val="00D07D33"/>
    <w:rsid w:val="00D07D64"/>
    <w:rsid w:val="00D07E94"/>
    <w:rsid w:val="00D07EAD"/>
    <w:rsid w:val="00D10085"/>
    <w:rsid w:val="00D10A3C"/>
    <w:rsid w:val="00D10A89"/>
    <w:rsid w:val="00D10EC6"/>
    <w:rsid w:val="00D1103B"/>
    <w:rsid w:val="00D112DC"/>
    <w:rsid w:val="00D11954"/>
    <w:rsid w:val="00D119F9"/>
    <w:rsid w:val="00D12132"/>
    <w:rsid w:val="00D12A07"/>
    <w:rsid w:val="00D12A91"/>
    <w:rsid w:val="00D12C4F"/>
    <w:rsid w:val="00D12F02"/>
    <w:rsid w:val="00D130B0"/>
    <w:rsid w:val="00D1329D"/>
    <w:rsid w:val="00D133CB"/>
    <w:rsid w:val="00D138B7"/>
    <w:rsid w:val="00D13B34"/>
    <w:rsid w:val="00D13E7A"/>
    <w:rsid w:val="00D13E7F"/>
    <w:rsid w:val="00D13EA2"/>
    <w:rsid w:val="00D1457B"/>
    <w:rsid w:val="00D145E5"/>
    <w:rsid w:val="00D14B9F"/>
    <w:rsid w:val="00D14C94"/>
    <w:rsid w:val="00D14DA5"/>
    <w:rsid w:val="00D14E9A"/>
    <w:rsid w:val="00D150D2"/>
    <w:rsid w:val="00D151DF"/>
    <w:rsid w:val="00D1555D"/>
    <w:rsid w:val="00D1608B"/>
    <w:rsid w:val="00D16586"/>
    <w:rsid w:val="00D16D33"/>
    <w:rsid w:val="00D16F0A"/>
    <w:rsid w:val="00D17140"/>
    <w:rsid w:val="00D17168"/>
    <w:rsid w:val="00D171A2"/>
    <w:rsid w:val="00D1734D"/>
    <w:rsid w:val="00D1735E"/>
    <w:rsid w:val="00D177A9"/>
    <w:rsid w:val="00D20161"/>
    <w:rsid w:val="00D2039B"/>
    <w:rsid w:val="00D206BC"/>
    <w:rsid w:val="00D208AC"/>
    <w:rsid w:val="00D209A5"/>
    <w:rsid w:val="00D20F2E"/>
    <w:rsid w:val="00D211B0"/>
    <w:rsid w:val="00D21E55"/>
    <w:rsid w:val="00D2230B"/>
    <w:rsid w:val="00D22814"/>
    <w:rsid w:val="00D22947"/>
    <w:rsid w:val="00D22A53"/>
    <w:rsid w:val="00D22C11"/>
    <w:rsid w:val="00D22D21"/>
    <w:rsid w:val="00D23096"/>
    <w:rsid w:val="00D2329F"/>
    <w:rsid w:val="00D235EA"/>
    <w:rsid w:val="00D23D78"/>
    <w:rsid w:val="00D24591"/>
    <w:rsid w:val="00D2487F"/>
    <w:rsid w:val="00D248D0"/>
    <w:rsid w:val="00D2494D"/>
    <w:rsid w:val="00D2495F"/>
    <w:rsid w:val="00D24E67"/>
    <w:rsid w:val="00D25194"/>
    <w:rsid w:val="00D251F8"/>
    <w:rsid w:val="00D25526"/>
    <w:rsid w:val="00D25535"/>
    <w:rsid w:val="00D259BD"/>
    <w:rsid w:val="00D25EBE"/>
    <w:rsid w:val="00D25F58"/>
    <w:rsid w:val="00D26788"/>
    <w:rsid w:val="00D26DD0"/>
    <w:rsid w:val="00D26DD8"/>
    <w:rsid w:val="00D26E84"/>
    <w:rsid w:val="00D26EFF"/>
    <w:rsid w:val="00D26FA9"/>
    <w:rsid w:val="00D27167"/>
    <w:rsid w:val="00D271E3"/>
    <w:rsid w:val="00D27292"/>
    <w:rsid w:val="00D27333"/>
    <w:rsid w:val="00D278DF"/>
    <w:rsid w:val="00D27976"/>
    <w:rsid w:val="00D27A25"/>
    <w:rsid w:val="00D27A7D"/>
    <w:rsid w:val="00D27C4F"/>
    <w:rsid w:val="00D27ED1"/>
    <w:rsid w:val="00D30006"/>
    <w:rsid w:val="00D30321"/>
    <w:rsid w:val="00D3037E"/>
    <w:rsid w:val="00D30823"/>
    <w:rsid w:val="00D30B7A"/>
    <w:rsid w:val="00D30C53"/>
    <w:rsid w:val="00D30F3F"/>
    <w:rsid w:val="00D31742"/>
    <w:rsid w:val="00D31AC4"/>
    <w:rsid w:val="00D31AE2"/>
    <w:rsid w:val="00D31F65"/>
    <w:rsid w:val="00D32355"/>
    <w:rsid w:val="00D3252B"/>
    <w:rsid w:val="00D327F4"/>
    <w:rsid w:val="00D32D13"/>
    <w:rsid w:val="00D3300C"/>
    <w:rsid w:val="00D33061"/>
    <w:rsid w:val="00D3307A"/>
    <w:rsid w:val="00D331AD"/>
    <w:rsid w:val="00D334B2"/>
    <w:rsid w:val="00D33766"/>
    <w:rsid w:val="00D33966"/>
    <w:rsid w:val="00D33C1C"/>
    <w:rsid w:val="00D33EE1"/>
    <w:rsid w:val="00D341BF"/>
    <w:rsid w:val="00D341F6"/>
    <w:rsid w:val="00D342A6"/>
    <w:rsid w:val="00D3437B"/>
    <w:rsid w:val="00D3455D"/>
    <w:rsid w:val="00D34B17"/>
    <w:rsid w:val="00D34CD1"/>
    <w:rsid w:val="00D35290"/>
    <w:rsid w:val="00D35459"/>
    <w:rsid w:val="00D35935"/>
    <w:rsid w:val="00D35B46"/>
    <w:rsid w:val="00D35D6B"/>
    <w:rsid w:val="00D360E0"/>
    <w:rsid w:val="00D36177"/>
    <w:rsid w:val="00D36254"/>
    <w:rsid w:val="00D364B6"/>
    <w:rsid w:val="00D367CF"/>
    <w:rsid w:val="00D36B37"/>
    <w:rsid w:val="00D36D37"/>
    <w:rsid w:val="00D36D98"/>
    <w:rsid w:val="00D37D63"/>
    <w:rsid w:val="00D37FEC"/>
    <w:rsid w:val="00D4004D"/>
    <w:rsid w:val="00D40808"/>
    <w:rsid w:val="00D4084B"/>
    <w:rsid w:val="00D40980"/>
    <w:rsid w:val="00D40A04"/>
    <w:rsid w:val="00D41582"/>
    <w:rsid w:val="00D4190E"/>
    <w:rsid w:val="00D42169"/>
    <w:rsid w:val="00D42330"/>
    <w:rsid w:val="00D42B56"/>
    <w:rsid w:val="00D4305D"/>
    <w:rsid w:val="00D43440"/>
    <w:rsid w:val="00D43BA1"/>
    <w:rsid w:val="00D440F5"/>
    <w:rsid w:val="00D448A0"/>
    <w:rsid w:val="00D449BD"/>
    <w:rsid w:val="00D44D65"/>
    <w:rsid w:val="00D45399"/>
    <w:rsid w:val="00D4550C"/>
    <w:rsid w:val="00D45B19"/>
    <w:rsid w:val="00D45CA6"/>
    <w:rsid w:val="00D45FAF"/>
    <w:rsid w:val="00D461E8"/>
    <w:rsid w:val="00D4629A"/>
    <w:rsid w:val="00D4638F"/>
    <w:rsid w:val="00D464BF"/>
    <w:rsid w:val="00D47189"/>
    <w:rsid w:val="00D47630"/>
    <w:rsid w:val="00D47661"/>
    <w:rsid w:val="00D47E71"/>
    <w:rsid w:val="00D50422"/>
    <w:rsid w:val="00D509A9"/>
    <w:rsid w:val="00D50B67"/>
    <w:rsid w:val="00D50D81"/>
    <w:rsid w:val="00D50E37"/>
    <w:rsid w:val="00D511C9"/>
    <w:rsid w:val="00D51301"/>
    <w:rsid w:val="00D516DA"/>
    <w:rsid w:val="00D51AC0"/>
    <w:rsid w:val="00D51FEA"/>
    <w:rsid w:val="00D52B78"/>
    <w:rsid w:val="00D52C93"/>
    <w:rsid w:val="00D53031"/>
    <w:rsid w:val="00D531F6"/>
    <w:rsid w:val="00D53356"/>
    <w:rsid w:val="00D534F4"/>
    <w:rsid w:val="00D539BC"/>
    <w:rsid w:val="00D53C4B"/>
    <w:rsid w:val="00D53E26"/>
    <w:rsid w:val="00D54203"/>
    <w:rsid w:val="00D54788"/>
    <w:rsid w:val="00D547AE"/>
    <w:rsid w:val="00D54A81"/>
    <w:rsid w:val="00D55957"/>
    <w:rsid w:val="00D5597E"/>
    <w:rsid w:val="00D55B12"/>
    <w:rsid w:val="00D55CAA"/>
    <w:rsid w:val="00D563A4"/>
    <w:rsid w:val="00D563C5"/>
    <w:rsid w:val="00D568DE"/>
    <w:rsid w:val="00D56D9E"/>
    <w:rsid w:val="00D56FFD"/>
    <w:rsid w:val="00D57612"/>
    <w:rsid w:val="00D57848"/>
    <w:rsid w:val="00D57896"/>
    <w:rsid w:val="00D60395"/>
    <w:rsid w:val="00D60AA6"/>
    <w:rsid w:val="00D6107D"/>
    <w:rsid w:val="00D610FE"/>
    <w:rsid w:val="00D6138E"/>
    <w:rsid w:val="00D61916"/>
    <w:rsid w:val="00D61B3F"/>
    <w:rsid w:val="00D61DFB"/>
    <w:rsid w:val="00D61E93"/>
    <w:rsid w:val="00D621A7"/>
    <w:rsid w:val="00D62440"/>
    <w:rsid w:val="00D62659"/>
    <w:rsid w:val="00D62673"/>
    <w:rsid w:val="00D6390C"/>
    <w:rsid w:val="00D639D6"/>
    <w:rsid w:val="00D63A1F"/>
    <w:rsid w:val="00D63D39"/>
    <w:rsid w:val="00D649BC"/>
    <w:rsid w:val="00D649F8"/>
    <w:rsid w:val="00D64F31"/>
    <w:rsid w:val="00D652D1"/>
    <w:rsid w:val="00D6553A"/>
    <w:rsid w:val="00D65A1A"/>
    <w:rsid w:val="00D65BF8"/>
    <w:rsid w:val="00D65C8D"/>
    <w:rsid w:val="00D66C31"/>
    <w:rsid w:val="00D66E6E"/>
    <w:rsid w:val="00D66E96"/>
    <w:rsid w:val="00D66F23"/>
    <w:rsid w:val="00D66FC6"/>
    <w:rsid w:val="00D67268"/>
    <w:rsid w:val="00D6750D"/>
    <w:rsid w:val="00D67945"/>
    <w:rsid w:val="00D700EB"/>
    <w:rsid w:val="00D70253"/>
    <w:rsid w:val="00D702C8"/>
    <w:rsid w:val="00D70348"/>
    <w:rsid w:val="00D70410"/>
    <w:rsid w:val="00D704B1"/>
    <w:rsid w:val="00D7068C"/>
    <w:rsid w:val="00D70D58"/>
    <w:rsid w:val="00D70E3B"/>
    <w:rsid w:val="00D71510"/>
    <w:rsid w:val="00D71796"/>
    <w:rsid w:val="00D719C2"/>
    <w:rsid w:val="00D71AB3"/>
    <w:rsid w:val="00D72131"/>
    <w:rsid w:val="00D72289"/>
    <w:rsid w:val="00D72858"/>
    <w:rsid w:val="00D7289B"/>
    <w:rsid w:val="00D72BA4"/>
    <w:rsid w:val="00D72BDE"/>
    <w:rsid w:val="00D72EFA"/>
    <w:rsid w:val="00D72F0F"/>
    <w:rsid w:val="00D73102"/>
    <w:rsid w:val="00D7351F"/>
    <w:rsid w:val="00D73BA5"/>
    <w:rsid w:val="00D73BAE"/>
    <w:rsid w:val="00D73D5D"/>
    <w:rsid w:val="00D74147"/>
    <w:rsid w:val="00D742FA"/>
    <w:rsid w:val="00D74A6F"/>
    <w:rsid w:val="00D74A88"/>
    <w:rsid w:val="00D74ABC"/>
    <w:rsid w:val="00D74ACB"/>
    <w:rsid w:val="00D75233"/>
    <w:rsid w:val="00D75B10"/>
    <w:rsid w:val="00D76880"/>
    <w:rsid w:val="00D76A26"/>
    <w:rsid w:val="00D7701A"/>
    <w:rsid w:val="00D770A2"/>
    <w:rsid w:val="00D77613"/>
    <w:rsid w:val="00D7771C"/>
    <w:rsid w:val="00D779CC"/>
    <w:rsid w:val="00D802A1"/>
    <w:rsid w:val="00D80BDF"/>
    <w:rsid w:val="00D81424"/>
    <w:rsid w:val="00D815BD"/>
    <w:rsid w:val="00D81912"/>
    <w:rsid w:val="00D81DC5"/>
    <w:rsid w:val="00D81F15"/>
    <w:rsid w:val="00D82326"/>
    <w:rsid w:val="00D82636"/>
    <w:rsid w:val="00D826B2"/>
    <w:rsid w:val="00D82AF7"/>
    <w:rsid w:val="00D82C00"/>
    <w:rsid w:val="00D82C96"/>
    <w:rsid w:val="00D82ED0"/>
    <w:rsid w:val="00D82F2A"/>
    <w:rsid w:val="00D82F85"/>
    <w:rsid w:val="00D82F8E"/>
    <w:rsid w:val="00D83129"/>
    <w:rsid w:val="00D8328D"/>
    <w:rsid w:val="00D838E3"/>
    <w:rsid w:val="00D83AD9"/>
    <w:rsid w:val="00D8423C"/>
    <w:rsid w:val="00D8445B"/>
    <w:rsid w:val="00D84B02"/>
    <w:rsid w:val="00D84E46"/>
    <w:rsid w:val="00D84E56"/>
    <w:rsid w:val="00D85121"/>
    <w:rsid w:val="00D858C3"/>
    <w:rsid w:val="00D858D6"/>
    <w:rsid w:val="00D860F4"/>
    <w:rsid w:val="00D86A39"/>
    <w:rsid w:val="00D86EB4"/>
    <w:rsid w:val="00D879BC"/>
    <w:rsid w:val="00D87DDC"/>
    <w:rsid w:val="00D9030D"/>
    <w:rsid w:val="00D9040E"/>
    <w:rsid w:val="00D90570"/>
    <w:rsid w:val="00D91299"/>
    <w:rsid w:val="00D917E1"/>
    <w:rsid w:val="00D91BBC"/>
    <w:rsid w:val="00D91F33"/>
    <w:rsid w:val="00D920D6"/>
    <w:rsid w:val="00D92AC0"/>
    <w:rsid w:val="00D92CAE"/>
    <w:rsid w:val="00D930A2"/>
    <w:rsid w:val="00D934CC"/>
    <w:rsid w:val="00D936B6"/>
    <w:rsid w:val="00D939A2"/>
    <w:rsid w:val="00D93AD2"/>
    <w:rsid w:val="00D93B6D"/>
    <w:rsid w:val="00D93D24"/>
    <w:rsid w:val="00D93D8B"/>
    <w:rsid w:val="00D9413E"/>
    <w:rsid w:val="00D9450E"/>
    <w:rsid w:val="00D94564"/>
    <w:rsid w:val="00D94703"/>
    <w:rsid w:val="00D95652"/>
    <w:rsid w:val="00D95AF0"/>
    <w:rsid w:val="00D95C74"/>
    <w:rsid w:val="00D95D4F"/>
    <w:rsid w:val="00D95D67"/>
    <w:rsid w:val="00D96766"/>
    <w:rsid w:val="00D96835"/>
    <w:rsid w:val="00D96A4A"/>
    <w:rsid w:val="00D96BEF"/>
    <w:rsid w:val="00D97467"/>
    <w:rsid w:val="00D978DD"/>
    <w:rsid w:val="00D97C27"/>
    <w:rsid w:val="00D97EF5"/>
    <w:rsid w:val="00DA0024"/>
    <w:rsid w:val="00DA03EA"/>
    <w:rsid w:val="00DA0555"/>
    <w:rsid w:val="00DA06AD"/>
    <w:rsid w:val="00DA0917"/>
    <w:rsid w:val="00DA095C"/>
    <w:rsid w:val="00DA0AEC"/>
    <w:rsid w:val="00DA0B72"/>
    <w:rsid w:val="00DA0CBA"/>
    <w:rsid w:val="00DA1016"/>
    <w:rsid w:val="00DA1636"/>
    <w:rsid w:val="00DA17AF"/>
    <w:rsid w:val="00DA1A31"/>
    <w:rsid w:val="00DA1A3E"/>
    <w:rsid w:val="00DA1B43"/>
    <w:rsid w:val="00DA2596"/>
    <w:rsid w:val="00DA2668"/>
    <w:rsid w:val="00DA2C10"/>
    <w:rsid w:val="00DA2DB2"/>
    <w:rsid w:val="00DA2DC2"/>
    <w:rsid w:val="00DA2E00"/>
    <w:rsid w:val="00DA2F0A"/>
    <w:rsid w:val="00DA3901"/>
    <w:rsid w:val="00DA3B4C"/>
    <w:rsid w:val="00DA3B79"/>
    <w:rsid w:val="00DA3BFF"/>
    <w:rsid w:val="00DA3C86"/>
    <w:rsid w:val="00DA3CB7"/>
    <w:rsid w:val="00DA40A0"/>
    <w:rsid w:val="00DA42C9"/>
    <w:rsid w:val="00DA4A71"/>
    <w:rsid w:val="00DA4CDB"/>
    <w:rsid w:val="00DA4FC7"/>
    <w:rsid w:val="00DA53BF"/>
    <w:rsid w:val="00DA542E"/>
    <w:rsid w:val="00DA5748"/>
    <w:rsid w:val="00DA5AA8"/>
    <w:rsid w:val="00DA5B1D"/>
    <w:rsid w:val="00DA5D69"/>
    <w:rsid w:val="00DA622B"/>
    <w:rsid w:val="00DA62B5"/>
    <w:rsid w:val="00DA661C"/>
    <w:rsid w:val="00DA69D9"/>
    <w:rsid w:val="00DA6A1E"/>
    <w:rsid w:val="00DA6AEA"/>
    <w:rsid w:val="00DA6B89"/>
    <w:rsid w:val="00DA7541"/>
    <w:rsid w:val="00DA7A1D"/>
    <w:rsid w:val="00DA7E82"/>
    <w:rsid w:val="00DA7E8C"/>
    <w:rsid w:val="00DA7FDA"/>
    <w:rsid w:val="00DB0123"/>
    <w:rsid w:val="00DB017D"/>
    <w:rsid w:val="00DB02CF"/>
    <w:rsid w:val="00DB043F"/>
    <w:rsid w:val="00DB0627"/>
    <w:rsid w:val="00DB09B6"/>
    <w:rsid w:val="00DB12A1"/>
    <w:rsid w:val="00DB12AB"/>
    <w:rsid w:val="00DB1430"/>
    <w:rsid w:val="00DB21D9"/>
    <w:rsid w:val="00DB244F"/>
    <w:rsid w:val="00DB2483"/>
    <w:rsid w:val="00DB2696"/>
    <w:rsid w:val="00DB26B5"/>
    <w:rsid w:val="00DB29AC"/>
    <w:rsid w:val="00DB2B11"/>
    <w:rsid w:val="00DB2E35"/>
    <w:rsid w:val="00DB2FC1"/>
    <w:rsid w:val="00DB306A"/>
    <w:rsid w:val="00DB3245"/>
    <w:rsid w:val="00DB32C5"/>
    <w:rsid w:val="00DB3402"/>
    <w:rsid w:val="00DB343F"/>
    <w:rsid w:val="00DB39AB"/>
    <w:rsid w:val="00DB3F0F"/>
    <w:rsid w:val="00DB4CB9"/>
    <w:rsid w:val="00DB56FA"/>
    <w:rsid w:val="00DB58E3"/>
    <w:rsid w:val="00DB62D1"/>
    <w:rsid w:val="00DB6740"/>
    <w:rsid w:val="00DB6AF3"/>
    <w:rsid w:val="00DB7021"/>
    <w:rsid w:val="00DB7333"/>
    <w:rsid w:val="00DB744D"/>
    <w:rsid w:val="00DB7730"/>
    <w:rsid w:val="00DB7914"/>
    <w:rsid w:val="00DC0410"/>
    <w:rsid w:val="00DC04E2"/>
    <w:rsid w:val="00DC09FD"/>
    <w:rsid w:val="00DC0AA2"/>
    <w:rsid w:val="00DC0BC0"/>
    <w:rsid w:val="00DC11B7"/>
    <w:rsid w:val="00DC122D"/>
    <w:rsid w:val="00DC18C6"/>
    <w:rsid w:val="00DC2380"/>
    <w:rsid w:val="00DC2397"/>
    <w:rsid w:val="00DC26BC"/>
    <w:rsid w:val="00DC28C3"/>
    <w:rsid w:val="00DC298A"/>
    <w:rsid w:val="00DC2C29"/>
    <w:rsid w:val="00DC3034"/>
    <w:rsid w:val="00DC35D7"/>
    <w:rsid w:val="00DC37D5"/>
    <w:rsid w:val="00DC43C4"/>
    <w:rsid w:val="00DC4ADE"/>
    <w:rsid w:val="00DC4E1A"/>
    <w:rsid w:val="00DC4E6A"/>
    <w:rsid w:val="00DC4FC3"/>
    <w:rsid w:val="00DC51E5"/>
    <w:rsid w:val="00DC5277"/>
    <w:rsid w:val="00DC55F5"/>
    <w:rsid w:val="00DC59EB"/>
    <w:rsid w:val="00DC5B01"/>
    <w:rsid w:val="00DC6259"/>
    <w:rsid w:val="00DC6298"/>
    <w:rsid w:val="00DC6392"/>
    <w:rsid w:val="00DC6A30"/>
    <w:rsid w:val="00DC746C"/>
    <w:rsid w:val="00DC7521"/>
    <w:rsid w:val="00DC765C"/>
    <w:rsid w:val="00DC7680"/>
    <w:rsid w:val="00DC7DCA"/>
    <w:rsid w:val="00DD0323"/>
    <w:rsid w:val="00DD0980"/>
    <w:rsid w:val="00DD0BBC"/>
    <w:rsid w:val="00DD12F3"/>
    <w:rsid w:val="00DD1A5F"/>
    <w:rsid w:val="00DD1C45"/>
    <w:rsid w:val="00DD1D02"/>
    <w:rsid w:val="00DD1D1A"/>
    <w:rsid w:val="00DD1F1E"/>
    <w:rsid w:val="00DD27F7"/>
    <w:rsid w:val="00DD29FC"/>
    <w:rsid w:val="00DD2BD9"/>
    <w:rsid w:val="00DD2BEC"/>
    <w:rsid w:val="00DD2E09"/>
    <w:rsid w:val="00DD2E21"/>
    <w:rsid w:val="00DD2E3A"/>
    <w:rsid w:val="00DD2E6F"/>
    <w:rsid w:val="00DD33DB"/>
    <w:rsid w:val="00DD3575"/>
    <w:rsid w:val="00DD39F7"/>
    <w:rsid w:val="00DD41BB"/>
    <w:rsid w:val="00DD4351"/>
    <w:rsid w:val="00DD43F8"/>
    <w:rsid w:val="00DD4730"/>
    <w:rsid w:val="00DD474C"/>
    <w:rsid w:val="00DD493A"/>
    <w:rsid w:val="00DD4B1C"/>
    <w:rsid w:val="00DD4BAF"/>
    <w:rsid w:val="00DD4E94"/>
    <w:rsid w:val="00DD4F0E"/>
    <w:rsid w:val="00DD4FF1"/>
    <w:rsid w:val="00DD5332"/>
    <w:rsid w:val="00DD53C7"/>
    <w:rsid w:val="00DD5D5F"/>
    <w:rsid w:val="00DD5E65"/>
    <w:rsid w:val="00DD60D8"/>
    <w:rsid w:val="00DD69EF"/>
    <w:rsid w:val="00DD6ABA"/>
    <w:rsid w:val="00DD6B36"/>
    <w:rsid w:val="00DD6D93"/>
    <w:rsid w:val="00DD7198"/>
    <w:rsid w:val="00DD736D"/>
    <w:rsid w:val="00DD7774"/>
    <w:rsid w:val="00DD7876"/>
    <w:rsid w:val="00DD7D15"/>
    <w:rsid w:val="00DE0538"/>
    <w:rsid w:val="00DE08F1"/>
    <w:rsid w:val="00DE0A76"/>
    <w:rsid w:val="00DE0B60"/>
    <w:rsid w:val="00DE0B6B"/>
    <w:rsid w:val="00DE0FBB"/>
    <w:rsid w:val="00DE13E0"/>
    <w:rsid w:val="00DE1B79"/>
    <w:rsid w:val="00DE1C16"/>
    <w:rsid w:val="00DE20C2"/>
    <w:rsid w:val="00DE22A7"/>
    <w:rsid w:val="00DE22F8"/>
    <w:rsid w:val="00DE27F1"/>
    <w:rsid w:val="00DE2895"/>
    <w:rsid w:val="00DE2CFF"/>
    <w:rsid w:val="00DE2DC9"/>
    <w:rsid w:val="00DE2DEC"/>
    <w:rsid w:val="00DE3248"/>
    <w:rsid w:val="00DE3830"/>
    <w:rsid w:val="00DE387F"/>
    <w:rsid w:val="00DE3908"/>
    <w:rsid w:val="00DE3A0D"/>
    <w:rsid w:val="00DE3BE7"/>
    <w:rsid w:val="00DE46B4"/>
    <w:rsid w:val="00DE4736"/>
    <w:rsid w:val="00DE48C6"/>
    <w:rsid w:val="00DE4C56"/>
    <w:rsid w:val="00DE51DE"/>
    <w:rsid w:val="00DE5768"/>
    <w:rsid w:val="00DE579F"/>
    <w:rsid w:val="00DE61A1"/>
    <w:rsid w:val="00DE6928"/>
    <w:rsid w:val="00DE733B"/>
    <w:rsid w:val="00DE749F"/>
    <w:rsid w:val="00DE7CC8"/>
    <w:rsid w:val="00DE7E07"/>
    <w:rsid w:val="00DE7E60"/>
    <w:rsid w:val="00DE7F49"/>
    <w:rsid w:val="00DF0364"/>
    <w:rsid w:val="00DF06CF"/>
    <w:rsid w:val="00DF088C"/>
    <w:rsid w:val="00DF0906"/>
    <w:rsid w:val="00DF0BF0"/>
    <w:rsid w:val="00DF0F6F"/>
    <w:rsid w:val="00DF1320"/>
    <w:rsid w:val="00DF15BD"/>
    <w:rsid w:val="00DF199B"/>
    <w:rsid w:val="00DF1D08"/>
    <w:rsid w:val="00DF238C"/>
    <w:rsid w:val="00DF3421"/>
    <w:rsid w:val="00DF3655"/>
    <w:rsid w:val="00DF3779"/>
    <w:rsid w:val="00DF3CA2"/>
    <w:rsid w:val="00DF3E13"/>
    <w:rsid w:val="00DF442F"/>
    <w:rsid w:val="00DF44B7"/>
    <w:rsid w:val="00DF4515"/>
    <w:rsid w:val="00DF49FF"/>
    <w:rsid w:val="00DF4A56"/>
    <w:rsid w:val="00DF4C85"/>
    <w:rsid w:val="00DF4D3F"/>
    <w:rsid w:val="00DF4E56"/>
    <w:rsid w:val="00DF5185"/>
    <w:rsid w:val="00DF557D"/>
    <w:rsid w:val="00DF5ACB"/>
    <w:rsid w:val="00DF5F1B"/>
    <w:rsid w:val="00DF62C6"/>
    <w:rsid w:val="00DF6838"/>
    <w:rsid w:val="00DF74C4"/>
    <w:rsid w:val="00DF75C7"/>
    <w:rsid w:val="00DF7665"/>
    <w:rsid w:val="00DF7C86"/>
    <w:rsid w:val="00DF7D52"/>
    <w:rsid w:val="00DF7E82"/>
    <w:rsid w:val="00E009CA"/>
    <w:rsid w:val="00E00CCE"/>
    <w:rsid w:val="00E00D4D"/>
    <w:rsid w:val="00E01463"/>
    <w:rsid w:val="00E01650"/>
    <w:rsid w:val="00E01809"/>
    <w:rsid w:val="00E0184B"/>
    <w:rsid w:val="00E01851"/>
    <w:rsid w:val="00E018ED"/>
    <w:rsid w:val="00E01C8A"/>
    <w:rsid w:val="00E01C93"/>
    <w:rsid w:val="00E0241C"/>
    <w:rsid w:val="00E026B0"/>
    <w:rsid w:val="00E028E9"/>
    <w:rsid w:val="00E02987"/>
    <w:rsid w:val="00E02A46"/>
    <w:rsid w:val="00E02CD2"/>
    <w:rsid w:val="00E02EEB"/>
    <w:rsid w:val="00E03644"/>
    <w:rsid w:val="00E037F8"/>
    <w:rsid w:val="00E03BD2"/>
    <w:rsid w:val="00E03D1C"/>
    <w:rsid w:val="00E03FE2"/>
    <w:rsid w:val="00E04162"/>
    <w:rsid w:val="00E0480D"/>
    <w:rsid w:val="00E04C82"/>
    <w:rsid w:val="00E05052"/>
    <w:rsid w:val="00E05842"/>
    <w:rsid w:val="00E05E0A"/>
    <w:rsid w:val="00E05EB9"/>
    <w:rsid w:val="00E060BE"/>
    <w:rsid w:val="00E06A82"/>
    <w:rsid w:val="00E0718A"/>
    <w:rsid w:val="00E07199"/>
    <w:rsid w:val="00E0722F"/>
    <w:rsid w:val="00E072A8"/>
    <w:rsid w:val="00E077EE"/>
    <w:rsid w:val="00E07B9A"/>
    <w:rsid w:val="00E07D55"/>
    <w:rsid w:val="00E07E7B"/>
    <w:rsid w:val="00E10381"/>
    <w:rsid w:val="00E1070C"/>
    <w:rsid w:val="00E10740"/>
    <w:rsid w:val="00E108D7"/>
    <w:rsid w:val="00E108FB"/>
    <w:rsid w:val="00E10E6A"/>
    <w:rsid w:val="00E115A5"/>
    <w:rsid w:val="00E12137"/>
    <w:rsid w:val="00E124F6"/>
    <w:rsid w:val="00E1266A"/>
    <w:rsid w:val="00E1275B"/>
    <w:rsid w:val="00E12B49"/>
    <w:rsid w:val="00E131AE"/>
    <w:rsid w:val="00E13418"/>
    <w:rsid w:val="00E1369E"/>
    <w:rsid w:val="00E13A87"/>
    <w:rsid w:val="00E13D5D"/>
    <w:rsid w:val="00E14019"/>
    <w:rsid w:val="00E14657"/>
    <w:rsid w:val="00E1472D"/>
    <w:rsid w:val="00E147BD"/>
    <w:rsid w:val="00E149B7"/>
    <w:rsid w:val="00E14CC4"/>
    <w:rsid w:val="00E15479"/>
    <w:rsid w:val="00E154B2"/>
    <w:rsid w:val="00E15920"/>
    <w:rsid w:val="00E159BA"/>
    <w:rsid w:val="00E15AAE"/>
    <w:rsid w:val="00E15BA5"/>
    <w:rsid w:val="00E15CEA"/>
    <w:rsid w:val="00E163E9"/>
    <w:rsid w:val="00E16F27"/>
    <w:rsid w:val="00E1703F"/>
    <w:rsid w:val="00E1791B"/>
    <w:rsid w:val="00E17BE1"/>
    <w:rsid w:val="00E17F89"/>
    <w:rsid w:val="00E20092"/>
    <w:rsid w:val="00E20706"/>
    <w:rsid w:val="00E20A17"/>
    <w:rsid w:val="00E20B03"/>
    <w:rsid w:val="00E20DCA"/>
    <w:rsid w:val="00E20EB5"/>
    <w:rsid w:val="00E217E8"/>
    <w:rsid w:val="00E219E5"/>
    <w:rsid w:val="00E219FC"/>
    <w:rsid w:val="00E21B76"/>
    <w:rsid w:val="00E21D32"/>
    <w:rsid w:val="00E21E8F"/>
    <w:rsid w:val="00E224F4"/>
    <w:rsid w:val="00E225D2"/>
    <w:rsid w:val="00E23278"/>
    <w:rsid w:val="00E23B34"/>
    <w:rsid w:val="00E23DD4"/>
    <w:rsid w:val="00E24444"/>
    <w:rsid w:val="00E2455D"/>
    <w:rsid w:val="00E2492D"/>
    <w:rsid w:val="00E249B7"/>
    <w:rsid w:val="00E24F2C"/>
    <w:rsid w:val="00E254ED"/>
    <w:rsid w:val="00E259E1"/>
    <w:rsid w:val="00E25A94"/>
    <w:rsid w:val="00E25CB1"/>
    <w:rsid w:val="00E25E83"/>
    <w:rsid w:val="00E262C6"/>
    <w:rsid w:val="00E266D0"/>
    <w:rsid w:val="00E268A5"/>
    <w:rsid w:val="00E26A72"/>
    <w:rsid w:val="00E26AB2"/>
    <w:rsid w:val="00E26C61"/>
    <w:rsid w:val="00E26D48"/>
    <w:rsid w:val="00E270DA"/>
    <w:rsid w:val="00E272DE"/>
    <w:rsid w:val="00E27701"/>
    <w:rsid w:val="00E30367"/>
    <w:rsid w:val="00E30607"/>
    <w:rsid w:val="00E30961"/>
    <w:rsid w:val="00E30B87"/>
    <w:rsid w:val="00E30CBE"/>
    <w:rsid w:val="00E30D52"/>
    <w:rsid w:val="00E30F6B"/>
    <w:rsid w:val="00E31746"/>
    <w:rsid w:val="00E3177D"/>
    <w:rsid w:val="00E31CFC"/>
    <w:rsid w:val="00E31EE9"/>
    <w:rsid w:val="00E31FB5"/>
    <w:rsid w:val="00E31FCC"/>
    <w:rsid w:val="00E320C6"/>
    <w:rsid w:val="00E3218A"/>
    <w:rsid w:val="00E323C6"/>
    <w:rsid w:val="00E32787"/>
    <w:rsid w:val="00E327D5"/>
    <w:rsid w:val="00E328E7"/>
    <w:rsid w:val="00E32A74"/>
    <w:rsid w:val="00E32C3F"/>
    <w:rsid w:val="00E32C98"/>
    <w:rsid w:val="00E32D79"/>
    <w:rsid w:val="00E32EBD"/>
    <w:rsid w:val="00E32ED9"/>
    <w:rsid w:val="00E3338A"/>
    <w:rsid w:val="00E3355E"/>
    <w:rsid w:val="00E33562"/>
    <w:rsid w:val="00E335B3"/>
    <w:rsid w:val="00E33A19"/>
    <w:rsid w:val="00E33D5F"/>
    <w:rsid w:val="00E33ECC"/>
    <w:rsid w:val="00E34363"/>
    <w:rsid w:val="00E34682"/>
    <w:rsid w:val="00E34A98"/>
    <w:rsid w:val="00E34C6E"/>
    <w:rsid w:val="00E35038"/>
    <w:rsid w:val="00E35675"/>
    <w:rsid w:val="00E358B3"/>
    <w:rsid w:val="00E35D47"/>
    <w:rsid w:val="00E363F6"/>
    <w:rsid w:val="00E366F3"/>
    <w:rsid w:val="00E3678F"/>
    <w:rsid w:val="00E36F31"/>
    <w:rsid w:val="00E3711E"/>
    <w:rsid w:val="00E37460"/>
    <w:rsid w:val="00E3772F"/>
    <w:rsid w:val="00E37B18"/>
    <w:rsid w:val="00E37BDA"/>
    <w:rsid w:val="00E37C0F"/>
    <w:rsid w:val="00E37C8C"/>
    <w:rsid w:val="00E37CB6"/>
    <w:rsid w:val="00E40092"/>
    <w:rsid w:val="00E400F7"/>
    <w:rsid w:val="00E40689"/>
    <w:rsid w:val="00E408AD"/>
    <w:rsid w:val="00E4095D"/>
    <w:rsid w:val="00E4096D"/>
    <w:rsid w:val="00E40CA1"/>
    <w:rsid w:val="00E40DAC"/>
    <w:rsid w:val="00E413EC"/>
    <w:rsid w:val="00E414B3"/>
    <w:rsid w:val="00E416D7"/>
    <w:rsid w:val="00E41C77"/>
    <w:rsid w:val="00E41DFA"/>
    <w:rsid w:val="00E42006"/>
    <w:rsid w:val="00E421C9"/>
    <w:rsid w:val="00E42518"/>
    <w:rsid w:val="00E426F5"/>
    <w:rsid w:val="00E429AA"/>
    <w:rsid w:val="00E42A8A"/>
    <w:rsid w:val="00E42D15"/>
    <w:rsid w:val="00E432A7"/>
    <w:rsid w:val="00E43411"/>
    <w:rsid w:val="00E43413"/>
    <w:rsid w:val="00E436FF"/>
    <w:rsid w:val="00E43925"/>
    <w:rsid w:val="00E43C7B"/>
    <w:rsid w:val="00E43EB1"/>
    <w:rsid w:val="00E43EC7"/>
    <w:rsid w:val="00E44228"/>
    <w:rsid w:val="00E449EB"/>
    <w:rsid w:val="00E44BC7"/>
    <w:rsid w:val="00E44D6C"/>
    <w:rsid w:val="00E45008"/>
    <w:rsid w:val="00E45195"/>
    <w:rsid w:val="00E45311"/>
    <w:rsid w:val="00E455BA"/>
    <w:rsid w:val="00E45610"/>
    <w:rsid w:val="00E459FD"/>
    <w:rsid w:val="00E45C50"/>
    <w:rsid w:val="00E45D23"/>
    <w:rsid w:val="00E45D7F"/>
    <w:rsid w:val="00E46186"/>
    <w:rsid w:val="00E4639C"/>
    <w:rsid w:val="00E465C4"/>
    <w:rsid w:val="00E47444"/>
    <w:rsid w:val="00E477A5"/>
    <w:rsid w:val="00E5028E"/>
    <w:rsid w:val="00E50741"/>
    <w:rsid w:val="00E507DE"/>
    <w:rsid w:val="00E509CC"/>
    <w:rsid w:val="00E50BDC"/>
    <w:rsid w:val="00E50C55"/>
    <w:rsid w:val="00E50CD8"/>
    <w:rsid w:val="00E50FFB"/>
    <w:rsid w:val="00E5116E"/>
    <w:rsid w:val="00E517EF"/>
    <w:rsid w:val="00E51A78"/>
    <w:rsid w:val="00E51CE1"/>
    <w:rsid w:val="00E51DDB"/>
    <w:rsid w:val="00E51E50"/>
    <w:rsid w:val="00E526A3"/>
    <w:rsid w:val="00E5316B"/>
    <w:rsid w:val="00E534B2"/>
    <w:rsid w:val="00E534CF"/>
    <w:rsid w:val="00E538F2"/>
    <w:rsid w:val="00E53C9C"/>
    <w:rsid w:val="00E53D2E"/>
    <w:rsid w:val="00E53DB6"/>
    <w:rsid w:val="00E5403F"/>
    <w:rsid w:val="00E543B8"/>
    <w:rsid w:val="00E54411"/>
    <w:rsid w:val="00E54C73"/>
    <w:rsid w:val="00E55124"/>
    <w:rsid w:val="00E552BF"/>
    <w:rsid w:val="00E5555B"/>
    <w:rsid w:val="00E5555D"/>
    <w:rsid w:val="00E556A2"/>
    <w:rsid w:val="00E55B4A"/>
    <w:rsid w:val="00E55BBB"/>
    <w:rsid w:val="00E55D3A"/>
    <w:rsid w:val="00E55F88"/>
    <w:rsid w:val="00E56199"/>
    <w:rsid w:val="00E5621F"/>
    <w:rsid w:val="00E565A4"/>
    <w:rsid w:val="00E56923"/>
    <w:rsid w:val="00E569AC"/>
    <w:rsid w:val="00E56C04"/>
    <w:rsid w:val="00E56CFD"/>
    <w:rsid w:val="00E56D7B"/>
    <w:rsid w:val="00E56EEA"/>
    <w:rsid w:val="00E57388"/>
    <w:rsid w:val="00E577F5"/>
    <w:rsid w:val="00E57869"/>
    <w:rsid w:val="00E57934"/>
    <w:rsid w:val="00E6013D"/>
    <w:rsid w:val="00E60572"/>
    <w:rsid w:val="00E6068B"/>
    <w:rsid w:val="00E608F2"/>
    <w:rsid w:val="00E609FE"/>
    <w:rsid w:val="00E60C09"/>
    <w:rsid w:val="00E60D55"/>
    <w:rsid w:val="00E61288"/>
    <w:rsid w:val="00E614EC"/>
    <w:rsid w:val="00E61A9F"/>
    <w:rsid w:val="00E6216E"/>
    <w:rsid w:val="00E628D1"/>
    <w:rsid w:val="00E62CB3"/>
    <w:rsid w:val="00E62D50"/>
    <w:rsid w:val="00E62FFF"/>
    <w:rsid w:val="00E6319F"/>
    <w:rsid w:val="00E6399F"/>
    <w:rsid w:val="00E63D3F"/>
    <w:rsid w:val="00E63DCE"/>
    <w:rsid w:val="00E63DED"/>
    <w:rsid w:val="00E64224"/>
    <w:rsid w:val="00E64246"/>
    <w:rsid w:val="00E64288"/>
    <w:rsid w:val="00E642E0"/>
    <w:rsid w:val="00E645BD"/>
    <w:rsid w:val="00E6480B"/>
    <w:rsid w:val="00E64ABD"/>
    <w:rsid w:val="00E64FEF"/>
    <w:rsid w:val="00E65809"/>
    <w:rsid w:val="00E658BB"/>
    <w:rsid w:val="00E658FD"/>
    <w:rsid w:val="00E66A72"/>
    <w:rsid w:val="00E66F98"/>
    <w:rsid w:val="00E673F6"/>
    <w:rsid w:val="00E67866"/>
    <w:rsid w:val="00E70045"/>
    <w:rsid w:val="00E70663"/>
    <w:rsid w:val="00E707A3"/>
    <w:rsid w:val="00E70C3F"/>
    <w:rsid w:val="00E70E1B"/>
    <w:rsid w:val="00E71098"/>
    <w:rsid w:val="00E71D93"/>
    <w:rsid w:val="00E71DC4"/>
    <w:rsid w:val="00E71E52"/>
    <w:rsid w:val="00E7241F"/>
    <w:rsid w:val="00E726A6"/>
    <w:rsid w:val="00E72DCD"/>
    <w:rsid w:val="00E72F50"/>
    <w:rsid w:val="00E72F72"/>
    <w:rsid w:val="00E730BF"/>
    <w:rsid w:val="00E7336A"/>
    <w:rsid w:val="00E7342F"/>
    <w:rsid w:val="00E73810"/>
    <w:rsid w:val="00E73AFC"/>
    <w:rsid w:val="00E743BA"/>
    <w:rsid w:val="00E74476"/>
    <w:rsid w:val="00E74644"/>
    <w:rsid w:val="00E749DE"/>
    <w:rsid w:val="00E74DBA"/>
    <w:rsid w:val="00E74E77"/>
    <w:rsid w:val="00E75166"/>
    <w:rsid w:val="00E75402"/>
    <w:rsid w:val="00E75653"/>
    <w:rsid w:val="00E75ECC"/>
    <w:rsid w:val="00E7622D"/>
    <w:rsid w:val="00E76262"/>
    <w:rsid w:val="00E76A26"/>
    <w:rsid w:val="00E76EA7"/>
    <w:rsid w:val="00E770DF"/>
    <w:rsid w:val="00E774A2"/>
    <w:rsid w:val="00E77852"/>
    <w:rsid w:val="00E7788F"/>
    <w:rsid w:val="00E779F0"/>
    <w:rsid w:val="00E77A9A"/>
    <w:rsid w:val="00E77C31"/>
    <w:rsid w:val="00E77CEF"/>
    <w:rsid w:val="00E77D47"/>
    <w:rsid w:val="00E77F05"/>
    <w:rsid w:val="00E80505"/>
    <w:rsid w:val="00E80BF7"/>
    <w:rsid w:val="00E80DAC"/>
    <w:rsid w:val="00E816DA"/>
    <w:rsid w:val="00E8177E"/>
    <w:rsid w:val="00E81CB4"/>
    <w:rsid w:val="00E81D8E"/>
    <w:rsid w:val="00E81F1E"/>
    <w:rsid w:val="00E82025"/>
    <w:rsid w:val="00E82107"/>
    <w:rsid w:val="00E8240B"/>
    <w:rsid w:val="00E82453"/>
    <w:rsid w:val="00E82631"/>
    <w:rsid w:val="00E836DA"/>
    <w:rsid w:val="00E83CD3"/>
    <w:rsid w:val="00E83D5A"/>
    <w:rsid w:val="00E83E4B"/>
    <w:rsid w:val="00E849E5"/>
    <w:rsid w:val="00E84A12"/>
    <w:rsid w:val="00E84D06"/>
    <w:rsid w:val="00E85577"/>
    <w:rsid w:val="00E8585B"/>
    <w:rsid w:val="00E85BC1"/>
    <w:rsid w:val="00E85CB4"/>
    <w:rsid w:val="00E860E7"/>
    <w:rsid w:val="00E861BE"/>
    <w:rsid w:val="00E86987"/>
    <w:rsid w:val="00E86C7E"/>
    <w:rsid w:val="00E86F75"/>
    <w:rsid w:val="00E8711C"/>
    <w:rsid w:val="00E871ED"/>
    <w:rsid w:val="00E875A0"/>
    <w:rsid w:val="00E87EB9"/>
    <w:rsid w:val="00E87EE6"/>
    <w:rsid w:val="00E87F61"/>
    <w:rsid w:val="00E90A95"/>
    <w:rsid w:val="00E90CA7"/>
    <w:rsid w:val="00E91027"/>
    <w:rsid w:val="00E913DC"/>
    <w:rsid w:val="00E91498"/>
    <w:rsid w:val="00E9151E"/>
    <w:rsid w:val="00E91E4E"/>
    <w:rsid w:val="00E91F1E"/>
    <w:rsid w:val="00E925AF"/>
    <w:rsid w:val="00E92668"/>
    <w:rsid w:val="00E934CD"/>
    <w:rsid w:val="00E938ED"/>
    <w:rsid w:val="00E93B19"/>
    <w:rsid w:val="00E93BDB"/>
    <w:rsid w:val="00E93E43"/>
    <w:rsid w:val="00E93F9C"/>
    <w:rsid w:val="00E94283"/>
    <w:rsid w:val="00E94534"/>
    <w:rsid w:val="00E9482F"/>
    <w:rsid w:val="00E94904"/>
    <w:rsid w:val="00E94ACA"/>
    <w:rsid w:val="00E94DB9"/>
    <w:rsid w:val="00E952A0"/>
    <w:rsid w:val="00E95867"/>
    <w:rsid w:val="00E95A3F"/>
    <w:rsid w:val="00E95D1C"/>
    <w:rsid w:val="00E95F8D"/>
    <w:rsid w:val="00E96233"/>
    <w:rsid w:val="00E96509"/>
    <w:rsid w:val="00E9653F"/>
    <w:rsid w:val="00E967DC"/>
    <w:rsid w:val="00E968DE"/>
    <w:rsid w:val="00E96EE1"/>
    <w:rsid w:val="00E9756B"/>
    <w:rsid w:val="00E975EA"/>
    <w:rsid w:val="00E97857"/>
    <w:rsid w:val="00E97921"/>
    <w:rsid w:val="00E97C25"/>
    <w:rsid w:val="00EA01AD"/>
    <w:rsid w:val="00EA03B0"/>
    <w:rsid w:val="00EA06CA"/>
    <w:rsid w:val="00EA12DF"/>
    <w:rsid w:val="00EA1589"/>
    <w:rsid w:val="00EA1A58"/>
    <w:rsid w:val="00EA1ACF"/>
    <w:rsid w:val="00EA1BBC"/>
    <w:rsid w:val="00EA1EFA"/>
    <w:rsid w:val="00EA25D3"/>
    <w:rsid w:val="00EA2638"/>
    <w:rsid w:val="00EA2CE8"/>
    <w:rsid w:val="00EA2EFF"/>
    <w:rsid w:val="00EA2F51"/>
    <w:rsid w:val="00EA3215"/>
    <w:rsid w:val="00EA3A3D"/>
    <w:rsid w:val="00EA3D15"/>
    <w:rsid w:val="00EA3F15"/>
    <w:rsid w:val="00EA4AFB"/>
    <w:rsid w:val="00EA4C09"/>
    <w:rsid w:val="00EA4F8D"/>
    <w:rsid w:val="00EA507E"/>
    <w:rsid w:val="00EA5717"/>
    <w:rsid w:val="00EA593D"/>
    <w:rsid w:val="00EA5A5D"/>
    <w:rsid w:val="00EA5D04"/>
    <w:rsid w:val="00EA5E53"/>
    <w:rsid w:val="00EA60D2"/>
    <w:rsid w:val="00EA6738"/>
    <w:rsid w:val="00EA6A3C"/>
    <w:rsid w:val="00EA700E"/>
    <w:rsid w:val="00EA7409"/>
    <w:rsid w:val="00EA7847"/>
    <w:rsid w:val="00EA7FDF"/>
    <w:rsid w:val="00EB01FB"/>
    <w:rsid w:val="00EB03B9"/>
    <w:rsid w:val="00EB03FA"/>
    <w:rsid w:val="00EB0521"/>
    <w:rsid w:val="00EB06E6"/>
    <w:rsid w:val="00EB0AC0"/>
    <w:rsid w:val="00EB0DB4"/>
    <w:rsid w:val="00EB1008"/>
    <w:rsid w:val="00EB13C2"/>
    <w:rsid w:val="00EB1401"/>
    <w:rsid w:val="00EB1BC5"/>
    <w:rsid w:val="00EB21CD"/>
    <w:rsid w:val="00EB2351"/>
    <w:rsid w:val="00EB263B"/>
    <w:rsid w:val="00EB2725"/>
    <w:rsid w:val="00EB2746"/>
    <w:rsid w:val="00EB28F5"/>
    <w:rsid w:val="00EB2DF7"/>
    <w:rsid w:val="00EB40E7"/>
    <w:rsid w:val="00EB429D"/>
    <w:rsid w:val="00EB4347"/>
    <w:rsid w:val="00EB468E"/>
    <w:rsid w:val="00EB4C2F"/>
    <w:rsid w:val="00EB5FB6"/>
    <w:rsid w:val="00EB6155"/>
    <w:rsid w:val="00EB61E7"/>
    <w:rsid w:val="00EB6655"/>
    <w:rsid w:val="00EB674A"/>
    <w:rsid w:val="00EB6833"/>
    <w:rsid w:val="00EB68F4"/>
    <w:rsid w:val="00EB6AA0"/>
    <w:rsid w:val="00EB6DF0"/>
    <w:rsid w:val="00EB6F6A"/>
    <w:rsid w:val="00EB744B"/>
    <w:rsid w:val="00EB74D3"/>
    <w:rsid w:val="00EB763E"/>
    <w:rsid w:val="00EB78BA"/>
    <w:rsid w:val="00EB7A7A"/>
    <w:rsid w:val="00EB7AB5"/>
    <w:rsid w:val="00EC09EA"/>
    <w:rsid w:val="00EC0A3A"/>
    <w:rsid w:val="00EC0BFC"/>
    <w:rsid w:val="00EC0D9F"/>
    <w:rsid w:val="00EC1375"/>
    <w:rsid w:val="00EC1465"/>
    <w:rsid w:val="00EC169C"/>
    <w:rsid w:val="00EC1726"/>
    <w:rsid w:val="00EC1730"/>
    <w:rsid w:val="00EC19CD"/>
    <w:rsid w:val="00EC1B9E"/>
    <w:rsid w:val="00EC1D75"/>
    <w:rsid w:val="00EC1E03"/>
    <w:rsid w:val="00EC1E86"/>
    <w:rsid w:val="00EC213A"/>
    <w:rsid w:val="00EC2217"/>
    <w:rsid w:val="00EC2370"/>
    <w:rsid w:val="00EC27FC"/>
    <w:rsid w:val="00EC2B77"/>
    <w:rsid w:val="00EC2EB7"/>
    <w:rsid w:val="00EC2F1D"/>
    <w:rsid w:val="00EC326F"/>
    <w:rsid w:val="00EC33A9"/>
    <w:rsid w:val="00EC3732"/>
    <w:rsid w:val="00EC3CE5"/>
    <w:rsid w:val="00EC448C"/>
    <w:rsid w:val="00EC4646"/>
    <w:rsid w:val="00EC4656"/>
    <w:rsid w:val="00EC5024"/>
    <w:rsid w:val="00EC527D"/>
    <w:rsid w:val="00EC5481"/>
    <w:rsid w:val="00EC559B"/>
    <w:rsid w:val="00EC5BB4"/>
    <w:rsid w:val="00EC5F7A"/>
    <w:rsid w:val="00EC5FFF"/>
    <w:rsid w:val="00EC6124"/>
    <w:rsid w:val="00EC6133"/>
    <w:rsid w:val="00EC6403"/>
    <w:rsid w:val="00EC6964"/>
    <w:rsid w:val="00EC696B"/>
    <w:rsid w:val="00EC6A3C"/>
    <w:rsid w:val="00EC6CD7"/>
    <w:rsid w:val="00EC71F9"/>
    <w:rsid w:val="00EC74B2"/>
    <w:rsid w:val="00EC794D"/>
    <w:rsid w:val="00ED008C"/>
    <w:rsid w:val="00ED0409"/>
    <w:rsid w:val="00ED0427"/>
    <w:rsid w:val="00ED05A7"/>
    <w:rsid w:val="00ED0618"/>
    <w:rsid w:val="00ED06A5"/>
    <w:rsid w:val="00ED1319"/>
    <w:rsid w:val="00ED13B4"/>
    <w:rsid w:val="00ED15D2"/>
    <w:rsid w:val="00ED1871"/>
    <w:rsid w:val="00ED1F88"/>
    <w:rsid w:val="00ED1FD2"/>
    <w:rsid w:val="00ED21D2"/>
    <w:rsid w:val="00ED227B"/>
    <w:rsid w:val="00ED26AF"/>
    <w:rsid w:val="00ED2821"/>
    <w:rsid w:val="00ED289A"/>
    <w:rsid w:val="00ED292E"/>
    <w:rsid w:val="00ED2C49"/>
    <w:rsid w:val="00ED38CF"/>
    <w:rsid w:val="00ED3991"/>
    <w:rsid w:val="00ED3D3A"/>
    <w:rsid w:val="00ED3EC9"/>
    <w:rsid w:val="00ED45A2"/>
    <w:rsid w:val="00ED479B"/>
    <w:rsid w:val="00ED487A"/>
    <w:rsid w:val="00ED4B0A"/>
    <w:rsid w:val="00ED4C1B"/>
    <w:rsid w:val="00ED4ED6"/>
    <w:rsid w:val="00ED507C"/>
    <w:rsid w:val="00ED50B3"/>
    <w:rsid w:val="00ED590E"/>
    <w:rsid w:val="00ED5A9B"/>
    <w:rsid w:val="00ED5FE2"/>
    <w:rsid w:val="00ED6095"/>
    <w:rsid w:val="00ED651A"/>
    <w:rsid w:val="00ED656F"/>
    <w:rsid w:val="00ED66C4"/>
    <w:rsid w:val="00ED6B9C"/>
    <w:rsid w:val="00ED6FD3"/>
    <w:rsid w:val="00ED7229"/>
    <w:rsid w:val="00ED7383"/>
    <w:rsid w:val="00ED744B"/>
    <w:rsid w:val="00ED7460"/>
    <w:rsid w:val="00ED7606"/>
    <w:rsid w:val="00ED773F"/>
    <w:rsid w:val="00ED77EB"/>
    <w:rsid w:val="00ED7937"/>
    <w:rsid w:val="00ED7E22"/>
    <w:rsid w:val="00ED7E27"/>
    <w:rsid w:val="00EE0B74"/>
    <w:rsid w:val="00EE10FC"/>
    <w:rsid w:val="00EE12AC"/>
    <w:rsid w:val="00EE12F5"/>
    <w:rsid w:val="00EE151D"/>
    <w:rsid w:val="00EE1924"/>
    <w:rsid w:val="00EE1B4C"/>
    <w:rsid w:val="00EE1D83"/>
    <w:rsid w:val="00EE1F2B"/>
    <w:rsid w:val="00EE23FE"/>
    <w:rsid w:val="00EE2E6E"/>
    <w:rsid w:val="00EE3389"/>
    <w:rsid w:val="00EE3B39"/>
    <w:rsid w:val="00EE3E2C"/>
    <w:rsid w:val="00EE44C4"/>
    <w:rsid w:val="00EE467D"/>
    <w:rsid w:val="00EE4868"/>
    <w:rsid w:val="00EE4D57"/>
    <w:rsid w:val="00EE5095"/>
    <w:rsid w:val="00EE5331"/>
    <w:rsid w:val="00EE570C"/>
    <w:rsid w:val="00EE5DE0"/>
    <w:rsid w:val="00EE611D"/>
    <w:rsid w:val="00EE6127"/>
    <w:rsid w:val="00EE625A"/>
    <w:rsid w:val="00EE63EA"/>
    <w:rsid w:val="00EE64DB"/>
    <w:rsid w:val="00EE66AA"/>
    <w:rsid w:val="00EE671B"/>
    <w:rsid w:val="00EE689E"/>
    <w:rsid w:val="00EE7064"/>
    <w:rsid w:val="00EF04CA"/>
    <w:rsid w:val="00EF05B1"/>
    <w:rsid w:val="00EF06E1"/>
    <w:rsid w:val="00EF0E33"/>
    <w:rsid w:val="00EF0EF0"/>
    <w:rsid w:val="00EF13B7"/>
    <w:rsid w:val="00EF189D"/>
    <w:rsid w:val="00EF1D1D"/>
    <w:rsid w:val="00EF1F8A"/>
    <w:rsid w:val="00EF266B"/>
    <w:rsid w:val="00EF2C5B"/>
    <w:rsid w:val="00EF2C8D"/>
    <w:rsid w:val="00EF2EC6"/>
    <w:rsid w:val="00EF2EE2"/>
    <w:rsid w:val="00EF2F9F"/>
    <w:rsid w:val="00EF3156"/>
    <w:rsid w:val="00EF3491"/>
    <w:rsid w:val="00EF38D1"/>
    <w:rsid w:val="00EF39F0"/>
    <w:rsid w:val="00EF3F3A"/>
    <w:rsid w:val="00EF3FA8"/>
    <w:rsid w:val="00EF427F"/>
    <w:rsid w:val="00EF42B1"/>
    <w:rsid w:val="00EF4387"/>
    <w:rsid w:val="00EF43F5"/>
    <w:rsid w:val="00EF47F2"/>
    <w:rsid w:val="00EF4850"/>
    <w:rsid w:val="00EF4C5E"/>
    <w:rsid w:val="00EF5248"/>
    <w:rsid w:val="00EF53A4"/>
    <w:rsid w:val="00EF544E"/>
    <w:rsid w:val="00EF58C4"/>
    <w:rsid w:val="00EF5E46"/>
    <w:rsid w:val="00EF5FAC"/>
    <w:rsid w:val="00EF6A6F"/>
    <w:rsid w:val="00EF6AA6"/>
    <w:rsid w:val="00EF6D78"/>
    <w:rsid w:val="00EF6F7B"/>
    <w:rsid w:val="00EF719C"/>
    <w:rsid w:val="00EF75A6"/>
    <w:rsid w:val="00EF7774"/>
    <w:rsid w:val="00EF7CDA"/>
    <w:rsid w:val="00F002A1"/>
    <w:rsid w:val="00F004AF"/>
    <w:rsid w:val="00F008EA"/>
    <w:rsid w:val="00F00AC8"/>
    <w:rsid w:val="00F00AFE"/>
    <w:rsid w:val="00F00C4A"/>
    <w:rsid w:val="00F00E63"/>
    <w:rsid w:val="00F0160A"/>
    <w:rsid w:val="00F01A39"/>
    <w:rsid w:val="00F02211"/>
    <w:rsid w:val="00F02289"/>
    <w:rsid w:val="00F022BA"/>
    <w:rsid w:val="00F022D3"/>
    <w:rsid w:val="00F02671"/>
    <w:rsid w:val="00F0273A"/>
    <w:rsid w:val="00F02A9C"/>
    <w:rsid w:val="00F02EF1"/>
    <w:rsid w:val="00F03284"/>
    <w:rsid w:val="00F0374A"/>
    <w:rsid w:val="00F03BC3"/>
    <w:rsid w:val="00F04F7C"/>
    <w:rsid w:val="00F051D5"/>
    <w:rsid w:val="00F0597F"/>
    <w:rsid w:val="00F05988"/>
    <w:rsid w:val="00F05BFC"/>
    <w:rsid w:val="00F05DBB"/>
    <w:rsid w:val="00F05EAC"/>
    <w:rsid w:val="00F06022"/>
    <w:rsid w:val="00F0622F"/>
    <w:rsid w:val="00F066CD"/>
    <w:rsid w:val="00F06711"/>
    <w:rsid w:val="00F06CFF"/>
    <w:rsid w:val="00F07298"/>
    <w:rsid w:val="00F0759E"/>
    <w:rsid w:val="00F076C1"/>
    <w:rsid w:val="00F07AB7"/>
    <w:rsid w:val="00F10070"/>
    <w:rsid w:val="00F10228"/>
    <w:rsid w:val="00F1038D"/>
    <w:rsid w:val="00F104A6"/>
    <w:rsid w:val="00F106E7"/>
    <w:rsid w:val="00F107AA"/>
    <w:rsid w:val="00F10E89"/>
    <w:rsid w:val="00F11B01"/>
    <w:rsid w:val="00F11E1E"/>
    <w:rsid w:val="00F121A9"/>
    <w:rsid w:val="00F127A4"/>
    <w:rsid w:val="00F12B7B"/>
    <w:rsid w:val="00F12CBD"/>
    <w:rsid w:val="00F12F32"/>
    <w:rsid w:val="00F12F35"/>
    <w:rsid w:val="00F13040"/>
    <w:rsid w:val="00F13246"/>
    <w:rsid w:val="00F13DF4"/>
    <w:rsid w:val="00F14383"/>
    <w:rsid w:val="00F14443"/>
    <w:rsid w:val="00F1464E"/>
    <w:rsid w:val="00F14ABF"/>
    <w:rsid w:val="00F14BE3"/>
    <w:rsid w:val="00F14D8B"/>
    <w:rsid w:val="00F1583A"/>
    <w:rsid w:val="00F1587C"/>
    <w:rsid w:val="00F15B8C"/>
    <w:rsid w:val="00F15B9E"/>
    <w:rsid w:val="00F15FE5"/>
    <w:rsid w:val="00F162A6"/>
    <w:rsid w:val="00F1634A"/>
    <w:rsid w:val="00F16364"/>
    <w:rsid w:val="00F16862"/>
    <w:rsid w:val="00F168B4"/>
    <w:rsid w:val="00F1698B"/>
    <w:rsid w:val="00F169AC"/>
    <w:rsid w:val="00F169F8"/>
    <w:rsid w:val="00F16A43"/>
    <w:rsid w:val="00F16B57"/>
    <w:rsid w:val="00F17236"/>
    <w:rsid w:val="00F17682"/>
    <w:rsid w:val="00F17709"/>
    <w:rsid w:val="00F178EE"/>
    <w:rsid w:val="00F20395"/>
    <w:rsid w:val="00F20432"/>
    <w:rsid w:val="00F20A74"/>
    <w:rsid w:val="00F20BBF"/>
    <w:rsid w:val="00F20C3C"/>
    <w:rsid w:val="00F21A99"/>
    <w:rsid w:val="00F21AD4"/>
    <w:rsid w:val="00F2223D"/>
    <w:rsid w:val="00F22774"/>
    <w:rsid w:val="00F22BA0"/>
    <w:rsid w:val="00F235E8"/>
    <w:rsid w:val="00F2365C"/>
    <w:rsid w:val="00F238F7"/>
    <w:rsid w:val="00F23BFB"/>
    <w:rsid w:val="00F23E43"/>
    <w:rsid w:val="00F24137"/>
    <w:rsid w:val="00F24450"/>
    <w:rsid w:val="00F24C2A"/>
    <w:rsid w:val="00F25301"/>
    <w:rsid w:val="00F256AA"/>
    <w:rsid w:val="00F25C47"/>
    <w:rsid w:val="00F25CA1"/>
    <w:rsid w:val="00F25DAF"/>
    <w:rsid w:val="00F25F64"/>
    <w:rsid w:val="00F26055"/>
    <w:rsid w:val="00F260E3"/>
    <w:rsid w:val="00F2641C"/>
    <w:rsid w:val="00F26802"/>
    <w:rsid w:val="00F26DE6"/>
    <w:rsid w:val="00F27066"/>
    <w:rsid w:val="00F271BD"/>
    <w:rsid w:val="00F27247"/>
    <w:rsid w:val="00F277B8"/>
    <w:rsid w:val="00F27B79"/>
    <w:rsid w:val="00F30041"/>
    <w:rsid w:val="00F303C6"/>
    <w:rsid w:val="00F307A2"/>
    <w:rsid w:val="00F31253"/>
    <w:rsid w:val="00F31314"/>
    <w:rsid w:val="00F31436"/>
    <w:rsid w:val="00F31521"/>
    <w:rsid w:val="00F31825"/>
    <w:rsid w:val="00F3185A"/>
    <w:rsid w:val="00F31B15"/>
    <w:rsid w:val="00F31BE5"/>
    <w:rsid w:val="00F31F03"/>
    <w:rsid w:val="00F31F09"/>
    <w:rsid w:val="00F3254F"/>
    <w:rsid w:val="00F32C16"/>
    <w:rsid w:val="00F32F56"/>
    <w:rsid w:val="00F33221"/>
    <w:rsid w:val="00F3328B"/>
    <w:rsid w:val="00F33434"/>
    <w:rsid w:val="00F335A8"/>
    <w:rsid w:val="00F337E7"/>
    <w:rsid w:val="00F33F1C"/>
    <w:rsid w:val="00F345EC"/>
    <w:rsid w:val="00F34BFB"/>
    <w:rsid w:val="00F34CAB"/>
    <w:rsid w:val="00F34F66"/>
    <w:rsid w:val="00F3526A"/>
    <w:rsid w:val="00F35316"/>
    <w:rsid w:val="00F356CE"/>
    <w:rsid w:val="00F35FBD"/>
    <w:rsid w:val="00F36241"/>
    <w:rsid w:val="00F373C5"/>
    <w:rsid w:val="00F37415"/>
    <w:rsid w:val="00F3759E"/>
    <w:rsid w:val="00F37C58"/>
    <w:rsid w:val="00F37CFC"/>
    <w:rsid w:val="00F37DC5"/>
    <w:rsid w:val="00F37F7B"/>
    <w:rsid w:val="00F4026A"/>
    <w:rsid w:val="00F4048F"/>
    <w:rsid w:val="00F40954"/>
    <w:rsid w:val="00F40FCE"/>
    <w:rsid w:val="00F411FA"/>
    <w:rsid w:val="00F41329"/>
    <w:rsid w:val="00F413E9"/>
    <w:rsid w:val="00F41542"/>
    <w:rsid w:val="00F418AC"/>
    <w:rsid w:val="00F41D55"/>
    <w:rsid w:val="00F420C5"/>
    <w:rsid w:val="00F42529"/>
    <w:rsid w:val="00F429FE"/>
    <w:rsid w:val="00F42E1D"/>
    <w:rsid w:val="00F430AC"/>
    <w:rsid w:val="00F430E0"/>
    <w:rsid w:val="00F43274"/>
    <w:rsid w:val="00F4331C"/>
    <w:rsid w:val="00F43C05"/>
    <w:rsid w:val="00F43C29"/>
    <w:rsid w:val="00F43E69"/>
    <w:rsid w:val="00F43F69"/>
    <w:rsid w:val="00F4448E"/>
    <w:rsid w:val="00F447CB"/>
    <w:rsid w:val="00F44C5E"/>
    <w:rsid w:val="00F44D2C"/>
    <w:rsid w:val="00F44D53"/>
    <w:rsid w:val="00F44E5C"/>
    <w:rsid w:val="00F44EB6"/>
    <w:rsid w:val="00F45662"/>
    <w:rsid w:val="00F459A5"/>
    <w:rsid w:val="00F45B64"/>
    <w:rsid w:val="00F45C3D"/>
    <w:rsid w:val="00F45D3B"/>
    <w:rsid w:val="00F45E87"/>
    <w:rsid w:val="00F46390"/>
    <w:rsid w:val="00F464CB"/>
    <w:rsid w:val="00F46780"/>
    <w:rsid w:val="00F46D3B"/>
    <w:rsid w:val="00F46F2B"/>
    <w:rsid w:val="00F473E5"/>
    <w:rsid w:val="00F4767C"/>
    <w:rsid w:val="00F47748"/>
    <w:rsid w:val="00F47B36"/>
    <w:rsid w:val="00F47FF3"/>
    <w:rsid w:val="00F50148"/>
    <w:rsid w:val="00F5048F"/>
    <w:rsid w:val="00F50583"/>
    <w:rsid w:val="00F50D3B"/>
    <w:rsid w:val="00F50E31"/>
    <w:rsid w:val="00F50FF9"/>
    <w:rsid w:val="00F51106"/>
    <w:rsid w:val="00F515FC"/>
    <w:rsid w:val="00F52289"/>
    <w:rsid w:val="00F52379"/>
    <w:rsid w:val="00F5255E"/>
    <w:rsid w:val="00F5257D"/>
    <w:rsid w:val="00F52E4E"/>
    <w:rsid w:val="00F53BCB"/>
    <w:rsid w:val="00F53C6D"/>
    <w:rsid w:val="00F53D20"/>
    <w:rsid w:val="00F543AF"/>
    <w:rsid w:val="00F545EA"/>
    <w:rsid w:val="00F54B8A"/>
    <w:rsid w:val="00F54F07"/>
    <w:rsid w:val="00F5514F"/>
    <w:rsid w:val="00F55370"/>
    <w:rsid w:val="00F55388"/>
    <w:rsid w:val="00F5575D"/>
    <w:rsid w:val="00F55AA7"/>
    <w:rsid w:val="00F5620B"/>
    <w:rsid w:val="00F563C0"/>
    <w:rsid w:val="00F5662B"/>
    <w:rsid w:val="00F567C5"/>
    <w:rsid w:val="00F56C28"/>
    <w:rsid w:val="00F56DBD"/>
    <w:rsid w:val="00F56DF7"/>
    <w:rsid w:val="00F56F24"/>
    <w:rsid w:val="00F572B5"/>
    <w:rsid w:val="00F574BA"/>
    <w:rsid w:val="00F576D5"/>
    <w:rsid w:val="00F5774C"/>
    <w:rsid w:val="00F579D2"/>
    <w:rsid w:val="00F57C79"/>
    <w:rsid w:val="00F57DCB"/>
    <w:rsid w:val="00F60169"/>
    <w:rsid w:val="00F60555"/>
    <w:rsid w:val="00F60C75"/>
    <w:rsid w:val="00F61CA4"/>
    <w:rsid w:val="00F61ECE"/>
    <w:rsid w:val="00F61F78"/>
    <w:rsid w:val="00F61F8A"/>
    <w:rsid w:val="00F61FB8"/>
    <w:rsid w:val="00F6228A"/>
    <w:rsid w:val="00F62472"/>
    <w:rsid w:val="00F626CD"/>
    <w:rsid w:val="00F62818"/>
    <w:rsid w:val="00F62A86"/>
    <w:rsid w:val="00F6325B"/>
    <w:rsid w:val="00F633CD"/>
    <w:rsid w:val="00F63554"/>
    <w:rsid w:val="00F635CA"/>
    <w:rsid w:val="00F6385C"/>
    <w:rsid w:val="00F63B6D"/>
    <w:rsid w:val="00F64008"/>
    <w:rsid w:val="00F6498E"/>
    <w:rsid w:val="00F649BF"/>
    <w:rsid w:val="00F649FB"/>
    <w:rsid w:val="00F64C07"/>
    <w:rsid w:val="00F64D51"/>
    <w:rsid w:val="00F65442"/>
    <w:rsid w:val="00F654AA"/>
    <w:rsid w:val="00F656A9"/>
    <w:rsid w:val="00F6583B"/>
    <w:rsid w:val="00F65955"/>
    <w:rsid w:val="00F65990"/>
    <w:rsid w:val="00F659DC"/>
    <w:rsid w:val="00F65E7D"/>
    <w:rsid w:val="00F65EB4"/>
    <w:rsid w:val="00F662AC"/>
    <w:rsid w:val="00F664C4"/>
    <w:rsid w:val="00F66864"/>
    <w:rsid w:val="00F66AC8"/>
    <w:rsid w:val="00F66D96"/>
    <w:rsid w:val="00F6702A"/>
    <w:rsid w:val="00F670CA"/>
    <w:rsid w:val="00F67131"/>
    <w:rsid w:val="00F674C8"/>
    <w:rsid w:val="00F6753B"/>
    <w:rsid w:val="00F676C7"/>
    <w:rsid w:val="00F6796A"/>
    <w:rsid w:val="00F67C83"/>
    <w:rsid w:val="00F70046"/>
    <w:rsid w:val="00F701DF"/>
    <w:rsid w:val="00F7026A"/>
    <w:rsid w:val="00F7032A"/>
    <w:rsid w:val="00F7056B"/>
    <w:rsid w:val="00F70C2F"/>
    <w:rsid w:val="00F70C57"/>
    <w:rsid w:val="00F710F6"/>
    <w:rsid w:val="00F71172"/>
    <w:rsid w:val="00F71274"/>
    <w:rsid w:val="00F7158E"/>
    <w:rsid w:val="00F717D1"/>
    <w:rsid w:val="00F71FF2"/>
    <w:rsid w:val="00F72990"/>
    <w:rsid w:val="00F72A24"/>
    <w:rsid w:val="00F72C21"/>
    <w:rsid w:val="00F72D63"/>
    <w:rsid w:val="00F7332D"/>
    <w:rsid w:val="00F7355A"/>
    <w:rsid w:val="00F73AFC"/>
    <w:rsid w:val="00F7425F"/>
    <w:rsid w:val="00F74261"/>
    <w:rsid w:val="00F758F1"/>
    <w:rsid w:val="00F75A55"/>
    <w:rsid w:val="00F75B7D"/>
    <w:rsid w:val="00F75DDA"/>
    <w:rsid w:val="00F7604C"/>
    <w:rsid w:val="00F76098"/>
    <w:rsid w:val="00F76224"/>
    <w:rsid w:val="00F7650E"/>
    <w:rsid w:val="00F76966"/>
    <w:rsid w:val="00F76ADD"/>
    <w:rsid w:val="00F76B34"/>
    <w:rsid w:val="00F76BF6"/>
    <w:rsid w:val="00F76C39"/>
    <w:rsid w:val="00F7702A"/>
    <w:rsid w:val="00F777D3"/>
    <w:rsid w:val="00F80227"/>
    <w:rsid w:val="00F80471"/>
    <w:rsid w:val="00F8050C"/>
    <w:rsid w:val="00F8053A"/>
    <w:rsid w:val="00F8070C"/>
    <w:rsid w:val="00F80A17"/>
    <w:rsid w:val="00F80AB8"/>
    <w:rsid w:val="00F80B27"/>
    <w:rsid w:val="00F80C5B"/>
    <w:rsid w:val="00F81482"/>
    <w:rsid w:val="00F81C35"/>
    <w:rsid w:val="00F81DCB"/>
    <w:rsid w:val="00F81DDC"/>
    <w:rsid w:val="00F81EFC"/>
    <w:rsid w:val="00F821A3"/>
    <w:rsid w:val="00F822D1"/>
    <w:rsid w:val="00F82439"/>
    <w:rsid w:val="00F827C3"/>
    <w:rsid w:val="00F82A44"/>
    <w:rsid w:val="00F83110"/>
    <w:rsid w:val="00F83815"/>
    <w:rsid w:val="00F83A0D"/>
    <w:rsid w:val="00F83A86"/>
    <w:rsid w:val="00F83A8F"/>
    <w:rsid w:val="00F83B68"/>
    <w:rsid w:val="00F83CA1"/>
    <w:rsid w:val="00F83F6D"/>
    <w:rsid w:val="00F84290"/>
    <w:rsid w:val="00F842D0"/>
    <w:rsid w:val="00F84723"/>
    <w:rsid w:val="00F84894"/>
    <w:rsid w:val="00F84C63"/>
    <w:rsid w:val="00F8538F"/>
    <w:rsid w:val="00F854BF"/>
    <w:rsid w:val="00F85D1B"/>
    <w:rsid w:val="00F85FBD"/>
    <w:rsid w:val="00F8652F"/>
    <w:rsid w:val="00F865DC"/>
    <w:rsid w:val="00F86629"/>
    <w:rsid w:val="00F86D4C"/>
    <w:rsid w:val="00F8744B"/>
    <w:rsid w:val="00F8765B"/>
    <w:rsid w:val="00F87855"/>
    <w:rsid w:val="00F87915"/>
    <w:rsid w:val="00F87B8D"/>
    <w:rsid w:val="00F902D2"/>
    <w:rsid w:val="00F90825"/>
    <w:rsid w:val="00F90D14"/>
    <w:rsid w:val="00F90D23"/>
    <w:rsid w:val="00F90FBF"/>
    <w:rsid w:val="00F915A7"/>
    <w:rsid w:val="00F916CF"/>
    <w:rsid w:val="00F919EF"/>
    <w:rsid w:val="00F91AEC"/>
    <w:rsid w:val="00F91BBD"/>
    <w:rsid w:val="00F920DB"/>
    <w:rsid w:val="00F9210C"/>
    <w:rsid w:val="00F9231E"/>
    <w:rsid w:val="00F923CD"/>
    <w:rsid w:val="00F923D8"/>
    <w:rsid w:val="00F927D4"/>
    <w:rsid w:val="00F92ABF"/>
    <w:rsid w:val="00F92CDF"/>
    <w:rsid w:val="00F92FA9"/>
    <w:rsid w:val="00F9314A"/>
    <w:rsid w:val="00F93235"/>
    <w:rsid w:val="00F93727"/>
    <w:rsid w:val="00F939A2"/>
    <w:rsid w:val="00F940B2"/>
    <w:rsid w:val="00F9435A"/>
    <w:rsid w:val="00F946E0"/>
    <w:rsid w:val="00F94848"/>
    <w:rsid w:val="00F94C1A"/>
    <w:rsid w:val="00F94F14"/>
    <w:rsid w:val="00F95106"/>
    <w:rsid w:val="00F95206"/>
    <w:rsid w:val="00F95348"/>
    <w:rsid w:val="00F95401"/>
    <w:rsid w:val="00F95959"/>
    <w:rsid w:val="00F95E3A"/>
    <w:rsid w:val="00F9692C"/>
    <w:rsid w:val="00F96D65"/>
    <w:rsid w:val="00F97000"/>
    <w:rsid w:val="00F97057"/>
    <w:rsid w:val="00F973F1"/>
    <w:rsid w:val="00F97467"/>
    <w:rsid w:val="00F974D1"/>
    <w:rsid w:val="00F9760F"/>
    <w:rsid w:val="00F97C13"/>
    <w:rsid w:val="00F97E40"/>
    <w:rsid w:val="00FA0369"/>
    <w:rsid w:val="00FA0AE2"/>
    <w:rsid w:val="00FA0C6C"/>
    <w:rsid w:val="00FA0ECF"/>
    <w:rsid w:val="00FA183A"/>
    <w:rsid w:val="00FA1B80"/>
    <w:rsid w:val="00FA1D26"/>
    <w:rsid w:val="00FA209D"/>
    <w:rsid w:val="00FA20C4"/>
    <w:rsid w:val="00FA20D0"/>
    <w:rsid w:val="00FA20D2"/>
    <w:rsid w:val="00FA20F9"/>
    <w:rsid w:val="00FA21AF"/>
    <w:rsid w:val="00FA21E1"/>
    <w:rsid w:val="00FA2507"/>
    <w:rsid w:val="00FA2752"/>
    <w:rsid w:val="00FA2845"/>
    <w:rsid w:val="00FA2DB4"/>
    <w:rsid w:val="00FA31FD"/>
    <w:rsid w:val="00FA3EDB"/>
    <w:rsid w:val="00FA426B"/>
    <w:rsid w:val="00FA44C7"/>
    <w:rsid w:val="00FA4C5E"/>
    <w:rsid w:val="00FA4DAB"/>
    <w:rsid w:val="00FA50F7"/>
    <w:rsid w:val="00FA5287"/>
    <w:rsid w:val="00FA5363"/>
    <w:rsid w:val="00FA55B4"/>
    <w:rsid w:val="00FA5C64"/>
    <w:rsid w:val="00FA5CCF"/>
    <w:rsid w:val="00FA5DB5"/>
    <w:rsid w:val="00FA5DC7"/>
    <w:rsid w:val="00FA61DF"/>
    <w:rsid w:val="00FA61FC"/>
    <w:rsid w:val="00FA63DB"/>
    <w:rsid w:val="00FA6462"/>
    <w:rsid w:val="00FA69B6"/>
    <w:rsid w:val="00FA6C85"/>
    <w:rsid w:val="00FA79DD"/>
    <w:rsid w:val="00FA7B16"/>
    <w:rsid w:val="00FB0175"/>
    <w:rsid w:val="00FB0536"/>
    <w:rsid w:val="00FB0AAC"/>
    <w:rsid w:val="00FB0AB6"/>
    <w:rsid w:val="00FB0BDE"/>
    <w:rsid w:val="00FB0C80"/>
    <w:rsid w:val="00FB1232"/>
    <w:rsid w:val="00FB16D9"/>
    <w:rsid w:val="00FB186E"/>
    <w:rsid w:val="00FB1939"/>
    <w:rsid w:val="00FB197D"/>
    <w:rsid w:val="00FB2347"/>
    <w:rsid w:val="00FB24F8"/>
    <w:rsid w:val="00FB257C"/>
    <w:rsid w:val="00FB2936"/>
    <w:rsid w:val="00FB2E1A"/>
    <w:rsid w:val="00FB3E22"/>
    <w:rsid w:val="00FB3FF6"/>
    <w:rsid w:val="00FB43EF"/>
    <w:rsid w:val="00FB449C"/>
    <w:rsid w:val="00FB4BD3"/>
    <w:rsid w:val="00FB4F85"/>
    <w:rsid w:val="00FB4FF4"/>
    <w:rsid w:val="00FB506E"/>
    <w:rsid w:val="00FB50CE"/>
    <w:rsid w:val="00FB5181"/>
    <w:rsid w:val="00FB59EB"/>
    <w:rsid w:val="00FB5C0A"/>
    <w:rsid w:val="00FB60DB"/>
    <w:rsid w:val="00FB61FD"/>
    <w:rsid w:val="00FB65A0"/>
    <w:rsid w:val="00FB65D4"/>
    <w:rsid w:val="00FB6751"/>
    <w:rsid w:val="00FB6947"/>
    <w:rsid w:val="00FB6AB1"/>
    <w:rsid w:val="00FB6C9B"/>
    <w:rsid w:val="00FB6DEA"/>
    <w:rsid w:val="00FB74B2"/>
    <w:rsid w:val="00FB78B8"/>
    <w:rsid w:val="00FB7A70"/>
    <w:rsid w:val="00FB7B05"/>
    <w:rsid w:val="00FB7EAD"/>
    <w:rsid w:val="00FC0290"/>
    <w:rsid w:val="00FC02EB"/>
    <w:rsid w:val="00FC0512"/>
    <w:rsid w:val="00FC0939"/>
    <w:rsid w:val="00FC0E36"/>
    <w:rsid w:val="00FC1238"/>
    <w:rsid w:val="00FC18F6"/>
    <w:rsid w:val="00FC1955"/>
    <w:rsid w:val="00FC1B12"/>
    <w:rsid w:val="00FC1B19"/>
    <w:rsid w:val="00FC1BB4"/>
    <w:rsid w:val="00FC2163"/>
    <w:rsid w:val="00FC2CA6"/>
    <w:rsid w:val="00FC30A0"/>
    <w:rsid w:val="00FC378E"/>
    <w:rsid w:val="00FC37F9"/>
    <w:rsid w:val="00FC3EF3"/>
    <w:rsid w:val="00FC402B"/>
    <w:rsid w:val="00FC4057"/>
    <w:rsid w:val="00FC46D5"/>
    <w:rsid w:val="00FC53FB"/>
    <w:rsid w:val="00FC58EF"/>
    <w:rsid w:val="00FC5CA5"/>
    <w:rsid w:val="00FC636F"/>
    <w:rsid w:val="00FC6BA6"/>
    <w:rsid w:val="00FC6BDA"/>
    <w:rsid w:val="00FC6F22"/>
    <w:rsid w:val="00FC7372"/>
    <w:rsid w:val="00FC73DE"/>
    <w:rsid w:val="00FC76F2"/>
    <w:rsid w:val="00FD026A"/>
    <w:rsid w:val="00FD0381"/>
    <w:rsid w:val="00FD11EE"/>
    <w:rsid w:val="00FD12F8"/>
    <w:rsid w:val="00FD1D3C"/>
    <w:rsid w:val="00FD1E22"/>
    <w:rsid w:val="00FD2207"/>
    <w:rsid w:val="00FD2639"/>
    <w:rsid w:val="00FD265B"/>
    <w:rsid w:val="00FD2A27"/>
    <w:rsid w:val="00FD2F47"/>
    <w:rsid w:val="00FD33DF"/>
    <w:rsid w:val="00FD35D1"/>
    <w:rsid w:val="00FD35E8"/>
    <w:rsid w:val="00FD3922"/>
    <w:rsid w:val="00FD3A22"/>
    <w:rsid w:val="00FD3CB7"/>
    <w:rsid w:val="00FD3F86"/>
    <w:rsid w:val="00FD44D2"/>
    <w:rsid w:val="00FD4956"/>
    <w:rsid w:val="00FD4BD2"/>
    <w:rsid w:val="00FD4E39"/>
    <w:rsid w:val="00FD4EE8"/>
    <w:rsid w:val="00FD50D2"/>
    <w:rsid w:val="00FD54E8"/>
    <w:rsid w:val="00FD562F"/>
    <w:rsid w:val="00FD572E"/>
    <w:rsid w:val="00FD5CB1"/>
    <w:rsid w:val="00FD5DDC"/>
    <w:rsid w:val="00FD636B"/>
    <w:rsid w:val="00FD63F4"/>
    <w:rsid w:val="00FD67B8"/>
    <w:rsid w:val="00FD694C"/>
    <w:rsid w:val="00FD69C8"/>
    <w:rsid w:val="00FD73F9"/>
    <w:rsid w:val="00FD7A10"/>
    <w:rsid w:val="00FD7FA0"/>
    <w:rsid w:val="00FE0093"/>
    <w:rsid w:val="00FE0367"/>
    <w:rsid w:val="00FE037E"/>
    <w:rsid w:val="00FE0667"/>
    <w:rsid w:val="00FE0686"/>
    <w:rsid w:val="00FE0970"/>
    <w:rsid w:val="00FE0AF5"/>
    <w:rsid w:val="00FE0DB1"/>
    <w:rsid w:val="00FE0E43"/>
    <w:rsid w:val="00FE104D"/>
    <w:rsid w:val="00FE1B9C"/>
    <w:rsid w:val="00FE21AA"/>
    <w:rsid w:val="00FE2458"/>
    <w:rsid w:val="00FE2493"/>
    <w:rsid w:val="00FE29F2"/>
    <w:rsid w:val="00FE2D6E"/>
    <w:rsid w:val="00FE36AA"/>
    <w:rsid w:val="00FE39D7"/>
    <w:rsid w:val="00FE3B67"/>
    <w:rsid w:val="00FE3E38"/>
    <w:rsid w:val="00FE3EC8"/>
    <w:rsid w:val="00FE4262"/>
    <w:rsid w:val="00FE4AAB"/>
    <w:rsid w:val="00FE4FB8"/>
    <w:rsid w:val="00FE52EE"/>
    <w:rsid w:val="00FE5F9B"/>
    <w:rsid w:val="00FE659F"/>
    <w:rsid w:val="00FE6618"/>
    <w:rsid w:val="00FE67E5"/>
    <w:rsid w:val="00FE68D9"/>
    <w:rsid w:val="00FE6AFD"/>
    <w:rsid w:val="00FE6BA0"/>
    <w:rsid w:val="00FE6C0B"/>
    <w:rsid w:val="00FE6D08"/>
    <w:rsid w:val="00FE6D43"/>
    <w:rsid w:val="00FE6F54"/>
    <w:rsid w:val="00FE745B"/>
    <w:rsid w:val="00FE780A"/>
    <w:rsid w:val="00FE7AC0"/>
    <w:rsid w:val="00FE7D58"/>
    <w:rsid w:val="00FF020E"/>
    <w:rsid w:val="00FF057F"/>
    <w:rsid w:val="00FF07D4"/>
    <w:rsid w:val="00FF0997"/>
    <w:rsid w:val="00FF0CA5"/>
    <w:rsid w:val="00FF0D1B"/>
    <w:rsid w:val="00FF0E07"/>
    <w:rsid w:val="00FF0F38"/>
    <w:rsid w:val="00FF0FBB"/>
    <w:rsid w:val="00FF123D"/>
    <w:rsid w:val="00FF1275"/>
    <w:rsid w:val="00FF170A"/>
    <w:rsid w:val="00FF1729"/>
    <w:rsid w:val="00FF1967"/>
    <w:rsid w:val="00FF1FE7"/>
    <w:rsid w:val="00FF270F"/>
    <w:rsid w:val="00FF2EFD"/>
    <w:rsid w:val="00FF3147"/>
    <w:rsid w:val="00FF358B"/>
    <w:rsid w:val="00FF36DC"/>
    <w:rsid w:val="00FF3C2F"/>
    <w:rsid w:val="00FF3D29"/>
    <w:rsid w:val="00FF442A"/>
    <w:rsid w:val="00FF47C4"/>
    <w:rsid w:val="00FF50B8"/>
    <w:rsid w:val="00FF57DE"/>
    <w:rsid w:val="00FF5F56"/>
    <w:rsid w:val="00FF60E1"/>
    <w:rsid w:val="00FF6766"/>
    <w:rsid w:val="00FF69A3"/>
    <w:rsid w:val="00FF6F0B"/>
    <w:rsid w:val="00FF7112"/>
    <w:rsid w:val="00FF74E9"/>
    <w:rsid w:val="00FF7509"/>
    <w:rsid w:val="00FF769E"/>
    <w:rsid w:val="00FF7A61"/>
    <w:rsid w:val="00FF7DFC"/>
    <w:rsid w:val="037FA108"/>
    <w:rsid w:val="03931498"/>
    <w:rsid w:val="066260E3"/>
    <w:rsid w:val="155AE64E"/>
    <w:rsid w:val="17BA4E44"/>
    <w:rsid w:val="1846083D"/>
    <w:rsid w:val="31AF6D38"/>
    <w:rsid w:val="362AF1A7"/>
    <w:rsid w:val="3905A20D"/>
    <w:rsid w:val="39C4CBCD"/>
    <w:rsid w:val="44B85804"/>
    <w:rsid w:val="4D949E87"/>
    <w:rsid w:val="54212C48"/>
    <w:rsid w:val="58F9EAB8"/>
    <w:rsid w:val="63ECB9DE"/>
    <w:rsid w:val="77E075E5"/>
    <w:rsid w:val="7A940C0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A2053ED"/>
  <w15:docId w15:val="{8F9345F1-6CD2-4618-9B2C-BDAC81DE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D7"/>
    <w:pPr>
      <w:spacing w:before="240" w:after="240"/>
      <w:jc w:val="both"/>
    </w:pPr>
    <w:rPr>
      <w:rFonts w:ascii="Bookman Old Style" w:hAnsi="Bookman Old Style"/>
      <w:sz w:val="24"/>
      <w:szCs w:val="24"/>
      <w:lang w:val="es-ES" w:eastAsia="es-ES"/>
    </w:rPr>
  </w:style>
  <w:style w:type="paragraph" w:styleId="Ttulo1">
    <w:name w:val="heading 1"/>
    <w:aliases w:val="Capítulo"/>
    <w:basedOn w:val="Normal"/>
    <w:next w:val="Normal"/>
    <w:link w:val="Ttulo1Car"/>
    <w:qFormat/>
    <w:rsid w:val="00E30B87"/>
    <w:pPr>
      <w:keepNext/>
      <w:numPr>
        <w:numId w:val="4"/>
      </w:numPr>
      <w:jc w:val="center"/>
      <w:outlineLvl w:val="0"/>
    </w:pPr>
    <w:rPr>
      <w:b/>
      <w:caps/>
      <w:szCs w:val="20"/>
      <w:lang w:val="es-CO"/>
    </w:rPr>
  </w:style>
  <w:style w:type="paragraph" w:styleId="Ttulo2">
    <w:name w:val="heading 2"/>
    <w:basedOn w:val="Ttulo1"/>
    <w:next w:val="Normal"/>
    <w:link w:val="Ttulo2Car"/>
    <w:autoRedefine/>
    <w:qFormat/>
    <w:rsid w:val="00F27066"/>
    <w:pPr>
      <w:numPr>
        <w:ilvl w:val="1"/>
      </w:numPr>
      <w:spacing w:after="120"/>
      <w:jc w:val="both"/>
      <w:outlineLvl w:val="1"/>
    </w:pPr>
    <w:rPr>
      <w:spacing w:val="4"/>
      <w:szCs w:val="24"/>
      <w:lang w:val="es-ES"/>
    </w:rPr>
  </w:style>
  <w:style w:type="paragraph" w:styleId="Ttulo3">
    <w:name w:val="heading 3"/>
    <w:basedOn w:val="Normal"/>
    <w:next w:val="Normal"/>
    <w:link w:val="Ttulo3Car"/>
    <w:uiPriority w:val="9"/>
    <w:qFormat/>
    <w:rsid w:val="00490639"/>
    <w:pPr>
      <w:keepNext/>
      <w:numPr>
        <w:ilvl w:val="2"/>
        <w:numId w:val="4"/>
      </w:numPr>
      <w:outlineLvl w:val="2"/>
    </w:pPr>
    <w:rPr>
      <w:b/>
      <w:snapToGrid w:val="0"/>
      <w:color w:val="000000"/>
      <w:szCs w:val="20"/>
      <w:lang w:val="es-ES_tradnl"/>
    </w:rPr>
  </w:style>
  <w:style w:type="paragraph" w:styleId="Ttulo4">
    <w:name w:val="heading 4"/>
    <w:basedOn w:val="Normal"/>
    <w:next w:val="Normal"/>
    <w:link w:val="Ttulo4Car"/>
    <w:qFormat/>
    <w:rsid w:val="00CC309B"/>
    <w:pPr>
      <w:keepNext/>
      <w:numPr>
        <w:ilvl w:val="3"/>
        <w:numId w:val="4"/>
      </w:numPr>
      <w:outlineLvl w:val="3"/>
    </w:pPr>
    <w:rPr>
      <w:rFonts w:cs="Arial"/>
      <w:b/>
      <w:snapToGrid w:val="0"/>
      <w:color w:val="000000"/>
      <w:szCs w:val="20"/>
      <w:lang w:val="es-ES_tradnl"/>
    </w:rPr>
  </w:style>
  <w:style w:type="paragraph" w:styleId="Ttulo5">
    <w:name w:val="heading 5"/>
    <w:basedOn w:val="Normal"/>
    <w:next w:val="Normal"/>
    <w:link w:val="Ttulo5Car"/>
    <w:qFormat/>
    <w:rsid w:val="00CC309B"/>
    <w:pPr>
      <w:keepNext/>
      <w:numPr>
        <w:ilvl w:val="4"/>
        <w:numId w:val="4"/>
      </w:numPr>
      <w:outlineLvl w:val="4"/>
    </w:pPr>
    <w:rPr>
      <w:rFonts w:cs="Arial"/>
      <w:b/>
      <w:snapToGrid w:val="0"/>
      <w:color w:val="000000"/>
      <w:szCs w:val="20"/>
      <w:lang w:val="es-ES_tradnl"/>
    </w:rPr>
  </w:style>
  <w:style w:type="paragraph" w:styleId="Ttulo6">
    <w:name w:val="heading 6"/>
    <w:basedOn w:val="Normal"/>
    <w:next w:val="Normal"/>
    <w:link w:val="Ttulo6Car"/>
    <w:uiPriority w:val="9"/>
    <w:unhideWhenUsed/>
    <w:qFormat/>
    <w:rsid w:val="00CC309B"/>
    <w:pPr>
      <w:numPr>
        <w:ilvl w:val="5"/>
        <w:numId w:val="4"/>
      </w:numPr>
      <w:spacing w:after="60"/>
      <w:outlineLvl w:val="5"/>
    </w:pPr>
    <w:rPr>
      <w:b/>
      <w:bCs/>
      <w:szCs w:val="22"/>
    </w:rPr>
  </w:style>
  <w:style w:type="paragraph" w:styleId="Ttulo7">
    <w:name w:val="heading 7"/>
    <w:basedOn w:val="Normal"/>
    <w:next w:val="Normal"/>
    <w:link w:val="Ttulo7Car"/>
    <w:uiPriority w:val="9"/>
    <w:unhideWhenUsed/>
    <w:qFormat/>
    <w:rsid w:val="00D879BC"/>
    <w:pPr>
      <w:numPr>
        <w:ilvl w:val="6"/>
        <w:numId w:val="4"/>
      </w:numPr>
      <w:spacing w:after="60"/>
      <w:outlineLvl w:val="6"/>
    </w:pPr>
    <w:rPr>
      <w:b/>
    </w:rPr>
  </w:style>
  <w:style w:type="paragraph" w:styleId="Ttulo8">
    <w:name w:val="heading 8"/>
    <w:basedOn w:val="Normal"/>
    <w:next w:val="Normal"/>
    <w:link w:val="Ttulo8Car"/>
    <w:uiPriority w:val="9"/>
    <w:qFormat/>
    <w:rsid w:val="000B4E51"/>
    <w:pPr>
      <w:keepNext/>
      <w:numPr>
        <w:ilvl w:val="7"/>
        <w:numId w:val="4"/>
      </w:numPr>
      <w:spacing w:before="160" w:after="160"/>
      <w:jc w:val="center"/>
      <w:outlineLvl w:val="7"/>
    </w:pPr>
    <w:rPr>
      <w:rFonts w:ascii="Arial" w:hAnsi="Arial" w:cs="Arial"/>
      <w:b/>
      <w:sz w:val="22"/>
      <w:szCs w:val="20"/>
      <w:lang w:val="es-CO"/>
    </w:rPr>
  </w:style>
  <w:style w:type="paragraph" w:styleId="Ttulo9">
    <w:name w:val="heading 9"/>
    <w:basedOn w:val="Normal"/>
    <w:next w:val="Normal"/>
    <w:link w:val="Ttulo9Car"/>
    <w:uiPriority w:val="9"/>
    <w:qFormat/>
    <w:rsid w:val="000B4E51"/>
    <w:pPr>
      <w:keepNext/>
      <w:numPr>
        <w:ilvl w:val="8"/>
        <w:numId w:val="4"/>
      </w:numPr>
      <w:spacing w:before="160" w:after="160"/>
      <w:outlineLvl w:val="8"/>
    </w:pPr>
    <w:rPr>
      <w:rFonts w:ascii="Arial" w:hAnsi="Arial"/>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link w:val="Ttulo1"/>
    <w:rsid w:val="00E30B87"/>
    <w:rPr>
      <w:rFonts w:ascii="Bookman Old Style" w:hAnsi="Bookman Old Style"/>
      <w:b/>
      <w:caps/>
      <w:sz w:val="24"/>
      <w:lang w:eastAsia="es-ES"/>
    </w:rPr>
  </w:style>
  <w:style w:type="character" w:customStyle="1" w:styleId="Ttulo2Car">
    <w:name w:val="Título 2 Car"/>
    <w:link w:val="Ttulo2"/>
    <w:rsid w:val="00F27066"/>
    <w:rPr>
      <w:rFonts w:ascii="Bookman Old Style" w:hAnsi="Bookman Old Style"/>
      <w:b/>
      <w:caps/>
      <w:spacing w:val="4"/>
      <w:sz w:val="24"/>
      <w:szCs w:val="24"/>
      <w:lang w:val="es-ES" w:eastAsia="es-ES"/>
    </w:rPr>
  </w:style>
  <w:style w:type="character" w:customStyle="1" w:styleId="Ttulo3Car">
    <w:name w:val="Título 3 Car"/>
    <w:link w:val="Ttulo3"/>
    <w:uiPriority w:val="9"/>
    <w:rsid w:val="00490639"/>
    <w:rPr>
      <w:rFonts w:ascii="Bookman Old Style" w:hAnsi="Bookman Old Style"/>
      <w:b/>
      <w:snapToGrid w:val="0"/>
      <w:color w:val="000000"/>
      <w:sz w:val="24"/>
      <w:lang w:val="es-ES_tradnl" w:eastAsia="es-ES"/>
    </w:rPr>
  </w:style>
  <w:style w:type="character" w:customStyle="1" w:styleId="Ttulo4Car">
    <w:name w:val="Título 4 Car"/>
    <w:link w:val="Ttulo4"/>
    <w:rsid w:val="00CC309B"/>
    <w:rPr>
      <w:rFonts w:ascii="Bookman Old Style" w:hAnsi="Bookman Old Style" w:cs="Arial"/>
      <w:b/>
      <w:snapToGrid w:val="0"/>
      <w:color w:val="000000"/>
      <w:sz w:val="24"/>
      <w:lang w:val="es-ES_tradnl" w:eastAsia="es-ES"/>
    </w:rPr>
  </w:style>
  <w:style w:type="character" w:customStyle="1" w:styleId="Ttulo5Car">
    <w:name w:val="Título 5 Car"/>
    <w:link w:val="Ttulo5"/>
    <w:rsid w:val="00CC309B"/>
    <w:rPr>
      <w:rFonts w:ascii="Bookman Old Style" w:hAnsi="Bookman Old Style" w:cs="Arial"/>
      <w:b/>
      <w:snapToGrid w:val="0"/>
      <w:color w:val="000000"/>
      <w:sz w:val="24"/>
      <w:lang w:val="es-ES_tradnl" w:eastAsia="es-ES"/>
    </w:rPr>
  </w:style>
  <w:style w:type="character" w:customStyle="1" w:styleId="Ttulo6Car">
    <w:name w:val="Título 6 Car"/>
    <w:link w:val="Ttulo6"/>
    <w:uiPriority w:val="9"/>
    <w:rsid w:val="00CC309B"/>
    <w:rPr>
      <w:rFonts w:ascii="Bookman Old Style" w:hAnsi="Bookman Old Style"/>
      <w:b/>
      <w:bCs/>
      <w:sz w:val="24"/>
      <w:szCs w:val="22"/>
      <w:lang w:val="es-ES" w:eastAsia="es-ES"/>
    </w:rPr>
  </w:style>
  <w:style w:type="character" w:customStyle="1" w:styleId="Ttulo7Car">
    <w:name w:val="Título 7 Car"/>
    <w:link w:val="Ttulo7"/>
    <w:uiPriority w:val="9"/>
    <w:rsid w:val="00D879BC"/>
    <w:rPr>
      <w:rFonts w:ascii="Bookman Old Style" w:hAnsi="Bookman Old Style"/>
      <w:b/>
      <w:sz w:val="24"/>
      <w:szCs w:val="24"/>
      <w:lang w:val="es-ES" w:eastAsia="es-ES"/>
    </w:rPr>
  </w:style>
  <w:style w:type="character" w:customStyle="1" w:styleId="Ttulo8Car">
    <w:name w:val="Título 8 Car"/>
    <w:link w:val="Ttulo8"/>
    <w:uiPriority w:val="9"/>
    <w:rsid w:val="000B4E51"/>
    <w:rPr>
      <w:rFonts w:ascii="Arial" w:hAnsi="Arial" w:cs="Arial"/>
      <w:b/>
      <w:sz w:val="22"/>
      <w:lang w:eastAsia="es-ES"/>
    </w:rPr>
  </w:style>
  <w:style w:type="character" w:customStyle="1" w:styleId="Ttulo9Car">
    <w:name w:val="Título 9 Car"/>
    <w:link w:val="Ttulo9"/>
    <w:uiPriority w:val="9"/>
    <w:rsid w:val="000B4E51"/>
    <w:rPr>
      <w:rFonts w:ascii="Arial" w:hAnsi="Arial"/>
      <w:sz w:val="22"/>
      <w:lang w:eastAsia="es-ES"/>
    </w:rPr>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character" w:customStyle="1" w:styleId="EncabezadoCar">
    <w:name w:val="Encabezado Ca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link w:val="Piedepgina"/>
    <w:rsid w:val="000B4E51"/>
    <w:rPr>
      <w:sz w:val="24"/>
      <w:szCs w:val="24"/>
      <w:lang w:val="es-ES" w:eastAsia="es-ES"/>
    </w:r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character" w:customStyle="1" w:styleId="TextoindependienteCar">
    <w:name w:val="Texto independiente Ca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qFormat/>
    <w:rsid w:val="00B05EF1"/>
    <w:pPr>
      <w:widowControl w:val="0"/>
      <w:numPr>
        <w:numId w:val="3"/>
      </w:numPr>
      <w:adjustRightInd w:val="0"/>
      <w:spacing w:line="360" w:lineRule="atLeast"/>
      <w:ind w:left="357" w:hanging="357"/>
      <w:textAlignment w:val="baseline"/>
    </w:pPr>
    <w:rPr>
      <w:rFonts w:cs="Arial"/>
      <w:b/>
      <w:bCs/>
      <w:caps/>
    </w:rPr>
  </w:style>
  <w:style w:type="character" w:customStyle="1" w:styleId="TtuloCar">
    <w:name w:val="Título Car"/>
    <w:link w:val="Ttulo"/>
    <w:rsid w:val="00B05EF1"/>
    <w:rPr>
      <w:rFonts w:ascii="Bookman Old Style" w:hAnsi="Bookman Old Style" w:cs="Arial"/>
      <w:b/>
      <w:bCs/>
      <w:caps/>
      <w:sz w:val="24"/>
      <w:szCs w:val="24"/>
      <w:lang w:val="es-ES" w:eastAsia="es-ES"/>
    </w:rPr>
  </w:style>
  <w:style w:type="paragraph" w:styleId="Prrafodelista">
    <w:name w:val="List Paragraph"/>
    <w:basedOn w:val="Normal"/>
    <w:link w:val="PrrafodelistaCar"/>
    <w:uiPriority w:val="34"/>
    <w:qFormat/>
    <w:rsid w:val="00490639"/>
    <w:pPr>
      <w:ind w:left="708"/>
    </w:pPr>
    <w:rPr>
      <w:szCs w:val="20"/>
      <w:lang w:val="es-CO"/>
    </w:rPr>
  </w:style>
  <w:style w:type="character" w:customStyle="1" w:styleId="PrrafodelistaCar">
    <w:name w:val="Párrafo de lista Car"/>
    <w:link w:val="Prrafodelista"/>
    <w:uiPriority w:val="34"/>
    <w:rsid w:val="00490639"/>
    <w:rPr>
      <w:rFonts w:ascii="Bookman Old Style" w:hAnsi="Bookman Old Style"/>
      <w:sz w:val="24"/>
      <w:lang w:eastAsia="es-ES"/>
    </w:rPr>
  </w:style>
  <w:style w:type="paragraph" w:styleId="TDC1">
    <w:name w:val="toc 1"/>
    <w:basedOn w:val="Normal"/>
    <w:next w:val="Normal"/>
    <w:uiPriority w:val="39"/>
    <w:qFormat/>
    <w:rsid w:val="008B04A9"/>
    <w:pPr>
      <w:tabs>
        <w:tab w:val="left" w:pos="1560"/>
        <w:tab w:val="right" w:leader="dot" w:pos="9214"/>
      </w:tabs>
      <w:spacing w:after="120"/>
      <w:jc w:val="left"/>
    </w:pPr>
    <w:rPr>
      <w:b/>
      <w:caps/>
      <w:noProof/>
    </w:rPr>
  </w:style>
  <w:style w:type="paragraph" w:styleId="Textodebloque">
    <w:name w:val="Block Text"/>
    <w:basedOn w:val="Normal"/>
    <w:rsid w:val="00D03800"/>
    <w:pPr>
      <w:suppressAutoHyphens/>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link w:val="Textoindependiente2"/>
    <w:semiHidden/>
    <w:rsid w:val="00006AE2"/>
    <w:rPr>
      <w:sz w:val="24"/>
      <w:szCs w:val="24"/>
    </w:rPr>
  </w:style>
  <w:style w:type="paragraph" w:styleId="Descripcin">
    <w:name w:val="caption"/>
    <w:basedOn w:val="Normal"/>
    <w:next w:val="Normal"/>
    <w:link w:val="DescripcinCar"/>
    <w:uiPriority w:val="35"/>
    <w:qFormat/>
    <w:rsid w:val="00C4574C"/>
    <w:pPr>
      <w:keepNext/>
      <w:widowControl w:val="0"/>
      <w:adjustRightInd w:val="0"/>
      <w:spacing w:before="120" w:after="120" w:line="360" w:lineRule="atLeast"/>
      <w:jc w:val="center"/>
      <w:textAlignment w:val="baseline"/>
    </w:pPr>
    <w:rPr>
      <w:sz w:val="22"/>
      <w:szCs w:val="20"/>
    </w:rPr>
  </w:style>
  <w:style w:type="character" w:customStyle="1" w:styleId="DescripcinCar">
    <w:name w:val="Descripción Car"/>
    <w:link w:val="Descripcin"/>
    <w:rsid w:val="00C4574C"/>
    <w:rPr>
      <w:rFonts w:ascii="Bookman Old Style" w:hAnsi="Bookman Old Style"/>
      <w:sz w:val="22"/>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styleId="Sangradetextonormal">
    <w:name w:val="Body Text Indent"/>
    <w:basedOn w:val="Normal"/>
    <w:link w:val="SangradetextonormalCar"/>
    <w:unhideWhenUsed/>
    <w:rsid w:val="00E01463"/>
    <w:pPr>
      <w:numPr>
        <w:numId w:val="2"/>
      </w:numPr>
      <w:spacing w:after="120"/>
    </w:pPr>
  </w:style>
  <w:style w:type="character" w:customStyle="1" w:styleId="SangradetextonormalCar">
    <w:name w:val="Sangría de texto normal Car"/>
    <w:link w:val="Sangradetextonormal"/>
    <w:rsid w:val="00E01463"/>
    <w:rPr>
      <w:rFonts w:ascii="Bookman Old Style" w:hAnsi="Bookman Old Style"/>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after="120"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Artculo">
    <w:name w:val="Artículo"/>
    <w:basedOn w:val="Normal"/>
    <w:next w:val="articulo"/>
    <w:link w:val="ArtculoCar"/>
    <w:qFormat/>
    <w:rsid w:val="00855393"/>
    <w:pPr>
      <w:numPr>
        <w:numId w:val="6"/>
      </w:numPr>
    </w:pPr>
    <w:rPr>
      <w:rFonts w:cs="Arial"/>
      <w:b/>
    </w:rPr>
  </w:style>
  <w:style w:type="character" w:customStyle="1" w:styleId="ArtculoCar">
    <w:name w:val="Artículo Car"/>
    <w:link w:val="Artculo"/>
    <w:rsid w:val="00855393"/>
    <w:rPr>
      <w:rFonts w:ascii="Bookman Old Style" w:hAnsi="Bookman Old Style" w:cs="Arial"/>
      <w:b/>
      <w:sz w:val="24"/>
      <w:szCs w:val="24"/>
      <w:lang w:val="es-ES" w:eastAsia="es-ES"/>
    </w:rPr>
  </w:style>
  <w:style w:type="character" w:styleId="Hipervnculo">
    <w:name w:val="Hyperlink"/>
    <w:uiPriority w:val="99"/>
    <w:rsid w:val="000B4E51"/>
    <w:rPr>
      <w:color w:val="0000FF"/>
      <w:u w:val="single"/>
    </w:rPr>
  </w:style>
  <w:style w:type="character" w:styleId="Hipervnculovisitado">
    <w:name w:val="FollowedHyperlink"/>
    <w:uiPriority w:val="99"/>
    <w:rsid w:val="000B4E51"/>
    <w:rPr>
      <w:color w:val="800080"/>
      <w:u w:val="single"/>
    </w:rPr>
  </w:style>
  <w:style w:type="paragraph" w:styleId="Textonotapie">
    <w:name w:val="footnote text"/>
    <w:basedOn w:val="Normal"/>
    <w:link w:val="TextonotapieCar"/>
    <w:semiHidden/>
    <w:rsid w:val="000B4E51"/>
    <w:pPr>
      <w:spacing w:before="160" w:after="160"/>
    </w:pPr>
    <w:rPr>
      <w:rFonts w:ascii="Arial" w:hAnsi="Arial"/>
      <w:sz w:val="22"/>
      <w:szCs w:val="20"/>
      <w:lang w:val="es-CO"/>
    </w:rPr>
  </w:style>
  <w:style w:type="character" w:customStyle="1" w:styleId="TextonotapieCar">
    <w:name w:val="Texto nota pie Car"/>
    <w:link w:val="Textonotapie"/>
    <w:uiPriority w:val="99"/>
    <w:semiHidden/>
    <w:rsid w:val="000B4E51"/>
    <w:rPr>
      <w:rFonts w:ascii="Arial" w:hAnsi="Arial"/>
      <w:sz w:val="22"/>
      <w:lang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rsid w:val="000B4E51"/>
    <w:rPr>
      <w:vertAlign w:val="superscript"/>
    </w:rPr>
  </w:style>
  <w:style w:type="paragraph" w:styleId="Listaconvietas">
    <w:name w:val="List Bullet"/>
    <w:basedOn w:val="Normal"/>
    <w:autoRedefine/>
    <w:rsid w:val="000B4E51"/>
    <w:pPr>
      <w:tabs>
        <w:tab w:val="num" w:pos="360"/>
      </w:tabs>
      <w:spacing w:before="160" w:after="160"/>
      <w:ind w:left="360" w:hanging="360"/>
    </w:pPr>
    <w:rPr>
      <w:rFonts w:ascii="CG Times" w:hAnsi="CG Times"/>
      <w:sz w:val="22"/>
      <w:szCs w:val="20"/>
      <w:lang w:val="es-CO"/>
    </w:rPr>
  </w:style>
  <w:style w:type="paragraph" w:styleId="Listaconvietas2">
    <w:name w:val="List Bullet 2"/>
    <w:basedOn w:val="Normal"/>
    <w:autoRedefine/>
    <w:semiHidden/>
    <w:rsid w:val="000B4E51"/>
    <w:pPr>
      <w:tabs>
        <w:tab w:val="num" w:pos="643"/>
      </w:tabs>
      <w:spacing w:before="160" w:after="160"/>
      <w:ind w:left="643" w:hanging="360"/>
    </w:pPr>
    <w:rPr>
      <w:rFonts w:ascii="CG Times" w:hAnsi="CG Times"/>
      <w:sz w:val="22"/>
      <w:szCs w:val="20"/>
      <w:lang w:val="es-CO"/>
    </w:rPr>
  </w:style>
  <w:style w:type="paragraph" w:styleId="Listaconvietas4">
    <w:name w:val="List Bullet 4"/>
    <w:basedOn w:val="Normal"/>
    <w:autoRedefine/>
    <w:semiHidden/>
    <w:rsid w:val="000B4E51"/>
    <w:pPr>
      <w:tabs>
        <w:tab w:val="num" w:pos="1209"/>
      </w:tabs>
      <w:spacing w:before="160" w:after="160"/>
      <w:ind w:left="1209" w:hanging="360"/>
    </w:pPr>
    <w:rPr>
      <w:rFonts w:ascii="CG Times" w:hAnsi="CG Times"/>
      <w:sz w:val="22"/>
      <w:szCs w:val="20"/>
      <w:lang w:val="es-CO"/>
    </w:rPr>
  </w:style>
  <w:style w:type="paragraph" w:styleId="TDC2">
    <w:name w:val="toc 2"/>
    <w:basedOn w:val="Normal"/>
    <w:next w:val="Normal"/>
    <w:uiPriority w:val="39"/>
    <w:qFormat/>
    <w:rsid w:val="0014422A"/>
    <w:pPr>
      <w:tabs>
        <w:tab w:val="left" w:pos="1843"/>
        <w:tab w:val="right" w:leader="dot" w:pos="9214"/>
      </w:tabs>
      <w:spacing w:before="120" w:after="120"/>
      <w:ind w:left="170"/>
      <w:jc w:val="left"/>
    </w:pPr>
    <w:rPr>
      <w:bCs/>
      <w:caps/>
      <w:noProof/>
      <w:sz w:val="22"/>
      <w:szCs w:val="20"/>
      <w:lang w:val="es-CO"/>
    </w:rPr>
  </w:style>
  <w:style w:type="paragraph" w:styleId="TDC3">
    <w:name w:val="toc 3"/>
    <w:basedOn w:val="Normal"/>
    <w:next w:val="Normal"/>
    <w:uiPriority w:val="39"/>
    <w:qFormat/>
    <w:rsid w:val="0014422A"/>
    <w:pPr>
      <w:tabs>
        <w:tab w:val="left" w:pos="1843"/>
        <w:tab w:val="right" w:leader="dot" w:pos="9214"/>
      </w:tabs>
      <w:spacing w:before="120" w:after="120"/>
      <w:ind w:left="1843" w:right="425" w:hanging="1503"/>
      <w:jc w:val="left"/>
    </w:pPr>
    <w:rPr>
      <w:noProof/>
      <w:sz w:val="22"/>
      <w:szCs w:val="20"/>
      <w:lang w:val="es-CO"/>
    </w:rPr>
  </w:style>
  <w:style w:type="paragraph" w:styleId="TDC4">
    <w:name w:val="toc 4"/>
    <w:basedOn w:val="Normal"/>
    <w:next w:val="Normal"/>
    <w:autoRedefine/>
    <w:uiPriority w:val="39"/>
    <w:rsid w:val="000B4E51"/>
    <w:pPr>
      <w:ind w:left="480"/>
    </w:pPr>
    <w:rPr>
      <w:rFonts w:ascii="Calibri" w:hAnsi="Calibri"/>
      <w:sz w:val="20"/>
      <w:szCs w:val="20"/>
      <w:lang w:val="es-CO"/>
    </w:rPr>
  </w:style>
  <w:style w:type="paragraph" w:styleId="TDC5">
    <w:name w:val="toc 5"/>
    <w:basedOn w:val="Normal"/>
    <w:next w:val="Normal"/>
    <w:autoRedefine/>
    <w:uiPriority w:val="39"/>
    <w:rsid w:val="000B4E51"/>
    <w:pPr>
      <w:ind w:left="720"/>
    </w:pPr>
    <w:rPr>
      <w:rFonts w:ascii="Calibri" w:hAnsi="Calibri"/>
      <w:sz w:val="20"/>
      <w:szCs w:val="20"/>
      <w:lang w:val="es-CO"/>
    </w:rPr>
  </w:style>
  <w:style w:type="paragraph" w:styleId="TDC6">
    <w:name w:val="toc 6"/>
    <w:basedOn w:val="Normal"/>
    <w:next w:val="Normal"/>
    <w:autoRedefine/>
    <w:uiPriority w:val="39"/>
    <w:rsid w:val="000B4E51"/>
    <w:pPr>
      <w:ind w:left="960"/>
    </w:pPr>
    <w:rPr>
      <w:rFonts w:ascii="Calibri" w:hAnsi="Calibri"/>
      <w:sz w:val="20"/>
      <w:szCs w:val="20"/>
      <w:lang w:val="es-CO"/>
    </w:rPr>
  </w:style>
  <w:style w:type="paragraph" w:styleId="TDC7">
    <w:name w:val="toc 7"/>
    <w:basedOn w:val="Normal"/>
    <w:next w:val="Normal"/>
    <w:autoRedefine/>
    <w:uiPriority w:val="39"/>
    <w:rsid w:val="000B4E51"/>
    <w:pPr>
      <w:tabs>
        <w:tab w:val="right" w:pos="9111"/>
      </w:tabs>
    </w:pPr>
    <w:rPr>
      <w:rFonts w:ascii="Arial" w:hAnsi="Arial"/>
      <w:b/>
      <w:sz w:val="22"/>
      <w:szCs w:val="20"/>
      <w:lang w:val="es-CO"/>
    </w:rPr>
  </w:style>
  <w:style w:type="paragraph" w:styleId="TDC8">
    <w:name w:val="toc 8"/>
    <w:basedOn w:val="Normal"/>
    <w:next w:val="Normal"/>
    <w:autoRedefine/>
    <w:uiPriority w:val="39"/>
    <w:rsid w:val="000B4E51"/>
    <w:pPr>
      <w:tabs>
        <w:tab w:val="right" w:leader="dot" w:pos="9111"/>
      </w:tabs>
    </w:pPr>
    <w:rPr>
      <w:rFonts w:ascii="Arial" w:hAnsi="Arial"/>
      <w:b/>
      <w:sz w:val="22"/>
      <w:szCs w:val="20"/>
      <w:lang w:val="es-CO"/>
    </w:rPr>
  </w:style>
  <w:style w:type="paragraph" w:styleId="TDC9">
    <w:name w:val="toc 9"/>
    <w:basedOn w:val="Normal"/>
    <w:next w:val="Normal"/>
    <w:autoRedefine/>
    <w:uiPriority w:val="39"/>
    <w:rsid w:val="000B4E51"/>
    <w:pPr>
      <w:ind w:left="1680"/>
    </w:pPr>
    <w:rPr>
      <w:rFonts w:ascii="Calibri" w:hAnsi="Calibri"/>
      <w:sz w:val="20"/>
      <w:szCs w:val="20"/>
      <w:lang w:val="es-CO"/>
    </w:rPr>
  </w:style>
  <w:style w:type="paragraph" w:customStyle="1" w:styleId="Textodenotaalfinal">
    <w:name w:val="Texto de nota al final"/>
    <w:basedOn w:val="Normal"/>
    <w:rsid w:val="000B4E51"/>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0B4E51"/>
    <w:pPr>
      <w:spacing w:before="160" w:after="160"/>
      <w:ind w:left="2880" w:hanging="2880"/>
    </w:pPr>
    <w:rPr>
      <w:spacing w:val="-4"/>
      <w:sz w:val="22"/>
      <w:szCs w:val="20"/>
      <w:lang w:val="es-CO"/>
    </w:rPr>
  </w:style>
  <w:style w:type="character" w:customStyle="1" w:styleId="Sangra3detindependienteCar">
    <w:name w:val="Sangría 3 de t. independiente Car"/>
    <w:link w:val="Sangra3detindependiente"/>
    <w:rsid w:val="000B4E51"/>
    <w:rPr>
      <w:rFonts w:ascii="Bookman Old Style" w:hAnsi="Bookman Old Style"/>
      <w:spacing w:val="-4"/>
      <w:sz w:val="22"/>
      <w:lang w:eastAsia="es-ES"/>
    </w:rPr>
  </w:style>
  <w:style w:type="paragraph" w:styleId="Cita">
    <w:name w:val="Quote"/>
    <w:basedOn w:val="Normal"/>
    <w:next w:val="Normal"/>
    <w:link w:val="CitaCar"/>
    <w:uiPriority w:val="29"/>
    <w:qFormat/>
    <w:rsid w:val="000B4E51"/>
    <w:pPr>
      <w:spacing w:after="120"/>
      <w:ind w:right="616"/>
    </w:pPr>
    <w:rPr>
      <w:rFonts w:ascii="Arial" w:eastAsia="Calibri" w:hAnsi="Arial" w:cs="Arial"/>
      <w:i/>
      <w:iCs/>
      <w:color w:val="000000"/>
      <w:sz w:val="20"/>
      <w:szCs w:val="22"/>
      <w:lang w:val="es-CO" w:eastAsia="en-US"/>
    </w:rPr>
  </w:style>
  <w:style w:type="character" w:customStyle="1" w:styleId="CitaCar">
    <w:name w:val="Cita Car"/>
    <w:link w:val="Cita"/>
    <w:uiPriority w:val="29"/>
    <w:rsid w:val="000B4E51"/>
    <w:rPr>
      <w:rFonts w:ascii="Arial" w:eastAsia="Calibri" w:hAnsi="Arial" w:cs="Arial"/>
      <w:i/>
      <w:iCs/>
      <w:color w:val="000000"/>
      <w:szCs w:val="22"/>
      <w:lang w:eastAsia="en-US"/>
    </w:rPr>
  </w:style>
  <w:style w:type="character" w:styleId="Refdecomentario">
    <w:name w:val="annotation reference"/>
    <w:uiPriority w:val="99"/>
    <w:semiHidden/>
    <w:unhideWhenUsed/>
    <w:rsid w:val="000B4E51"/>
    <w:rPr>
      <w:sz w:val="16"/>
      <w:szCs w:val="16"/>
    </w:rPr>
  </w:style>
  <w:style w:type="paragraph" w:styleId="Textocomentario">
    <w:name w:val="annotation text"/>
    <w:basedOn w:val="Normal"/>
    <w:link w:val="TextocomentarioCar"/>
    <w:uiPriority w:val="99"/>
    <w:unhideWhenUsed/>
    <w:rsid w:val="000B4E51"/>
    <w:pPr>
      <w:spacing w:before="160" w:after="160"/>
    </w:pPr>
    <w:rPr>
      <w:rFonts w:ascii="Arial" w:hAnsi="Arial"/>
      <w:sz w:val="20"/>
      <w:szCs w:val="20"/>
      <w:lang w:val="es-CO"/>
    </w:rPr>
  </w:style>
  <w:style w:type="character" w:customStyle="1" w:styleId="TextocomentarioCar">
    <w:name w:val="Texto comentario Car"/>
    <w:link w:val="Textocomentario"/>
    <w:uiPriority w:val="99"/>
    <w:rsid w:val="000B4E51"/>
    <w:rPr>
      <w:rFonts w:ascii="Arial" w:hAnsi="Arial"/>
      <w:lang w:eastAsia="es-ES"/>
    </w:rPr>
  </w:style>
  <w:style w:type="paragraph" w:styleId="Asuntodelcomentario">
    <w:name w:val="annotation subject"/>
    <w:basedOn w:val="Textocomentario"/>
    <w:next w:val="Textocomentario"/>
    <w:link w:val="AsuntodelcomentarioCar"/>
    <w:semiHidden/>
    <w:unhideWhenUsed/>
    <w:rsid w:val="000B4E51"/>
    <w:rPr>
      <w:b/>
      <w:bCs/>
    </w:rPr>
  </w:style>
  <w:style w:type="character" w:customStyle="1" w:styleId="AsuntodelcomentarioCar">
    <w:name w:val="Asunto del comentario Car"/>
    <w:link w:val="Asuntodelcomentario"/>
    <w:semiHidden/>
    <w:rsid w:val="000B4E51"/>
    <w:rPr>
      <w:rFonts w:ascii="Arial" w:hAnsi="Arial"/>
      <w:b/>
      <w:bCs/>
      <w:lang w:eastAsia="es-ES"/>
    </w:rPr>
  </w:style>
  <w:style w:type="character" w:styleId="Textoennegrita">
    <w:name w:val="Strong"/>
    <w:uiPriority w:val="22"/>
    <w:qFormat/>
    <w:rsid w:val="000B4E51"/>
    <w:rPr>
      <w:b/>
      <w:bCs/>
    </w:rPr>
  </w:style>
  <w:style w:type="paragraph" w:styleId="TtuloTDC">
    <w:name w:val="TOC Heading"/>
    <w:basedOn w:val="Ttulo1"/>
    <w:next w:val="Normal"/>
    <w:uiPriority w:val="39"/>
    <w:unhideWhenUsed/>
    <w:qFormat/>
    <w:rsid w:val="000B4E51"/>
    <w:pPr>
      <w:keepLines/>
      <w:spacing w:before="480" w:after="360" w:line="276" w:lineRule="auto"/>
      <w:jc w:val="left"/>
      <w:outlineLvl w:val="9"/>
    </w:pPr>
    <w:rPr>
      <w:rFonts w:ascii="Cambria" w:hAnsi="Cambria"/>
      <w:bCs/>
      <w:caps w:val="0"/>
      <w:color w:val="365F91"/>
      <w:spacing w:val="4"/>
      <w:sz w:val="28"/>
      <w:szCs w:val="28"/>
      <w:lang w:val="es-ES" w:eastAsia="en-US"/>
    </w:rPr>
  </w:style>
  <w:style w:type="paragraph" w:styleId="Mapadeldocumento">
    <w:name w:val="Document Map"/>
    <w:basedOn w:val="Normal"/>
    <w:link w:val="MapadeldocumentoCar"/>
    <w:uiPriority w:val="99"/>
    <w:unhideWhenUsed/>
    <w:rsid w:val="000B4E51"/>
    <w:pPr>
      <w:spacing w:before="160" w:after="160"/>
    </w:pPr>
    <w:rPr>
      <w:rFonts w:ascii="Tahoma" w:hAnsi="Tahoma" w:cs="Tahoma"/>
      <w:sz w:val="16"/>
      <w:szCs w:val="16"/>
      <w:lang w:val="es-CO"/>
    </w:rPr>
  </w:style>
  <w:style w:type="character" w:customStyle="1" w:styleId="MapadeldocumentoCar">
    <w:name w:val="Mapa del documento Car"/>
    <w:link w:val="Mapadeldocumento"/>
    <w:uiPriority w:val="99"/>
    <w:rsid w:val="000B4E51"/>
    <w:rPr>
      <w:rFonts w:ascii="Tahoma" w:hAnsi="Tahoma" w:cs="Tahoma"/>
      <w:sz w:val="16"/>
      <w:szCs w:val="16"/>
      <w:lang w:eastAsia="es-ES"/>
    </w:rPr>
  </w:style>
  <w:style w:type="paragraph" w:customStyle="1" w:styleId="Anexo">
    <w:name w:val="Anexo"/>
    <w:basedOn w:val="Normal"/>
    <w:link w:val="AnexoCar"/>
    <w:qFormat/>
    <w:rsid w:val="000B4E51"/>
    <w:pPr>
      <w:suppressAutoHyphens/>
      <w:ind w:left="1429" w:hanging="360"/>
    </w:pPr>
    <w:rPr>
      <w:rFonts w:cs="Arial"/>
      <w:b/>
      <w:bCs/>
      <w:spacing w:val="-4"/>
    </w:rPr>
  </w:style>
  <w:style w:type="character" w:customStyle="1" w:styleId="AnexoCar">
    <w:name w:val="Anexo Car"/>
    <w:link w:val="Anexo"/>
    <w:rsid w:val="000B4E51"/>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0B4E51"/>
    <w:pPr>
      <w:tabs>
        <w:tab w:val="num" w:pos="432"/>
      </w:tabs>
      <w:ind w:left="432" w:hanging="432"/>
      <w:jc w:val="center"/>
    </w:pPr>
    <w:rPr>
      <w:b/>
    </w:rPr>
  </w:style>
  <w:style w:type="paragraph" w:customStyle="1" w:styleId="Pliego-Normal">
    <w:name w:val="Pliego-Normal"/>
    <w:basedOn w:val="Normal"/>
    <w:rsid w:val="000B4E51"/>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0B4E51"/>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0B4E51"/>
    <w:pPr>
      <w:widowControl w:val="0"/>
      <w:adjustRightInd w:val="0"/>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0B4E51"/>
    <w:pPr>
      <w:widowControl w:val="0"/>
      <w:pBdr>
        <w:top w:val="single" w:sz="6" w:space="1" w:color="auto"/>
      </w:pBdr>
      <w:adjustRightInd w:val="0"/>
      <w:jc w:val="center"/>
      <w:textAlignment w:val="baseline"/>
    </w:pPr>
    <w:rPr>
      <w:rFonts w:ascii="Arial" w:hAnsi="Arial" w:cs="Arial"/>
      <w:vanish/>
      <w:color w:val="000000"/>
      <w:sz w:val="16"/>
      <w:szCs w:val="16"/>
    </w:rPr>
  </w:style>
  <w:style w:type="character" w:customStyle="1" w:styleId="z-FinaldelformularioCar">
    <w:name w:val="z-Final del formulario Car"/>
    <w:link w:val="z-Finaldelformulario"/>
    <w:rsid w:val="000B4E51"/>
    <w:rPr>
      <w:rFonts w:ascii="Arial" w:hAnsi="Arial" w:cs="Arial"/>
      <w:vanish/>
      <w:color w:val="000000"/>
      <w:sz w:val="16"/>
      <w:szCs w:val="16"/>
      <w:lang w:val="es-ES" w:eastAsia="es-ES"/>
    </w:rPr>
  </w:style>
  <w:style w:type="paragraph" w:customStyle="1" w:styleId="NormalTesis">
    <w:name w:val="Normal Tesis"/>
    <w:basedOn w:val="Textoindependiente"/>
    <w:rsid w:val="000B4E51"/>
    <w:pPr>
      <w:widowControl w:val="0"/>
      <w:adjustRightInd w:val="0"/>
      <w:spacing w:line="360" w:lineRule="auto"/>
      <w:jc w:val="both"/>
      <w:textAlignment w:val="baseline"/>
    </w:pPr>
    <w:rPr>
      <w:b w:val="0"/>
      <w:bCs w:val="0"/>
      <w:sz w:val="22"/>
    </w:rPr>
  </w:style>
  <w:style w:type="paragraph" w:customStyle="1" w:styleId="Citas">
    <w:name w:val="Citas"/>
    <w:basedOn w:val="Normal"/>
    <w:rsid w:val="000B4E51"/>
    <w:pPr>
      <w:ind w:left="708" w:right="618"/>
    </w:pPr>
    <w:rPr>
      <w:rFonts w:cs="Arial"/>
      <w:i/>
      <w:iCs/>
      <w:szCs w:val="20"/>
    </w:rPr>
  </w:style>
  <w:style w:type="paragraph" w:customStyle="1" w:styleId="articulo">
    <w:name w:val="articulo"/>
    <w:basedOn w:val="Normal"/>
    <w:next w:val="Normal"/>
    <w:autoRedefine/>
    <w:rsid w:val="00FD562F"/>
    <w:pPr>
      <w:suppressAutoHyphens/>
      <w:spacing w:after="0"/>
      <w:ind w:left="1276" w:hanging="1276"/>
    </w:pPr>
    <w:rPr>
      <w:rFonts w:cs="Arial"/>
      <w:bCs/>
    </w:rPr>
  </w:style>
  <w:style w:type="character" w:styleId="Textodelmarcadordeposicin">
    <w:name w:val="Placeholder Text"/>
    <w:uiPriority w:val="99"/>
    <w:semiHidden/>
    <w:rsid w:val="000B4E51"/>
    <w:rPr>
      <w:color w:val="808080"/>
    </w:rPr>
  </w:style>
  <w:style w:type="paragraph" w:customStyle="1" w:styleId="EstiloPrrafodelistaJustificado">
    <w:name w:val="Estilo Párrafo de lista + Justificado"/>
    <w:basedOn w:val="Prrafodelista"/>
    <w:rsid w:val="000B4E51"/>
    <w:pPr>
      <w:spacing w:before="120"/>
      <w:ind w:left="720" w:hanging="360"/>
    </w:pPr>
    <w:rPr>
      <w:spacing w:val="4"/>
      <w:lang w:val="es-ES"/>
    </w:rPr>
  </w:style>
  <w:style w:type="paragraph" w:customStyle="1" w:styleId="Vietas">
    <w:name w:val="Viñetas"/>
    <w:basedOn w:val="Prrafodelista"/>
    <w:rsid w:val="000B4E51"/>
    <w:pPr>
      <w:spacing w:before="120"/>
      <w:ind w:left="720" w:hanging="360"/>
    </w:pPr>
    <w:rPr>
      <w:spacing w:val="4"/>
      <w:lang w:val="es-ES"/>
    </w:rPr>
  </w:style>
  <w:style w:type="paragraph" w:customStyle="1" w:styleId="Listaletras">
    <w:name w:val="Lista letras"/>
    <w:basedOn w:val="Sangra2detindependiente"/>
    <w:link w:val="ListaletrasCar"/>
    <w:qFormat/>
    <w:rsid w:val="000B4E51"/>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0B4E51"/>
    <w:rPr>
      <w:rFonts w:ascii="Bookman Old Style" w:hAnsi="Bookman Old Style"/>
      <w:b/>
      <w:sz w:val="22"/>
      <w:lang w:eastAsia="es-ES"/>
    </w:rPr>
  </w:style>
  <w:style w:type="paragraph" w:customStyle="1" w:styleId="Textoindependiente31">
    <w:name w:val="Texto independiente 31"/>
    <w:basedOn w:val="Normal"/>
    <w:rsid w:val="000B4E51"/>
    <w:pPr>
      <w:tabs>
        <w:tab w:val="left" w:pos="-720"/>
      </w:tabs>
      <w:suppressAutoHyphens/>
      <w:overflowPunct w:val="0"/>
      <w:autoSpaceDE w:val="0"/>
      <w:autoSpaceDN w:val="0"/>
      <w:adjustRightInd w:val="0"/>
      <w:ind w:right="45"/>
      <w:textAlignment w:val="baseline"/>
    </w:pPr>
    <w:rPr>
      <w:sz w:val="22"/>
      <w:szCs w:val="20"/>
    </w:rPr>
  </w:style>
  <w:style w:type="paragraph" w:customStyle="1" w:styleId="Estilo2">
    <w:name w:val="Estilo2"/>
    <w:basedOn w:val="Ttulo1"/>
    <w:link w:val="Estilo2Car"/>
    <w:rsid w:val="000B4E51"/>
    <w:pPr>
      <w:adjustRightInd w:val="0"/>
      <w:spacing w:after="360"/>
      <w:textAlignment w:val="baseline"/>
    </w:pPr>
    <w:rPr>
      <w:bCs/>
      <w:caps w:val="0"/>
      <w:spacing w:val="4"/>
      <w:szCs w:val="24"/>
      <w:lang w:val="es-ES"/>
    </w:rPr>
  </w:style>
  <w:style w:type="paragraph" w:styleId="Continuarlista">
    <w:name w:val="List Continue"/>
    <w:basedOn w:val="Normal"/>
    <w:rsid w:val="000B4E51"/>
    <w:pPr>
      <w:widowControl w:val="0"/>
      <w:adjustRightInd w:val="0"/>
      <w:spacing w:after="120"/>
      <w:ind w:left="283"/>
      <w:contextualSpacing/>
      <w:textAlignment w:val="baseline"/>
    </w:pPr>
  </w:style>
  <w:style w:type="character" w:customStyle="1" w:styleId="Fuentedeprrafopredeter1">
    <w:name w:val="Fuente de párrafo predeter.1"/>
    <w:rsid w:val="000B4E51"/>
  </w:style>
  <w:style w:type="character" w:customStyle="1" w:styleId="FootnoteCharacters">
    <w:name w:val="Footnote Characters"/>
    <w:rsid w:val="000B4E51"/>
    <w:rPr>
      <w:vertAlign w:val="superscript"/>
    </w:rPr>
  </w:style>
  <w:style w:type="character" w:customStyle="1" w:styleId="Refdenotaalpie1">
    <w:name w:val="Ref. de nota al pie1"/>
    <w:rsid w:val="000B4E51"/>
    <w:rPr>
      <w:vertAlign w:val="superscript"/>
    </w:rPr>
  </w:style>
  <w:style w:type="character" w:customStyle="1" w:styleId="Refdecomentario1">
    <w:name w:val="Ref. de comentario1"/>
    <w:rsid w:val="000B4E51"/>
    <w:rPr>
      <w:sz w:val="16"/>
    </w:rPr>
  </w:style>
  <w:style w:type="paragraph" w:customStyle="1" w:styleId="Heading">
    <w:name w:val="Heading"/>
    <w:basedOn w:val="Normal"/>
    <w:next w:val="Textoindependiente"/>
    <w:rsid w:val="000B4E51"/>
    <w:pPr>
      <w:keepNext/>
      <w:suppressAutoHyphens/>
      <w:spacing w:after="120"/>
    </w:pPr>
    <w:rPr>
      <w:rFonts w:ascii="Arial" w:eastAsia="DejaVu Sans" w:hAnsi="Arial" w:cs="DejaVu Sans"/>
      <w:sz w:val="28"/>
      <w:szCs w:val="28"/>
      <w:lang w:val="es-CO" w:eastAsia="ar-SA"/>
    </w:rPr>
  </w:style>
  <w:style w:type="paragraph" w:styleId="Lista">
    <w:name w:val="List"/>
    <w:basedOn w:val="Normal"/>
    <w:rsid w:val="000B4E51"/>
    <w:pPr>
      <w:suppressAutoHyphens/>
      <w:ind w:left="283" w:hanging="283"/>
    </w:pPr>
    <w:rPr>
      <w:sz w:val="22"/>
      <w:szCs w:val="20"/>
      <w:lang w:val="es-CO" w:eastAsia="ar-SA"/>
    </w:rPr>
  </w:style>
  <w:style w:type="paragraph" w:customStyle="1" w:styleId="Index">
    <w:name w:val="Index"/>
    <w:basedOn w:val="Normal"/>
    <w:rsid w:val="000B4E51"/>
    <w:pPr>
      <w:suppressLineNumbers/>
      <w:suppressAutoHyphens/>
    </w:pPr>
    <w:rPr>
      <w:sz w:val="22"/>
      <w:szCs w:val="20"/>
      <w:lang w:val="es-CO" w:eastAsia="ar-SA"/>
    </w:rPr>
  </w:style>
  <w:style w:type="paragraph" w:styleId="Ttulodendice">
    <w:name w:val="index heading"/>
    <w:basedOn w:val="Normal"/>
    <w:next w:val="ndice1"/>
    <w:rsid w:val="000B4E51"/>
    <w:pPr>
      <w:suppressAutoHyphens/>
      <w:spacing w:before="120" w:after="120"/>
    </w:pPr>
    <w:rPr>
      <w:b/>
      <w:i/>
      <w:sz w:val="20"/>
      <w:szCs w:val="20"/>
      <w:lang w:val="es-CO" w:eastAsia="ar-SA"/>
    </w:rPr>
  </w:style>
  <w:style w:type="paragraph" w:styleId="ndice2">
    <w:name w:val="index 2"/>
    <w:basedOn w:val="Normal"/>
    <w:next w:val="Normal"/>
    <w:rsid w:val="000B4E51"/>
    <w:pPr>
      <w:suppressAutoHyphens/>
      <w:ind w:left="480" w:hanging="240"/>
    </w:pPr>
    <w:rPr>
      <w:sz w:val="20"/>
      <w:szCs w:val="20"/>
      <w:lang w:val="es-CO" w:eastAsia="ar-SA"/>
    </w:rPr>
  </w:style>
  <w:style w:type="paragraph" w:styleId="ndice3">
    <w:name w:val="index 3"/>
    <w:basedOn w:val="Normal"/>
    <w:next w:val="Normal"/>
    <w:rsid w:val="000B4E51"/>
    <w:pPr>
      <w:suppressAutoHyphens/>
      <w:ind w:left="720" w:hanging="240"/>
    </w:pPr>
    <w:rPr>
      <w:sz w:val="20"/>
      <w:szCs w:val="20"/>
      <w:lang w:val="es-CO" w:eastAsia="ar-SA"/>
    </w:rPr>
  </w:style>
  <w:style w:type="paragraph" w:customStyle="1" w:styleId="Figuras">
    <w:name w:val="Figuras"/>
    <w:basedOn w:val="Textoindependiente"/>
    <w:rsid w:val="000B4E51"/>
    <w:pPr>
      <w:suppressAutoHyphens/>
    </w:pPr>
    <w:rPr>
      <w:rFonts w:cs="Times New Roman"/>
      <w:b w:val="0"/>
      <w:bCs w:val="0"/>
      <w:i/>
      <w:iCs/>
      <w:sz w:val="22"/>
      <w:szCs w:val="20"/>
      <w:lang w:val="es-CO" w:eastAsia="ar-SA"/>
    </w:rPr>
  </w:style>
  <w:style w:type="paragraph" w:customStyle="1" w:styleId="Text">
    <w:name w:val="Text"/>
    <w:basedOn w:val="Normal"/>
    <w:rsid w:val="000B4E51"/>
    <w:pPr>
      <w:suppressLineNumbers/>
      <w:suppressAutoHyphens/>
      <w:spacing w:before="120" w:after="120"/>
    </w:pPr>
    <w:rPr>
      <w:i/>
      <w:iCs/>
      <w:lang w:val="es-CO" w:eastAsia="ar-SA"/>
    </w:rPr>
  </w:style>
  <w:style w:type="paragraph" w:styleId="Textoindependienteprimerasangra">
    <w:name w:val="Body Text First Indent"/>
    <w:basedOn w:val="Textoindependiente"/>
    <w:link w:val="TextoindependienteprimerasangraCar"/>
    <w:rsid w:val="000B4E51"/>
    <w:pPr>
      <w:suppressAutoHyphens/>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link w:val="Textoindependienteprimerasangra"/>
    <w:rsid w:val="000B4E51"/>
    <w:rPr>
      <w:rFonts w:ascii="Arial" w:hAnsi="Arial" w:cs="Arial"/>
      <w:b/>
      <w:bCs w:val="0"/>
      <w:i/>
      <w:sz w:val="28"/>
      <w:szCs w:val="24"/>
      <w:lang w:eastAsia="ar-SA"/>
    </w:rPr>
  </w:style>
  <w:style w:type="paragraph" w:customStyle="1" w:styleId="Notes">
    <w:name w:val="Notes"/>
    <w:rsid w:val="000B4E5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0B4E51"/>
    <w:pPr>
      <w:widowControl/>
      <w:suppressAutoHyphens/>
      <w:adjustRightInd/>
      <w:spacing w:after="200" w:line="240" w:lineRule="auto"/>
      <w:textAlignment w:val="auto"/>
    </w:pPr>
    <w:rPr>
      <w:b/>
      <w:bCs/>
      <w:iCs/>
    </w:rPr>
  </w:style>
  <w:style w:type="character" w:customStyle="1" w:styleId="TablaCar">
    <w:name w:val="Tabla Car"/>
    <w:link w:val="Tabla"/>
    <w:rsid w:val="000B4E51"/>
    <w:rPr>
      <w:rFonts w:ascii="Arial" w:hAnsi="Arial"/>
      <w:b/>
      <w:bCs/>
      <w:iCs/>
      <w:lang w:val="es-ES" w:eastAsia="es-ES"/>
    </w:rPr>
  </w:style>
  <w:style w:type="paragraph" w:customStyle="1" w:styleId="DatosDocumento">
    <w:name w:val="Datos Documento"/>
    <w:basedOn w:val="Normal"/>
    <w:rsid w:val="000B4E51"/>
    <w:pPr>
      <w:jc w:val="right"/>
    </w:pPr>
    <w:rPr>
      <w:rFonts w:ascii="Arial" w:hAnsi="Arial" w:cs="Arial"/>
      <w:szCs w:val="20"/>
    </w:rPr>
  </w:style>
  <w:style w:type="paragraph" w:customStyle="1" w:styleId="TituloDocumento">
    <w:name w:val="Titulo Documento"/>
    <w:basedOn w:val="Normal"/>
    <w:rsid w:val="000B4E51"/>
    <w:pPr>
      <w:jc w:val="right"/>
    </w:pPr>
    <w:rPr>
      <w:rFonts w:ascii="Arial Black" w:hAnsi="Arial Black" w:cs="Arial"/>
      <w:sz w:val="48"/>
      <w:szCs w:val="20"/>
    </w:rPr>
  </w:style>
  <w:style w:type="paragraph" w:customStyle="1" w:styleId="SubtituloDocumento">
    <w:name w:val="Subtitulo Documento"/>
    <w:basedOn w:val="Normal"/>
    <w:rsid w:val="000B4E51"/>
    <w:pPr>
      <w:jc w:val="right"/>
    </w:pPr>
    <w:rPr>
      <w:rFonts w:ascii="Arial Black" w:hAnsi="Arial Black" w:cs="Arial"/>
      <w:sz w:val="32"/>
      <w:szCs w:val="20"/>
    </w:rPr>
  </w:style>
  <w:style w:type="paragraph" w:customStyle="1" w:styleId="TtuloInforme">
    <w:name w:val="Título Informe"/>
    <w:basedOn w:val="Normal"/>
    <w:next w:val="Normal"/>
    <w:rsid w:val="000B4E51"/>
    <w:pPr>
      <w:spacing w:before="120" w:after="120"/>
      <w:jc w:val="center"/>
    </w:pPr>
    <w:rPr>
      <w:rFonts w:ascii="Arial" w:hAnsi="Arial" w:cs="Arial"/>
      <w:color w:val="FF6309"/>
      <w:sz w:val="28"/>
      <w:szCs w:val="28"/>
    </w:rPr>
  </w:style>
  <w:style w:type="character" w:customStyle="1" w:styleId="TtuloInformeChar">
    <w:name w:val="Título Informe Char"/>
    <w:rsid w:val="000B4E51"/>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0B4E51"/>
    <w:pPr>
      <w:spacing w:before="120" w:after="120"/>
    </w:pPr>
    <w:rPr>
      <w:rFonts w:ascii="Arial" w:hAnsi="Arial" w:cs="Arial"/>
      <w:color w:val="808080"/>
    </w:rPr>
  </w:style>
  <w:style w:type="character" w:customStyle="1" w:styleId="SubtuloInformeChar">
    <w:name w:val="Subítulo Informe Char"/>
    <w:rsid w:val="000B4E51"/>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0B4E51"/>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0B4E51"/>
    <w:pPr>
      <w:spacing w:before="120" w:after="120"/>
    </w:pPr>
    <w:rPr>
      <w:rFonts w:ascii="Arial" w:hAnsi="Arial" w:cs="Arial"/>
      <w:sz w:val="20"/>
      <w:szCs w:val="20"/>
    </w:rPr>
  </w:style>
  <w:style w:type="paragraph" w:customStyle="1" w:styleId="CUERPOTEXTO">
    <w:name w:val="CUERPO TEXTO"/>
    <w:rsid w:val="000B4E51"/>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Revisin">
    <w:name w:val="Revision"/>
    <w:hidden/>
    <w:uiPriority w:val="99"/>
    <w:semiHidden/>
    <w:rsid w:val="000B4E51"/>
    <w:rPr>
      <w:rFonts w:ascii="Bookman Old Style" w:hAnsi="Bookman Old Style"/>
      <w:sz w:val="24"/>
      <w:szCs w:val="24"/>
      <w:lang w:val="es-ES" w:eastAsia="es-ES"/>
    </w:rPr>
  </w:style>
  <w:style w:type="paragraph" w:styleId="Saludo">
    <w:name w:val="Salutation"/>
    <w:basedOn w:val="Normal"/>
    <w:next w:val="Normal"/>
    <w:link w:val="SaludoCar"/>
    <w:uiPriority w:val="99"/>
    <w:unhideWhenUsed/>
    <w:rsid w:val="000B4E51"/>
    <w:pPr>
      <w:widowControl w:val="0"/>
      <w:adjustRightInd w:val="0"/>
      <w:textAlignment w:val="baseline"/>
    </w:pPr>
    <w:rPr>
      <w:lang w:val="es-CO"/>
    </w:rPr>
  </w:style>
  <w:style w:type="character" w:customStyle="1" w:styleId="SaludoCar">
    <w:name w:val="Saludo Car"/>
    <w:link w:val="Saludo"/>
    <w:uiPriority w:val="99"/>
    <w:rsid w:val="000B4E51"/>
    <w:rPr>
      <w:rFonts w:ascii="Bookman Old Style" w:hAnsi="Bookman Old Style"/>
      <w:sz w:val="24"/>
      <w:szCs w:val="24"/>
      <w:lang w:eastAsia="es-ES"/>
    </w:rPr>
  </w:style>
  <w:style w:type="paragraph" w:customStyle="1" w:styleId="Default">
    <w:name w:val="Default"/>
    <w:rsid w:val="004224BE"/>
    <w:pPr>
      <w:autoSpaceDE w:val="0"/>
      <w:autoSpaceDN w:val="0"/>
      <w:adjustRightInd w:val="0"/>
    </w:pPr>
    <w:rPr>
      <w:rFonts w:ascii="Arial" w:eastAsiaTheme="minorHAnsi" w:hAnsi="Arial" w:cs="Arial"/>
      <w:color w:val="000000"/>
      <w:sz w:val="24"/>
      <w:szCs w:val="24"/>
      <w:lang w:eastAsia="en-US"/>
    </w:rPr>
  </w:style>
  <w:style w:type="paragraph" w:customStyle="1" w:styleId="ARTICULOS">
    <w:name w:val="ARTICULOS"/>
    <w:basedOn w:val="Normal"/>
    <w:link w:val="ARTICULOSCar"/>
    <w:autoRedefine/>
    <w:qFormat/>
    <w:rsid w:val="00DB7021"/>
    <w:pPr>
      <w:numPr>
        <w:numId w:val="35"/>
      </w:numPr>
      <w:tabs>
        <w:tab w:val="left" w:pos="1560"/>
      </w:tabs>
      <w:adjustRightInd w:val="0"/>
      <w:spacing w:before="120" w:after="0"/>
      <w:ind w:left="0" w:firstLine="0"/>
      <w:textAlignment w:val="baseline"/>
    </w:pPr>
    <w:rPr>
      <w:bCs/>
    </w:rPr>
  </w:style>
  <w:style w:type="character" w:customStyle="1" w:styleId="ARTICULOSCar">
    <w:name w:val="ARTICULOS Car"/>
    <w:basedOn w:val="Fuentedeprrafopredeter"/>
    <w:link w:val="ARTICULOS"/>
    <w:rsid w:val="00DB7021"/>
    <w:rPr>
      <w:rFonts w:ascii="Bookman Old Style" w:hAnsi="Bookman Old Style"/>
      <w:bCs/>
      <w:sz w:val="24"/>
      <w:szCs w:val="24"/>
      <w:lang w:val="es-ES" w:eastAsia="es-ES"/>
    </w:rPr>
  </w:style>
  <w:style w:type="character" w:customStyle="1" w:styleId="Estilo2Car">
    <w:name w:val="Estilo2 Car"/>
    <w:link w:val="Estilo2"/>
    <w:rsid w:val="00DB7021"/>
    <w:rPr>
      <w:rFonts w:ascii="Bookman Old Style" w:hAnsi="Bookman Old Style"/>
      <w:b/>
      <w:bCs/>
      <w:spacing w:val="4"/>
      <w:sz w:val="24"/>
      <w:szCs w:val="24"/>
      <w:lang w:val="es-ES" w:eastAsia="es-ES"/>
    </w:rPr>
  </w:style>
  <w:style w:type="paragraph" w:styleId="HTMLconformatoprevio">
    <w:name w:val="HTML Preformatted"/>
    <w:basedOn w:val="Normal"/>
    <w:link w:val="HTMLconformatoprevioCar"/>
    <w:semiHidden/>
    <w:rsid w:val="00DB7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DB7021"/>
    <w:rPr>
      <w:rFonts w:ascii="Arial Unicode MS" w:eastAsia="Arial Unicode MS" w:hAnsi="Arial Unicode MS" w:cs="Arial Unicode MS"/>
      <w:lang w:val="es-ES" w:eastAsia="es-ES"/>
    </w:rPr>
  </w:style>
  <w:style w:type="paragraph" w:styleId="Sangranormal">
    <w:name w:val="Normal Indent"/>
    <w:basedOn w:val="Normal"/>
    <w:semiHidden/>
    <w:rsid w:val="00DB7021"/>
    <w:pPr>
      <w:overflowPunct w:val="0"/>
      <w:autoSpaceDE w:val="0"/>
      <w:autoSpaceDN w:val="0"/>
      <w:adjustRightInd w:val="0"/>
      <w:spacing w:before="120" w:after="120"/>
      <w:ind w:left="461"/>
      <w:jc w:val="left"/>
      <w:textAlignment w:val="baseline"/>
    </w:pPr>
    <w:rPr>
      <w:rFonts w:ascii="Arial" w:hAnsi="Arial"/>
      <w:szCs w:val="20"/>
      <w:lang w:val="es-ES_tradnl"/>
    </w:rPr>
  </w:style>
  <w:style w:type="paragraph" w:customStyle="1" w:styleId="CAPTULO">
    <w:name w:val="CAPÍTULO"/>
    <w:basedOn w:val="Ttulo1"/>
    <w:next w:val="Normal"/>
    <w:qFormat/>
    <w:rsid w:val="00DB7021"/>
    <w:pPr>
      <w:numPr>
        <w:numId w:val="0"/>
      </w:numPr>
      <w:ind w:left="432" w:hanging="432"/>
    </w:pPr>
    <w:rPr>
      <w:caps w:val="0"/>
      <w:spacing w:val="4"/>
      <w:szCs w:val="22"/>
      <w:lang w:val="es-ES"/>
    </w:rPr>
  </w:style>
  <w:style w:type="paragraph" w:customStyle="1" w:styleId="xl66">
    <w:name w:val="xl66"/>
    <w:basedOn w:val="Normal"/>
    <w:rsid w:val="00A444B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A444B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A444B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A444B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A444B1"/>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A444B1"/>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A444B1"/>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A444B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A444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A444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A444B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A444B1"/>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A444B1"/>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E43413"/>
    <w:pPr>
      <w:ind w:left="566" w:hanging="283"/>
      <w:contextualSpacing/>
    </w:pPr>
  </w:style>
  <w:style w:type="paragraph" w:styleId="Lista3">
    <w:name w:val="List 3"/>
    <w:basedOn w:val="Normal"/>
    <w:uiPriority w:val="99"/>
    <w:unhideWhenUsed/>
    <w:rsid w:val="00E43413"/>
    <w:pPr>
      <w:ind w:left="849" w:hanging="283"/>
      <w:contextualSpacing/>
    </w:pPr>
  </w:style>
  <w:style w:type="paragraph" w:styleId="Continuarlista2">
    <w:name w:val="List Continue 2"/>
    <w:basedOn w:val="Normal"/>
    <w:uiPriority w:val="99"/>
    <w:unhideWhenUsed/>
    <w:rsid w:val="00E43413"/>
    <w:pPr>
      <w:spacing w:after="120"/>
      <w:ind w:left="566"/>
      <w:contextualSpacing/>
    </w:pPr>
  </w:style>
  <w:style w:type="paragraph" w:styleId="Continuarlista3">
    <w:name w:val="List Continue 3"/>
    <w:basedOn w:val="Normal"/>
    <w:uiPriority w:val="99"/>
    <w:unhideWhenUsed/>
    <w:rsid w:val="00E43413"/>
    <w:pPr>
      <w:spacing w:after="120"/>
      <w:ind w:left="849"/>
      <w:contextualSpacing/>
    </w:pPr>
  </w:style>
  <w:style w:type="paragraph" w:customStyle="1" w:styleId="Caracteresenmarcados">
    <w:name w:val="Caracteres enmarcados"/>
    <w:basedOn w:val="Normal"/>
    <w:rsid w:val="00E43413"/>
  </w:style>
  <w:style w:type="paragraph" w:styleId="Textoindependienteprimerasangra2">
    <w:name w:val="Body Text First Indent 2"/>
    <w:basedOn w:val="Sangradetextonormal"/>
    <w:link w:val="Textoindependienteprimerasangra2Car"/>
    <w:uiPriority w:val="99"/>
    <w:unhideWhenUsed/>
    <w:rsid w:val="00E43413"/>
    <w:pPr>
      <w:numPr>
        <w:numId w:val="0"/>
      </w:numPr>
      <w:spacing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43413"/>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F50D3B"/>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F50D3B"/>
    <w:rPr>
      <w:rFonts w:asciiTheme="majorHAnsi" w:eastAsiaTheme="majorEastAsia" w:hAnsiTheme="majorHAnsi" w:cstheme="majorBidi"/>
      <w:sz w:val="24"/>
      <w:szCs w:val="24"/>
      <w:shd w:val="pct20" w:color="auto" w:fill="auto"/>
      <w:lang w:val="es-ES" w:eastAsia="es-ES"/>
    </w:rPr>
  </w:style>
  <w:style w:type="character" w:styleId="Mencinsinresolver">
    <w:name w:val="Unresolved Mention"/>
    <w:basedOn w:val="Fuentedeprrafopredeter"/>
    <w:uiPriority w:val="99"/>
    <w:semiHidden/>
    <w:unhideWhenUsed/>
    <w:rsid w:val="00CA4666"/>
    <w:rPr>
      <w:color w:val="605E5C"/>
      <w:shd w:val="clear" w:color="auto" w:fill="E1DFDD"/>
    </w:rPr>
  </w:style>
  <w:style w:type="character" w:customStyle="1" w:styleId="iaj">
    <w:name w:val="i_aj"/>
    <w:basedOn w:val="Fuentedeprrafopredeter"/>
    <w:rsid w:val="0040640B"/>
  </w:style>
  <w:style w:type="character" w:styleId="Mencionar">
    <w:name w:val="Mention"/>
    <w:basedOn w:val="Fuentedeprrafopredeter"/>
    <w:uiPriority w:val="99"/>
    <w:unhideWhenUsed/>
    <w:rsid w:val="001947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086">
      <w:bodyDiv w:val="1"/>
      <w:marLeft w:val="0"/>
      <w:marRight w:val="0"/>
      <w:marTop w:val="0"/>
      <w:marBottom w:val="0"/>
      <w:divBdr>
        <w:top w:val="none" w:sz="0" w:space="0" w:color="auto"/>
        <w:left w:val="none" w:sz="0" w:space="0" w:color="auto"/>
        <w:bottom w:val="none" w:sz="0" w:space="0" w:color="auto"/>
        <w:right w:val="none" w:sz="0" w:space="0" w:color="auto"/>
      </w:divBdr>
    </w:div>
    <w:div w:id="39284696">
      <w:bodyDiv w:val="1"/>
      <w:marLeft w:val="0"/>
      <w:marRight w:val="0"/>
      <w:marTop w:val="0"/>
      <w:marBottom w:val="0"/>
      <w:divBdr>
        <w:top w:val="none" w:sz="0" w:space="0" w:color="auto"/>
        <w:left w:val="none" w:sz="0" w:space="0" w:color="auto"/>
        <w:bottom w:val="none" w:sz="0" w:space="0" w:color="auto"/>
        <w:right w:val="none" w:sz="0" w:space="0" w:color="auto"/>
      </w:divBdr>
    </w:div>
    <w:div w:id="62917018">
      <w:bodyDiv w:val="1"/>
      <w:marLeft w:val="0"/>
      <w:marRight w:val="0"/>
      <w:marTop w:val="0"/>
      <w:marBottom w:val="0"/>
      <w:divBdr>
        <w:top w:val="none" w:sz="0" w:space="0" w:color="auto"/>
        <w:left w:val="none" w:sz="0" w:space="0" w:color="auto"/>
        <w:bottom w:val="none" w:sz="0" w:space="0" w:color="auto"/>
        <w:right w:val="none" w:sz="0" w:space="0" w:color="auto"/>
      </w:divBdr>
    </w:div>
    <w:div w:id="64302511">
      <w:bodyDiv w:val="1"/>
      <w:marLeft w:val="0"/>
      <w:marRight w:val="0"/>
      <w:marTop w:val="0"/>
      <w:marBottom w:val="0"/>
      <w:divBdr>
        <w:top w:val="none" w:sz="0" w:space="0" w:color="auto"/>
        <w:left w:val="none" w:sz="0" w:space="0" w:color="auto"/>
        <w:bottom w:val="none" w:sz="0" w:space="0" w:color="auto"/>
        <w:right w:val="none" w:sz="0" w:space="0" w:color="auto"/>
      </w:divBdr>
    </w:div>
    <w:div w:id="86736409">
      <w:bodyDiv w:val="1"/>
      <w:marLeft w:val="0"/>
      <w:marRight w:val="0"/>
      <w:marTop w:val="0"/>
      <w:marBottom w:val="0"/>
      <w:divBdr>
        <w:top w:val="none" w:sz="0" w:space="0" w:color="auto"/>
        <w:left w:val="none" w:sz="0" w:space="0" w:color="auto"/>
        <w:bottom w:val="none" w:sz="0" w:space="0" w:color="auto"/>
        <w:right w:val="none" w:sz="0" w:space="0" w:color="auto"/>
      </w:divBdr>
    </w:div>
    <w:div w:id="131797928">
      <w:bodyDiv w:val="1"/>
      <w:marLeft w:val="0"/>
      <w:marRight w:val="0"/>
      <w:marTop w:val="0"/>
      <w:marBottom w:val="0"/>
      <w:divBdr>
        <w:top w:val="none" w:sz="0" w:space="0" w:color="auto"/>
        <w:left w:val="none" w:sz="0" w:space="0" w:color="auto"/>
        <w:bottom w:val="none" w:sz="0" w:space="0" w:color="auto"/>
        <w:right w:val="none" w:sz="0" w:space="0" w:color="auto"/>
      </w:divBdr>
    </w:div>
    <w:div w:id="156581274">
      <w:bodyDiv w:val="1"/>
      <w:marLeft w:val="0"/>
      <w:marRight w:val="0"/>
      <w:marTop w:val="0"/>
      <w:marBottom w:val="0"/>
      <w:divBdr>
        <w:top w:val="none" w:sz="0" w:space="0" w:color="auto"/>
        <w:left w:val="none" w:sz="0" w:space="0" w:color="auto"/>
        <w:bottom w:val="none" w:sz="0" w:space="0" w:color="auto"/>
        <w:right w:val="none" w:sz="0" w:space="0" w:color="auto"/>
      </w:divBdr>
    </w:div>
    <w:div w:id="185681673">
      <w:bodyDiv w:val="1"/>
      <w:marLeft w:val="0"/>
      <w:marRight w:val="0"/>
      <w:marTop w:val="0"/>
      <w:marBottom w:val="0"/>
      <w:divBdr>
        <w:top w:val="none" w:sz="0" w:space="0" w:color="auto"/>
        <w:left w:val="none" w:sz="0" w:space="0" w:color="auto"/>
        <w:bottom w:val="none" w:sz="0" w:space="0" w:color="auto"/>
        <w:right w:val="none" w:sz="0" w:space="0" w:color="auto"/>
      </w:divBdr>
    </w:div>
    <w:div w:id="247883796">
      <w:bodyDiv w:val="1"/>
      <w:marLeft w:val="0"/>
      <w:marRight w:val="0"/>
      <w:marTop w:val="0"/>
      <w:marBottom w:val="0"/>
      <w:divBdr>
        <w:top w:val="none" w:sz="0" w:space="0" w:color="auto"/>
        <w:left w:val="none" w:sz="0" w:space="0" w:color="auto"/>
        <w:bottom w:val="none" w:sz="0" w:space="0" w:color="auto"/>
        <w:right w:val="none" w:sz="0" w:space="0" w:color="auto"/>
      </w:divBdr>
    </w:div>
    <w:div w:id="255526620">
      <w:bodyDiv w:val="1"/>
      <w:marLeft w:val="0"/>
      <w:marRight w:val="0"/>
      <w:marTop w:val="0"/>
      <w:marBottom w:val="0"/>
      <w:divBdr>
        <w:top w:val="none" w:sz="0" w:space="0" w:color="auto"/>
        <w:left w:val="none" w:sz="0" w:space="0" w:color="auto"/>
        <w:bottom w:val="none" w:sz="0" w:space="0" w:color="auto"/>
        <w:right w:val="none" w:sz="0" w:space="0" w:color="auto"/>
      </w:divBdr>
    </w:div>
    <w:div w:id="257295674">
      <w:bodyDiv w:val="1"/>
      <w:marLeft w:val="0"/>
      <w:marRight w:val="0"/>
      <w:marTop w:val="0"/>
      <w:marBottom w:val="0"/>
      <w:divBdr>
        <w:top w:val="none" w:sz="0" w:space="0" w:color="auto"/>
        <w:left w:val="none" w:sz="0" w:space="0" w:color="auto"/>
        <w:bottom w:val="none" w:sz="0" w:space="0" w:color="auto"/>
        <w:right w:val="none" w:sz="0" w:space="0" w:color="auto"/>
      </w:divBdr>
    </w:div>
    <w:div w:id="318197151">
      <w:bodyDiv w:val="1"/>
      <w:marLeft w:val="0"/>
      <w:marRight w:val="0"/>
      <w:marTop w:val="0"/>
      <w:marBottom w:val="0"/>
      <w:divBdr>
        <w:top w:val="none" w:sz="0" w:space="0" w:color="auto"/>
        <w:left w:val="none" w:sz="0" w:space="0" w:color="auto"/>
        <w:bottom w:val="none" w:sz="0" w:space="0" w:color="auto"/>
        <w:right w:val="none" w:sz="0" w:space="0" w:color="auto"/>
      </w:divBdr>
    </w:div>
    <w:div w:id="322706355">
      <w:bodyDiv w:val="1"/>
      <w:marLeft w:val="0"/>
      <w:marRight w:val="0"/>
      <w:marTop w:val="0"/>
      <w:marBottom w:val="0"/>
      <w:divBdr>
        <w:top w:val="none" w:sz="0" w:space="0" w:color="auto"/>
        <w:left w:val="none" w:sz="0" w:space="0" w:color="auto"/>
        <w:bottom w:val="none" w:sz="0" w:space="0" w:color="auto"/>
        <w:right w:val="none" w:sz="0" w:space="0" w:color="auto"/>
      </w:divBdr>
    </w:div>
    <w:div w:id="395587556">
      <w:bodyDiv w:val="1"/>
      <w:marLeft w:val="0"/>
      <w:marRight w:val="0"/>
      <w:marTop w:val="0"/>
      <w:marBottom w:val="0"/>
      <w:divBdr>
        <w:top w:val="none" w:sz="0" w:space="0" w:color="auto"/>
        <w:left w:val="none" w:sz="0" w:space="0" w:color="auto"/>
        <w:bottom w:val="none" w:sz="0" w:space="0" w:color="auto"/>
        <w:right w:val="none" w:sz="0" w:space="0" w:color="auto"/>
      </w:divBdr>
    </w:div>
    <w:div w:id="402215767">
      <w:bodyDiv w:val="1"/>
      <w:marLeft w:val="0"/>
      <w:marRight w:val="0"/>
      <w:marTop w:val="0"/>
      <w:marBottom w:val="0"/>
      <w:divBdr>
        <w:top w:val="none" w:sz="0" w:space="0" w:color="auto"/>
        <w:left w:val="none" w:sz="0" w:space="0" w:color="auto"/>
        <w:bottom w:val="none" w:sz="0" w:space="0" w:color="auto"/>
        <w:right w:val="none" w:sz="0" w:space="0" w:color="auto"/>
      </w:divBdr>
    </w:div>
    <w:div w:id="415980442">
      <w:bodyDiv w:val="1"/>
      <w:marLeft w:val="0"/>
      <w:marRight w:val="0"/>
      <w:marTop w:val="0"/>
      <w:marBottom w:val="0"/>
      <w:divBdr>
        <w:top w:val="none" w:sz="0" w:space="0" w:color="auto"/>
        <w:left w:val="none" w:sz="0" w:space="0" w:color="auto"/>
        <w:bottom w:val="none" w:sz="0" w:space="0" w:color="auto"/>
        <w:right w:val="none" w:sz="0" w:space="0" w:color="auto"/>
      </w:divBdr>
    </w:div>
    <w:div w:id="445347142">
      <w:bodyDiv w:val="1"/>
      <w:marLeft w:val="0"/>
      <w:marRight w:val="0"/>
      <w:marTop w:val="0"/>
      <w:marBottom w:val="0"/>
      <w:divBdr>
        <w:top w:val="none" w:sz="0" w:space="0" w:color="auto"/>
        <w:left w:val="none" w:sz="0" w:space="0" w:color="auto"/>
        <w:bottom w:val="none" w:sz="0" w:space="0" w:color="auto"/>
        <w:right w:val="none" w:sz="0" w:space="0" w:color="auto"/>
      </w:divBdr>
    </w:div>
    <w:div w:id="454755050">
      <w:bodyDiv w:val="1"/>
      <w:marLeft w:val="0"/>
      <w:marRight w:val="0"/>
      <w:marTop w:val="0"/>
      <w:marBottom w:val="0"/>
      <w:divBdr>
        <w:top w:val="none" w:sz="0" w:space="0" w:color="auto"/>
        <w:left w:val="none" w:sz="0" w:space="0" w:color="auto"/>
        <w:bottom w:val="none" w:sz="0" w:space="0" w:color="auto"/>
        <w:right w:val="none" w:sz="0" w:space="0" w:color="auto"/>
      </w:divBdr>
    </w:div>
    <w:div w:id="534465740">
      <w:bodyDiv w:val="1"/>
      <w:marLeft w:val="0"/>
      <w:marRight w:val="0"/>
      <w:marTop w:val="0"/>
      <w:marBottom w:val="0"/>
      <w:divBdr>
        <w:top w:val="none" w:sz="0" w:space="0" w:color="auto"/>
        <w:left w:val="none" w:sz="0" w:space="0" w:color="auto"/>
        <w:bottom w:val="none" w:sz="0" w:space="0" w:color="auto"/>
        <w:right w:val="none" w:sz="0" w:space="0" w:color="auto"/>
      </w:divBdr>
    </w:div>
    <w:div w:id="577595191">
      <w:bodyDiv w:val="1"/>
      <w:marLeft w:val="0"/>
      <w:marRight w:val="0"/>
      <w:marTop w:val="0"/>
      <w:marBottom w:val="0"/>
      <w:divBdr>
        <w:top w:val="none" w:sz="0" w:space="0" w:color="auto"/>
        <w:left w:val="none" w:sz="0" w:space="0" w:color="auto"/>
        <w:bottom w:val="none" w:sz="0" w:space="0" w:color="auto"/>
        <w:right w:val="none" w:sz="0" w:space="0" w:color="auto"/>
      </w:divBdr>
    </w:div>
    <w:div w:id="598754127">
      <w:bodyDiv w:val="1"/>
      <w:marLeft w:val="0"/>
      <w:marRight w:val="0"/>
      <w:marTop w:val="0"/>
      <w:marBottom w:val="0"/>
      <w:divBdr>
        <w:top w:val="none" w:sz="0" w:space="0" w:color="auto"/>
        <w:left w:val="none" w:sz="0" w:space="0" w:color="auto"/>
        <w:bottom w:val="none" w:sz="0" w:space="0" w:color="auto"/>
        <w:right w:val="none" w:sz="0" w:space="0" w:color="auto"/>
      </w:divBdr>
    </w:div>
    <w:div w:id="618102696">
      <w:bodyDiv w:val="1"/>
      <w:marLeft w:val="0"/>
      <w:marRight w:val="0"/>
      <w:marTop w:val="0"/>
      <w:marBottom w:val="0"/>
      <w:divBdr>
        <w:top w:val="none" w:sz="0" w:space="0" w:color="auto"/>
        <w:left w:val="none" w:sz="0" w:space="0" w:color="auto"/>
        <w:bottom w:val="none" w:sz="0" w:space="0" w:color="auto"/>
        <w:right w:val="none" w:sz="0" w:space="0" w:color="auto"/>
      </w:divBdr>
    </w:div>
    <w:div w:id="618537843">
      <w:bodyDiv w:val="1"/>
      <w:marLeft w:val="0"/>
      <w:marRight w:val="0"/>
      <w:marTop w:val="0"/>
      <w:marBottom w:val="0"/>
      <w:divBdr>
        <w:top w:val="none" w:sz="0" w:space="0" w:color="auto"/>
        <w:left w:val="none" w:sz="0" w:space="0" w:color="auto"/>
        <w:bottom w:val="none" w:sz="0" w:space="0" w:color="auto"/>
        <w:right w:val="none" w:sz="0" w:space="0" w:color="auto"/>
      </w:divBdr>
    </w:div>
    <w:div w:id="619649673">
      <w:bodyDiv w:val="1"/>
      <w:marLeft w:val="0"/>
      <w:marRight w:val="0"/>
      <w:marTop w:val="0"/>
      <w:marBottom w:val="0"/>
      <w:divBdr>
        <w:top w:val="none" w:sz="0" w:space="0" w:color="auto"/>
        <w:left w:val="none" w:sz="0" w:space="0" w:color="auto"/>
        <w:bottom w:val="none" w:sz="0" w:space="0" w:color="auto"/>
        <w:right w:val="none" w:sz="0" w:space="0" w:color="auto"/>
      </w:divBdr>
    </w:div>
    <w:div w:id="619801262">
      <w:bodyDiv w:val="1"/>
      <w:marLeft w:val="0"/>
      <w:marRight w:val="0"/>
      <w:marTop w:val="0"/>
      <w:marBottom w:val="0"/>
      <w:divBdr>
        <w:top w:val="none" w:sz="0" w:space="0" w:color="auto"/>
        <w:left w:val="none" w:sz="0" w:space="0" w:color="auto"/>
        <w:bottom w:val="none" w:sz="0" w:space="0" w:color="auto"/>
        <w:right w:val="none" w:sz="0" w:space="0" w:color="auto"/>
      </w:divBdr>
    </w:div>
    <w:div w:id="635599230">
      <w:bodyDiv w:val="1"/>
      <w:marLeft w:val="0"/>
      <w:marRight w:val="0"/>
      <w:marTop w:val="0"/>
      <w:marBottom w:val="0"/>
      <w:divBdr>
        <w:top w:val="none" w:sz="0" w:space="0" w:color="auto"/>
        <w:left w:val="none" w:sz="0" w:space="0" w:color="auto"/>
        <w:bottom w:val="none" w:sz="0" w:space="0" w:color="auto"/>
        <w:right w:val="none" w:sz="0" w:space="0" w:color="auto"/>
      </w:divBdr>
    </w:div>
    <w:div w:id="683826192">
      <w:bodyDiv w:val="1"/>
      <w:marLeft w:val="0"/>
      <w:marRight w:val="0"/>
      <w:marTop w:val="0"/>
      <w:marBottom w:val="0"/>
      <w:divBdr>
        <w:top w:val="none" w:sz="0" w:space="0" w:color="auto"/>
        <w:left w:val="none" w:sz="0" w:space="0" w:color="auto"/>
        <w:bottom w:val="none" w:sz="0" w:space="0" w:color="auto"/>
        <w:right w:val="none" w:sz="0" w:space="0" w:color="auto"/>
      </w:divBdr>
    </w:div>
    <w:div w:id="734086988">
      <w:bodyDiv w:val="1"/>
      <w:marLeft w:val="0"/>
      <w:marRight w:val="0"/>
      <w:marTop w:val="0"/>
      <w:marBottom w:val="0"/>
      <w:divBdr>
        <w:top w:val="none" w:sz="0" w:space="0" w:color="auto"/>
        <w:left w:val="none" w:sz="0" w:space="0" w:color="auto"/>
        <w:bottom w:val="none" w:sz="0" w:space="0" w:color="auto"/>
        <w:right w:val="none" w:sz="0" w:space="0" w:color="auto"/>
      </w:divBdr>
    </w:div>
    <w:div w:id="740638656">
      <w:bodyDiv w:val="1"/>
      <w:marLeft w:val="0"/>
      <w:marRight w:val="0"/>
      <w:marTop w:val="0"/>
      <w:marBottom w:val="0"/>
      <w:divBdr>
        <w:top w:val="none" w:sz="0" w:space="0" w:color="auto"/>
        <w:left w:val="none" w:sz="0" w:space="0" w:color="auto"/>
        <w:bottom w:val="none" w:sz="0" w:space="0" w:color="auto"/>
        <w:right w:val="none" w:sz="0" w:space="0" w:color="auto"/>
      </w:divBdr>
    </w:div>
    <w:div w:id="765611422">
      <w:bodyDiv w:val="1"/>
      <w:marLeft w:val="0"/>
      <w:marRight w:val="0"/>
      <w:marTop w:val="0"/>
      <w:marBottom w:val="0"/>
      <w:divBdr>
        <w:top w:val="none" w:sz="0" w:space="0" w:color="auto"/>
        <w:left w:val="none" w:sz="0" w:space="0" w:color="auto"/>
        <w:bottom w:val="none" w:sz="0" w:space="0" w:color="auto"/>
        <w:right w:val="none" w:sz="0" w:space="0" w:color="auto"/>
      </w:divBdr>
    </w:div>
    <w:div w:id="778063394">
      <w:bodyDiv w:val="1"/>
      <w:marLeft w:val="0"/>
      <w:marRight w:val="0"/>
      <w:marTop w:val="0"/>
      <w:marBottom w:val="0"/>
      <w:divBdr>
        <w:top w:val="none" w:sz="0" w:space="0" w:color="auto"/>
        <w:left w:val="none" w:sz="0" w:space="0" w:color="auto"/>
        <w:bottom w:val="none" w:sz="0" w:space="0" w:color="auto"/>
        <w:right w:val="none" w:sz="0" w:space="0" w:color="auto"/>
      </w:divBdr>
    </w:div>
    <w:div w:id="779496499">
      <w:bodyDiv w:val="1"/>
      <w:marLeft w:val="0"/>
      <w:marRight w:val="0"/>
      <w:marTop w:val="0"/>
      <w:marBottom w:val="0"/>
      <w:divBdr>
        <w:top w:val="none" w:sz="0" w:space="0" w:color="auto"/>
        <w:left w:val="none" w:sz="0" w:space="0" w:color="auto"/>
        <w:bottom w:val="none" w:sz="0" w:space="0" w:color="auto"/>
        <w:right w:val="none" w:sz="0" w:space="0" w:color="auto"/>
      </w:divBdr>
    </w:div>
    <w:div w:id="825239714">
      <w:bodyDiv w:val="1"/>
      <w:marLeft w:val="0"/>
      <w:marRight w:val="0"/>
      <w:marTop w:val="0"/>
      <w:marBottom w:val="0"/>
      <w:divBdr>
        <w:top w:val="none" w:sz="0" w:space="0" w:color="auto"/>
        <w:left w:val="none" w:sz="0" w:space="0" w:color="auto"/>
        <w:bottom w:val="none" w:sz="0" w:space="0" w:color="auto"/>
        <w:right w:val="none" w:sz="0" w:space="0" w:color="auto"/>
      </w:divBdr>
    </w:div>
    <w:div w:id="860510396">
      <w:bodyDiv w:val="1"/>
      <w:marLeft w:val="0"/>
      <w:marRight w:val="0"/>
      <w:marTop w:val="0"/>
      <w:marBottom w:val="0"/>
      <w:divBdr>
        <w:top w:val="none" w:sz="0" w:space="0" w:color="auto"/>
        <w:left w:val="none" w:sz="0" w:space="0" w:color="auto"/>
        <w:bottom w:val="none" w:sz="0" w:space="0" w:color="auto"/>
        <w:right w:val="none" w:sz="0" w:space="0" w:color="auto"/>
      </w:divBdr>
      <w:divsChild>
        <w:div w:id="1237785660">
          <w:marLeft w:val="1166"/>
          <w:marRight w:val="0"/>
          <w:marTop w:val="0"/>
          <w:marBottom w:val="0"/>
          <w:divBdr>
            <w:top w:val="none" w:sz="0" w:space="0" w:color="auto"/>
            <w:left w:val="none" w:sz="0" w:space="0" w:color="auto"/>
            <w:bottom w:val="none" w:sz="0" w:space="0" w:color="auto"/>
            <w:right w:val="none" w:sz="0" w:space="0" w:color="auto"/>
          </w:divBdr>
        </w:div>
      </w:divsChild>
    </w:div>
    <w:div w:id="870461073">
      <w:bodyDiv w:val="1"/>
      <w:marLeft w:val="0"/>
      <w:marRight w:val="0"/>
      <w:marTop w:val="0"/>
      <w:marBottom w:val="0"/>
      <w:divBdr>
        <w:top w:val="none" w:sz="0" w:space="0" w:color="auto"/>
        <w:left w:val="none" w:sz="0" w:space="0" w:color="auto"/>
        <w:bottom w:val="none" w:sz="0" w:space="0" w:color="auto"/>
        <w:right w:val="none" w:sz="0" w:space="0" w:color="auto"/>
      </w:divBdr>
    </w:div>
    <w:div w:id="895238213">
      <w:bodyDiv w:val="1"/>
      <w:marLeft w:val="0"/>
      <w:marRight w:val="0"/>
      <w:marTop w:val="0"/>
      <w:marBottom w:val="0"/>
      <w:divBdr>
        <w:top w:val="none" w:sz="0" w:space="0" w:color="auto"/>
        <w:left w:val="none" w:sz="0" w:space="0" w:color="auto"/>
        <w:bottom w:val="none" w:sz="0" w:space="0" w:color="auto"/>
        <w:right w:val="none" w:sz="0" w:space="0" w:color="auto"/>
      </w:divBdr>
    </w:div>
    <w:div w:id="917255446">
      <w:bodyDiv w:val="1"/>
      <w:marLeft w:val="0"/>
      <w:marRight w:val="0"/>
      <w:marTop w:val="0"/>
      <w:marBottom w:val="0"/>
      <w:divBdr>
        <w:top w:val="none" w:sz="0" w:space="0" w:color="auto"/>
        <w:left w:val="none" w:sz="0" w:space="0" w:color="auto"/>
        <w:bottom w:val="none" w:sz="0" w:space="0" w:color="auto"/>
        <w:right w:val="none" w:sz="0" w:space="0" w:color="auto"/>
      </w:divBdr>
    </w:div>
    <w:div w:id="925112847">
      <w:bodyDiv w:val="1"/>
      <w:marLeft w:val="0"/>
      <w:marRight w:val="0"/>
      <w:marTop w:val="0"/>
      <w:marBottom w:val="0"/>
      <w:divBdr>
        <w:top w:val="none" w:sz="0" w:space="0" w:color="auto"/>
        <w:left w:val="none" w:sz="0" w:space="0" w:color="auto"/>
        <w:bottom w:val="none" w:sz="0" w:space="0" w:color="auto"/>
        <w:right w:val="none" w:sz="0" w:space="0" w:color="auto"/>
      </w:divBdr>
    </w:div>
    <w:div w:id="967735730">
      <w:bodyDiv w:val="1"/>
      <w:marLeft w:val="0"/>
      <w:marRight w:val="0"/>
      <w:marTop w:val="0"/>
      <w:marBottom w:val="0"/>
      <w:divBdr>
        <w:top w:val="none" w:sz="0" w:space="0" w:color="auto"/>
        <w:left w:val="none" w:sz="0" w:space="0" w:color="auto"/>
        <w:bottom w:val="none" w:sz="0" w:space="0" w:color="auto"/>
        <w:right w:val="none" w:sz="0" w:space="0" w:color="auto"/>
      </w:divBdr>
    </w:div>
    <w:div w:id="1050033292">
      <w:bodyDiv w:val="1"/>
      <w:marLeft w:val="0"/>
      <w:marRight w:val="0"/>
      <w:marTop w:val="0"/>
      <w:marBottom w:val="0"/>
      <w:divBdr>
        <w:top w:val="none" w:sz="0" w:space="0" w:color="auto"/>
        <w:left w:val="none" w:sz="0" w:space="0" w:color="auto"/>
        <w:bottom w:val="none" w:sz="0" w:space="0" w:color="auto"/>
        <w:right w:val="none" w:sz="0" w:space="0" w:color="auto"/>
      </w:divBdr>
    </w:div>
    <w:div w:id="1063985935">
      <w:bodyDiv w:val="1"/>
      <w:marLeft w:val="0"/>
      <w:marRight w:val="0"/>
      <w:marTop w:val="0"/>
      <w:marBottom w:val="0"/>
      <w:divBdr>
        <w:top w:val="none" w:sz="0" w:space="0" w:color="auto"/>
        <w:left w:val="none" w:sz="0" w:space="0" w:color="auto"/>
        <w:bottom w:val="none" w:sz="0" w:space="0" w:color="auto"/>
        <w:right w:val="none" w:sz="0" w:space="0" w:color="auto"/>
      </w:divBdr>
    </w:div>
    <w:div w:id="1066533204">
      <w:bodyDiv w:val="1"/>
      <w:marLeft w:val="0"/>
      <w:marRight w:val="0"/>
      <w:marTop w:val="0"/>
      <w:marBottom w:val="0"/>
      <w:divBdr>
        <w:top w:val="none" w:sz="0" w:space="0" w:color="auto"/>
        <w:left w:val="none" w:sz="0" w:space="0" w:color="auto"/>
        <w:bottom w:val="none" w:sz="0" w:space="0" w:color="auto"/>
        <w:right w:val="none" w:sz="0" w:space="0" w:color="auto"/>
      </w:divBdr>
    </w:div>
    <w:div w:id="1070077845">
      <w:bodyDiv w:val="1"/>
      <w:marLeft w:val="0"/>
      <w:marRight w:val="0"/>
      <w:marTop w:val="0"/>
      <w:marBottom w:val="0"/>
      <w:divBdr>
        <w:top w:val="none" w:sz="0" w:space="0" w:color="auto"/>
        <w:left w:val="none" w:sz="0" w:space="0" w:color="auto"/>
        <w:bottom w:val="none" w:sz="0" w:space="0" w:color="auto"/>
        <w:right w:val="none" w:sz="0" w:space="0" w:color="auto"/>
      </w:divBdr>
    </w:div>
    <w:div w:id="1073625114">
      <w:bodyDiv w:val="1"/>
      <w:marLeft w:val="0"/>
      <w:marRight w:val="0"/>
      <w:marTop w:val="0"/>
      <w:marBottom w:val="0"/>
      <w:divBdr>
        <w:top w:val="none" w:sz="0" w:space="0" w:color="auto"/>
        <w:left w:val="none" w:sz="0" w:space="0" w:color="auto"/>
        <w:bottom w:val="none" w:sz="0" w:space="0" w:color="auto"/>
        <w:right w:val="none" w:sz="0" w:space="0" w:color="auto"/>
      </w:divBdr>
    </w:div>
    <w:div w:id="1079059070">
      <w:bodyDiv w:val="1"/>
      <w:marLeft w:val="0"/>
      <w:marRight w:val="0"/>
      <w:marTop w:val="0"/>
      <w:marBottom w:val="0"/>
      <w:divBdr>
        <w:top w:val="none" w:sz="0" w:space="0" w:color="auto"/>
        <w:left w:val="none" w:sz="0" w:space="0" w:color="auto"/>
        <w:bottom w:val="none" w:sz="0" w:space="0" w:color="auto"/>
        <w:right w:val="none" w:sz="0" w:space="0" w:color="auto"/>
      </w:divBdr>
    </w:div>
    <w:div w:id="1086607839">
      <w:bodyDiv w:val="1"/>
      <w:marLeft w:val="0"/>
      <w:marRight w:val="0"/>
      <w:marTop w:val="0"/>
      <w:marBottom w:val="0"/>
      <w:divBdr>
        <w:top w:val="none" w:sz="0" w:space="0" w:color="auto"/>
        <w:left w:val="none" w:sz="0" w:space="0" w:color="auto"/>
        <w:bottom w:val="none" w:sz="0" w:space="0" w:color="auto"/>
        <w:right w:val="none" w:sz="0" w:space="0" w:color="auto"/>
      </w:divBdr>
    </w:div>
    <w:div w:id="1089884865">
      <w:bodyDiv w:val="1"/>
      <w:marLeft w:val="0"/>
      <w:marRight w:val="0"/>
      <w:marTop w:val="0"/>
      <w:marBottom w:val="0"/>
      <w:divBdr>
        <w:top w:val="none" w:sz="0" w:space="0" w:color="auto"/>
        <w:left w:val="none" w:sz="0" w:space="0" w:color="auto"/>
        <w:bottom w:val="none" w:sz="0" w:space="0" w:color="auto"/>
        <w:right w:val="none" w:sz="0" w:space="0" w:color="auto"/>
      </w:divBdr>
    </w:div>
    <w:div w:id="1101608820">
      <w:bodyDiv w:val="1"/>
      <w:marLeft w:val="0"/>
      <w:marRight w:val="0"/>
      <w:marTop w:val="0"/>
      <w:marBottom w:val="0"/>
      <w:divBdr>
        <w:top w:val="none" w:sz="0" w:space="0" w:color="auto"/>
        <w:left w:val="none" w:sz="0" w:space="0" w:color="auto"/>
        <w:bottom w:val="none" w:sz="0" w:space="0" w:color="auto"/>
        <w:right w:val="none" w:sz="0" w:space="0" w:color="auto"/>
      </w:divBdr>
    </w:div>
    <w:div w:id="1123233750">
      <w:bodyDiv w:val="1"/>
      <w:marLeft w:val="0"/>
      <w:marRight w:val="0"/>
      <w:marTop w:val="0"/>
      <w:marBottom w:val="0"/>
      <w:divBdr>
        <w:top w:val="none" w:sz="0" w:space="0" w:color="auto"/>
        <w:left w:val="none" w:sz="0" w:space="0" w:color="auto"/>
        <w:bottom w:val="none" w:sz="0" w:space="0" w:color="auto"/>
        <w:right w:val="none" w:sz="0" w:space="0" w:color="auto"/>
      </w:divBdr>
    </w:div>
    <w:div w:id="1127427315">
      <w:bodyDiv w:val="1"/>
      <w:marLeft w:val="0"/>
      <w:marRight w:val="0"/>
      <w:marTop w:val="0"/>
      <w:marBottom w:val="0"/>
      <w:divBdr>
        <w:top w:val="none" w:sz="0" w:space="0" w:color="auto"/>
        <w:left w:val="none" w:sz="0" w:space="0" w:color="auto"/>
        <w:bottom w:val="none" w:sz="0" w:space="0" w:color="auto"/>
        <w:right w:val="none" w:sz="0" w:space="0" w:color="auto"/>
      </w:divBdr>
    </w:div>
    <w:div w:id="1141536219">
      <w:bodyDiv w:val="1"/>
      <w:marLeft w:val="0"/>
      <w:marRight w:val="0"/>
      <w:marTop w:val="0"/>
      <w:marBottom w:val="0"/>
      <w:divBdr>
        <w:top w:val="none" w:sz="0" w:space="0" w:color="auto"/>
        <w:left w:val="none" w:sz="0" w:space="0" w:color="auto"/>
        <w:bottom w:val="none" w:sz="0" w:space="0" w:color="auto"/>
        <w:right w:val="none" w:sz="0" w:space="0" w:color="auto"/>
      </w:divBdr>
    </w:div>
    <w:div w:id="1187983730">
      <w:bodyDiv w:val="1"/>
      <w:marLeft w:val="0"/>
      <w:marRight w:val="0"/>
      <w:marTop w:val="0"/>
      <w:marBottom w:val="0"/>
      <w:divBdr>
        <w:top w:val="none" w:sz="0" w:space="0" w:color="auto"/>
        <w:left w:val="none" w:sz="0" w:space="0" w:color="auto"/>
        <w:bottom w:val="none" w:sz="0" w:space="0" w:color="auto"/>
        <w:right w:val="none" w:sz="0" w:space="0" w:color="auto"/>
      </w:divBdr>
    </w:div>
    <w:div w:id="1222516793">
      <w:bodyDiv w:val="1"/>
      <w:marLeft w:val="0"/>
      <w:marRight w:val="0"/>
      <w:marTop w:val="0"/>
      <w:marBottom w:val="0"/>
      <w:divBdr>
        <w:top w:val="none" w:sz="0" w:space="0" w:color="auto"/>
        <w:left w:val="none" w:sz="0" w:space="0" w:color="auto"/>
        <w:bottom w:val="none" w:sz="0" w:space="0" w:color="auto"/>
        <w:right w:val="none" w:sz="0" w:space="0" w:color="auto"/>
      </w:divBdr>
    </w:div>
    <w:div w:id="1235165204">
      <w:bodyDiv w:val="1"/>
      <w:marLeft w:val="0"/>
      <w:marRight w:val="0"/>
      <w:marTop w:val="0"/>
      <w:marBottom w:val="0"/>
      <w:divBdr>
        <w:top w:val="none" w:sz="0" w:space="0" w:color="auto"/>
        <w:left w:val="none" w:sz="0" w:space="0" w:color="auto"/>
        <w:bottom w:val="none" w:sz="0" w:space="0" w:color="auto"/>
        <w:right w:val="none" w:sz="0" w:space="0" w:color="auto"/>
      </w:divBdr>
    </w:div>
    <w:div w:id="1236550639">
      <w:bodyDiv w:val="1"/>
      <w:marLeft w:val="0"/>
      <w:marRight w:val="0"/>
      <w:marTop w:val="0"/>
      <w:marBottom w:val="0"/>
      <w:divBdr>
        <w:top w:val="none" w:sz="0" w:space="0" w:color="auto"/>
        <w:left w:val="none" w:sz="0" w:space="0" w:color="auto"/>
        <w:bottom w:val="none" w:sz="0" w:space="0" w:color="auto"/>
        <w:right w:val="none" w:sz="0" w:space="0" w:color="auto"/>
      </w:divBdr>
    </w:div>
    <w:div w:id="1243447167">
      <w:bodyDiv w:val="1"/>
      <w:marLeft w:val="0"/>
      <w:marRight w:val="0"/>
      <w:marTop w:val="0"/>
      <w:marBottom w:val="0"/>
      <w:divBdr>
        <w:top w:val="none" w:sz="0" w:space="0" w:color="auto"/>
        <w:left w:val="none" w:sz="0" w:space="0" w:color="auto"/>
        <w:bottom w:val="none" w:sz="0" w:space="0" w:color="auto"/>
        <w:right w:val="none" w:sz="0" w:space="0" w:color="auto"/>
      </w:divBdr>
    </w:div>
    <w:div w:id="1247962128">
      <w:bodyDiv w:val="1"/>
      <w:marLeft w:val="0"/>
      <w:marRight w:val="0"/>
      <w:marTop w:val="0"/>
      <w:marBottom w:val="0"/>
      <w:divBdr>
        <w:top w:val="none" w:sz="0" w:space="0" w:color="auto"/>
        <w:left w:val="none" w:sz="0" w:space="0" w:color="auto"/>
        <w:bottom w:val="none" w:sz="0" w:space="0" w:color="auto"/>
        <w:right w:val="none" w:sz="0" w:space="0" w:color="auto"/>
      </w:divBdr>
    </w:div>
    <w:div w:id="1267153318">
      <w:bodyDiv w:val="1"/>
      <w:marLeft w:val="0"/>
      <w:marRight w:val="0"/>
      <w:marTop w:val="0"/>
      <w:marBottom w:val="0"/>
      <w:divBdr>
        <w:top w:val="none" w:sz="0" w:space="0" w:color="auto"/>
        <w:left w:val="none" w:sz="0" w:space="0" w:color="auto"/>
        <w:bottom w:val="none" w:sz="0" w:space="0" w:color="auto"/>
        <w:right w:val="none" w:sz="0" w:space="0" w:color="auto"/>
      </w:divBdr>
    </w:div>
    <w:div w:id="1287156532">
      <w:bodyDiv w:val="1"/>
      <w:marLeft w:val="0"/>
      <w:marRight w:val="0"/>
      <w:marTop w:val="0"/>
      <w:marBottom w:val="0"/>
      <w:divBdr>
        <w:top w:val="none" w:sz="0" w:space="0" w:color="auto"/>
        <w:left w:val="none" w:sz="0" w:space="0" w:color="auto"/>
        <w:bottom w:val="none" w:sz="0" w:space="0" w:color="auto"/>
        <w:right w:val="none" w:sz="0" w:space="0" w:color="auto"/>
      </w:divBdr>
    </w:div>
    <w:div w:id="1295405369">
      <w:bodyDiv w:val="1"/>
      <w:marLeft w:val="0"/>
      <w:marRight w:val="0"/>
      <w:marTop w:val="0"/>
      <w:marBottom w:val="0"/>
      <w:divBdr>
        <w:top w:val="none" w:sz="0" w:space="0" w:color="auto"/>
        <w:left w:val="none" w:sz="0" w:space="0" w:color="auto"/>
        <w:bottom w:val="none" w:sz="0" w:space="0" w:color="auto"/>
        <w:right w:val="none" w:sz="0" w:space="0" w:color="auto"/>
      </w:divBdr>
    </w:div>
    <w:div w:id="1401054214">
      <w:bodyDiv w:val="1"/>
      <w:marLeft w:val="0"/>
      <w:marRight w:val="0"/>
      <w:marTop w:val="0"/>
      <w:marBottom w:val="0"/>
      <w:divBdr>
        <w:top w:val="none" w:sz="0" w:space="0" w:color="auto"/>
        <w:left w:val="none" w:sz="0" w:space="0" w:color="auto"/>
        <w:bottom w:val="none" w:sz="0" w:space="0" w:color="auto"/>
        <w:right w:val="none" w:sz="0" w:space="0" w:color="auto"/>
      </w:divBdr>
    </w:div>
    <w:div w:id="1403522688">
      <w:bodyDiv w:val="1"/>
      <w:marLeft w:val="0"/>
      <w:marRight w:val="0"/>
      <w:marTop w:val="0"/>
      <w:marBottom w:val="0"/>
      <w:divBdr>
        <w:top w:val="none" w:sz="0" w:space="0" w:color="auto"/>
        <w:left w:val="none" w:sz="0" w:space="0" w:color="auto"/>
        <w:bottom w:val="none" w:sz="0" w:space="0" w:color="auto"/>
        <w:right w:val="none" w:sz="0" w:space="0" w:color="auto"/>
      </w:divBdr>
    </w:div>
    <w:div w:id="1411854714">
      <w:bodyDiv w:val="1"/>
      <w:marLeft w:val="0"/>
      <w:marRight w:val="0"/>
      <w:marTop w:val="0"/>
      <w:marBottom w:val="0"/>
      <w:divBdr>
        <w:top w:val="none" w:sz="0" w:space="0" w:color="auto"/>
        <w:left w:val="none" w:sz="0" w:space="0" w:color="auto"/>
        <w:bottom w:val="none" w:sz="0" w:space="0" w:color="auto"/>
        <w:right w:val="none" w:sz="0" w:space="0" w:color="auto"/>
      </w:divBdr>
    </w:div>
    <w:div w:id="1448350097">
      <w:bodyDiv w:val="1"/>
      <w:marLeft w:val="0"/>
      <w:marRight w:val="0"/>
      <w:marTop w:val="0"/>
      <w:marBottom w:val="0"/>
      <w:divBdr>
        <w:top w:val="none" w:sz="0" w:space="0" w:color="auto"/>
        <w:left w:val="none" w:sz="0" w:space="0" w:color="auto"/>
        <w:bottom w:val="none" w:sz="0" w:space="0" w:color="auto"/>
        <w:right w:val="none" w:sz="0" w:space="0" w:color="auto"/>
      </w:divBdr>
    </w:div>
    <w:div w:id="1498156438">
      <w:bodyDiv w:val="1"/>
      <w:marLeft w:val="0"/>
      <w:marRight w:val="0"/>
      <w:marTop w:val="0"/>
      <w:marBottom w:val="0"/>
      <w:divBdr>
        <w:top w:val="none" w:sz="0" w:space="0" w:color="auto"/>
        <w:left w:val="none" w:sz="0" w:space="0" w:color="auto"/>
        <w:bottom w:val="none" w:sz="0" w:space="0" w:color="auto"/>
        <w:right w:val="none" w:sz="0" w:space="0" w:color="auto"/>
      </w:divBdr>
    </w:div>
    <w:div w:id="1528982782">
      <w:bodyDiv w:val="1"/>
      <w:marLeft w:val="0"/>
      <w:marRight w:val="0"/>
      <w:marTop w:val="0"/>
      <w:marBottom w:val="0"/>
      <w:divBdr>
        <w:top w:val="none" w:sz="0" w:space="0" w:color="auto"/>
        <w:left w:val="none" w:sz="0" w:space="0" w:color="auto"/>
        <w:bottom w:val="none" w:sz="0" w:space="0" w:color="auto"/>
        <w:right w:val="none" w:sz="0" w:space="0" w:color="auto"/>
      </w:divBdr>
    </w:div>
    <w:div w:id="1543442316">
      <w:bodyDiv w:val="1"/>
      <w:marLeft w:val="0"/>
      <w:marRight w:val="0"/>
      <w:marTop w:val="0"/>
      <w:marBottom w:val="0"/>
      <w:divBdr>
        <w:top w:val="none" w:sz="0" w:space="0" w:color="auto"/>
        <w:left w:val="none" w:sz="0" w:space="0" w:color="auto"/>
        <w:bottom w:val="none" w:sz="0" w:space="0" w:color="auto"/>
        <w:right w:val="none" w:sz="0" w:space="0" w:color="auto"/>
      </w:divBdr>
    </w:div>
    <w:div w:id="1546062313">
      <w:bodyDiv w:val="1"/>
      <w:marLeft w:val="0"/>
      <w:marRight w:val="0"/>
      <w:marTop w:val="0"/>
      <w:marBottom w:val="0"/>
      <w:divBdr>
        <w:top w:val="none" w:sz="0" w:space="0" w:color="auto"/>
        <w:left w:val="none" w:sz="0" w:space="0" w:color="auto"/>
        <w:bottom w:val="none" w:sz="0" w:space="0" w:color="auto"/>
        <w:right w:val="none" w:sz="0" w:space="0" w:color="auto"/>
      </w:divBdr>
    </w:div>
    <w:div w:id="1552035030">
      <w:bodyDiv w:val="1"/>
      <w:marLeft w:val="0"/>
      <w:marRight w:val="0"/>
      <w:marTop w:val="0"/>
      <w:marBottom w:val="0"/>
      <w:divBdr>
        <w:top w:val="none" w:sz="0" w:space="0" w:color="auto"/>
        <w:left w:val="none" w:sz="0" w:space="0" w:color="auto"/>
        <w:bottom w:val="none" w:sz="0" w:space="0" w:color="auto"/>
        <w:right w:val="none" w:sz="0" w:space="0" w:color="auto"/>
      </w:divBdr>
    </w:div>
    <w:div w:id="1589732327">
      <w:bodyDiv w:val="1"/>
      <w:marLeft w:val="0"/>
      <w:marRight w:val="0"/>
      <w:marTop w:val="0"/>
      <w:marBottom w:val="0"/>
      <w:divBdr>
        <w:top w:val="none" w:sz="0" w:space="0" w:color="auto"/>
        <w:left w:val="none" w:sz="0" w:space="0" w:color="auto"/>
        <w:bottom w:val="none" w:sz="0" w:space="0" w:color="auto"/>
        <w:right w:val="none" w:sz="0" w:space="0" w:color="auto"/>
      </w:divBdr>
    </w:div>
    <w:div w:id="1613320068">
      <w:bodyDiv w:val="1"/>
      <w:marLeft w:val="0"/>
      <w:marRight w:val="0"/>
      <w:marTop w:val="0"/>
      <w:marBottom w:val="0"/>
      <w:divBdr>
        <w:top w:val="none" w:sz="0" w:space="0" w:color="auto"/>
        <w:left w:val="none" w:sz="0" w:space="0" w:color="auto"/>
        <w:bottom w:val="none" w:sz="0" w:space="0" w:color="auto"/>
        <w:right w:val="none" w:sz="0" w:space="0" w:color="auto"/>
      </w:divBdr>
    </w:div>
    <w:div w:id="1634824749">
      <w:bodyDiv w:val="1"/>
      <w:marLeft w:val="0"/>
      <w:marRight w:val="0"/>
      <w:marTop w:val="0"/>
      <w:marBottom w:val="0"/>
      <w:divBdr>
        <w:top w:val="none" w:sz="0" w:space="0" w:color="auto"/>
        <w:left w:val="none" w:sz="0" w:space="0" w:color="auto"/>
        <w:bottom w:val="none" w:sz="0" w:space="0" w:color="auto"/>
        <w:right w:val="none" w:sz="0" w:space="0" w:color="auto"/>
      </w:divBdr>
    </w:div>
    <w:div w:id="1652369409">
      <w:bodyDiv w:val="1"/>
      <w:marLeft w:val="0"/>
      <w:marRight w:val="0"/>
      <w:marTop w:val="0"/>
      <w:marBottom w:val="0"/>
      <w:divBdr>
        <w:top w:val="none" w:sz="0" w:space="0" w:color="auto"/>
        <w:left w:val="none" w:sz="0" w:space="0" w:color="auto"/>
        <w:bottom w:val="none" w:sz="0" w:space="0" w:color="auto"/>
        <w:right w:val="none" w:sz="0" w:space="0" w:color="auto"/>
      </w:divBdr>
    </w:div>
    <w:div w:id="1674726452">
      <w:bodyDiv w:val="1"/>
      <w:marLeft w:val="0"/>
      <w:marRight w:val="0"/>
      <w:marTop w:val="0"/>
      <w:marBottom w:val="0"/>
      <w:divBdr>
        <w:top w:val="none" w:sz="0" w:space="0" w:color="auto"/>
        <w:left w:val="none" w:sz="0" w:space="0" w:color="auto"/>
        <w:bottom w:val="none" w:sz="0" w:space="0" w:color="auto"/>
        <w:right w:val="none" w:sz="0" w:space="0" w:color="auto"/>
      </w:divBdr>
    </w:div>
    <w:div w:id="1696274381">
      <w:bodyDiv w:val="1"/>
      <w:marLeft w:val="0"/>
      <w:marRight w:val="0"/>
      <w:marTop w:val="0"/>
      <w:marBottom w:val="0"/>
      <w:divBdr>
        <w:top w:val="none" w:sz="0" w:space="0" w:color="auto"/>
        <w:left w:val="none" w:sz="0" w:space="0" w:color="auto"/>
        <w:bottom w:val="none" w:sz="0" w:space="0" w:color="auto"/>
        <w:right w:val="none" w:sz="0" w:space="0" w:color="auto"/>
      </w:divBdr>
    </w:div>
    <w:div w:id="1708097299">
      <w:bodyDiv w:val="1"/>
      <w:marLeft w:val="0"/>
      <w:marRight w:val="0"/>
      <w:marTop w:val="0"/>
      <w:marBottom w:val="0"/>
      <w:divBdr>
        <w:top w:val="none" w:sz="0" w:space="0" w:color="auto"/>
        <w:left w:val="none" w:sz="0" w:space="0" w:color="auto"/>
        <w:bottom w:val="none" w:sz="0" w:space="0" w:color="auto"/>
        <w:right w:val="none" w:sz="0" w:space="0" w:color="auto"/>
      </w:divBdr>
    </w:div>
    <w:div w:id="1714647482">
      <w:bodyDiv w:val="1"/>
      <w:marLeft w:val="0"/>
      <w:marRight w:val="0"/>
      <w:marTop w:val="0"/>
      <w:marBottom w:val="0"/>
      <w:divBdr>
        <w:top w:val="none" w:sz="0" w:space="0" w:color="auto"/>
        <w:left w:val="none" w:sz="0" w:space="0" w:color="auto"/>
        <w:bottom w:val="none" w:sz="0" w:space="0" w:color="auto"/>
        <w:right w:val="none" w:sz="0" w:space="0" w:color="auto"/>
      </w:divBdr>
    </w:div>
    <w:div w:id="1801462069">
      <w:bodyDiv w:val="1"/>
      <w:marLeft w:val="0"/>
      <w:marRight w:val="0"/>
      <w:marTop w:val="0"/>
      <w:marBottom w:val="0"/>
      <w:divBdr>
        <w:top w:val="none" w:sz="0" w:space="0" w:color="auto"/>
        <w:left w:val="none" w:sz="0" w:space="0" w:color="auto"/>
        <w:bottom w:val="none" w:sz="0" w:space="0" w:color="auto"/>
        <w:right w:val="none" w:sz="0" w:space="0" w:color="auto"/>
      </w:divBdr>
    </w:div>
    <w:div w:id="1802305680">
      <w:bodyDiv w:val="1"/>
      <w:marLeft w:val="0"/>
      <w:marRight w:val="0"/>
      <w:marTop w:val="0"/>
      <w:marBottom w:val="0"/>
      <w:divBdr>
        <w:top w:val="none" w:sz="0" w:space="0" w:color="auto"/>
        <w:left w:val="none" w:sz="0" w:space="0" w:color="auto"/>
        <w:bottom w:val="none" w:sz="0" w:space="0" w:color="auto"/>
        <w:right w:val="none" w:sz="0" w:space="0" w:color="auto"/>
      </w:divBdr>
    </w:div>
    <w:div w:id="1802722170">
      <w:bodyDiv w:val="1"/>
      <w:marLeft w:val="0"/>
      <w:marRight w:val="0"/>
      <w:marTop w:val="0"/>
      <w:marBottom w:val="0"/>
      <w:divBdr>
        <w:top w:val="none" w:sz="0" w:space="0" w:color="auto"/>
        <w:left w:val="none" w:sz="0" w:space="0" w:color="auto"/>
        <w:bottom w:val="none" w:sz="0" w:space="0" w:color="auto"/>
        <w:right w:val="none" w:sz="0" w:space="0" w:color="auto"/>
      </w:divBdr>
    </w:div>
    <w:div w:id="1846280957">
      <w:bodyDiv w:val="1"/>
      <w:marLeft w:val="0"/>
      <w:marRight w:val="0"/>
      <w:marTop w:val="0"/>
      <w:marBottom w:val="0"/>
      <w:divBdr>
        <w:top w:val="none" w:sz="0" w:space="0" w:color="auto"/>
        <w:left w:val="none" w:sz="0" w:space="0" w:color="auto"/>
        <w:bottom w:val="none" w:sz="0" w:space="0" w:color="auto"/>
        <w:right w:val="none" w:sz="0" w:space="0" w:color="auto"/>
      </w:divBdr>
    </w:div>
    <w:div w:id="1849908953">
      <w:bodyDiv w:val="1"/>
      <w:marLeft w:val="0"/>
      <w:marRight w:val="0"/>
      <w:marTop w:val="0"/>
      <w:marBottom w:val="0"/>
      <w:divBdr>
        <w:top w:val="none" w:sz="0" w:space="0" w:color="auto"/>
        <w:left w:val="none" w:sz="0" w:space="0" w:color="auto"/>
        <w:bottom w:val="none" w:sz="0" w:space="0" w:color="auto"/>
        <w:right w:val="none" w:sz="0" w:space="0" w:color="auto"/>
      </w:divBdr>
    </w:div>
    <w:div w:id="1872955759">
      <w:bodyDiv w:val="1"/>
      <w:marLeft w:val="0"/>
      <w:marRight w:val="0"/>
      <w:marTop w:val="0"/>
      <w:marBottom w:val="0"/>
      <w:divBdr>
        <w:top w:val="none" w:sz="0" w:space="0" w:color="auto"/>
        <w:left w:val="none" w:sz="0" w:space="0" w:color="auto"/>
        <w:bottom w:val="none" w:sz="0" w:space="0" w:color="auto"/>
        <w:right w:val="none" w:sz="0" w:space="0" w:color="auto"/>
      </w:divBdr>
    </w:div>
    <w:div w:id="1974407386">
      <w:bodyDiv w:val="1"/>
      <w:marLeft w:val="0"/>
      <w:marRight w:val="0"/>
      <w:marTop w:val="0"/>
      <w:marBottom w:val="0"/>
      <w:divBdr>
        <w:top w:val="none" w:sz="0" w:space="0" w:color="auto"/>
        <w:left w:val="none" w:sz="0" w:space="0" w:color="auto"/>
        <w:bottom w:val="none" w:sz="0" w:space="0" w:color="auto"/>
        <w:right w:val="none" w:sz="0" w:space="0" w:color="auto"/>
      </w:divBdr>
    </w:div>
    <w:div w:id="2002542419">
      <w:bodyDiv w:val="1"/>
      <w:marLeft w:val="0"/>
      <w:marRight w:val="0"/>
      <w:marTop w:val="0"/>
      <w:marBottom w:val="0"/>
      <w:divBdr>
        <w:top w:val="none" w:sz="0" w:space="0" w:color="auto"/>
        <w:left w:val="none" w:sz="0" w:space="0" w:color="auto"/>
        <w:bottom w:val="none" w:sz="0" w:space="0" w:color="auto"/>
        <w:right w:val="none" w:sz="0" w:space="0" w:color="auto"/>
      </w:divBdr>
    </w:div>
    <w:div w:id="2014454707">
      <w:bodyDiv w:val="1"/>
      <w:marLeft w:val="0"/>
      <w:marRight w:val="0"/>
      <w:marTop w:val="0"/>
      <w:marBottom w:val="0"/>
      <w:divBdr>
        <w:top w:val="none" w:sz="0" w:space="0" w:color="auto"/>
        <w:left w:val="none" w:sz="0" w:space="0" w:color="auto"/>
        <w:bottom w:val="none" w:sz="0" w:space="0" w:color="auto"/>
        <w:right w:val="none" w:sz="0" w:space="0" w:color="auto"/>
      </w:divBdr>
    </w:div>
    <w:div w:id="2020236575">
      <w:bodyDiv w:val="1"/>
      <w:marLeft w:val="0"/>
      <w:marRight w:val="0"/>
      <w:marTop w:val="0"/>
      <w:marBottom w:val="0"/>
      <w:divBdr>
        <w:top w:val="none" w:sz="0" w:space="0" w:color="auto"/>
        <w:left w:val="none" w:sz="0" w:space="0" w:color="auto"/>
        <w:bottom w:val="none" w:sz="0" w:space="0" w:color="auto"/>
        <w:right w:val="none" w:sz="0" w:space="0" w:color="auto"/>
      </w:divBdr>
    </w:div>
    <w:div w:id="2033992660">
      <w:bodyDiv w:val="1"/>
      <w:marLeft w:val="0"/>
      <w:marRight w:val="0"/>
      <w:marTop w:val="0"/>
      <w:marBottom w:val="0"/>
      <w:divBdr>
        <w:top w:val="none" w:sz="0" w:space="0" w:color="auto"/>
        <w:left w:val="none" w:sz="0" w:space="0" w:color="auto"/>
        <w:bottom w:val="none" w:sz="0" w:space="0" w:color="auto"/>
        <w:right w:val="none" w:sz="0" w:space="0" w:color="auto"/>
      </w:divBdr>
    </w:div>
    <w:div w:id="2038776758">
      <w:bodyDiv w:val="1"/>
      <w:marLeft w:val="0"/>
      <w:marRight w:val="0"/>
      <w:marTop w:val="0"/>
      <w:marBottom w:val="0"/>
      <w:divBdr>
        <w:top w:val="none" w:sz="0" w:space="0" w:color="auto"/>
        <w:left w:val="none" w:sz="0" w:space="0" w:color="auto"/>
        <w:bottom w:val="none" w:sz="0" w:space="0" w:color="auto"/>
        <w:right w:val="none" w:sz="0" w:space="0" w:color="auto"/>
      </w:divBdr>
    </w:div>
    <w:div w:id="2049258312">
      <w:bodyDiv w:val="1"/>
      <w:marLeft w:val="0"/>
      <w:marRight w:val="0"/>
      <w:marTop w:val="0"/>
      <w:marBottom w:val="0"/>
      <w:divBdr>
        <w:top w:val="none" w:sz="0" w:space="0" w:color="auto"/>
        <w:left w:val="none" w:sz="0" w:space="0" w:color="auto"/>
        <w:bottom w:val="none" w:sz="0" w:space="0" w:color="auto"/>
        <w:right w:val="none" w:sz="0" w:space="0" w:color="auto"/>
      </w:divBdr>
    </w:div>
    <w:div w:id="2054033705">
      <w:bodyDiv w:val="1"/>
      <w:marLeft w:val="0"/>
      <w:marRight w:val="0"/>
      <w:marTop w:val="0"/>
      <w:marBottom w:val="0"/>
      <w:divBdr>
        <w:top w:val="none" w:sz="0" w:space="0" w:color="auto"/>
        <w:left w:val="none" w:sz="0" w:space="0" w:color="auto"/>
        <w:bottom w:val="none" w:sz="0" w:space="0" w:color="auto"/>
        <w:right w:val="none" w:sz="0" w:space="0" w:color="auto"/>
      </w:divBdr>
    </w:div>
    <w:div w:id="2064134779">
      <w:bodyDiv w:val="1"/>
      <w:marLeft w:val="0"/>
      <w:marRight w:val="0"/>
      <w:marTop w:val="0"/>
      <w:marBottom w:val="0"/>
      <w:divBdr>
        <w:top w:val="none" w:sz="0" w:space="0" w:color="auto"/>
        <w:left w:val="none" w:sz="0" w:space="0" w:color="auto"/>
        <w:bottom w:val="none" w:sz="0" w:space="0" w:color="auto"/>
        <w:right w:val="none" w:sz="0" w:space="0" w:color="auto"/>
      </w:divBdr>
    </w:div>
    <w:div w:id="2071032834">
      <w:bodyDiv w:val="1"/>
      <w:marLeft w:val="0"/>
      <w:marRight w:val="0"/>
      <w:marTop w:val="0"/>
      <w:marBottom w:val="0"/>
      <w:divBdr>
        <w:top w:val="none" w:sz="0" w:space="0" w:color="auto"/>
        <w:left w:val="none" w:sz="0" w:space="0" w:color="auto"/>
        <w:bottom w:val="none" w:sz="0" w:space="0" w:color="auto"/>
        <w:right w:val="none" w:sz="0" w:space="0" w:color="auto"/>
      </w:divBdr>
    </w:div>
    <w:div w:id="2071534195">
      <w:bodyDiv w:val="1"/>
      <w:marLeft w:val="0"/>
      <w:marRight w:val="0"/>
      <w:marTop w:val="0"/>
      <w:marBottom w:val="0"/>
      <w:divBdr>
        <w:top w:val="none" w:sz="0" w:space="0" w:color="auto"/>
        <w:left w:val="none" w:sz="0" w:space="0" w:color="auto"/>
        <w:bottom w:val="none" w:sz="0" w:space="0" w:color="auto"/>
        <w:right w:val="none" w:sz="0" w:space="0" w:color="auto"/>
      </w:divBdr>
    </w:div>
    <w:div w:id="2087846674">
      <w:bodyDiv w:val="1"/>
      <w:marLeft w:val="0"/>
      <w:marRight w:val="0"/>
      <w:marTop w:val="0"/>
      <w:marBottom w:val="0"/>
      <w:divBdr>
        <w:top w:val="none" w:sz="0" w:space="0" w:color="auto"/>
        <w:left w:val="none" w:sz="0" w:space="0" w:color="auto"/>
        <w:bottom w:val="none" w:sz="0" w:space="0" w:color="auto"/>
        <w:right w:val="none" w:sz="0" w:space="0" w:color="auto"/>
      </w:divBdr>
    </w:div>
    <w:div w:id="21459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SharedWithUsers xmlns="c5e352c5-a0a5-4aff-9101-fc8c076df9f7">
      <UserInfo>
        <DisplayName>Gerson Castañeda Soto</DisplayName>
        <AccountId>18</AccountId>
        <AccountType/>
      </UserInfo>
      <UserInfo>
        <DisplayName>Luis Fernando León Granados</DisplayName>
        <AccountId>37</AccountId>
        <AccountType/>
      </UserInfo>
      <UserInfo>
        <DisplayName>Maria Paula Echeverri Uribe</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D0BFE-A0A1-49D0-9748-CEE46BE8E22D}">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6CEF30F7-1B1D-4FE7-BE82-BAC4D1D11C7D}">
  <ds:schemaRefs>
    <ds:schemaRef ds:uri="http://schemas.microsoft.com/sharepoint/v3/contenttype/forms"/>
  </ds:schemaRefs>
</ds:datastoreItem>
</file>

<file path=customXml/itemProps3.xml><?xml version="1.0" encoding="utf-8"?>
<ds:datastoreItem xmlns:ds="http://schemas.openxmlformats.org/officeDocument/2006/customXml" ds:itemID="{F22B10A6-06D0-43C9-9366-96A9A574DDF2}">
  <ds:schemaRefs>
    <ds:schemaRef ds:uri="http://schemas.openxmlformats.org/officeDocument/2006/bibliography"/>
  </ds:schemaRefs>
</ds:datastoreItem>
</file>

<file path=customXml/itemProps4.xml><?xml version="1.0" encoding="utf-8"?>
<ds:datastoreItem xmlns:ds="http://schemas.openxmlformats.org/officeDocument/2006/customXml" ds:itemID="{4C8F8604-BF61-4DB4-9FFC-2A32655C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PLANTILLA1.dotx</Template>
  <TotalTime>3</TotalTime>
  <Pages>34</Pages>
  <Words>11880</Words>
  <Characters>65345</Characters>
  <Application>Microsoft Office Word</Application>
  <DocSecurity>0</DocSecurity>
  <Lines>544</Lines>
  <Paragraphs>154</Paragraphs>
  <ScaleCrop>false</ScaleCrop>
  <Company>CREG</Company>
  <LinksUpToDate>false</LinksUpToDate>
  <CharactersWithSpaces>77071</CharactersWithSpaces>
  <SharedDoc>false</SharedDoc>
  <HLinks>
    <vt:vector size="162" baseType="variant">
      <vt:variant>
        <vt:i4>1900592</vt:i4>
      </vt:variant>
      <vt:variant>
        <vt:i4>155</vt:i4>
      </vt:variant>
      <vt:variant>
        <vt:i4>0</vt:i4>
      </vt:variant>
      <vt:variant>
        <vt:i4>5</vt:i4>
      </vt:variant>
      <vt:variant>
        <vt:lpwstr/>
      </vt:variant>
      <vt:variant>
        <vt:lpwstr>_Toc164064381</vt:lpwstr>
      </vt:variant>
      <vt:variant>
        <vt:i4>1900592</vt:i4>
      </vt:variant>
      <vt:variant>
        <vt:i4>149</vt:i4>
      </vt:variant>
      <vt:variant>
        <vt:i4>0</vt:i4>
      </vt:variant>
      <vt:variant>
        <vt:i4>5</vt:i4>
      </vt:variant>
      <vt:variant>
        <vt:lpwstr/>
      </vt:variant>
      <vt:variant>
        <vt:lpwstr>_Toc164064380</vt:lpwstr>
      </vt:variant>
      <vt:variant>
        <vt:i4>1179696</vt:i4>
      </vt:variant>
      <vt:variant>
        <vt:i4>143</vt:i4>
      </vt:variant>
      <vt:variant>
        <vt:i4>0</vt:i4>
      </vt:variant>
      <vt:variant>
        <vt:i4>5</vt:i4>
      </vt:variant>
      <vt:variant>
        <vt:lpwstr/>
      </vt:variant>
      <vt:variant>
        <vt:lpwstr>_Toc164064379</vt:lpwstr>
      </vt:variant>
      <vt:variant>
        <vt:i4>1179696</vt:i4>
      </vt:variant>
      <vt:variant>
        <vt:i4>137</vt:i4>
      </vt:variant>
      <vt:variant>
        <vt:i4>0</vt:i4>
      </vt:variant>
      <vt:variant>
        <vt:i4>5</vt:i4>
      </vt:variant>
      <vt:variant>
        <vt:lpwstr/>
      </vt:variant>
      <vt:variant>
        <vt:lpwstr>_Toc164064378</vt:lpwstr>
      </vt:variant>
      <vt:variant>
        <vt:i4>1179696</vt:i4>
      </vt:variant>
      <vt:variant>
        <vt:i4>131</vt:i4>
      </vt:variant>
      <vt:variant>
        <vt:i4>0</vt:i4>
      </vt:variant>
      <vt:variant>
        <vt:i4>5</vt:i4>
      </vt:variant>
      <vt:variant>
        <vt:lpwstr/>
      </vt:variant>
      <vt:variant>
        <vt:lpwstr>_Toc164064377</vt:lpwstr>
      </vt:variant>
      <vt:variant>
        <vt:i4>1179696</vt:i4>
      </vt:variant>
      <vt:variant>
        <vt:i4>125</vt:i4>
      </vt:variant>
      <vt:variant>
        <vt:i4>0</vt:i4>
      </vt:variant>
      <vt:variant>
        <vt:i4>5</vt:i4>
      </vt:variant>
      <vt:variant>
        <vt:lpwstr/>
      </vt:variant>
      <vt:variant>
        <vt:lpwstr>_Toc164064376</vt:lpwstr>
      </vt:variant>
      <vt:variant>
        <vt:i4>1179696</vt:i4>
      </vt:variant>
      <vt:variant>
        <vt:i4>119</vt:i4>
      </vt:variant>
      <vt:variant>
        <vt:i4>0</vt:i4>
      </vt:variant>
      <vt:variant>
        <vt:i4>5</vt:i4>
      </vt:variant>
      <vt:variant>
        <vt:lpwstr/>
      </vt:variant>
      <vt:variant>
        <vt:lpwstr>_Toc164064375</vt:lpwstr>
      </vt:variant>
      <vt:variant>
        <vt:i4>1179696</vt:i4>
      </vt:variant>
      <vt:variant>
        <vt:i4>113</vt:i4>
      </vt:variant>
      <vt:variant>
        <vt:i4>0</vt:i4>
      </vt:variant>
      <vt:variant>
        <vt:i4>5</vt:i4>
      </vt:variant>
      <vt:variant>
        <vt:lpwstr/>
      </vt:variant>
      <vt:variant>
        <vt:lpwstr>_Toc164064374</vt:lpwstr>
      </vt:variant>
      <vt:variant>
        <vt:i4>1179696</vt:i4>
      </vt:variant>
      <vt:variant>
        <vt:i4>107</vt:i4>
      </vt:variant>
      <vt:variant>
        <vt:i4>0</vt:i4>
      </vt:variant>
      <vt:variant>
        <vt:i4>5</vt:i4>
      </vt:variant>
      <vt:variant>
        <vt:lpwstr/>
      </vt:variant>
      <vt:variant>
        <vt:lpwstr>_Toc164064373</vt:lpwstr>
      </vt:variant>
      <vt:variant>
        <vt:i4>1179696</vt:i4>
      </vt:variant>
      <vt:variant>
        <vt:i4>101</vt:i4>
      </vt:variant>
      <vt:variant>
        <vt:i4>0</vt:i4>
      </vt:variant>
      <vt:variant>
        <vt:i4>5</vt:i4>
      </vt:variant>
      <vt:variant>
        <vt:lpwstr/>
      </vt:variant>
      <vt:variant>
        <vt:lpwstr>_Toc164064372</vt:lpwstr>
      </vt:variant>
      <vt:variant>
        <vt:i4>1179696</vt:i4>
      </vt:variant>
      <vt:variant>
        <vt:i4>95</vt:i4>
      </vt:variant>
      <vt:variant>
        <vt:i4>0</vt:i4>
      </vt:variant>
      <vt:variant>
        <vt:i4>5</vt:i4>
      </vt:variant>
      <vt:variant>
        <vt:lpwstr/>
      </vt:variant>
      <vt:variant>
        <vt:lpwstr>_Toc164064371</vt:lpwstr>
      </vt:variant>
      <vt:variant>
        <vt:i4>1179696</vt:i4>
      </vt:variant>
      <vt:variant>
        <vt:i4>89</vt:i4>
      </vt:variant>
      <vt:variant>
        <vt:i4>0</vt:i4>
      </vt:variant>
      <vt:variant>
        <vt:i4>5</vt:i4>
      </vt:variant>
      <vt:variant>
        <vt:lpwstr/>
      </vt:variant>
      <vt:variant>
        <vt:lpwstr>_Toc164064370</vt:lpwstr>
      </vt:variant>
      <vt:variant>
        <vt:i4>1245232</vt:i4>
      </vt:variant>
      <vt:variant>
        <vt:i4>83</vt:i4>
      </vt:variant>
      <vt:variant>
        <vt:i4>0</vt:i4>
      </vt:variant>
      <vt:variant>
        <vt:i4>5</vt:i4>
      </vt:variant>
      <vt:variant>
        <vt:lpwstr/>
      </vt:variant>
      <vt:variant>
        <vt:lpwstr>_Toc164064369</vt:lpwstr>
      </vt:variant>
      <vt:variant>
        <vt:i4>1245232</vt:i4>
      </vt:variant>
      <vt:variant>
        <vt:i4>77</vt:i4>
      </vt:variant>
      <vt:variant>
        <vt:i4>0</vt:i4>
      </vt:variant>
      <vt:variant>
        <vt:i4>5</vt:i4>
      </vt:variant>
      <vt:variant>
        <vt:lpwstr/>
      </vt:variant>
      <vt:variant>
        <vt:lpwstr>_Toc164064368</vt:lpwstr>
      </vt:variant>
      <vt:variant>
        <vt:i4>1245232</vt:i4>
      </vt:variant>
      <vt:variant>
        <vt:i4>71</vt:i4>
      </vt:variant>
      <vt:variant>
        <vt:i4>0</vt:i4>
      </vt:variant>
      <vt:variant>
        <vt:i4>5</vt:i4>
      </vt:variant>
      <vt:variant>
        <vt:lpwstr/>
      </vt:variant>
      <vt:variant>
        <vt:lpwstr>_Toc164064367</vt:lpwstr>
      </vt:variant>
      <vt:variant>
        <vt:i4>1245232</vt:i4>
      </vt:variant>
      <vt:variant>
        <vt:i4>65</vt:i4>
      </vt:variant>
      <vt:variant>
        <vt:i4>0</vt:i4>
      </vt:variant>
      <vt:variant>
        <vt:i4>5</vt:i4>
      </vt:variant>
      <vt:variant>
        <vt:lpwstr/>
      </vt:variant>
      <vt:variant>
        <vt:lpwstr>_Toc164064366</vt:lpwstr>
      </vt:variant>
      <vt:variant>
        <vt:i4>1245232</vt:i4>
      </vt:variant>
      <vt:variant>
        <vt:i4>59</vt:i4>
      </vt:variant>
      <vt:variant>
        <vt:i4>0</vt:i4>
      </vt:variant>
      <vt:variant>
        <vt:i4>5</vt:i4>
      </vt:variant>
      <vt:variant>
        <vt:lpwstr/>
      </vt:variant>
      <vt:variant>
        <vt:lpwstr>_Toc164064365</vt:lpwstr>
      </vt:variant>
      <vt:variant>
        <vt:i4>1245232</vt:i4>
      </vt:variant>
      <vt:variant>
        <vt:i4>53</vt:i4>
      </vt:variant>
      <vt:variant>
        <vt:i4>0</vt:i4>
      </vt:variant>
      <vt:variant>
        <vt:i4>5</vt:i4>
      </vt:variant>
      <vt:variant>
        <vt:lpwstr/>
      </vt:variant>
      <vt:variant>
        <vt:lpwstr>_Toc164064364</vt:lpwstr>
      </vt:variant>
      <vt:variant>
        <vt:i4>1245232</vt:i4>
      </vt:variant>
      <vt:variant>
        <vt:i4>47</vt:i4>
      </vt:variant>
      <vt:variant>
        <vt:i4>0</vt:i4>
      </vt:variant>
      <vt:variant>
        <vt:i4>5</vt:i4>
      </vt:variant>
      <vt:variant>
        <vt:lpwstr/>
      </vt:variant>
      <vt:variant>
        <vt:lpwstr>_Toc164064363</vt:lpwstr>
      </vt:variant>
      <vt:variant>
        <vt:i4>1245232</vt:i4>
      </vt:variant>
      <vt:variant>
        <vt:i4>41</vt:i4>
      </vt:variant>
      <vt:variant>
        <vt:i4>0</vt:i4>
      </vt:variant>
      <vt:variant>
        <vt:i4>5</vt:i4>
      </vt:variant>
      <vt:variant>
        <vt:lpwstr/>
      </vt:variant>
      <vt:variant>
        <vt:lpwstr>_Toc164064362</vt:lpwstr>
      </vt:variant>
      <vt:variant>
        <vt:i4>1245232</vt:i4>
      </vt:variant>
      <vt:variant>
        <vt:i4>35</vt:i4>
      </vt:variant>
      <vt:variant>
        <vt:i4>0</vt:i4>
      </vt:variant>
      <vt:variant>
        <vt:i4>5</vt:i4>
      </vt:variant>
      <vt:variant>
        <vt:lpwstr/>
      </vt:variant>
      <vt:variant>
        <vt:lpwstr>_Toc164064361</vt:lpwstr>
      </vt:variant>
      <vt:variant>
        <vt:i4>1245232</vt:i4>
      </vt:variant>
      <vt:variant>
        <vt:i4>29</vt:i4>
      </vt:variant>
      <vt:variant>
        <vt:i4>0</vt:i4>
      </vt:variant>
      <vt:variant>
        <vt:i4>5</vt:i4>
      </vt:variant>
      <vt:variant>
        <vt:lpwstr/>
      </vt:variant>
      <vt:variant>
        <vt:lpwstr>_Toc164064360</vt:lpwstr>
      </vt:variant>
      <vt:variant>
        <vt:i4>1048624</vt:i4>
      </vt:variant>
      <vt:variant>
        <vt:i4>23</vt:i4>
      </vt:variant>
      <vt:variant>
        <vt:i4>0</vt:i4>
      </vt:variant>
      <vt:variant>
        <vt:i4>5</vt:i4>
      </vt:variant>
      <vt:variant>
        <vt:lpwstr/>
      </vt:variant>
      <vt:variant>
        <vt:lpwstr>_Toc164064359</vt:lpwstr>
      </vt:variant>
      <vt:variant>
        <vt:i4>1048624</vt:i4>
      </vt:variant>
      <vt:variant>
        <vt:i4>17</vt:i4>
      </vt:variant>
      <vt:variant>
        <vt:i4>0</vt:i4>
      </vt:variant>
      <vt:variant>
        <vt:i4>5</vt:i4>
      </vt:variant>
      <vt:variant>
        <vt:lpwstr/>
      </vt:variant>
      <vt:variant>
        <vt:lpwstr>_Toc164064358</vt:lpwstr>
      </vt:variant>
      <vt:variant>
        <vt:i4>1048624</vt:i4>
      </vt:variant>
      <vt:variant>
        <vt:i4>11</vt:i4>
      </vt:variant>
      <vt:variant>
        <vt:i4>0</vt:i4>
      </vt:variant>
      <vt:variant>
        <vt:i4>5</vt:i4>
      </vt:variant>
      <vt:variant>
        <vt:lpwstr/>
      </vt:variant>
      <vt:variant>
        <vt:lpwstr>_Toc164064357</vt:lpwstr>
      </vt:variant>
      <vt:variant>
        <vt:i4>1048624</vt:i4>
      </vt:variant>
      <vt:variant>
        <vt:i4>5</vt:i4>
      </vt:variant>
      <vt:variant>
        <vt:i4>0</vt:i4>
      </vt:variant>
      <vt:variant>
        <vt:i4>5</vt:i4>
      </vt:variant>
      <vt:variant>
        <vt:lpwstr/>
      </vt:variant>
      <vt:variant>
        <vt:lpwstr>_Toc164064356</vt:lpwstr>
      </vt: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3</cp:revision>
  <cp:lastPrinted>2024-04-21T19:07:00Z</cp:lastPrinted>
  <dcterms:created xsi:type="dcterms:W3CDTF">2024-04-21T19:07:00Z</dcterms:created>
  <dcterms:modified xsi:type="dcterms:W3CDTF">2024-04-21T19:07:00Z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